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CE06E">
      <w:bookmarkStart w:id="50" w:name="_GoBack"/>
      <w:bookmarkEnd w:id="50"/>
      <w:r>
        <w:drawing>
          <wp:anchor distT="0" distB="0" distL="114300" distR="114300" simplePos="0" relativeHeight="251660288" behindDoc="0" locked="0" layoutInCell="1" allowOverlap="1">
            <wp:simplePos x="0" y="0"/>
            <wp:positionH relativeFrom="column">
              <wp:posOffset>-66675</wp:posOffset>
            </wp:positionH>
            <wp:positionV relativeFrom="paragraph">
              <wp:posOffset>268605</wp:posOffset>
            </wp:positionV>
            <wp:extent cx="582930" cy="483870"/>
            <wp:effectExtent l="0" t="0" r="7620" b="11430"/>
            <wp:wrapNone/>
            <wp:docPr id="2" name="图片 4"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8888"/>
                    <pic:cNvPicPr>
                      <a:picLocks noChangeAspect="1"/>
                    </pic:cNvPicPr>
                  </pic:nvPicPr>
                  <pic:blipFill>
                    <a:blip r:embed="rId7"/>
                    <a:stretch>
                      <a:fillRect/>
                    </a:stretch>
                  </pic:blipFill>
                  <pic:spPr>
                    <a:xfrm>
                      <a:off x="0" y="0"/>
                      <a:ext cx="582930" cy="483870"/>
                    </a:xfrm>
                    <a:prstGeom prst="rect">
                      <a:avLst/>
                    </a:prstGeom>
                    <a:noFill/>
                    <a:ln>
                      <a:noFill/>
                    </a:ln>
                  </pic:spPr>
                </pic:pic>
              </a:graphicData>
            </a:graphic>
          </wp:anchor>
        </w:drawing>
      </w:r>
    </w:p>
    <w:p w14:paraId="3749A5B9">
      <w:pPr>
        <w:spacing w:line="360" w:lineRule="auto"/>
        <w:ind w:firstLine="964" w:firstLineChars="300"/>
        <w:rPr>
          <w:rFonts w:hint="eastAsia" w:ascii="宋体" w:hAnsi="宋体" w:cs="宋体"/>
          <w:b/>
          <w:sz w:val="32"/>
          <w:szCs w:val="32"/>
        </w:rPr>
      </w:pPr>
      <w:r>
        <w:rPr>
          <w:rFonts w:hint="eastAsia" w:ascii="宋体" w:hAnsi="宋体" w:cs="宋体"/>
          <w:b/>
          <w:sz w:val="32"/>
          <w:szCs w:val="32"/>
        </w:rPr>
        <w:t>伊犁新天煤化工有限责任公司</w:t>
      </w:r>
    </w:p>
    <w:p w14:paraId="78C7F8B1">
      <w:pPr>
        <w:rPr>
          <w:rStyle w:val="34"/>
          <w:rFonts w:hint="eastAsia" w:ascii="宋体" w:hAnsi="宋体"/>
          <w:b/>
          <w:sz w:val="28"/>
          <w:szCs w:val="28"/>
        </w:rPr>
      </w:pPr>
    </w:p>
    <w:p w14:paraId="21B0C46E">
      <w:pPr>
        <w:rPr>
          <w:rStyle w:val="34"/>
          <w:rFonts w:hint="eastAsia" w:ascii="宋体" w:hAnsi="宋体"/>
          <w:b/>
          <w:sz w:val="32"/>
          <w:szCs w:val="32"/>
        </w:rPr>
      </w:pPr>
    </w:p>
    <w:p w14:paraId="6ACFE723">
      <w:pPr>
        <w:rPr>
          <w:rStyle w:val="34"/>
          <w:rFonts w:hint="eastAsia" w:ascii="宋体" w:hAnsi="宋体"/>
          <w:b/>
          <w:sz w:val="32"/>
          <w:szCs w:val="32"/>
        </w:rPr>
      </w:pPr>
    </w:p>
    <w:p w14:paraId="274BFAE4">
      <w:pPr>
        <w:widowControl w:val="0"/>
        <w:spacing w:line="360" w:lineRule="auto"/>
        <w:jc w:val="center"/>
        <w:textAlignment w:val="auto"/>
        <w:rPr>
          <w:rFonts w:hint="eastAsia" w:ascii="宋体" w:hAnsi="宋体" w:cs="宋体"/>
          <w:b/>
          <w:bCs/>
          <w:kern w:val="44"/>
          <w:sz w:val="44"/>
          <w:szCs w:val="44"/>
        </w:rPr>
      </w:pPr>
      <w:r>
        <w:rPr>
          <w:rFonts w:hint="eastAsia" w:ascii="宋体" w:hAnsi="宋体" w:cs="宋体"/>
          <w:b/>
          <w:bCs/>
          <w:kern w:val="44"/>
          <w:sz w:val="44"/>
          <w:szCs w:val="44"/>
          <w:lang w:val="en-US" w:eastAsia="zh-CN"/>
        </w:rPr>
        <w:t>热电装置磨煤机检修</w:t>
      </w:r>
      <w:r>
        <w:rPr>
          <w:rFonts w:hint="eastAsia" w:ascii="宋体" w:hAnsi="宋体" w:cs="宋体"/>
          <w:b/>
          <w:bCs/>
          <w:kern w:val="44"/>
          <w:sz w:val="44"/>
          <w:szCs w:val="44"/>
        </w:rPr>
        <w:t>服务</w:t>
      </w:r>
    </w:p>
    <w:p w14:paraId="6E0DF555">
      <w:pPr>
        <w:widowControl w:val="0"/>
        <w:spacing w:line="360" w:lineRule="auto"/>
        <w:jc w:val="center"/>
        <w:textAlignment w:val="auto"/>
        <w:rPr>
          <w:rFonts w:hint="eastAsia" w:ascii="宋体" w:hAnsi="宋体" w:cs="宋体"/>
          <w:b/>
          <w:bCs/>
          <w:kern w:val="44"/>
          <w:sz w:val="44"/>
          <w:szCs w:val="44"/>
        </w:rPr>
      </w:pPr>
      <w:r>
        <w:rPr>
          <w:rFonts w:hint="eastAsia" w:ascii="宋体" w:hAnsi="宋体" w:cs="宋体"/>
          <w:b/>
          <w:bCs/>
          <w:kern w:val="44"/>
          <w:sz w:val="44"/>
          <w:szCs w:val="44"/>
        </w:rPr>
        <w:t>技术规范书</w:t>
      </w:r>
    </w:p>
    <w:p w14:paraId="23DB77C2">
      <w:pPr>
        <w:spacing w:line="360" w:lineRule="auto"/>
        <w:jc w:val="center"/>
        <w:rPr>
          <w:rFonts w:hint="eastAsia" w:ascii="宋体" w:hAnsi="宋体" w:cs="宋体"/>
          <w:b/>
          <w:sz w:val="36"/>
          <w:szCs w:val="36"/>
        </w:rPr>
      </w:pPr>
    </w:p>
    <w:p w14:paraId="193F0C9B">
      <w:pPr>
        <w:spacing w:line="360" w:lineRule="auto"/>
        <w:rPr>
          <w:rFonts w:hint="eastAsia" w:ascii="宋体" w:hAnsi="宋体" w:cs="宋体"/>
          <w:b/>
          <w:sz w:val="32"/>
          <w:szCs w:val="32"/>
        </w:rPr>
      </w:pPr>
    </w:p>
    <w:p w14:paraId="50B40AEE">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编制：</w:t>
      </w:r>
    </w:p>
    <w:p w14:paraId="0A1D4D37">
      <w:pPr>
        <w:widowControl w:val="0"/>
        <w:spacing w:line="360" w:lineRule="auto"/>
        <w:ind w:firstLine="2530" w:firstLineChars="900"/>
        <w:jc w:val="left"/>
        <w:textAlignment w:val="auto"/>
        <w:rPr>
          <w:rFonts w:hint="eastAsia" w:cs="宋体"/>
          <w:b/>
          <w:bCs/>
          <w:kern w:val="44"/>
          <w:sz w:val="28"/>
          <w:szCs w:val="28"/>
        </w:rPr>
      </w:pPr>
    </w:p>
    <w:p w14:paraId="7018D75B">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会签：</w:t>
      </w:r>
    </w:p>
    <w:p w14:paraId="00D5EA0A">
      <w:pPr>
        <w:widowControl w:val="0"/>
        <w:spacing w:line="360" w:lineRule="auto"/>
        <w:ind w:firstLine="2530" w:firstLineChars="900"/>
        <w:jc w:val="left"/>
        <w:textAlignment w:val="auto"/>
        <w:rPr>
          <w:rFonts w:hint="eastAsia" w:cs="宋体"/>
          <w:b/>
          <w:bCs/>
          <w:kern w:val="44"/>
          <w:sz w:val="28"/>
          <w:szCs w:val="28"/>
        </w:rPr>
      </w:pPr>
    </w:p>
    <w:p w14:paraId="2428E0B9">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审核：</w:t>
      </w:r>
    </w:p>
    <w:p w14:paraId="33C60C9E">
      <w:pPr>
        <w:widowControl w:val="0"/>
        <w:spacing w:line="360" w:lineRule="auto"/>
        <w:ind w:firstLine="2530" w:firstLineChars="900"/>
        <w:jc w:val="left"/>
        <w:textAlignment w:val="auto"/>
        <w:rPr>
          <w:rFonts w:hint="eastAsia" w:cs="宋体"/>
          <w:b/>
          <w:bCs/>
          <w:kern w:val="44"/>
          <w:sz w:val="28"/>
          <w:szCs w:val="28"/>
        </w:rPr>
      </w:pPr>
    </w:p>
    <w:p w14:paraId="455B5E99">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审定：</w:t>
      </w:r>
    </w:p>
    <w:p w14:paraId="73426A6B">
      <w:pPr>
        <w:widowControl w:val="0"/>
        <w:spacing w:line="360" w:lineRule="auto"/>
        <w:ind w:firstLine="2530" w:firstLineChars="900"/>
        <w:jc w:val="left"/>
        <w:textAlignment w:val="auto"/>
        <w:rPr>
          <w:rFonts w:hint="eastAsia" w:cs="宋体"/>
          <w:b/>
          <w:bCs/>
          <w:kern w:val="44"/>
          <w:sz w:val="28"/>
          <w:szCs w:val="28"/>
        </w:rPr>
      </w:pPr>
    </w:p>
    <w:p w14:paraId="3EFD2411">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批准：</w:t>
      </w:r>
    </w:p>
    <w:p w14:paraId="664D58D0">
      <w:pPr>
        <w:spacing w:line="360" w:lineRule="auto"/>
        <w:rPr>
          <w:rFonts w:hint="eastAsia" w:ascii="宋体" w:hAnsi="宋体" w:cs="宋体"/>
          <w:b/>
          <w:sz w:val="32"/>
          <w:szCs w:val="32"/>
        </w:rPr>
      </w:pPr>
    </w:p>
    <w:p w14:paraId="48174716">
      <w:pPr>
        <w:spacing w:line="360" w:lineRule="auto"/>
        <w:jc w:val="center"/>
        <w:rPr>
          <w:rFonts w:hint="eastAsia" w:ascii="宋体" w:hAnsi="宋体" w:cs="宋体"/>
          <w:b/>
          <w:sz w:val="32"/>
          <w:szCs w:val="32"/>
        </w:rPr>
      </w:pPr>
    </w:p>
    <w:p w14:paraId="6AB8C917">
      <w:pPr>
        <w:spacing w:line="360" w:lineRule="auto"/>
        <w:jc w:val="center"/>
        <w:rPr>
          <w:rFonts w:hint="eastAsia" w:ascii="宋体" w:hAnsi="宋体" w:cs="宋体"/>
          <w:b/>
          <w:sz w:val="32"/>
          <w:szCs w:val="32"/>
        </w:rPr>
      </w:pPr>
    </w:p>
    <w:p w14:paraId="645D0A57">
      <w:pPr>
        <w:widowControl w:val="0"/>
        <w:spacing w:line="276" w:lineRule="auto"/>
        <w:jc w:val="center"/>
        <w:textAlignment w:val="auto"/>
        <w:rPr>
          <w:rFonts w:hint="eastAsia" w:ascii="黑体" w:hAnsi="黑体" w:eastAsia="黑体" w:cs="宋体"/>
          <w:b/>
          <w:bCs/>
          <w:kern w:val="44"/>
          <w:sz w:val="28"/>
          <w:szCs w:val="28"/>
        </w:rPr>
      </w:pPr>
    </w:p>
    <w:p w14:paraId="6A8AD550">
      <w:pPr>
        <w:widowControl w:val="0"/>
        <w:spacing w:line="276" w:lineRule="auto"/>
        <w:ind w:firstLine="2530" w:firstLineChars="900"/>
        <w:jc w:val="both"/>
        <w:textAlignment w:val="auto"/>
        <w:rPr>
          <w:rFonts w:hint="eastAsia" w:ascii="黑体" w:hAnsi="黑体" w:eastAsia="黑体" w:cs="宋体"/>
          <w:b/>
          <w:bCs/>
          <w:kern w:val="44"/>
          <w:sz w:val="28"/>
          <w:szCs w:val="28"/>
        </w:rPr>
      </w:pPr>
      <w:r>
        <w:rPr>
          <w:rFonts w:hint="eastAsia" w:ascii="黑体" w:hAnsi="黑体" w:eastAsia="黑体" w:cs="宋体"/>
          <w:b/>
          <w:bCs/>
          <w:kern w:val="44"/>
          <w:sz w:val="28"/>
          <w:szCs w:val="28"/>
        </w:rPr>
        <w:t>伊犁新天煤化工有限责任公司</w:t>
      </w:r>
    </w:p>
    <w:p w14:paraId="54C69A00">
      <w:pPr>
        <w:widowControl w:val="0"/>
        <w:spacing w:line="276" w:lineRule="auto"/>
        <w:jc w:val="center"/>
        <w:textAlignment w:val="auto"/>
        <w:rPr>
          <w:rFonts w:hint="eastAsia" w:ascii="黑体" w:hAnsi="黑体" w:eastAsia="黑体" w:cs="宋体"/>
          <w:b/>
          <w:bCs/>
          <w:kern w:val="44"/>
          <w:sz w:val="28"/>
          <w:szCs w:val="28"/>
        </w:rPr>
      </w:pPr>
      <w:r>
        <w:rPr>
          <w:rFonts w:hint="eastAsia" w:ascii="黑体" w:hAnsi="黑体" w:eastAsia="黑体" w:cs="宋体"/>
          <w:b/>
          <w:bCs/>
          <w:kern w:val="44"/>
          <w:sz w:val="28"/>
          <w:szCs w:val="28"/>
        </w:rPr>
        <w:t>202</w:t>
      </w:r>
      <w:r>
        <w:rPr>
          <w:rFonts w:hint="eastAsia" w:ascii="黑体" w:hAnsi="黑体" w:eastAsia="黑体" w:cs="宋体"/>
          <w:b/>
          <w:bCs/>
          <w:kern w:val="44"/>
          <w:sz w:val="28"/>
          <w:szCs w:val="28"/>
          <w:lang w:val="en-US" w:eastAsia="zh-CN"/>
        </w:rPr>
        <w:t>6</w:t>
      </w:r>
      <w:r>
        <w:rPr>
          <w:rFonts w:hint="eastAsia" w:ascii="黑体" w:hAnsi="黑体" w:eastAsia="黑体" w:cs="宋体"/>
          <w:b/>
          <w:bCs/>
          <w:kern w:val="44"/>
          <w:sz w:val="28"/>
          <w:szCs w:val="28"/>
        </w:rPr>
        <w:t>年</w:t>
      </w:r>
      <w:r>
        <w:rPr>
          <w:rFonts w:hint="eastAsia" w:ascii="黑体" w:hAnsi="黑体" w:eastAsia="黑体" w:cs="宋体"/>
          <w:b/>
          <w:bCs/>
          <w:kern w:val="44"/>
          <w:sz w:val="28"/>
          <w:szCs w:val="28"/>
          <w:lang w:val="en-US" w:eastAsia="zh-CN"/>
        </w:rPr>
        <w:t>3</w:t>
      </w:r>
      <w:r>
        <w:rPr>
          <w:rFonts w:hint="eastAsia" w:ascii="黑体" w:hAnsi="黑体" w:eastAsia="黑体" w:cs="宋体"/>
          <w:b/>
          <w:bCs/>
          <w:kern w:val="44"/>
          <w:sz w:val="28"/>
          <w:szCs w:val="28"/>
        </w:rPr>
        <w:t>月</w:t>
      </w:r>
    </w:p>
    <w:p w14:paraId="58916DCE">
      <w:pPr>
        <w:spacing w:line="360" w:lineRule="auto"/>
        <w:jc w:val="center"/>
        <w:rPr>
          <w:rFonts w:hint="eastAsia" w:ascii="宋体" w:hAnsi="宋体" w:cs="宋体"/>
          <w:b/>
          <w:sz w:val="32"/>
          <w:szCs w:val="32"/>
        </w:rPr>
      </w:pPr>
    </w:p>
    <w:p w14:paraId="5C4833E4">
      <w:pPr>
        <w:spacing w:line="360" w:lineRule="auto"/>
        <w:jc w:val="center"/>
        <w:rPr>
          <w:rFonts w:hint="eastAsia" w:ascii="宋体" w:hAnsi="宋体" w:cs="宋体"/>
          <w:b/>
          <w:sz w:val="32"/>
          <w:szCs w:val="32"/>
        </w:rPr>
      </w:pPr>
    </w:p>
    <w:p w14:paraId="7FB3833C">
      <w:pPr>
        <w:spacing w:line="360" w:lineRule="auto"/>
        <w:jc w:val="center"/>
        <w:rPr>
          <w:rFonts w:hint="eastAsia" w:ascii="宋体" w:hAnsi="宋体" w:cs="宋体"/>
          <w:b/>
          <w:sz w:val="32"/>
          <w:szCs w:val="32"/>
        </w:rPr>
      </w:pPr>
    </w:p>
    <w:p w14:paraId="5BC21487">
      <w:pPr>
        <w:pStyle w:val="22"/>
        <w:tabs>
          <w:tab w:val="right" w:leader="dot" w:pos="9026"/>
          <w:tab w:val="clear" w:pos="8820"/>
        </w:tabs>
      </w:pPr>
      <w:r>
        <w:rPr>
          <w:bCs/>
          <w:sz w:val="24"/>
        </w:rPr>
        <w:fldChar w:fldCharType="begin"/>
      </w:r>
      <w:r>
        <w:rPr>
          <w:bCs/>
          <w:sz w:val="24"/>
        </w:rPr>
        <w:instrText xml:space="preserve">TOC \o "1-1" \h \u </w:instrText>
      </w:r>
      <w:r>
        <w:rPr>
          <w:bCs/>
          <w:sz w:val="24"/>
        </w:rPr>
        <w:fldChar w:fldCharType="separate"/>
      </w:r>
      <w:r>
        <w:rPr>
          <w:bCs/>
        </w:rPr>
        <w:fldChar w:fldCharType="begin"/>
      </w:r>
      <w:r>
        <w:rPr>
          <w:bCs/>
        </w:rPr>
        <w:instrText xml:space="preserve"> HYPERLINK \l _Toc23763 </w:instrText>
      </w:r>
      <w:r>
        <w:rPr>
          <w:bCs/>
        </w:rPr>
        <w:fldChar w:fldCharType="separate"/>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、总则</w:t>
      </w:r>
      <w:r>
        <w:tab/>
      </w:r>
      <w:r>
        <w:rPr>
          <w:rFonts w:hint="eastAsia"/>
          <w:lang w:val="en-US" w:eastAsia="zh-CN"/>
        </w:rPr>
        <w:t>1</w:t>
      </w:r>
      <w:r>
        <w:rPr>
          <w:bCs/>
        </w:rPr>
        <w:fldChar w:fldCharType="end"/>
      </w:r>
    </w:p>
    <w:p w14:paraId="54BCAC12">
      <w:pPr>
        <w:pStyle w:val="22"/>
        <w:tabs>
          <w:tab w:val="right" w:leader="dot" w:pos="9026"/>
          <w:tab w:val="clear" w:pos="8820"/>
        </w:tabs>
      </w:pPr>
      <w:r>
        <w:rPr>
          <w:bCs/>
        </w:rPr>
        <w:fldChar w:fldCharType="begin"/>
      </w:r>
      <w:r>
        <w:rPr>
          <w:bCs/>
        </w:rPr>
        <w:instrText xml:space="preserve"> HYPERLINK \l _Toc17201 </w:instrText>
      </w:r>
      <w:r>
        <w:rPr>
          <w:bCs/>
        </w:rPr>
        <w:fldChar w:fldCharType="separate"/>
      </w:r>
      <w:r>
        <w:rPr>
          <w:rFonts w:hint="eastAsia" w:ascii="宋体" w:hAnsi="宋体" w:eastAsia="宋体" w:cs="宋体"/>
          <w:szCs w:val="24"/>
          <w:highlight w:val="none"/>
        </w:rPr>
        <w:t>2 项目概况</w:t>
      </w:r>
      <w:r>
        <w:tab/>
      </w:r>
      <w:r>
        <w:rPr>
          <w:rFonts w:hint="eastAsia"/>
          <w:lang w:val="en-US" w:eastAsia="zh-CN"/>
        </w:rPr>
        <w:t>1</w:t>
      </w:r>
      <w:r>
        <w:rPr>
          <w:bCs/>
        </w:rPr>
        <w:fldChar w:fldCharType="end"/>
      </w:r>
    </w:p>
    <w:p w14:paraId="623E048A">
      <w:pPr>
        <w:pStyle w:val="22"/>
        <w:tabs>
          <w:tab w:val="right" w:leader="dot" w:pos="9026"/>
          <w:tab w:val="clear" w:pos="8820"/>
        </w:tabs>
      </w:pPr>
      <w:r>
        <w:rPr>
          <w:bCs/>
        </w:rPr>
        <w:fldChar w:fldCharType="begin"/>
      </w:r>
      <w:r>
        <w:rPr>
          <w:bCs/>
        </w:rPr>
        <w:instrText xml:space="preserve"> HYPERLINK \l _Toc28009 </w:instrText>
      </w:r>
      <w:r>
        <w:rPr>
          <w:bCs/>
        </w:rPr>
        <w:fldChar w:fldCharType="separate"/>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本项目执行的标准和规范</w:t>
      </w:r>
      <w:r>
        <w:tab/>
      </w:r>
      <w:r>
        <w:rPr>
          <w:rFonts w:hint="eastAsia"/>
          <w:lang w:val="en-US" w:eastAsia="zh-CN"/>
        </w:rPr>
        <w:t>1</w:t>
      </w:r>
      <w:r>
        <w:rPr>
          <w:bCs/>
        </w:rPr>
        <w:fldChar w:fldCharType="end"/>
      </w:r>
    </w:p>
    <w:p w14:paraId="26B1FD30">
      <w:pPr>
        <w:pStyle w:val="22"/>
        <w:tabs>
          <w:tab w:val="right" w:leader="dot" w:pos="9026"/>
          <w:tab w:val="clear" w:pos="8820"/>
        </w:tabs>
      </w:pPr>
      <w:r>
        <w:rPr>
          <w:bCs/>
        </w:rPr>
        <w:fldChar w:fldCharType="begin"/>
      </w:r>
      <w:r>
        <w:rPr>
          <w:bCs/>
        </w:rPr>
        <w:instrText xml:space="preserve"> HYPERLINK \l _Toc27959 </w:instrText>
      </w:r>
      <w:r>
        <w:rPr>
          <w:bCs/>
        </w:rPr>
        <w:fldChar w:fldCharType="separate"/>
      </w:r>
      <w:r>
        <w:rPr>
          <w:rFonts w:hint="eastAsia" w:ascii="宋体" w:hAnsi="宋体" w:eastAsia="宋体" w:cs="宋体"/>
          <w:szCs w:val="24"/>
          <w:highlight w:val="none"/>
          <w:lang w:val="en-US" w:eastAsia="zh-CN"/>
        </w:rPr>
        <w:t>4 项目</w:t>
      </w:r>
      <w:r>
        <w:rPr>
          <w:rFonts w:hint="eastAsia" w:ascii="宋体" w:hAnsi="宋体" w:eastAsia="宋体" w:cs="宋体"/>
          <w:szCs w:val="24"/>
          <w:highlight w:val="none"/>
        </w:rPr>
        <w:t>范围及</w:t>
      </w:r>
      <w:r>
        <w:rPr>
          <w:rFonts w:hint="eastAsia" w:ascii="宋体" w:hAnsi="宋体" w:eastAsia="宋体" w:cs="宋体"/>
          <w:szCs w:val="24"/>
          <w:highlight w:val="none"/>
          <w:lang w:val="en-US" w:eastAsia="zh-CN"/>
        </w:rPr>
        <w:t>工期</w:t>
      </w:r>
      <w:r>
        <w:tab/>
      </w:r>
      <w:r>
        <w:rPr>
          <w:rFonts w:hint="eastAsia"/>
          <w:lang w:val="en-US" w:eastAsia="zh-CN"/>
        </w:rPr>
        <w:t>2</w:t>
      </w:r>
      <w:r>
        <w:rPr>
          <w:bCs/>
        </w:rPr>
        <w:fldChar w:fldCharType="end"/>
      </w:r>
    </w:p>
    <w:p w14:paraId="39DDDE26">
      <w:pPr>
        <w:pStyle w:val="22"/>
        <w:tabs>
          <w:tab w:val="right" w:leader="dot" w:pos="9026"/>
          <w:tab w:val="clear" w:pos="8820"/>
        </w:tabs>
      </w:pPr>
      <w:r>
        <w:rPr>
          <w:bCs/>
        </w:rPr>
        <w:fldChar w:fldCharType="begin"/>
      </w:r>
      <w:r>
        <w:rPr>
          <w:bCs/>
        </w:rPr>
        <w:instrText xml:space="preserve"> HYPERLINK \l _Toc28439 </w:instrText>
      </w:r>
      <w:r>
        <w:rPr>
          <w:bCs/>
        </w:rPr>
        <w:fldChar w:fldCharType="separate"/>
      </w:r>
      <w:r>
        <w:rPr>
          <w:rFonts w:hint="eastAsia" w:ascii="宋体" w:hAnsi="宋体" w:eastAsia="宋体" w:cs="宋体"/>
          <w:szCs w:val="24"/>
          <w:highlight w:val="none"/>
          <w:lang w:val="en-US" w:eastAsia="zh-CN"/>
        </w:rPr>
        <w:t>5项目内容及</w:t>
      </w:r>
      <w:r>
        <w:rPr>
          <w:rFonts w:hint="eastAsia" w:ascii="宋体" w:hAnsi="宋体" w:eastAsia="宋体" w:cs="宋体"/>
          <w:szCs w:val="24"/>
          <w:highlight w:val="none"/>
        </w:rPr>
        <w:t>要求</w:t>
      </w:r>
      <w:r>
        <w:tab/>
      </w:r>
      <w:r>
        <w:rPr>
          <w:rFonts w:hint="eastAsia"/>
          <w:lang w:val="en-US" w:eastAsia="zh-CN"/>
        </w:rPr>
        <w:t>3</w:t>
      </w:r>
      <w:r>
        <w:rPr>
          <w:bCs/>
        </w:rPr>
        <w:fldChar w:fldCharType="end"/>
      </w:r>
    </w:p>
    <w:p w14:paraId="272D4F2E">
      <w:pPr>
        <w:pStyle w:val="22"/>
        <w:tabs>
          <w:tab w:val="right" w:leader="dot" w:pos="9026"/>
          <w:tab w:val="clear" w:pos="8820"/>
        </w:tabs>
      </w:pPr>
      <w:r>
        <w:rPr>
          <w:bCs/>
        </w:rPr>
        <w:fldChar w:fldCharType="begin"/>
      </w:r>
      <w:r>
        <w:rPr>
          <w:bCs/>
        </w:rPr>
        <w:instrText xml:space="preserve"> HYPERLINK \l _Toc31702 </w:instrText>
      </w:r>
      <w:r>
        <w:rPr>
          <w:bCs/>
        </w:rPr>
        <w:fldChar w:fldCharType="separate"/>
      </w:r>
      <w:r>
        <w:rPr>
          <w:rFonts w:hint="eastAsia" w:ascii="宋体" w:hAnsi="宋体" w:eastAsia="宋体" w:cs="宋体"/>
          <w:szCs w:val="24"/>
          <w:highlight w:val="none"/>
          <w:lang w:val="en-US" w:eastAsia="zh-CN"/>
        </w:rPr>
        <w:t>6 投标方应达到的目标</w:t>
      </w:r>
      <w:r>
        <w:tab/>
      </w:r>
      <w:r>
        <w:rPr>
          <w:rFonts w:hint="eastAsia"/>
          <w:lang w:val="en-US" w:eastAsia="zh-CN"/>
        </w:rPr>
        <w:t>9</w:t>
      </w:r>
      <w:r>
        <w:rPr>
          <w:bCs/>
        </w:rPr>
        <w:fldChar w:fldCharType="end"/>
      </w:r>
    </w:p>
    <w:p w14:paraId="3765C475">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_Toc14819 </w:instrText>
      </w:r>
      <w:r>
        <w:rPr>
          <w:bCs/>
        </w:rPr>
        <w:fldChar w:fldCharType="separate"/>
      </w:r>
      <w:r>
        <w:rPr>
          <w:rFonts w:hint="eastAsia" w:ascii="宋体" w:hAnsi="宋体" w:eastAsia="宋体" w:cs="宋体"/>
          <w:szCs w:val="24"/>
          <w:highlight w:val="none"/>
          <w:lang w:val="en-US" w:eastAsia="zh-CN"/>
        </w:rPr>
        <w:t>7</w:t>
      </w:r>
      <w:r>
        <w:rPr>
          <w:rFonts w:hint="eastAsia" w:ascii="宋体" w:hAnsi="宋体" w:eastAsia="宋体" w:cs="宋体"/>
          <w:szCs w:val="24"/>
          <w:highlight w:val="none"/>
        </w:rPr>
        <w:t>资质</w:t>
      </w:r>
      <w:r>
        <w:rPr>
          <w:rFonts w:hint="eastAsia" w:ascii="宋体" w:hAnsi="宋体" w:eastAsia="宋体" w:cs="宋体"/>
          <w:szCs w:val="24"/>
          <w:highlight w:val="none"/>
          <w:lang w:val="en-US" w:eastAsia="zh-CN"/>
        </w:rPr>
        <w:t>条件</w:t>
      </w:r>
      <w:r>
        <w:rPr>
          <w:rFonts w:hint="eastAsia" w:ascii="宋体" w:hAnsi="宋体" w:eastAsia="宋体" w:cs="宋体"/>
          <w:szCs w:val="24"/>
          <w:highlight w:val="none"/>
        </w:rPr>
        <w:t>及人员要求</w:t>
      </w:r>
      <w:r>
        <w:tab/>
      </w:r>
      <w:r>
        <w:rPr>
          <w:rFonts w:hint="eastAsia"/>
          <w:lang w:val="en-US" w:eastAsia="zh-CN"/>
        </w:rPr>
        <w:t>1</w:t>
      </w:r>
      <w:r>
        <w:rPr>
          <w:bCs/>
        </w:rPr>
        <w:fldChar w:fldCharType="end"/>
      </w:r>
      <w:r>
        <w:rPr>
          <w:rFonts w:hint="eastAsia"/>
          <w:bCs/>
          <w:lang w:val="en-US" w:eastAsia="zh-CN"/>
        </w:rPr>
        <w:t>0</w:t>
      </w:r>
    </w:p>
    <w:p w14:paraId="32B372BB">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_Toc16240 </w:instrText>
      </w:r>
      <w:r>
        <w:rPr>
          <w:bCs/>
        </w:rPr>
        <w:fldChar w:fldCharType="separate"/>
      </w:r>
      <w:r>
        <w:rPr>
          <w:rFonts w:hint="eastAsia" w:ascii="宋体" w:hAnsi="宋体" w:eastAsia="宋体" w:cs="宋体"/>
          <w:szCs w:val="24"/>
          <w:highlight w:val="none"/>
          <w:lang w:val="en-US" w:eastAsia="zh-CN"/>
        </w:rPr>
        <w:t>8安全要求</w:t>
      </w:r>
      <w:r>
        <w:tab/>
      </w:r>
      <w:r>
        <w:rPr>
          <w:rFonts w:hint="eastAsia"/>
          <w:lang w:val="en-US" w:eastAsia="zh-CN"/>
        </w:rPr>
        <w:t>1</w:t>
      </w:r>
      <w:r>
        <w:rPr>
          <w:bCs/>
        </w:rPr>
        <w:fldChar w:fldCharType="end"/>
      </w:r>
      <w:r>
        <w:rPr>
          <w:rFonts w:hint="eastAsia"/>
          <w:bCs/>
          <w:lang w:val="en-US" w:eastAsia="zh-CN"/>
        </w:rPr>
        <w:t>2</w:t>
      </w:r>
    </w:p>
    <w:p w14:paraId="600097B8">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_Toc224 </w:instrText>
      </w:r>
      <w:r>
        <w:rPr>
          <w:bCs/>
        </w:rPr>
        <w:fldChar w:fldCharType="separate"/>
      </w:r>
      <w:r>
        <w:rPr>
          <w:rFonts w:hint="eastAsia" w:ascii="宋体" w:hAnsi="宋体" w:eastAsia="宋体" w:cs="宋体"/>
          <w:szCs w:val="24"/>
          <w:highlight w:val="none"/>
          <w:lang w:val="en-US" w:eastAsia="zh-CN"/>
        </w:rPr>
        <w:t>9双方职责</w:t>
      </w:r>
      <w:r>
        <w:tab/>
      </w:r>
      <w:r>
        <w:rPr>
          <w:rFonts w:hint="eastAsia"/>
          <w:lang w:val="en-US" w:eastAsia="zh-CN"/>
        </w:rPr>
        <w:t>1</w:t>
      </w:r>
      <w:r>
        <w:rPr>
          <w:bCs/>
        </w:rPr>
        <w:fldChar w:fldCharType="end"/>
      </w:r>
      <w:r>
        <w:rPr>
          <w:rFonts w:hint="eastAsia"/>
          <w:bCs/>
          <w:lang w:val="en-US" w:eastAsia="zh-CN"/>
        </w:rPr>
        <w:t>4</w:t>
      </w:r>
    </w:p>
    <w:p w14:paraId="4516ADEF">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_Toc21176 </w:instrText>
      </w:r>
      <w:r>
        <w:rPr>
          <w:bCs/>
        </w:rPr>
        <w:fldChar w:fldCharType="separate"/>
      </w:r>
      <w:r>
        <w:rPr>
          <w:rFonts w:hint="eastAsia" w:ascii="宋体" w:hAnsi="宋体" w:eastAsia="宋体" w:cs="宋体"/>
          <w:szCs w:val="24"/>
          <w:highlight w:val="none"/>
          <w:lang w:val="en-US" w:eastAsia="zh-CN"/>
        </w:rPr>
        <w:t>10</w:t>
      </w:r>
      <w:r>
        <w:rPr>
          <w:rFonts w:hint="eastAsia" w:hAnsi="宋体" w:cs="宋体"/>
          <w:szCs w:val="24"/>
          <w:highlight w:val="none"/>
        </w:rPr>
        <w:t>安健环及文明施工、危险源（环境因素）控制要求</w:t>
      </w:r>
      <w:r>
        <w:tab/>
      </w:r>
      <w:r>
        <w:rPr>
          <w:rFonts w:hint="eastAsia"/>
          <w:lang w:val="en-US" w:eastAsia="zh-CN"/>
        </w:rPr>
        <w:t>1</w:t>
      </w:r>
      <w:r>
        <w:rPr>
          <w:bCs/>
        </w:rPr>
        <w:fldChar w:fldCharType="end"/>
      </w:r>
      <w:r>
        <w:rPr>
          <w:rFonts w:hint="eastAsia"/>
          <w:bCs/>
          <w:lang w:val="en-US" w:eastAsia="zh-CN"/>
        </w:rPr>
        <w:t>6</w:t>
      </w:r>
    </w:p>
    <w:p w14:paraId="16A7A364">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_Toc13675 </w:instrText>
      </w:r>
      <w:r>
        <w:rPr>
          <w:bCs/>
        </w:rPr>
        <w:fldChar w:fldCharType="separate"/>
      </w:r>
      <w:r>
        <w:rPr>
          <w:rFonts w:hint="eastAsia" w:ascii="宋体" w:hAnsi="宋体" w:eastAsia="宋体" w:cs="宋体"/>
          <w:szCs w:val="24"/>
          <w:highlight w:val="none"/>
          <w:lang w:val="en-US" w:eastAsia="zh-CN"/>
        </w:rPr>
        <w:t>11考核</w:t>
      </w:r>
      <w:r>
        <w:tab/>
      </w:r>
      <w:r>
        <w:rPr>
          <w:rFonts w:hint="eastAsia"/>
          <w:lang w:val="en-US" w:eastAsia="zh-CN"/>
        </w:rPr>
        <w:t>1</w:t>
      </w:r>
      <w:r>
        <w:rPr>
          <w:bCs/>
        </w:rPr>
        <w:fldChar w:fldCharType="end"/>
      </w:r>
      <w:r>
        <w:rPr>
          <w:rFonts w:hint="eastAsia"/>
          <w:bCs/>
          <w:lang w:val="en-US" w:eastAsia="zh-CN"/>
        </w:rPr>
        <w:t>8</w:t>
      </w:r>
    </w:p>
    <w:p w14:paraId="57DA1B57">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_Toc14993 </w:instrText>
      </w:r>
      <w:r>
        <w:rPr>
          <w:bCs/>
        </w:rPr>
        <w:fldChar w:fldCharType="separate"/>
      </w:r>
      <w:r>
        <w:rPr>
          <w:rFonts w:hint="eastAsia" w:ascii="宋体" w:hAnsi="宋体" w:eastAsia="宋体" w:cs="宋体"/>
          <w:szCs w:val="24"/>
          <w:highlight w:val="none"/>
          <w:lang w:val="en-US" w:eastAsia="zh-CN"/>
        </w:rPr>
        <w:t>12 附则</w:t>
      </w:r>
      <w:r>
        <w:tab/>
      </w:r>
      <w:r>
        <w:rPr>
          <w:rFonts w:hint="eastAsia"/>
          <w:lang w:val="en-US" w:eastAsia="zh-CN"/>
        </w:rPr>
        <w:t>2</w:t>
      </w:r>
      <w:r>
        <w:rPr>
          <w:bCs/>
        </w:rPr>
        <w:fldChar w:fldCharType="end"/>
      </w:r>
      <w:r>
        <w:rPr>
          <w:rFonts w:hint="eastAsia"/>
          <w:bCs/>
          <w:lang w:val="en-US" w:eastAsia="zh-CN"/>
        </w:rPr>
        <w:t>0</w:t>
      </w:r>
    </w:p>
    <w:p w14:paraId="08DA595F">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_Toc26468 </w:instrText>
      </w:r>
      <w:r>
        <w:rPr>
          <w:bCs/>
        </w:rPr>
        <w:fldChar w:fldCharType="separate"/>
      </w:r>
      <w:r>
        <w:rPr>
          <w:rFonts w:hint="eastAsia" w:ascii="宋体" w:hAnsi="宋体" w:eastAsia="宋体" w:cs="宋体"/>
          <w:szCs w:val="24"/>
          <w:highlight w:val="none"/>
          <w:lang w:val="en-US" w:eastAsia="zh-CN"/>
        </w:rPr>
        <w:t>13附录附表</w:t>
      </w:r>
      <w:r>
        <w:tab/>
      </w:r>
      <w:r>
        <w:rPr>
          <w:rFonts w:hint="eastAsia"/>
          <w:lang w:val="en-US" w:eastAsia="zh-CN"/>
        </w:rPr>
        <w:t>2</w:t>
      </w:r>
      <w:r>
        <w:rPr>
          <w:bCs/>
        </w:rPr>
        <w:fldChar w:fldCharType="end"/>
      </w:r>
      <w:r>
        <w:rPr>
          <w:rFonts w:hint="eastAsia"/>
          <w:bCs/>
          <w:lang w:val="en-US" w:eastAsia="zh-CN"/>
        </w:rPr>
        <w:t>0</w:t>
      </w:r>
    </w:p>
    <w:p w14:paraId="6BCA8628">
      <w:pPr>
        <w:spacing w:line="360" w:lineRule="auto"/>
        <w:rPr>
          <w:highlight w:val="yellow"/>
        </w:rPr>
        <w:sectPr>
          <w:footerReference r:id="rId4" w:type="first"/>
          <w:footerReference r:id="rId3" w:type="default"/>
          <w:pgSz w:w="11906" w:h="16838"/>
          <w:pgMar w:top="1440" w:right="1440" w:bottom="1440" w:left="1440" w:header="851" w:footer="992" w:gutter="0"/>
          <w:pgNumType w:start="1"/>
          <w:cols w:space="720" w:num="1"/>
          <w:docGrid w:linePitch="312" w:charSpace="0"/>
        </w:sectPr>
      </w:pPr>
      <w:r>
        <w:rPr>
          <w:bCs/>
        </w:rPr>
        <w:fldChar w:fldCharType="end"/>
      </w:r>
    </w:p>
    <w:p w14:paraId="164BC156">
      <w:pPr>
        <w:pStyle w:val="3"/>
        <w:rPr>
          <w:rFonts w:hint="eastAsia" w:ascii="宋体" w:hAnsi="宋体" w:eastAsia="宋体" w:cs="宋体"/>
          <w:sz w:val="24"/>
          <w:szCs w:val="24"/>
          <w:highlight w:val="none"/>
        </w:rPr>
      </w:pPr>
      <w:bookmarkStart w:id="0" w:name="_Toc23763"/>
      <w:bookmarkStart w:id="1" w:name="_Toc26517"/>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、总则</w:t>
      </w:r>
      <w:bookmarkEnd w:id="0"/>
      <w:bookmarkEnd w:id="1"/>
      <w:r>
        <w:rPr>
          <w:rFonts w:hint="eastAsia" w:ascii="宋体" w:hAnsi="宋体" w:eastAsia="宋体" w:cs="宋体"/>
          <w:sz w:val="24"/>
          <w:szCs w:val="24"/>
          <w:highlight w:val="none"/>
        </w:rPr>
        <w:t xml:space="preserve"> </w:t>
      </w:r>
    </w:p>
    <w:p w14:paraId="1C6C92EB">
      <w:pPr>
        <w:spacing w:line="360" w:lineRule="auto"/>
        <w:rPr>
          <w:rFonts w:hint="eastAsia" w:ascii="宋体" w:hAnsi="宋体" w:eastAsia="宋体" w:cs="宋体"/>
          <w:sz w:val="24"/>
          <w:szCs w:val="24"/>
          <w:highlight w:val="none"/>
        </w:rPr>
      </w:pPr>
      <w:bookmarkStart w:id="2" w:name="_Toc29373226"/>
      <w:bookmarkStart w:id="3" w:name="_Toc29556519"/>
      <w:bookmarkStart w:id="4" w:name="_Toc31666_WPSOffice_Level1"/>
      <w:bookmarkStart w:id="5" w:name="_Toc14163"/>
      <w:bookmarkStart w:id="6" w:name="_Toc29556560"/>
      <w:bookmarkStart w:id="7" w:name="_Toc29373319"/>
      <w:bookmarkStart w:id="8" w:name="_Toc26775"/>
      <w:bookmarkStart w:id="9" w:name="_Toc15938"/>
      <w:bookmarkStart w:id="10" w:name="_Toc29373551"/>
      <w:r>
        <w:rPr>
          <w:rFonts w:hint="eastAsia" w:ascii="宋体" w:hAnsi="宋体" w:eastAsia="宋体" w:cs="宋体"/>
          <w:sz w:val="24"/>
          <w:szCs w:val="24"/>
          <w:highlight w:val="none"/>
        </w:rPr>
        <w:t>1.1</w:t>
      </w:r>
      <w:r>
        <w:rPr>
          <w:rFonts w:hint="eastAsia" w:ascii="宋体" w:hAnsi="宋体" w:eastAsia="宋体" w:cs="宋体"/>
          <w:bCs/>
          <w:sz w:val="24"/>
          <w:szCs w:val="24"/>
          <w:highlight w:val="none"/>
        </w:rPr>
        <w:t>本技术规范书适用于浙能伊犁新天煤化工有限责任公司</w:t>
      </w:r>
      <w:r>
        <w:rPr>
          <w:rFonts w:hint="eastAsia" w:ascii="宋体" w:hAnsi="宋体" w:cs="宋体"/>
          <w:bCs/>
          <w:sz w:val="24"/>
          <w:szCs w:val="24"/>
          <w:highlight w:val="none"/>
          <w:lang w:val="en-US" w:eastAsia="zh-CN"/>
        </w:rPr>
        <w:t>热电装置磨煤机检修</w:t>
      </w:r>
      <w:r>
        <w:rPr>
          <w:rFonts w:hint="eastAsia" w:ascii="宋体" w:hAnsi="宋体" w:eastAsia="宋体" w:cs="宋体"/>
          <w:bCs/>
          <w:sz w:val="24"/>
          <w:szCs w:val="24"/>
          <w:highlight w:val="none"/>
        </w:rPr>
        <w:t>服务招标工作。</w:t>
      </w:r>
    </w:p>
    <w:p w14:paraId="62B3EF6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本技术规范书提出的是最低限度的技术要求，并未对一切技术细节作出规定，也未充分引述有关标准和规范。投标方必须保证提供符合本技术规范书和相关国家标准要求的优质服务。对国家有关安全、环保等强制性标准，必须满足要求。</w:t>
      </w:r>
    </w:p>
    <w:p w14:paraId="215DFA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1.3如未对本技术规范书提出偏差，将认为投标方提供的服务符合规范和标准的要求。</w:t>
      </w:r>
    </w:p>
    <w:p w14:paraId="777844F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1.4招标方不接受任何带有试验性质的服务工作。</w:t>
      </w:r>
    </w:p>
    <w:p w14:paraId="165AA86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1.5投标方在整个</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项目中所使用规范和标准必须遵循现行最新版本的国家标准。投标方应提供所使用的规范和标准。本技术规范书所使用的规范标准如遇与投标方所执行的规范标准发生矛盾时，应按较高标准执行。</w:t>
      </w:r>
    </w:p>
    <w:p w14:paraId="373D6E9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1.6在签订合同之后，招标方有权提出因规范标准和规程发生变化而产生的一些补充要求，具体项目由招标方和投标方共同商定。</w:t>
      </w:r>
    </w:p>
    <w:p w14:paraId="4949FC6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 提供的</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服务应是成熟可靠、技术先进，类似行业有</w:t>
      </w:r>
      <w:r>
        <w:rPr>
          <w:rFonts w:hint="eastAsia" w:ascii="宋体" w:hAnsi="宋体" w:eastAsia="宋体" w:cs="宋体"/>
          <w:sz w:val="24"/>
          <w:szCs w:val="24"/>
          <w:highlight w:val="none"/>
          <w:lang w:val="en-US" w:eastAsia="zh-CN"/>
        </w:rPr>
        <w:t>高温烟气管道施工</w:t>
      </w:r>
      <w:r>
        <w:rPr>
          <w:rFonts w:hint="eastAsia" w:ascii="宋体" w:hAnsi="宋体" w:eastAsia="宋体" w:cs="宋体"/>
          <w:sz w:val="24"/>
          <w:szCs w:val="24"/>
          <w:highlight w:val="none"/>
        </w:rPr>
        <w:t>相关业绩。</w:t>
      </w:r>
    </w:p>
    <w:p w14:paraId="5E737C5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1.8本技术规范书将作为合同的附件，与合同正文具有同等效力。</w:t>
      </w:r>
    </w:p>
    <w:p w14:paraId="43504BA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1.9未尽事宜，双方友好协商解决。</w:t>
      </w:r>
    </w:p>
    <w:p w14:paraId="787A4ED4">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11" w:name="_Toc141011852"/>
      <w:bookmarkStart w:id="12" w:name="_Toc17201"/>
      <w:r>
        <w:rPr>
          <w:rFonts w:hint="eastAsia" w:ascii="宋体" w:hAnsi="宋体" w:eastAsia="宋体" w:cs="宋体"/>
          <w:sz w:val="24"/>
          <w:szCs w:val="24"/>
          <w:highlight w:val="none"/>
        </w:rPr>
        <w:t>2 项目概况</w:t>
      </w:r>
      <w:bookmarkEnd w:id="11"/>
      <w:bookmarkEnd w:id="12"/>
    </w:p>
    <w:p w14:paraId="086AF8C3">
      <w:pPr>
        <w:spacing w:line="360" w:lineRule="auto"/>
        <w:ind w:firstLine="480" w:firstLineChars="200"/>
        <w:rPr>
          <w:rFonts w:ascii="宋体" w:hAnsi="宋体"/>
          <w:color w:val="000000" w:themeColor="text1"/>
          <w:sz w:val="24"/>
          <w14:textFill>
            <w14:solidFill>
              <w14:schemeClr w14:val="tx1"/>
            </w14:solidFill>
          </w14:textFill>
        </w:rPr>
      </w:pPr>
      <w:bookmarkStart w:id="13" w:name="_Toc28009"/>
      <w:r>
        <w:rPr>
          <w:rFonts w:hint="eastAsia" w:ascii="宋体" w:hAnsi="宋体" w:cs="Arial"/>
          <w:kern w:val="0"/>
          <w:sz w:val="24"/>
        </w:rPr>
        <w:t>伊犁新天煤化工有限责任公司热电车间采用</w:t>
      </w:r>
      <w:r>
        <w:rPr>
          <w:rFonts w:hint="eastAsia" w:ascii="宋体" w:hAnsi="宋体"/>
          <w:sz w:val="24"/>
          <w:lang w:val="en-US" w:eastAsia="zh-CN"/>
        </w:rPr>
        <w:t>5</w:t>
      </w:r>
      <w:r>
        <w:rPr>
          <w:rFonts w:hint="eastAsia" w:ascii="宋体" w:hAnsi="宋体"/>
          <w:sz w:val="24"/>
        </w:rPr>
        <w:t>×480t/h国产、9.81MPa（g）、540℃、无中间再热煤粉</w:t>
      </w:r>
      <w:r>
        <w:rPr>
          <w:rFonts w:ascii="宋体" w:hAnsi="宋体"/>
          <w:sz w:val="24"/>
        </w:rPr>
        <w:t>锅炉</w:t>
      </w:r>
      <w:r>
        <w:rPr>
          <w:rFonts w:hint="eastAsia" w:ascii="宋体" w:hAnsi="宋体"/>
          <w:sz w:val="24"/>
        </w:rPr>
        <w:t>，</w:t>
      </w:r>
      <w:r>
        <w:rPr>
          <w:rFonts w:hint="eastAsia" w:hAnsi="宋体"/>
          <w:snapToGrid w:val="0"/>
          <w:kern w:val="0"/>
          <w:sz w:val="24"/>
        </w:rPr>
        <w:t>锅炉为高温、高压、自然循环、四角切圆燃烧，平衡通风，固态排渣，紧身封闭，全钢构架（主、副双钢架），悬吊结构，封闭布置，采用钢带式除渣机固态排渣，回转式空预器加一次风管式空气预热器，“∏”型布置汽包煤粉锅炉。</w:t>
      </w:r>
      <w:r>
        <w:rPr>
          <w:rFonts w:hint="eastAsia" w:ascii="宋体" w:hAnsi="宋体"/>
          <w:color w:val="000000" w:themeColor="text1"/>
          <w:sz w:val="24"/>
          <w14:textFill>
            <w14:solidFill>
              <w14:schemeClr w14:val="tx1"/>
            </w14:solidFill>
          </w14:textFill>
        </w:rPr>
        <w:t>自投产至今，总体运行情况良好，制粉系统主要设备磨煤机在运行中</w:t>
      </w:r>
      <w:r>
        <w:rPr>
          <w:rFonts w:hint="eastAsia" w:ascii="宋体" w:hAnsi="宋体"/>
          <w:color w:val="000000" w:themeColor="text1"/>
          <w:sz w:val="24"/>
          <w:lang w:val="en-US" w:eastAsia="zh-CN"/>
          <w14:textFill>
            <w14:solidFill>
              <w14:schemeClr w14:val="tx1"/>
            </w14:solidFill>
          </w14:textFill>
        </w:rPr>
        <w:t>根据实际情况</w:t>
      </w:r>
      <w:r>
        <w:rPr>
          <w:rFonts w:hint="eastAsia" w:ascii="宋体" w:hAnsi="宋体"/>
          <w:color w:val="000000" w:themeColor="text1"/>
          <w:sz w:val="24"/>
          <w14:textFill>
            <w14:solidFill>
              <w14:schemeClr w14:val="tx1"/>
            </w14:solidFill>
          </w14:textFill>
        </w:rPr>
        <w:t>，需进行全面解体检修，对一些易损件进行检查更换，否则将影响机组的安全稳定长周期运行。</w:t>
      </w:r>
    </w:p>
    <w:p w14:paraId="2415664F">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本项目执行的标准和规范</w:t>
      </w:r>
      <w:bookmarkEnd w:id="13"/>
    </w:p>
    <w:p w14:paraId="75244120">
      <w:pPr>
        <w:adjustRightInd w:val="0"/>
        <w:snapToGrid w:val="0"/>
        <w:spacing w:line="360" w:lineRule="auto"/>
        <w:ind w:firstLine="480" w:firstLineChars="200"/>
        <w:jc w:val="left"/>
        <w:rPr>
          <w:rFonts w:ascii="宋体" w:hAnsi="宋体"/>
          <w:sz w:val="24"/>
        </w:rPr>
      </w:pPr>
      <w:r>
        <w:rPr>
          <w:rFonts w:hint="eastAsia" w:ascii="宋体" w:hAnsi="宋体" w:eastAsia="宋体" w:cs="宋体"/>
          <w:sz w:val="24"/>
          <w:szCs w:val="24"/>
          <w:highlight w:val="none"/>
          <w:lang w:val="en-US" w:eastAsia="zh-CN"/>
        </w:rPr>
        <w:t>本项目执行的标准规范包括但不限于下述内容，如果采用其它标准，其要求不得低于下述标准。以下标准和规范均应采用最新版本，如下述标准和规范之间，或它们与本技术规范书之间有重大原则性冲突时，</w:t>
      </w:r>
      <w:r>
        <w:rPr>
          <w:rFonts w:hint="eastAsia" w:ascii="宋体" w:hAnsi="宋体" w:cs="宋体"/>
          <w:sz w:val="24"/>
          <w:szCs w:val="24"/>
          <w:highlight w:val="none"/>
          <w:lang w:val="en-US" w:eastAsia="zh-CN"/>
        </w:rPr>
        <w:t>投标方</w:t>
      </w:r>
      <w:r>
        <w:rPr>
          <w:rFonts w:hint="eastAsia" w:ascii="宋体" w:hAnsi="宋体" w:eastAsia="宋体" w:cs="宋体"/>
          <w:sz w:val="24"/>
          <w:szCs w:val="24"/>
          <w:highlight w:val="none"/>
          <w:lang w:val="en-US" w:eastAsia="zh-CN"/>
        </w:rPr>
        <w:t>应及时用书面形式向招标方提出解决方法的建议，并由双方共同协商处理。从合同签订之日起至投标方开始施工之前的这段时间内，如果因规范、标准发生修改或变化，招标方有权提出补充要求，投标方应满足并遵守这些要求。</w:t>
      </w:r>
      <w:r>
        <w:rPr>
          <w:rFonts w:hint="eastAsia" w:ascii="宋体" w:hAnsi="宋体" w:eastAsia="宋体" w:cs="宋体"/>
          <w:sz w:val="24"/>
          <w:szCs w:val="24"/>
          <w:highlight w:val="none"/>
          <w:lang w:val="en-US" w:eastAsia="zh-CN"/>
        </w:rPr>
        <w:br w:type="textWrapping"/>
      </w:r>
      <w:r>
        <w:rPr>
          <w:rFonts w:hint="eastAsia" w:ascii="宋体" w:hAnsi="宋体" w:cs="宋体"/>
          <w:kern w:val="0"/>
          <w:sz w:val="24"/>
        </w:rPr>
        <w:t>（1）</w:t>
      </w:r>
      <w:r>
        <w:rPr>
          <w:rFonts w:hint="eastAsia" w:ascii="宋体" w:hAnsi="宋体"/>
          <w:sz w:val="24"/>
        </w:rPr>
        <w:t>国家能源局《电力建设施工质量验收及评价规程》</w:t>
      </w:r>
    </w:p>
    <w:p w14:paraId="150DC26B">
      <w:pPr>
        <w:adjustRightInd w:val="0"/>
        <w:snapToGrid w:val="0"/>
        <w:spacing w:line="360" w:lineRule="auto"/>
        <w:jc w:val="left"/>
        <w:rPr>
          <w:rFonts w:ascii="宋体" w:hAnsi="宋体"/>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hint="eastAsia" w:ascii="宋体" w:hAnsi="宋体"/>
          <w:sz w:val="24"/>
          <w:lang w:eastAsia="zh-CN"/>
        </w:rPr>
        <w:t>招标方</w:t>
      </w:r>
      <w:r>
        <w:rPr>
          <w:rFonts w:hint="eastAsia" w:ascii="宋体" w:hAnsi="宋体"/>
          <w:sz w:val="24"/>
        </w:rPr>
        <w:t>在质量管理上严格按</w:t>
      </w:r>
      <w:r>
        <w:rPr>
          <w:rFonts w:ascii="宋体" w:hAnsi="宋体"/>
          <w:sz w:val="24"/>
        </w:rPr>
        <w:t>ISO-9002</w:t>
      </w:r>
      <w:r>
        <w:rPr>
          <w:rFonts w:hint="eastAsia" w:ascii="宋体" w:hAnsi="宋体"/>
          <w:sz w:val="24"/>
        </w:rPr>
        <w:t>标准执行</w:t>
      </w:r>
      <w:r>
        <w:rPr>
          <w:rFonts w:hint="eastAsia" w:ascii="宋体" w:hAnsi="宋体"/>
          <w:sz w:val="24"/>
          <w:lang w:eastAsia="zh-CN"/>
        </w:rPr>
        <w:t>招标方</w:t>
      </w:r>
      <w:r>
        <w:rPr>
          <w:rFonts w:hint="eastAsia" w:ascii="宋体" w:hAnsi="宋体"/>
          <w:sz w:val="24"/>
        </w:rPr>
        <w:t>的质量手册及程序文件，</w:t>
      </w:r>
      <w:r>
        <w:rPr>
          <w:rFonts w:hint="eastAsia" w:ascii="宋体" w:hAnsi="宋体"/>
          <w:sz w:val="24"/>
          <w:lang w:eastAsia="zh-CN"/>
        </w:rPr>
        <w:t>投标方</w:t>
      </w:r>
      <w:r>
        <w:rPr>
          <w:rFonts w:hint="eastAsia" w:ascii="宋体" w:hAnsi="宋体"/>
          <w:sz w:val="24"/>
        </w:rPr>
        <w:t>必须向</w:t>
      </w:r>
      <w:r>
        <w:rPr>
          <w:rFonts w:hint="eastAsia" w:ascii="宋体" w:hAnsi="宋体"/>
          <w:sz w:val="24"/>
          <w:lang w:eastAsia="zh-CN"/>
        </w:rPr>
        <w:t>招标方</w:t>
      </w:r>
      <w:r>
        <w:rPr>
          <w:rFonts w:hint="eastAsia" w:ascii="宋体" w:hAnsi="宋体"/>
          <w:sz w:val="24"/>
        </w:rPr>
        <w:t>提供质量方针、质量目标及质量手册。</w:t>
      </w:r>
    </w:p>
    <w:p w14:paraId="781FA17B">
      <w:pPr>
        <w:pStyle w:val="17"/>
        <w:adjustRightInd w:val="0"/>
        <w:snapToGrid w:val="0"/>
        <w:spacing w:line="360" w:lineRule="auto"/>
        <w:ind w:left="0" w:leftChars="0"/>
        <w:jc w:val="left"/>
        <w:rPr>
          <w:rFonts w:ascii="宋体" w:hAnsi="宋体"/>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w:t>
      </w:r>
      <w:r>
        <w:rPr>
          <w:rFonts w:hint="eastAsia" w:ascii="宋体" w:hAnsi="宋体"/>
          <w:sz w:val="24"/>
        </w:rPr>
        <w:t>本项目执行下列有关规程、规范和规定，但不限于以下规程、规范（若有新的标准则执行新标准，替代原有标准及其它相关标准）。</w:t>
      </w:r>
    </w:p>
    <w:p w14:paraId="7C9067B6">
      <w:pPr>
        <w:pStyle w:val="17"/>
        <w:adjustRightInd w:val="0"/>
        <w:snapToGrid w:val="0"/>
        <w:spacing w:line="360" w:lineRule="auto"/>
        <w:ind w:left="0" w:leftChars="0" w:firstLine="240" w:firstLineChars="100"/>
        <w:jc w:val="left"/>
        <w:rPr>
          <w:rFonts w:ascii="宋体" w:hAnsi="宋体"/>
          <w:sz w:val="24"/>
        </w:rPr>
      </w:pPr>
      <w:r>
        <w:rPr>
          <w:rFonts w:hint="eastAsia" w:ascii="宋体" w:hAnsi="宋体"/>
          <w:sz w:val="24"/>
        </w:rPr>
        <w:t>1） 相关的法律法规及行业标准。</w:t>
      </w:r>
    </w:p>
    <w:p w14:paraId="64453B05">
      <w:pPr>
        <w:pStyle w:val="17"/>
        <w:adjustRightInd w:val="0"/>
        <w:snapToGrid w:val="0"/>
        <w:spacing w:line="360" w:lineRule="auto"/>
        <w:ind w:left="0" w:leftChars="0" w:firstLine="240" w:firstLineChars="100"/>
        <w:jc w:val="left"/>
        <w:rPr>
          <w:rFonts w:ascii="宋体" w:hAnsi="宋体"/>
          <w:sz w:val="24"/>
        </w:rPr>
      </w:pPr>
      <w:r>
        <w:rPr>
          <w:rFonts w:hint="eastAsia" w:ascii="宋体" w:hAnsi="宋体"/>
          <w:sz w:val="24"/>
        </w:rPr>
        <w:t>2） 制造厂的技术要求和标准（包括设备说明书及设计图纸）。</w:t>
      </w:r>
    </w:p>
    <w:p w14:paraId="696B9E39">
      <w:pPr>
        <w:pStyle w:val="17"/>
        <w:adjustRightInd w:val="0"/>
        <w:snapToGrid w:val="0"/>
        <w:spacing w:line="360" w:lineRule="auto"/>
        <w:ind w:left="0" w:leftChars="0" w:firstLine="240" w:firstLineChars="100"/>
        <w:jc w:val="left"/>
        <w:rPr>
          <w:rFonts w:ascii="宋体" w:hAnsi="宋体"/>
          <w:sz w:val="24"/>
        </w:rPr>
      </w:pPr>
      <w:r>
        <w:rPr>
          <w:rFonts w:hint="eastAsia" w:ascii="宋体" w:hAnsi="宋体"/>
          <w:sz w:val="24"/>
        </w:rPr>
        <w:t>3） 双方协商和特殊标准。</w:t>
      </w:r>
    </w:p>
    <w:p w14:paraId="78865B19">
      <w:pPr>
        <w:adjustRightInd w:val="0"/>
        <w:snapToGrid w:val="0"/>
        <w:spacing w:line="360" w:lineRule="auto"/>
        <w:ind w:firstLine="240" w:firstLineChars="100"/>
        <w:jc w:val="left"/>
        <w:rPr>
          <w:rFonts w:ascii="宋体" w:hAnsi="宋体"/>
          <w:sz w:val="24"/>
        </w:rPr>
      </w:pPr>
      <w:r>
        <w:rPr>
          <w:rFonts w:hint="eastAsia" w:ascii="宋体" w:hAnsi="宋体"/>
          <w:sz w:val="24"/>
        </w:rPr>
        <w:t>4）《火力发电企业设备点检定修管理导则》DL/Z870</w:t>
      </w:r>
    </w:p>
    <w:p w14:paraId="136C6D2E">
      <w:pPr>
        <w:adjustRightInd w:val="0"/>
        <w:snapToGrid w:val="0"/>
        <w:spacing w:line="360" w:lineRule="auto"/>
        <w:ind w:firstLine="240" w:firstLineChars="100"/>
        <w:jc w:val="left"/>
        <w:rPr>
          <w:rFonts w:ascii="宋体" w:hAnsi="宋体"/>
          <w:sz w:val="24"/>
        </w:rPr>
      </w:pPr>
      <w:r>
        <w:rPr>
          <w:rFonts w:hint="eastAsia" w:ascii="宋体" w:hAnsi="宋体"/>
          <w:sz w:val="24"/>
        </w:rPr>
        <w:t>5）《火力发电厂危险点分析及预控措施》</w:t>
      </w:r>
    </w:p>
    <w:p w14:paraId="6DE47608">
      <w:pPr>
        <w:adjustRightInd w:val="0"/>
        <w:snapToGrid w:val="0"/>
        <w:spacing w:line="360" w:lineRule="auto"/>
        <w:ind w:firstLine="240" w:firstLineChars="100"/>
        <w:jc w:val="left"/>
        <w:rPr>
          <w:rFonts w:ascii="宋体" w:hAnsi="宋体"/>
          <w:sz w:val="24"/>
        </w:rPr>
      </w:pPr>
      <w:r>
        <w:rPr>
          <w:rFonts w:hint="eastAsia" w:ascii="宋体" w:hAnsi="宋体"/>
          <w:sz w:val="24"/>
        </w:rPr>
        <w:t>6）《环境噪声标准》</w:t>
      </w:r>
    </w:p>
    <w:p w14:paraId="5FFEDAF1">
      <w:pPr>
        <w:adjustRightInd w:val="0"/>
        <w:snapToGrid w:val="0"/>
        <w:spacing w:line="360" w:lineRule="auto"/>
        <w:ind w:firstLine="240" w:firstLineChars="100"/>
        <w:jc w:val="left"/>
        <w:rPr>
          <w:rFonts w:ascii="宋体" w:hAnsi="宋体"/>
          <w:sz w:val="24"/>
        </w:rPr>
      </w:pPr>
      <w:r>
        <w:rPr>
          <w:rFonts w:hint="eastAsia" w:ascii="宋体" w:hAnsi="宋体"/>
          <w:sz w:val="24"/>
        </w:rPr>
        <w:t>7）《480t高温高压煤粉锅炉检修规程》</w:t>
      </w:r>
    </w:p>
    <w:p w14:paraId="158724E3">
      <w:pPr>
        <w:adjustRightInd w:val="0"/>
        <w:snapToGrid w:val="0"/>
        <w:spacing w:line="360" w:lineRule="auto"/>
        <w:ind w:firstLine="240" w:firstLineChars="100"/>
        <w:jc w:val="left"/>
        <w:rPr>
          <w:rFonts w:ascii="宋体" w:hAnsi="宋体"/>
          <w:sz w:val="24"/>
        </w:rPr>
      </w:pPr>
      <w:r>
        <w:rPr>
          <w:rFonts w:hint="eastAsia" w:ascii="宋体" w:hAnsi="宋体"/>
          <w:sz w:val="24"/>
        </w:rPr>
        <w:t>8）《建筑施工高处作业安全技术规范》JGJ80</w:t>
      </w:r>
    </w:p>
    <w:p w14:paraId="628B6367">
      <w:pPr>
        <w:adjustRightInd w:val="0"/>
        <w:snapToGrid w:val="0"/>
        <w:spacing w:line="360" w:lineRule="auto"/>
        <w:ind w:firstLine="240" w:firstLineChars="100"/>
        <w:jc w:val="left"/>
        <w:rPr>
          <w:rFonts w:ascii="宋体" w:hAnsi="宋体"/>
          <w:sz w:val="24"/>
        </w:rPr>
      </w:pPr>
      <w:r>
        <w:rPr>
          <w:rFonts w:hint="eastAsia" w:ascii="宋体" w:hAnsi="宋体"/>
          <w:sz w:val="24"/>
        </w:rPr>
        <w:t>9）《建筑施工门式钢管脚手架安全技术规范》JGJ128</w:t>
      </w:r>
    </w:p>
    <w:p w14:paraId="17175E0C">
      <w:pPr>
        <w:adjustRightInd w:val="0"/>
        <w:snapToGrid w:val="0"/>
        <w:spacing w:line="360" w:lineRule="auto"/>
        <w:ind w:firstLine="240" w:firstLineChars="100"/>
        <w:jc w:val="left"/>
        <w:rPr>
          <w:rFonts w:ascii="宋体" w:hAnsi="宋体"/>
          <w:sz w:val="24"/>
        </w:rPr>
      </w:pPr>
      <w:r>
        <w:rPr>
          <w:rFonts w:hint="eastAsia" w:ascii="宋体" w:hAnsi="宋体"/>
          <w:sz w:val="24"/>
        </w:rPr>
        <w:t>10）《</w:t>
      </w:r>
      <w:r>
        <w:rPr>
          <w:rFonts w:ascii="宋体" w:hAnsi="宋体"/>
          <w:sz w:val="24"/>
        </w:rPr>
        <w:t>劳动防护用品选用规则</w:t>
      </w:r>
      <w:r>
        <w:rPr>
          <w:rFonts w:hint="eastAsia" w:ascii="宋体" w:hAnsi="宋体"/>
          <w:sz w:val="24"/>
        </w:rPr>
        <w:t>》</w:t>
      </w:r>
      <w:r>
        <w:rPr>
          <w:rFonts w:ascii="宋体" w:hAnsi="宋体"/>
          <w:sz w:val="24"/>
        </w:rPr>
        <w:t>GB 11651</w:t>
      </w:r>
    </w:p>
    <w:p w14:paraId="703ABCEB">
      <w:pPr>
        <w:adjustRightInd w:val="0"/>
        <w:snapToGrid w:val="0"/>
        <w:spacing w:line="360" w:lineRule="auto"/>
        <w:ind w:firstLine="240" w:firstLineChars="100"/>
        <w:jc w:val="left"/>
        <w:rPr>
          <w:rFonts w:ascii="宋体" w:hAnsi="宋体"/>
          <w:sz w:val="24"/>
        </w:rPr>
      </w:pPr>
      <w:r>
        <w:rPr>
          <w:rFonts w:hint="eastAsia" w:ascii="宋体" w:hAnsi="宋体"/>
          <w:sz w:val="24"/>
        </w:rPr>
        <w:t>11）《</w:t>
      </w:r>
      <w:r>
        <w:rPr>
          <w:rFonts w:ascii="宋体" w:hAnsi="宋体"/>
          <w:sz w:val="24"/>
        </w:rPr>
        <w:t>重大危险源辨识</w:t>
      </w:r>
      <w:r>
        <w:rPr>
          <w:rFonts w:hint="eastAsia" w:ascii="宋体" w:hAnsi="宋体"/>
          <w:sz w:val="24"/>
        </w:rPr>
        <w:t>》</w:t>
      </w:r>
      <w:r>
        <w:rPr>
          <w:rFonts w:ascii="宋体" w:hAnsi="宋体"/>
          <w:sz w:val="24"/>
        </w:rPr>
        <w:t>GB 18218</w:t>
      </w:r>
    </w:p>
    <w:p w14:paraId="67F518A7">
      <w:pPr>
        <w:adjustRightInd w:val="0"/>
        <w:snapToGrid w:val="0"/>
        <w:spacing w:line="360" w:lineRule="auto"/>
        <w:jc w:val="left"/>
        <w:rPr>
          <w:rFonts w:ascii="宋体" w:hAnsi="宋体"/>
          <w:sz w:val="24"/>
        </w:rPr>
      </w:pPr>
      <w:r>
        <w:rPr>
          <w:rFonts w:hint="eastAsia" w:ascii="宋体" w:hAnsi="宋体" w:cs="宋体"/>
          <w:kern w:val="0"/>
          <w:sz w:val="24"/>
        </w:rPr>
        <w:t>（</w:t>
      </w:r>
      <w:r>
        <w:rPr>
          <w:rFonts w:ascii="宋体" w:hAnsi="宋体" w:cs="宋体"/>
          <w:kern w:val="0"/>
          <w:sz w:val="24"/>
        </w:rPr>
        <w:t>4</w:t>
      </w:r>
      <w:r>
        <w:rPr>
          <w:rFonts w:hint="eastAsia" w:ascii="宋体" w:hAnsi="宋体" w:cs="宋体"/>
          <w:kern w:val="0"/>
          <w:sz w:val="24"/>
        </w:rPr>
        <w:t>）</w:t>
      </w:r>
      <w:r>
        <w:rPr>
          <w:rFonts w:hint="eastAsia" w:ascii="宋体" w:hAnsi="宋体"/>
          <w:sz w:val="24"/>
        </w:rPr>
        <w:t>磨煤机制造厂磨煤机使用和维护说明书；</w:t>
      </w:r>
    </w:p>
    <w:p w14:paraId="2A636C3B">
      <w:pPr>
        <w:adjustRightInd w:val="0"/>
        <w:snapToGrid w:val="0"/>
        <w:spacing w:line="360" w:lineRule="auto"/>
        <w:jc w:val="left"/>
        <w:rPr>
          <w:rFonts w:ascii="宋体" w:hAnsi="宋体"/>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w:t>
      </w:r>
      <w:r>
        <w:rPr>
          <w:rFonts w:hint="eastAsia" w:ascii="宋体" w:hAnsi="宋体"/>
          <w:sz w:val="24"/>
        </w:rPr>
        <w:t>验收执行三级验收制度，即班组、技术组、项目部，根据</w:t>
      </w:r>
      <w:r>
        <w:rPr>
          <w:rFonts w:hint="eastAsia" w:ascii="宋体" w:hAnsi="宋体"/>
          <w:sz w:val="24"/>
          <w:lang w:eastAsia="zh-CN"/>
        </w:rPr>
        <w:t>招标方</w:t>
      </w:r>
      <w:r>
        <w:rPr>
          <w:rFonts w:hint="eastAsia" w:ascii="宋体" w:hAnsi="宋体"/>
          <w:sz w:val="24"/>
        </w:rPr>
        <w:t>有关规定进行相应的分级验收；</w:t>
      </w:r>
    </w:p>
    <w:p w14:paraId="68D5728D">
      <w:pPr>
        <w:widowControl/>
        <w:adjustRightInd w:val="0"/>
        <w:snapToGrid w:val="0"/>
        <w:spacing w:line="360" w:lineRule="auto"/>
        <w:jc w:val="left"/>
        <w:rPr>
          <w:rFonts w:ascii="宋体" w:hAnsi="宋体"/>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w:t>
      </w:r>
      <w:r>
        <w:rPr>
          <w:rFonts w:hint="eastAsia" w:ascii="宋体" w:hAnsi="宋体"/>
          <w:sz w:val="24"/>
        </w:rPr>
        <w:t>验收项目及验收点以</w:t>
      </w:r>
      <w:r>
        <w:rPr>
          <w:rFonts w:hint="eastAsia" w:ascii="宋体" w:hAnsi="宋体"/>
          <w:sz w:val="24"/>
          <w:lang w:eastAsia="zh-CN"/>
        </w:rPr>
        <w:t>招标方</w:t>
      </w:r>
      <w:r>
        <w:rPr>
          <w:rFonts w:hint="eastAsia" w:ascii="宋体" w:hAnsi="宋体"/>
          <w:sz w:val="24"/>
        </w:rPr>
        <w:t>提供的检修验收项目表及</w:t>
      </w:r>
      <w:r>
        <w:rPr>
          <w:rFonts w:ascii="宋体" w:hAnsi="宋体"/>
          <w:sz w:val="24"/>
        </w:rPr>
        <w:t>H</w:t>
      </w:r>
      <w:r>
        <w:rPr>
          <w:rFonts w:hint="eastAsia" w:ascii="宋体" w:hAnsi="宋体"/>
          <w:sz w:val="24"/>
        </w:rPr>
        <w:t>、</w:t>
      </w:r>
      <w:r>
        <w:rPr>
          <w:rFonts w:ascii="宋体" w:hAnsi="宋体"/>
          <w:sz w:val="24"/>
        </w:rPr>
        <w:t>W</w:t>
      </w:r>
      <w:r>
        <w:rPr>
          <w:rFonts w:hint="eastAsia" w:ascii="宋体" w:hAnsi="宋体"/>
          <w:sz w:val="24"/>
        </w:rPr>
        <w:t>点为准，</w:t>
      </w:r>
      <w:r>
        <w:rPr>
          <w:rFonts w:hint="eastAsia" w:ascii="宋体" w:hAnsi="宋体"/>
          <w:sz w:val="24"/>
          <w:lang w:eastAsia="zh-CN"/>
        </w:rPr>
        <w:t>投标方</w:t>
      </w:r>
      <w:r>
        <w:rPr>
          <w:rFonts w:hint="eastAsia" w:ascii="宋体" w:hAnsi="宋体"/>
          <w:sz w:val="24"/>
        </w:rPr>
        <w:t>检修人员必须接受</w:t>
      </w:r>
      <w:r>
        <w:rPr>
          <w:rFonts w:hint="eastAsia" w:ascii="宋体" w:hAnsi="宋体"/>
          <w:sz w:val="24"/>
          <w:lang w:eastAsia="zh-CN"/>
        </w:rPr>
        <w:t>招标方</w:t>
      </w:r>
      <w:r>
        <w:rPr>
          <w:rFonts w:hint="eastAsia" w:ascii="宋体" w:hAnsi="宋体"/>
          <w:sz w:val="24"/>
        </w:rPr>
        <w:t>技术管理人员和专业验收人员的检查、指导、监督与合理要求。</w:t>
      </w:r>
    </w:p>
    <w:bookmarkEnd w:id="2"/>
    <w:bookmarkEnd w:id="3"/>
    <w:bookmarkEnd w:id="4"/>
    <w:bookmarkEnd w:id="5"/>
    <w:bookmarkEnd w:id="6"/>
    <w:bookmarkEnd w:id="7"/>
    <w:bookmarkEnd w:id="8"/>
    <w:bookmarkEnd w:id="9"/>
    <w:bookmarkEnd w:id="10"/>
    <w:p w14:paraId="5690E81A">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eastAsia="zh-CN"/>
        </w:rPr>
      </w:pPr>
      <w:bookmarkStart w:id="14" w:name="_Toc141011853"/>
      <w:bookmarkStart w:id="15" w:name="_Toc27959"/>
      <w:r>
        <w:rPr>
          <w:rFonts w:hint="eastAsia" w:ascii="宋体" w:hAnsi="宋体" w:eastAsia="宋体" w:cs="宋体"/>
          <w:sz w:val="24"/>
          <w:szCs w:val="24"/>
          <w:highlight w:val="none"/>
          <w:lang w:val="en-US" w:eastAsia="zh-CN"/>
        </w:rPr>
        <w:t>4 项目</w:t>
      </w:r>
      <w:r>
        <w:rPr>
          <w:rFonts w:hint="eastAsia" w:ascii="宋体" w:hAnsi="宋体" w:eastAsia="宋体" w:cs="宋体"/>
          <w:sz w:val="24"/>
          <w:szCs w:val="24"/>
          <w:highlight w:val="none"/>
        </w:rPr>
        <w:t>范围及</w:t>
      </w:r>
      <w:bookmarkEnd w:id="14"/>
      <w:r>
        <w:rPr>
          <w:rFonts w:hint="eastAsia" w:ascii="宋体" w:hAnsi="宋体" w:eastAsia="宋体" w:cs="宋体"/>
          <w:sz w:val="24"/>
          <w:szCs w:val="24"/>
          <w:highlight w:val="none"/>
          <w:lang w:val="en-US" w:eastAsia="zh-CN"/>
        </w:rPr>
        <w:t>工期</w:t>
      </w:r>
      <w:bookmarkEnd w:id="15"/>
    </w:p>
    <w:p w14:paraId="4990500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4.1项目范围</w:t>
      </w:r>
    </w:p>
    <w:p w14:paraId="159785EF">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sz w:val="24"/>
          <w:highlight w:val="none"/>
        </w:rPr>
      </w:pPr>
      <w:r>
        <w:rPr>
          <w:rFonts w:hint="eastAsia"/>
          <w:sz w:val="24"/>
          <w:highlight w:val="none"/>
        </w:rPr>
        <w:t>本次202</w:t>
      </w:r>
      <w:r>
        <w:rPr>
          <w:rFonts w:hint="eastAsia"/>
          <w:sz w:val="24"/>
          <w:highlight w:val="none"/>
          <w:lang w:val="en-US" w:eastAsia="zh-CN"/>
        </w:rPr>
        <w:t>6-2028</w:t>
      </w:r>
      <w:r>
        <w:rPr>
          <w:rFonts w:hint="eastAsia"/>
          <w:sz w:val="24"/>
          <w:highlight w:val="none"/>
        </w:rPr>
        <w:t>年</w:t>
      </w:r>
      <w:r>
        <w:rPr>
          <w:rFonts w:hint="eastAsia"/>
          <w:sz w:val="24"/>
          <w:highlight w:val="none"/>
          <w:lang w:val="en-US" w:eastAsia="zh-CN"/>
        </w:rPr>
        <w:t>度</w:t>
      </w:r>
      <w:r>
        <w:rPr>
          <w:rFonts w:hint="eastAsia"/>
          <w:sz w:val="24"/>
          <w:highlight w:val="none"/>
        </w:rPr>
        <w:t>#</w:t>
      </w:r>
      <w:r>
        <w:rPr>
          <w:rFonts w:hint="eastAsia"/>
          <w:sz w:val="24"/>
          <w:highlight w:val="none"/>
          <w:lang w:val="en-US" w:eastAsia="zh-CN"/>
        </w:rPr>
        <w:t>1</w:t>
      </w:r>
      <w:r>
        <w:rPr>
          <w:rFonts w:hint="eastAsia"/>
          <w:sz w:val="24"/>
          <w:highlight w:val="none"/>
        </w:rPr>
        <w:t>、</w:t>
      </w:r>
      <w:r>
        <w:rPr>
          <w:rFonts w:hint="eastAsia" w:ascii="宋体" w:hAnsi="宋体"/>
          <w:snapToGrid w:val="0"/>
          <w:kern w:val="0"/>
          <w:sz w:val="24"/>
          <w:highlight w:val="none"/>
        </w:rPr>
        <w:t>#</w:t>
      </w:r>
      <w:r>
        <w:rPr>
          <w:rFonts w:hint="eastAsia" w:ascii="宋体" w:hAnsi="宋体"/>
          <w:snapToGrid w:val="0"/>
          <w:kern w:val="0"/>
          <w:sz w:val="24"/>
          <w:highlight w:val="none"/>
          <w:lang w:val="en-US" w:eastAsia="zh-CN"/>
        </w:rPr>
        <w:t>2、#3、#4</w:t>
      </w:r>
      <w:r>
        <w:rPr>
          <w:rFonts w:hint="eastAsia" w:ascii="宋体" w:hAnsi="宋体"/>
          <w:snapToGrid w:val="0"/>
          <w:kern w:val="0"/>
          <w:sz w:val="24"/>
          <w:highlight w:val="none"/>
        </w:rPr>
        <w:t>炉A、B、C、D共计</w:t>
      </w:r>
      <w:r>
        <w:rPr>
          <w:rFonts w:hint="eastAsia" w:ascii="宋体" w:hAnsi="宋体"/>
          <w:snapToGrid w:val="0"/>
          <w:kern w:val="0"/>
          <w:sz w:val="24"/>
          <w:highlight w:val="none"/>
          <w:lang w:val="en-US" w:eastAsia="zh-CN"/>
        </w:rPr>
        <w:t>16</w:t>
      </w:r>
      <w:r>
        <w:rPr>
          <w:rFonts w:hint="eastAsia" w:ascii="宋体" w:hAnsi="宋体"/>
          <w:snapToGrid w:val="0"/>
          <w:kern w:val="0"/>
          <w:sz w:val="24"/>
          <w:highlight w:val="none"/>
        </w:rPr>
        <w:t>台</w:t>
      </w:r>
      <w:r>
        <w:rPr>
          <w:rFonts w:hint="eastAsia"/>
          <w:sz w:val="24"/>
          <w:highlight w:val="none"/>
        </w:rPr>
        <w:t>磨煤机检修项目的施工范围为：磨煤机全面解体检查检修，并对相关易损件（磨辊装置轴承、骨架油封、导向块、导向板等）进行更换处理，对进出口煤粉管道进行局部更换处理。</w:t>
      </w:r>
    </w:p>
    <w:p w14:paraId="52D5911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 项目工期</w:t>
      </w:r>
    </w:p>
    <w:p w14:paraId="55363DE3">
      <w:pPr>
        <w:widowControl/>
        <w:adjustRightInd w:val="0"/>
        <w:snapToGrid w:val="0"/>
        <w:spacing w:line="360" w:lineRule="auto"/>
        <w:ind w:firstLine="480" w:firstLineChars="200"/>
        <w:jc w:val="left"/>
        <w:rPr>
          <w:rFonts w:ascii="宋体" w:hAnsi="宋体"/>
          <w:sz w:val="24"/>
        </w:rPr>
      </w:pPr>
      <w:r>
        <w:rPr>
          <w:rFonts w:hint="eastAsia" w:ascii="宋体" w:hAnsi="宋体"/>
          <w:sz w:val="24"/>
        </w:rPr>
        <w:t>本次</w:t>
      </w:r>
      <w:r>
        <w:rPr>
          <w:rFonts w:hint="eastAsia"/>
          <w:sz w:val="24"/>
          <w:highlight w:val="none"/>
        </w:rPr>
        <w:t>#</w:t>
      </w:r>
      <w:r>
        <w:rPr>
          <w:rFonts w:hint="eastAsia"/>
          <w:sz w:val="24"/>
          <w:highlight w:val="none"/>
          <w:lang w:val="en-US" w:eastAsia="zh-CN"/>
        </w:rPr>
        <w:t>1</w:t>
      </w:r>
      <w:r>
        <w:rPr>
          <w:rFonts w:hint="eastAsia"/>
          <w:sz w:val="24"/>
          <w:highlight w:val="none"/>
        </w:rPr>
        <w:t>、</w:t>
      </w:r>
      <w:r>
        <w:rPr>
          <w:rFonts w:hint="eastAsia" w:ascii="宋体" w:hAnsi="宋体"/>
          <w:snapToGrid w:val="0"/>
          <w:kern w:val="0"/>
          <w:sz w:val="24"/>
          <w:highlight w:val="none"/>
        </w:rPr>
        <w:t>#</w:t>
      </w:r>
      <w:r>
        <w:rPr>
          <w:rFonts w:hint="eastAsia" w:ascii="宋体" w:hAnsi="宋体"/>
          <w:snapToGrid w:val="0"/>
          <w:kern w:val="0"/>
          <w:sz w:val="24"/>
          <w:highlight w:val="none"/>
          <w:lang w:val="en-US" w:eastAsia="zh-CN"/>
        </w:rPr>
        <w:t>2、#3、#4</w:t>
      </w:r>
      <w:r>
        <w:rPr>
          <w:rFonts w:hint="eastAsia" w:ascii="宋体" w:hAnsi="宋体"/>
          <w:snapToGrid w:val="0"/>
          <w:kern w:val="0"/>
          <w:sz w:val="24"/>
        </w:rPr>
        <w:t>炉A、B、C、D磨煤机检修</w:t>
      </w:r>
      <w:r>
        <w:rPr>
          <w:rFonts w:hint="eastAsia" w:ascii="宋体" w:hAnsi="宋体"/>
          <w:sz w:val="24"/>
        </w:rPr>
        <w:t>项目，每台</w:t>
      </w:r>
      <w:r>
        <w:rPr>
          <w:rFonts w:hint="eastAsia" w:ascii="宋体" w:hAnsi="宋体"/>
          <w:sz w:val="24"/>
          <w:lang w:val="en-US" w:eastAsia="zh-CN"/>
        </w:rPr>
        <w:t>磨煤机</w:t>
      </w:r>
      <w:r>
        <w:rPr>
          <w:rFonts w:hint="eastAsia" w:ascii="宋体" w:hAnsi="宋体"/>
          <w:sz w:val="24"/>
        </w:rPr>
        <w:t>须在</w:t>
      </w:r>
      <w:r>
        <w:rPr>
          <w:rFonts w:hint="eastAsia" w:ascii="宋体" w:hAnsi="宋体"/>
          <w:sz w:val="24"/>
          <w:lang w:val="en-US" w:eastAsia="zh-CN"/>
        </w:rPr>
        <w:t>20</w:t>
      </w:r>
      <w:r>
        <w:rPr>
          <w:rFonts w:hint="eastAsia" w:ascii="宋体" w:hAnsi="宋体"/>
          <w:sz w:val="24"/>
        </w:rPr>
        <w:t>日内完成，项目须在</w:t>
      </w:r>
      <w:r>
        <w:rPr>
          <w:rFonts w:hint="eastAsia" w:ascii="宋体" w:hAnsi="宋体"/>
          <w:sz w:val="24"/>
          <w:lang w:val="en-US" w:eastAsia="zh-CN"/>
        </w:rPr>
        <w:t>合同规定时间内</w:t>
      </w:r>
      <w:r>
        <w:rPr>
          <w:rFonts w:hint="eastAsia" w:ascii="宋体" w:hAnsi="宋体"/>
          <w:sz w:val="24"/>
        </w:rPr>
        <w:t>完成。</w:t>
      </w:r>
      <w:r>
        <w:rPr>
          <w:rFonts w:hint="eastAsia" w:ascii="宋体" w:hAnsi="宋体" w:cs="宋体"/>
          <w:b/>
          <w:kern w:val="0"/>
          <w:sz w:val="24"/>
        </w:rPr>
        <w:t>注:因年度内磨煤机的停运及大修时间不定，所以</w:t>
      </w:r>
      <w:r>
        <w:rPr>
          <w:rFonts w:hint="eastAsia" w:ascii="宋体" w:hAnsi="宋体" w:cs="宋体"/>
          <w:b/>
          <w:kern w:val="0"/>
          <w:sz w:val="24"/>
          <w:lang w:eastAsia="zh-CN"/>
        </w:rPr>
        <w:t>投标方</w:t>
      </w:r>
      <w:r>
        <w:rPr>
          <w:rFonts w:hint="eastAsia" w:ascii="宋体" w:hAnsi="宋体" w:cs="宋体"/>
          <w:b/>
          <w:kern w:val="0"/>
          <w:sz w:val="24"/>
        </w:rPr>
        <w:t>至少</w:t>
      </w:r>
      <w:r>
        <w:rPr>
          <w:rFonts w:hint="eastAsia" w:ascii="宋体" w:hAnsi="宋体" w:cs="宋体"/>
          <w:b/>
          <w:kern w:val="0"/>
          <w:sz w:val="24"/>
          <w:lang w:val="en-US" w:eastAsia="zh-CN"/>
        </w:rPr>
        <w:t>八</w:t>
      </w:r>
      <w:r>
        <w:rPr>
          <w:rFonts w:hint="eastAsia" w:ascii="宋体" w:hAnsi="宋体" w:cs="宋体"/>
          <w:b/>
          <w:kern w:val="0"/>
          <w:sz w:val="24"/>
        </w:rPr>
        <w:t>次进场完成所有工程量。</w:t>
      </w:r>
    </w:p>
    <w:p w14:paraId="459B6678">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投标方不仅要保证自己承担工作的进度，同时和招标方一起协调与其它外包系统设备的连接项目等施工进度，确保整体进度。</w:t>
      </w:r>
    </w:p>
    <w:p w14:paraId="514713F1">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施工服务工期内，涉及各类检修作业时不仅须按时完成项目，同时各分项工期均须按投标方要求进度时间完成。</w:t>
      </w:r>
    </w:p>
    <w:p w14:paraId="349FD400">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施工服务工期内，以生产装置现场实际情况为指导，不仅要求按时按进度完成本职检修工作，同时应服从招标方协调指挥要求，主动配合完成现场其他施工作业工作。</w:t>
      </w:r>
    </w:p>
    <w:p w14:paraId="6D073A53">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16" w:name="_Toc28439"/>
      <w:bookmarkStart w:id="17" w:name="_Toc141011854"/>
      <w:r>
        <w:rPr>
          <w:rFonts w:hint="eastAsia" w:ascii="宋体" w:hAnsi="宋体" w:eastAsia="宋体" w:cs="宋体"/>
          <w:sz w:val="24"/>
          <w:szCs w:val="24"/>
          <w:highlight w:val="none"/>
          <w:lang w:val="en-US" w:eastAsia="zh-CN"/>
        </w:rPr>
        <w:t>5项目内容及</w:t>
      </w:r>
      <w:r>
        <w:rPr>
          <w:rFonts w:hint="eastAsia" w:ascii="宋体" w:hAnsi="宋体" w:eastAsia="宋体" w:cs="宋体"/>
          <w:sz w:val="24"/>
          <w:szCs w:val="24"/>
          <w:highlight w:val="none"/>
        </w:rPr>
        <w:t>要求</w:t>
      </w:r>
      <w:bookmarkEnd w:id="16"/>
      <w:bookmarkEnd w:id="17"/>
    </w:p>
    <w:p w14:paraId="37CD46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bookmarkStart w:id="18" w:name="_Toc445388465"/>
      <w:r>
        <w:rPr>
          <w:rFonts w:hint="eastAsia" w:ascii="宋体" w:hAnsi="宋体" w:eastAsia="宋体" w:cs="宋体"/>
          <w:sz w:val="24"/>
          <w:szCs w:val="24"/>
          <w:highlight w:val="none"/>
          <w:lang w:val="en-US" w:eastAsia="zh-CN"/>
        </w:rPr>
        <w:t>5.1.一般要求</w:t>
      </w:r>
      <w:bookmarkEnd w:id="18"/>
    </w:p>
    <w:p w14:paraId="760BB3C3">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 xml:space="preserve">（1）必须依据DL5009.1《电力建设安全工作规程》，厂家技术要求及国家相关行业标准、安全规范进行本项目检修工作。 </w:t>
      </w:r>
    </w:p>
    <w:p w14:paraId="7EB5A117">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（2）必须执行</w:t>
      </w:r>
      <w:r>
        <w:rPr>
          <w:rFonts w:hint="eastAsia" w:ascii="宋体" w:hAnsi="宋体" w:cs="宋体"/>
          <w:kern w:val="0"/>
          <w:sz w:val="24"/>
          <w:lang w:eastAsia="zh-CN"/>
        </w:rPr>
        <w:t>招标方</w:t>
      </w:r>
      <w:r>
        <w:rPr>
          <w:rFonts w:hint="eastAsia" w:ascii="宋体" w:hAnsi="宋体" w:cs="宋体"/>
          <w:kern w:val="0"/>
          <w:sz w:val="24"/>
        </w:rPr>
        <w:t>制定的各项安全生产管理制度和规定，必须积极主动接受</w:t>
      </w:r>
      <w:r>
        <w:rPr>
          <w:rFonts w:hint="eastAsia" w:ascii="宋体" w:hAnsi="宋体" w:cs="宋体"/>
          <w:kern w:val="0"/>
          <w:sz w:val="24"/>
          <w:lang w:eastAsia="zh-CN"/>
        </w:rPr>
        <w:t>招标方</w:t>
      </w:r>
      <w:r>
        <w:rPr>
          <w:rFonts w:hint="eastAsia" w:ascii="宋体" w:hAnsi="宋体" w:cs="宋体"/>
          <w:kern w:val="0"/>
          <w:sz w:val="24"/>
        </w:rPr>
        <w:t>对管理工作、设备维修的检查、指导、监督与考核。</w:t>
      </w:r>
    </w:p>
    <w:p w14:paraId="5ED51B4C">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（3）必须提交本单位法人营业执照、资质文件、许可证书、施工资质文件、单位安健环资质文件，进厂施工人员情况调查表、施工机具和自带施工工器具清单。</w:t>
      </w:r>
    </w:p>
    <w:p w14:paraId="18A4453D">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4）必须储备足够的，为完成本规范任务所必需的具备相关专业上岗资质的人员和装备，以及处理突发事件的抢修人员，其它特殊工种（焊工、电工、起重工、架子工等）同样必须持证上岗，检修中所需的配合工种由投标商自行负责。</w:t>
      </w:r>
    </w:p>
    <w:p w14:paraId="6740119F">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（5）进厂的所有工作人员，必须经 “三级”安全教育及考试合格后方能上岗，且人员必须相对固定，并能长期驻守在现场，人员变动时必须征得</w:t>
      </w:r>
      <w:r>
        <w:rPr>
          <w:rFonts w:hint="eastAsia" w:ascii="宋体" w:hAnsi="宋体" w:cs="宋体"/>
          <w:kern w:val="0"/>
          <w:sz w:val="24"/>
          <w:lang w:eastAsia="zh-CN"/>
        </w:rPr>
        <w:t>招标方</w:t>
      </w:r>
      <w:r>
        <w:rPr>
          <w:rFonts w:hint="eastAsia" w:ascii="宋体" w:hAnsi="宋体" w:cs="宋体"/>
          <w:kern w:val="0"/>
          <w:sz w:val="24"/>
        </w:rPr>
        <w:t>主管部门的认可。</w:t>
      </w:r>
    </w:p>
    <w:p w14:paraId="53F8712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（6）必须按要求编写各相关预案，做好事故应急预案，以便能快速处理突发事件。</w:t>
      </w:r>
    </w:p>
    <w:p w14:paraId="132007FC">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（7）必须达到以下安全责任目标及要求另行签订安全协议，安全协议与合同同样具有法定约束力。</w:t>
      </w:r>
    </w:p>
    <w:p w14:paraId="1DEACD93">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1）总体目标：零事故、零污染、零伤害；</w:t>
      </w:r>
    </w:p>
    <w:p w14:paraId="093DCE41">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 具体目标：</w:t>
      </w:r>
    </w:p>
    <w:p w14:paraId="2E92FFA6">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①杜绝重伤、死亡事故的发生；</w:t>
      </w:r>
    </w:p>
    <w:p w14:paraId="0637421C">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②安全隐患整改率必须保证在时限内达到100%，杜绝出现重大隐患；</w:t>
      </w:r>
    </w:p>
    <w:p w14:paraId="6A4FB880">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③不发生火灾事故，火险隐患整改率必须保证在时限内达到100%；</w:t>
      </w:r>
    </w:p>
    <w:p w14:paraId="06665AA2">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④保证外包工程建设、检修或调试期间不损坏热电车间的设备、设施，不影响热电车间正常生产运行。</w:t>
      </w:r>
    </w:p>
    <w:p w14:paraId="679B767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3)作为工程项目的投标商，对投标工程施工全过程的安全工作负全面责任，承担包括但不限于由于自身管理不善、或因施工人员自身原因与过错所造成的人身伤亡、设备和工程质量事故、火灾以及一切责任事故的全部责任及经济损失，且不应为此增加</w:t>
      </w:r>
      <w:r>
        <w:rPr>
          <w:rFonts w:hint="eastAsia" w:ascii="宋体" w:hAnsi="宋体" w:cs="宋体"/>
          <w:kern w:val="0"/>
          <w:sz w:val="24"/>
          <w:lang w:eastAsia="zh-CN"/>
        </w:rPr>
        <w:t>招标方</w:t>
      </w:r>
      <w:r>
        <w:rPr>
          <w:rFonts w:hint="eastAsia" w:ascii="宋体" w:hAnsi="宋体" w:cs="宋体"/>
          <w:kern w:val="0"/>
          <w:sz w:val="24"/>
        </w:rPr>
        <w:t>费用或延迟施工进度，对发生的事故按“四不放过”的原则进行调查处理，发生人身、设备等事故，应立即用电话等方式报</w:t>
      </w:r>
      <w:r>
        <w:rPr>
          <w:rFonts w:hint="eastAsia" w:ascii="宋体" w:hAnsi="宋体" w:cs="宋体"/>
          <w:kern w:val="0"/>
          <w:sz w:val="24"/>
          <w:lang w:eastAsia="zh-CN"/>
        </w:rPr>
        <w:t>招标方</w:t>
      </w:r>
      <w:r>
        <w:rPr>
          <w:rFonts w:hint="eastAsia" w:ascii="宋体" w:hAnsi="宋体" w:cs="宋体"/>
          <w:kern w:val="0"/>
          <w:sz w:val="24"/>
        </w:rPr>
        <w:t>（火警：6491119、急救：6491120），严禁弄虚作假、隐瞒不报。必须切实履行以下安全责任及具备下列条件：</w:t>
      </w:r>
    </w:p>
    <w:p w14:paraId="141A9CA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①有胜任投标工程管理的项目领导班子，项目负责人、工程技术人员和工人，安全施工的技术等级必须满足所承接工程的需要。</w:t>
      </w:r>
    </w:p>
    <w:p w14:paraId="29DB0460">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②能准确理解和执行</w:t>
      </w:r>
      <w:r>
        <w:rPr>
          <w:rFonts w:hint="eastAsia" w:ascii="宋体" w:hAnsi="宋体" w:cs="宋体"/>
          <w:kern w:val="0"/>
          <w:sz w:val="24"/>
          <w:lang w:eastAsia="zh-CN"/>
        </w:rPr>
        <w:t>招标方</w:t>
      </w:r>
      <w:r>
        <w:rPr>
          <w:rFonts w:hint="eastAsia" w:ascii="宋体" w:hAnsi="宋体" w:cs="宋体"/>
          <w:kern w:val="0"/>
          <w:sz w:val="24"/>
        </w:rPr>
        <w:t>提供的，有关安全技术规程制度和施工图纸、质量要求、工艺要求等技术文件，有施工组织设计、安全计划和分项工程安全施工措施。</w:t>
      </w:r>
    </w:p>
    <w:p w14:paraId="55CE8097">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③施工机械、工器具及安全防护设施、安全用具等必须满足施工需要及安全需要。</w:t>
      </w:r>
    </w:p>
    <w:p w14:paraId="26188F5D">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④在工作中要主动接受</w:t>
      </w:r>
      <w:r>
        <w:rPr>
          <w:rFonts w:hint="eastAsia" w:ascii="宋体" w:hAnsi="宋体" w:cs="宋体"/>
          <w:kern w:val="0"/>
          <w:sz w:val="24"/>
          <w:lang w:eastAsia="zh-CN"/>
        </w:rPr>
        <w:t>招标方</w:t>
      </w:r>
      <w:r>
        <w:rPr>
          <w:rFonts w:hint="eastAsia" w:ascii="宋体" w:hAnsi="宋体" w:cs="宋体"/>
          <w:kern w:val="0"/>
          <w:sz w:val="24"/>
        </w:rPr>
        <w:t>的安全检查和监督。对因投标商工作人员的责任，造成设备停运、损失，火灾及人身伤害等影响施工和安全目标的行为，必须接受</w:t>
      </w:r>
      <w:r>
        <w:rPr>
          <w:rFonts w:hint="eastAsia" w:ascii="宋体" w:hAnsi="宋体" w:cs="宋体"/>
          <w:kern w:val="0"/>
          <w:sz w:val="24"/>
          <w:lang w:eastAsia="zh-CN"/>
        </w:rPr>
        <w:t>招标方</w:t>
      </w:r>
      <w:r>
        <w:rPr>
          <w:rFonts w:hint="eastAsia" w:ascii="宋体" w:hAnsi="宋体" w:cs="宋体"/>
          <w:kern w:val="0"/>
          <w:sz w:val="24"/>
        </w:rPr>
        <w:t>的考核。</w:t>
      </w:r>
    </w:p>
    <w:p w14:paraId="7B75ACB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（8）按时完成责任内的所有工作、保证质量、工期和安全文明，检修工作结束后要及时完成各种书面资料的填写、整理，按时反馈给</w:t>
      </w:r>
      <w:r>
        <w:rPr>
          <w:rFonts w:hint="eastAsia" w:ascii="宋体" w:hAnsi="宋体" w:cs="宋体"/>
          <w:kern w:val="0"/>
          <w:sz w:val="24"/>
          <w:lang w:eastAsia="zh-CN"/>
        </w:rPr>
        <w:t>招标方</w:t>
      </w:r>
      <w:r>
        <w:rPr>
          <w:rFonts w:hint="eastAsia" w:ascii="宋体" w:hAnsi="宋体" w:cs="宋体"/>
          <w:kern w:val="0"/>
          <w:sz w:val="24"/>
        </w:rPr>
        <w:t>主管部门备案。</w:t>
      </w:r>
    </w:p>
    <w:p w14:paraId="7CF27E03">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（9）负责配置具有合格证且符合安全标准的检修工器具，统一着装及自身劳动保护用品。</w:t>
      </w:r>
    </w:p>
    <w:p w14:paraId="62939AED">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（10）在任何形式的检修工作中，不准损坏其他设备，因投标商认为因素造成损失的或者引起设备功能失效的，由投标商承担全部责任。未经</w:t>
      </w:r>
      <w:r>
        <w:rPr>
          <w:rFonts w:hint="eastAsia" w:ascii="宋体" w:hAnsi="宋体" w:cs="宋体"/>
          <w:kern w:val="0"/>
          <w:sz w:val="24"/>
          <w:lang w:eastAsia="zh-CN"/>
        </w:rPr>
        <w:t>招标方</w:t>
      </w:r>
      <w:r>
        <w:rPr>
          <w:rFonts w:hint="eastAsia" w:ascii="宋体" w:hAnsi="宋体" w:cs="宋体"/>
          <w:kern w:val="0"/>
          <w:sz w:val="24"/>
        </w:rPr>
        <w:t>同意投标商不准擅自更换或调换所辖设备的零部件或备品备件。一般性消耗性材料由投标商自行负责（指未附着安装在设备上的材料）。</w:t>
      </w:r>
    </w:p>
    <w:p w14:paraId="6183674F">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（11）在每一次检修工作结束后，投标商工作人员应按照要求，作好各种资料的记录和整理，并在两天内交</w:t>
      </w:r>
      <w:r>
        <w:rPr>
          <w:rFonts w:hint="eastAsia" w:ascii="宋体" w:hAnsi="宋体" w:cs="宋体"/>
          <w:kern w:val="0"/>
          <w:sz w:val="24"/>
          <w:lang w:eastAsia="zh-CN"/>
        </w:rPr>
        <w:t>招标方</w:t>
      </w:r>
      <w:r>
        <w:rPr>
          <w:rFonts w:hint="eastAsia" w:ascii="宋体" w:hAnsi="宋体" w:cs="宋体"/>
          <w:kern w:val="0"/>
          <w:sz w:val="24"/>
        </w:rPr>
        <w:t xml:space="preserve">热电车间相关专业及班组存档。 </w:t>
      </w:r>
    </w:p>
    <w:p w14:paraId="669AEEC6">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（12）根据设备实际运行情况，投标商有责任提出设备技改的建议并制定措施，编写可行性研究报告交</w:t>
      </w:r>
      <w:r>
        <w:rPr>
          <w:rFonts w:hint="eastAsia" w:ascii="宋体" w:hAnsi="宋体" w:cs="宋体"/>
          <w:kern w:val="0"/>
          <w:sz w:val="24"/>
          <w:lang w:eastAsia="zh-CN"/>
        </w:rPr>
        <w:t>招标方</w:t>
      </w:r>
      <w:r>
        <w:rPr>
          <w:rFonts w:hint="eastAsia" w:ascii="宋体" w:hAnsi="宋体" w:cs="宋体"/>
          <w:kern w:val="0"/>
          <w:sz w:val="24"/>
        </w:rPr>
        <w:t>审核。</w:t>
      </w:r>
    </w:p>
    <w:p w14:paraId="6174270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（13）如属设备本身质量问题或安装质量问题，投标商仍应负责进行消缺或进行故障的前期处理。</w:t>
      </w:r>
    </w:p>
    <w:p w14:paraId="5EA9BF1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（14）设备检修过程中，所有定期试验属投标商投标范围内的责任。</w:t>
      </w:r>
    </w:p>
    <w:p w14:paraId="12B1B0FE">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（15）应全面负责检修过程中的环境、卫生清洁、劳动保护等的管理工作。</w:t>
      </w:r>
    </w:p>
    <w:p w14:paraId="2C0C0575">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（16）应储备并提供为完成维修任务所必需的一般消耗性材料、专用工器具及其它物品。</w:t>
      </w:r>
    </w:p>
    <w:p w14:paraId="5CD7914E">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（17）负责本技术规范书内设备的验收工作。</w:t>
      </w:r>
    </w:p>
    <w:p w14:paraId="2C034738">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（18）如发生紧急情况或重大事项情况下，投标商因技术力量不足或准备不及等因素而无法处理或耽误维修等，导致</w:t>
      </w:r>
      <w:r>
        <w:rPr>
          <w:rFonts w:hint="eastAsia" w:ascii="宋体" w:hAnsi="宋体" w:cs="宋体"/>
          <w:kern w:val="0"/>
          <w:sz w:val="24"/>
          <w:lang w:eastAsia="zh-CN"/>
        </w:rPr>
        <w:t>招标方</w:t>
      </w:r>
      <w:r>
        <w:rPr>
          <w:rFonts w:hint="eastAsia" w:ascii="宋体" w:hAnsi="宋体" w:cs="宋体"/>
          <w:kern w:val="0"/>
          <w:sz w:val="24"/>
        </w:rPr>
        <w:t>委托其它施工队伍进行紧急处理，必须担负全部委托费用及由此造成的损失，并接受</w:t>
      </w:r>
      <w:r>
        <w:rPr>
          <w:rFonts w:hint="eastAsia" w:ascii="宋体" w:hAnsi="宋体" w:cs="宋体"/>
          <w:kern w:val="0"/>
          <w:sz w:val="24"/>
          <w:lang w:eastAsia="zh-CN"/>
        </w:rPr>
        <w:t>招标方</w:t>
      </w:r>
      <w:r>
        <w:rPr>
          <w:rFonts w:hint="eastAsia" w:ascii="宋体" w:hAnsi="宋体" w:cs="宋体"/>
          <w:kern w:val="0"/>
          <w:sz w:val="24"/>
        </w:rPr>
        <w:t>相应考核。</w:t>
      </w:r>
    </w:p>
    <w:p w14:paraId="3A32CAC2">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（19）必须承担由于投标商对设备检修引起的一切责任。</w:t>
      </w:r>
    </w:p>
    <w:p w14:paraId="42984537">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（20）检修工作必须坚持“质量第一”文明施工，切实贯彻“应修必修，修必修好”的原则；认真执行检修文件包、检修质量卡、检修工艺规程、三级验收等相关管理标准。</w:t>
      </w:r>
    </w:p>
    <w:p w14:paraId="42329678">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（21）必须办理工作票许可开工后才能开始工作，工作票由</w:t>
      </w:r>
      <w:r>
        <w:rPr>
          <w:rFonts w:hint="eastAsia" w:ascii="宋体" w:hAnsi="宋体" w:cs="宋体"/>
          <w:kern w:val="0"/>
          <w:sz w:val="24"/>
          <w:lang w:eastAsia="zh-CN"/>
        </w:rPr>
        <w:t>投标方</w:t>
      </w:r>
      <w:r>
        <w:rPr>
          <w:rFonts w:hint="eastAsia" w:ascii="宋体" w:hAnsi="宋体" w:cs="宋体"/>
          <w:kern w:val="0"/>
          <w:sz w:val="24"/>
        </w:rPr>
        <w:t>工作负责人填写，并由</w:t>
      </w:r>
      <w:r>
        <w:rPr>
          <w:rFonts w:hint="eastAsia" w:ascii="宋体" w:hAnsi="宋体" w:cs="宋体"/>
          <w:kern w:val="0"/>
          <w:sz w:val="24"/>
          <w:lang w:eastAsia="zh-CN"/>
        </w:rPr>
        <w:t>招标方</w:t>
      </w:r>
      <w:r>
        <w:rPr>
          <w:rFonts w:hint="eastAsia" w:ascii="宋体" w:hAnsi="宋体" w:cs="宋体"/>
          <w:kern w:val="0"/>
          <w:sz w:val="24"/>
        </w:rPr>
        <w:t>相关负责人签发。</w:t>
      </w:r>
      <w:r>
        <w:rPr>
          <w:rFonts w:hint="eastAsia" w:ascii="宋体" w:hAnsi="宋体" w:cs="宋体"/>
          <w:kern w:val="0"/>
          <w:sz w:val="24"/>
          <w:lang w:eastAsia="zh-CN"/>
        </w:rPr>
        <w:t>投标方</w:t>
      </w:r>
      <w:r>
        <w:rPr>
          <w:rFonts w:hint="eastAsia" w:ascii="宋体" w:hAnsi="宋体" w:cs="宋体"/>
          <w:kern w:val="0"/>
          <w:sz w:val="24"/>
        </w:rPr>
        <w:t>工作负责人资格，由</w:t>
      </w:r>
      <w:r>
        <w:rPr>
          <w:rFonts w:hint="eastAsia" w:ascii="宋体" w:hAnsi="宋体" w:cs="宋体"/>
          <w:kern w:val="0"/>
          <w:sz w:val="24"/>
          <w:lang w:eastAsia="zh-CN"/>
        </w:rPr>
        <w:t>招标方</w:t>
      </w:r>
      <w:r>
        <w:rPr>
          <w:rFonts w:hint="eastAsia" w:ascii="宋体" w:hAnsi="宋体" w:cs="宋体"/>
          <w:kern w:val="0"/>
          <w:sz w:val="24"/>
        </w:rPr>
        <w:t>安健环考试合格后认定、批准，工作监护人由</w:t>
      </w:r>
      <w:r>
        <w:rPr>
          <w:rFonts w:hint="eastAsia" w:ascii="宋体" w:hAnsi="宋体" w:cs="宋体"/>
          <w:kern w:val="0"/>
          <w:sz w:val="24"/>
          <w:lang w:eastAsia="zh-CN"/>
        </w:rPr>
        <w:t>投标方</w:t>
      </w:r>
      <w:r>
        <w:rPr>
          <w:rFonts w:hint="eastAsia" w:ascii="宋体" w:hAnsi="宋体" w:cs="宋体"/>
          <w:kern w:val="0"/>
          <w:sz w:val="24"/>
        </w:rPr>
        <w:t>相关班组指定人员担任。</w:t>
      </w:r>
    </w:p>
    <w:p w14:paraId="07AF0B4C">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（22）若违反本规范相关规定，</w:t>
      </w:r>
      <w:r>
        <w:rPr>
          <w:rFonts w:hint="eastAsia" w:ascii="宋体" w:hAnsi="宋体" w:cs="宋体"/>
          <w:kern w:val="0"/>
          <w:sz w:val="24"/>
          <w:lang w:eastAsia="zh-CN"/>
        </w:rPr>
        <w:t>招标方</w:t>
      </w:r>
      <w:r>
        <w:rPr>
          <w:rFonts w:hint="eastAsia" w:ascii="宋体" w:hAnsi="宋体" w:cs="宋体"/>
          <w:kern w:val="0"/>
          <w:sz w:val="24"/>
        </w:rPr>
        <w:t>可在投标商合同款项中纳入考核。</w:t>
      </w:r>
    </w:p>
    <w:p w14:paraId="4DD3D14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bookmarkStart w:id="19" w:name="_Toc445388466"/>
      <w:r>
        <w:rPr>
          <w:rFonts w:hint="eastAsia" w:ascii="宋体" w:hAnsi="宋体" w:eastAsia="宋体" w:cs="宋体"/>
          <w:sz w:val="24"/>
          <w:szCs w:val="24"/>
          <w:highlight w:val="none"/>
          <w:lang w:val="en-US" w:eastAsia="zh-CN"/>
        </w:rPr>
        <w:t>5.2检修组织要求</w:t>
      </w:r>
      <w:bookmarkEnd w:id="19"/>
    </w:p>
    <w:p w14:paraId="597D1907">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1）</w:t>
      </w:r>
      <w:r>
        <w:rPr>
          <w:rFonts w:hint="eastAsia" w:ascii="宋体" w:hAnsi="宋体" w:cs="宋体"/>
          <w:kern w:val="0"/>
          <w:sz w:val="24"/>
        </w:rPr>
        <w:t>检修准备</w:t>
      </w:r>
    </w:p>
    <w:p w14:paraId="294A45B8">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组织检修人员及配置相关工器具进场，做好现场检修的布置，尽快投入正式检修。项目开工一周前，担任本项目的项目经理、专业专工、安全员、质量员及项目的技术人员提前进入现场，其他检修人员通知后三天内全部进入现场。</w:t>
      </w:r>
    </w:p>
    <w:p w14:paraId="3AECD88A">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1）提前做好项目检修工器具、材料准备和备件准备；配备必要的质检人员和工具，确保项目质量。</w:t>
      </w:r>
    </w:p>
    <w:p w14:paraId="4ECD549E">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2）根据</w:t>
      </w:r>
      <w:r>
        <w:rPr>
          <w:rFonts w:hint="eastAsia" w:ascii="宋体" w:hAnsi="宋体" w:cs="宋体"/>
          <w:kern w:val="0"/>
          <w:sz w:val="24"/>
          <w:lang w:eastAsia="zh-CN"/>
        </w:rPr>
        <w:t>招标方</w:t>
      </w:r>
      <w:r>
        <w:rPr>
          <w:rFonts w:hint="eastAsia" w:ascii="宋体" w:hAnsi="宋体" w:cs="宋体"/>
          <w:kern w:val="0"/>
          <w:sz w:val="24"/>
        </w:rPr>
        <w:t>检修计划要求，合理组织、安排检修人员，保证检修计划的可行性。</w:t>
      </w:r>
    </w:p>
    <w:p w14:paraId="6EFAEB44">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3）按照</w:t>
      </w:r>
      <w:r>
        <w:rPr>
          <w:rFonts w:hint="eastAsia" w:ascii="宋体" w:hAnsi="宋体" w:cs="宋体"/>
          <w:kern w:val="0"/>
          <w:sz w:val="24"/>
          <w:lang w:eastAsia="zh-CN"/>
        </w:rPr>
        <w:t>招标方</w:t>
      </w:r>
      <w:r>
        <w:rPr>
          <w:rFonts w:hint="eastAsia" w:ascii="宋体" w:hAnsi="宋体" w:cs="宋体"/>
          <w:kern w:val="0"/>
          <w:sz w:val="24"/>
        </w:rPr>
        <w:t>计划的检修项目，对项目进行分类，并针对重大检修项目拟定检修组织方案，编制和细化检修所需的技术措施、安全措施、组织措施、检修位置图、检修进度网络图、工作程序等，完善检修技术文件、检修方案、见证点等。</w:t>
      </w:r>
    </w:p>
    <w:p w14:paraId="5B6EE160">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4）根据图纸技术资料、检修文件包、检修方案、安全管理规定，提前对参加检修的工作人员进行技术交底及技术讨论。</w:t>
      </w:r>
    </w:p>
    <w:p w14:paraId="75ADBD78">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5）编制本检修项目的组织机构图，并备注相关人员联系电话，以便</w:t>
      </w:r>
      <w:r>
        <w:rPr>
          <w:rFonts w:hint="eastAsia" w:ascii="宋体" w:hAnsi="宋体" w:cs="宋体"/>
          <w:kern w:val="0"/>
          <w:sz w:val="24"/>
          <w:lang w:eastAsia="zh-CN"/>
        </w:rPr>
        <w:t>招标方</w:t>
      </w:r>
      <w:r>
        <w:rPr>
          <w:rFonts w:hint="eastAsia" w:ascii="宋体" w:hAnsi="宋体" w:cs="宋体"/>
          <w:kern w:val="0"/>
          <w:sz w:val="24"/>
        </w:rPr>
        <w:t>管理人员沟通联系。</w:t>
      </w:r>
    </w:p>
    <w:p w14:paraId="78F8DC30">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（2）技术准备</w:t>
      </w:r>
    </w:p>
    <w:p w14:paraId="2604AA8F">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1）应组织具有丰富设备检修经验的技术及质检人员进行检修。</w:t>
      </w:r>
    </w:p>
    <w:p w14:paraId="74AFF3BA">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2）根据工程实际情况，从技术角度分析预测项目检修中的重点及难点，确定项目关键部位的检修。</w:t>
      </w:r>
    </w:p>
    <w:p w14:paraId="1FE739F9">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3）项目开工前，组织参加本项目的检修人员，有针对性的进行技术培训。</w:t>
      </w:r>
    </w:p>
    <w:p w14:paraId="66754ED9">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4）本项目配备足够的专业技术人员，以满足现场检修所需为要求。技术负责人员一名，项目经理或技术负责人具有丰富的锅炉设备检修管理经验，技术全面，有四年以上火电厂锅炉检修经验，所有人员均应为锅炉检修中专及以上专业水平，熟悉火电厂锅炉检修规程，都具有相关机务检修经验，参加过</w:t>
      </w:r>
      <w:r>
        <w:rPr>
          <w:rFonts w:hint="eastAsia" w:ascii="宋体" w:hAnsi="宋体" w:cs="宋体"/>
          <w:kern w:val="0"/>
          <w:sz w:val="24"/>
          <w:lang w:eastAsia="zh-CN"/>
        </w:rPr>
        <w:t>投标方</w:t>
      </w:r>
      <w:r>
        <w:rPr>
          <w:rFonts w:hint="eastAsia" w:ascii="宋体" w:hAnsi="宋体" w:cs="宋体"/>
          <w:kern w:val="0"/>
          <w:sz w:val="24"/>
        </w:rPr>
        <w:t>的专业技术培训，熟练掌握国家通用语言。</w:t>
      </w:r>
    </w:p>
    <w:p w14:paraId="5CFB32E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bookmarkStart w:id="20" w:name="_Toc445388467"/>
      <w:r>
        <w:rPr>
          <w:rFonts w:hint="eastAsia" w:ascii="宋体" w:hAnsi="宋体" w:cs="宋体"/>
          <w:sz w:val="24"/>
          <w:szCs w:val="24"/>
          <w:highlight w:val="none"/>
          <w:lang w:val="en-US" w:eastAsia="zh-CN"/>
        </w:rPr>
        <w:t>5.3</w:t>
      </w:r>
      <w:r>
        <w:rPr>
          <w:rFonts w:hint="eastAsia" w:ascii="宋体" w:hAnsi="宋体" w:eastAsia="宋体" w:cs="宋体"/>
          <w:sz w:val="24"/>
          <w:szCs w:val="24"/>
          <w:highlight w:val="none"/>
          <w:lang w:val="en-US" w:eastAsia="zh-CN"/>
        </w:rPr>
        <w:t>检修安全要求</w:t>
      </w:r>
      <w:bookmarkEnd w:id="20"/>
    </w:p>
    <w:p w14:paraId="6ADEFDD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（1）检修人员进行设备检修工作时，必须办理合格的工作票及各种特殊作业票。</w:t>
      </w:r>
    </w:p>
    <w:p w14:paraId="12F9F451">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）检修人员如需在脚手架上工作，必须系安全带方能上脚手架，并将安全带挂在固定牢固部件上。</w:t>
      </w:r>
    </w:p>
    <w:p w14:paraId="0FEAC82C">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）设备所有零部件，应按要求摆放在指定的地点, 妥善保管。工作中轻起轻落,不准将设备或零部件直接放在地面上，在检修现场必须垫上橡胶垫，以防工具、零件等掉在地上。</w:t>
      </w:r>
    </w:p>
    <w:p w14:paraId="340AA36D">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4）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7FC6FA97">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）现场工作人员应精神状态良好、无有碍工作的疾病，并不得酒后上班。</w:t>
      </w:r>
    </w:p>
    <w:p w14:paraId="4A6D6BE9">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）进入生产场所的所有人员包括管理人员必须戴好安全帽，禁止在生产场所吸烟。</w:t>
      </w:r>
    </w:p>
    <w:p w14:paraId="5FF8292C">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7</w:t>
      </w:r>
      <w:r>
        <w:rPr>
          <w:rFonts w:hint="eastAsia" w:ascii="宋体" w:hAnsi="宋体" w:cs="宋体"/>
          <w:kern w:val="0"/>
          <w:sz w:val="24"/>
        </w:rPr>
        <w:t>）动火作业按要求办理好动火作业工作票，注意火星的控制，以及动火操作的规范。</w:t>
      </w:r>
    </w:p>
    <w:p w14:paraId="0913CC0F">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8</w:t>
      </w:r>
      <w:r>
        <w:rPr>
          <w:rFonts w:hint="eastAsia" w:ascii="宋体" w:hAnsi="宋体" w:cs="宋体"/>
          <w:kern w:val="0"/>
          <w:sz w:val="24"/>
        </w:rPr>
        <w:t>）容器内作业注意通风，外部设专业监护，防止窒息。</w:t>
      </w:r>
    </w:p>
    <w:p w14:paraId="542640D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bookmarkStart w:id="21" w:name="_Toc445388468"/>
      <w:r>
        <w:rPr>
          <w:rFonts w:hint="eastAsia" w:ascii="宋体" w:hAnsi="宋体" w:cs="宋体"/>
          <w:sz w:val="24"/>
          <w:szCs w:val="24"/>
          <w:highlight w:val="none"/>
          <w:lang w:val="en-US" w:eastAsia="zh-CN"/>
        </w:rPr>
        <w:t>5.4</w:t>
      </w:r>
      <w:r>
        <w:rPr>
          <w:rFonts w:hint="eastAsia" w:ascii="宋体" w:hAnsi="宋体" w:eastAsia="宋体" w:cs="宋体"/>
          <w:sz w:val="24"/>
          <w:szCs w:val="24"/>
          <w:highlight w:val="none"/>
          <w:lang w:val="en-US" w:eastAsia="zh-CN"/>
        </w:rPr>
        <w:t>检修技术要求</w:t>
      </w:r>
      <w:bookmarkEnd w:id="21"/>
    </w:p>
    <w:p w14:paraId="4757F2FB">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（1）建立以技术负责人为首的技术保证体系，贯彻执行国家项目验收评价标准、技术规范，向</w:t>
      </w:r>
      <w:r>
        <w:rPr>
          <w:rFonts w:hint="eastAsia" w:ascii="宋体" w:hAnsi="宋体" w:cs="宋体"/>
          <w:kern w:val="0"/>
          <w:sz w:val="24"/>
          <w:lang w:eastAsia="zh-CN"/>
        </w:rPr>
        <w:t>招标方</w:t>
      </w:r>
      <w:r>
        <w:rPr>
          <w:rFonts w:hint="eastAsia" w:ascii="宋体" w:hAnsi="宋体" w:cs="宋体"/>
          <w:kern w:val="0"/>
          <w:sz w:val="24"/>
        </w:rPr>
        <w:t>提供可操作的检修程序文件。</w:t>
      </w:r>
    </w:p>
    <w:p w14:paraId="15BF3EA0">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）贯彻落实技术责任制，执行技术规程、规范，严格执行</w:t>
      </w:r>
      <w:r>
        <w:rPr>
          <w:rFonts w:hint="eastAsia" w:ascii="宋体" w:hAnsi="宋体" w:cs="宋体"/>
          <w:kern w:val="0"/>
          <w:sz w:val="24"/>
          <w:lang w:eastAsia="zh-CN"/>
        </w:rPr>
        <w:t>招标方</w:t>
      </w:r>
      <w:r>
        <w:rPr>
          <w:rFonts w:hint="eastAsia" w:ascii="宋体" w:hAnsi="宋体" w:cs="宋体"/>
          <w:kern w:val="0"/>
          <w:sz w:val="24"/>
        </w:rPr>
        <w:t>的各项管理制度（包括工作流程）。</w:t>
      </w:r>
    </w:p>
    <w:p w14:paraId="37E1CD40">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）工作人员均提前进场，熟悉设备和技术文件，参与调试及验收，编制检修</w:t>
      </w:r>
      <w:r>
        <w:rPr>
          <w:rFonts w:hint="eastAsia" w:ascii="宋体" w:hAnsi="宋体" w:cs="宋体"/>
          <w:kern w:val="0"/>
          <w:sz w:val="24"/>
          <w:lang w:val="en-US" w:eastAsia="zh-CN"/>
        </w:rPr>
        <w:t>作业方案</w:t>
      </w:r>
      <w:r>
        <w:rPr>
          <w:rFonts w:hint="eastAsia" w:ascii="宋体" w:hAnsi="宋体" w:cs="宋体"/>
          <w:kern w:val="0"/>
          <w:sz w:val="24"/>
        </w:rPr>
        <w:t>，学习相关管理规程、管理设备及技能。制定检修方案及计划，进行内部培训，学习和遵守</w:t>
      </w:r>
      <w:r>
        <w:rPr>
          <w:rFonts w:hint="eastAsia" w:ascii="宋体" w:hAnsi="宋体" w:cs="宋体"/>
          <w:kern w:val="0"/>
          <w:sz w:val="24"/>
          <w:lang w:eastAsia="zh-CN"/>
        </w:rPr>
        <w:t>招标方</w:t>
      </w:r>
      <w:r>
        <w:rPr>
          <w:rFonts w:hint="eastAsia" w:ascii="宋体" w:hAnsi="宋体" w:cs="宋体"/>
          <w:kern w:val="0"/>
          <w:sz w:val="24"/>
        </w:rPr>
        <w:t>的各种规章制度。</w:t>
      </w:r>
    </w:p>
    <w:p w14:paraId="62E55D97">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4</w:t>
      </w:r>
      <w:r>
        <w:rPr>
          <w:rFonts w:hint="eastAsia" w:ascii="宋体" w:hAnsi="宋体" w:cs="宋体"/>
          <w:kern w:val="0"/>
          <w:sz w:val="24"/>
        </w:rPr>
        <w:t>）协助</w:t>
      </w:r>
      <w:r>
        <w:rPr>
          <w:rFonts w:hint="eastAsia" w:ascii="宋体" w:hAnsi="宋体" w:cs="宋体"/>
          <w:kern w:val="0"/>
          <w:sz w:val="24"/>
          <w:lang w:eastAsia="zh-CN"/>
        </w:rPr>
        <w:t>招标方</w:t>
      </w:r>
      <w:r>
        <w:rPr>
          <w:rFonts w:hint="eastAsia" w:ascii="宋体" w:hAnsi="宋体" w:cs="宋体"/>
          <w:kern w:val="0"/>
          <w:sz w:val="24"/>
        </w:rPr>
        <w:t>调试验收设备检修和试运，发现问题及时向</w:t>
      </w:r>
      <w:r>
        <w:rPr>
          <w:rFonts w:hint="eastAsia" w:ascii="宋体" w:hAnsi="宋体" w:cs="宋体"/>
          <w:kern w:val="0"/>
          <w:sz w:val="24"/>
          <w:lang w:eastAsia="zh-CN"/>
        </w:rPr>
        <w:t>招标方</w:t>
      </w:r>
      <w:r>
        <w:rPr>
          <w:rFonts w:hint="eastAsia" w:ascii="宋体" w:hAnsi="宋体" w:cs="宋体"/>
          <w:kern w:val="0"/>
          <w:sz w:val="24"/>
        </w:rPr>
        <w:t>汇报并提出改进建议，收集验收合格的原始数据并建立设备档案。</w:t>
      </w:r>
    </w:p>
    <w:p w14:paraId="1D93B716">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）配合</w:t>
      </w:r>
      <w:r>
        <w:rPr>
          <w:rFonts w:hint="eastAsia" w:ascii="宋体" w:hAnsi="宋体" w:cs="宋体"/>
          <w:kern w:val="0"/>
          <w:sz w:val="24"/>
          <w:lang w:eastAsia="zh-CN"/>
        </w:rPr>
        <w:t>招标方</w:t>
      </w:r>
      <w:r>
        <w:rPr>
          <w:rFonts w:hint="eastAsia" w:ascii="宋体" w:hAnsi="宋体" w:cs="宋体"/>
          <w:kern w:val="0"/>
          <w:sz w:val="24"/>
        </w:rPr>
        <w:t>编制检修文件包，文件包的内容包括：工作指令、安全技术交底检查单、检修工序、检修质量签证单、不符合项报告单、危险源辨识分析、检修完工报告等，另外各种必须的技术数据应放入文件包。</w:t>
      </w:r>
    </w:p>
    <w:p w14:paraId="156C453F">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）组织所有检修人员学习测量工器具使用说明书，分析其结构、原理、技术性能，提高检修人员的技术水平。</w:t>
      </w:r>
    </w:p>
    <w:p w14:paraId="28B9A558">
      <w:pPr>
        <w:spacing w:line="360" w:lineRule="auto"/>
        <w:rPr>
          <w:rStyle w:val="34"/>
          <w:rFonts w:hint="eastAsia" w:ascii="宋体" w:hAnsi="宋体" w:eastAsia="宋体" w:cs="宋体"/>
          <w:sz w:val="24"/>
          <w:szCs w:val="24"/>
          <w:highlight w:val="none"/>
        </w:rPr>
      </w:pPr>
      <w:r>
        <w:rPr>
          <w:rFonts w:hint="eastAsia" w:ascii="宋体" w:hAnsi="宋体" w:cs="宋体"/>
          <w:kern w:val="0"/>
          <w:sz w:val="24"/>
        </w:rPr>
        <w:t>（</w:t>
      </w:r>
      <w:r>
        <w:rPr>
          <w:rFonts w:ascii="宋体" w:hAnsi="宋体" w:cs="宋体"/>
          <w:kern w:val="0"/>
          <w:sz w:val="24"/>
        </w:rPr>
        <w:t>7</w:t>
      </w:r>
      <w:r>
        <w:rPr>
          <w:rFonts w:hint="eastAsia" w:ascii="宋体" w:hAnsi="宋体" w:cs="宋体"/>
          <w:kern w:val="0"/>
          <w:sz w:val="24"/>
        </w:rPr>
        <w:t>）服从</w:t>
      </w:r>
      <w:r>
        <w:rPr>
          <w:rFonts w:hint="eastAsia" w:ascii="宋体" w:hAnsi="宋体" w:cs="宋体"/>
          <w:kern w:val="0"/>
          <w:sz w:val="24"/>
          <w:lang w:eastAsia="zh-CN"/>
        </w:rPr>
        <w:t>招标方</w:t>
      </w:r>
      <w:r>
        <w:rPr>
          <w:rFonts w:hint="eastAsia" w:ascii="宋体" w:hAnsi="宋体" w:cs="宋体"/>
          <w:kern w:val="0"/>
          <w:sz w:val="24"/>
        </w:rPr>
        <w:t>的管理和技术指导。</w:t>
      </w:r>
    </w:p>
    <w:p w14:paraId="06157811">
      <w:pPr>
        <w:pStyle w:val="112"/>
        <w:numPr>
          <w:ilvl w:val="4"/>
          <w:numId w:val="0"/>
        </w:num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5.5 检修项目及工程量清单（每年8台磨煤机量，二年量再乘2）</w:t>
      </w:r>
    </w:p>
    <w:tbl>
      <w:tblPr>
        <w:tblStyle w:val="30"/>
        <w:tblW w:w="8484" w:type="dxa"/>
        <w:jc w:val="center"/>
        <w:tblLayout w:type="fixed"/>
        <w:tblCellMar>
          <w:top w:w="0" w:type="dxa"/>
          <w:left w:w="108" w:type="dxa"/>
          <w:bottom w:w="0" w:type="dxa"/>
          <w:right w:w="108" w:type="dxa"/>
        </w:tblCellMar>
      </w:tblPr>
      <w:tblGrid>
        <w:gridCol w:w="538"/>
        <w:gridCol w:w="1175"/>
        <w:gridCol w:w="3760"/>
        <w:gridCol w:w="761"/>
        <w:gridCol w:w="900"/>
        <w:gridCol w:w="1350"/>
      </w:tblGrid>
      <w:tr w14:paraId="6EB0BC11">
        <w:tblPrEx>
          <w:tblCellMar>
            <w:top w:w="0" w:type="dxa"/>
            <w:left w:w="108" w:type="dxa"/>
            <w:bottom w:w="0" w:type="dxa"/>
            <w:right w:w="108" w:type="dxa"/>
          </w:tblCellMar>
        </w:tblPrEx>
        <w:trPr>
          <w:trHeight w:val="510" w:hRule="atLeast"/>
          <w:jc w:val="center"/>
        </w:trPr>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19B36675">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序号</w:t>
            </w:r>
          </w:p>
        </w:tc>
        <w:tc>
          <w:tcPr>
            <w:tcW w:w="1175" w:type="dxa"/>
            <w:tcBorders>
              <w:top w:val="single" w:color="auto" w:sz="4" w:space="0"/>
              <w:left w:val="nil"/>
              <w:bottom w:val="single" w:color="auto" w:sz="4" w:space="0"/>
              <w:right w:val="single" w:color="auto" w:sz="4" w:space="0"/>
            </w:tcBorders>
            <w:shd w:val="clear" w:color="auto" w:fill="auto"/>
            <w:vAlign w:val="center"/>
          </w:tcPr>
          <w:p w14:paraId="6177EE1C">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检修项目</w:t>
            </w:r>
          </w:p>
        </w:tc>
        <w:tc>
          <w:tcPr>
            <w:tcW w:w="3760" w:type="dxa"/>
            <w:tcBorders>
              <w:top w:val="single" w:color="auto" w:sz="4" w:space="0"/>
              <w:left w:val="nil"/>
              <w:bottom w:val="single" w:color="auto" w:sz="4" w:space="0"/>
              <w:right w:val="single" w:color="auto" w:sz="4" w:space="0"/>
            </w:tcBorders>
            <w:shd w:val="clear" w:color="auto" w:fill="auto"/>
            <w:vAlign w:val="center"/>
          </w:tcPr>
          <w:p w14:paraId="4CA8330D">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检修内容</w:t>
            </w:r>
          </w:p>
        </w:tc>
        <w:tc>
          <w:tcPr>
            <w:tcW w:w="761" w:type="dxa"/>
            <w:tcBorders>
              <w:top w:val="single" w:color="auto" w:sz="4" w:space="0"/>
              <w:left w:val="nil"/>
              <w:bottom w:val="single" w:color="auto" w:sz="4" w:space="0"/>
              <w:right w:val="single" w:color="auto" w:sz="4" w:space="0"/>
            </w:tcBorders>
            <w:shd w:val="clear" w:color="auto" w:fill="auto"/>
            <w:vAlign w:val="center"/>
          </w:tcPr>
          <w:p w14:paraId="41AA9F91">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计量单位</w:t>
            </w:r>
          </w:p>
        </w:tc>
        <w:tc>
          <w:tcPr>
            <w:tcW w:w="900" w:type="dxa"/>
            <w:tcBorders>
              <w:top w:val="single" w:color="auto" w:sz="4" w:space="0"/>
              <w:left w:val="nil"/>
              <w:bottom w:val="single" w:color="auto" w:sz="4" w:space="0"/>
              <w:right w:val="single" w:color="auto" w:sz="4" w:space="0"/>
            </w:tcBorders>
            <w:shd w:val="clear" w:color="auto" w:fill="auto"/>
            <w:vAlign w:val="center"/>
          </w:tcPr>
          <w:p w14:paraId="1414361F">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工程量</w:t>
            </w:r>
          </w:p>
        </w:tc>
        <w:tc>
          <w:tcPr>
            <w:tcW w:w="1350" w:type="dxa"/>
            <w:tcBorders>
              <w:top w:val="single" w:color="auto" w:sz="4" w:space="0"/>
              <w:left w:val="nil"/>
              <w:bottom w:val="single" w:color="auto" w:sz="4" w:space="0"/>
              <w:right w:val="single" w:color="auto" w:sz="4" w:space="0"/>
            </w:tcBorders>
            <w:shd w:val="clear" w:color="000000" w:fill="FFFFFF"/>
            <w:vAlign w:val="center"/>
          </w:tcPr>
          <w:p w14:paraId="5C21049F">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备 注</w:t>
            </w:r>
          </w:p>
        </w:tc>
      </w:tr>
      <w:tr w14:paraId="2B02C411">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000000" w:fill="FFFFFF"/>
            <w:vAlign w:val="center"/>
          </w:tcPr>
          <w:p w14:paraId="2BCF0B2B">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1</w:t>
            </w:r>
          </w:p>
        </w:tc>
        <w:tc>
          <w:tcPr>
            <w:tcW w:w="1175" w:type="dxa"/>
            <w:vMerge w:val="restart"/>
            <w:tcBorders>
              <w:top w:val="nil"/>
              <w:left w:val="single" w:color="auto" w:sz="4" w:space="0"/>
              <w:bottom w:val="single" w:color="auto" w:sz="4" w:space="0"/>
              <w:right w:val="single" w:color="auto" w:sz="4" w:space="0"/>
            </w:tcBorders>
            <w:shd w:val="clear" w:color="000000" w:fill="FFFFFF"/>
            <w:vAlign w:val="center"/>
          </w:tcPr>
          <w:p w14:paraId="6199D5D5">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磨煤机内部清理</w:t>
            </w:r>
          </w:p>
        </w:tc>
        <w:tc>
          <w:tcPr>
            <w:tcW w:w="3760" w:type="dxa"/>
            <w:tcBorders>
              <w:top w:val="nil"/>
              <w:left w:val="nil"/>
              <w:bottom w:val="single" w:color="auto" w:sz="4" w:space="0"/>
              <w:right w:val="single" w:color="auto" w:sz="4" w:space="0"/>
            </w:tcBorders>
            <w:shd w:val="clear" w:color="000000" w:fill="FFFFFF"/>
            <w:vAlign w:val="center"/>
          </w:tcPr>
          <w:p w14:paraId="06437A39">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、磨碗内部杂物、积煤清理</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06146711">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352B93A8">
            <w:pPr>
              <w:jc w:val="center"/>
              <w:rPr>
                <w:rFonts w:asciiTheme="minorEastAsia" w:hAnsiTheme="minorEastAsia" w:eastAsiaTheme="minorEastAsia"/>
                <w:szCs w:val="21"/>
              </w:rPr>
            </w:pPr>
            <w:r>
              <w:rPr>
                <w:rFonts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49F36AA0">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4BA02148">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28BC1E81">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5E266FB1">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58FD10D1">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、分离器内部、积煤清理</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2071DEA1">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4CEF99BC">
            <w:pPr>
              <w:jc w:val="center"/>
              <w:rPr>
                <w:rFonts w:asciiTheme="minorEastAsia" w:hAnsiTheme="minorEastAsia" w:eastAsiaTheme="minorEastAsia"/>
                <w:szCs w:val="21"/>
              </w:rPr>
            </w:pPr>
            <w:r>
              <w:rPr>
                <w:rFonts w:asciiTheme="minorEastAsia" w:hAnsiTheme="minorEastAsia" w:eastAsiaTheme="minorEastAsia"/>
                <w:szCs w:val="21"/>
              </w:rPr>
              <w:t>2</w:t>
            </w:r>
          </w:p>
        </w:tc>
        <w:tc>
          <w:tcPr>
            <w:tcW w:w="1350" w:type="dxa"/>
            <w:tcBorders>
              <w:top w:val="nil"/>
              <w:left w:val="nil"/>
              <w:bottom w:val="single" w:color="auto" w:sz="4" w:space="0"/>
              <w:right w:val="single" w:color="auto" w:sz="4" w:space="0"/>
            </w:tcBorders>
            <w:shd w:val="clear" w:color="000000" w:fill="FFFFFF"/>
            <w:vAlign w:val="center"/>
          </w:tcPr>
          <w:p w14:paraId="6D40EDF4">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4F50EF48">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1347985C">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4675091D">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554CC40F">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、石子煤收集装置内部石子煤清理</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1A562A58">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3778E972">
            <w:pPr>
              <w:jc w:val="center"/>
              <w:rPr>
                <w:rFonts w:asciiTheme="minorEastAsia" w:hAnsiTheme="minorEastAsia" w:eastAsiaTheme="minorEastAsia"/>
                <w:szCs w:val="21"/>
              </w:rPr>
            </w:pPr>
            <w:r>
              <w:rPr>
                <w:rFonts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2DC015E8">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4B74F3F7">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14:paraId="453A4D4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2</w:t>
            </w:r>
          </w:p>
        </w:tc>
        <w:tc>
          <w:tcPr>
            <w:tcW w:w="1175" w:type="dxa"/>
            <w:vMerge w:val="restart"/>
            <w:tcBorders>
              <w:top w:val="nil"/>
              <w:left w:val="single" w:color="auto" w:sz="4" w:space="0"/>
              <w:bottom w:val="single" w:color="auto" w:sz="4" w:space="0"/>
              <w:right w:val="single" w:color="auto" w:sz="4" w:space="0"/>
            </w:tcBorders>
            <w:shd w:val="clear" w:color="auto" w:fill="auto"/>
            <w:vAlign w:val="center"/>
          </w:tcPr>
          <w:p w14:paraId="10B5C83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分离器拆卸及回装</w:t>
            </w:r>
          </w:p>
        </w:tc>
        <w:tc>
          <w:tcPr>
            <w:tcW w:w="3760" w:type="dxa"/>
            <w:tcBorders>
              <w:top w:val="nil"/>
              <w:left w:val="nil"/>
              <w:bottom w:val="single" w:color="auto" w:sz="4" w:space="0"/>
              <w:right w:val="single" w:color="auto" w:sz="4" w:space="0"/>
            </w:tcBorders>
            <w:shd w:val="clear" w:color="auto" w:fill="auto"/>
            <w:vAlign w:val="center"/>
          </w:tcPr>
          <w:p w14:paraId="7FEE9858">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1、落煤管、出粉管割除、恢复</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5D0F8162">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691303F9">
            <w:pPr>
              <w:jc w:val="center"/>
              <w:rPr>
                <w:rFonts w:asciiTheme="minorEastAsia" w:hAnsiTheme="minorEastAsia" w:eastAsiaTheme="minorEastAsia"/>
                <w:szCs w:val="21"/>
              </w:rPr>
            </w:pPr>
            <w:r>
              <w:rPr>
                <w:rFonts w:asciiTheme="minorEastAsia" w:hAnsiTheme="minorEastAsia" w:eastAsiaTheme="minorEastAsia"/>
                <w:szCs w:val="21"/>
              </w:rPr>
              <w:t>18</w:t>
            </w:r>
          </w:p>
        </w:tc>
        <w:tc>
          <w:tcPr>
            <w:tcW w:w="1350" w:type="dxa"/>
            <w:tcBorders>
              <w:top w:val="nil"/>
              <w:left w:val="nil"/>
              <w:bottom w:val="single" w:color="auto" w:sz="4" w:space="0"/>
              <w:right w:val="single" w:color="auto" w:sz="4" w:space="0"/>
            </w:tcBorders>
            <w:shd w:val="clear" w:color="000000" w:fill="FFFFFF"/>
            <w:vAlign w:val="center"/>
          </w:tcPr>
          <w:p w14:paraId="5145B38B">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3EAD473F">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4E76B7E3">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6901AFDC">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33183CAD">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2、分离器连接法兰螺栓拆卸、恢复</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3F73276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37CEBE99">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3DFA748B">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7E6FC34B">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3649FCAC">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0D41D028">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7952CC43">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3、分离器测点、管道拆卸、恢复</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052B849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1C501007">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4590AC4C">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01A0F531">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7228A625">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19B5F8F2">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33B41A47">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4、分离器内部杂物清理</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76FB4DB0">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5BD32896">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1B8DAA68">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0A7F3B4E">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000000" w:fill="FFFFFF"/>
            <w:vAlign w:val="center"/>
          </w:tcPr>
          <w:p w14:paraId="69A83193">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3</w:t>
            </w:r>
          </w:p>
        </w:tc>
        <w:tc>
          <w:tcPr>
            <w:tcW w:w="1175" w:type="dxa"/>
            <w:vMerge w:val="restart"/>
            <w:tcBorders>
              <w:top w:val="nil"/>
              <w:left w:val="single" w:color="auto" w:sz="4" w:space="0"/>
              <w:bottom w:val="single" w:color="auto" w:sz="4" w:space="0"/>
              <w:right w:val="single" w:color="auto" w:sz="4" w:space="0"/>
            </w:tcBorders>
            <w:shd w:val="clear" w:color="000000" w:fill="FFFFFF"/>
            <w:vAlign w:val="center"/>
          </w:tcPr>
          <w:p w14:paraId="1BEA7C5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液压加载装置检修</w:t>
            </w:r>
          </w:p>
        </w:tc>
        <w:tc>
          <w:tcPr>
            <w:tcW w:w="3760" w:type="dxa"/>
            <w:tcBorders>
              <w:top w:val="nil"/>
              <w:left w:val="nil"/>
              <w:bottom w:val="single" w:color="auto" w:sz="4" w:space="0"/>
              <w:right w:val="single" w:color="auto" w:sz="4" w:space="0"/>
            </w:tcBorders>
            <w:shd w:val="clear" w:color="000000" w:fill="FFFFFF"/>
            <w:vAlign w:val="center"/>
          </w:tcPr>
          <w:p w14:paraId="31012857">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1、液压油箱放油，内部清理</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6B15DC86">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084CABAB">
            <w:pPr>
              <w:jc w:val="center"/>
              <w:rPr>
                <w:rFonts w:asciiTheme="minorEastAsia" w:hAnsiTheme="minorEastAsia" w:eastAsiaTheme="minorEastAsia"/>
                <w:szCs w:val="21"/>
              </w:rPr>
            </w:pPr>
            <w:r>
              <w:rPr>
                <w:rFonts w:asciiTheme="minorEastAsia" w:hAnsiTheme="minorEastAsia" w:eastAsiaTheme="minorEastAsia"/>
                <w:szCs w:val="21"/>
              </w:rPr>
              <w:t>8</w:t>
            </w:r>
          </w:p>
        </w:tc>
        <w:tc>
          <w:tcPr>
            <w:tcW w:w="1350" w:type="dxa"/>
            <w:tcBorders>
              <w:top w:val="nil"/>
              <w:left w:val="nil"/>
              <w:bottom w:val="single" w:color="auto" w:sz="4" w:space="0"/>
              <w:right w:val="single" w:color="auto" w:sz="4" w:space="0"/>
            </w:tcBorders>
            <w:shd w:val="clear" w:color="000000" w:fill="FFFFFF"/>
            <w:vAlign w:val="center"/>
          </w:tcPr>
          <w:p w14:paraId="6C0A5209">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00317F9A">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0A21915B">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2C1B247A">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7ED0E14C">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、液压加载系统垫圈、O型圈等密封元件检修更换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4CFAAB2C">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52434526">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016F9B75">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6B808D04">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1940C5BF">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01C3D805">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1465ABE0">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、液压油管及阀门清洗、维修</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2556269A">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8FA04EE">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1A69E121">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3ECAF0AB">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078C46E4">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7C025C86">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6E50C61C">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、冷油器内部清洗、维修</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31D67552">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69AF413B">
            <w:pPr>
              <w:jc w:val="center"/>
              <w:rPr>
                <w:rFonts w:asciiTheme="minorEastAsia" w:hAnsiTheme="minorEastAsia" w:eastAsiaTheme="minorEastAsia"/>
                <w:szCs w:val="21"/>
              </w:rPr>
            </w:pPr>
            <w:r>
              <w:rPr>
                <w:rFonts w:asciiTheme="minorEastAsia" w:hAnsiTheme="minorEastAsia" w:eastAsiaTheme="minorEastAsia"/>
                <w:szCs w:val="21"/>
              </w:rPr>
              <w:t>8</w:t>
            </w:r>
          </w:p>
        </w:tc>
        <w:tc>
          <w:tcPr>
            <w:tcW w:w="1350" w:type="dxa"/>
            <w:tcBorders>
              <w:top w:val="nil"/>
              <w:left w:val="nil"/>
              <w:bottom w:val="single" w:color="auto" w:sz="4" w:space="0"/>
              <w:right w:val="single" w:color="auto" w:sz="4" w:space="0"/>
            </w:tcBorders>
            <w:shd w:val="clear" w:color="000000" w:fill="FFFFFF"/>
            <w:vAlign w:val="center"/>
          </w:tcPr>
          <w:p w14:paraId="0CCFB001">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0C83D35E">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2626F178">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7483B647">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1578B423">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5</w:t>
            </w:r>
            <w:r>
              <w:rPr>
                <w:rFonts w:hint="eastAsia" w:cs="宋体" w:asciiTheme="minorEastAsia" w:hAnsiTheme="minorEastAsia" w:eastAsiaTheme="minorEastAsia"/>
                <w:color w:val="000000"/>
                <w:kern w:val="0"/>
                <w:szCs w:val="21"/>
              </w:rPr>
              <w:t>、液压油泵解体检修</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51244EF9">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F4BC638">
            <w:pPr>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2</w:t>
            </w:r>
          </w:p>
        </w:tc>
        <w:tc>
          <w:tcPr>
            <w:tcW w:w="1350" w:type="dxa"/>
            <w:tcBorders>
              <w:top w:val="nil"/>
              <w:left w:val="nil"/>
              <w:bottom w:val="single" w:color="auto" w:sz="4" w:space="0"/>
              <w:right w:val="single" w:color="auto" w:sz="4" w:space="0"/>
            </w:tcBorders>
            <w:shd w:val="clear" w:color="000000" w:fill="FFFFFF"/>
            <w:vAlign w:val="center"/>
          </w:tcPr>
          <w:p w14:paraId="71FFA78E">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63B0544C">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30357ED0">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31D41763">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1EC337EB">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6</w:t>
            </w:r>
            <w:r>
              <w:rPr>
                <w:rFonts w:hint="eastAsia" w:cs="宋体" w:asciiTheme="minorEastAsia" w:hAnsiTheme="minorEastAsia" w:eastAsiaTheme="minorEastAsia"/>
                <w:color w:val="000000"/>
                <w:kern w:val="0"/>
                <w:szCs w:val="21"/>
              </w:rPr>
              <w:t>、液压缸密封件更换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640B301B">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7CD92D9">
            <w:pPr>
              <w:jc w:val="center"/>
              <w:rPr>
                <w:rFonts w:asciiTheme="minorEastAsia" w:hAnsiTheme="minorEastAsia" w:eastAsiaTheme="minorEastAsia"/>
                <w:szCs w:val="21"/>
              </w:rPr>
            </w:pPr>
            <w:r>
              <w:rPr>
                <w:rFonts w:asciiTheme="minorEastAsia" w:hAnsiTheme="minorEastAsia" w:eastAsiaTheme="minorEastAsia"/>
                <w:szCs w:val="21"/>
              </w:rPr>
              <w:t>7</w:t>
            </w:r>
          </w:p>
        </w:tc>
        <w:tc>
          <w:tcPr>
            <w:tcW w:w="1350" w:type="dxa"/>
            <w:tcBorders>
              <w:top w:val="nil"/>
              <w:left w:val="nil"/>
              <w:bottom w:val="single" w:color="auto" w:sz="4" w:space="0"/>
              <w:right w:val="single" w:color="auto" w:sz="4" w:space="0"/>
            </w:tcBorders>
            <w:shd w:val="clear" w:color="000000" w:fill="FFFFFF"/>
            <w:vAlign w:val="center"/>
          </w:tcPr>
          <w:p w14:paraId="4798392C">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0BC9675E">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32DB9C30">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0E3436AE">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09E3522F">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7</w:t>
            </w:r>
            <w:r>
              <w:rPr>
                <w:rFonts w:hint="eastAsia" w:cs="宋体" w:asciiTheme="minorEastAsia" w:hAnsiTheme="minorEastAsia" w:eastAsiaTheme="minorEastAsia"/>
                <w:color w:val="000000"/>
                <w:kern w:val="0"/>
                <w:szCs w:val="21"/>
              </w:rPr>
              <w:t>、蓄能器清洗、充氮</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55E2BEE0">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B07ED94">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362E33DA">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2484327C">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0544ADD1">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6DAE26C2">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52EB5C46">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8</w:t>
            </w:r>
            <w:r>
              <w:rPr>
                <w:rFonts w:hint="eastAsia" w:cs="宋体" w:asciiTheme="minorEastAsia" w:hAnsiTheme="minorEastAsia" w:eastAsiaTheme="minorEastAsia"/>
                <w:color w:val="000000"/>
                <w:kern w:val="0"/>
                <w:szCs w:val="21"/>
              </w:rPr>
              <w:t>．磨辊与磨碗衬板间隙调整、加载压力调整</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653D44D1">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2835DD4">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350" w:type="dxa"/>
            <w:tcBorders>
              <w:top w:val="nil"/>
              <w:left w:val="nil"/>
              <w:bottom w:val="single" w:color="auto" w:sz="4" w:space="0"/>
              <w:right w:val="single" w:color="auto" w:sz="4" w:space="0"/>
            </w:tcBorders>
            <w:shd w:val="clear" w:color="000000" w:fill="FFFFFF"/>
            <w:vAlign w:val="center"/>
          </w:tcPr>
          <w:p w14:paraId="1E316C23">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17C0DA7F">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236DBB7C">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4636AC86">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0C7BEDD5">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9</w:t>
            </w:r>
            <w:r>
              <w:rPr>
                <w:rFonts w:hint="eastAsia" w:cs="宋体" w:asciiTheme="minorEastAsia" w:hAnsiTheme="minorEastAsia" w:eastAsiaTheme="minorEastAsia"/>
                <w:color w:val="000000"/>
                <w:kern w:val="0"/>
                <w:szCs w:val="21"/>
              </w:rPr>
              <w:t>．液压加载试验</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02556BFD">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30271ACC">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6842C944">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79E70B60">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000000" w:fill="FFFFFF"/>
            <w:vAlign w:val="center"/>
          </w:tcPr>
          <w:p w14:paraId="69D21825">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4</w:t>
            </w:r>
          </w:p>
        </w:tc>
        <w:tc>
          <w:tcPr>
            <w:tcW w:w="1175" w:type="dxa"/>
            <w:vMerge w:val="restart"/>
            <w:tcBorders>
              <w:top w:val="nil"/>
              <w:left w:val="single" w:color="auto" w:sz="4" w:space="0"/>
              <w:bottom w:val="single" w:color="auto" w:sz="4" w:space="0"/>
              <w:right w:val="single" w:color="auto" w:sz="4" w:space="0"/>
            </w:tcBorders>
            <w:shd w:val="clear" w:color="000000" w:fill="FFFFFF"/>
            <w:vAlign w:val="center"/>
          </w:tcPr>
          <w:p w14:paraId="46273265">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磨辊装置检修</w:t>
            </w:r>
          </w:p>
        </w:tc>
        <w:tc>
          <w:tcPr>
            <w:tcW w:w="3760" w:type="dxa"/>
            <w:tcBorders>
              <w:top w:val="nil"/>
              <w:left w:val="nil"/>
              <w:bottom w:val="single" w:color="auto" w:sz="4" w:space="0"/>
              <w:right w:val="single" w:color="auto" w:sz="4" w:space="0"/>
            </w:tcBorders>
            <w:shd w:val="clear" w:color="000000" w:fill="FFFFFF"/>
            <w:vAlign w:val="center"/>
          </w:tcPr>
          <w:p w14:paraId="7F401426">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1、压架拆卸及回装</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65AFDF7F">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F3AB25C">
            <w:pPr>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350" w:type="dxa"/>
            <w:tcBorders>
              <w:top w:val="nil"/>
              <w:left w:val="nil"/>
              <w:bottom w:val="single" w:color="auto" w:sz="4" w:space="0"/>
              <w:right w:val="single" w:color="auto" w:sz="4" w:space="0"/>
            </w:tcBorders>
            <w:shd w:val="clear" w:color="000000" w:fill="FFFFFF"/>
            <w:vAlign w:val="center"/>
          </w:tcPr>
          <w:p w14:paraId="721ED61A">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1C58DE8D">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1576B635">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5771CD90">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553ACF97">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2、压架导向块更换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3963065C">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10BA5F7F">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4423146D">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00D67712">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389544D4">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109CEA28">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5FCEE242">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、磨辊装置拆卸及回装</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038EEE4B">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14D444E6">
            <w:pPr>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350" w:type="dxa"/>
            <w:tcBorders>
              <w:top w:val="nil"/>
              <w:left w:val="nil"/>
              <w:bottom w:val="single" w:color="auto" w:sz="4" w:space="0"/>
              <w:right w:val="single" w:color="auto" w:sz="4" w:space="0"/>
            </w:tcBorders>
            <w:shd w:val="clear" w:color="000000" w:fill="FFFFFF"/>
            <w:vAlign w:val="center"/>
          </w:tcPr>
          <w:p w14:paraId="5781278B">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4D4B4436">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3D567821">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082CE68E">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229BD2C0">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、磨辊解体、轴承清洗、更换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56B96D48">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04F0EDD2">
            <w:pPr>
              <w:jc w:val="center"/>
              <w:rPr>
                <w:rFonts w:asciiTheme="minorEastAsia" w:hAnsiTheme="minorEastAsia" w:eastAsiaTheme="minorEastAsia"/>
                <w:szCs w:val="21"/>
              </w:rPr>
            </w:pPr>
            <w:r>
              <w:rPr>
                <w:rFonts w:hint="eastAsia" w:asciiTheme="minorEastAsia" w:hAnsiTheme="minorEastAsia" w:eastAsiaTheme="minorEastAsia"/>
                <w:szCs w:val="21"/>
              </w:rPr>
              <w:t>20</w:t>
            </w:r>
          </w:p>
        </w:tc>
        <w:tc>
          <w:tcPr>
            <w:tcW w:w="1350" w:type="dxa"/>
            <w:tcBorders>
              <w:top w:val="nil"/>
              <w:left w:val="nil"/>
              <w:bottom w:val="single" w:color="auto" w:sz="4" w:space="0"/>
              <w:right w:val="single" w:color="auto" w:sz="4" w:space="0"/>
            </w:tcBorders>
            <w:shd w:val="clear" w:color="000000" w:fill="FFFFFF"/>
            <w:vAlign w:val="center"/>
          </w:tcPr>
          <w:p w14:paraId="3AC6023C">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21FBE69A">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6D6D0581">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5ACE7781">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0B9D35D1">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5</w:t>
            </w:r>
            <w:r>
              <w:rPr>
                <w:rFonts w:hint="eastAsia" w:cs="宋体" w:asciiTheme="minorEastAsia" w:hAnsiTheme="minorEastAsia" w:eastAsiaTheme="minorEastAsia"/>
                <w:color w:val="000000"/>
                <w:kern w:val="0"/>
                <w:szCs w:val="21"/>
              </w:rPr>
              <w:t>、磨辊骨架油封超标更换，做气密封试验，更换磨辊油</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2B191314">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335A9B45">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20FF7213">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1A8D1F86">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41FAFB4E">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686993F0">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239CDBA3">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6</w:t>
            </w:r>
            <w:r>
              <w:rPr>
                <w:rFonts w:hint="eastAsia" w:cs="宋体" w:asciiTheme="minorEastAsia" w:hAnsiTheme="minorEastAsia" w:eastAsiaTheme="minorEastAsia"/>
                <w:color w:val="000000"/>
                <w:kern w:val="0"/>
                <w:szCs w:val="21"/>
              </w:rPr>
              <w:t>、磨辊轴油封耐油环磨损情况检修，超标更换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32A02862">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571FD032">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29846407">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4C4FFEB0">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3A488BBC">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7A5686E7">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5B3C8777">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7</w:t>
            </w:r>
            <w:r>
              <w:rPr>
                <w:rFonts w:hint="eastAsia" w:cs="宋体" w:asciiTheme="minorEastAsia" w:hAnsiTheme="minorEastAsia" w:eastAsiaTheme="minorEastAsia"/>
                <w:color w:val="000000"/>
                <w:kern w:val="0"/>
                <w:szCs w:val="21"/>
              </w:rPr>
              <w:t>、磨辊轴检修，并进行清理</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424B1935">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169A2EA0">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0EF5C2AC">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2B559A7A">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097E488B">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694EB5FB">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000000" w:fill="FFFFFF"/>
            <w:vAlign w:val="center"/>
          </w:tcPr>
          <w:p w14:paraId="67E8F089">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8</w:t>
            </w:r>
            <w:r>
              <w:rPr>
                <w:rFonts w:hint="eastAsia" w:cs="宋体" w:asciiTheme="minorEastAsia" w:hAnsiTheme="minorEastAsia" w:eastAsiaTheme="minorEastAsia"/>
                <w:color w:val="000000"/>
                <w:kern w:val="0"/>
                <w:szCs w:val="21"/>
              </w:rPr>
              <w:t>、磨辊头衬板装置检查检修，磨损超标进行更换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0B189047">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5EA552FE">
            <w:pPr>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350" w:type="dxa"/>
            <w:tcBorders>
              <w:top w:val="nil"/>
              <w:left w:val="nil"/>
              <w:bottom w:val="single" w:color="auto" w:sz="4" w:space="0"/>
              <w:right w:val="single" w:color="auto" w:sz="4" w:space="0"/>
            </w:tcBorders>
            <w:shd w:val="clear" w:color="000000" w:fill="FFFFFF"/>
            <w:vAlign w:val="center"/>
          </w:tcPr>
          <w:p w14:paraId="2040143E">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190E144C">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14:paraId="7050BABA">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5</w:t>
            </w:r>
          </w:p>
        </w:tc>
        <w:tc>
          <w:tcPr>
            <w:tcW w:w="1175" w:type="dxa"/>
            <w:vMerge w:val="restart"/>
            <w:tcBorders>
              <w:top w:val="nil"/>
              <w:left w:val="single" w:color="auto" w:sz="4" w:space="0"/>
              <w:bottom w:val="single" w:color="auto" w:sz="4" w:space="0"/>
              <w:right w:val="single" w:color="auto" w:sz="4" w:space="0"/>
            </w:tcBorders>
            <w:shd w:val="clear" w:color="auto" w:fill="auto"/>
            <w:vAlign w:val="center"/>
          </w:tcPr>
          <w:p w14:paraId="224838FD">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磨碗和喷嘴环检修</w:t>
            </w:r>
          </w:p>
        </w:tc>
        <w:tc>
          <w:tcPr>
            <w:tcW w:w="3760" w:type="dxa"/>
            <w:tcBorders>
              <w:top w:val="nil"/>
              <w:left w:val="nil"/>
              <w:bottom w:val="single" w:color="auto" w:sz="4" w:space="0"/>
              <w:right w:val="single" w:color="auto" w:sz="4" w:space="0"/>
            </w:tcBorders>
            <w:shd w:val="clear" w:color="auto" w:fill="auto"/>
            <w:vAlign w:val="center"/>
          </w:tcPr>
          <w:p w14:paraId="0B691239">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、磨碗衬板磨损更换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045E6499">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04243619">
            <w:pPr>
              <w:jc w:val="center"/>
              <w:rPr>
                <w:rFonts w:asciiTheme="minorEastAsia" w:hAnsiTheme="minorEastAsia" w:eastAsiaTheme="minorEastAsia"/>
                <w:szCs w:val="21"/>
              </w:rPr>
            </w:pPr>
            <w:r>
              <w:rPr>
                <w:rFonts w:asciiTheme="minorEastAsia" w:hAnsiTheme="minorEastAsia" w:eastAsiaTheme="minorEastAsia"/>
                <w:szCs w:val="21"/>
              </w:rPr>
              <w:t>12</w:t>
            </w:r>
          </w:p>
        </w:tc>
        <w:tc>
          <w:tcPr>
            <w:tcW w:w="1350" w:type="dxa"/>
            <w:tcBorders>
              <w:top w:val="nil"/>
              <w:left w:val="nil"/>
              <w:bottom w:val="single" w:color="auto" w:sz="4" w:space="0"/>
              <w:right w:val="single" w:color="auto" w:sz="4" w:space="0"/>
            </w:tcBorders>
            <w:shd w:val="clear" w:color="000000" w:fill="FFFFFF"/>
            <w:vAlign w:val="center"/>
          </w:tcPr>
          <w:p w14:paraId="347D37C7">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1D366A6A">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77C700AC">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7ED7B314">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73AF7AA4">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、喷嘴环与磨碗连接螺栓磨损超标更换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5DBDAE1A">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07A3607">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180C6E76">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055F274C">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5918D7BB">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43861270">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111706B6">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、喷嘴环磨损超标更换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045263F8">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56F3C0BD">
            <w:pPr>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2</w:t>
            </w:r>
          </w:p>
        </w:tc>
        <w:tc>
          <w:tcPr>
            <w:tcW w:w="1350" w:type="dxa"/>
            <w:tcBorders>
              <w:top w:val="nil"/>
              <w:left w:val="nil"/>
              <w:bottom w:val="single" w:color="auto" w:sz="4" w:space="0"/>
              <w:right w:val="single" w:color="auto" w:sz="4" w:space="0"/>
            </w:tcBorders>
            <w:shd w:val="clear" w:color="000000" w:fill="FFFFFF"/>
            <w:vAlign w:val="center"/>
          </w:tcPr>
          <w:p w14:paraId="509208EC">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7492A1F7">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14:paraId="4310FDC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6</w:t>
            </w:r>
          </w:p>
        </w:tc>
        <w:tc>
          <w:tcPr>
            <w:tcW w:w="1175" w:type="dxa"/>
            <w:vMerge w:val="restart"/>
            <w:tcBorders>
              <w:top w:val="nil"/>
              <w:left w:val="single" w:color="auto" w:sz="4" w:space="0"/>
              <w:bottom w:val="single" w:color="auto" w:sz="4" w:space="0"/>
              <w:right w:val="single" w:color="auto" w:sz="4" w:space="0"/>
            </w:tcBorders>
            <w:shd w:val="clear" w:color="auto" w:fill="auto"/>
            <w:vAlign w:val="center"/>
          </w:tcPr>
          <w:p w14:paraId="2AFFCB83">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石子煤刮板装置检修</w:t>
            </w:r>
          </w:p>
        </w:tc>
        <w:tc>
          <w:tcPr>
            <w:tcW w:w="3760" w:type="dxa"/>
            <w:tcBorders>
              <w:top w:val="nil"/>
              <w:left w:val="nil"/>
              <w:bottom w:val="single" w:color="auto" w:sz="4" w:space="0"/>
              <w:right w:val="single" w:color="auto" w:sz="4" w:space="0"/>
            </w:tcBorders>
            <w:shd w:val="clear" w:color="auto" w:fill="auto"/>
            <w:vAlign w:val="center"/>
          </w:tcPr>
          <w:p w14:paraId="575B034C">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、耐磨衬板磨损超标更换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7AA12794">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104BDBC3">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1483B5B7">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409FD0D2">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0B4584F0">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4CC368F1">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488EF825">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、石子煤刮板磨损超标更换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16F30B1D">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68625D38">
            <w:pPr>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350" w:type="dxa"/>
            <w:tcBorders>
              <w:top w:val="nil"/>
              <w:left w:val="nil"/>
              <w:bottom w:val="single" w:color="auto" w:sz="4" w:space="0"/>
              <w:right w:val="single" w:color="auto" w:sz="4" w:space="0"/>
            </w:tcBorders>
            <w:shd w:val="clear" w:color="000000" w:fill="FFFFFF"/>
            <w:vAlign w:val="center"/>
          </w:tcPr>
          <w:p w14:paraId="5C55C6B1">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248BE98C">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1F4DBE8C">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2C21E4C1">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4527051E">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、石子煤刮板所有连接螺栓进行紧固处理</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0738F39C">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44F8E6D7">
            <w:pPr>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350" w:type="dxa"/>
            <w:tcBorders>
              <w:top w:val="nil"/>
              <w:left w:val="nil"/>
              <w:bottom w:val="single" w:color="auto" w:sz="4" w:space="0"/>
              <w:right w:val="single" w:color="auto" w:sz="4" w:space="0"/>
            </w:tcBorders>
            <w:shd w:val="clear" w:color="000000" w:fill="FFFFFF"/>
            <w:vAlign w:val="center"/>
          </w:tcPr>
          <w:p w14:paraId="222EBC41">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37CCFCD0">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689D7FC3">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5039B1D4">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73AD9F27">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、石子煤刮板与底板间隙测量与调整</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65894BC8">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35E20F73">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399E0CEF">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2A257E13">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14:paraId="14B59802">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7</w:t>
            </w:r>
          </w:p>
        </w:tc>
        <w:tc>
          <w:tcPr>
            <w:tcW w:w="1175" w:type="dxa"/>
            <w:vMerge w:val="restart"/>
            <w:tcBorders>
              <w:top w:val="nil"/>
              <w:left w:val="single" w:color="auto" w:sz="4" w:space="0"/>
              <w:bottom w:val="single" w:color="auto" w:sz="4" w:space="0"/>
              <w:right w:val="single" w:color="auto" w:sz="4" w:space="0"/>
            </w:tcBorders>
            <w:shd w:val="clear" w:color="auto" w:fill="auto"/>
            <w:vAlign w:val="center"/>
          </w:tcPr>
          <w:p w14:paraId="3A7A03A0">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机座密封装置检修</w:t>
            </w:r>
          </w:p>
        </w:tc>
        <w:tc>
          <w:tcPr>
            <w:tcW w:w="3760" w:type="dxa"/>
            <w:tcBorders>
              <w:top w:val="nil"/>
              <w:left w:val="nil"/>
              <w:bottom w:val="single" w:color="auto" w:sz="4" w:space="0"/>
              <w:right w:val="single" w:color="auto" w:sz="4" w:space="0"/>
            </w:tcBorders>
            <w:shd w:val="clear" w:color="auto" w:fill="auto"/>
            <w:vAlign w:val="center"/>
          </w:tcPr>
          <w:p w14:paraId="07E1C778">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、密封环与磨碗毂间隙测量与调整</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2399F089">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629F19A6">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368A01CC">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65F7165C">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3628767E">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700A2C87">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419E9E1B">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、密封碳精更换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6F7C5C7D">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3D1FA171">
            <w:pPr>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2</w:t>
            </w:r>
          </w:p>
        </w:tc>
        <w:tc>
          <w:tcPr>
            <w:tcW w:w="1350" w:type="dxa"/>
            <w:tcBorders>
              <w:top w:val="nil"/>
              <w:left w:val="nil"/>
              <w:bottom w:val="single" w:color="auto" w:sz="4" w:space="0"/>
              <w:right w:val="single" w:color="auto" w:sz="4" w:space="0"/>
            </w:tcBorders>
            <w:shd w:val="clear" w:color="000000" w:fill="FFFFFF"/>
            <w:vAlign w:val="center"/>
          </w:tcPr>
          <w:p w14:paraId="1DF8757F">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5F2CACB4">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14:paraId="668472D4">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8</w:t>
            </w:r>
          </w:p>
        </w:tc>
        <w:tc>
          <w:tcPr>
            <w:tcW w:w="1175" w:type="dxa"/>
            <w:vMerge w:val="restart"/>
            <w:tcBorders>
              <w:top w:val="nil"/>
              <w:left w:val="single" w:color="auto" w:sz="4" w:space="0"/>
              <w:bottom w:val="single" w:color="auto" w:sz="4" w:space="0"/>
              <w:right w:val="single" w:color="auto" w:sz="4" w:space="0"/>
            </w:tcBorders>
            <w:shd w:val="clear" w:color="auto" w:fill="auto"/>
            <w:vAlign w:val="center"/>
          </w:tcPr>
          <w:p w14:paraId="728BF6E6">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减速箱检修</w:t>
            </w:r>
          </w:p>
        </w:tc>
        <w:tc>
          <w:tcPr>
            <w:tcW w:w="3760" w:type="dxa"/>
            <w:tcBorders>
              <w:top w:val="nil"/>
              <w:left w:val="nil"/>
              <w:bottom w:val="single" w:color="auto" w:sz="4" w:space="0"/>
              <w:right w:val="single" w:color="auto" w:sz="4" w:space="0"/>
            </w:tcBorders>
            <w:shd w:val="clear" w:color="auto" w:fill="auto"/>
            <w:vAlign w:val="center"/>
          </w:tcPr>
          <w:p w14:paraId="01A6BBA5">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、减速箱内部清理、润滑油更换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14C2F3B6">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5727F48C">
            <w:pPr>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2</w:t>
            </w:r>
          </w:p>
        </w:tc>
        <w:tc>
          <w:tcPr>
            <w:tcW w:w="1350" w:type="dxa"/>
            <w:tcBorders>
              <w:top w:val="nil"/>
              <w:left w:val="nil"/>
              <w:bottom w:val="single" w:color="auto" w:sz="4" w:space="0"/>
              <w:right w:val="single" w:color="auto" w:sz="4" w:space="0"/>
            </w:tcBorders>
            <w:shd w:val="clear" w:color="000000" w:fill="FFFFFF"/>
            <w:vAlign w:val="center"/>
          </w:tcPr>
          <w:p w14:paraId="2E334754">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441382B7">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778DE5F8">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745D2835">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22E10C02">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、各油位计、油管路接口垫片更换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58C575E7">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528F5C7C">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13C61D1C">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7105FEE5">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14:paraId="6DBDC781">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9</w:t>
            </w:r>
          </w:p>
        </w:tc>
        <w:tc>
          <w:tcPr>
            <w:tcW w:w="1175" w:type="dxa"/>
            <w:vMerge w:val="restart"/>
            <w:tcBorders>
              <w:top w:val="nil"/>
              <w:left w:val="single" w:color="auto" w:sz="4" w:space="0"/>
              <w:bottom w:val="single" w:color="auto" w:sz="4" w:space="0"/>
              <w:right w:val="single" w:color="auto" w:sz="4" w:space="0"/>
            </w:tcBorders>
            <w:shd w:val="clear" w:color="auto" w:fill="auto"/>
            <w:vAlign w:val="center"/>
          </w:tcPr>
          <w:p w14:paraId="71870031">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排渣装置检修</w:t>
            </w:r>
          </w:p>
        </w:tc>
        <w:tc>
          <w:tcPr>
            <w:tcW w:w="3760" w:type="dxa"/>
            <w:tcBorders>
              <w:top w:val="nil"/>
              <w:left w:val="nil"/>
              <w:bottom w:val="single" w:color="auto" w:sz="4" w:space="0"/>
              <w:right w:val="single" w:color="auto" w:sz="4" w:space="0"/>
            </w:tcBorders>
            <w:shd w:val="clear" w:color="auto" w:fill="auto"/>
            <w:vAlign w:val="center"/>
          </w:tcPr>
          <w:p w14:paraId="1BF45A4A">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、气动插板门拆检</w:t>
            </w:r>
            <w:r>
              <w:rPr>
                <w:rFonts w:hint="eastAsia" w:cs="宋体" w:asciiTheme="minorEastAsia" w:hAnsiTheme="minorEastAsia" w:eastAsiaTheme="minorEastAsia"/>
                <w:color w:val="000000"/>
                <w:kern w:val="0"/>
                <w:szCs w:val="21"/>
                <w:lang w:eastAsia="zh-CN"/>
              </w:rPr>
              <w:t>。</w:t>
            </w:r>
            <w:r>
              <w:rPr>
                <w:rFonts w:hint="eastAsia" w:cs="宋体" w:asciiTheme="minorEastAsia" w:hAnsiTheme="minorEastAsia" w:eastAsiaTheme="minorEastAsia"/>
                <w:color w:val="000000"/>
                <w:kern w:val="0"/>
                <w:szCs w:val="21"/>
              </w:rPr>
              <w:t>内部积煤、积渣清理</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602D6FFD">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1AA79B82">
            <w:pPr>
              <w:jc w:val="center"/>
              <w:rPr>
                <w:rFonts w:asciiTheme="minorEastAsia" w:hAnsiTheme="minorEastAsia" w:eastAsiaTheme="minorEastAsia"/>
                <w:szCs w:val="21"/>
              </w:rPr>
            </w:pPr>
            <w:r>
              <w:rPr>
                <w:rFonts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7EFBE1FB">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27F44BB4">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77201D6C">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665C3805">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2BB016D7">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、气动插板门密封填料更换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7BF119AF">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0C41F763">
            <w:pPr>
              <w:jc w:val="center"/>
              <w:rPr>
                <w:rFonts w:asciiTheme="minorEastAsia" w:hAnsiTheme="minorEastAsia" w:eastAsiaTheme="minorEastAsia"/>
                <w:szCs w:val="21"/>
              </w:rPr>
            </w:pPr>
            <w:r>
              <w:rPr>
                <w:rFonts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6D353D45">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4573290F">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251C3505">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0A411C45">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2C9337D4">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、气缸及附属用气管路检修，消除漏点</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302AF23A">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056E24B7">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5E50783A">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1550E721">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29FBAA43">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7EA5D095">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278D9D11">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、闸板门开度校对</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508D7A7D">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644852C3">
            <w:pPr>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350" w:type="dxa"/>
            <w:tcBorders>
              <w:top w:val="nil"/>
              <w:left w:val="nil"/>
              <w:bottom w:val="single" w:color="auto" w:sz="4" w:space="0"/>
              <w:right w:val="single" w:color="auto" w:sz="4" w:space="0"/>
            </w:tcBorders>
            <w:shd w:val="clear" w:color="000000" w:fill="FFFFFF"/>
            <w:vAlign w:val="center"/>
          </w:tcPr>
          <w:p w14:paraId="4513B7A5">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375E7003">
        <w:tblPrEx>
          <w:tblCellMar>
            <w:top w:w="0" w:type="dxa"/>
            <w:left w:w="108" w:type="dxa"/>
            <w:bottom w:w="0" w:type="dxa"/>
            <w:right w:w="108" w:type="dxa"/>
          </w:tblCellMar>
        </w:tblPrEx>
        <w:trPr>
          <w:trHeight w:val="480" w:hRule="atLeast"/>
          <w:jc w:val="center"/>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14:paraId="1E8198E3">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10</w:t>
            </w:r>
          </w:p>
        </w:tc>
        <w:tc>
          <w:tcPr>
            <w:tcW w:w="1175" w:type="dxa"/>
            <w:vMerge w:val="restart"/>
            <w:tcBorders>
              <w:top w:val="nil"/>
              <w:left w:val="single" w:color="auto" w:sz="4" w:space="0"/>
              <w:bottom w:val="single" w:color="auto" w:sz="4" w:space="0"/>
              <w:right w:val="single" w:color="auto" w:sz="4" w:space="0"/>
            </w:tcBorders>
            <w:shd w:val="clear" w:color="auto" w:fill="auto"/>
            <w:vAlign w:val="center"/>
          </w:tcPr>
          <w:p w14:paraId="35B32DC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润滑油系统检修</w:t>
            </w:r>
          </w:p>
        </w:tc>
        <w:tc>
          <w:tcPr>
            <w:tcW w:w="3760" w:type="dxa"/>
            <w:tcBorders>
              <w:top w:val="nil"/>
              <w:left w:val="nil"/>
              <w:bottom w:val="single" w:color="auto" w:sz="4" w:space="0"/>
              <w:right w:val="single" w:color="auto" w:sz="4" w:space="0"/>
            </w:tcBorders>
            <w:shd w:val="clear" w:color="auto" w:fill="auto"/>
            <w:vAlign w:val="center"/>
          </w:tcPr>
          <w:p w14:paraId="2C92F381">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、滤网清理，油管路法兰垫片更换</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57C8EAE6">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4EA944CF">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040FD113">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7824DB85">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629A62C1">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095E989E">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664F37B0">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、油泵检修，管路疏通</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55674A21">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65645BE6">
            <w:pPr>
              <w:jc w:val="center"/>
              <w:rPr>
                <w:rFonts w:asciiTheme="minorEastAsia" w:hAnsiTheme="minorEastAsia" w:eastAsiaTheme="minorEastAsia"/>
                <w:szCs w:val="21"/>
              </w:rPr>
            </w:pPr>
            <w:r>
              <w:rPr>
                <w:rFonts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540C2946">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05ECB389">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370474CC">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48FCBB54">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59C85D5B">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、冷却器及冷却水管路清洗、检修</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45E763F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DBA2EB6">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350" w:type="dxa"/>
            <w:tcBorders>
              <w:top w:val="nil"/>
              <w:left w:val="nil"/>
              <w:bottom w:val="single" w:color="auto" w:sz="4" w:space="0"/>
              <w:right w:val="single" w:color="auto" w:sz="4" w:space="0"/>
            </w:tcBorders>
            <w:shd w:val="clear" w:color="000000" w:fill="FFFFFF"/>
            <w:vAlign w:val="center"/>
          </w:tcPr>
          <w:p w14:paraId="6679CC51">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608E29C0">
        <w:tblPrEx>
          <w:tblCellMar>
            <w:top w:w="0" w:type="dxa"/>
            <w:left w:w="108" w:type="dxa"/>
            <w:bottom w:w="0" w:type="dxa"/>
            <w:right w:w="108" w:type="dxa"/>
          </w:tblCellMar>
        </w:tblPrEx>
        <w:trPr>
          <w:trHeight w:val="480" w:hRule="atLeast"/>
          <w:jc w:val="center"/>
        </w:trPr>
        <w:tc>
          <w:tcPr>
            <w:tcW w:w="538" w:type="dxa"/>
            <w:vMerge w:val="continue"/>
            <w:tcBorders>
              <w:top w:val="nil"/>
              <w:left w:val="single" w:color="auto" w:sz="4" w:space="0"/>
              <w:bottom w:val="single" w:color="auto" w:sz="4" w:space="0"/>
              <w:right w:val="single" w:color="auto" w:sz="4" w:space="0"/>
            </w:tcBorders>
            <w:vAlign w:val="center"/>
          </w:tcPr>
          <w:p w14:paraId="3FEF838D">
            <w:pPr>
              <w:widowControl/>
              <w:jc w:val="center"/>
              <w:rPr>
                <w:rFonts w:cs="宋体" w:asciiTheme="minorEastAsia" w:hAnsiTheme="minorEastAsia" w:eastAsiaTheme="minorEastAsia"/>
                <w:color w:val="000000"/>
                <w:kern w:val="0"/>
                <w:szCs w:val="21"/>
              </w:rPr>
            </w:pPr>
          </w:p>
        </w:tc>
        <w:tc>
          <w:tcPr>
            <w:tcW w:w="1175" w:type="dxa"/>
            <w:vMerge w:val="continue"/>
            <w:tcBorders>
              <w:top w:val="nil"/>
              <w:left w:val="single" w:color="auto" w:sz="4" w:space="0"/>
              <w:bottom w:val="single" w:color="auto" w:sz="4" w:space="0"/>
              <w:right w:val="single" w:color="auto" w:sz="4" w:space="0"/>
            </w:tcBorders>
            <w:vAlign w:val="center"/>
          </w:tcPr>
          <w:p w14:paraId="6B413706">
            <w:pPr>
              <w:widowControl/>
              <w:jc w:val="center"/>
              <w:rPr>
                <w:rFonts w:cs="宋体" w:asciiTheme="minorEastAsia" w:hAnsiTheme="minorEastAsia" w:eastAsiaTheme="minorEastAsia"/>
                <w:color w:val="000000"/>
                <w:kern w:val="0"/>
                <w:szCs w:val="21"/>
              </w:rPr>
            </w:pPr>
          </w:p>
        </w:tc>
        <w:tc>
          <w:tcPr>
            <w:tcW w:w="3760" w:type="dxa"/>
            <w:tcBorders>
              <w:top w:val="nil"/>
              <w:left w:val="nil"/>
              <w:bottom w:val="single" w:color="auto" w:sz="4" w:space="0"/>
              <w:right w:val="single" w:color="auto" w:sz="4" w:space="0"/>
            </w:tcBorders>
            <w:shd w:val="clear" w:color="auto" w:fill="auto"/>
            <w:vAlign w:val="center"/>
          </w:tcPr>
          <w:p w14:paraId="69EEFE52">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4、加热器</w:t>
            </w:r>
            <w:r>
              <w:rPr>
                <w:rFonts w:hint="eastAsia" w:cs="宋体" w:asciiTheme="minorEastAsia" w:hAnsiTheme="minorEastAsia" w:eastAsiaTheme="minorEastAsia"/>
                <w:color w:val="000000"/>
                <w:kern w:val="0"/>
                <w:szCs w:val="21"/>
              </w:rPr>
              <w:t>清洗、检修</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6A1AE8BC">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F4433CD">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350" w:type="dxa"/>
            <w:tcBorders>
              <w:top w:val="nil"/>
              <w:left w:val="nil"/>
              <w:bottom w:val="single" w:color="auto" w:sz="4" w:space="0"/>
              <w:right w:val="single" w:color="auto" w:sz="4" w:space="0"/>
            </w:tcBorders>
            <w:shd w:val="clear" w:color="000000" w:fill="FFFFFF"/>
            <w:vAlign w:val="center"/>
          </w:tcPr>
          <w:p w14:paraId="781B97E2">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590338FA">
        <w:tblPrEx>
          <w:tblCellMar>
            <w:top w:w="0" w:type="dxa"/>
            <w:left w:w="108" w:type="dxa"/>
            <w:bottom w:w="0" w:type="dxa"/>
            <w:right w:w="108" w:type="dxa"/>
          </w:tblCellMar>
        </w:tblPrEx>
        <w:trPr>
          <w:trHeight w:val="480" w:hRule="atLeast"/>
          <w:jc w:val="center"/>
        </w:trPr>
        <w:tc>
          <w:tcPr>
            <w:tcW w:w="538" w:type="dxa"/>
            <w:tcBorders>
              <w:top w:val="nil"/>
              <w:left w:val="single" w:color="auto" w:sz="4" w:space="0"/>
              <w:bottom w:val="single" w:color="auto" w:sz="4" w:space="0"/>
              <w:right w:val="single" w:color="auto" w:sz="4" w:space="0"/>
            </w:tcBorders>
            <w:shd w:val="clear" w:color="auto" w:fill="auto"/>
            <w:vAlign w:val="center"/>
          </w:tcPr>
          <w:p w14:paraId="7B565D0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11</w:t>
            </w:r>
          </w:p>
        </w:tc>
        <w:tc>
          <w:tcPr>
            <w:tcW w:w="1175" w:type="dxa"/>
            <w:tcBorders>
              <w:top w:val="nil"/>
              <w:left w:val="nil"/>
              <w:bottom w:val="single" w:color="auto" w:sz="4" w:space="0"/>
              <w:right w:val="single" w:color="auto" w:sz="4" w:space="0"/>
            </w:tcBorders>
            <w:shd w:val="clear" w:color="auto" w:fill="auto"/>
            <w:vAlign w:val="center"/>
          </w:tcPr>
          <w:p w14:paraId="6BCB358F">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联轴器检修</w:t>
            </w:r>
          </w:p>
        </w:tc>
        <w:tc>
          <w:tcPr>
            <w:tcW w:w="3760" w:type="dxa"/>
            <w:tcBorders>
              <w:top w:val="nil"/>
              <w:left w:val="nil"/>
              <w:bottom w:val="single" w:color="auto" w:sz="4" w:space="0"/>
              <w:right w:val="single" w:color="auto" w:sz="4" w:space="0"/>
            </w:tcBorders>
            <w:shd w:val="clear" w:color="auto" w:fill="auto"/>
            <w:vAlign w:val="center"/>
          </w:tcPr>
          <w:p w14:paraId="75177036">
            <w:pPr>
              <w:widowControl/>
              <w:jc w:val="left"/>
              <w:rPr>
                <w:rFonts w:hint="eastAsia" w:cs="宋体" w:asciiTheme="minorEastAsia" w:hAnsiTheme="minorEastAsia" w:eastAsiaTheme="minorEastAsia"/>
                <w:color w:val="000000"/>
                <w:kern w:val="0"/>
                <w:szCs w:val="21"/>
                <w:lang w:eastAsia="zh-CN"/>
              </w:rPr>
            </w:pPr>
            <w:r>
              <w:rPr>
                <w:rFonts w:cs="宋体"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、联轴器弹性圈更换，中心找正</w:t>
            </w:r>
            <w:r>
              <w:rPr>
                <w:rFonts w:hint="eastAsia" w:cs="宋体" w:asciiTheme="minorEastAsia" w:hAnsiTheme="minorEastAsia" w:eastAsiaTheme="minorEastAsia"/>
                <w:color w:val="000000"/>
                <w:kern w:val="0"/>
                <w:szCs w:val="21"/>
                <w:lang w:eastAsia="zh-CN"/>
              </w:rPr>
              <w:t>。</w:t>
            </w:r>
          </w:p>
        </w:tc>
        <w:tc>
          <w:tcPr>
            <w:tcW w:w="761" w:type="dxa"/>
            <w:tcBorders>
              <w:top w:val="nil"/>
              <w:left w:val="nil"/>
              <w:bottom w:val="single" w:color="auto" w:sz="4" w:space="0"/>
              <w:right w:val="single" w:color="auto" w:sz="4" w:space="0"/>
            </w:tcBorders>
            <w:shd w:val="clear" w:color="000000" w:fill="FFFFFF"/>
            <w:vAlign w:val="center"/>
          </w:tcPr>
          <w:p w14:paraId="3677039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7293055E">
            <w:pPr>
              <w:jc w:val="center"/>
              <w:rPr>
                <w:rFonts w:asciiTheme="minorEastAsia" w:hAnsiTheme="minorEastAsia" w:eastAsiaTheme="minorEastAsia"/>
                <w:szCs w:val="21"/>
              </w:rPr>
            </w:pPr>
            <w:r>
              <w:rPr>
                <w:rFonts w:asciiTheme="minorEastAsia" w:hAnsiTheme="minorEastAsia" w:eastAsiaTheme="minorEastAsia"/>
                <w:szCs w:val="21"/>
              </w:rPr>
              <w:t>5</w:t>
            </w:r>
          </w:p>
        </w:tc>
        <w:tc>
          <w:tcPr>
            <w:tcW w:w="1350" w:type="dxa"/>
            <w:tcBorders>
              <w:top w:val="nil"/>
              <w:left w:val="nil"/>
              <w:bottom w:val="single" w:color="auto" w:sz="4" w:space="0"/>
              <w:right w:val="single" w:color="auto" w:sz="4" w:space="0"/>
            </w:tcBorders>
            <w:shd w:val="clear" w:color="000000" w:fill="FFFFFF"/>
            <w:vAlign w:val="center"/>
          </w:tcPr>
          <w:p w14:paraId="74D21335">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12AE777A">
        <w:tblPrEx>
          <w:tblCellMar>
            <w:top w:w="0" w:type="dxa"/>
            <w:left w:w="108" w:type="dxa"/>
            <w:bottom w:w="0" w:type="dxa"/>
            <w:right w:w="108" w:type="dxa"/>
          </w:tblCellMar>
        </w:tblPrEx>
        <w:trPr>
          <w:trHeight w:val="480" w:hRule="atLeast"/>
          <w:jc w:val="center"/>
        </w:trPr>
        <w:tc>
          <w:tcPr>
            <w:tcW w:w="538" w:type="dxa"/>
            <w:tcBorders>
              <w:top w:val="nil"/>
              <w:left w:val="single" w:color="auto" w:sz="4" w:space="0"/>
              <w:bottom w:val="single" w:color="auto" w:sz="4" w:space="0"/>
              <w:right w:val="single" w:color="auto" w:sz="4" w:space="0"/>
            </w:tcBorders>
            <w:shd w:val="clear" w:color="auto" w:fill="auto"/>
            <w:vAlign w:val="center"/>
          </w:tcPr>
          <w:p w14:paraId="1AE57204">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12</w:t>
            </w:r>
          </w:p>
        </w:tc>
        <w:tc>
          <w:tcPr>
            <w:tcW w:w="1175" w:type="dxa"/>
            <w:tcBorders>
              <w:top w:val="nil"/>
              <w:left w:val="nil"/>
              <w:bottom w:val="single" w:color="auto" w:sz="4" w:space="0"/>
              <w:right w:val="single" w:color="auto" w:sz="4" w:space="0"/>
            </w:tcBorders>
            <w:shd w:val="clear" w:color="auto" w:fill="auto"/>
            <w:vAlign w:val="center"/>
          </w:tcPr>
          <w:p w14:paraId="2C89B3C7">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小计</w:t>
            </w:r>
          </w:p>
        </w:tc>
        <w:tc>
          <w:tcPr>
            <w:tcW w:w="3760" w:type="dxa"/>
            <w:tcBorders>
              <w:top w:val="nil"/>
              <w:left w:val="nil"/>
              <w:bottom w:val="single" w:color="auto" w:sz="4" w:space="0"/>
              <w:right w:val="single" w:color="auto" w:sz="4" w:space="0"/>
            </w:tcBorders>
            <w:shd w:val="clear" w:color="auto" w:fill="auto"/>
            <w:vAlign w:val="center"/>
          </w:tcPr>
          <w:p w14:paraId="560611D4">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单台磨煤机</w:t>
            </w:r>
          </w:p>
        </w:tc>
        <w:tc>
          <w:tcPr>
            <w:tcW w:w="761" w:type="dxa"/>
            <w:tcBorders>
              <w:top w:val="nil"/>
              <w:left w:val="nil"/>
              <w:bottom w:val="single" w:color="auto" w:sz="4" w:space="0"/>
              <w:right w:val="single" w:color="auto" w:sz="4" w:space="0"/>
            </w:tcBorders>
            <w:shd w:val="clear" w:color="000000" w:fill="FFFFFF"/>
            <w:vAlign w:val="center"/>
          </w:tcPr>
          <w:p w14:paraId="1E3C0EB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3909ED16">
            <w:pPr>
              <w:jc w:val="center"/>
              <w:rPr>
                <w:rFonts w:asciiTheme="minorEastAsia" w:hAnsiTheme="minorEastAsia" w:eastAsiaTheme="minorEastAsia"/>
                <w:szCs w:val="21"/>
              </w:rPr>
            </w:pPr>
            <w:r>
              <w:rPr>
                <w:rFonts w:asciiTheme="minorEastAsia" w:hAnsiTheme="minorEastAsia" w:eastAsiaTheme="minorEastAsia"/>
                <w:szCs w:val="21"/>
              </w:rPr>
              <w:t>268</w:t>
            </w:r>
          </w:p>
        </w:tc>
        <w:tc>
          <w:tcPr>
            <w:tcW w:w="1350" w:type="dxa"/>
            <w:tcBorders>
              <w:top w:val="nil"/>
              <w:left w:val="nil"/>
              <w:bottom w:val="single" w:color="auto" w:sz="4" w:space="0"/>
              <w:right w:val="single" w:color="auto" w:sz="4" w:space="0"/>
            </w:tcBorders>
            <w:shd w:val="clear" w:color="000000" w:fill="FFFFFF"/>
            <w:vAlign w:val="center"/>
          </w:tcPr>
          <w:p w14:paraId="2DE9863A">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单台磨煤机</w:t>
            </w:r>
          </w:p>
        </w:tc>
      </w:tr>
      <w:tr w14:paraId="6144AD39">
        <w:tblPrEx>
          <w:tblCellMar>
            <w:top w:w="0" w:type="dxa"/>
            <w:left w:w="108" w:type="dxa"/>
            <w:bottom w:w="0" w:type="dxa"/>
            <w:right w:w="108" w:type="dxa"/>
          </w:tblCellMar>
        </w:tblPrEx>
        <w:trPr>
          <w:trHeight w:val="480" w:hRule="atLeast"/>
          <w:jc w:val="center"/>
        </w:trPr>
        <w:tc>
          <w:tcPr>
            <w:tcW w:w="538" w:type="dxa"/>
            <w:tcBorders>
              <w:top w:val="nil"/>
              <w:left w:val="single" w:color="auto" w:sz="4" w:space="0"/>
              <w:bottom w:val="single" w:color="auto" w:sz="4" w:space="0"/>
              <w:right w:val="single" w:color="auto" w:sz="4" w:space="0"/>
            </w:tcBorders>
            <w:shd w:val="clear" w:color="auto" w:fill="auto"/>
            <w:vAlign w:val="center"/>
          </w:tcPr>
          <w:p w14:paraId="26E60A7D">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13</w:t>
            </w:r>
          </w:p>
        </w:tc>
        <w:tc>
          <w:tcPr>
            <w:tcW w:w="1175" w:type="dxa"/>
            <w:tcBorders>
              <w:top w:val="nil"/>
              <w:left w:val="nil"/>
              <w:bottom w:val="single" w:color="auto" w:sz="4" w:space="0"/>
              <w:right w:val="single" w:color="auto" w:sz="4" w:space="0"/>
            </w:tcBorders>
            <w:shd w:val="clear" w:color="auto" w:fill="auto"/>
            <w:vAlign w:val="center"/>
          </w:tcPr>
          <w:p w14:paraId="08F737B9">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合计</w:t>
            </w:r>
          </w:p>
        </w:tc>
        <w:tc>
          <w:tcPr>
            <w:tcW w:w="3760" w:type="dxa"/>
            <w:tcBorders>
              <w:top w:val="nil"/>
              <w:left w:val="nil"/>
              <w:bottom w:val="single" w:color="auto" w:sz="4" w:space="0"/>
              <w:right w:val="single" w:color="auto" w:sz="4" w:space="0"/>
            </w:tcBorders>
            <w:shd w:val="clear" w:color="auto" w:fill="auto"/>
            <w:vAlign w:val="center"/>
          </w:tcPr>
          <w:p w14:paraId="36FB5F7D">
            <w:pPr>
              <w:widowControl/>
              <w:jc w:val="center"/>
              <w:rPr>
                <w:rFonts w:cs="宋体" w:asciiTheme="minorEastAsia" w:hAnsiTheme="minorEastAsia" w:eastAsiaTheme="minorEastAsia"/>
                <w:color w:val="000000"/>
                <w:kern w:val="0"/>
                <w:szCs w:val="21"/>
              </w:rPr>
            </w:pPr>
            <w:r>
              <w:rPr>
                <w:rFonts w:hint="eastAsia"/>
                <w:b w:val="0"/>
                <w:bCs w:val="0"/>
                <w:color w:val="auto"/>
                <w:lang w:val="en-US" w:eastAsia="zh-CN"/>
              </w:rPr>
              <w:t>八</w:t>
            </w:r>
            <w:r>
              <w:rPr>
                <w:rFonts w:hint="eastAsia"/>
                <w:b w:val="0"/>
                <w:bCs w:val="0"/>
                <w:lang w:val="en-US" w:eastAsia="zh-CN"/>
              </w:rPr>
              <w:t>台磨煤机检修</w:t>
            </w:r>
          </w:p>
        </w:tc>
        <w:tc>
          <w:tcPr>
            <w:tcW w:w="761" w:type="dxa"/>
            <w:tcBorders>
              <w:top w:val="nil"/>
              <w:left w:val="nil"/>
              <w:bottom w:val="single" w:color="auto" w:sz="4" w:space="0"/>
              <w:right w:val="single" w:color="auto" w:sz="4" w:space="0"/>
            </w:tcBorders>
            <w:shd w:val="clear" w:color="000000" w:fill="FFFFFF"/>
            <w:vAlign w:val="center"/>
          </w:tcPr>
          <w:p w14:paraId="64DE9C0E">
            <w:pPr>
              <w:widowControl/>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工日</w:t>
            </w:r>
          </w:p>
        </w:tc>
        <w:tc>
          <w:tcPr>
            <w:tcW w:w="900" w:type="dxa"/>
            <w:tcBorders>
              <w:top w:val="nil"/>
              <w:left w:val="nil"/>
              <w:bottom w:val="single" w:color="auto" w:sz="4" w:space="0"/>
              <w:right w:val="single" w:color="auto" w:sz="4" w:space="0"/>
            </w:tcBorders>
            <w:shd w:val="clear" w:color="000000" w:fill="FFFFFF"/>
            <w:vAlign w:val="center"/>
          </w:tcPr>
          <w:p w14:paraId="5BA585BB">
            <w:pPr>
              <w:jc w:val="center"/>
              <w:rPr>
                <w:rFonts w:cs="宋体" w:asciiTheme="minorEastAsia" w:hAnsiTheme="minorEastAsia" w:eastAsiaTheme="minorEastAsia"/>
                <w:bCs/>
                <w:szCs w:val="21"/>
              </w:rPr>
            </w:pPr>
            <w:r>
              <w:rPr>
                <w:rFonts w:asciiTheme="minorEastAsia" w:hAnsiTheme="minorEastAsia" w:eastAsiaTheme="minorEastAsia"/>
                <w:bCs/>
                <w:szCs w:val="21"/>
              </w:rPr>
              <w:t>2144</w:t>
            </w:r>
          </w:p>
        </w:tc>
        <w:tc>
          <w:tcPr>
            <w:tcW w:w="1350" w:type="dxa"/>
            <w:tcBorders>
              <w:top w:val="nil"/>
              <w:left w:val="nil"/>
              <w:bottom w:val="single" w:color="auto" w:sz="4" w:space="0"/>
              <w:right w:val="single" w:color="auto" w:sz="4" w:space="0"/>
            </w:tcBorders>
            <w:shd w:val="clear" w:color="000000" w:fill="FFFFFF"/>
            <w:vAlign w:val="center"/>
          </w:tcPr>
          <w:p w14:paraId="0D04C776">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8台磨煤机</w:t>
            </w:r>
          </w:p>
        </w:tc>
      </w:tr>
    </w:tbl>
    <w:p w14:paraId="752C5E42">
      <w:pPr>
        <w:rPr>
          <w:rFonts w:hint="eastAsia" w:ascii="宋体" w:hAnsi="宋体" w:eastAsia="宋体" w:cs="宋体"/>
          <w:sz w:val="24"/>
          <w:szCs w:val="24"/>
          <w:highlight w:val="none"/>
          <w:lang w:val="en-US" w:eastAsia="zh-CN"/>
        </w:rPr>
      </w:pPr>
    </w:p>
    <w:p w14:paraId="55CB2186">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22" w:name="_Toc31702"/>
      <w:r>
        <w:rPr>
          <w:rFonts w:hint="eastAsia" w:ascii="宋体" w:hAnsi="宋体" w:eastAsia="宋体" w:cs="宋体"/>
          <w:sz w:val="24"/>
          <w:szCs w:val="24"/>
          <w:highlight w:val="none"/>
          <w:lang w:val="en-US" w:eastAsia="zh-CN"/>
        </w:rPr>
        <w:t>6 投标方应达到的目标</w:t>
      </w:r>
      <w:bookmarkEnd w:id="22"/>
    </w:p>
    <w:p w14:paraId="5713DA0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6.1安全性指标</w:t>
      </w:r>
    </w:p>
    <w:p w14:paraId="713DEB4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（1）不发生本项目部员工轻伤以上、急性中毒等各类人身事故。</w:t>
      </w:r>
    </w:p>
    <w:p w14:paraId="56FF1C9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（2）不发生外包人员轻伤以上、急性中毒等各类人身事故。</w:t>
      </w:r>
    </w:p>
    <w:p w14:paraId="0C0BC27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（3）不发生负主责以上有人员受伤构成的交通事故。</w:t>
      </w:r>
    </w:p>
    <w:p w14:paraId="0537E46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（4）不发生本项目部责任造成的火险事件。</w:t>
      </w:r>
    </w:p>
    <w:p w14:paraId="364D82F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（5）设备考核障碍及可靠性指标控制在以下范围（指非人为原因造成）：不发生考核障碍、一类障碍、二类障碍。</w:t>
      </w:r>
    </w:p>
    <w:p w14:paraId="556DF0F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（6）不发生误操作事件。</w:t>
      </w:r>
    </w:p>
    <w:p w14:paraId="08CC5BA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6.2 环保指标：</w:t>
      </w:r>
    </w:p>
    <w:p w14:paraId="3C3CF07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（1）不发生一般以上环境污染事件。</w:t>
      </w:r>
    </w:p>
    <w:p w14:paraId="18A6035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（2）不发生本项目部责任造成的“三废”排放超标事件。</w:t>
      </w:r>
    </w:p>
    <w:p w14:paraId="133ACB8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（3）不发生本项目部责任造成的危废处置不合规、不合法事件。</w:t>
      </w:r>
    </w:p>
    <w:p w14:paraId="1EF825C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（4）不发生本项目部责任造成的公司被上级单位、政府部门通报批评或罚款的环保事件。</w:t>
      </w:r>
    </w:p>
    <w:p w14:paraId="36CF57E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6.3不发生造成后果的危险化学品泄漏事件。</w:t>
      </w:r>
    </w:p>
    <w:p w14:paraId="3774681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6.4 职业卫生：</w:t>
      </w:r>
    </w:p>
    <w:p w14:paraId="25732E7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（1）不发生新增职业病病例。</w:t>
      </w:r>
    </w:p>
    <w:p w14:paraId="25C3A3D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（2）职业病危害年度体检率100%。</w:t>
      </w:r>
    </w:p>
    <w:p w14:paraId="3C3681F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 不发生本项目部责任造成的公司被上级单位及政府部门下发的安全环保挂牌督办通知书、安全生产督（稽）查通知书要求整改的问题未及时整改的情况和上级单位及政府部门通报批评的事件。</w:t>
      </w:r>
    </w:p>
    <w:p w14:paraId="262C0AD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6.6 治安保卫：</w:t>
      </w:r>
    </w:p>
    <w:p w14:paraId="3BF135E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（1）不发生本项目部责任造成的生产物资被盗抢案件。</w:t>
      </w:r>
    </w:p>
    <w:p w14:paraId="08F4026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（2）不发生危险物品（包括易制毒、放射品）被盗、丢失或被非法转让案件。</w:t>
      </w:r>
    </w:p>
    <w:p w14:paraId="4A08FAB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（3）公司区域内不发生有本项目部人员参与的群殴、群架事件。</w:t>
      </w:r>
    </w:p>
    <w:p w14:paraId="14B1114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6.7 其他指标：</w:t>
      </w:r>
    </w:p>
    <w:p w14:paraId="20C4515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（1）隐患整改率不低于95%。</w:t>
      </w:r>
    </w:p>
    <w:p w14:paraId="0D2D27E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（2）不发生本项目部员工个人负主责的其他不安全事件。</w:t>
      </w:r>
    </w:p>
    <w:p w14:paraId="0E5E81D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（3）员工三级安全培训率100%。</w:t>
      </w:r>
    </w:p>
    <w:p w14:paraId="43D8D8F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(4) 特种作业人员持证上岗率100%。</w:t>
      </w:r>
    </w:p>
    <w:p w14:paraId="0296302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6.8 经济性指标</w:t>
      </w:r>
    </w:p>
    <w:p w14:paraId="4EDE09AE">
      <w:pPr>
        <w:snapToGrid w:val="0"/>
        <w:spacing w:line="360" w:lineRule="auto"/>
        <w:ind w:firstLine="480" w:firstLineChars="2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机组、设备达到铭牌出力；能耗、物耗达到招标方制定的当年计划指标。</w:t>
      </w:r>
    </w:p>
    <w:p w14:paraId="374EE9F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6.9 可靠性指标</w:t>
      </w:r>
    </w:p>
    <w:p w14:paraId="7A3CE355">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（1）非计划停运次数投标方责任0次/每年。</w:t>
      </w:r>
    </w:p>
    <w:p w14:paraId="3E0E86BA">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（2）不发生考核障碍、一类障碍和二类障碍。</w:t>
      </w:r>
    </w:p>
    <w:p w14:paraId="69BD537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6.10 环保指标</w:t>
      </w:r>
    </w:p>
    <w:p w14:paraId="4D6575AE">
      <w:pPr>
        <w:snapToGrid w:val="0"/>
        <w:spacing w:line="360" w:lineRule="auto"/>
        <w:ind w:firstLine="480" w:firstLineChars="2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现场作业过程要符合国家有关环保管理标准、技术规范及公司环保管理制度。</w:t>
      </w:r>
    </w:p>
    <w:p w14:paraId="1CDCDAB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6.11 生产管理目标:</w:t>
      </w:r>
    </w:p>
    <w:p w14:paraId="45F7A754">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（1）机组、设备要达到一流煤化工企业管理水平，设备管理达到无渗漏标准。</w:t>
      </w:r>
    </w:p>
    <w:p w14:paraId="1CC9ADFB">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（2）设备大修后，连续运行时间在200天以上。</w:t>
      </w:r>
    </w:p>
    <w:p w14:paraId="338EE50D">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（3）设备定修定检项目遗漏率为0%。</w:t>
      </w:r>
    </w:p>
    <w:p w14:paraId="2393DB21">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（4）完成招标方制定的相关生产指标。</w:t>
      </w:r>
    </w:p>
    <w:p w14:paraId="27E8C2C7">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（5）票证合格率100%</w:t>
      </w:r>
      <w:r>
        <w:rPr>
          <w:rFonts w:hint="eastAsia" w:ascii="宋体" w:hAnsi="宋体" w:eastAsia="宋体" w:cs="宋体"/>
          <w:sz w:val="24"/>
          <w:szCs w:val="24"/>
          <w:highlight w:val="none"/>
          <w:lang w:eastAsia="zh-CN"/>
        </w:rPr>
        <w:t>。</w:t>
      </w:r>
    </w:p>
    <w:p w14:paraId="3CBD733E">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23" w:name="_Toc14819"/>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资质</w:t>
      </w:r>
      <w:r>
        <w:rPr>
          <w:rFonts w:hint="eastAsia" w:ascii="宋体" w:hAnsi="宋体" w:eastAsia="宋体" w:cs="宋体"/>
          <w:sz w:val="24"/>
          <w:szCs w:val="24"/>
          <w:highlight w:val="none"/>
          <w:lang w:val="en-US" w:eastAsia="zh-CN"/>
        </w:rPr>
        <w:t>条件</w:t>
      </w:r>
      <w:r>
        <w:rPr>
          <w:rFonts w:hint="eastAsia" w:ascii="宋体" w:hAnsi="宋体" w:eastAsia="宋体" w:cs="宋体"/>
          <w:sz w:val="24"/>
          <w:szCs w:val="24"/>
          <w:highlight w:val="none"/>
        </w:rPr>
        <w:t>及人员要求</w:t>
      </w:r>
      <w:bookmarkEnd w:id="23"/>
    </w:p>
    <w:p w14:paraId="1B441B5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投标方必须是在中华人民共和国境内依法注册、具有独立法人资格、具有履行合同所必需的财务、技术及相关服务等能力，且是浙能集团的合格供应商。</w:t>
      </w:r>
    </w:p>
    <w:p w14:paraId="1653975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投标方必须具有化工行业或发电厂类似项目的维修业绩。</w:t>
      </w:r>
    </w:p>
    <w:p w14:paraId="453378D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参与项目的人员必须身体健康，具有从事</w:t>
      </w:r>
      <w:r>
        <w:rPr>
          <w:rFonts w:hint="eastAsia" w:ascii="宋体" w:hAnsi="宋体" w:eastAsia="宋体" w:cs="宋体"/>
          <w:sz w:val="24"/>
          <w:szCs w:val="24"/>
          <w:highlight w:val="none"/>
          <w:lang w:val="en-US" w:eastAsia="zh-CN"/>
        </w:rPr>
        <w:t>化工设备</w:t>
      </w:r>
      <w:r>
        <w:rPr>
          <w:rFonts w:hint="eastAsia" w:ascii="宋体" w:hAnsi="宋体" w:eastAsia="宋体" w:cs="宋体"/>
          <w:sz w:val="24"/>
          <w:szCs w:val="24"/>
          <w:highlight w:val="none"/>
        </w:rPr>
        <w:t xml:space="preserve">检修或安装工作经验3年以上。 </w:t>
      </w:r>
    </w:p>
    <w:p w14:paraId="3745151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 参加项目的主要专业技术人员应不少于总人数的10%，其配备需经</w:t>
      </w:r>
      <w:r>
        <w:rPr>
          <w:rFonts w:hint="eastAsia" w:ascii="宋体" w:hAnsi="宋体" w:cs="宋体"/>
          <w:sz w:val="24"/>
          <w:szCs w:val="24"/>
          <w:highlight w:val="none"/>
          <w:lang w:val="en-US" w:eastAsia="zh-CN"/>
        </w:rPr>
        <w:t>招标方</w:t>
      </w:r>
      <w:r>
        <w:rPr>
          <w:rFonts w:hint="eastAsia" w:ascii="宋体" w:hAnsi="宋体" w:eastAsia="宋体" w:cs="宋体"/>
          <w:sz w:val="24"/>
          <w:szCs w:val="24"/>
          <w:highlight w:val="none"/>
          <w:lang w:val="en-US" w:eastAsia="zh-CN"/>
        </w:rPr>
        <w:t>认可，主要技术人员从事化工设备检修或安装工作至少5年以上，并具有石化或化工大修类似设备的检修或安装经验。</w:t>
      </w:r>
    </w:p>
    <w:p w14:paraId="290BF54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5 </w:t>
      </w:r>
      <w:r>
        <w:rPr>
          <w:rFonts w:hint="eastAsia" w:ascii="宋体" w:hAnsi="宋体" w:eastAsia="宋体" w:cs="宋体"/>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w:t>
      </w:r>
    </w:p>
    <w:p w14:paraId="0499A49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6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应具有完善的质量保证体系，</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的焊工必须持有质监局发的《特种设备作业人员证》和安监局的《特种作业操作证》。</w:t>
      </w:r>
      <w:r>
        <w:rPr>
          <w:rFonts w:hint="eastAsia" w:ascii="宋体" w:hAnsi="宋体" w:eastAsia="宋体" w:cs="宋体"/>
          <w:sz w:val="24"/>
          <w:szCs w:val="24"/>
          <w:highlight w:val="none"/>
          <w:lang w:val="en-US" w:eastAsia="zh-CN"/>
        </w:rPr>
        <w:t>焊工需接受招标方的入厂测试并合格后方可进入该项目进行焊接作业，未经招标方入厂测试的焊接严禁施工焊接。</w:t>
      </w:r>
    </w:p>
    <w:p w14:paraId="2FCF9E0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7.7 </w:t>
      </w:r>
      <w:r>
        <w:rPr>
          <w:rFonts w:hint="eastAsia" w:ascii="宋体" w:hAnsi="宋体" w:eastAsia="宋体" w:cs="宋体"/>
          <w:sz w:val="24"/>
          <w:szCs w:val="24"/>
          <w:highlight w:val="none"/>
        </w:rPr>
        <w:t>需进行高处作业的作业人员，需持有特种作业操作证（高处作业），且在有效期内。</w:t>
      </w:r>
    </w:p>
    <w:p w14:paraId="1B21D7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xml:space="preserve">.8严禁使用未成年人和不适应现场安全施工要求的老、弱、病、残人员。 </w:t>
      </w:r>
    </w:p>
    <w:p w14:paraId="5CA8275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7.9</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应严格按照合同、设计文件（图纸等）、技术规范的要求进行试验和检验。技术规范和图纸中的焊接结构及有关说明仅为原则性的，</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应根据技术协议和图纸，制定焊接工艺评定、详细的焊接工艺、焊接结构选择，并取得</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的同意。</w:t>
      </w:r>
    </w:p>
    <w:p w14:paraId="2EC6130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7.10</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应制定详细的作业方案和计划，并在施工前发给</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审核。</w:t>
      </w:r>
    </w:p>
    <w:p w14:paraId="40ADBAB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7.11</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有专人负责本合同的施工质量，由专人负责有关质量证明的签发和管理。</w:t>
      </w:r>
    </w:p>
    <w:p w14:paraId="2FE47DC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7.12</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应接受</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以及</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委托第三方检验机构的检验，任何因质量检验不合格而造成</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进度的拖延，一切责任均由</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负责。</w:t>
      </w:r>
    </w:p>
    <w:p w14:paraId="0903DBED">
      <w:pPr>
        <w:snapToGrid w:val="0"/>
        <w:spacing w:line="360" w:lineRule="auto"/>
        <w:jc w:val="left"/>
        <w:rPr>
          <w:rStyle w:val="34"/>
          <w:rFonts w:hint="eastAsia" w:ascii="宋体" w:hAnsi="宋体" w:eastAsia="宋体" w:cs="宋体"/>
          <w:bCs/>
          <w:sz w:val="24"/>
          <w:szCs w:val="24"/>
          <w:highlight w:val="none"/>
          <w:lang w:val="en-US" w:eastAsia="zh-CN"/>
        </w:rPr>
      </w:pPr>
      <w:r>
        <w:rPr>
          <w:rStyle w:val="34"/>
          <w:rFonts w:hint="eastAsia" w:ascii="宋体" w:hAnsi="宋体" w:eastAsia="宋体" w:cs="宋体"/>
          <w:bCs/>
          <w:sz w:val="24"/>
          <w:szCs w:val="24"/>
          <w:highlight w:val="none"/>
          <w:lang w:val="en-US" w:eastAsia="zh-CN"/>
        </w:rPr>
        <w:t>7.13 投标方检修人员的配备应在经招标方考核（笔试、面试）合格后方能上岗，且投标方的人员必须固定，并能长期住在现场，投标方在现场的维护管理和技术人员名单应与合同确定的名单相符，任何情况下的人员变动都应提前通知招标方，并需征得招标方的同意。并将人员变动情况书面抄报招标方项目责任部门、现场监管部门。</w:t>
      </w:r>
    </w:p>
    <w:p w14:paraId="58393180">
      <w:pPr>
        <w:snapToGrid w:val="0"/>
        <w:spacing w:line="360" w:lineRule="auto"/>
        <w:jc w:val="left"/>
        <w:rPr>
          <w:rStyle w:val="34"/>
          <w:rFonts w:hint="eastAsia" w:ascii="宋体" w:hAnsi="宋体" w:eastAsia="宋体" w:cs="宋体"/>
          <w:bCs/>
          <w:sz w:val="24"/>
          <w:szCs w:val="24"/>
          <w:highlight w:val="none"/>
          <w:lang w:val="en-US" w:eastAsia="zh-CN"/>
        </w:rPr>
      </w:pPr>
      <w:r>
        <w:rPr>
          <w:rStyle w:val="34"/>
          <w:rFonts w:hint="eastAsia" w:ascii="宋体" w:hAnsi="宋体" w:eastAsia="宋体" w:cs="宋体"/>
          <w:bCs/>
          <w:sz w:val="24"/>
          <w:szCs w:val="24"/>
          <w:highlight w:val="none"/>
          <w:lang w:val="en-US" w:eastAsia="zh-CN"/>
        </w:rPr>
        <w:t>7.14 投标方人员休假原则上由投标方自行安排，但投标方主要技术人员（班组长、安全员、焊工人员）离开招标方现场三天及以上的，必须到招标方归口管理部门办理书面请假手续。</w:t>
      </w:r>
    </w:p>
    <w:p w14:paraId="3635CE1C">
      <w:pPr>
        <w:spacing w:line="360" w:lineRule="auto"/>
        <w:rPr>
          <w:rStyle w:val="34"/>
          <w:rFonts w:hint="eastAsia" w:ascii="宋体" w:hAnsi="宋体" w:eastAsia="宋体" w:cs="宋体"/>
          <w:sz w:val="24"/>
          <w:szCs w:val="24"/>
          <w:highlight w:val="none"/>
          <w:lang w:val="en-US"/>
        </w:rPr>
      </w:pPr>
      <w:r>
        <w:rPr>
          <w:rStyle w:val="34"/>
          <w:rFonts w:hint="eastAsia" w:ascii="宋体" w:hAnsi="宋体" w:eastAsia="宋体" w:cs="宋体"/>
          <w:bCs/>
          <w:sz w:val="24"/>
          <w:szCs w:val="24"/>
          <w:highlight w:val="none"/>
          <w:lang w:val="en-US" w:eastAsia="zh-CN"/>
        </w:rPr>
        <w:t>7.15 最低</w:t>
      </w:r>
      <w:r>
        <w:rPr>
          <w:rStyle w:val="34"/>
          <w:rFonts w:hint="eastAsia" w:ascii="宋体" w:hAnsi="宋体" w:eastAsia="宋体" w:cs="宋体"/>
          <w:bCs/>
          <w:sz w:val="24"/>
          <w:szCs w:val="24"/>
          <w:highlight w:val="none"/>
        </w:rPr>
        <w:t>人员配置</w:t>
      </w:r>
      <w:r>
        <w:rPr>
          <w:rStyle w:val="34"/>
          <w:rFonts w:hint="eastAsia" w:ascii="宋体" w:hAnsi="宋体" w:eastAsia="宋体" w:cs="宋体"/>
          <w:bCs/>
          <w:sz w:val="24"/>
          <w:szCs w:val="24"/>
          <w:highlight w:val="none"/>
          <w:lang w:eastAsia="zh-CN"/>
        </w:rPr>
        <w:t>：</w:t>
      </w:r>
      <w:r>
        <w:rPr>
          <w:rStyle w:val="34"/>
          <w:rFonts w:hint="eastAsia" w:ascii="宋体" w:hAnsi="宋体" w:eastAsia="宋体" w:cs="宋体"/>
          <w:bCs/>
          <w:sz w:val="24"/>
          <w:szCs w:val="24"/>
          <w:highlight w:val="none"/>
        </w:rPr>
        <w:t>本次投标方人员配置为：</w:t>
      </w:r>
      <w:r>
        <w:rPr>
          <w:rStyle w:val="34"/>
          <w:rFonts w:hint="eastAsia" w:ascii="宋体" w:hAnsi="宋体" w:eastAsia="宋体" w:cs="宋体"/>
          <w:bCs/>
          <w:sz w:val="24"/>
          <w:szCs w:val="24"/>
          <w:highlight w:val="none"/>
          <w:lang w:val="en-US" w:eastAsia="zh-CN"/>
        </w:rPr>
        <w:t>不少于</w:t>
      </w:r>
      <w:r>
        <w:rPr>
          <w:rStyle w:val="34"/>
          <w:rFonts w:hint="eastAsia" w:ascii="宋体" w:hAnsi="宋体" w:cs="宋体"/>
          <w:bCs/>
          <w:sz w:val="24"/>
          <w:szCs w:val="24"/>
          <w:highlight w:val="none"/>
          <w:lang w:val="en-US" w:eastAsia="zh-CN"/>
        </w:rPr>
        <w:t>15</w:t>
      </w:r>
      <w:r>
        <w:rPr>
          <w:rStyle w:val="34"/>
          <w:rFonts w:hint="eastAsia" w:ascii="宋体" w:hAnsi="宋体" w:eastAsia="宋体" w:cs="宋体"/>
          <w:bCs/>
          <w:sz w:val="24"/>
          <w:szCs w:val="24"/>
          <w:highlight w:val="none"/>
        </w:rPr>
        <w:t>人。具体配置及人员要求</w:t>
      </w:r>
      <w:r>
        <w:rPr>
          <w:rStyle w:val="34"/>
          <w:rFonts w:hint="eastAsia" w:ascii="宋体" w:hAnsi="宋体" w:eastAsia="宋体" w:cs="宋体"/>
          <w:bCs/>
          <w:sz w:val="24"/>
          <w:szCs w:val="24"/>
          <w:highlight w:val="none"/>
          <w:lang w:val="en-US" w:eastAsia="zh-CN"/>
        </w:rPr>
        <w:t>如下：</w:t>
      </w:r>
    </w:p>
    <w:tbl>
      <w:tblPr>
        <w:tblStyle w:val="30"/>
        <w:tblW w:w="4996" w:type="pct"/>
        <w:jc w:val="center"/>
        <w:tblLayout w:type="autofit"/>
        <w:tblCellMar>
          <w:top w:w="0" w:type="dxa"/>
          <w:left w:w="108" w:type="dxa"/>
          <w:bottom w:w="0" w:type="dxa"/>
          <w:right w:w="108" w:type="dxa"/>
        </w:tblCellMar>
      </w:tblPr>
      <w:tblGrid>
        <w:gridCol w:w="1034"/>
        <w:gridCol w:w="1401"/>
        <w:gridCol w:w="815"/>
        <w:gridCol w:w="4593"/>
        <w:gridCol w:w="1392"/>
      </w:tblGrid>
      <w:tr w14:paraId="1786A97B">
        <w:tblPrEx>
          <w:tblCellMar>
            <w:top w:w="0" w:type="dxa"/>
            <w:left w:w="108" w:type="dxa"/>
            <w:bottom w:w="0" w:type="dxa"/>
            <w:right w:w="108" w:type="dxa"/>
          </w:tblCellMar>
        </w:tblPrEx>
        <w:trPr>
          <w:trHeight w:val="510" w:hRule="atLeast"/>
          <w:jc w:val="center"/>
        </w:trPr>
        <w:tc>
          <w:tcPr>
            <w:tcW w:w="560" w:type="pct"/>
            <w:tcBorders>
              <w:top w:val="single" w:color="auto" w:sz="4" w:space="0"/>
              <w:left w:val="single" w:color="auto" w:sz="4" w:space="0"/>
              <w:bottom w:val="single" w:color="auto" w:sz="4" w:space="0"/>
              <w:right w:val="single" w:color="auto" w:sz="4" w:space="0"/>
            </w:tcBorders>
            <w:shd w:val="clear" w:color="000000" w:fill="FFFFFF"/>
            <w:vAlign w:val="center"/>
          </w:tcPr>
          <w:p w14:paraId="5A5E907A">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人员分类</w:t>
            </w:r>
          </w:p>
        </w:tc>
        <w:tc>
          <w:tcPr>
            <w:tcW w:w="758" w:type="pct"/>
            <w:tcBorders>
              <w:top w:val="single" w:color="auto" w:sz="4" w:space="0"/>
              <w:left w:val="single" w:color="auto" w:sz="4" w:space="0"/>
              <w:bottom w:val="single" w:color="auto" w:sz="4" w:space="0"/>
              <w:right w:val="single" w:color="auto" w:sz="4" w:space="0"/>
            </w:tcBorders>
            <w:shd w:val="clear" w:color="000000" w:fill="FFFFFF"/>
            <w:vAlign w:val="center"/>
          </w:tcPr>
          <w:p w14:paraId="73AB6269">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岗位/工种</w:t>
            </w:r>
          </w:p>
        </w:tc>
        <w:tc>
          <w:tcPr>
            <w:tcW w:w="441" w:type="pct"/>
            <w:tcBorders>
              <w:top w:val="single" w:color="auto" w:sz="4" w:space="0"/>
              <w:left w:val="nil"/>
              <w:bottom w:val="single" w:color="auto" w:sz="4" w:space="0"/>
              <w:right w:val="single" w:color="auto" w:sz="4" w:space="0"/>
            </w:tcBorders>
            <w:shd w:val="clear" w:color="000000" w:fill="FFFFFF"/>
            <w:noWrap/>
            <w:vAlign w:val="center"/>
          </w:tcPr>
          <w:p w14:paraId="5366AD94">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人数</w:t>
            </w:r>
          </w:p>
        </w:tc>
        <w:tc>
          <w:tcPr>
            <w:tcW w:w="2485" w:type="pct"/>
            <w:tcBorders>
              <w:top w:val="single" w:color="auto" w:sz="4" w:space="0"/>
              <w:left w:val="nil"/>
              <w:bottom w:val="single" w:color="auto" w:sz="4" w:space="0"/>
              <w:right w:val="single" w:color="auto" w:sz="4" w:space="0"/>
            </w:tcBorders>
            <w:shd w:val="clear" w:color="000000" w:fill="FFFFFF"/>
            <w:vAlign w:val="center"/>
          </w:tcPr>
          <w:p w14:paraId="3416559D">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人员要求</w:t>
            </w:r>
          </w:p>
        </w:tc>
        <w:tc>
          <w:tcPr>
            <w:tcW w:w="753" w:type="pct"/>
            <w:tcBorders>
              <w:top w:val="single" w:color="auto" w:sz="4" w:space="0"/>
              <w:left w:val="nil"/>
              <w:bottom w:val="single" w:color="auto" w:sz="4" w:space="0"/>
              <w:right w:val="single" w:color="auto" w:sz="4" w:space="0"/>
            </w:tcBorders>
            <w:shd w:val="clear" w:color="000000" w:fill="FFFFFF"/>
            <w:noWrap/>
            <w:vAlign w:val="center"/>
          </w:tcPr>
          <w:p w14:paraId="57724396">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备注</w:t>
            </w:r>
          </w:p>
        </w:tc>
      </w:tr>
      <w:tr w14:paraId="5183CBA4">
        <w:tblPrEx>
          <w:tblCellMar>
            <w:top w:w="0" w:type="dxa"/>
            <w:left w:w="108" w:type="dxa"/>
            <w:bottom w:w="0" w:type="dxa"/>
            <w:right w:w="108" w:type="dxa"/>
          </w:tblCellMar>
        </w:tblPrEx>
        <w:trPr>
          <w:trHeight w:val="1215" w:hRule="atLeast"/>
          <w:jc w:val="center"/>
        </w:trPr>
        <w:tc>
          <w:tcPr>
            <w:tcW w:w="560" w:type="pct"/>
            <w:vMerge w:val="restart"/>
            <w:tcBorders>
              <w:top w:val="single" w:color="auto" w:sz="4" w:space="0"/>
              <w:left w:val="single" w:color="auto" w:sz="4" w:space="0"/>
              <w:right w:val="single" w:color="auto" w:sz="4" w:space="0"/>
            </w:tcBorders>
            <w:shd w:val="clear" w:color="000000" w:fill="FFFFFF"/>
            <w:vAlign w:val="center"/>
          </w:tcPr>
          <w:p w14:paraId="08DC4DAF">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管理</w:t>
            </w:r>
          </w:p>
          <w:p w14:paraId="33ECBF5B">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人员</w:t>
            </w:r>
          </w:p>
        </w:tc>
        <w:tc>
          <w:tcPr>
            <w:tcW w:w="758" w:type="pct"/>
            <w:tcBorders>
              <w:top w:val="single" w:color="auto" w:sz="4" w:space="0"/>
              <w:left w:val="single" w:color="auto" w:sz="4" w:space="0"/>
              <w:bottom w:val="single" w:color="auto" w:sz="4" w:space="0"/>
              <w:right w:val="single" w:color="auto" w:sz="4" w:space="0"/>
            </w:tcBorders>
            <w:shd w:val="clear" w:color="000000" w:fill="FFFFFF"/>
            <w:vAlign w:val="center"/>
          </w:tcPr>
          <w:p w14:paraId="5B3808EC">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项目经理</w:t>
            </w:r>
          </w:p>
        </w:tc>
        <w:tc>
          <w:tcPr>
            <w:tcW w:w="441" w:type="pct"/>
            <w:tcBorders>
              <w:top w:val="nil"/>
              <w:left w:val="nil"/>
              <w:bottom w:val="single" w:color="auto" w:sz="4" w:space="0"/>
              <w:right w:val="single" w:color="auto" w:sz="4" w:space="0"/>
            </w:tcBorders>
            <w:shd w:val="clear" w:color="000000" w:fill="FFFFFF"/>
            <w:noWrap/>
            <w:vAlign w:val="center"/>
          </w:tcPr>
          <w:p w14:paraId="07D9B026">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tc>
        <w:tc>
          <w:tcPr>
            <w:tcW w:w="2485" w:type="pct"/>
            <w:tcBorders>
              <w:top w:val="nil"/>
              <w:left w:val="nil"/>
              <w:bottom w:val="single" w:color="auto" w:sz="4" w:space="0"/>
              <w:right w:val="single" w:color="auto" w:sz="4" w:space="0"/>
            </w:tcBorders>
            <w:shd w:val="clear" w:color="000000" w:fill="FFFFFF"/>
            <w:vAlign w:val="center"/>
          </w:tcPr>
          <w:p w14:paraId="444F31AE">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1.10年以上设备安装、检修施工管理经验；</w:t>
            </w:r>
          </w:p>
          <w:p w14:paraId="334E90E3">
            <w:pP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2.熟悉国家相关法律法规、经济、政策。</w:t>
            </w:r>
          </w:p>
        </w:tc>
        <w:tc>
          <w:tcPr>
            <w:tcW w:w="753" w:type="pct"/>
            <w:tcBorders>
              <w:top w:val="single" w:color="auto" w:sz="4" w:space="0"/>
              <w:left w:val="single" w:color="auto" w:sz="4" w:space="0"/>
              <w:bottom w:val="single" w:color="auto" w:sz="4" w:space="0"/>
              <w:right w:val="single" w:color="auto" w:sz="4" w:space="0"/>
            </w:tcBorders>
            <w:noWrap/>
            <w:vAlign w:val="center"/>
          </w:tcPr>
          <w:p w14:paraId="738C41D5">
            <w:pPr>
              <w:jc w:val="center"/>
              <w:rPr>
                <w:rFonts w:hint="eastAsia" w:ascii="宋体" w:hAnsi="宋体" w:eastAsia="宋体" w:cs="宋体"/>
                <w:sz w:val="24"/>
                <w:szCs w:val="24"/>
                <w:highlight w:val="none"/>
              </w:rPr>
            </w:pPr>
          </w:p>
        </w:tc>
      </w:tr>
      <w:tr w14:paraId="3F0376AD">
        <w:tblPrEx>
          <w:tblCellMar>
            <w:top w:w="0" w:type="dxa"/>
            <w:left w:w="108" w:type="dxa"/>
            <w:bottom w:w="0" w:type="dxa"/>
            <w:right w:w="108" w:type="dxa"/>
          </w:tblCellMar>
        </w:tblPrEx>
        <w:trPr>
          <w:trHeight w:val="765" w:hRule="atLeast"/>
          <w:jc w:val="center"/>
        </w:trPr>
        <w:tc>
          <w:tcPr>
            <w:tcW w:w="560" w:type="pct"/>
            <w:vMerge w:val="continue"/>
            <w:tcBorders>
              <w:left w:val="single" w:color="auto" w:sz="4" w:space="0"/>
              <w:right w:val="single" w:color="auto" w:sz="4" w:space="0"/>
            </w:tcBorders>
            <w:shd w:val="clear" w:color="000000" w:fill="FFFFFF"/>
            <w:vAlign w:val="center"/>
          </w:tcPr>
          <w:p w14:paraId="47124201">
            <w:pPr>
              <w:jc w:val="center"/>
              <w:rPr>
                <w:rFonts w:hint="eastAsia" w:ascii="宋体" w:hAnsi="宋体" w:eastAsia="宋体" w:cs="宋体"/>
                <w:color w:val="000000"/>
                <w:kern w:val="0"/>
                <w:sz w:val="24"/>
                <w:szCs w:val="24"/>
                <w:highlight w:val="none"/>
              </w:rPr>
            </w:pPr>
          </w:p>
        </w:tc>
        <w:tc>
          <w:tcPr>
            <w:tcW w:w="758" w:type="pct"/>
            <w:tcBorders>
              <w:top w:val="single" w:color="auto" w:sz="4" w:space="0"/>
              <w:left w:val="single" w:color="auto" w:sz="4" w:space="0"/>
              <w:bottom w:val="single" w:color="auto" w:sz="4" w:space="0"/>
              <w:right w:val="single" w:color="auto" w:sz="4" w:space="0"/>
            </w:tcBorders>
            <w:shd w:val="clear" w:color="000000" w:fill="FFFFFF"/>
            <w:vAlign w:val="center"/>
          </w:tcPr>
          <w:p w14:paraId="78097170">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专职</w:t>
            </w:r>
          </w:p>
          <w:p w14:paraId="3039603D">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安全员</w:t>
            </w:r>
          </w:p>
        </w:tc>
        <w:tc>
          <w:tcPr>
            <w:tcW w:w="441" w:type="pct"/>
            <w:tcBorders>
              <w:top w:val="single" w:color="auto" w:sz="4" w:space="0"/>
              <w:left w:val="nil"/>
              <w:bottom w:val="single" w:color="auto" w:sz="4" w:space="0"/>
              <w:right w:val="single" w:color="auto" w:sz="4" w:space="0"/>
            </w:tcBorders>
            <w:noWrap/>
            <w:vAlign w:val="center"/>
          </w:tcPr>
          <w:p w14:paraId="13977F66">
            <w:pPr>
              <w:jc w:val="center"/>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lang w:val="en-US" w:eastAsia="zh-CN"/>
              </w:rPr>
              <w:t>1</w:t>
            </w:r>
          </w:p>
        </w:tc>
        <w:tc>
          <w:tcPr>
            <w:tcW w:w="2485" w:type="pct"/>
            <w:tcBorders>
              <w:top w:val="single" w:color="auto" w:sz="4" w:space="0"/>
              <w:left w:val="nil"/>
              <w:bottom w:val="single" w:color="auto" w:sz="4" w:space="0"/>
              <w:right w:val="single" w:color="auto" w:sz="4" w:space="0"/>
            </w:tcBorders>
            <w:vAlign w:val="center"/>
          </w:tcPr>
          <w:p w14:paraId="39ED2041">
            <w:pPr>
              <w:numPr>
                <w:ilvl w:val="0"/>
                <w:numId w:val="1"/>
              </w:num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bidi="ar"/>
              </w:rPr>
              <w:t>年以上安全管理工作经验；</w:t>
            </w:r>
          </w:p>
          <w:p w14:paraId="60FA8E0A">
            <w:pPr>
              <w:numPr>
                <w:ilvl w:val="0"/>
                <w:numId w:val="1"/>
              </w:numP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能够处理施工后作业中出现的安全问题；</w:t>
            </w:r>
          </w:p>
          <w:p w14:paraId="14CEF6A2">
            <w:pPr>
              <w:numPr>
                <w:ilvl w:val="0"/>
                <w:numId w:val="0"/>
              </w:numPr>
              <w:textAlignment w:val="center"/>
              <w:rPr>
                <w:rFonts w:hint="eastAsia" w:ascii="宋体" w:hAnsi="宋体" w:eastAsia="宋体" w:cs="宋体"/>
                <w:color w:val="000000"/>
                <w:sz w:val="24"/>
                <w:szCs w:val="24"/>
                <w:highlight w:val="none"/>
              </w:rPr>
            </w:pPr>
            <w:r>
              <w:rPr>
                <w:rFonts w:hint="eastAsia" w:ascii="宋体"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bidi="ar"/>
              </w:rPr>
              <w:t>.熟练掌握国家、企业关于安全生产的法令、法规及有关规章制度。</w:t>
            </w:r>
          </w:p>
        </w:tc>
        <w:tc>
          <w:tcPr>
            <w:tcW w:w="753" w:type="pct"/>
            <w:tcBorders>
              <w:top w:val="single" w:color="auto" w:sz="4" w:space="0"/>
              <w:left w:val="single" w:color="auto" w:sz="4" w:space="0"/>
              <w:bottom w:val="single" w:color="auto" w:sz="4" w:space="0"/>
              <w:right w:val="single" w:color="auto" w:sz="4" w:space="0"/>
            </w:tcBorders>
            <w:vAlign w:val="center"/>
          </w:tcPr>
          <w:p w14:paraId="1178FF26">
            <w:pPr>
              <w:jc w:val="left"/>
              <w:rPr>
                <w:rFonts w:hint="eastAsia" w:ascii="宋体" w:hAnsi="宋体" w:eastAsia="宋体" w:cs="宋体"/>
                <w:color w:val="000000"/>
                <w:kern w:val="0"/>
                <w:sz w:val="24"/>
                <w:szCs w:val="24"/>
                <w:highlight w:val="none"/>
              </w:rPr>
            </w:pPr>
          </w:p>
        </w:tc>
      </w:tr>
      <w:tr w14:paraId="204FF2BC">
        <w:tblPrEx>
          <w:tblCellMar>
            <w:top w:w="0" w:type="dxa"/>
            <w:left w:w="108" w:type="dxa"/>
            <w:bottom w:w="0" w:type="dxa"/>
            <w:right w:w="108" w:type="dxa"/>
          </w:tblCellMar>
        </w:tblPrEx>
        <w:trPr>
          <w:trHeight w:val="765" w:hRule="atLeast"/>
          <w:jc w:val="center"/>
        </w:trPr>
        <w:tc>
          <w:tcPr>
            <w:tcW w:w="560" w:type="pct"/>
            <w:vMerge w:val="continue"/>
            <w:tcBorders>
              <w:left w:val="single" w:color="auto" w:sz="4" w:space="0"/>
              <w:right w:val="single" w:color="auto" w:sz="4" w:space="0"/>
            </w:tcBorders>
            <w:shd w:val="clear" w:color="000000" w:fill="FFFFFF"/>
            <w:vAlign w:val="center"/>
          </w:tcPr>
          <w:p w14:paraId="02C47380">
            <w:pPr>
              <w:jc w:val="center"/>
              <w:rPr>
                <w:rFonts w:hint="eastAsia" w:ascii="宋体" w:hAnsi="宋体" w:eastAsia="宋体" w:cs="宋体"/>
                <w:color w:val="000000"/>
                <w:kern w:val="0"/>
                <w:sz w:val="24"/>
                <w:szCs w:val="24"/>
                <w:highlight w:val="none"/>
              </w:rPr>
            </w:pPr>
          </w:p>
        </w:tc>
        <w:tc>
          <w:tcPr>
            <w:tcW w:w="758" w:type="pct"/>
            <w:tcBorders>
              <w:top w:val="single" w:color="auto" w:sz="4" w:space="0"/>
              <w:left w:val="single" w:color="auto" w:sz="4" w:space="0"/>
              <w:bottom w:val="single" w:color="auto" w:sz="4" w:space="0"/>
              <w:right w:val="single" w:color="auto" w:sz="4" w:space="0"/>
            </w:tcBorders>
            <w:shd w:val="clear" w:color="000000" w:fill="FFFFFF"/>
            <w:vAlign w:val="center"/>
          </w:tcPr>
          <w:p w14:paraId="6C3C2F59">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技术</w:t>
            </w:r>
            <w:r>
              <w:rPr>
                <w:rFonts w:hint="eastAsia" w:ascii="宋体" w:hAnsi="宋体" w:eastAsia="宋体" w:cs="宋体"/>
                <w:color w:val="000000"/>
                <w:kern w:val="0"/>
                <w:sz w:val="24"/>
                <w:szCs w:val="24"/>
                <w:highlight w:val="none"/>
              </w:rPr>
              <w:t>员</w:t>
            </w:r>
          </w:p>
        </w:tc>
        <w:tc>
          <w:tcPr>
            <w:tcW w:w="441" w:type="pct"/>
            <w:tcBorders>
              <w:top w:val="single" w:color="auto" w:sz="4" w:space="0"/>
              <w:left w:val="nil"/>
              <w:bottom w:val="single" w:color="auto" w:sz="4" w:space="0"/>
              <w:right w:val="single" w:color="auto" w:sz="4" w:space="0"/>
            </w:tcBorders>
            <w:noWrap/>
            <w:vAlign w:val="center"/>
          </w:tcPr>
          <w:p w14:paraId="1A2198D2">
            <w:pPr>
              <w:jc w:val="center"/>
              <w:rPr>
                <w:rFonts w:hint="eastAsia" w:ascii="宋体" w:hAnsi="宋体" w:eastAsia="宋体" w:cs="宋体"/>
                <w:color w:val="000000"/>
                <w:kern w:val="0"/>
                <w:sz w:val="24"/>
                <w:szCs w:val="24"/>
                <w:highlight w:val="none"/>
                <w:lang w:eastAsia="zh-CN"/>
              </w:rPr>
            </w:pPr>
            <w:r>
              <w:rPr>
                <w:rFonts w:hint="eastAsia" w:ascii="宋体" w:hAnsi="宋体" w:cs="宋体"/>
                <w:color w:val="000000"/>
                <w:kern w:val="0"/>
                <w:sz w:val="24"/>
                <w:szCs w:val="24"/>
                <w:highlight w:val="none"/>
                <w:lang w:val="en-US" w:eastAsia="zh-CN"/>
              </w:rPr>
              <w:t>2</w:t>
            </w:r>
          </w:p>
        </w:tc>
        <w:tc>
          <w:tcPr>
            <w:tcW w:w="2485" w:type="pct"/>
            <w:tcBorders>
              <w:top w:val="single" w:color="auto" w:sz="4" w:space="0"/>
              <w:left w:val="nil"/>
              <w:bottom w:val="single" w:color="auto" w:sz="4" w:space="0"/>
              <w:right w:val="single" w:color="auto" w:sz="4" w:space="0"/>
            </w:tcBorders>
            <w:vAlign w:val="center"/>
          </w:tcPr>
          <w:p w14:paraId="1B3BCB6D">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sz w:val="24"/>
                <w:szCs w:val="24"/>
                <w:highlight w:val="none"/>
                <w:shd w:val="clear" w:color="auto" w:fill="FFFFFF"/>
              </w:rPr>
              <w:t>对项目施工质量进行监督和检查，确保施工过程和工程质量符合相关标准和要求。需熟悉质量检验检测方法和标准，具备较强的质量意识和责任心。</w:t>
            </w:r>
          </w:p>
        </w:tc>
        <w:tc>
          <w:tcPr>
            <w:tcW w:w="753" w:type="pct"/>
            <w:tcBorders>
              <w:top w:val="single" w:color="auto" w:sz="4" w:space="0"/>
              <w:left w:val="single" w:color="auto" w:sz="4" w:space="0"/>
              <w:bottom w:val="single" w:color="auto" w:sz="4" w:space="0"/>
              <w:right w:val="single" w:color="auto" w:sz="4" w:space="0"/>
            </w:tcBorders>
            <w:vAlign w:val="center"/>
          </w:tcPr>
          <w:p w14:paraId="3C60DDBE">
            <w:pPr>
              <w:jc w:val="left"/>
              <w:rPr>
                <w:rFonts w:hint="eastAsia" w:ascii="宋体" w:hAnsi="宋体" w:eastAsia="宋体" w:cs="宋体"/>
                <w:color w:val="000000"/>
                <w:kern w:val="0"/>
                <w:sz w:val="24"/>
                <w:szCs w:val="24"/>
                <w:highlight w:val="none"/>
              </w:rPr>
            </w:pPr>
          </w:p>
          <w:p w14:paraId="08861EB2">
            <w:pPr>
              <w:pStyle w:val="2"/>
              <w:rPr>
                <w:rFonts w:hint="eastAsia" w:ascii="宋体" w:hAnsi="宋体" w:eastAsia="宋体" w:cs="宋体"/>
                <w:sz w:val="24"/>
                <w:szCs w:val="24"/>
                <w:highlight w:val="none"/>
              </w:rPr>
            </w:pPr>
          </w:p>
        </w:tc>
      </w:tr>
      <w:tr w14:paraId="13E883D3">
        <w:tblPrEx>
          <w:tblCellMar>
            <w:top w:w="0" w:type="dxa"/>
            <w:left w:w="108" w:type="dxa"/>
            <w:bottom w:w="0" w:type="dxa"/>
            <w:right w:w="108" w:type="dxa"/>
          </w:tblCellMar>
        </w:tblPrEx>
        <w:trPr>
          <w:trHeight w:val="765" w:hRule="atLeast"/>
          <w:jc w:val="center"/>
        </w:trPr>
        <w:tc>
          <w:tcPr>
            <w:tcW w:w="560" w:type="pct"/>
            <w:vMerge w:val="restart"/>
            <w:tcBorders>
              <w:top w:val="single" w:color="auto" w:sz="4" w:space="0"/>
              <w:left w:val="single" w:color="auto" w:sz="4" w:space="0"/>
              <w:right w:val="single" w:color="auto" w:sz="4" w:space="0"/>
            </w:tcBorders>
            <w:shd w:val="clear" w:color="000000" w:fill="FFFFFF"/>
            <w:vAlign w:val="center"/>
          </w:tcPr>
          <w:p w14:paraId="3B470439">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技术</w:t>
            </w:r>
          </w:p>
          <w:p w14:paraId="6593B83A">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工人</w:t>
            </w:r>
          </w:p>
        </w:tc>
        <w:tc>
          <w:tcPr>
            <w:tcW w:w="758" w:type="pct"/>
            <w:tcBorders>
              <w:top w:val="single" w:color="auto" w:sz="4" w:space="0"/>
              <w:left w:val="single" w:color="auto" w:sz="4" w:space="0"/>
              <w:bottom w:val="single" w:color="auto" w:sz="4" w:space="0"/>
              <w:right w:val="single" w:color="auto" w:sz="4" w:space="0"/>
            </w:tcBorders>
            <w:shd w:val="clear" w:color="000000" w:fill="FFFFFF"/>
            <w:vAlign w:val="center"/>
          </w:tcPr>
          <w:p w14:paraId="6ED94A6A">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焊工</w:t>
            </w:r>
          </w:p>
        </w:tc>
        <w:tc>
          <w:tcPr>
            <w:tcW w:w="441" w:type="pct"/>
            <w:tcBorders>
              <w:top w:val="single" w:color="auto" w:sz="4" w:space="0"/>
              <w:left w:val="nil"/>
              <w:bottom w:val="single" w:color="auto" w:sz="4" w:space="0"/>
              <w:right w:val="single" w:color="auto" w:sz="4" w:space="0"/>
            </w:tcBorders>
            <w:noWrap/>
            <w:vAlign w:val="center"/>
          </w:tcPr>
          <w:p w14:paraId="60CBBCA8">
            <w:pPr>
              <w:jc w:val="center"/>
              <w:rPr>
                <w:rFonts w:hint="eastAsia" w:ascii="宋体" w:hAnsi="宋体" w:eastAsia="宋体" w:cs="宋体"/>
                <w:color w:val="000000"/>
                <w:kern w:val="0"/>
                <w:sz w:val="24"/>
                <w:szCs w:val="24"/>
                <w:highlight w:val="none"/>
                <w:lang w:eastAsia="zh-CN"/>
              </w:rPr>
            </w:pPr>
            <w:r>
              <w:rPr>
                <w:rFonts w:hint="eastAsia" w:ascii="宋体" w:hAnsi="宋体" w:cs="宋体"/>
                <w:color w:val="000000"/>
                <w:kern w:val="0"/>
                <w:sz w:val="24"/>
                <w:szCs w:val="24"/>
                <w:highlight w:val="none"/>
                <w:lang w:val="en-US" w:eastAsia="zh-CN"/>
              </w:rPr>
              <w:t>2</w:t>
            </w:r>
          </w:p>
        </w:tc>
        <w:tc>
          <w:tcPr>
            <w:tcW w:w="2485" w:type="pct"/>
            <w:tcBorders>
              <w:top w:val="single" w:color="auto" w:sz="4" w:space="0"/>
              <w:left w:val="nil"/>
              <w:bottom w:val="single" w:color="auto" w:sz="4" w:space="0"/>
              <w:right w:val="single" w:color="auto" w:sz="4" w:space="0"/>
            </w:tcBorders>
            <w:vAlign w:val="center"/>
          </w:tcPr>
          <w:p w14:paraId="23B83E78">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1.持有相应的焊工资格证书，熟练掌握焊接设备的操作方法，包括电焊机、气焊设备、氩弧焊机等；</w:t>
            </w:r>
          </w:p>
          <w:p w14:paraId="7FDBC3BE">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2.熟悉不同焊接工艺和焊接材料的特性，能按照焊接工艺要求进行高质量的焊接作业</w:t>
            </w:r>
          </w:p>
          <w:p w14:paraId="68634663">
            <w:pPr>
              <w:textAlignment w:val="center"/>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3应急管理局和市场监督管理局颁发的双证</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highlight w:val="none"/>
                <w:lang w:val="en-US" w:eastAsia="zh-CN" w:bidi="ar"/>
              </w:rPr>
              <w:t>(证件符合相关焊接要求)</w:t>
            </w:r>
          </w:p>
        </w:tc>
        <w:tc>
          <w:tcPr>
            <w:tcW w:w="753" w:type="pct"/>
            <w:tcBorders>
              <w:top w:val="single" w:color="auto" w:sz="4" w:space="0"/>
              <w:left w:val="single" w:color="auto" w:sz="4" w:space="0"/>
              <w:bottom w:val="single" w:color="auto" w:sz="4" w:space="0"/>
              <w:right w:val="single" w:color="auto" w:sz="4" w:space="0"/>
            </w:tcBorders>
            <w:vAlign w:val="center"/>
          </w:tcPr>
          <w:p w14:paraId="2D3897BF">
            <w:pPr>
              <w:jc w:val="left"/>
              <w:rPr>
                <w:rFonts w:hint="eastAsia" w:ascii="宋体" w:hAnsi="宋体" w:eastAsia="宋体" w:cs="宋体"/>
                <w:color w:val="000000"/>
                <w:kern w:val="0"/>
                <w:sz w:val="24"/>
                <w:szCs w:val="24"/>
                <w:highlight w:val="none"/>
              </w:rPr>
            </w:pPr>
          </w:p>
        </w:tc>
      </w:tr>
      <w:tr w14:paraId="31A3A030">
        <w:tblPrEx>
          <w:tblCellMar>
            <w:top w:w="0" w:type="dxa"/>
            <w:left w:w="108" w:type="dxa"/>
            <w:bottom w:w="0" w:type="dxa"/>
            <w:right w:w="108" w:type="dxa"/>
          </w:tblCellMar>
        </w:tblPrEx>
        <w:trPr>
          <w:trHeight w:val="765" w:hRule="atLeast"/>
          <w:jc w:val="center"/>
        </w:trPr>
        <w:tc>
          <w:tcPr>
            <w:tcW w:w="560" w:type="pct"/>
            <w:vMerge w:val="continue"/>
            <w:tcBorders>
              <w:left w:val="single" w:color="auto" w:sz="4" w:space="0"/>
              <w:right w:val="single" w:color="auto" w:sz="4" w:space="0"/>
            </w:tcBorders>
            <w:shd w:val="clear" w:color="000000" w:fill="FFFFFF"/>
            <w:vAlign w:val="center"/>
          </w:tcPr>
          <w:p w14:paraId="14A18975">
            <w:pPr>
              <w:jc w:val="center"/>
              <w:rPr>
                <w:rFonts w:hint="eastAsia" w:ascii="宋体" w:hAnsi="宋体" w:eastAsia="宋体" w:cs="宋体"/>
                <w:color w:val="000000"/>
                <w:kern w:val="0"/>
                <w:sz w:val="24"/>
                <w:szCs w:val="24"/>
                <w:highlight w:val="none"/>
              </w:rPr>
            </w:pPr>
          </w:p>
        </w:tc>
        <w:tc>
          <w:tcPr>
            <w:tcW w:w="758" w:type="pct"/>
            <w:tcBorders>
              <w:top w:val="single" w:color="auto" w:sz="4" w:space="0"/>
              <w:left w:val="single" w:color="auto" w:sz="4" w:space="0"/>
              <w:bottom w:val="single" w:color="auto" w:sz="4" w:space="0"/>
              <w:right w:val="single" w:color="auto" w:sz="4" w:space="0"/>
            </w:tcBorders>
            <w:shd w:val="clear" w:color="000000" w:fill="FFFFFF"/>
            <w:vAlign w:val="center"/>
          </w:tcPr>
          <w:p w14:paraId="1DCC195D">
            <w:pPr>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Cs/>
                <w:sz w:val="24"/>
                <w:szCs w:val="24"/>
                <w:highlight w:val="none"/>
                <w:lang w:val="en-US" w:eastAsia="zh-CN"/>
              </w:rPr>
              <w:t>起重指挥</w:t>
            </w:r>
          </w:p>
        </w:tc>
        <w:tc>
          <w:tcPr>
            <w:tcW w:w="441" w:type="pct"/>
            <w:tcBorders>
              <w:top w:val="single" w:color="auto" w:sz="4" w:space="0"/>
              <w:left w:val="nil"/>
              <w:bottom w:val="single" w:color="auto" w:sz="4" w:space="0"/>
              <w:right w:val="single" w:color="auto" w:sz="4" w:space="0"/>
            </w:tcBorders>
            <w:noWrap/>
            <w:vAlign w:val="center"/>
          </w:tcPr>
          <w:p w14:paraId="78788DA4">
            <w:pPr>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1</w:t>
            </w:r>
          </w:p>
        </w:tc>
        <w:tc>
          <w:tcPr>
            <w:tcW w:w="2485" w:type="pct"/>
            <w:tcBorders>
              <w:top w:val="single" w:color="auto" w:sz="4" w:space="0"/>
              <w:left w:val="nil"/>
              <w:bottom w:val="single" w:color="auto" w:sz="4" w:space="0"/>
              <w:right w:val="single" w:color="auto" w:sz="4" w:space="0"/>
            </w:tcBorders>
            <w:vAlign w:val="center"/>
          </w:tcPr>
          <w:p w14:paraId="29118501">
            <w:pPr>
              <w:textAlignment w:val="center"/>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起重指挥人员必须经专门的安全技术培训并考核合格，取得相应的特种设备作业人员证（起重机械指挥项目），方可上岗作业</w:t>
            </w:r>
          </w:p>
        </w:tc>
        <w:tc>
          <w:tcPr>
            <w:tcW w:w="753" w:type="pct"/>
            <w:tcBorders>
              <w:top w:val="single" w:color="auto" w:sz="4" w:space="0"/>
              <w:left w:val="single" w:color="auto" w:sz="4" w:space="0"/>
              <w:bottom w:val="single" w:color="auto" w:sz="4" w:space="0"/>
              <w:right w:val="single" w:color="auto" w:sz="4" w:space="0"/>
            </w:tcBorders>
            <w:vAlign w:val="center"/>
          </w:tcPr>
          <w:p w14:paraId="223E04AB">
            <w:pPr>
              <w:jc w:val="left"/>
              <w:rPr>
                <w:rFonts w:hint="eastAsia" w:ascii="宋体" w:hAnsi="宋体" w:eastAsia="宋体" w:cs="宋体"/>
                <w:color w:val="000000"/>
                <w:kern w:val="0"/>
                <w:sz w:val="24"/>
                <w:szCs w:val="24"/>
                <w:highlight w:val="none"/>
              </w:rPr>
            </w:pPr>
          </w:p>
        </w:tc>
      </w:tr>
      <w:tr w14:paraId="5452DF82">
        <w:tblPrEx>
          <w:tblCellMar>
            <w:top w:w="0" w:type="dxa"/>
            <w:left w:w="108" w:type="dxa"/>
            <w:bottom w:w="0" w:type="dxa"/>
            <w:right w:w="108" w:type="dxa"/>
          </w:tblCellMar>
        </w:tblPrEx>
        <w:trPr>
          <w:trHeight w:val="270"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14:paraId="0AADF39A">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普通</w:t>
            </w:r>
          </w:p>
          <w:p w14:paraId="03E44132">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工人</w:t>
            </w:r>
          </w:p>
        </w:tc>
        <w:tc>
          <w:tcPr>
            <w:tcW w:w="758" w:type="pct"/>
            <w:tcBorders>
              <w:top w:val="single" w:color="auto" w:sz="4" w:space="0"/>
              <w:left w:val="single" w:color="auto" w:sz="4" w:space="0"/>
              <w:bottom w:val="single" w:color="auto" w:sz="4" w:space="0"/>
              <w:right w:val="single" w:color="auto" w:sz="4" w:space="0"/>
            </w:tcBorders>
            <w:vAlign w:val="center"/>
          </w:tcPr>
          <w:p w14:paraId="4B64E4FD">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普工</w:t>
            </w:r>
          </w:p>
        </w:tc>
        <w:tc>
          <w:tcPr>
            <w:tcW w:w="441" w:type="pct"/>
            <w:tcBorders>
              <w:top w:val="single" w:color="auto" w:sz="4" w:space="0"/>
              <w:left w:val="nil"/>
              <w:bottom w:val="single" w:color="auto" w:sz="4" w:space="0"/>
              <w:right w:val="single" w:color="auto" w:sz="4" w:space="0"/>
            </w:tcBorders>
            <w:noWrap/>
            <w:vAlign w:val="center"/>
          </w:tcPr>
          <w:p w14:paraId="13F3C275">
            <w:pPr>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8</w:t>
            </w:r>
          </w:p>
        </w:tc>
        <w:tc>
          <w:tcPr>
            <w:tcW w:w="2485" w:type="pct"/>
            <w:tcBorders>
              <w:top w:val="single" w:color="auto" w:sz="4" w:space="0"/>
              <w:left w:val="nil"/>
              <w:bottom w:val="single" w:color="auto" w:sz="4" w:space="0"/>
              <w:right w:val="single" w:color="auto" w:sz="4" w:space="0"/>
            </w:tcBorders>
            <w:vAlign w:val="center"/>
          </w:tcPr>
          <w:p w14:paraId="36882A72">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1.熟练使用各种检修工具和仪器设备</w:t>
            </w:r>
          </w:p>
          <w:p w14:paraId="0A3567EF">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2.具备设备的拆卸、装配和调整能力</w:t>
            </w:r>
          </w:p>
          <w:p w14:paraId="182DD1DC">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3.具备良好的身体素质和耐力，能够承受一定的工作强度</w:t>
            </w:r>
          </w:p>
          <w:p w14:paraId="2FBD2FD4">
            <w:pPr>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熟练掌握汉语语言</w:t>
            </w:r>
          </w:p>
        </w:tc>
        <w:tc>
          <w:tcPr>
            <w:tcW w:w="753" w:type="pct"/>
            <w:tcBorders>
              <w:top w:val="single" w:color="auto" w:sz="4" w:space="0"/>
              <w:left w:val="single" w:color="auto" w:sz="4" w:space="0"/>
              <w:bottom w:val="single" w:color="auto" w:sz="4" w:space="0"/>
              <w:right w:val="single" w:color="auto" w:sz="4" w:space="0"/>
            </w:tcBorders>
            <w:vAlign w:val="center"/>
          </w:tcPr>
          <w:p w14:paraId="7C7ED8CA">
            <w:pPr>
              <w:jc w:val="left"/>
              <w:rPr>
                <w:rFonts w:hint="eastAsia" w:ascii="宋体" w:hAnsi="宋体" w:eastAsia="宋体" w:cs="宋体"/>
                <w:color w:val="000000"/>
                <w:kern w:val="0"/>
                <w:sz w:val="24"/>
                <w:szCs w:val="24"/>
                <w:highlight w:val="none"/>
              </w:rPr>
            </w:pPr>
          </w:p>
        </w:tc>
      </w:tr>
    </w:tbl>
    <w:p w14:paraId="0B8E3533">
      <w:pPr>
        <w:snapToGrid w:val="0"/>
        <w:spacing w:line="360" w:lineRule="auto"/>
        <w:jc w:val="left"/>
        <w:rPr>
          <w:rStyle w:val="34"/>
          <w:rFonts w:hint="eastAsia" w:ascii="宋体" w:hAnsi="宋体" w:eastAsia="宋体" w:cs="宋体"/>
          <w:b/>
          <w:sz w:val="24"/>
          <w:szCs w:val="24"/>
          <w:highlight w:val="none"/>
        </w:rPr>
      </w:pPr>
    </w:p>
    <w:p w14:paraId="60FD903E">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24" w:name="_Toc16240"/>
      <w:r>
        <w:rPr>
          <w:rFonts w:hint="eastAsia" w:ascii="宋体" w:hAnsi="宋体" w:eastAsia="宋体" w:cs="宋体"/>
          <w:sz w:val="24"/>
          <w:szCs w:val="24"/>
          <w:highlight w:val="none"/>
          <w:lang w:val="en-US" w:eastAsia="zh-CN"/>
        </w:rPr>
        <w:t>8安全要求</w:t>
      </w:r>
      <w:bookmarkEnd w:id="24"/>
    </w:p>
    <w:p w14:paraId="657CE3A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8.1入厂资料要求：</w:t>
      </w:r>
    </w:p>
    <w:p w14:paraId="06A11AB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 投标方应该建立归档资料如下：</w:t>
      </w:r>
    </w:p>
    <w:p w14:paraId="61E9A69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8.1.2 投标方管理人员对作业人员的安全技术交底记录（全员覆盖，新入职人员及时进行安全技术交底，纸质版留档）。</w:t>
      </w:r>
    </w:p>
    <w:p w14:paraId="058CA56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8.1.3 投标方组织员工培训学习公司相关制度、管理规定、事故案例的学习记录。（电子版备查，要求有清晰的照片能证明所学内容，有清晰的扫描签到表）</w:t>
      </w:r>
    </w:p>
    <w:p w14:paraId="114DB66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8.1.4 三级安全教育台账以及整套资料。</w:t>
      </w:r>
    </w:p>
    <w:p w14:paraId="0954A4B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8.1.5 项目主管单位对制度、管理规定、操作规程提供的确认表。（纸质版留档）</w:t>
      </w:r>
    </w:p>
    <w:p w14:paraId="059355E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8.1.6 项目主管单位对投标方组织进行培训学习记录。（常年维保单位每月一次）。（电子版备查，要求有清晰的照片能证明所学内容，有清晰的扫描签到表）</w:t>
      </w:r>
    </w:p>
    <w:p w14:paraId="7426AA6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8.1.7 安健环协议以及交叉协议。（纸质版留档）</w:t>
      </w:r>
    </w:p>
    <w:p w14:paraId="2BD0C0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8.1.8 项目开工前条件确认表。（纸质版留档）</w:t>
      </w:r>
    </w:p>
    <w:p w14:paraId="0517913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8.1.9 安全生产责任书（层层签订）（纸质版留档）</w:t>
      </w:r>
    </w:p>
    <w:p w14:paraId="03CE82E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8.1.10 合同以及附件。（纸质版留档）</w:t>
      </w:r>
    </w:p>
    <w:p w14:paraId="09627A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8.1.11 企业资质、专业外包资质。（电子版备查）</w:t>
      </w:r>
    </w:p>
    <w:p w14:paraId="0A56000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8.1.12 管理人员授权书、任命书。（纸质版留档）</w:t>
      </w:r>
    </w:p>
    <w:p w14:paraId="158777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8.1.13 投标方全员安全生产责任制。（纸质版留档）</w:t>
      </w:r>
    </w:p>
    <w:p w14:paraId="097BDFA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8.1.14 投标方应急预案。（纸质版留档）</w:t>
      </w:r>
    </w:p>
    <w:p w14:paraId="7C4F401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8.1.15 外包项目人员台账（及时更新）以及特种作业人员台账（电子版及时更新）。</w:t>
      </w:r>
    </w:p>
    <w:p w14:paraId="09A74BF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8.1.16 所有审核审批的方案存档。（纸质版留档）</w:t>
      </w:r>
    </w:p>
    <w:p w14:paraId="0C2078A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8.1.17 安全生产费用使用台账（电子版台账，必须提供相关佐证资料例如发票等）。</w:t>
      </w:r>
    </w:p>
    <w:p w14:paraId="517953C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8.1.18 外包项目所有人员的入厂健康体检、职业病体检报告（纸质版留档）,详细要求见附件22。</w:t>
      </w:r>
    </w:p>
    <w:p w14:paraId="55041C2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8.2安全要求：</w:t>
      </w:r>
    </w:p>
    <w:p w14:paraId="02D89E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8.2.1 检修人员进行设备检修工作时，必须办理合格的工作票及各种特殊作业票。</w:t>
      </w:r>
    </w:p>
    <w:p w14:paraId="2A8EDCF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8.2.2 检修人员如需在脚手架上工作，必须系安全带方能上脚手架，并将安全带挂在固定牢固部件上，高挂低用。</w:t>
      </w:r>
    </w:p>
    <w:p w14:paraId="671F722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8.2.3 设备所有零部件，应按要求摆放在指定的地点, 妥善保管。工作中轻起轻落,不准将设备或零部件直接放在地面上，在检修现场必须垫上橡胶垫，以防工具、零件等掉在地上。</w:t>
      </w:r>
    </w:p>
    <w:p w14:paraId="1910F67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784A6A6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8.2.5 现场工作人员应精神状态良好、无有碍工作的疾病，并不得酒后上班。</w:t>
      </w:r>
    </w:p>
    <w:p w14:paraId="040C11F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8.2.6 进入生产场所的所有人员包括管理人员必须戴好安全帽，禁止在生产场所吸烟。</w:t>
      </w:r>
    </w:p>
    <w:p w14:paraId="62D1D7D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8.2.7 动火作业按要求办理好动火作业工作票，注意火星的控制，以及动火操作的规范。</w:t>
      </w:r>
    </w:p>
    <w:p w14:paraId="5D1A4D4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8.2.8 容器内作业注意通风，外部设专业监护，防止中毒窒息。</w:t>
      </w:r>
    </w:p>
    <w:p w14:paraId="1975352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8.2.9 必须严格遵守安全监察部制定的八大特殊作业等安全管理制度要求。</w:t>
      </w:r>
    </w:p>
    <w:p w14:paraId="007FE1A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 安全生产七大禁令</w:t>
      </w:r>
    </w:p>
    <w:p w14:paraId="4F92303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34"/>
          <w:rFonts w:hint="eastAsia" w:ascii="宋体" w:hAnsi="宋体" w:eastAsia="宋体" w:cs="宋体"/>
          <w:b/>
          <w:sz w:val="24"/>
          <w:szCs w:val="24"/>
          <w:highlight w:val="none"/>
        </w:rPr>
      </w:pPr>
      <w:r>
        <w:rPr>
          <w:rFonts w:hint="eastAsia" w:ascii="宋体" w:hAnsi="宋体" w:eastAsia="宋体" w:cs="宋体"/>
          <w:sz w:val="24"/>
          <w:szCs w:val="24"/>
          <w:highlight w:val="none"/>
          <w:lang w:val="en-US" w:eastAsia="zh-CN"/>
        </w:rPr>
        <w:t>8.3.1 严禁在生产装置区内吸烟。</w:t>
      </w:r>
    </w:p>
    <w:p w14:paraId="60462AB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8.3.2 严禁高处作业不使用安全带。</w:t>
      </w:r>
    </w:p>
    <w:p w14:paraId="78A0ECF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8.3.3 严禁违章指挥、强令他人违章冒险作业。</w:t>
      </w:r>
    </w:p>
    <w:p w14:paraId="39A77ED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8.3.4 严禁未经许可进行受限空间作业、动火作业。</w:t>
      </w:r>
    </w:p>
    <w:p w14:paraId="6DE38C6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8.3.5 严禁无证进行电气、架子、叉车、电气焊作业。</w:t>
      </w:r>
    </w:p>
    <w:p w14:paraId="5E3184D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8.3.6 严禁未经审批或许可，取消或退出安全联锁。</w:t>
      </w:r>
    </w:p>
    <w:p w14:paraId="3029408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8.3.7 严禁未经许可关闭、破坏直接关系生产安全的报警、防护、救生设备、设施，不得篡改、销毁其相关数据、信息。</w:t>
      </w:r>
    </w:p>
    <w:p w14:paraId="31954AD9">
      <w:pPr>
        <w:rPr>
          <w:rStyle w:val="34"/>
          <w:rFonts w:hint="eastAsia" w:ascii="宋体" w:hAnsi="宋体" w:eastAsia="宋体" w:cs="宋体"/>
          <w:b/>
          <w:sz w:val="24"/>
          <w:szCs w:val="24"/>
          <w:highlight w:val="none"/>
        </w:rPr>
      </w:pPr>
    </w:p>
    <w:p w14:paraId="5F177EE0">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25" w:name="_Toc224"/>
      <w:r>
        <w:rPr>
          <w:rFonts w:hint="eastAsia" w:ascii="宋体" w:hAnsi="宋体" w:eastAsia="宋体" w:cs="宋体"/>
          <w:sz w:val="24"/>
          <w:szCs w:val="24"/>
          <w:highlight w:val="none"/>
          <w:lang w:val="en-US" w:eastAsia="zh-CN"/>
        </w:rPr>
        <w:t>9双方职责</w:t>
      </w:r>
      <w:bookmarkEnd w:id="25"/>
    </w:p>
    <w:p w14:paraId="549B4D3A">
      <w:pPr>
        <w:spacing w:line="360" w:lineRule="auto"/>
        <w:rPr>
          <w:rFonts w:hint="eastAsia" w:ascii="宋体" w:hAnsi="宋体" w:eastAsia="宋体" w:cs="宋体"/>
          <w:bCs/>
          <w:sz w:val="24"/>
          <w:szCs w:val="24"/>
          <w:highlight w:val="none"/>
        </w:rPr>
      </w:pPr>
      <w:bookmarkStart w:id="26" w:name="_Toc21176"/>
      <w:r>
        <w:rPr>
          <w:rFonts w:hint="eastAsia" w:ascii="宋体" w:hAnsi="宋体" w:cs="宋体"/>
          <w:bCs/>
          <w:sz w:val="24"/>
          <w:szCs w:val="24"/>
          <w:highlight w:val="none"/>
          <w:lang w:val="en-US" w:eastAsia="zh-CN"/>
        </w:rPr>
        <w:t>9.1招标方</w:t>
      </w:r>
      <w:r>
        <w:rPr>
          <w:rFonts w:hint="eastAsia" w:ascii="宋体" w:hAnsi="宋体" w:eastAsia="宋体" w:cs="宋体"/>
          <w:bCs/>
          <w:sz w:val="24"/>
          <w:szCs w:val="24"/>
          <w:highlight w:val="none"/>
        </w:rPr>
        <w:t>职责</w:t>
      </w:r>
    </w:p>
    <w:p w14:paraId="5F3FE614">
      <w:pPr>
        <w:spacing w:line="360" w:lineRule="auto"/>
        <w:rPr>
          <w:rFonts w:cs="宋体" w:asciiTheme="minorEastAsia" w:hAnsiTheme="minorEastAsia" w:eastAsiaTheme="minorEastAsia"/>
          <w:b w:val="0"/>
          <w:kern w:val="0"/>
          <w:sz w:val="24"/>
          <w:szCs w:val="24"/>
        </w:rPr>
      </w:pPr>
      <w:r>
        <w:rPr>
          <w:rFonts w:hint="eastAsia" w:cs="宋体" w:asciiTheme="minorEastAsia" w:hAnsiTheme="minorEastAsia" w:eastAsiaTheme="minorEastAsia"/>
          <w:b w:val="0"/>
          <w:kern w:val="0"/>
          <w:sz w:val="24"/>
          <w:szCs w:val="24"/>
          <w:lang w:eastAsia="zh-CN"/>
        </w:rPr>
        <w:t>招标方</w:t>
      </w:r>
      <w:r>
        <w:rPr>
          <w:rFonts w:hint="eastAsia" w:cs="宋体" w:asciiTheme="minorEastAsia" w:hAnsiTheme="minorEastAsia" w:eastAsiaTheme="minorEastAsia"/>
          <w:b w:val="0"/>
          <w:kern w:val="0"/>
          <w:sz w:val="24"/>
          <w:szCs w:val="24"/>
        </w:rPr>
        <w:t>供材料及工器具</w:t>
      </w:r>
    </w:p>
    <w:p w14:paraId="435D9A40">
      <w:pPr>
        <w:pStyle w:val="26"/>
        <w:adjustRightInd w:val="0"/>
        <w:snapToGrid w:val="0"/>
        <w:spacing w:before="0" w:after="0" w:line="360" w:lineRule="auto"/>
        <w:ind w:firstLine="480" w:firstLineChars="200"/>
        <w:jc w:val="left"/>
        <w:rPr>
          <w:rFonts w:cs="宋体" w:asciiTheme="minorEastAsia" w:hAnsiTheme="minorEastAsia" w:eastAsiaTheme="minorEastAsia"/>
          <w:b w:val="0"/>
          <w:kern w:val="0"/>
          <w:sz w:val="24"/>
          <w:szCs w:val="24"/>
        </w:rPr>
      </w:pPr>
      <w:r>
        <w:rPr>
          <w:rFonts w:hint="eastAsia" w:cs="宋体" w:asciiTheme="minorEastAsia" w:hAnsiTheme="minorEastAsia" w:eastAsiaTheme="minorEastAsia"/>
          <w:b w:val="0"/>
          <w:kern w:val="0"/>
          <w:sz w:val="24"/>
          <w:szCs w:val="24"/>
        </w:rPr>
        <w:t>所有备品备件、油类及以下</w:t>
      </w:r>
      <w:r>
        <w:rPr>
          <w:rFonts w:hint="eastAsia" w:cs="宋体" w:asciiTheme="minorEastAsia" w:hAnsiTheme="minorEastAsia" w:eastAsiaTheme="minorEastAsia"/>
          <w:b w:val="0"/>
          <w:kern w:val="0"/>
          <w:sz w:val="24"/>
          <w:szCs w:val="24"/>
          <w:lang w:eastAsia="zh-CN"/>
        </w:rPr>
        <w:t>招标方</w:t>
      </w:r>
      <w:r>
        <w:rPr>
          <w:rFonts w:hint="eastAsia" w:cs="宋体" w:asciiTheme="minorEastAsia" w:hAnsiTheme="minorEastAsia" w:eastAsiaTheme="minorEastAsia"/>
          <w:b w:val="0"/>
          <w:kern w:val="0"/>
          <w:sz w:val="24"/>
          <w:szCs w:val="24"/>
        </w:rPr>
        <w:t>提供</w:t>
      </w:r>
    </w:p>
    <w:p w14:paraId="37320588">
      <w:pPr>
        <w:pStyle w:val="26"/>
        <w:adjustRightInd w:val="0"/>
        <w:snapToGrid w:val="0"/>
        <w:spacing w:before="0" w:after="0" w:line="360" w:lineRule="auto"/>
        <w:ind w:firstLine="240" w:firstLineChars="100"/>
        <w:jc w:val="left"/>
        <w:rPr>
          <w:rFonts w:asciiTheme="minorEastAsia" w:hAnsiTheme="minorEastAsia" w:eastAsiaTheme="minorEastAsia"/>
          <w:b w:val="0"/>
          <w:sz w:val="24"/>
        </w:rPr>
      </w:pPr>
      <w:r>
        <w:rPr>
          <w:rFonts w:hint="eastAsia" w:asciiTheme="minorEastAsia" w:hAnsiTheme="minorEastAsia" w:eastAsiaTheme="minorEastAsia"/>
          <w:b w:val="0"/>
          <w:sz w:val="24"/>
        </w:rPr>
        <w:t>1</w:t>
      </w:r>
      <w:r>
        <w:rPr>
          <w:rFonts w:asciiTheme="minorEastAsia" w:hAnsiTheme="minorEastAsia" w:eastAsiaTheme="minorEastAsia"/>
          <w:b w:val="0"/>
          <w:sz w:val="24"/>
        </w:rPr>
        <w:t>)</w:t>
      </w:r>
      <w:r>
        <w:rPr>
          <w:rFonts w:hint="eastAsia" w:asciiTheme="minorEastAsia" w:hAnsiTheme="minorEastAsia" w:eastAsiaTheme="minorEastAsia"/>
          <w:b w:val="0"/>
          <w:sz w:val="24"/>
        </w:rPr>
        <w:t>各类电焊条、焊丝、氧气、乙炔、氩气、焊锡等；</w:t>
      </w:r>
    </w:p>
    <w:p w14:paraId="55329BA9">
      <w:pPr>
        <w:pStyle w:val="26"/>
        <w:adjustRightInd w:val="0"/>
        <w:snapToGrid w:val="0"/>
        <w:spacing w:before="0" w:after="0" w:line="360" w:lineRule="auto"/>
        <w:ind w:firstLine="240" w:firstLineChars="100"/>
        <w:jc w:val="left"/>
        <w:rPr>
          <w:rFonts w:asciiTheme="minorEastAsia" w:hAnsiTheme="minorEastAsia" w:eastAsiaTheme="minorEastAsia"/>
          <w:b w:val="0"/>
          <w:sz w:val="24"/>
        </w:rPr>
      </w:pPr>
      <w:r>
        <w:rPr>
          <w:rFonts w:asciiTheme="minorEastAsia" w:hAnsiTheme="minorEastAsia" w:eastAsiaTheme="minorEastAsia"/>
          <w:b w:val="0"/>
          <w:sz w:val="24"/>
        </w:rPr>
        <w:t>2)</w:t>
      </w:r>
      <w:r>
        <w:rPr>
          <w:rFonts w:hint="eastAsia" w:asciiTheme="minorEastAsia" w:hAnsiTheme="minorEastAsia" w:eastAsiaTheme="minorEastAsia"/>
          <w:b w:val="0"/>
          <w:sz w:val="24"/>
        </w:rPr>
        <w:t>工程机械，板车、吊车等；</w:t>
      </w:r>
    </w:p>
    <w:p w14:paraId="0121F972">
      <w:pPr>
        <w:pStyle w:val="26"/>
        <w:adjustRightInd w:val="0"/>
        <w:snapToGrid w:val="0"/>
        <w:spacing w:before="0" w:after="0" w:line="360" w:lineRule="auto"/>
        <w:ind w:firstLine="240" w:firstLineChars="100"/>
        <w:jc w:val="left"/>
        <w:rPr>
          <w:rFonts w:hint="eastAsia" w:asciiTheme="minorEastAsia" w:hAnsiTheme="minorEastAsia" w:eastAsiaTheme="minorEastAsia"/>
          <w:b w:val="0"/>
          <w:sz w:val="24"/>
          <w:lang w:eastAsia="zh-CN"/>
        </w:rPr>
      </w:pPr>
      <w:r>
        <w:rPr>
          <w:rFonts w:asciiTheme="minorEastAsia" w:hAnsiTheme="minorEastAsia" w:eastAsiaTheme="minorEastAsia"/>
          <w:b w:val="0"/>
          <w:sz w:val="24"/>
        </w:rPr>
        <w:t>3)</w:t>
      </w:r>
      <w:r>
        <w:rPr>
          <w:rFonts w:hint="eastAsia" w:asciiTheme="minorEastAsia" w:hAnsiTheme="minorEastAsia" w:eastAsiaTheme="minorEastAsia"/>
          <w:b w:val="0"/>
          <w:sz w:val="24"/>
          <w:lang w:val="en-US" w:eastAsia="zh-CN"/>
        </w:rPr>
        <w:t>脚手架项目及保温项目</w:t>
      </w:r>
      <w:r>
        <w:rPr>
          <w:rFonts w:hint="eastAsia" w:asciiTheme="minorEastAsia" w:hAnsiTheme="minorEastAsia" w:eastAsiaTheme="minorEastAsia"/>
          <w:b w:val="0"/>
          <w:sz w:val="24"/>
        </w:rPr>
        <w:t>由</w:t>
      </w:r>
      <w:r>
        <w:rPr>
          <w:rFonts w:hint="eastAsia" w:asciiTheme="minorEastAsia" w:hAnsiTheme="minorEastAsia" w:eastAsiaTheme="minorEastAsia"/>
          <w:b w:val="0"/>
          <w:sz w:val="24"/>
          <w:lang w:eastAsia="zh-CN"/>
        </w:rPr>
        <w:t>招标方</w:t>
      </w:r>
      <w:r>
        <w:rPr>
          <w:rFonts w:hint="eastAsia" w:asciiTheme="minorEastAsia" w:hAnsiTheme="minorEastAsia" w:eastAsiaTheme="minorEastAsia"/>
          <w:b w:val="0"/>
          <w:sz w:val="24"/>
        </w:rPr>
        <w:t>提供</w:t>
      </w:r>
      <w:r>
        <w:rPr>
          <w:rFonts w:hint="eastAsia" w:asciiTheme="minorEastAsia" w:hAnsiTheme="minorEastAsia" w:eastAsiaTheme="minorEastAsia"/>
          <w:b w:val="0"/>
          <w:sz w:val="24"/>
          <w:lang w:eastAsia="zh-CN"/>
        </w:rPr>
        <w:t>；</w:t>
      </w:r>
    </w:p>
    <w:p w14:paraId="19288E44">
      <w:pPr>
        <w:pStyle w:val="26"/>
        <w:adjustRightInd w:val="0"/>
        <w:snapToGrid w:val="0"/>
        <w:spacing w:before="0" w:after="0" w:line="360" w:lineRule="auto"/>
        <w:ind w:firstLine="240" w:firstLineChars="100"/>
        <w:jc w:val="left"/>
        <w:rPr>
          <w:rFonts w:asciiTheme="minorEastAsia" w:hAnsiTheme="minorEastAsia" w:eastAsiaTheme="minorEastAsia"/>
          <w:b w:val="0"/>
          <w:sz w:val="24"/>
        </w:rPr>
      </w:pPr>
      <w:r>
        <w:rPr>
          <w:rFonts w:asciiTheme="minorEastAsia" w:hAnsiTheme="minorEastAsia" w:eastAsiaTheme="minorEastAsia"/>
          <w:b w:val="0"/>
          <w:sz w:val="24"/>
        </w:rPr>
        <w:t>4)</w:t>
      </w:r>
      <w:r>
        <w:rPr>
          <w:rFonts w:hint="eastAsia" w:asciiTheme="minorEastAsia" w:hAnsiTheme="minorEastAsia" w:eastAsiaTheme="minorEastAsia"/>
          <w:b w:val="0"/>
          <w:sz w:val="24"/>
        </w:rPr>
        <w:t>检修项目中所需用水、用电由</w:t>
      </w:r>
      <w:r>
        <w:rPr>
          <w:rFonts w:hint="eastAsia" w:asciiTheme="minorEastAsia" w:hAnsiTheme="minorEastAsia" w:eastAsiaTheme="minorEastAsia"/>
          <w:b w:val="0"/>
          <w:sz w:val="24"/>
          <w:lang w:eastAsia="zh-CN"/>
        </w:rPr>
        <w:t>招标方</w:t>
      </w:r>
      <w:r>
        <w:rPr>
          <w:rFonts w:hint="eastAsia" w:asciiTheme="minorEastAsia" w:hAnsiTheme="minorEastAsia" w:eastAsiaTheme="minorEastAsia"/>
          <w:b w:val="0"/>
          <w:sz w:val="24"/>
        </w:rPr>
        <w:t>提供；</w:t>
      </w:r>
    </w:p>
    <w:p w14:paraId="42D69D98">
      <w:pPr>
        <w:pStyle w:val="26"/>
        <w:adjustRightInd w:val="0"/>
        <w:snapToGrid w:val="0"/>
        <w:spacing w:before="0" w:after="0" w:line="360" w:lineRule="auto"/>
        <w:ind w:firstLine="240" w:firstLineChars="100"/>
        <w:jc w:val="left"/>
        <w:rPr>
          <w:rFonts w:asciiTheme="minorEastAsia" w:hAnsiTheme="minorEastAsia" w:eastAsiaTheme="minorEastAsia"/>
          <w:b w:val="0"/>
          <w:sz w:val="24"/>
        </w:rPr>
      </w:pPr>
      <w:r>
        <w:rPr>
          <w:rFonts w:asciiTheme="minorEastAsia" w:hAnsiTheme="minorEastAsia" w:eastAsiaTheme="minorEastAsia"/>
          <w:b w:val="0"/>
          <w:sz w:val="24"/>
        </w:rPr>
        <w:t>5)</w:t>
      </w:r>
      <w:r>
        <w:rPr>
          <w:rFonts w:hint="eastAsia" w:asciiTheme="minorEastAsia" w:hAnsiTheme="minorEastAsia" w:eastAsiaTheme="minorEastAsia"/>
          <w:b w:val="0"/>
          <w:sz w:val="24"/>
        </w:rPr>
        <w:t>检修项目中专用工器具由</w:t>
      </w:r>
      <w:r>
        <w:rPr>
          <w:rFonts w:hint="eastAsia" w:asciiTheme="minorEastAsia" w:hAnsiTheme="minorEastAsia" w:eastAsiaTheme="minorEastAsia"/>
          <w:b w:val="0"/>
          <w:sz w:val="24"/>
          <w:lang w:eastAsia="zh-CN"/>
        </w:rPr>
        <w:t>招标方</w:t>
      </w:r>
      <w:r>
        <w:rPr>
          <w:rFonts w:hint="eastAsia" w:asciiTheme="minorEastAsia" w:hAnsiTheme="minorEastAsia" w:eastAsiaTheme="minorEastAsia"/>
          <w:b w:val="0"/>
          <w:sz w:val="24"/>
        </w:rPr>
        <w:t>提供。</w:t>
      </w:r>
    </w:p>
    <w:tbl>
      <w:tblPr>
        <w:tblStyle w:val="30"/>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864"/>
        <w:gridCol w:w="2884"/>
        <w:gridCol w:w="1584"/>
        <w:gridCol w:w="906"/>
      </w:tblGrid>
      <w:tr w14:paraId="33BA47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091" w:type="pct"/>
            <w:vAlign w:val="center"/>
          </w:tcPr>
          <w:p w14:paraId="702FE709">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工器具名称</w:t>
            </w:r>
          </w:p>
        </w:tc>
        <w:tc>
          <w:tcPr>
            <w:tcW w:w="1560" w:type="pct"/>
            <w:vAlign w:val="center"/>
          </w:tcPr>
          <w:p w14:paraId="685D5DD5">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型号规格</w:t>
            </w:r>
          </w:p>
        </w:tc>
        <w:tc>
          <w:tcPr>
            <w:tcW w:w="857" w:type="pct"/>
            <w:vAlign w:val="center"/>
          </w:tcPr>
          <w:p w14:paraId="123B4D2A">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单位</w:t>
            </w:r>
          </w:p>
        </w:tc>
        <w:tc>
          <w:tcPr>
            <w:tcW w:w="490" w:type="pct"/>
            <w:vAlign w:val="center"/>
          </w:tcPr>
          <w:p w14:paraId="69D8D3E5">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数量</w:t>
            </w:r>
          </w:p>
        </w:tc>
      </w:tr>
      <w:tr w14:paraId="378E15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091" w:type="pct"/>
            <w:vAlign w:val="center"/>
          </w:tcPr>
          <w:p w14:paraId="0DD13940">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□量油杆</w:t>
            </w:r>
          </w:p>
        </w:tc>
        <w:tc>
          <w:tcPr>
            <w:tcW w:w="1560" w:type="pct"/>
            <w:vAlign w:val="center"/>
          </w:tcPr>
          <w:p w14:paraId="056290FA">
            <w:pPr>
              <w:pStyle w:val="26"/>
              <w:keepNext w:val="0"/>
              <w:keepLines w:val="0"/>
              <w:pageBreakBefore w:val="0"/>
              <w:widowControl/>
              <w:kinsoku/>
              <w:wordWrap/>
              <w:overflowPunct/>
              <w:topLinePunct w:val="0"/>
              <w:autoSpaceDE/>
              <w:autoSpaceDN/>
              <w:bidi w:val="0"/>
              <w:adjustRightInd w:val="0"/>
              <w:snapToGrid w:val="0"/>
              <w:spacing w:before="0" w:after="0" w:line="240" w:lineRule="auto"/>
              <w:ind w:firstLine="240" w:firstLineChars="100"/>
              <w:jc w:val="center"/>
              <w:textAlignment w:val="baseline"/>
              <w:rPr>
                <w:rFonts w:hint="eastAsia" w:asciiTheme="minorEastAsia" w:hAnsiTheme="minorEastAsia" w:eastAsiaTheme="minorEastAsia"/>
                <w:b w:val="0"/>
                <w:sz w:val="24"/>
              </w:rPr>
            </w:pPr>
          </w:p>
        </w:tc>
        <w:tc>
          <w:tcPr>
            <w:tcW w:w="857" w:type="pct"/>
            <w:vAlign w:val="center"/>
          </w:tcPr>
          <w:p w14:paraId="4EB067D7">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把</w:t>
            </w:r>
          </w:p>
        </w:tc>
        <w:tc>
          <w:tcPr>
            <w:tcW w:w="490" w:type="pct"/>
            <w:vAlign w:val="center"/>
          </w:tcPr>
          <w:p w14:paraId="6CC499CB">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1</w:t>
            </w:r>
          </w:p>
        </w:tc>
      </w:tr>
      <w:tr w14:paraId="21BD3A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091" w:type="pct"/>
            <w:vAlign w:val="center"/>
          </w:tcPr>
          <w:p w14:paraId="5E7919E6">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sym w:font="Wingdings 2" w:char="00A3"/>
            </w:r>
            <w:r>
              <w:rPr>
                <w:rFonts w:hint="eastAsia" w:asciiTheme="minorEastAsia" w:hAnsiTheme="minorEastAsia" w:eastAsiaTheme="minorEastAsia"/>
                <w:b w:val="0"/>
                <w:sz w:val="24"/>
              </w:rPr>
              <w:t>辊套拆卸装置</w:t>
            </w:r>
          </w:p>
        </w:tc>
        <w:tc>
          <w:tcPr>
            <w:tcW w:w="1560" w:type="pct"/>
            <w:vAlign w:val="center"/>
          </w:tcPr>
          <w:p w14:paraId="0124F45A">
            <w:pPr>
              <w:pStyle w:val="26"/>
              <w:keepNext w:val="0"/>
              <w:keepLines w:val="0"/>
              <w:pageBreakBefore w:val="0"/>
              <w:widowControl/>
              <w:kinsoku/>
              <w:wordWrap/>
              <w:overflowPunct/>
              <w:topLinePunct w:val="0"/>
              <w:autoSpaceDE/>
              <w:autoSpaceDN/>
              <w:bidi w:val="0"/>
              <w:adjustRightInd w:val="0"/>
              <w:snapToGrid w:val="0"/>
              <w:spacing w:before="0" w:after="0" w:line="240" w:lineRule="auto"/>
              <w:ind w:firstLine="240" w:firstLineChars="100"/>
              <w:jc w:val="center"/>
              <w:textAlignment w:val="baseline"/>
              <w:rPr>
                <w:rFonts w:hint="eastAsia" w:asciiTheme="minorEastAsia" w:hAnsiTheme="minorEastAsia" w:eastAsiaTheme="minorEastAsia"/>
                <w:b w:val="0"/>
                <w:sz w:val="24"/>
              </w:rPr>
            </w:pPr>
          </w:p>
        </w:tc>
        <w:tc>
          <w:tcPr>
            <w:tcW w:w="857" w:type="pct"/>
            <w:vAlign w:val="center"/>
          </w:tcPr>
          <w:p w14:paraId="681BEC78">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套</w:t>
            </w:r>
          </w:p>
        </w:tc>
        <w:tc>
          <w:tcPr>
            <w:tcW w:w="490" w:type="pct"/>
            <w:vAlign w:val="center"/>
          </w:tcPr>
          <w:p w14:paraId="124676C2">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1</w:t>
            </w:r>
          </w:p>
        </w:tc>
      </w:tr>
      <w:tr w14:paraId="68B5E3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091" w:type="pct"/>
            <w:vAlign w:val="center"/>
          </w:tcPr>
          <w:p w14:paraId="2D61A68C">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□磨辊翻转装置</w:t>
            </w:r>
          </w:p>
        </w:tc>
        <w:tc>
          <w:tcPr>
            <w:tcW w:w="1560" w:type="pct"/>
            <w:vAlign w:val="center"/>
          </w:tcPr>
          <w:p w14:paraId="14114FDF">
            <w:pPr>
              <w:pStyle w:val="26"/>
              <w:keepNext w:val="0"/>
              <w:keepLines w:val="0"/>
              <w:pageBreakBefore w:val="0"/>
              <w:widowControl/>
              <w:kinsoku/>
              <w:wordWrap/>
              <w:overflowPunct/>
              <w:topLinePunct w:val="0"/>
              <w:autoSpaceDE/>
              <w:autoSpaceDN/>
              <w:bidi w:val="0"/>
              <w:adjustRightInd w:val="0"/>
              <w:snapToGrid w:val="0"/>
              <w:spacing w:before="0" w:after="0" w:line="240" w:lineRule="auto"/>
              <w:ind w:firstLine="240" w:firstLineChars="100"/>
              <w:jc w:val="center"/>
              <w:textAlignment w:val="baseline"/>
              <w:rPr>
                <w:rFonts w:hint="eastAsia" w:asciiTheme="minorEastAsia" w:hAnsiTheme="minorEastAsia" w:eastAsiaTheme="minorEastAsia"/>
                <w:b w:val="0"/>
                <w:sz w:val="24"/>
              </w:rPr>
            </w:pPr>
          </w:p>
        </w:tc>
        <w:tc>
          <w:tcPr>
            <w:tcW w:w="857" w:type="pct"/>
            <w:vAlign w:val="center"/>
          </w:tcPr>
          <w:p w14:paraId="48729066">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套</w:t>
            </w:r>
          </w:p>
        </w:tc>
        <w:tc>
          <w:tcPr>
            <w:tcW w:w="490" w:type="pct"/>
            <w:vAlign w:val="center"/>
          </w:tcPr>
          <w:p w14:paraId="4C7CFADC">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1</w:t>
            </w:r>
          </w:p>
        </w:tc>
      </w:tr>
      <w:tr w14:paraId="1FF26E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06" w:hRule="atLeast"/>
          <w:jc w:val="center"/>
        </w:trPr>
        <w:tc>
          <w:tcPr>
            <w:tcW w:w="2091" w:type="pct"/>
            <w:vAlign w:val="center"/>
          </w:tcPr>
          <w:p w14:paraId="26FAAC15">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sym w:font="Wingdings 2" w:char="00A3"/>
            </w:r>
            <w:r>
              <w:rPr>
                <w:rFonts w:hint="eastAsia" w:asciiTheme="minorEastAsia" w:hAnsiTheme="minorEastAsia" w:eastAsiaTheme="minorEastAsia"/>
                <w:b w:val="0"/>
                <w:sz w:val="24"/>
              </w:rPr>
              <w:t>磨盘及磨壳提升装置</w:t>
            </w:r>
          </w:p>
        </w:tc>
        <w:tc>
          <w:tcPr>
            <w:tcW w:w="1560" w:type="pct"/>
            <w:vAlign w:val="center"/>
          </w:tcPr>
          <w:p w14:paraId="51F2EA47">
            <w:pPr>
              <w:pStyle w:val="26"/>
              <w:keepNext w:val="0"/>
              <w:keepLines w:val="0"/>
              <w:pageBreakBefore w:val="0"/>
              <w:widowControl/>
              <w:kinsoku/>
              <w:wordWrap/>
              <w:overflowPunct/>
              <w:topLinePunct w:val="0"/>
              <w:autoSpaceDE/>
              <w:autoSpaceDN/>
              <w:bidi w:val="0"/>
              <w:adjustRightInd w:val="0"/>
              <w:snapToGrid w:val="0"/>
              <w:spacing w:before="0" w:after="0" w:line="240" w:lineRule="auto"/>
              <w:ind w:firstLine="240" w:firstLineChars="100"/>
              <w:jc w:val="center"/>
              <w:textAlignment w:val="baseline"/>
              <w:rPr>
                <w:rFonts w:hint="eastAsia" w:asciiTheme="minorEastAsia" w:hAnsiTheme="minorEastAsia" w:eastAsiaTheme="minorEastAsia"/>
                <w:b w:val="0"/>
                <w:sz w:val="24"/>
              </w:rPr>
            </w:pPr>
          </w:p>
        </w:tc>
        <w:tc>
          <w:tcPr>
            <w:tcW w:w="857" w:type="pct"/>
            <w:vAlign w:val="center"/>
          </w:tcPr>
          <w:p w14:paraId="3CC8FFA3">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lang w:val="en-US" w:eastAsia="zh-CN"/>
              </w:rPr>
            </w:pPr>
            <w:r>
              <w:rPr>
                <w:rFonts w:hint="eastAsia" w:asciiTheme="minorEastAsia" w:hAnsiTheme="minorEastAsia" w:eastAsiaTheme="minorEastAsia"/>
                <w:b w:val="0"/>
                <w:sz w:val="24"/>
              </w:rPr>
              <w:t>套</w:t>
            </w:r>
          </w:p>
        </w:tc>
        <w:tc>
          <w:tcPr>
            <w:tcW w:w="490" w:type="pct"/>
            <w:vAlign w:val="center"/>
          </w:tcPr>
          <w:p w14:paraId="4799C237">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1</w:t>
            </w:r>
          </w:p>
        </w:tc>
      </w:tr>
      <w:tr w14:paraId="4DD5EF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091" w:type="pct"/>
            <w:vAlign w:val="center"/>
          </w:tcPr>
          <w:p w14:paraId="08071BA0">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□减速箱移动装置</w:t>
            </w:r>
          </w:p>
        </w:tc>
        <w:tc>
          <w:tcPr>
            <w:tcW w:w="1560" w:type="pct"/>
            <w:vAlign w:val="center"/>
          </w:tcPr>
          <w:p w14:paraId="5FB23C1D">
            <w:pPr>
              <w:pStyle w:val="26"/>
              <w:keepNext w:val="0"/>
              <w:keepLines w:val="0"/>
              <w:pageBreakBefore w:val="0"/>
              <w:widowControl/>
              <w:kinsoku/>
              <w:wordWrap/>
              <w:overflowPunct/>
              <w:topLinePunct w:val="0"/>
              <w:autoSpaceDE/>
              <w:autoSpaceDN/>
              <w:bidi w:val="0"/>
              <w:adjustRightInd w:val="0"/>
              <w:snapToGrid w:val="0"/>
              <w:spacing w:before="0" w:after="0" w:line="240" w:lineRule="auto"/>
              <w:ind w:firstLine="240" w:firstLineChars="100"/>
              <w:jc w:val="center"/>
              <w:textAlignment w:val="baseline"/>
              <w:rPr>
                <w:rFonts w:hint="eastAsia" w:asciiTheme="minorEastAsia" w:hAnsiTheme="minorEastAsia" w:eastAsiaTheme="minorEastAsia"/>
                <w:b w:val="0"/>
                <w:sz w:val="24"/>
              </w:rPr>
            </w:pPr>
          </w:p>
        </w:tc>
        <w:tc>
          <w:tcPr>
            <w:tcW w:w="857" w:type="pct"/>
            <w:vAlign w:val="center"/>
          </w:tcPr>
          <w:p w14:paraId="467683CB">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套</w:t>
            </w:r>
          </w:p>
        </w:tc>
        <w:tc>
          <w:tcPr>
            <w:tcW w:w="490" w:type="pct"/>
            <w:vAlign w:val="center"/>
          </w:tcPr>
          <w:p w14:paraId="79CF26D2">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2</w:t>
            </w:r>
          </w:p>
        </w:tc>
      </w:tr>
      <w:tr w14:paraId="4AD71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091" w:type="pct"/>
            <w:vAlign w:val="center"/>
          </w:tcPr>
          <w:p w14:paraId="49D04B0B">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□弹簧顶载装置</w:t>
            </w:r>
          </w:p>
        </w:tc>
        <w:tc>
          <w:tcPr>
            <w:tcW w:w="1560" w:type="pct"/>
            <w:vAlign w:val="center"/>
          </w:tcPr>
          <w:p w14:paraId="579EC758">
            <w:pPr>
              <w:pStyle w:val="26"/>
              <w:keepNext w:val="0"/>
              <w:keepLines w:val="0"/>
              <w:pageBreakBefore w:val="0"/>
              <w:widowControl/>
              <w:kinsoku/>
              <w:wordWrap/>
              <w:overflowPunct/>
              <w:topLinePunct w:val="0"/>
              <w:autoSpaceDE/>
              <w:autoSpaceDN/>
              <w:bidi w:val="0"/>
              <w:adjustRightInd w:val="0"/>
              <w:snapToGrid w:val="0"/>
              <w:spacing w:before="0" w:after="0" w:line="240" w:lineRule="auto"/>
              <w:ind w:firstLine="240" w:firstLineChars="100"/>
              <w:jc w:val="center"/>
              <w:textAlignment w:val="baseline"/>
              <w:rPr>
                <w:rFonts w:hint="eastAsia" w:asciiTheme="minorEastAsia" w:hAnsiTheme="minorEastAsia" w:eastAsiaTheme="minorEastAsia"/>
                <w:b w:val="0"/>
                <w:sz w:val="24"/>
              </w:rPr>
            </w:pPr>
          </w:p>
        </w:tc>
        <w:tc>
          <w:tcPr>
            <w:tcW w:w="857" w:type="pct"/>
            <w:vAlign w:val="center"/>
          </w:tcPr>
          <w:p w14:paraId="1DE1E5A3">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套</w:t>
            </w:r>
          </w:p>
        </w:tc>
        <w:tc>
          <w:tcPr>
            <w:tcW w:w="490" w:type="pct"/>
            <w:vAlign w:val="center"/>
          </w:tcPr>
          <w:p w14:paraId="43DA1E1E">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2</w:t>
            </w:r>
          </w:p>
        </w:tc>
      </w:tr>
      <w:tr w14:paraId="348CFC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091" w:type="pct"/>
            <w:vAlign w:val="center"/>
          </w:tcPr>
          <w:p w14:paraId="32015968">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□螺栓预拉紧装置</w:t>
            </w:r>
          </w:p>
        </w:tc>
        <w:tc>
          <w:tcPr>
            <w:tcW w:w="1560" w:type="pct"/>
            <w:vAlign w:val="center"/>
          </w:tcPr>
          <w:p w14:paraId="0226B02C">
            <w:pPr>
              <w:pStyle w:val="26"/>
              <w:keepNext w:val="0"/>
              <w:keepLines w:val="0"/>
              <w:pageBreakBefore w:val="0"/>
              <w:widowControl/>
              <w:kinsoku/>
              <w:wordWrap/>
              <w:overflowPunct/>
              <w:topLinePunct w:val="0"/>
              <w:autoSpaceDE/>
              <w:autoSpaceDN/>
              <w:bidi w:val="0"/>
              <w:adjustRightInd w:val="0"/>
              <w:snapToGrid w:val="0"/>
              <w:spacing w:before="0" w:after="0" w:line="240" w:lineRule="auto"/>
              <w:ind w:firstLine="240" w:firstLineChars="100"/>
              <w:jc w:val="center"/>
              <w:textAlignment w:val="baseline"/>
              <w:rPr>
                <w:rFonts w:hint="eastAsia" w:asciiTheme="minorEastAsia" w:hAnsiTheme="minorEastAsia" w:eastAsiaTheme="minorEastAsia"/>
                <w:b w:val="0"/>
                <w:sz w:val="24"/>
              </w:rPr>
            </w:pPr>
          </w:p>
        </w:tc>
        <w:tc>
          <w:tcPr>
            <w:tcW w:w="857" w:type="pct"/>
            <w:vAlign w:val="center"/>
          </w:tcPr>
          <w:p w14:paraId="595BECD4">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套</w:t>
            </w:r>
          </w:p>
        </w:tc>
        <w:tc>
          <w:tcPr>
            <w:tcW w:w="490" w:type="pct"/>
            <w:vAlign w:val="center"/>
          </w:tcPr>
          <w:p w14:paraId="2AFF264F">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1</w:t>
            </w:r>
          </w:p>
        </w:tc>
      </w:tr>
      <w:tr w14:paraId="11E843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06" w:hRule="atLeast"/>
          <w:jc w:val="center"/>
        </w:trPr>
        <w:tc>
          <w:tcPr>
            <w:tcW w:w="2091" w:type="pct"/>
            <w:vAlign w:val="center"/>
          </w:tcPr>
          <w:p w14:paraId="38361A0E">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sym w:font="Wingdings 2" w:char="00A3"/>
            </w:r>
            <w:r>
              <w:rPr>
                <w:rFonts w:hint="eastAsia" w:asciiTheme="minorEastAsia" w:hAnsiTheme="minorEastAsia" w:eastAsiaTheme="minorEastAsia"/>
                <w:b w:val="0"/>
                <w:sz w:val="24"/>
              </w:rPr>
              <w:t>减速箱及磨盘对中装置</w:t>
            </w:r>
          </w:p>
        </w:tc>
        <w:tc>
          <w:tcPr>
            <w:tcW w:w="1560" w:type="pct"/>
            <w:vAlign w:val="center"/>
          </w:tcPr>
          <w:p w14:paraId="269A86BB">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5t，4m</w:t>
            </w:r>
          </w:p>
        </w:tc>
        <w:tc>
          <w:tcPr>
            <w:tcW w:w="857" w:type="pct"/>
            <w:vAlign w:val="center"/>
          </w:tcPr>
          <w:p w14:paraId="11BCDE1A">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套</w:t>
            </w:r>
          </w:p>
        </w:tc>
        <w:tc>
          <w:tcPr>
            <w:tcW w:w="490" w:type="pct"/>
            <w:vAlign w:val="center"/>
          </w:tcPr>
          <w:p w14:paraId="423723F2">
            <w:pPr>
              <w:pStyle w:val="26"/>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baseline"/>
              <w:rPr>
                <w:rFonts w:hint="eastAsia" w:asciiTheme="minorEastAsia" w:hAnsiTheme="minorEastAsia" w:eastAsiaTheme="minorEastAsia"/>
                <w:b w:val="0"/>
                <w:sz w:val="24"/>
              </w:rPr>
            </w:pPr>
            <w:r>
              <w:rPr>
                <w:rFonts w:hint="eastAsia" w:asciiTheme="minorEastAsia" w:hAnsiTheme="minorEastAsia" w:eastAsiaTheme="minorEastAsia"/>
                <w:b w:val="0"/>
                <w:sz w:val="24"/>
              </w:rPr>
              <w:t>1</w:t>
            </w:r>
          </w:p>
        </w:tc>
      </w:tr>
    </w:tbl>
    <w:p w14:paraId="6A9B6B00">
      <w:pPr>
        <w:pStyle w:val="26"/>
        <w:adjustRightInd w:val="0"/>
        <w:snapToGrid w:val="0"/>
        <w:spacing w:before="0" w:after="0" w:line="360" w:lineRule="auto"/>
        <w:ind w:firstLine="480" w:firstLineChars="200"/>
        <w:jc w:val="left"/>
        <w:rPr>
          <w:rFonts w:ascii="宋体" w:hAnsi="宋体"/>
          <w:b w:val="0"/>
          <w:sz w:val="24"/>
        </w:rPr>
      </w:pPr>
    </w:p>
    <w:p w14:paraId="48F12F2A">
      <w:pPr>
        <w:spacing w:line="360" w:lineRule="auto"/>
        <w:rPr>
          <w:rFonts w:hint="eastAsia" w:ascii="宋体" w:hAnsi="宋体" w:eastAsia="宋体" w:cs="宋体"/>
          <w:bCs/>
          <w:sz w:val="24"/>
          <w:szCs w:val="24"/>
          <w:highlight w:val="none"/>
        </w:rPr>
      </w:pPr>
      <w:r>
        <w:rPr>
          <w:rFonts w:hint="eastAsia" w:ascii="宋体" w:hAnsi="宋体" w:cs="宋体"/>
          <w:bCs/>
          <w:sz w:val="24"/>
          <w:szCs w:val="24"/>
          <w:highlight w:val="none"/>
          <w:lang w:val="en-US" w:eastAsia="zh-CN"/>
        </w:rPr>
        <w:t>9.2投标方</w:t>
      </w:r>
      <w:r>
        <w:rPr>
          <w:rFonts w:hint="eastAsia" w:ascii="宋体" w:hAnsi="宋体" w:eastAsia="宋体" w:cs="宋体"/>
          <w:bCs/>
          <w:sz w:val="24"/>
          <w:szCs w:val="24"/>
          <w:highlight w:val="none"/>
        </w:rPr>
        <w:t>职责</w:t>
      </w:r>
    </w:p>
    <w:p w14:paraId="19A895DB">
      <w:pPr>
        <w:pStyle w:val="26"/>
        <w:adjustRightInd w:val="0"/>
        <w:snapToGrid w:val="0"/>
        <w:spacing w:before="0" w:after="0" w:line="360" w:lineRule="auto"/>
        <w:jc w:val="left"/>
        <w:rPr>
          <w:rFonts w:hint="eastAsia" w:cs="宋体" w:asciiTheme="minorEastAsia" w:hAnsiTheme="minorEastAsia" w:eastAsiaTheme="minorEastAsia"/>
          <w:b w:val="0"/>
          <w:kern w:val="0"/>
          <w:sz w:val="24"/>
          <w:szCs w:val="24"/>
          <w:lang w:eastAsia="zh-CN"/>
        </w:rPr>
      </w:pPr>
      <w:r>
        <w:rPr>
          <w:rFonts w:hint="eastAsia" w:cs="宋体" w:asciiTheme="minorEastAsia" w:hAnsiTheme="minorEastAsia" w:eastAsiaTheme="minorEastAsia"/>
          <w:b w:val="0"/>
          <w:kern w:val="0"/>
          <w:sz w:val="24"/>
          <w:szCs w:val="24"/>
        </w:rPr>
        <w:t>投标方供材料及工器具</w:t>
      </w:r>
      <w:r>
        <w:rPr>
          <w:rFonts w:hint="eastAsia" w:cs="宋体" w:asciiTheme="minorEastAsia" w:hAnsiTheme="minorEastAsia" w:eastAsiaTheme="minorEastAsia"/>
          <w:b w:val="0"/>
          <w:kern w:val="0"/>
          <w:sz w:val="24"/>
          <w:szCs w:val="24"/>
          <w:lang w:eastAsia="zh-CN"/>
        </w:rPr>
        <w:t>（</w:t>
      </w:r>
      <w:r>
        <w:rPr>
          <w:rFonts w:hint="eastAsia" w:cs="宋体" w:asciiTheme="minorEastAsia" w:hAnsiTheme="minorEastAsia" w:eastAsiaTheme="minorEastAsia"/>
          <w:b w:val="0"/>
          <w:kern w:val="0"/>
          <w:sz w:val="24"/>
          <w:szCs w:val="24"/>
          <w:lang w:val="en-US" w:eastAsia="zh-CN"/>
        </w:rPr>
        <w:t>包括但不限于</w:t>
      </w:r>
      <w:r>
        <w:rPr>
          <w:rFonts w:hint="eastAsia" w:cs="宋体" w:asciiTheme="minorEastAsia" w:hAnsiTheme="minorEastAsia" w:eastAsiaTheme="minorEastAsia"/>
          <w:b w:val="0"/>
          <w:kern w:val="0"/>
          <w:sz w:val="24"/>
          <w:szCs w:val="24"/>
          <w:lang w:eastAsia="zh-CN"/>
        </w:rPr>
        <w:t>）</w:t>
      </w:r>
    </w:p>
    <w:tbl>
      <w:tblPr>
        <w:tblStyle w:val="30"/>
        <w:tblW w:w="74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3223"/>
        <w:gridCol w:w="1272"/>
        <w:gridCol w:w="728"/>
      </w:tblGrid>
      <w:tr w14:paraId="0F62E2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1F52A0FC">
            <w:pPr>
              <w:spacing w:line="400" w:lineRule="exact"/>
              <w:jc w:val="center"/>
              <w:rPr>
                <w:bCs/>
              </w:rPr>
            </w:pPr>
            <w:r>
              <w:rPr>
                <w:rFonts w:hint="eastAsia"/>
                <w:bCs/>
              </w:rPr>
              <w:t>工器具名称</w:t>
            </w:r>
          </w:p>
        </w:tc>
        <w:tc>
          <w:tcPr>
            <w:tcW w:w="3223" w:type="dxa"/>
            <w:vAlign w:val="center"/>
          </w:tcPr>
          <w:p w14:paraId="03D23CD1">
            <w:pPr>
              <w:spacing w:line="400" w:lineRule="exact"/>
              <w:jc w:val="center"/>
              <w:rPr>
                <w:bCs/>
              </w:rPr>
            </w:pPr>
            <w:r>
              <w:rPr>
                <w:rFonts w:hint="eastAsia"/>
                <w:bCs/>
              </w:rPr>
              <w:t>型号规格</w:t>
            </w:r>
          </w:p>
        </w:tc>
        <w:tc>
          <w:tcPr>
            <w:tcW w:w="1272" w:type="dxa"/>
            <w:vAlign w:val="center"/>
          </w:tcPr>
          <w:p w14:paraId="1D97A3D0">
            <w:pPr>
              <w:spacing w:line="400" w:lineRule="exact"/>
              <w:jc w:val="center"/>
              <w:rPr>
                <w:bCs/>
              </w:rPr>
            </w:pPr>
            <w:r>
              <w:rPr>
                <w:rFonts w:hint="eastAsia"/>
                <w:bCs/>
              </w:rPr>
              <w:t>单位</w:t>
            </w:r>
          </w:p>
        </w:tc>
        <w:tc>
          <w:tcPr>
            <w:tcW w:w="728" w:type="dxa"/>
            <w:vAlign w:val="center"/>
          </w:tcPr>
          <w:p w14:paraId="11110A02">
            <w:pPr>
              <w:spacing w:line="400" w:lineRule="exact"/>
              <w:jc w:val="center"/>
              <w:rPr>
                <w:bCs/>
              </w:rPr>
            </w:pPr>
            <w:r>
              <w:rPr>
                <w:rFonts w:hint="eastAsia"/>
                <w:bCs/>
              </w:rPr>
              <w:t>数量</w:t>
            </w:r>
          </w:p>
        </w:tc>
      </w:tr>
      <w:tr w14:paraId="5DEADE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1F73CFD8">
            <w:pPr>
              <w:spacing w:line="400" w:lineRule="exact"/>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□敲击扳手</w:t>
            </w:r>
          </w:p>
        </w:tc>
        <w:tc>
          <w:tcPr>
            <w:tcW w:w="3223" w:type="dxa"/>
            <w:vAlign w:val="center"/>
          </w:tcPr>
          <w:p w14:paraId="07669B34">
            <w:pPr>
              <w:spacing w:line="400" w:lineRule="exact"/>
              <w:jc w:val="center"/>
              <w:rPr>
                <w:bCs/>
              </w:rPr>
            </w:pPr>
          </w:p>
        </w:tc>
        <w:tc>
          <w:tcPr>
            <w:tcW w:w="1272" w:type="dxa"/>
          </w:tcPr>
          <w:p w14:paraId="72950E28">
            <w:pPr>
              <w:spacing w:line="400" w:lineRule="exact"/>
              <w:jc w:val="center"/>
              <w:rPr>
                <w:bCs/>
              </w:rPr>
            </w:pPr>
            <w:r>
              <w:rPr>
                <w:rFonts w:hint="eastAsia"/>
                <w:bCs/>
              </w:rPr>
              <w:t>把</w:t>
            </w:r>
          </w:p>
        </w:tc>
        <w:tc>
          <w:tcPr>
            <w:tcW w:w="728" w:type="dxa"/>
          </w:tcPr>
          <w:p w14:paraId="7E2443A6">
            <w:pPr>
              <w:spacing w:line="400" w:lineRule="exact"/>
              <w:jc w:val="center"/>
              <w:rPr>
                <w:bCs/>
              </w:rPr>
            </w:pPr>
            <w:r>
              <w:rPr>
                <w:rFonts w:hint="eastAsia"/>
                <w:bCs/>
              </w:rPr>
              <w:t>1</w:t>
            </w:r>
          </w:p>
        </w:tc>
      </w:tr>
      <w:tr w14:paraId="34B85E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0385C471">
            <w:pPr>
              <w:spacing w:line="400" w:lineRule="exact"/>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□敲击扳手</w:t>
            </w:r>
          </w:p>
        </w:tc>
        <w:tc>
          <w:tcPr>
            <w:tcW w:w="3223" w:type="dxa"/>
            <w:vAlign w:val="center"/>
          </w:tcPr>
          <w:p w14:paraId="534CB7B9">
            <w:pPr>
              <w:spacing w:line="400" w:lineRule="exact"/>
              <w:jc w:val="center"/>
              <w:rPr>
                <w:bCs/>
              </w:rPr>
            </w:pPr>
          </w:p>
        </w:tc>
        <w:tc>
          <w:tcPr>
            <w:tcW w:w="1272" w:type="dxa"/>
          </w:tcPr>
          <w:p w14:paraId="5CEC716E">
            <w:pPr>
              <w:spacing w:line="400" w:lineRule="exact"/>
              <w:jc w:val="center"/>
              <w:rPr>
                <w:bCs/>
              </w:rPr>
            </w:pPr>
            <w:r>
              <w:rPr>
                <w:rFonts w:hint="eastAsia"/>
                <w:bCs/>
              </w:rPr>
              <w:t>把</w:t>
            </w:r>
          </w:p>
        </w:tc>
        <w:tc>
          <w:tcPr>
            <w:tcW w:w="728" w:type="dxa"/>
          </w:tcPr>
          <w:p w14:paraId="56C6DB2C">
            <w:pPr>
              <w:spacing w:line="400" w:lineRule="exact"/>
              <w:jc w:val="center"/>
              <w:rPr>
                <w:bCs/>
              </w:rPr>
            </w:pPr>
            <w:r>
              <w:rPr>
                <w:rFonts w:hint="eastAsia"/>
                <w:bCs/>
              </w:rPr>
              <w:t>2</w:t>
            </w:r>
          </w:p>
        </w:tc>
      </w:tr>
      <w:tr w14:paraId="3C67A8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5712DCBF">
            <w:pPr>
              <w:spacing w:line="400" w:lineRule="exact"/>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□内六角扳手</w:t>
            </w:r>
          </w:p>
        </w:tc>
        <w:tc>
          <w:tcPr>
            <w:tcW w:w="3223" w:type="dxa"/>
            <w:vAlign w:val="center"/>
          </w:tcPr>
          <w:p w14:paraId="4559A5C9">
            <w:pPr>
              <w:spacing w:line="400" w:lineRule="exact"/>
              <w:jc w:val="center"/>
              <w:rPr>
                <w:bCs/>
              </w:rPr>
            </w:pPr>
          </w:p>
        </w:tc>
        <w:tc>
          <w:tcPr>
            <w:tcW w:w="1272" w:type="dxa"/>
          </w:tcPr>
          <w:p w14:paraId="5A9E9E14">
            <w:pPr>
              <w:spacing w:line="400" w:lineRule="exact"/>
              <w:jc w:val="center"/>
              <w:rPr>
                <w:bCs/>
              </w:rPr>
            </w:pPr>
            <w:r>
              <w:rPr>
                <w:rFonts w:hint="eastAsia"/>
                <w:bCs/>
              </w:rPr>
              <w:t>把</w:t>
            </w:r>
          </w:p>
        </w:tc>
        <w:tc>
          <w:tcPr>
            <w:tcW w:w="728" w:type="dxa"/>
          </w:tcPr>
          <w:p w14:paraId="40653B58">
            <w:pPr>
              <w:spacing w:line="400" w:lineRule="exact"/>
              <w:jc w:val="center"/>
              <w:rPr>
                <w:bCs/>
              </w:rPr>
            </w:pPr>
            <w:r>
              <w:rPr>
                <w:rFonts w:hint="eastAsia"/>
                <w:bCs/>
              </w:rPr>
              <w:t>3</w:t>
            </w:r>
          </w:p>
        </w:tc>
      </w:tr>
      <w:tr w14:paraId="14D3E9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33D5D33A">
            <w:pPr>
              <w:spacing w:line="400" w:lineRule="exact"/>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□梅花扳手</w:t>
            </w:r>
          </w:p>
        </w:tc>
        <w:tc>
          <w:tcPr>
            <w:tcW w:w="3223" w:type="dxa"/>
            <w:vAlign w:val="center"/>
          </w:tcPr>
          <w:p w14:paraId="60E24471">
            <w:pPr>
              <w:spacing w:line="400" w:lineRule="exact"/>
              <w:jc w:val="center"/>
              <w:rPr>
                <w:rFonts w:ascii="宋体" w:hAnsi="宋体"/>
                <w:bCs/>
              </w:rPr>
            </w:pPr>
          </w:p>
        </w:tc>
        <w:tc>
          <w:tcPr>
            <w:tcW w:w="1272" w:type="dxa"/>
            <w:vAlign w:val="center"/>
          </w:tcPr>
          <w:p w14:paraId="55D4A746">
            <w:pPr>
              <w:spacing w:line="400" w:lineRule="exact"/>
              <w:jc w:val="center"/>
              <w:rPr>
                <w:rFonts w:ascii="宋体" w:hAnsi="宋体"/>
                <w:bCs/>
              </w:rPr>
            </w:pPr>
            <w:r>
              <w:rPr>
                <w:rFonts w:hint="eastAsia" w:ascii="宋体" w:hAnsi="宋体"/>
                <w:bCs/>
              </w:rPr>
              <w:t>台</w:t>
            </w:r>
          </w:p>
        </w:tc>
        <w:tc>
          <w:tcPr>
            <w:tcW w:w="728" w:type="dxa"/>
            <w:vAlign w:val="center"/>
          </w:tcPr>
          <w:p w14:paraId="6593C8FA">
            <w:pPr>
              <w:spacing w:line="400" w:lineRule="exact"/>
              <w:jc w:val="center"/>
              <w:rPr>
                <w:rFonts w:ascii="宋体" w:hAnsi="宋体"/>
                <w:bCs/>
              </w:rPr>
            </w:pPr>
            <w:r>
              <w:rPr>
                <w:rFonts w:hint="eastAsia" w:ascii="宋体" w:hAnsi="宋体"/>
                <w:bCs/>
              </w:rPr>
              <w:t>1</w:t>
            </w:r>
          </w:p>
        </w:tc>
      </w:tr>
      <w:tr w14:paraId="04F00C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68B4D70D">
            <w:pPr>
              <w:spacing w:line="400" w:lineRule="exact"/>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□套筒扳手</w:t>
            </w:r>
          </w:p>
        </w:tc>
        <w:tc>
          <w:tcPr>
            <w:tcW w:w="3223" w:type="dxa"/>
            <w:vAlign w:val="center"/>
          </w:tcPr>
          <w:p w14:paraId="0AF99819">
            <w:pPr>
              <w:spacing w:line="400" w:lineRule="exact"/>
              <w:jc w:val="center"/>
              <w:rPr>
                <w:rFonts w:ascii="宋体" w:hAnsi="宋体"/>
                <w:bCs/>
              </w:rPr>
            </w:pPr>
          </w:p>
        </w:tc>
        <w:tc>
          <w:tcPr>
            <w:tcW w:w="1272" w:type="dxa"/>
            <w:vAlign w:val="center"/>
          </w:tcPr>
          <w:p w14:paraId="34CE97F2">
            <w:pPr>
              <w:spacing w:line="400" w:lineRule="exact"/>
              <w:jc w:val="center"/>
              <w:rPr>
                <w:rFonts w:ascii="宋体" w:hAnsi="宋体"/>
                <w:bCs/>
              </w:rPr>
            </w:pPr>
            <w:r>
              <w:rPr>
                <w:rFonts w:hint="eastAsia" w:ascii="宋体" w:hAnsi="宋体"/>
                <w:bCs/>
              </w:rPr>
              <w:t>把</w:t>
            </w:r>
          </w:p>
        </w:tc>
        <w:tc>
          <w:tcPr>
            <w:tcW w:w="728" w:type="dxa"/>
            <w:vAlign w:val="center"/>
          </w:tcPr>
          <w:p w14:paraId="7B2A4645">
            <w:pPr>
              <w:spacing w:line="400" w:lineRule="exact"/>
              <w:jc w:val="center"/>
              <w:rPr>
                <w:rFonts w:ascii="宋体" w:hAnsi="宋体"/>
                <w:bCs/>
              </w:rPr>
            </w:pPr>
            <w:r>
              <w:rPr>
                <w:rFonts w:hint="eastAsia" w:ascii="宋体" w:hAnsi="宋体"/>
                <w:bCs/>
              </w:rPr>
              <w:t>1</w:t>
            </w:r>
          </w:p>
        </w:tc>
      </w:tr>
      <w:tr w14:paraId="3DF554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53591E57">
            <w:pPr>
              <w:spacing w:line="400" w:lineRule="exact"/>
              <w:rPr>
                <w:rFonts w:ascii="宋体" w:hAnsi="宋体"/>
                <w:bCs/>
              </w:rPr>
            </w:pPr>
            <w:r>
              <w:rPr>
                <w:rFonts w:hint="eastAsia" w:asciiTheme="minorEastAsia" w:hAnsiTheme="minorEastAsia" w:eastAsiaTheme="minorEastAsia" w:cstheme="minorEastAsia"/>
                <w:bCs/>
                <w:szCs w:val="21"/>
              </w:rPr>
              <w:t>□塞尺</w:t>
            </w:r>
          </w:p>
        </w:tc>
        <w:tc>
          <w:tcPr>
            <w:tcW w:w="3223" w:type="dxa"/>
            <w:vAlign w:val="center"/>
          </w:tcPr>
          <w:p w14:paraId="69158DDF">
            <w:pPr>
              <w:spacing w:line="400" w:lineRule="exact"/>
              <w:jc w:val="center"/>
              <w:rPr>
                <w:rFonts w:ascii="宋体" w:hAnsi="宋体"/>
                <w:bCs/>
              </w:rPr>
            </w:pPr>
            <w:r>
              <w:rPr>
                <w:rFonts w:hint="eastAsia" w:ascii="宋体" w:hAnsi="宋体"/>
                <w:bCs/>
              </w:rPr>
              <w:t>0.02-1mm</w:t>
            </w:r>
          </w:p>
        </w:tc>
        <w:tc>
          <w:tcPr>
            <w:tcW w:w="1272" w:type="dxa"/>
          </w:tcPr>
          <w:p w14:paraId="268B9709">
            <w:pPr>
              <w:spacing w:line="400" w:lineRule="exact"/>
              <w:jc w:val="center"/>
              <w:rPr>
                <w:rFonts w:ascii="宋体" w:hAnsi="宋体"/>
                <w:bCs/>
              </w:rPr>
            </w:pPr>
            <w:r>
              <w:rPr>
                <w:rFonts w:hint="eastAsia" w:ascii="宋体" w:hAnsi="宋体"/>
                <w:bCs/>
              </w:rPr>
              <w:t>套</w:t>
            </w:r>
          </w:p>
        </w:tc>
        <w:tc>
          <w:tcPr>
            <w:tcW w:w="728" w:type="dxa"/>
          </w:tcPr>
          <w:p w14:paraId="4270A659">
            <w:pPr>
              <w:spacing w:line="400" w:lineRule="exact"/>
              <w:jc w:val="center"/>
              <w:rPr>
                <w:rFonts w:ascii="宋体" w:hAnsi="宋体"/>
                <w:bCs/>
              </w:rPr>
            </w:pPr>
            <w:r>
              <w:rPr>
                <w:rFonts w:hint="eastAsia" w:ascii="宋体" w:hAnsi="宋体"/>
                <w:bCs/>
              </w:rPr>
              <w:t>1</w:t>
            </w:r>
          </w:p>
        </w:tc>
      </w:tr>
      <w:tr w14:paraId="2F7AF5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6B59657C">
            <w:r>
              <w:rPr>
                <w:rFonts w:hint="eastAsia" w:asciiTheme="minorEastAsia" w:hAnsiTheme="minorEastAsia" w:eastAsiaTheme="minorEastAsia" w:cstheme="minorEastAsia"/>
                <w:bCs/>
                <w:szCs w:val="21"/>
              </w:rPr>
              <w:t>□手拉葫芦</w:t>
            </w:r>
          </w:p>
        </w:tc>
        <w:tc>
          <w:tcPr>
            <w:tcW w:w="3223" w:type="dxa"/>
            <w:vAlign w:val="center"/>
          </w:tcPr>
          <w:p w14:paraId="40B0184C">
            <w:pPr>
              <w:spacing w:line="400" w:lineRule="exact"/>
              <w:jc w:val="center"/>
              <w:rPr>
                <w:rFonts w:ascii="宋体" w:hAnsi="宋体"/>
                <w:bCs/>
              </w:rPr>
            </w:pPr>
            <w:r>
              <w:rPr>
                <w:rFonts w:hint="eastAsia" w:ascii="宋体" w:hAnsi="宋体"/>
                <w:bCs/>
              </w:rPr>
              <w:t>2T×3m</w:t>
            </w:r>
          </w:p>
        </w:tc>
        <w:tc>
          <w:tcPr>
            <w:tcW w:w="1272" w:type="dxa"/>
          </w:tcPr>
          <w:p w14:paraId="2B31974F">
            <w:pPr>
              <w:spacing w:line="400" w:lineRule="exact"/>
              <w:jc w:val="center"/>
              <w:rPr>
                <w:rFonts w:ascii="宋体" w:hAnsi="宋体"/>
                <w:bCs/>
              </w:rPr>
            </w:pPr>
            <w:r>
              <w:rPr>
                <w:rFonts w:hint="eastAsia" w:ascii="宋体" w:hAnsi="宋体"/>
                <w:bCs/>
              </w:rPr>
              <w:t>只</w:t>
            </w:r>
          </w:p>
        </w:tc>
        <w:tc>
          <w:tcPr>
            <w:tcW w:w="728" w:type="dxa"/>
          </w:tcPr>
          <w:p w14:paraId="0679F33C">
            <w:pPr>
              <w:spacing w:line="400" w:lineRule="exact"/>
              <w:jc w:val="center"/>
              <w:rPr>
                <w:rFonts w:ascii="宋体" w:hAnsi="宋体"/>
                <w:bCs/>
              </w:rPr>
            </w:pPr>
            <w:r>
              <w:rPr>
                <w:rFonts w:hint="eastAsia" w:ascii="宋体" w:hAnsi="宋体"/>
                <w:bCs/>
              </w:rPr>
              <w:t>2</w:t>
            </w:r>
          </w:p>
        </w:tc>
      </w:tr>
      <w:tr w14:paraId="6994E3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2FBA4735">
            <w:pPr>
              <w:spacing w:line="400" w:lineRule="exact"/>
              <w:rPr>
                <w:rFonts w:ascii="宋体" w:hAnsi="宋体"/>
                <w:bCs/>
              </w:rPr>
            </w:pPr>
            <w:r>
              <w:rPr>
                <w:rFonts w:hint="eastAsia" w:asciiTheme="minorEastAsia" w:hAnsiTheme="minorEastAsia" w:eastAsiaTheme="minorEastAsia" w:cstheme="minorEastAsia"/>
                <w:bCs/>
                <w:szCs w:val="21"/>
              </w:rPr>
              <w:t>□手拉葫芦</w:t>
            </w:r>
          </w:p>
        </w:tc>
        <w:tc>
          <w:tcPr>
            <w:tcW w:w="3223" w:type="dxa"/>
            <w:vAlign w:val="center"/>
          </w:tcPr>
          <w:p w14:paraId="741D4BEE">
            <w:pPr>
              <w:spacing w:line="400" w:lineRule="exact"/>
              <w:jc w:val="center"/>
              <w:rPr>
                <w:rFonts w:ascii="宋体" w:hAnsi="宋体"/>
                <w:bCs/>
              </w:rPr>
            </w:pPr>
            <w:r>
              <w:rPr>
                <w:rFonts w:hint="eastAsia" w:ascii="宋体" w:hAnsi="宋体"/>
                <w:bCs/>
              </w:rPr>
              <w:t>3T×6m</w:t>
            </w:r>
          </w:p>
        </w:tc>
        <w:tc>
          <w:tcPr>
            <w:tcW w:w="1272" w:type="dxa"/>
          </w:tcPr>
          <w:p w14:paraId="212A786C">
            <w:pPr>
              <w:spacing w:line="400" w:lineRule="exact"/>
              <w:jc w:val="center"/>
              <w:rPr>
                <w:rFonts w:ascii="宋体" w:hAnsi="宋体"/>
                <w:bCs/>
              </w:rPr>
            </w:pPr>
            <w:r>
              <w:rPr>
                <w:rFonts w:hint="eastAsia" w:ascii="宋体" w:hAnsi="宋体"/>
                <w:bCs/>
              </w:rPr>
              <w:t>只</w:t>
            </w:r>
          </w:p>
        </w:tc>
        <w:tc>
          <w:tcPr>
            <w:tcW w:w="728" w:type="dxa"/>
          </w:tcPr>
          <w:p w14:paraId="5E746AEE">
            <w:pPr>
              <w:spacing w:line="400" w:lineRule="exact"/>
              <w:jc w:val="center"/>
              <w:rPr>
                <w:rFonts w:ascii="宋体" w:hAnsi="宋体"/>
                <w:bCs/>
              </w:rPr>
            </w:pPr>
            <w:r>
              <w:rPr>
                <w:rFonts w:hint="eastAsia" w:ascii="宋体" w:hAnsi="宋体"/>
                <w:bCs/>
              </w:rPr>
              <w:t>2</w:t>
            </w:r>
          </w:p>
        </w:tc>
      </w:tr>
      <w:tr w14:paraId="35AE1A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34825B67">
            <w:pPr>
              <w:spacing w:line="400" w:lineRule="exact"/>
              <w:rPr>
                <w:rFonts w:ascii="宋体" w:hAnsi="宋体"/>
                <w:bCs/>
              </w:rPr>
            </w:pPr>
            <w:r>
              <w:rPr>
                <w:rFonts w:hint="eastAsia" w:asciiTheme="minorEastAsia" w:hAnsiTheme="minorEastAsia" w:eastAsiaTheme="minorEastAsia" w:cstheme="minorEastAsia"/>
                <w:bCs/>
                <w:szCs w:val="21"/>
              </w:rPr>
              <w:t>□手拉葫芦</w:t>
            </w:r>
          </w:p>
        </w:tc>
        <w:tc>
          <w:tcPr>
            <w:tcW w:w="3223" w:type="dxa"/>
            <w:vAlign w:val="center"/>
          </w:tcPr>
          <w:p w14:paraId="004206C3">
            <w:pPr>
              <w:spacing w:line="400" w:lineRule="exact"/>
              <w:jc w:val="center"/>
              <w:rPr>
                <w:rFonts w:ascii="宋体" w:hAnsi="宋体"/>
                <w:bCs/>
              </w:rPr>
            </w:pPr>
            <w:r>
              <w:rPr>
                <w:rFonts w:hint="eastAsia" w:ascii="宋体" w:hAnsi="宋体"/>
                <w:bCs/>
              </w:rPr>
              <w:t>5T×6m</w:t>
            </w:r>
          </w:p>
        </w:tc>
        <w:tc>
          <w:tcPr>
            <w:tcW w:w="1272" w:type="dxa"/>
          </w:tcPr>
          <w:p w14:paraId="7E0680E3">
            <w:pPr>
              <w:spacing w:line="400" w:lineRule="exact"/>
              <w:jc w:val="center"/>
              <w:rPr>
                <w:rFonts w:ascii="宋体" w:hAnsi="宋体"/>
                <w:bCs/>
              </w:rPr>
            </w:pPr>
            <w:r>
              <w:rPr>
                <w:rFonts w:hint="eastAsia" w:ascii="宋体" w:hAnsi="宋体"/>
                <w:bCs/>
              </w:rPr>
              <w:t>只</w:t>
            </w:r>
          </w:p>
        </w:tc>
        <w:tc>
          <w:tcPr>
            <w:tcW w:w="728" w:type="dxa"/>
          </w:tcPr>
          <w:p w14:paraId="68AB6191">
            <w:pPr>
              <w:spacing w:line="400" w:lineRule="exact"/>
              <w:jc w:val="center"/>
              <w:rPr>
                <w:rFonts w:ascii="宋体" w:hAnsi="宋体"/>
                <w:bCs/>
              </w:rPr>
            </w:pPr>
            <w:r>
              <w:rPr>
                <w:rFonts w:hint="eastAsia" w:ascii="宋体" w:hAnsi="宋体"/>
                <w:bCs/>
              </w:rPr>
              <w:t>3</w:t>
            </w:r>
          </w:p>
        </w:tc>
      </w:tr>
      <w:tr w14:paraId="4DE317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644FFBE4">
            <w:pPr>
              <w:spacing w:line="400" w:lineRule="exact"/>
              <w:rPr>
                <w:rFonts w:ascii="宋体" w:hAnsi="宋体"/>
                <w:bCs/>
              </w:rPr>
            </w:pPr>
            <w:r>
              <w:rPr>
                <w:rFonts w:hint="eastAsia" w:asciiTheme="minorEastAsia" w:hAnsiTheme="minorEastAsia" w:eastAsiaTheme="minorEastAsia" w:cstheme="minorEastAsia"/>
                <w:bCs/>
                <w:szCs w:val="21"/>
              </w:rPr>
              <w:t>□枕木</w:t>
            </w:r>
          </w:p>
        </w:tc>
        <w:tc>
          <w:tcPr>
            <w:tcW w:w="3223" w:type="dxa"/>
            <w:vAlign w:val="center"/>
          </w:tcPr>
          <w:p w14:paraId="71852277">
            <w:pPr>
              <w:spacing w:line="400" w:lineRule="exact"/>
              <w:jc w:val="center"/>
              <w:rPr>
                <w:rFonts w:ascii="宋体" w:hAnsi="宋体"/>
                <w:bCs/>
              </w:rPr>
            </w:pPr>
          </w:p>
        </w:tc>
        <w:tc>
          <w:tcPr>
            <w:tcW w:w="1272" w:type="dxa"/>
          </w:tcPr>
          <w:p w14:paraId="1CD3FE3E">
            <w:pPr>
              <w:spacing w:line="400" w:lineRule="exact"/>
              <w:jc w:val="center"/>
              <w:rPr>
                <w:rFonts w:ascii="宋体" w:hAnsi="宋体"/>
                <w:bCs/>
              </w:rPr>
            </w:pPr>
            <w:r>
              <w:rPr>
                <w:rFonts w:hint="eastAsia" w:ascii="宋体" w:hAnsi="宋体"/>
                <w:bCs/>
              </w:rPr>
              <w:t>根</w:t>
            </w:r>
          </w:p>
        </w:tc>
        <w:tc>
          <w:tcPr>
            <w:tcW w:w="728" w:type="dxa"/>
          </w:tcPr>
          <w:p w14:paraId="156647EB">
            <w:pPr>
              <w:spacing w:line="400" w:lineRule="exact"/>
              <w:jc w:val="center"/>
              <w:rPr>
                <w:rFonts w:ascii="宋体" w:hAnsi="宋体"/>
                <w:bCs/>
              </w:rPr>
            </w:pPr>
            <w:r>
              <w:rPr>
                <w:rFonts w:hint="eastAsia" w:ascii="宋体" w:hAnsi="宋体"/>
                <w:bCs/>
              </w:rPr>
              <w:t>4</w:t>
            </w:r>
          </w:p>
        </w:tc>
      </w:tr>
      <w:tr w14:paraId="72E8B9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1E413547">
            <w:pPr>
              <w:spacing w:line="400" w:lineRule="exact"/>
              <w:rPr>
                <w:rFonts w:ascii="宋体" w:hAnsi="宋体"/>
                <w:bCs/>
              </w:rPr>
            </w:pPr>
            <w:r>
              <w:rPr>
                <w:rFonts w:hint="eastAsia" w:asciiTheme="minorEastAsia" w:hAnsiTheme="minorEastAsia" w:eastAsiaTheme="minorEastAsia" w:cstheme="minorEastAsia"/>
                <w:bCs/>
                <w:szCs w:val="21"/>
              </w:rPr>
              <w:t>□百分表</w:t>
            </w:r>
          </w:p>
        </w:tc>
        <w:tc>
          <w:tcPr>
            <w:tcW w:w="3223" w:type="dxa"/>
            <w:vAlign w:val="center"/>
          </w:tcPr>
          <w:p w14:paraId="058DCDBB">
            <w:pPr>
              <w:spacing w:line="400" w:lineRule="exact"/>
              <w:jc w:val="center"/>
              <w:rPr>
                <w:rFonts w:ascii="宋体" w:hAnsi="宋体"/>
                <w:bCs/>
              </w:rPr>
            </w:pPr>
            <w:r>
              <w:rPr>
                <w:rFonts w:hint="eastAsia" w:ascii="宋体" w:hAnsi="宋体"/>
                <w:bCs/>
              </w:rPr>
              <w:t>0-10mm</w:t>
            </w:r>
          </w:p>
        </w:tc>
        <w:tc>
          <w:tcPr>
            <w:tcW w:w="1272" w:type="dxa"/>
          </w:tcPr>
          <w:p w14:paraId="4073133C">
            <w:pPr>
              <w:spacing w:line="400" w:lineRule="exact"/>
              <w:jc w:val="center"/>
              <w:rPr>
                <w:rFonts w:ascii="宋体" w:hAnsi="宋体"/>
                <w:bCs/>
              </w:rPr>
            </w:pPr>
            <w:r>
              <w:rPr>
                <w:rFonts w:hint="eastAsia" w:ascii="宋体" w:hAnsi="宋体"/>
                <w:bCs/>
              </w:rPr>
              <w:t>套</w:t>
            </w:r>
          </w:p>
        </w:tc>
        <w:tc>
          <w:tcPr>
            <w:tcW w:w="728" w:type="dxa"/>
          </w:tcPr>
          <w:p w14:paraId="74055815">
            <w:pPr>
              <w:spacing w:line="400" w:lineRule="exact"/>
              <w:jc w:val="center"/>
              <w:rPr>
                <w:rFonts w:ascii="宋体" w:hAnsi="宋体"/>
                <w:bCs/>
              </w:rPr>
            </w:pPr>
            <w:r>
              <w:rPr>
                <w:rFonts w:hint="eastAsia" w:ascii="宋体" w:hAnsi="宋体"/>
                <w:bCs/>
              </w:rPr>
              <w:t>2</w:t>
            </w:r>
          </w:p>
        </w:tc>
      </w:tr>
      <w:tr w14:paraId="29A9F1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6A2E3A66">
            <w:pPr>
              <w:spacing w:line="400" w:lineRule="exact"/>
              <w:rPr>
                <w:rFonts w:ascii="宋体" w:hAnsi="宋体"/>
                <w:bCs/>
              </w:rPr>
            </w:pPr>
            <w:r>
              <w:rPr>
                <w:rFonts w:hint="eastAsia" w:asciiTheme="minorEastAsia" w:hAnsiTheme="minorEastAsia" w:eastAsiaTheme="minorEastAsia" w:cstheme="minorEastAsia"/>
                <w:bCs/>
                <w:szCs w:val="21"/>
              </w:rPr>
              <w:t>□游标卡尺</w:t>
            </w:r>
          </w:p>
        </w:tc>
        <w:tc>
          <w:tcPr>
            <w:tcW w:w="3223" w:type="dxa"/>
            <w:vAlign w:val="center"/>
          </w:tcPr>
          <w:p w14:paraId="555DD768">
            <w:pPr>
              <w:spacing w:line="400" w:lineRule="exact"/>
              <w:jc w:val="center"/>
              <w:rPr>
                <w:rFonts w:ascii="宋体" w:hAnsi="宋体"/>
                <w:bCs/>
              </w:rPr>
            </w:pPr>
            <w:r>
              <w:rPr>
                <w:rFonts w:hint="eastAsia" w:ascii="宋体" w:hAnsi="宋体"/>
                <w:bCs/>
              </w:rPr>
              <w:t>150mm</w:t>
            </w:r>
          </w:p>
        </w:tc>
        <w:tc>
          <w:tcPr>
            <w:tcW w:w="1272" w:type="dxa"/>
          </w:tcPr>
          <w:p w14:paraId="0E4396B9">
            <w:pPr>
              <w:spacing w:line="400" w:lineRule="exact"/>
              <w:jc w:val="center"/>
              <w:rPr>
                <w:rFonts w:ascii="宋体" w:hAnsi="宋体"/>
                <w:bCs/>
              </w:rPr>
            </w:pPr>
            <w:r>
              <w:rPr>
                <w:rFonts w:hint="eastAsia" w:ascii="宋体" w:hAnsi="宋体"/>
                <w:bCs/>
              </w:rPr>
              <w:t>把</w:t>
            </w:r>
          </w:p>
        </w:tc>
        <w:tc>
          <w:tcPr>
            <w:tcW w:w="728" w:type="dxa"/>
          </w:tcPr>
          <w:p w14:paraId="626CDB14">
            <w:pPr>
              <w:spacing w:line="400" w:lineRule="exact"/>
              <w:jc w:val="center"/>
              <w:rPr>
                <w:rFonts w:ascii="宋体" w:hAnsi="宋体"/>
                <w:bCs/>
              </w:rPr>
            </w:pPr>
            <w:r>
              <w:rPr>
                <w:rFonts w:hint="eastAsia" w:ascii="宋体" w:hAnsi="宋体"/>
                <w:bCs/>
              </w:rPr>
              <w:t>1</w:t>
            </w:r>
          </w:p>
        </w:tc>
      </w:tr>
      <w:tr w14:paraId="5865A1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vAlign w:val="center"/>
          </w:tcPr>
          <w:p w14:paraId="0BD6F6E5">
            <w:pPr>
              <w:spacing w:line="400" w:lineRule="exact"/>
              <w:rPr>
                <w:rFonts w:ascii="宋体" w:hAnsi="宋体"/>
                <w:bCs/>
              </w:rPr>
            </w:pPr>
            <w:r>
              <w:rPr>
                <w:rFonts w:hint="eastAsia" w:asciiTheme="minorEastAsia" w:hAnsiTheme="minorEastAsia" w:eastAsiaTheme="minorEastAsia" w:cstheme="minorEastAsia"/>
                <w:bCs/>
                <w:szCs w:val="21"/>
              </w:rPr>
              <w:t>□千斤顶</w:t>
            </w:r>
          </w:p>
        </w:tc>
        <w:tc>
          <w:tcPr>
            <w:tcW w:w="3223" w:type="dxa"/>
            <w:vAlign w:val="center"/>
          </w:tcPr>
          <w:p w14:paraId="16ED5C38">
            <w:pPr>
              <w:spacing w:line="400" w:lineRule="exact"/>
              <w:jc w:val="center"/>
              <w:rPr>
                <w:rFonts w:ascii="宋体" w:hAnsi="宋体"/>
                <w:bCs/>
              </w:rPr>
            </w:pPr>
          </w:p>
        </w:tc>
        <w:tc>
          <w:tcPr>
            <w:tcW w:w="1272" w:type="dxa"/>
          </w:tcPr>
          <w:p w14:paraId="432EB787">
            <w:pPr>
              <w:spacing w:line="400" w:lineRule="exact"/>
              <w:jc w:val="center"/>
              <w:rPr>
                <w:rFonts w:ascii="宋体" w:hAnsi="宋体"/>
                <w:bCs/>
              </w:rPr>
            </w:pPr>
            <w:r>
              <w:rPr>
                <w:rFonts w:hint="eastAsia" w:ascii="宋体" w:hAnsi="宋体"/>
                <w:bCs/>
              </w:rPr>
              <w:t>台</w:t>
            </w:r>
          </w:p>
        </w:tc>
        <w:tc>
          <w:tcPr>
            <w:tcW w:w="728" w:type="dxa"/>
          </w:tcPr>
          <w:p w14:paraId="0CA7A18F">
            <w:pPr>
              <w:spacing w:line="400" w:lineRule="exact"/>
              <w:jc w:val="center"/>
              <w:rPr>
                <w:rFonts w:ascii="宋体" w:hAnsi="宋体"/>
                <w:bCs/>
              </w:rPr>
            </w:pPr>
            <w:r>
              <w:rPr>
                <w:rFonts w:hint="eastAsia" w:ascii="宋体" w:hAnsi="宋体"/>
                <w:bCs/>
              </w:rPr>
              <w:t>4</w:t>
            </w:r>
          </w:p>
        </w:tc>
      </w:tr>
      <w:tr w14:paraId="6391C2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761F9B35">
            <w:pPr>
              <w:spacing w:line="400" w:lineRule="exact"/>
              <w:rPr>
                <w:rFonts w:ascii="宋体" w:hAnsi="宋体"/>
                <w:bCs/>
              </w:rPr>
            </w:pPr>
            <w:r>
              <w:rPr>
                <w:rFonts w:hint="eastAsia" w:asciiTheme="minorEastAsia" w:hAnsiTheme="minorEastAsia" w:eastAsiaTheme="minorEastAsia" w:cstheme="minorEastAsia"/>
                <w:bCs/>
                <w:szCs w:val="21"/>
              </w:rPr>
              <w:t>□钩链</w:t>
            </w:r>
          </w:p>
        </w:tc>
        <w:tc>
          <w:tcPr>
            <w:tcW w:w="3223" w:type="dxa"/>
          </w:tcPr>
          <w:p w14:paraId="0615EB26">
            <w:pPr>
              <w:spacing w:line="400" w:lineRule="exact"/>
              <w:rPr>
                <w:rFonts w:ascii="宋体" w:hAnsi="宋体"/>
                <w:bCs/>
              </w:rPr>
            </w:pPr>
          </w:p>
        </w:tc>
        <w:tc>
          <w:tcPr>
            <w:tcW w:w="1272" w:type="dxa"/>
          </w:tcPr>
          <w:p w14:paraId="7625B8CE">
            <w:pPr>
              <w:spacing w:line="400" w:lineRule="exact"/>
              <w:jc w:val="center"/>
              <w:rPr>
                <w:rFonts w:ascii="宋体" w:hAnsi="宋体"/>
                <w:bCs/>
              </w:rPr>
            </w:pPr>
            <w:r>
              <w:rPr>
                <w:rFonts w:hint="eastAsia" w:ascii="宋体" w:hAnsi="宋体"/>
                <w:bCs/>
              </w:rPr>
              <w:t>条</w:t>
            </w:r>
          </w:p>
        </w:tc>
        <w:tc>
          <w:tcPr>
            <w:tcW w:w="728" w:type="dxa"/>
          </w:tcPr>
          <w:p w14:paraId="7E5FE12F">
            <w:pPr>
              <w:spacing w:line="400" w:lineRule="exact"/>
              <w:jc w:val="center"/>
              <w:rPr>
                <w:rFonts w:ascii="宋体" w:hAnsi="宋体"/>
                <w:bCs/>
              </w:rPr>
            </w:pPr>
            <w:r>
              <w:rPr>
                <w:rFonts w:hint="eastAsia" w:ascii="宋体" w:hAnsi="宋体"/>
                <w:bCs/>
              </w:rPr>
              <w:t>4</w:t>
            </w:r>
          </w:p>
        </w:tc>
      </w:tr>
      <w:tr w14:paraId="1FC58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17D138EE">
            <w:pPr>
              <w:spacing w:line="400" w:lineRule="exact"/>
              <w:rPr>
                <w:rFonts w:ascii="宋体" w:hAnsi="宋体"/>
                <w:bCs/>
              </w:rPr>
            </w:pPr>
            <w:r>
              <w:rPr>
                <w:rFonts w:hint="eastAsia" w:asciiTheme="minorEastAsia" w:hAnsiTheme="minorEastAsia" w:eastAsiaTheme="minorEastAsia" w:cstheme="minorEastAsia"/>
                <w:bCs/>
                <w:szCs w:val="21"/>
              </w:rPr>
              <w:t>□圆钢</w:t>
            </w:r>
          </w:p>
        </w:tc>
        <w:tc>
          <w:tcPr>
            <w:tcW w:w="3223" w:type="dxa"/>
          </w:tcPr>
          <w:p w14:paraId="43C50A12">
            <w:pPr>
              <w:spacing w:line="400" w:lineRule="exact"/>
              <w:jc w:val="center"/>
              <w:rPr>
                <w:rFonts w:ascii="宋体" w:hAnsi="宋体"/>
                <w:bCs/>
              </w:rPr>
            </w:pPr>
            <w:r>
              <w:rPr>
                <w:rFonts w:hint="eastAsia" w:ascii="宋体" w:hAnsi="宋体" w:cs="宋体"/>
                <w:bCs/>
              </w:rPr>
              <w:t>Φ40，4m</w:t>
            </w:r>
          </w:p>
        </w:tc>
        <w:tc>
          <w:tcPr>
            <w:tcW w:w="1272" w:type="dxa"/>
          </w:tcPr>
          <w:p w14:paraId="6939C9EF">
            <w:pPr>
              <w:spacing w:line="400" w:lineRule="exact"/>
              <w:jc w:val="center"/>
              <w:rPr>
                <w:rFonts w:ascii="宋体" w:hAnsi="宋体"/>
                <w:bCs/>
              </w:rPr>
            </w:pPr>
            <w:r>
              <w:rPr>
                <w:rFonts w:hint="eastAsia" w:ascii="宋体" w:hAnsi="宋体"/>
                <w:bCs/>
              </w:rPr>
              <w:t>根</w:t>
            </w:r>
          </w:p>
        </w:tc>
        <w:tc>
          <w:tcPr>
            <w:tcW w:w="728" w:type="dxa"/>
          </w:tcPr>
          <w:p w14:paraId="253EBCCC">
            <w:pPr>
              <w:spacing w:line="400" w:lineRule="exact"/>
              <w:jc w:val="center"/>
              <w:rPr>
                <w:rFonts w:ascii="宋体" w:hAnsi="宋体"/>
                <w:bCs/>
              </w:rPr>
            </w:pPr>
            <w:r>
              <w:rPr>
                <w:rFonts w:hint="eastAsia" w:ascii="宋体" w:hAnsi="宋体"/>
                <w:bCs/>
              </w:rPr>
              <w:t>3</w:t>
            </w:r>
          </w:p>
        </w:tc>
      </w:tr>
      <w:tr w14:paraId="59227E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197" w:type="dxa"/>
          </w:tcPr>
          <w:p w14:paraId="32665D37">
            <w:pPr>
              <w:spacing w:line="400" w:lineRule="exact"/>
              <w:rPr>
                <w:bCs/>
              </w:rPr>
            </w:pPr>
            <w:r>
              <w:rPr>
                <w:rFonts w:hint="eastAsia" w:ascii="宋体" w:hAnsi="宋体"/>
                <w:bCs/>
              </w:rPr>
              <w:t>□安全行灯灯具</w:t>
            </w:r>
          </w:p>
        </w:tc>
        <w:tc>
          <w:tcPr>
            <w:tcW w:w="3223" w:type="dxa"/>
          </w:tcPr>
          <w:p w14:paraId="1757DC3D">
            <w:pPr>
              <w:spacing w:line="400" w:lineRule="exact"/>
              <w:jc w:val="center"/>
              <w:rPr>
                <w:bCs/>
              </w:rPr>
            </w:pPr>
            <w:r>
              <w:rPr>
                <w:rFonts w:hint="eastAsia"/>
                <w:bCs/>
              </w:rPr>
              <w:t>AD-4</w:t>
            </w:r>
          </w:p>
        </w:tc>
        <w:tc>
          <w:tcPr>
            <w:tcW w:w="1272" w:type="dxa"/>
          </w:tcPr>
          <w:p w14:paraId="46E5AA45">
            <w:pPr>
              <w:spacing w:line="400" w:lineRule="exact"/>
              <w:jc w:val="center"/>
              <w:rPr>
                <w:bCs/>
              </w:rPr>
            </w:pPr>
            <w:r>
              <w:rPr>
                <w:rFonts w:hint="eastAsia"/>
                <w:bCs/>
              </w:rPr>
              <w:t>盏</w:t>
            </w:r>
          </w:p>
        </w:tc>
        <w:tc>
          <w:tcPr>
            <w:tcW w:w="728" w:type="dxa"/>
          </w:tcPr>
          <w:p w14:paraId="38004831">
            <w:pPr>
              <w:spacing w:line="400" w:lineRule="exact"/>
              <w:jc w:val="center"/>
              <w:rPr>
                <w:bCs/>
              </w:rPr>
            </w:pPr>
            <w:r>
              <w:rPr>
                <w:rFonts w:hint="eastAsia"/>
                <w:bCs/>
              </w:rPr>
              <w:t>1</w:t>
            </w:r>
          </w:p>
        </w:tc>
      </w:tr>
      <w:tr w14:paraId="5A9696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7949307E">
            <w:pPr>
              <w:spacing w:line="400" w:lineRule="exact"/>
              <w:rPr>
                <w:rFonts w:ascii="宋体" w:hAnsi="宋体"/>
                <w:bCs/>
              </w:rPr>
            </w:pPr>
            <w:r>
              <w:rPr>
                <w:rFonts w:hint="eastAsia" w:ascii="宋体" w:hAnsi="宋体"/>
                <w:bCs/>
              </w:rPr>
              <w:t>□梅花扳手</w:t>
            </w:r>
          </w:p>
        </w:tc>
        <w:tc>
          <w:tcPr>
            <w:tcW w:w="3223" w:type="dxa"/>
          </w:tcPr>
          <w:p w14:paraId="7C101BAD">
            <w:pPr>
              <w:spacing w:line="400" w:lineRule="exact"/>
              <w:jc w:val="center"/>
              <w:rPr>
                <w:rFonts w:ascii="宋体" w:hAnsi="宋体"/>
                <w:bCs/>
              </w:rPr>
            </w:pPr>
            <w:r>
              <w:rPr>
                <w:rFonts w:hint="eastAsia"/>
                <w:bCs/>
              </w:rPr>
              <w:t>24－27mm</w:t>
            </w:r>
          </w:p>
        </w:tc>
        <w:tc>
          <w:tcPr>
            <w:tcW w:w="1272" w:type="dxa"/>
          </w:tcPr>
          <w:p w14:paraId="28525607">
            <w:pPr>
              <w:spacing w:line="400" w:lineRule="exact"/>
              <w:jc w:val="center"/>
              <w:rPr>
                <w:rFonts w:ascii="宋体" w:hAnsi="宋体"/>
                <w:bCs/>
              </w:rPr>
            </w:pPr>
            <w:r>
              <w:rPr>
                <w:rFonts w:hint="eastAsia"/>
                <w:bCs/>
              </w:rPr>
              <w:t>把</w:t>
            </w:r>
          </w:p>
        </w:tc>
        <w:tc>
          <w:tcPr>
            <w:tcW w:w="728" w:type="dxa"/>
          </w:tcPr>
          <w:p w14:paraId="7381E86A">
            <w:pPr>
              <w:spacing w:line="400" w:lineRule="exact"/>
              <w:jc w:val="center"/>
              <w:rPr>
                <w:rFonts w:ascii="宋体" w:hAnsi="宋体"/>
                <w:bCs/>
              </w:rPr>
            </w:pPr>
            <w:r>
              <w:rPr>
                <w:rFonts w:hint="eastAsia"/>
                <w:bCs/>
              </w:rPr>
              <w:t>1</w:t>
            </w:r>
          </w:p>
        </w:tc>
      </w:tr>
      <w:tr w14:paraId="04C28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5DFC9AE6">
            <w:pPr>
              <w:spacing w:line="400" w:lineRule="exact"/>
              <w:rPr>
                <w:rFonts w:ascii="宋体" w:hAnsi="宋体"/>
                <w:bCs/>
              </w:rPr>
            </w:pPr>
            <w:r>
              <w:rPr>
                <w:rFonts w:hint="eastAsia" w:ascii="宋体" w:hAnsi="宋体"/>
                <w:bCs/>
              </w:rPr>
              <w:t>□梅花扳手</w:t>
            </w:r>
          </w:p>
        </w:tc>
        <w:tc>
          <w:tcPr>
            <w:tcW w:w="3223" w:type="dxa"/>
          </w:tcPr>
          <w:p w14:paraId="512562E0">
            <w:pPr>
              <w:spacing w:line="400" w:lineRule="exact"/>
              <w:jc w:val="center"/>
              <w:rPr>
                <w:rFonts w:ascii="宋体" w:hAnsi="宋体"/>
                <w:bCs/>
              </w:rPr>
            </w:pPr>
            <w:r>
              <w:rPr>
                <w:rFonts w:hint="eastAsia"/>
                <w:bCs/>
              </w:rPr>
              <w:t>30－32mm</w:t>
            </w:r>
          </w:p>
        </w:tc>
        <w:tc>
          <w:tcPr>
            <w:tcW w:w="1272" w:type="dxa"/>
          </w:tcPr>
          <w:p w14:paraId="1A895F38">
            <w:pPr>
              <w:spacing w:line="400" w:lineRule="exact"/>
              <w:jc w:val="center"/>
              <w:rPr>
                <w:rFonts w:ascii="宋体" w:hAnsi="宋体"/>
                <w:bCs/>
              </w:rPr>
            </w:pPr>
            <w:r>
              <w:rPr>
                <w:rFonts w:hint="eastAsia"/>
                <w:bCs/>
              </w:rPr>
              <w:t>把</w:t>
            </w:r>
          </w:p>
        </w:tc>
        <w:tc>
          <w:tcPr>
            <w:tcW w:w="728" w:type="dxa"/>
          </w:tcPr>
          <w:p w14:paraId="7525E455">
            <w:pPr>
              <w:spacing w:line="400" w:lineRule="exact"/>
              <w:jc w:val="center"/>
              <w:rPr>
                <w:rFonts w:ascii="宋体" w:hAnsi="宋体"/>
                <w:bCs/>
              </w:rPr>
            </w:pPr>
            <w:r>
              <w:rPr>
                <w:rFonts w:hint="eastAsia"/>
                <w:bCs/>
              </w:rPr>
              <w:t>1</w:t>
            </w:r>
          </w:p>
        </w:tc>
      </w:tr>
      <w:tr w14:paraId="1138A4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636853E2">
            <w:pPr>
              <w:spacing w:line="400" w:lineRule="exact"/>
              <w:rPr>
                <w:rFonts w:ascii="宋体" w:hAnsi="宋体"/>
                <w:bCs/>
              </w:rPr>
            </w:pPr>
            <w:r>
              <w:rPr>
                <w:rFonts w:hint="eastAsia" w:ascii="宋体" w:hAnsi="宋体"/>
                <w:bCs/>
              </w:rPr>
              <w:t>□梅花扳手</w:t>
            </w:r>
          </w:p>
        </w:tc>
        <w:tc>
          <w:tcPr>
            <w:tcW w:w="3223" w:type="dxa"/>
          </w:tcPr>
          <w:p w14:paraId="27E9C5E1">
            <w:pPr>
              <w:spacing w:line="400" w:lineRule="exact"/>
              <w:jc w:val="center"/>
              <w:rPr>
                <w:rFonts w:ascii="宋体" w:hAnsi="宋体"/>
                <w:bCs/>
              </w:rPr>
            </w:pPr>
            <w:r>
              <w:rPr>
                <w:rFonts w:hint="eastAsia"/>
                <w:bCs/>
              </w:rPr>
              <w:t>17－19mm</w:t>
            </w:r>
          </w:p>
        </w:tc>
        <w:tc>
          <w:tcPr>
            <w:tcW w:w="1272" w:type="dxa"/>
          </w:tcPr>
          <w:p w14:paraId="218A8D45">
            <w:pPr>
              <w:spacing w:line="400" w:lineRule="exact"/>
              <w:jc w:val="center"/>
              <w:rPr>
                <w:rFonts w:ascii="宋体" w:hAnsi="宋体"/>
                <w:bCs/>
              </w:rPr>
            </w:pPr>
            <w:r>
              <w:rPr>
                <w:rFonts w:hint="eastAsia"/>
                <w:bCs/>
              </w:rPr>
              <w:t>把</w:t>
            </w:r>
          </w:p>
        </w:tc>
        <w:tc>
          <w:tcPr>
            <w:tcW w:w="728" w:type="dxa"/>
          </w:tcPr>
          <w:p w14:paraId="3CE7F85E">
            <w:pPr>
              <w:spacing w:line="400" w:lineRule="exact"/>
              <w:jc w:val="center"/>
              <w:rPr>
                <w:rFonts w:ascii="宋体" w:hAnsi="宋体"/>
                <w:bCs/>
              </w:rPr>
            </w:pPr>
            <w:r>
              <w:rPr>
                <w:rFonts w:hint="eastAsia"/>
                <w:bCs/>
              </w:rPr>
              <w:t>1</w:t>
            </w:r>
          </w:p>
        </w:tc>
      </w:tr>
      <w:tr w14:paraId="3F0B0D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58BD279C">
            <w:pPr>
              <w:spacing w:line="400" w:lineRule="exact"/>
              <w:rPr>
                <w:rFonts w:ascii="宋体" w:hAnsi="宋体"/>
                <w:bCs/>
              </w:rPr>
            </w:pPr>
            <w:r>
              <w:rPr>
                <w:rFonts w:hint="eastAsia" w:ascii="宋体" w:hAnsi="宋体"/>
                <w:bCs/>
              </w:rPr>
              <w:t>□活动扳手</w:t>
            </w:r>
          </w:p>
        </w:tc>
        <w:tc>
          <w:tcPr>
            <w:tcW w:w="3223" w:type="dxa"/>
          </w:tcPr>
          <w:p w14:paraId="02EFA073">
            <w:pPr>
              <w:spacing w:line="400" w:lineRule="exact"/>
              <w:jc w:val="center"/>
              <w:rPr>
                <w:rFonts w:ascii="宋体" w:hAnsi="宋体"/>
                <w:bCs/>
              </w:rPr>
            </w:pPr>
            <w:r>
              <w:rPr>
                <w:rFonts w:hint="eastAsia"/>
                <w:bCs/>
              </w:rPr>
              <w:t>10″</w:t>
            </w:r>
          </w:p>
        </w:tc>
        <w:tc>
          <w:tcPr>
            <w:tcW w:w="1272" w:type="dxa"/>
          </w:tcPr>
          <w:p w14:paraId="15A39256">
            <w:pPr>
              <w:spacing w:line="400" w:lineRule="exact"/>
              <w:jc w:val="center"/>
              <w:rPr>
                <w:rFonts w:ascii="宋体" w:hAnsi="宋体"/>
                <w:bCs/>
              </w:rPr>
            </w:pPr>
            <w:r>
              <w:rPr>
                <w:rFonts w:hint="eastAsia"/>
                <w:bCs/>
              </w:rPr>
              <w:t>把</w:t>
            </w:r>
          </w:p>
        </w:tc>
        <w:tc>
          <w:tcPr>
            <w:tcW w:w="728" w:type="dxa"/>
          </w:tcPr>
          <w:p w14:paraId="22A0224F">
            <w:pPr>
              <w:spacing w:line="400" w:lineRule="exact"/>
              <w:jc w:val="center"/>
              <w:rPr>
                <w:rFonts w:ascii="宋体" w:hAnsi="宋体"/>
                <w:bCs/>
              </w:rPr>
            </w:pPr>
            <w:r>
              <w:rPr>
                <w:rFonts w:hint="eastAsia"/>
                <w:bCs/>
              </w:rPr>
              <w:t>1</w:t>
            </w:r>
          </w:p>
        </w:tc>
      </w:tr>
      <w:tr w14:paraId="1FB75B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5043C74F">
            <w:pPr>
              <w:spacing w:line="400" w:lineRule="exact"/>
              <w:rPr>
                <w:rFonts w:ascii="宋体" w:hAnsi="宋体"/>
                <w:bCs/>
              </w:rPr>
            </w:pPr>
            <w:r>
              <w:rPr>
                <w:rFonts w:hint="eastAsia" w:ascii="宋体" w:hAnsi="宋体"/>
                <w:bCs/>
              </w:rPr>
              <w:t>□活动扳手</w:t>
            </w:r>
          </w:p>
        </w:tc>
        <w:tc>
          <w:tcPr>
            <w:tcW w:w="3223" w:type="dxa"/>
          </w:tcPr>
          <w:p w14:paraId="5F1A2F47">
            <w:pPr>
              <w:spacing w:line="400" w:lineRule="exact"/>
              <w:jc w:val="center"/>
              <w:rPr>
                <w:rFonts w:ascii="宋体" w:hAnsi="宋体"/>
                <w:bCs/>
              </w:rPr>
            </w:pPr>
            <w:r>
              <w:rPr>
                <w:rFonts w:hint="eastAsia"/>
                <w:bCs/>
              </w:rPr>
              <w:t>12″</w:t>
            </w:r>
          </w:p>
        </w:tc>
        <w:tc>
          <w:tcPr>
            <w:tcW w:w="1272" w:type="dxa"/>
          </w:tcPr>
          <w:p w14:paraId="2F2B5BA9">
            <w:pPr>
              <w:spacing w:line="400" w:lineRule="exact"/>
              <w:jc w:val="center"/>
              <w:rPr>
                <w:rFonts w:ascii="宋体" w:hAnsi="宋体"/>
                <w:bCs/>
              </w:rPr>
            </w:pPr>
            <w:r>
              <w:rPr>
                <w:rFonts w:hint="eastAsia"/>
                <w:bCs/>
              </w:rPr>
              <w:t>把</w:t>
            </w:r>
          </w:p>
        </w:tc>
        <w:tc>
          <w:tcPr>
            <w:tcW w:w="728" w:type="dxa"/>
          </w:tcPr>
          <w:p w14:paraId="77154EF1">
            <w:pPr>
              <w:spacing w:line="400" w:lineRule="exact"/>
              <w:jc w:val="center"/>
              <w:rPr>
                <w:rFonts w:ascii="宋体" w:hAnsi="宋体"/>
                <w:bCs/>
              </w:rPr>
            </w:pPr>
            <w:r>
              <w:rPr>
                <w:rFonts w:hint="eastAsia"/>
                <w:bCs/>
              </w:rPr>
              <w:t>1</w:t>
            </w:r>
          </w:p>
        </w:tc>
      </w:tr>
      <w:tr w14:paraId="34E591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33AD0593">
            <w:pPr>
              <w:spacing w:line="400" w:lineRule="exact"/>
              <w:rPr>
                <w:rFonts w:ascii="宋体" w:hAnsi="宋体"/>
                <w:bCs/>
              </w:rPr>
            </w:pPr>
            <w:r>
              <w:rPr>
                <w:rFonts w:hint="eastAsia" w:ascii="宋体" w:hAnsi="宋体"/>
                <w:bCs/>
              </w:rPr>
              <w:t>□活动扳手</w:t>
            </w:r>
          </w:p>
        </w:tc>
        <w:tc>
          <w:tcPr>
            <w:tcW w:w="3223" w:type="dxa"/>
          </w:tcPr>
          <w:p w14:paraId="66198C02">
            <w:pPr>
              <w:spacing w:line="400" w:lineRule="exact"/>
              <w:jc w:val="center"/>
              <w:rPr>
                <w:rFonts w:ascii="宋体" w:hAnsi="宋体"/>
                <w:bCs/>
              </w:rPr>
            </w:pPr>
            <w:r>
              <w:rPr>
                <w:rFonts w:hint="eastAsia"/>
                <w:bCs/>
              </w:rPr>
              <w:t>15″</w:t>
            </w:r>
          </w:p>
        </w:tc>
        <w:tc>
          <w:tcPr>
            <w:tcW w:w="1272" w:type="dxa"/>
          </w:tcPr>
          <w:p w14:paraId="0616B96A">
            <w:pPr>
              <w:spacing w:line="400" w:lineRule="exact"/>
              <w:jc w:val="center"/>
              <w:rPr>
                <w:rFonts w:ascii="宋体" w:hAnsi="宋体"/>
                <w:bCs/>
              </w:rPr>
            </w:pPr>
            <w:r>
              <w:rPr>
                <w:rFonts w:hint="eastAsia"/>
                <w:bCs/>
              </w:rPr>
              <w:t>把</w:t>
            </w:r>
          </w:p>
        </w:tc>
        <w:tc>
          <w:tcPr>
            <w:tcW w:w="728" w:type="dxa"/>
          </w:tcPr>
          <w:p w14:paraId="0EBA0376">
            <w:pPr>
              <w:spacing w:line="400" w:lineRule="exact"/>
              <w:jc w:val="center"/>
              <w:rPr>
                <w:rFonts w:ascii="宋体" w:hAnsi="宋体"/>
                <w:bCs/>
              </w:rPr>
            </w:pPr>
            <w:r>
              <w:rPr>
                <w:rFonts w:hint="eastAsia"/>
                <w:bCs/>
              </w:rPr>
              <w:t>1</w:t>
            </w:r>
          </w:p>
        </w:tc>
      </w:tr>
      <w:tr w14:paraId="2F485C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41DF4432">
            <w:pPr>
              <w:spacing w:line="400" w:lineRule="exact"/>
              <w:rPr>
                <w:rFonts w:ascii="宋体" w:hAnsi="宋体"/>
                <w:bCs/>
              </w:rPr>
            </w:pPr>
            <w:r>
              <w:rPr>
                <w:rFonts w:hint="eastAsia" w:ascii="宋体" w:hAnsi="宋体"/>
                <w:bCs/>
              </w:rPr>
              <w:t>□三角拉马</w:t>
            </w:r>
          </w:p>
        </w:tc>
        <w:tc>
          <w:tcPr>
            <w:tcW w:w="3223" w:type="dxa"/>
          </w:tcPr>
          <w:p w14:paraId="15C98BAE">
            <w:pPr>
              <w:spacing w:line="400" w:lineRule="exact"/>
              <w:jc w:val="center"/>
              <w:rPr>
                <w:rFonts w:ascii="宋体" w:hAnsi="宋体"/>
                <w:bCs/>
              </w:rPr>
            </w:pPr>
            <w:r>
              <w:rPr>
                <w:rFonts w:hint="eastAsia"/>
                <w:bCs/>
              </w:rPr>
              <w:t>300㎜</w:t>
            </w:r>
          </w:p>
        </w:tc>
        <w:tc>
          <w:tcPr>
            <w:tcW w:w="1272" w:type="dxa"/>
          </w:tcPr>
          <w:p w14:paraId="67830426">
            <w:pPr>
              <w:spacing w:line="400" w:lineRule="exact"/>
              <w:jc w:val="center"/>
              <w:rPr>
                <w:rFonts w:ascii="宋体" w:hAnsi="宋体"/>
                <w:bCs/>
              </w:rPr>
            </w:pPr>
            <w:r>
              <w:rPr>
                <w:rFonts w:hint="eastAsia"/>
                <w:bCs/>
              </w:rPr>
              <w:t>件</w:t>
            </w:r>
          </w:p>
        </w:tc>
        <w:tc>
          <w:tcPr>
            <w:tcW w:w="728" w:type="dxa"/>
          </w:tcPr>
          <w:p w14:paraId="6A2CB70F">
            <w:pPr>
              <w:spacing w:line="400" w:lineRule="exact"/>
              <w:jc w:val="center"/>
              <w:rPr>
                <w:rFonts w:ascii="宋体" w:hAnsi="宋体"/>
                <w:bCs/>
              </w:rPr>
            </w:pPr>
            <w:r>
              <w:rPr>
                <w:rFonts w:hint="eastAsia"/>
                <w:bCs/>
              </w:rPr>
              <w:t>1</w:t>
            </w:r>
          </w:p>
        </w:tc>
      </w:tr>
      <w:tr w14:paraId="4234E6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142583E1">
            <w:pPr>
              <w:spacing w:line="400" w:lineRule="exact"/>
              <w:rPr>
                <w:rFonts w:ascii="宋体" w:hAnsi="宋体"/>
                <w:bCs/>
              </w:rPr>
            </w:pPr>
            <w:r>
              <w:rPr>
                <w:rFonts w:hint="eastAsia" w:ascii="宋体" w:hAnsi="宋体"/>
                <w:bCs/>
              </w:rPr>
              <w:t>□内径千分尺</w:t>
            </w:r>
          </w:p>
        </w:tc>
        <w:tc>
          <w:tcPr>
            <w:tcW w:w="3223" w:type="dxa"/>
          </w:tcPr>
          <w:p w14:paraId="004F8CD2">
            <w:pPr>
              <w:spacing w:line="400" w:lineRule="exact"/>
              <w:jc w:val="center"/>
              <w:rPr>
                <w:rFonts w:ascii="宋体" w:hAnsi="宋体"/>
                <w:bCs/>
              </w:rPr>
            </w:pPr>
          </w:p>
        </w:tc>
        <w:tc>
          <w:tcPr>
            <w:tcW w:w="1272" w:type="dxa"/>
          </w:tcPr>
          <w:p w14:paraId="76777E00">
            <w:pPr>
              <w:spacing w:line="400" w:lineRule="exact"/>
              <w:jc w:val="center"/>
              <w:rPr>
                <w:rFonts w:ascii="宋体" w:hAnsi="宋体"/>
                <w:bCs/>
              </w:rPr>
            </w:pPr>
            <w:r>
              <w:rPr>
                <w:rFonts w:hint="eastAsia"/>
                <w:bCs/>
              </w:rPr>
              <w:t>套</w:t>
            </w:r>
          </w:p>
        </w:tc>
        <w:tc>
          <w:tcPr>
            <w:tcW w:w="728" w:type="dxa"/>
          </w:tcPr>
          <w:p w14:paraId="39649177">
            <w:pPr>
              <w:spacing w:line="400" w:lineRule="exact"/>
              <w:jc w:val="center"/>
              <w:rPr>
                <w:rFonts w:ascii="宋体" w:hAnsi="宋体"/>
                <w:bCs/>
              </w:rPr>
            </w:pPr>
            <w:r>
              <w:rPr>
                <w:rFonts w:hint="eastAsia"/>
                <w:bCs/>
              </w:rPr>
              <w:t>1</w:t>
            </w:r>
          </w:p>
        </w:tc>
      </w:tr>
      <w:tr w14:paraId="09DC61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3D52DD18">
            <w:pPr>
              <w:spacing w:line="400" w:lineRule="exact"/>
              <w:rPr>
                <w:rFonts w:ascii="宋体" w:hAnsi="宋体"/>
                <w:bCs/>
              </w:rPr>
            </w:pPr>
            <w:r>
              <w:rPr>
                <w:rFonts w:hint="eastAsia" w:ascii="宋体" w:hAnsi="宋体"/>
                <w:bCs/>
              </w:rPr>
              <w:t>□外径千分尺</w:t>
            </w:r>
          </w:p>
        </w:tc>
        <w:tc>
          <w:tcPr>
            <w:tcW w:w="3223" w:type="dxa"/>
          </w:tcPr>
          <w:p w14:paraId="7A23B487">
            <w:pPr>
              <w:spacing w:line="400" w:lineRule="exact"/>
              <w:jc w:val="center"/>
              <w:rPr>
                <w:rFonts w:ascii="宋体" w:hAnsi="宋体"/>
                <w:bCs/>
              </w:rPr>
            </w:pPr>
            <w:r>
              <w:rPr>
                <w:rFonts w:hint="eastAsia"/>
                <w:bCs/>
              </w:rPr>
              <w:t>150－175</w:t>
            </w:r>
          </w:p>
        </w:tc>
        <w:tc>
          <w:tcPr>
            <w:tcW w:w="1272" w:type="dxa"/>
          </w:tcPr>
          <w:p w14:paraId="20240626">
            <w:pPr>
              <w:spacing w:line="400" w:lineRule="exact"/>
              <w:jc w:val="center"/>
              <w:rPr>
                <w:rFonts w:ascii="宋体" w:hAnsi="宋体"/>
                <w:bCs/>
              </w:rPr>
            </w:pPr>
            <w:r>
              <w:rPr>
                <w:rFonts w:hint="eastAsia"/>
                <w:bCs/>
              </w:rPr>
              <w:t>把</w:t>
            </w:r>
          </w:p>
        </w:tc>
        <w:tc>
          <w:tcPr>
            <w:tcW w:w="728" w:type="dxa"/>
          </w:tcPr>
          <w:p w14:paraId="34DA95CA">
            <w:pPr>
              <w:spacing w:line="400" w:lineRule="exact"/>
              <w:jc w:val="center"/>
              <w:rPr>
                <w:rFonts w:ascii="宋体" w:hAnsi="宋体"/>
                <w:bCs/>
              </w:rPr>
            </w:pPr>
            <w:r>
              <w:rPr>
                <w:rFonts w:hint="eastAsia"/>
                <w:bCs/>
              </w:rPr>
              <w:t>1</w:t>
            </w:r>
          </w:p>
        </w:tc>
      </w:tr>
      <w:tr w14:paraId="69C54A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0368F67D">
            <w:pPr>
              <w:spacing w:line="400" w:lineRule="exact"/>
              <w:rPr>
                <w:rFonts w:ascii="宋体" w:hAnsi="宋体"/>
                <w:bCs/>
              </w:rPr>
            </w:pPr>
            <w:r>
              <w:rPr>
                <w:rFonts w:hint="eastAsia" w:ascii="宋体" w:hAnsi="宋体"/>
                <w:bCs/>
              </w:rPr>
              <w:t>□外径千分尺</w:t>
            </w:r>
          </w:p>
        </w:tc>
        <w:tc>
          <w:tcPr>
            <w:tcW w:w="3223" w:type="dxa"/>
          </w:tcPr>
          <w:p w14:paraId="4D9B53C6">
            <w:pPr>
              <w:spacing w:line="400" w:lineRule="exact"/>
              <w:jc w:val="center"/>
              <w:rPr>
                <w:rFonts w:ascii="宋体" w:hAnsi="宋体"/>
                <w:bCs/>
              </w:rPr>
            </w:pPr>
            <w:r>
              <w:rPr>
                <w:rFonts w:hint="eastAsia"/>
                <w:bCs/>
              </w:rPr>
              <w:t>50－75</w:t>
            </w:r>
          </w:p>
        </w:tc>
        <w:tc>
          <w:tcPr>
            <w:tcW w:w="1272" w:type="dxa"/>
          </w:tcPr>
          <w:p w14:paraId="2C9BB955">
            <w:pPr>
              <w:spacing w:line="400" w:lineRule="exact"/>
              <w:jc w:val="center"/>
              <w:rPr>
                <w:rFonts w:ascii="宋体" w:hAnsi="宋体"/>
                <w:bCs/>
              </w:rPr>
            </w:pPr>
            <w:r>
              <w:rPr>
                <w:rFonts w:hint="eastAsia"/>
                <w:bCs/>
              </w:rPr>
              <w:t>把</w:t>
            </w:r>
          </w:p>
        </w:tc>
        <w:tc>
          <w:tcPr>
            <w:tcW w:w="728" w:type="dxa"/>
          </w:tcPr>
          <w:p w14:paraId="66C49BD6">
            <w:pPr>
              <w:spacing w:line="400" w:lineRule="exact"/>
              <w:jc w:val="center"/>
              <w:rPr>
                <w:rFonts w:ascii="宋体" w:hAnsi="宋体"/>
                <w:bCs/>
              </w:rPr>
            </w:pPr>
            <w:r>
              <w:rPr>
                <w:rFonts w:hint="eastAsia"/>
                <w:bCs/>
              </w:rPr>
              <w:t>1</w:t>
            </w:r>
          </w:p>
        </w:tc>
      </w:tr>
      <w:tr w14:paraId="296E9E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2197" w:type="dxa"/>
          </w:tcPr>
          <w:p w14:paraId="66DEB668">
            <w:pPr>
              <w:spacing w:line="400" w:lineRule="exact"/>
              <w:rPr>
                <w:rFonts w:ascii="宋体" w:hAnsi="宋体"/>
                <w:bCs/>
              </w:rPr>
            </w:pPr>
            <w:r>
              <w:rPr>
                <w:rFonts w:hint="eastAsia" w:ascii="宋体" w:hAnsi="宋体"/>
                <w:bCs/>
              </w:rPr>
              <w:t xml:space="preserve">□ </w:t>
            </w:r>
            <w:r>
              <w:rPr>
                <w:rFonts w:hint="eastAsia"/>
                <w:bCs/>
              </w:rPr>
              <w:t>V型铁</w:t>
            </w:r>
          </w:p>
        </w:tc>
        <w:tc>
          <w:tcPr>
            <w:tcW w:w="3223" w:type="dxa"/>
          </w:tcPr>
          <w:p w14:paraId="162EE49C">
            <w:pPr>
              <w:spacing w:line="400" w:lineRule="exact"/>
              <w:jc w:val="center"/>
              <w:rPr>
                <w:rFonts w:ascii="宋体" w:hAnsi="宋体"/>
                <w:bCs/>
              </w:rPr>
            </w:pPr>
            <w:r>
              <w:rPr>
                <w:rFonts w:hint="eastAsia"/>
                <w:bCs/>
              </w:rPr>
              <w:t>100×80×30  0级</w:t>
            </w:r>
          </w:p>
        </w:tc>
        <w:tc>
          <w:tcPr>
            <w:tcW w:w="1272" w:type="dxa"/>
          </w:tcPr>
          <w:p w14:paraId="6D9A6870">
            <w:pPr>
              <w:spacing w:line="400" w:lineRule="exact"/>
              <w:jc w:val="center"/>
              <w:rPr>
                <w:rFonts w:ascii="宋体" w:hAnsi="宋体"/>
                <w:bCs/>
              </w:rPr>
            </w:pPr>
            <w:r>
              <w:rPr>
                <w:rFonts w:hint="eastAsia"/>
                <w:bCs/>
              </w:rPr>
              <w:t>只</w:t>
            </w:r>
          </w:p>
        </w:tc>
        <w:tc>
          <w:tcPr>
            <w:tcW w:w="728" w:type="dxa"/>
          </w:tcPr>
          <w:p w14:paraId="59C514FA">
            <w:pPr>
              <w:spacing w:line="400" w:lineRule="exact"/>
              <w:jc w:val="center"/>
              <w:rPr>
                <w:rFonts w:ascii="宋体" w:hAnsi="宋体"/>
                <w:bCs/>
              </w:rPr>
            </w:pPr>
            <w:r>
              <w:rPr>
                <w:rFonts w:hint="eastAsia"/>
                <w:bCs/>
              </w:rPr>
              <w:t>1</w:t>
            </w:r>
          </w:p>
        </w:tc>
      </w:tr>
    </w:tbl>
    <w:p w14:paraId="4EFF0758">
      <w:pPr>
        <w:pStyle w:val="26"/>
        <w:adjustRightInd w:val="0"/>
        <w:snapToGrid w:val="0"/>
        <w:spacing w:before="0" w:after="0" w:line="360" w:lineRule="auto"/>
        <w:ind w:firstLine="480" w:firstLineChars="200"/>
        <w:jc w:val="left"/>
        <w:rPr>
          <w:b w:val="0"/>
          <w:sz w:val="24"/>
        </w:rPr>
      </w:pPr>
    </w:p>
    <w:p w14:paraId="5DA79280">
      <w:pPr>
        <w:pStyle w:val="26"/>
        <w:adjustRightInd w:val="0"/>
        <w:snapToGrid w:val="0"/>
        <w:spacing w:before="0" w:after="0" w:line="360" w:lineRule="auto"/>
        <w:ind w:firstLine="480" w:firstLineChars="200"/>
        <w:jc w:val="left"/>
        <w:rPr>
          <w:rFonts w:asciiTheme="minorEastAsia" w:hAnsiTheme="minorEastAsia" w:eastAsiaTheme="minorEastAsia"/>
          <w:b w:val="0"/>
          <w:sz w:val="24"/>
        </w:rPr>
      </w:pPr>
      <w:r>
        <w:rPr>
          <w:rFonts w:hint="eastAsia" w:asciiTheme="minorEastAsia" w:hAnsiTheme="minorEastAsia" w:eastAsiaTheme="minorEastAsia"/>
          <w:b w:val="0"/>
          <w:sz w:val="24"/>
        </w:rPr>
        <w:t>施工用工器具（除设备专用工具由</w:t>
      </w:r>
      <w:r>
        <w:rPr>
          <w:rFonts w:hint="eastAsia" w:asciiTheme="minorEastAsia" w:hAnsiTheme="minorEastAsia" w:eastAsiaTheme="minorEastAsia"/>
          <w:b w:val="0"/>
          <w:sz w:val="24"/>
          <w:lang w:val="en-US" w:eastAsia="zh-CN"/>
        </w:rPr>
        <w:t>招</w:t>
      </w:r>
      <w:r>
        <w:rPr>
          <w:rFonts w:hint="eastAsia" w:asciiTheme="minorEastAsia" w:hAnsiTheme="minorEastAsia" w:eastAsiaTheme="minorEastAsia"/>
          <w:b w:val="0"/>
          <w:sz w:val="24"/>
        </w:rPr>
        <w:t>标方提供），所需用消耗性材料，消耗性材料清单如下（</w:t>
      </w:r>
      <w:r>
        <w:rPr>
          <w:rFonts w:hint="eastAsia" w:asciiTheme="minorEastAsia" w:hAnsiTheme="minorEastAsia" w:eastAsiaTheme="minorEastAsia"/>
          <w:b w:val="0"/>
          <w:sz w:val="24"/>
          <w:lang w:val="en-US" w:eastAsia="zh-CN"/>
        </w:rPr>
        <w:t>包括</w:t>
      </w:r>
      <w:r>
        <w:rPr>
          <w:rFonts w:hint="eastAsia" w:asciiTheme="minorEastAsia" w:hAnsiTheme="minorEastAsia" w:eastAsiaTheme="minorEastAsia"/>
          <w:b w:val="0"/>
          <w:sz w:val="24"/>
        </w:rPr>
        <w:t>但不限于此）：</w:t>
      </w:r>
    </w:p>
    <w:p w14:paraId="0DEC64C3">
      <w:pPr>
        <w:pStyle w:val="26"/>
        <w:adjustRightInd w:val="0"/>
        <w:snapToGrid w:val="0"/>
        <w:spacing w:before="0" w:after="0" w:line="360" w:lineRule="auto"/>
        <w:jc w:val="left"/>
        <w:rPr>
          <w:rFonts w:asciiTheme="minorEastAsia" w:hAnsiTheme="minorEastAsia" w:eastAsiaTheme="minorEastAsia"/>
          <w:b w:val="0"/>
          <w:sz w:val="24"/>
        </w:rPr>
      </w:pPr>
      <w:r>
        <w:rPr>
          <w:rFonts w:hint="eastAsia" w:asciiTheme="minorEastAsia" w:hAnsiTheme="minorEastAsia" w:eastAsiaTheme="minorEastAsia"/>
          <w:b w:val="0"/>
          <w:sz w:val="24"/>
        </w:rPr>
        <w:t>1</w:t>
      </w:r>
      <w:r>
        <w:rPr>
          <w:rFonts w:asciiTheme="minorEastAsia" w:hAnsiTheme="minorEastAsia" w:eastAsiaTheme="minorEastAsia"/>
          <w:b w:val="0"/>
          <w:sz w:val="24"/>
        </w:rPr>
        <w:t>)</w:t>
      </w:r>
      <w:r>
        <w:rPr>
          <w:rFonts w:hint="eastAsia" w:asciiTheme="minorEastAsia" w:hAnsiTheme="minorEastAsia" w:eastAsiaTheme="minorEastAsia"/>
          <w:b w:val="0"/>
          <w:sz w:val="24"/>
        </w:rPr>
        <w:t>电器类：锁具、100W以下普通灯泡灯管及检修用照明、灯具，检修用的电线、保险丝、电炉丝、电源插头、电源插座、线轴等；</w:t>
      </w:r>
    </w:p>
    <w:p w14:paraId="162DF4D2">
      <w:pPr>
        <w:pStyle w:val="26"/>
        <w:adjustRightInd w:val="0"/>
        <w:snapToGrid w:val="0"/>
        <w:spacing w:before="0" w:after="0" w:line="360" w:lineRule="auto"/>
        <w:jc w:val="left"/>
        <w:rPr>
          <w:rFonts w:asciiTheme="minorEastAsia" w:hAnsiTheme="minorEastAsia" w:eastAsiaTheme="minorEastAsia"/>
          <w:b w:val="0"/>
          <w:sz w:val="24"/>
        </w:rPr>
      </w:pPr>
      <w:r>
        <w:rPr>
          <w:rFonts w:hint="eastAsia" w:asciiTheme="minorEastAsia" w:hAnsiTheme="minorEastAsia" w:eastAsiaTheme="minorEastAsia"/>
          <w:b w:val="0"/>
          <w:sz w:val="24"/>
        </w:rPr>
        <w:t>2</w:t>
      </w:r>
      <w:r>
        <w:rPr>
          <w:rFonts w:asciiTheme="minorEastAsia" w:hAnsiTheme="minorEastAsia" w:eastAsiaTheme="minorEastAsia"/>
          <w:b w:val="0"/>
          <w:sz w:val="24"/>
        </w:rPr>
        <w:t>)</w:t>
      </w:r>
      <w:r>
        <w:rPr>
          <w:rFonts w:hint="eastAsia" w:asciiTheme="minorEastAsia" w:hAnsiTheme="minorEastAsia" w:eastAsiaTheme="minorEastAsia"/>
          <w:b w:val="0"/>
          <w:sz w:val="24"/>
        </w:rPr>
        <w:t>研磨类：砂轮片、角向磨片、切割机专用片；各类砂布、各类砂纸；</w:t>
      </w:r>
    </w:p>
    <w:p w14:paraId="50ED8431">
      <w:pPr>
        <w:pStyle w:val="26"/>
        <w:adjustRightInd w:val="0"/>
        <w:snapToGrid w:val="0"/>
        <w:spacing w:before="0" w:after="0" w:line="360" w:lineRule="auto"/>
        <w:jc w:val="left"/>
        <w:rPr>
          <w:rFonts w:asciiTheme="minorEastAsia" w:hAnsiTheme="minorEastAsia" w:eastAsiaTheme="minorEastAsia"/>
          <w:b w:val="0"/>
          <w:sz w:val="24"/>
        </w:rPr>
      </w:pPr>
      <w:r>
        <w:rPr>
          <w:rFonts w:hint="eastAsia" w:asciiTheme="minorEastAsia" w:hAnsiTheme="minorEastAsia" w:eastAsiaTheme="minorEastAsia"/>
          <w:b w:val="0"/>
          <w:sz w:val="24"/>
        </w:rPr>
        <w:t>3</w:t>
      </w:r>
      <w:r>
        <w:rPr>
          <w:rFonts w:asciiTheme="minorEastAsia" w:hAnsiTheme="minorEastAsia" w:eastAsiaTheme="minorEastAsia"/>
          <w:b w:val="0"/>
          <w:sz w:val="24"/>
        </w:rPr>
        <w:t>)</w:t>
      </w:r>
      <w:r>
        <w:rPr>
          <w:rFonts w:hint="eastAsia" w:asciiTheme="minorEastAsia" w:hAnsiTheme="minorEastAsia" w:eastAsiaTheme="minorEastAsia"/>
          <w:b w:val="0"/>
          <w:sz w:val="24"/>
        </w:rPr>
        <w:t>绳索类：麻绳、尼龙绳、钢丝绳、手拉葫芦等；</w:t>
      </w:r>
    </w:p>
    <w:p w14:paraId="195EABA9">
      <w:pPr>
        <w:pStyle w:val="26"/>
        <w:adjustRightInd w:val="0"/>
        <w:snapToGrid w:val="0"/>
        <w:spacing w:before="0" w:after="0" w:line="360" w:lineRule="auto"/>
        <w:jc w:val="left"/>
        <w:rPr>
          <w:rFonts w:asciiTheme="minorEastAsia" w:hAnsiTheme="minorEastAsia" w:eastAsiaTheme="minorEastAsia"/>
          <w:b w:val="0"/>
          <w:sz w:val="24"/>
        </w:rPr>
      </w:pPr>
      <w:r>
        <w:rPr>
          <w:rFonts w:hint="eastAsia" w:asciiTheme="minorEastAsia" w:hAnsiTheme="minorEastAsia" w:eastAsiaTheme="minorEastAsia"/>
          <w:b w:val="0"/>
          <w:sz w:val="24"/>
        </w:rPr>
        <w:t>4</w:t>
      </w:r>
      <w:r>
        <w:rPr>
          <w:rFonts w:asciiTheme="minorEastAsia" w:hAnsiTheme="minorEastAsia" w:eastAsiaTheme="minorEastAsia"/>
          <w:b w:val="0"/>
          <w:sz w:val="24"/>
        </w:rPr>
        <w:t>)</w:t>
      </w:r>
      <w:r>
        <w:rPr>
          <w:rFonts w:hint="eastAsia" w:asciiTheme="minorEastAsia" w:hAnsiTheme="minorEastAsia" w:eastAsiaTheme="minorEastAsia"/>
          <w:b w:val="0"/>
          <w:sz w:val="24"/>
        </w:rPr>
        <w:t>消耗品：镀锌铁丝、胶布、白布、白布带、毛刷、钢丝刷、绝缘带、防水胶带、玻璃丝带、黄蜡带、生料带、扎带、热缩管、线鼻子、绑线、塑料布、记号笔、电池、以及未提到的低值易耗品等；</w:t>
      </w:r>
    </w:p>
    <w:p w14:paraId="37C318F3">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Theme="minorEastAsia" w:hAnsiTheme="minorEastAsia" w:eastAsiaTheme="minorEastAsia"/>
          <w:b w:val="0"/>
          <w:sz w:val="24"/>
        </w:rPr>
      </w:pPr>
      <w:r>
        <w:rPr>
          <w:rFonts w:hint="eastAsia" w:asciiTheme="minorEastAsia" w:hAnsiTheme="minorEastAsia" w:eastAsiaTheme="minorEastAsia"/>
          <w:b w:val="0"/>
          <w:sz w:val="24"/>
        </w:rPr>
        <w:t>5</w:t>
      </w:r>
      <w:r>
        <w:rPr>
          <w:rFonts w:asciiTheme="minorEastAsia" w:hAnsiTheme="minorEastAsia" w:eastAsiaTheme="minorEastAsia"/>
          <w:b w:val="0"/>
          <w:sz w:val="24"/>
        </w:rPr>
        <w:t>)</w:t>
      </w:r>
      <w:r>
        <w:rPr>
          <w:rFonts w:hint="eastAsia" w:asciiTheme="minorEastAsia" w:hAnsiTheme="minorEastAsia" w:eastAsiaTheme="minorEastAsia"/>
          <w:b w:val="0"/>
          <w:sz w:val="24"/>
        </w:rPr>
        <w:t>消耗性工具：铁锹、錾子、样冲</w:t>
      </w:r>
      <w:r>
        <w:rPr>
          <w:rFonts w:hint="eastAsia" w:asciiTheme="minorEastAsia" w:hAnsiTheme="minorEastAsia" w:eastAsiaTheme="minorEastAsia"/>
          <w:b w:val="0"/>
          <w:sz w:val="24"/>
          <w:lang w:eastAsia="zh-CN"/>
        </w:rPr>
        <w:t>，</w:t>
      </w:r>
      <w:r>
        <w:rPr>
          <w:rFonts w:hint="eastAsia" w:asciiTheme="minorEastAsia" w:hAnsiTheme="minorEastAsia" w:eastAsiaTheme="minorEastAsia"/>
          <w:b w:val="0"/>
          <w:sz w:val="24"/>
        </w:rPr>
        <w:t>棉纱、擦机布、现场卫生清扫工具等；</w:t>
      </w:r>
    </w:p>
    <w:p w14:paraId="603A27EB">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w:t>
      </w:r>
      <w:r>
        <w:rPr>
          <w:rFonts w:hint="eastAsia" w:hAnsi="宋体" w:cs="宋体"/>
          <w:sz w:val="24"/>
          <w:szCs w:val="24"/>
          <w:highlight w:val="none"/>
        </w:rPr>
        <w:t>安健环及文明施工、危险源（环境因素）控制要求</w:t>
      </w:r>
      <w:bookmarkEnd w:id="26"/>
    </w:p>
    <w:p w14:paraId="4DC0E1F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贯彻“谁施工、谁负责安全”的管理原则。</w:t>
      </w:r>
    </w:p>
    <w:p w14:paraId="424FF19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10.2 </w:t>
      </w:r>
      <w:r>
        <w:rPr>
          <w:rFonts w:hint="eastAsia" w:ascii="宋体" w:hAnsi="宋体" w:eastAsia="宋体" w:cs="宋体"/>
          <w:sz w:val="24"/>
          <w:szCs w:val="24"/>
          <w:highlight w:val="none"/>
        </w:rPr>
        <w:t>所有作业人员必须经过安全培训方可上岗，作业时必须严格按照相关要求穿戴劳保用品；</w:t>
      </w:r>
    </w:p>
    <w:p w14:paraId="3749CE0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10.3 </w:t>
      </w:r>
      <w:r>
        <w:rPr>
          <w:rFonts w:hint="eastAsia" w:ascii="宋体" w:hAnsi="宋体" w:eastAsia="宋体" w:cs="宋体"/>
          <w:sz w:val="24"/>
          <w:szCs w:val="24"/>
          <w:highlight w:val="none"/>
        </w:rPr>
        <w:t>涉及到高风险作业时，必须由</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及</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双方共同监护的情况下方可作业；</w:t>
      </w:r>
    </w:p>
    <w:p w14:paraId="3991B4A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10.4 </w:t>
      </w:r>
      <w:r>
        <w:rPr>
          <w:rFonts w:hint="eastAsia" w:ascii="宋体" w:hAnsi="宋体" w:eastAsia="宋体" w:cs="宋体"/>
          <w:sz w:val="24"/>
          <w:szCs w:val="24"/>
          <w:highlight w:val="none"/>
        </w:rPr>
        <w:t>投标方的工作人员必须严格遵守招标方的管理要求，严格按安全规程文明施工，服从招标方生产调度，接受招标方文明生产考核。投标方必须有安全员，制定与本</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通行</w:t>
      </w:r>
      <w:r>
        <w:rPr>
          <w:rFonts w:hint="eastAsia" w:ascii="宋体" w:hAnsi="宋体" w:eastAsia="宋体" w:cs="宋体"/>
          <w:sz w:val="24"/>
          <w:szCs w:val="24"/>
          <w:highlight w:val="none"/>
        </w:rPr>
        <w:t>。作业人员在作业区域内必须遵守招标方安全管理的有关规定和制度，佩好胸卡，戴好安全帽等个人安全器具，不准进入与作业无关的区域，并随时接受招标方的项目负责人的工作指导和安监人员现场的安全监督。</w:t>
      </w:r>
    </w:p>
    <w:p w14:paraId="7C82EDF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10.5 </w:t>
      </w:r>
      <w:r>
        <w:rPr>
          <w:rFonts w:hint="eastAsia" w:ascii="宋体" w:hAnsi="宋体" w:eastAsia="宋体" w:cs="宋体"/>
          <w:sz w:val="24"/>
          <w:szCs w:val="24"/>
          <w:highlight w:val="none"/>
        </w:rPr>
        <w:t>投标方</w:t>
      </w:r>
      <w:r>
        <w:rPr>
          <w:rFonts w:hint="eastAsia" w:ascii="宋体" w:hAnsi="宋体" w:eastAsia="宋体" w:cs="宋体"/>
          <w:sz w:val="24"/>
          <w:szCs w:val="24"/>
          <w:highlight w:val="none"/>
          <w:lang w:eastAsia="zh-CN"/>
        </w:rPr>
        <w:t>项目负责人</w:t>
      </w:r>
      <w:r>
        <w:rPr>
          <w:rFonts w:hint="eastAsia" w:ascii="宋体" w:hAnsi="宋体" w:eastAsia="宋体" w:cs="宋体"/>
          <w:sz w:val="24"/>
          <w:szCs w:val="24"/>
          <w:highlight w:val="none"/>
        </w:rPr>
        <w:t>是本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的安全工作的第一责任人，对本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工作期间所有施工项目的实施过程中涉及的安全负责，以及施工现场、施工过程中的安全负责。投标方参加施工的特种作业人员和特种设备作业人员必须具备政府主管部门（车间）颁发的有效证书或证明，提交招标方审核、备案。</w:t>
      </w:r>
    </w:p>
    <w:p w14:paraId="277945F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10.6 投标方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招标方安全环保部备案，凡增补或调换人员，更换工种，必须及时进行安全教育和考试，考试成绩报招标方安全环保部备案。未接受安全教育和安全考试不合格者不得进入现场施工。</w:t>
      </w:r>
    </w:p>
    <w:p w14:paraId="3328E92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10.7 投标方应接受招标方的监督、检查和指导。对于招标方查出的隐患及问题，投标方必须限期整改。当招标方认为确实有必要暂停施工，并提出要求投标方暂停施工意见后，投标方应当按招标方要求停止施工。投标方实施处理意见后，以书面形式向招标方提出复工要求。在招标方组织验收并签字同意后，投标方重新施工。对招标方违反安全生产规定、制度的要求，投标方有权拒绝执行，有权要求招标方改进。</w:t>
      </w:r>
    </w:p>
    <w:p w14:paraId="20351A1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10.8 各种安全防护设施如：遮栏、安全标志牌、警告牌、接地线、脚手架结构等不得擅自拆除、变更。如确实需要拆除、变更的，必须经招标方项目主管部门负责人和上述安全设施、标志设置单位（人员）同意，采取必要、可靠的安全措施后，方能拆除、变更现场安全防护设施。投标方因施工需要设置的安全防护设施、安全标志牌，其他人员不得擅自拆除，投方在项目完成后应及时拆除，不得无故延误。</w:t>
      </w:r>
    </w:p>
    <w:p w14:paraId="141DF26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10.9 </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已经将水、电源提供到检修区就近的地方，</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必须按照国家有关规范、安全的要求自行连接到使用地点，并负责水、电线路及装置日常维护和管理。</w:t>
      </w:r>
    </w:p>
    <w:p w14:paraId="5D5A72C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10.10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必须按国家颁布的安全规范及要求进行施工。</w:t>
      </w:r>
    </w:p>
    <w:p w14:paraId="777105B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10.11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在规定的施工场地内施工，不得随意占用厂内的主干道。施工的临时设施，各类加工场地及堆棚、用电、用水，要符合安全要求，要有管理制度。各类施工机具堆放整齐，要设有安全及文明安装的标牌。</w:t>
      </w:r>
    </w:p>
    <w:p w14:paraId="313E609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10.12 </w:t>
      </w:r>
      <w:r>
        <w:rPr>
          <w:rFonts w:hint="eastAsia" w:ascii="宋体" w:hAnsi="宋体" w:eastAsia="宋体" w:cs="宋体"/>
          <w:sz w:val="24"/>
          <w:szCs w:val="24"/>
          <w:highlight w:val="none"/>
        </w:rPr>
        <w:t>保证安装现场清洁整齐，材料分类堆码整齐，施工剩余物资、边角余料、垃圾等均由</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收集并运到</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指定地点，并不得增加任何费用。</w:t>
      </w:r>
    </w:p>
    <w:p w14:paraId="69062C2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10.13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负责施工区域的安全、保卫工作及施工照明，采取有效措施确保施工安全，杜绝重大人身伤亡及设备事故。如因</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安全措施不到位而发生责任事故，全部损失由</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承担。</w:t>
      </w:r>
    </w:p>
    <w:p w14:paraId="2F9F6B1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10.14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必须具备安装所需的各类规范、国家标准，各类有关的技术标准等技术资料，</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认为有必要时，必须无条件提供。</w:t>
      </w:r>
    </w:p>
    <w:p w14:paraId="4AEF414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10.15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必须在合同意向确认后，向</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提供开工报告、组织施工方案、安全承诺书、质量保证措施，及各项施工准备（机具和人员）。</w:t>
      </w:r>
    </w:p>
    <w:p w14:paraId="4A45BC5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10.16 项目</w:t>
      </w:r>
      <w:r>
        <w:rPr>
          <w:rFonts w:hint="eastAsia" w:ascii="宋体" w:hAnsi="宋体" w:eastAsia="宋体" w:cs="宋体"/>
          <w:sz w:val="24"/>
          <w:szCs w:val="24"/>
          <w:highlight w:val="none"/>
        </w:rPr>
        <w:t>开工后，</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要与</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单位密切配合，为施工创造条件；施工交叉作业时，要服从</w:t>
      </w:r>
      <w:r>
        <w:rPr>
          <w:rFonts w:hint="eastAsia" w:ascii="宋体" w:hAnsi="宋体" w:cs="宋体"/>
          <w:sz w:val="24"/>
          <w:szCs w:val="24"/>
          <w:highlight w:val="none"/>
          <w:lang w:eastAsia="zh-CN"/>
        </w:rPr>
        <w:t>招标方</w:t>
      </w:r>
      <w:r>
        <w:rPr>
          <w:rFonts w:hint="eastAsia" w:ascii="宋体" w:hAnsi="宋体" w:eastAsia="宋体" w:cs="宋体"/>
          <w:sz w:val="24"/>
          <w:szCs w:val="24"/>
          <w:highlight w:val="none"/>
        </w:rPr>
        <w:t>的统一协调安排。</w:t>
      </w:r>
    </w:p>
    <w:p w14:paraId="676B44D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10.17 </w:t>
      </w:r>
      <w:r>
        <w:rPr>
          <w:rFonts w:hint="eastAsia" w:ascii="宋体" w:hAnsi="宋体" w:eastAsia="宋体" w:cs="宋体"/>
          <w:sz w:val="24"/>
          <w:szCs w:val="24"/>
          <w:highlight w:val="none"/>
        </w:rPr>
        <w:t>全体施工工作人员必须严格遵守施工</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所在地的有关规定，由于违反规定而发生的一切后果由</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自负。</w:t>
      </w:r>
    </w:p>
    <w:p w14:paraId="45F2EF0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10.18 </w:t>
      </w:r>
      <w:r>
        <w:rPr>
          <w:rFonts w:hint="eastAsia" w:ascii="宋体" w:hAnsi="宋体" w:cs="宋体"/>
          <w:sz w:val="24"/>
          <w:szCs w:val="24"/>
          <w:highlight w:val="none"/>
          <w:lang w:eastAsia="zh-CN"/>
        </w:rPr>
        <w:t>投标方</w:t>
      </w:r>
      <w:r>
        <w:rPr>
          <w:rFonts w:hint="eastAsia" w:ascii="宋体" w:hAnsi="宋体" w:eastAsia="宋体" w:cs="宋体"/>
          <w:sz w:val="24"/>
          <w:szCs w:val="24"/>
          <w:highlight w:val="none"/>
        </w:rPr>
        <w:t>在容器内施工应符合安全规范，并做好上下交叉作业的安全措施。</w:t>
      </w:r>
    </w:p>
    <w:p w14:paraId="6D7AFD9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 xml:space="preserve">10.19 </w:t>
      </w:r>
      <w:r>
        <w:rPr>
          <w:rFonts w:hint="eastAsia" w:ascii="宋体" w:hAnsi="宋体" w:eastAsia="宋体" w:cs="宋体"/>
          <w:sz w:val="24"/>
          <w:szCs w:val="24"/>
          <w:highlight w:val="none"/>
          <w:lang w:val="zh-CN"/>
        </w:rPr>
        <w:t>由于招标方原因造成投标方人身或设备事故，投标方负责处理，招标方承担责任并配合处理。</w:t>
      </w:r>
    </w:p>
    <w:p w14:paraId="42DCDAD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10.20</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在检修过程中出现的被更换下来的任何废旧设备、配件和装置性材料均为招标方所有，应妥善保护并及时向招标方移交被更换下来的设备或材料。应每天对施工现场的废物、垃圾进行</w:t>
      </w:r>
      <w:r>
        <w:rPr>
          <w:rFonts w:hint="eastAsia" w:ascii="宋体" w:hAnsi="宋体" w:eastAsia="宋体" w:cs="宋体"/>
          <w:sz w:val="24"/>
          <w:szCs w:val="24"/>
          <w:highlight w:val="none"/>
          <w:lang w:val="zh-CN" w:eastAsia="zh-CN"/>
        </w:rPr>
        <w:t>一次清理，并将其集中堆放在招标方同意的地点。</w:t>
      </w:r>
    </w:p>
    <w:p w14:paraId="70DE11B5">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27" w:name="_Toc141011861"/>
      <w:bookmarkStart w:id="28" w:name="_Toc13675"/>
      <w:r>
        <w:rPr>
          <w:rFonts w:hint="eastAsia" w:ascii="宋体" w:hAnsi="宋体" w:eastAsia="宋体" w:cs="宋体"/>
          <w:sz w:val="24"/>
          <w:szCs w:val="24"/>
          <w:highlight w:val="none"/>
          <w:lang w:val="en-US" w:eastAsia="zh-CN"/>
        </w:rPr>
        <w:t>11考核</w:t>
      </w:r>
      <w:bookmarkEnd w:id="27"/>
      <w:bookmarkEnd w:id="28"/>
    </w:p>
    <w:p w14:paraId="13B4045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29" w:name="_Toc14993"/>
      <w:bookmarkStart w:id="30" w:name="_Toc141011862"/>
      <w:r>
        <w:rPr>
          <w:rFonts w:hint="eastAsia" w:ascii="宋体" w:hAnsi="宋体" w:eastAsia="宋体" w:cs="宋体"/>
          <w:sz w:val="24"/>
          <w:szCs w:val="24"/>
          <w:highlight w:val="none"/>
          <w:lang w:val="en-US" w:eastAsia="zh-CN"/>
        </w:rPr>
        <w:t>（1）投标人人员必须服从招标人管理，组织开展检修班组班前、班后会，否则考核1000元/次。</w:t>
      </w:r>
    </w:p>
    <w:p w14:paraId="55DB8F1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（2）投标人人员必须做到精细施工，如检修质量不到位，造成返工、或隐瞒质量问题而影响设备安全平稳运行，由投标人承担100%责任考核。</w:t>
      </w:r>
    </w:p>
    <w:p w14:paraId="3D51661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1" w:name="_Toc445388475"/>
      <w:r>
        <w:rPr>
          <w:rFonts w:hint="eastAsia" w:ascii="宋体" w:hAnsi="宋体" w:eastAsia="宋体" w:cs="宋体"/>
          <w:sz w:val="24"/>
          <w:szCs w:val="24"/>
          <w:highlight w:val="none"/>
          <w:lang w:val="en-US" w:eastAsia="zh-CN"/>
        </w:rPr>
        <w:t>（3）投标人检修项目出现漏项、错项情况，扣罚1000-5000元/项，并进行警告，如拒不执行，扣罚总报价的10%。</w:t>
      </w:r>
      <w:bookmarkEnd w:id="31"/>
    </w:p>
    <w:p w14:paraId="138B6CB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 由于检修中投标人检修人员违章作业，部门（专业）被连带考核部分由施工单位100%承担。</w:t>
      </w:r>
    </w:p>
    <w:p w14:paraId="7B2A8A9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（5）投标人应积极配合招标人在检修中的标准化管理要求，若出现屡教不改、敷衍塞责等现象，招标人将按500元/每次进行考核。</w:t>
      </w:r>
    </w:p>
    <w:p w14:paraId="588D7FE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为保证现场文明施工需要，施工前，投标人应按照招标人的要求，对施工现场进行标准化设计；施工过程中，投标人应保持现场清洁；施工完毕后，投标人有义务做到工完、料净、场地清的要求；对不能满足现场文明施工要求污染环境、未定置管理的，招标人将按500元/每次进行考核。</w:t>
      </w:r>
    </w:p>
    <w:p w14:paraId="1CD0684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2" w:name="_Toc445388476"/>
      <w:r>
        <w:rPr>
          <w:rFonts w:hint="eastAsia" w:ascii="宋体" w:hAnsi="宋体" w:eastAsia="宋体" w:cs="宋体"/>
          <w:sz w:val="24"/>
          <w:szCs w:val="24"/>
          <w:highlight w:val="none"/>
          <w:lang w:val="en-US" w:eastAsia="zh-CN"/>
        </w:rPr>
        <w:t>（7）检修质量考核：</w:t>
      </w:r>
      <w:bookmarkEnd w:id="32"/>
    </w:p>
    <w:p w14:paraId="4FFC423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3" w:name="_Toc445388477"/>
      <w:r>
        <w:rPr>
          <w:rFonts w:hint="eastAsia" w:ascii="宋体" w:hAnsi="宋体" w:eastAsia="宋体" w:cs="宋体"/>
          <w:sz w:val="24"/>
          <w:szCs w:val="24"/>
          <w:highlight w:val="none"/>
          <w:lang w:val="en-US" w:eastAsia="zh-CN"/>
        </w:rPr>
        <w:t>1）为了提高检修质量，防止出现因为工作不认真而出现的错误，如零部件装反等情况，对该类错误将进行特别考核，每出现一处考核投标人1000元。</w:t>
      </w:r>
      <w:bookmarkEnd w:id="33"/>
    </w:p>
    <w:p w14:paraId="0492C26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4" w:name="_Toc445388478"/>
      <w:r>
        <w:rPr>
          <w:rFonts w:hint="eastAsia" w:ascii="宋体" w:hAnsi="宋体" w:eastAsia="宋体" w:cs="宋体"/>
          <w:sz w:val="24"/>
          <w:szCs w:val="24"/>
          <w:highlight w:val="none"/>
          <w:lang w:val="en-US" w:eastAsia="zh-CN"/>
        </w:rPr>
        <w:t>2）磨煤机投运后100天内，检修过的管道、阀门出现内或外漏，泄漏严重的扣罚1000元/处。</w:t>
      </w:r>
      <w:bookmarkEnd w:id="34"/>
    </w:p>
    <w:p w14:paraId="3E85968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5" w:name="_Toc445388479"/>
      <w:r>
        <w:rPr>
          <w:rFonts w:hint="eastAsia" w:ascii="宋体" w:hAnsi="宋体" w:eastAsia="宋体" w:cs="宋体"/>
          <w:sz w:val="24"/>
          <w:szCs w:val="24"/>
          <w:highlight w:val="none"/>
          <w:lang w:val="en-US" w:eastAsia="zh-CN"/>
        </w:rPr>
        <w:t>3）磨煤机投运后100天内，投标人检修过的磨煤机不发生影响机组运行或带负荷能力的故障，否则每次扣合同款的5%。</w:t>
      </w:r>
      <w:bookmarkEnd w:id="35"/>
    </w:p>
    <w:p w14:paraId="7D18C37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（8）其它惩罚条款</w:t>
      </w:r>
    </w:p>
    <w:p w14:paraId="177E38D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6" w:name="_Toc445388480"/>
      <w:r>
        <w:rPr>
          <w:rFonts w:hint="eastAsia" w:ascii="宋体" w:hAnsi="宋体" w:eastAsia="宋体" w:cs="宋体"/>
          <w:sz w:val="24"/>
          <w:szCs w:val="24"/>
          <w:highlight w:val="none"/>
          <w:lang w:val="en-US" w:eastAsia="zh-CN"/>
        </w:rPr>
        <w:t>1）因检修质量不过关，造成设备返工检修超过两次，或影响试运进度的，按投标人投标时该项报价的50%扣罚。</w:t>
      </w:r>
      <w:bookmarkEnd w:id="36"/>
    </w:p>
    <w:p w14:paraId="7B97AAD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7" w:name="_Toc445388481"/>
      <w:r>
        <w:rPr>
          <w:rFonts w:hint="eastAsia" w:ascii="宋体" w:hAnsi="宋体" w:eastAsia="宋体" w:cs="宋体"/>
          <w:sz w:val="24"/>
          <w:szCs w:val="24"/>
          <w:highlight w:val="none"/>
          <w:lang w:val="en-US" w:eastAsia="zh-CN"/>
        </w:rPr>
        <w:t>2）投标人在检修过程中应严格执行招标人的技术、安全要求，对招标人提出的整改措施拒不执行的，每发生一次扣罚投标人1000元。</w:t>
      </w:r>
      <w:bookmarkEnd w:id="37"/>
    </w:p>
    <w:p w14:paraId="7A73542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8" w:name="_Toc445388482"/>
      <w:r>
        <w:rPr>
          <w:rFonts w:hint="eastAsia" w:ascii="宋体" w:hAnsi="宋体" w:eastAsia="宋体" w:cs="宋体"/>
          <w:sz w:val="24"/>
          <w:szCs w:val="24"/>
          <w:highlight w:val="none"/>
          <w:lang w:val="en-US" w:eastAsia="zh-CN"/>
        </w:rPr>
        <w:t>3）停工待检项目未经招标人专工验收而自行进行下道工序的，每发现一次扣罚投标人1000元。</w:t>
      </w:r>
      <w:bookmarkEnd w:id="38"/>
    </w:p>
    <w:p w14:paraId="368C425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9" w:name="_Toc445388483"/>
      <w:r>
        <w:rPr>
          <w:rFonts w:hint="eastAsia" w:ascii="宋体" w:hAnsi="宋体" w:eastAsia="宋体" w:cs="宋体"/>
          <w:sz w:val="24"/>
          <w:szCs w:val="24"/>
          <w:highlight w:val="none"/>
          <w:lang w:val="en-US" w:eastAsia="zh-CN"/>
        </w:rPr>
        <w:t>4）投标人在确认质检点达到要求而通知招标人专工到场验收时，若被发现有检修质量不合格的地方，每发现一处扣罚投标人1000元。</w:t>
      </w:r>
      <w:bookmarkEnd w:id="39"/>
    </w:p>
    <w:p w14:paraId="556755B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40" w:name="_Toc445388484"/>
      <w:r>
        <w:rPr>
          <w:rFonts w:hint="eastAsia" w:ascii="宋体" w:hAnsi="宋体" w:eastAsia="宋体" w:cs="宋体"/>
          <w:sz w:val="24"/>
          <w:szCs w:val="24"/>
          <w:highlight w:val="none"/>
          <w:lang w:val="en-US" w:eastAsia="zh-CN"/>
        </w:rPr>
        <w:t>5）投标人在检修过程中，如发生人员或设备的不安全事件，应如实迅速向招标人反馈，若有隐瞒不报情形，每发现一次扣罚投标人1000元，情节严重的按投标人相关规定从重处理。</w:t>
      </w:r>
      <w:bookmarkEnd w:id="40"/>
    </w:p>
    <w:p w14:paraId="3167820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41" w:name="_Toc445388485"/>
      <w:r>
        <w:rPr>
          <w:rFonts w:hint="eastAsia" w:ascii="宋体" w:hAnsi="宋体" w:eastAsia="宋体" w:cs="宋体"/>
          <w:sz w:val="24"/>
          <w:szCs w:val="24"/>
          <w:highlight w:val="none"/>
          <w:lang w:val="en-US" w:eastAsia="zh-CN"/>
        </w:rPr>
        <w:t>6）投标人在检修过程中，不得隐瞒所发现的设备缺陷及隐患，否则每发现一处扣罚投标人2000元。</w:t>
      </w:r>
      <w:bookmarkEnd w:id="41"/>
    </w:p>
    <w:p w14:paraId="175D468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42" w:name="_Toc445388486"/>
      <w:r>
        <w:rPr>
          <w:rFonts w:hint="eastAsia" w:ascii="宋体" w:hAnsi="宋体" w:eastAsia="宋体" w:cs="宋体"/>
          <w:sz w:val="24"/>
          <w:szCs w:val="24"/>
          <w:highlight w:val="none"/>
          <w:lang w:val="en-US" w:eastAsia="zh-CN"/>
        </w:rPr>
        <w:t>7）投标人在检修过程中，不得破坏设备的保温、油漆及其它相关设施，否则每发现一处扣罚投标人1000元，并另外按原价赔偿。</w:t>
      </w:r>
      <w:bookmarkEnd w:id="42"/>
    </w:p>
    <w:p w14:paraId="2E1D7AD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43" w:name="_Toc445388487"/>
      <w:r>
        <w:rPr>
          <w:rFonts w:hint="eastAsia" w:ascii="宋体" w:hAnsi="宋体" w:eastAsia="宋体" w:cs="宋体"/>
          <w:sz w:val="24"/>
          <w:szCs w:val="24"/>
          <w:highlight w:val="none"/>
          <w:lang w:val="en-US" w:eastAsia="zh-CN"/>
        </w:rPr>
        <w:t>8）检修后若投标人未按要求恢复现场设备及装置的原状，或遗留工器具、废料等在设备内部的，每发现一处扣罚投标人1000元。</w:t>
      </w:r>
      <w:bookmarkEnd w:id="43"/>
    </w:p>
    <w:p w14:paraId="6322383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44" w:name="_Toc445388488"/>
      <w:r>
        <w:rPr>
          <w:rFonts w:hint="eastAsia" w:ascii="宋体" w:hAnsi="宋体" w:eastAsia="宋体" w:cs="宋体"/>
          <w:sz w:val="24"/>
          <w:szCs w:val="24"/>
          <w:highlight w:val="none"/>
          <w:lang w:val="en-US" w:eastAsia="zh-CN"/>
        </w:rPr>
        <w:t>9）检修要做到“工完料尽场地清”，所有磨煤机检修工作完毕后，需要对磨煤机整体进行一次清扫，如发现清扫不彻底、有浮灰、积油等现象，考核500元/处。</w:t>
      </w:r>
      <w:bookmarkEnd w:id="44"/>
    </w:p>
    <w:p w14:paraId="0FFFD81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45" w:name="_Toc445388489"/>
      <w:r>
        <w:rPr>
          <w:rFonts w:hint="eastAsia" w:ascii="宋体" w:hAnsi="宋体" w:eastAsia="宋体" w:cs="宋体"/>
          <w:sz w:val="24"/>
          <w:szCs w:val="24"/>
          <w:highlight w:val="none"/>
          <w:lang w:val="en-US" w:eastAsia="zh-CN"/>
        </w:rPr>
        <w:t>10）参与本次检修工程的投标人项目经理及现场检修人员必须由投标人公司本部派出，如发现本项目投标人项目经理及现场检修人员为与投标文件不一致，一经发现按500元/人/天进行考核，并从合同款中扣除。</w:t>
      </w:r>
      <w:bookmarkEnd w:id="45"/>
    </w:p>
    <w:p w14:paraId="1177291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46" w:name="_Toc445388490"/>
      <w:r>
        <w:rPr>
          <w:rFonts w:hint="eastAsia" w:ascii="宋体" w:hAnsi="宋体" w:eastAsia="宋体" w:cs="宋体"/>
          <w:sz w:val="24"/>
          <w:szCs w:val="24"/>
          <w:highlight w:val="none"/>
          <w:lang w:val="en-US" w:eastAsia="zh-CN"/>
        </w:rPr>
        <w:t>11）因检修质量原因造成机组启动后质保期内进行临检的，则扣合同款的5%；如投标人不履行保修义务，招标人有权另外委托其他检修队伍，费用由投标人负责。</w:t>
      </w:r>
      <w:bookmarkEnd w:id="46"/>
    </w:p>
    <w:p w14:paraId="049EF17B">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 附则</w:t>
      </w:r>
      <w:bookmarkEnd w:id="29"/>
    </w:p>
    <w:p w14:paraId="67A23B86">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sz w:val="24"/>
          <w:szCs w:val="24"/>
          <w:highlight w:val="none"/>
          <w:lang w:val="en-US" w:eastAsia="zh-CN"/>
        </w:rPr>
      </w:pPr>
      <w:bookmarkStart w:id="47" w:name="_Toc4385"/>
      <w:r>
        <w:rPr>
          <w:rFonts w:hint="eastAsia" w:ascii="宋体" w:hAnsi="宋体" w:eastAsia="宋体" w:cs="宋体"/>
          <w:b w:val="0"/>
          <w:bCs/>
          <w:sz w:val="24"/>
          <w:szCs w:val="24"/>
          <w:highlight w:val="none"/>
          <w:lang w:val="en-US" w:eastAsia="zh-CN"/>
        </w:rPr>
        <w:t>12.1 本办法是合同协议书的附件，作为合同的构成部分。附件中的维护质量与可靠性、维护作业安全考核项目中的相关工作，虽经（或未经）招标方管理人员的验收，均不能免除投标方的相关责任。</w:t>
      </w:r>
      <w:bookmarkEnd w:id="47"/>
    </w:p>
    <w:p w14:paraId="1CCCD930">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sz w:val="24"/>
          <w:szCs w:val="24"/>
          <w:highlight w:val="none"/>
          <w:lang w:val="en-US" w:eastAsia="zh-CN"/>
        </w:rPr>
      </w:pPr>
      <w:bookmarkStart w:id="48" w:name="_Toc25575"/>
      <w:r>
        <w:rPr>
          <w:rFonts w:hint="eastAsia" w:ascii="宋体" w:hAnsi="宋体" w:eastAsia="宋体" w:cs="宋体"/>
          <w:b w:val="0"/>
          <w:bCs/>
          <w:sz w:val="24"/>
          <w:szCs w:val="24"/>
          <w:highlight w:val="none"/>
          <w:lang w:val="en-US" w:eastAsia="zh-CN"/>
        </w:rPr>
        <w:t>12.2 投标方应在投标之前就本办法的内容进行研究并考虑相关风险，在招标澄清时提请解释或提出相关的协商意见。一旦投标，将被认为已熟悉了本办法并双方同意，在执行时有关条款的度量权为招标方。</w:t>
      </w:r>
      <w:bookmarkEnd w:id="48"/>
    </w:p>
    <w:p w14:paraId="07299472">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49" w:name="_Toc26468"/>
      <w:r>
        <w:rPr>
          <w:rFonts w:hint="eastAsia" w:ascii="宋体" w:hAnsi="宋体" w:eastAsia="宋体" w:cs="宋体"/>
          <w:sz w:val="24"/>
          <w:szCs w:val="24"/>
          <w:highlight w:val="none"/>
          <w:lang w:val="en-US" w:eastAsia="zh-CN"/>
        </w:rPr>
        <w:t>13附录附表</w:t>
      </w:r>
      <w:bookmarkEnd w:id="30"/>
      <w:bookmarkEnd w:id="49"/>
    </w:p>
    <w:p w14:paraId="30930D4A">
      <w:pPr>
        <w:snapToGrid w:val="0"/>
        <w:spacing w:line="360" w:lineRule="auto"/>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附录A  差异表</w:t>
      </w:r>
    </w:p>
    <w:p w14:paraId="69DC6879">
      <w:pPr>
        <w:spacing w:line="360" w:lineRule="auto"/>
        <w:jc w:val="center"/>
        <w:rPr>
          <w:rFonts w:hint="eastAsia" w:ascii="宋体" w:hAnsi="宋体" w:cs="宋体"/>
          <w:sz w:val="32"/>
          <w:szCs w:val="32"/>
        </w:rPr>
      </w:pPr>
      <w:r>
        <w:rPr>
          <w:rFonts w:hint="eastAsia" w:ascii="宋体" w:hAnsi="宋体" w:cs="宋体"/>
          <w:sz w:val="32"/>
          <w:szCs w:val="32"/>
        </w:rPr>
        <w:t>差  异  表</w:t>
      </w:r>
    </w:p>
    <w:tbl>
      <w:tblPr>
        <w:tblStyle w:val="30"/>
        <w:tblW w:w="9617" w:type="dxa"/>
        <w:jc w:val="center"/>
        <w:tblLayout w:type="fixed"/>
        <w:tblCellMar>
          <w:top w:w="0" w:type="dxa"/>
          <w:left w:w="28" w:type="dxa"/>
          <w:bottom w:w="0" w:type="dxa"/>
          <w:right w:w="28" w:type="dxa"/>
        </w:tblCellMar>
      </w:tblPr>
      <w:tblGrid>
        <w:gridCol w:w="935"/>
        <w:gridCol w:w="1074"/>
        <w:gridCol w:w="3334"/>
        <w:gridCol w:w="1068"/>
        <w:gridCol w:w="3206"/>
      </w:tblGrid>
      <w:tr w14:paraId="67100DEB">
        <w:tblPrEx>
          <w:tblCellMar>
            <w:top w:w="0" w:type="dxa"/>
            <w:left w:w="28" w:type="dxa"/>
            <w:bottom w:w="0" w:type="dxa"/>
            <w:right w:w="28" w:type="dxa"/>
          </w:tblCellMar>
        </w:tblPrEx>
        <w:trPr>
          <w:trHeight w:val="481" w:hRule="atLeast"/>
          <w:jc w:val="center"/>
        </w:trPr>
        <w:tc>
          <w:tcPr>
            <w:tcW w:w="935" w:type="dxa"/>
            <w:tcBorders>
              <w:top w:val="single" w:color="auto" w:sz="4" w:space="0"/>
              <w:left w:val="single" w:color="auto" w:sz="4" w:space="0"/>
              <w:bottom w:val="single" w:color="auto" w:sz="4" w:space="0"/>
              <w:right w:val="single" w:color="auto" w:sz="4" w:space="0"/>
            </w:tcBorders>
            <w:noWrap w:val="0"/>
            <w:vAlign w:val="center"/>
          </w:tcPr>
          <w:p w14:paraId="49320A1E">
            <w:pPr>
              <w:spacing w:line="360" w:lineRule="auto"/>
              <w:jc w:val="center"/>
              <w:rPr>
                <w:rFonts w:hint="eastAsia" w:ascii="宋体" w:hAnsi="宋体" w:cs="宋体"/>
              </w:rPr>
            </w:pPr>
          </w:p>
        </w:tc>
        <w:tc>
          <w:tcPr>
            <w:tcW w:w="1074" w:type="dxa"/>
            <w:tcBorders>
              <w:top w:val="single" w:color="auto" w:sz="4" w:space="0"/>
              <w:left w:val="single" w:color="auto" w:sz="4" w:space="0"/>
              <w:bottom w:val="single" w:color="auto" w:sz="4" w:space="0"/>
              <w:right w:val="single" w:color="auto" w:sz="4" w:space="0"/>
            </w:tcBorders>
            <w:noWrap w:val="0"/>
            <w:vAlign w:val="center"/>
          </w:tcPr>
          <w:p w14:paraId="2657457E">
            <w:pPr>
              <w:spacing w:line="360" w:lineRule="auto"/>
              <w:jc w:val="center"/>
              <w:rPr>
                <w:rFonts w:hint="eastAsia" w:ascii="宋体" w:hAnsi="宋体" w:cs="宋体"/>
              </w:rPr>
            </w:pPr>
          </w:p>
        </w:tc>
        <w:tc>
          <w:tcPr>
            <w:tcW w:w="3334" w:type="dxa"/>
            <w:tcBorders>
              <w:top w:val="single" w:color="auto" w:sz="4" w:space="0"/>
              <w:left w:val="single" w:color="auto" w:sz="4" w:space="0"/>
              <w:bottom w:val="single" w:color="auto" w:sz="4" w:space="0"/>
              <w:right w:val="single" w:color="auto" w:sz="4" w:space="0"/>
            </w:tcBorders>
            <w:noWrap w:val="0"/>
            <w:vAlign w:val="center"/>
          </w:tcPr>
          <w:p w14:paraId="61052983">
            <w:pPr>
              <w:spacing w:line="360" w:lineRule="auto"/>
              <w:ind w:firstLine="630" w:firstLineChars="300"/>
              <w:rPr>
                <w:rFonts w:hint="eastAsia" w:ascii="宋体" w:hAnsi="宋体" w:cs="宋体"/>
              </w:rPr>
            </w:pPr>
            <w:r>
              <w:rPr>
                <w:rFonts w:hint="eastAsia" w:ascii="宋体" w:hAnsi="宋体" w:cs="宋体"/>
              </w:rPr>
              <w:t>招标文件</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2151293E">
            <w:pPr>
              <w:spacing w:line="360" w:lineRule="auto"/>
              <w:jc w:val="center"/>
              <w:rPr>
                <w:rFonts w:hint="eastAsia" w:ascii="宋体" w:hAnsi="宋体" w:cs="宋体"/>
              </w:rPr>
            </w:pPr>
          </w:p>
        </w:tc>
        <w:tc>
          <w:tcPr>
            <w:tcW w:w="3206" w:type="dxa"/>
            <w:tcBorders>
              <w:top w:val="single" w:color="auto" w:sz="4" w:space="0"/>
              <w:left w:val="single" w:color="auto" w:sz="4" w:space="0"/>
              <w:bottom w:val="single" w:color="auto" w:sz="4" w:space="0"/>
              <w:right w:val="single" w:color="auto" w:sz="4" w:space="0"/>
            </w:tcBorders>
            <w:noWrap w:val="0"/>
            <w:vAlign w:val="center"/>
          </w:tcPr>
          <w:p w14:paraId="4479686F">
            <w:pPr>
              <w:spacing w:line="360" w:lineRule="auto"/>
              <w:ind w:firstLine="420" w:firstLineChars="200"/>
              <w:rPr>
                <w:rFonts w:hint="eastAsia" w:ascii="宋体" w:hAnsi="宋体" w:cs="宋体"/>
              </w:rPr>
            </w:pPr>
            <w:r>
              <w:rPr>
                <w:rFonts w:hint="eastAsia" w:ascii="宋体" w:hAnsi="宋体" w:cs="宋体"/>
              </w:rPr>
              <w:t>投标文件</w:t>
            </w:r>
          </w:p>
        </w:tc>
      </w:tr>
      <w:tr w14:paraId="23139922">
        <w:tblPrEx>
          <w:tblCellMar>
            <w:top w:w="0" w:type="dxa"/>
            <w:left w:w="28" w:type="dxa"/>
            <w:bottom w:w="0" w:type="dxa"/>
            <w:right w:w="28" w:type="dxa"/>
          </w:tblCellMar>
        </w:tblPrEx>
        <w:trPr>
          <w:trHeight w:val="481" w:hRule="atLeast"/>
          <w:jc w:val="center"/>
        </w:trPr>
        <w:tc>
          <w:tcPr>
            <w:tcW w:w="935" w:type="dxa"/>
            <w:tcBorders>
              <w:top w:val="single" w:color="auto" w:sz="4" w:space="0"/>
              <w:left w:val="single" w:color="auto" w:sz="4" w:space="0"/>
              <w:bottom w:val="single" w:color="auto" w:sz="4" w:space="0"/>
              <w:right w:val="single" w:color="auto" w:sz="4" w:space="0"/>
            </w:tcBorders>
            <w:noWrap w:val="0"/>
            <w:vAlign w:val="center"/>
          </w:tcPr>
          <w:p w14:paraId="716841B6">
            <w:pPr>
              <w:spacing w:line="360" w:lineRule="auto"/>
              <w:jc w:val="center"/>
              <w:rPr>
                <w:rFonts w:hint="eastAsia" w:ascii="宋体" w:hAnsi="宋体" w:cs="宋体"/>
              </w:rPr>
            </w:pPr>
            <w:r>
              <w:rPr>
                <w:rFonts w:hint="eastAsia" w:ascii="宋体" w:hAnsi="宋体" w:cs="宋体"/>
              </w:rPr>
              <w:t>序号</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4B7FFFE9">
            <w:pPr>
              <w:spacing w:line="360" w:lineRule="auto"/>
              <w:jc w:val="center"/>
              <w:rPr>
                <w:rFonts w:hint="eastAsia" w:ascii="宋体" w:hAnsi="宋体" w:cs="宋体"/>
              </w:rPr>
            </w:pPr>
            <w:r>
              <w:rPr>
                <w:rFonts w:hint="eastAsia" w:ascii="宋体" w:hAnsi="宋体" w:cs="宋体"/>
              </w:rPr>
              <w:t>条目</w:t>
            </w:r>
          </w:p>
        </w:tc>
        <w:tc>
          <w:tcPr>
            <w:tcW w:w="3334" w:type="dxa"/>
            <w:tcBorders>
              <w:top w:val="single" w:color="auto" w:sz="4" w:space="0"/>
              <w:left w:val="single" w:color="auto" w:sz="4" w:space="0"/>
              <w:bottom w:val="single" w:color="auto" w:sz="4" w:space="0"/>
              <w:right w:val="single" w:color="auto" w:sz="4" w:space="0"/>
            </w:tcBorders>
            <w:noWrap w:val="0"/>
            <w:vAlign w:val="center"/>
          </w:tcPr>
          <w:p w14:paraId="7F87155E">
            <w:pPr>
              <w:spacing w:line="360" w:lineRule="auto"/>
              <w:jc w:val="center"/>
              <w:rPr>
                <w:rFonts w:hint="eastAsia" w:ascii="宋体" w:hAnsi="宋体" w:cs="宋体"/>
              </w:rPr>
            </w:pPr>
            <w:r>
              <w:rPr>
                <w:rFonts w:hint="eastAsia" w:ascii="宋体" w:hAnsi="宋体" w:cs="宋体"/>
              </w:rPr>
              <w:t>简要内容</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31C8625">
            <w:pPr>
              <w:spacing w:line="360" w:lineRule="auto"/>
              <w:jc w:val="center"/>
              <w:rPr>
                <w:rFonts w:hint="eastAsia" w:ascii="宋体" w:hAnsi="宋体" w:cs="宋体"/>
              </w:rPr>
            </w:pPr>
            <w:r>
              <w:rPr>
                <w:rFonts w:hint="eastAsia" w:ascii="宋体" w:hAnsi="宋体" w:cs="宋体"/>
              </w:rPr>
              <w:t>条目</w:t>
            </w:r>
          </w:p>
        </w:tc>
        <w:tc>
          <w:tcPr>
            <w:tcW w:w="3206" w:type="dxa"/>
            <w:tcBorders>
              <w:top w:val="single" w:color="auto" w:sz="4" w:space="0"/>
              <w:left w:val="single" w:color="auto" w:sz="4" w:space="0"/>
              <w:bottom w:val="single" w:color="auto" w:sz="4" w:space="0"/>
              <w:right w:val="single" w:color="auto" w:sz="4" w:space="0"/>
            </w:tcBorders>
            <w:noWrap w:val="0"/>
            <w:vAlign w:val="center"/>
          </w:tcPr>
          <w:p w14:paraId="60391817">
            <w:pPr>
              <w:spacing w:line="360" w:lineRule="auto"/>
              <w:jc w:val="center"/>
              <w:rPr>
                <w:rFonts w:hint="eastAsia" w:ascii="宋体" w:hAnsi="宋体" w:cs="宋体"/>
              </w:rPr>
            </w:pPr>
            <w:r>
              <w:rPr>
                <w:rFonts w:hint="eastAsia" w:ascii="宋体" w:hAnsi="宋体" w:cs="宋体"/>
              </w:rPr>
              <w:t>简要内容</w:t>
            </w:r>
          </w:p>
        </w:tc>
      </w:tr>
      <w:tr w14:paraId="5ECFCD95">
        <w:tblPrEx>
          <w:tblCellMar>
            <w:top w:w="0" w:type="dxa"/>
            <w:left w:w="28" w:type="dxa"/>
            <w:bottom w:w="0" w:type="dxa"/>
            <w:right w:w="28" w:type="dxa"/>
          </w:tblCellMar>
        </w:tblPrEx>
        <w:trPr>
          <w:trHeight w:val="481" w:hRule="atLeast"/>
          <w:jc w:val="center"/>
        </w:trPr>
        <w:tc>
          <w:tcPr>
            <w:tcW w:w="935" w:type="dxa"/>
            <w:tcBorders>
              <w:top w:val="single" w:color="auto" w:sz="4" w:space="0"/>
              <w:left w:val="single" w:color="auto" w:sz="4" w:space="0"/>
              <w:bottom w:val="single" w:color="auto" w:sz="4" w:space="0"/>
              <w:right w:val="single" w:color="auto" w:sz="4" w:space="0"/>
            </w:tcBorders>
            <w:noWrap w:val="0"/>
            <w:vAlign w:val="center"/>
          </w:tcPr>
          <w:p w14:paraId="105256D1">
            <w:pPr>
              <w:spacing w:line="360" w:lineRule="auto"/>
              <w:jc w:val="center"/>
              <w:rPr>
                <w:rFonts w:hint="eastAsia" w:ascii="宋体" w:hAnsi="宋体" w:cs="宋体"/>
              </w:rPr>
            </w:pPr>
          </w:p>
        </w:tc>
        <w:tc>
          <w:tcPr>
            <w:tcW w:w="1074" w:type="dxa"/>
            <w:tcBorders>
              <w:top w:val="single" w:color="auto" w:sz="4" w:space="0"/>
              <w:left w:val="single" w:color="auto" w:sz="4" w:space="0"/>
              <w:bottom w:val="single" w:color="auto" w:sz="4" w:space="0"/>
              <w:right w:val="single" w:color="auto" w:sz="4" w:space="0"/>
            </w:tcBorders>
            <w:noWrap w:val="0"/>
            <w:vAlign w:val="center"/>
          </w:tcPr>
          <w:p w14:paraId="002AE4C7">
            <w:pPr>
              <w:spacing w:line="360" w:lineRule="auto"/>
              <w:jc w:val="center"/>
              <w:rPr>
                <w:rFonts w:hint="eastAsia" w:ascii="宋体" w:hAnsi="宋体" w:cs="宋体"/>
              </w:rPr>
            </w:pPr>
          </w:p>
        </w:tc>
        <w:tc>
          <w:tcPr>
            <w:tcW w:w="3334" w:type="dxa"/>
            <w:tcBorders>
              <w:top w:val="single" w:color="auto" w:sz="4" w:space="0"/>
              <w:left w:val="single" w:color="auto" w:sz="4" w:space="0"/>
              <w:bottom w:val="single" w:color="auto" w:sz="4" w:space="0"/>
              <w:right w:val="single" w:color="auto" w:sz="4" w:space="0"/>
            </w:tcBorders>
            <w:noWrap w:val="0"/>
            <w:vAlign w:val="center"/>
          </w:tcPr>
          <w:p w14:paraId="1E8EC912">
            <w:pPr>
              <w:spacing w:line="360" w:lineRule="auto"/>
              <w:jc w:val="center"/>
              <w:rPr>
                <w:rFonts w:hint="eastAsia" w:ascii="宋体" w:hAnsi="宋体" w:cs="宋体"/>
              </w:rPr>
            </w:pPr>
          </w:p>
        </w:tc>
        <w:tc>
          <w:tcPr>
            <w:tcW w:w="1068" w:type="dxa"/>
            <w:tcBorders>
              <w:top w:val="single" w:color="auto" w:sz="4" w:space="0"/>
              <w:left w:val="single" w:color="auto" w:sz="4" w:space="0"/>
              <w:bottom w:val="single" w:color="auto" w:sz="4" w:space="0"/>
              <w:right w:val="single" w:color="auto" w:sz="4" w:space="0"/>
            </w:tcBorders>
            <w:noWrap w:val="0"/>
            <w:vAlign w:val="center"/>
          </w:tcPr>
          <w:p w14:paraId="138A83FE">
            <w:pPr>
              <w:spacing w:line="360" w:lineRule="auto"/>
              <w:jc w:val="center"/>
              <w:rPr>
                <w:rFonts w:hint="eastAsia" w:ascii="宋体" w:hAnsi="宋体" w:cs="宋体"/>
              </w:rPr>
            </w:pPr>
          </w:p>
        </w:tc>
        <w:tc>
          <w:tcPr>
            <w:tcW w:w="3206" w:type="dxa"/>
            <w:tcBorders>
              <w:top w:val="single" w:color="auto" w:sz="4" w:space="0"/>
              <w:left w:val="single" w:color="auto" w:sz="4" w:space="0"/>
              <w:bottom w:val="single" w:color="auto" w:sz="4" w:space="0"/>
              <w:right w:val="single" w:color="auto" w:sz="4" w:space="0"/>
            </w:tcBorders>
            <w:noWrap w:val="0"/>
            <w:vAlign w:val="center"/>
          </w:tcPr>
          <w:p w14:paraId="00F67C11">
            <w:pPr>
              <w:spacing w:line="360" w:lineRule="auto"/>
              <w:jc w:val="center"/>
              <w:rPr>
                <w:rFonts w:hint="eastAsia" w:ascii="宋体" w:hAnsi="宋体" w:cs="宋体"/>
              </w:rPr>
            </w:pPr>
          </w:p>
        </w:tc>
      </w:tr>
      <w:tr w14:paraId="71CB240E">
        <w:tblPrEx>
          <w:tblCellMar>
            <w:top w:w="0" w:type="dxa"/>
            <w:left w:w="28" w:type="dxa"/>
            <w:bottom w:w="0" w:type="dxa"/>
            <w:right w:w="28" w:type="dxa"/>
          </w:tblCellMar>
        </w:tblPrEx>
        <w:trPr>
          <w:trHeight w:val="481" w:hRule="atLeast"/>
          <w:jc w:val="center"/>
        </w:trPr>
        <w:tc>
          <w:tcPr>
            <w:tcW w:w="935" w:type="dxa"/>
            <w:tcBorders>
              <w:top w:val="single" w:color="auto" w:sz="4" w:space="0"/>
              <w:left w:val="single" w:color="auto" w:sz="4" w:space="0"/>
              <w:bottom w:val="single" w:color="auto" w:sz="4" w:space="0"/>
              <w:right w:val="single" w:color="auto" w:sz="4" w:space="0"/>
            </w:tcBorders>
            <w:noWrap w:val="0"/>
            <w:vAlign w:val="center"/>
          </w:tcPr>
          <w:p w14:paraId="3E265CF2">
            <w:pPr>
              <w:spacing w:line="360" w:lineRule="auto"/>
              <w:jc w:val="center"/>
              <w:rPr>
                <w:rFonts w:hint="eastAsia" w:ascii="宋体" w:hAnsi="宋体" w:cs="宋体"/>
              </w:rPr>
            </w:pPr>
          </w:p>
        </w:tc>
        <w:tc>
          <w:tcPr>
            <w:tcW w:w="1074" w:type="dxa"/>
            <w:tcBorders>
              <w:top w:val="single" w:color="auto" w:sz="4" w:space="0"/>
              <w:left w:val="single" w:color="auto" w:sz="4" w:space="0"/>
              <w:bottom w:val="single" w:color="auto" w:sz="4" w:space="0"/>
              <w:right w:val="single" w:color="auto" w:sz="4" w:space="0"/>
            </w:tcBorders>
            <w:noWrap w:val="0"/>
            <w:vAlign w:val="center"/>
          </w:tcPr>
          <w:p w14:paraId="0110224E">
            <w:pPr>
              <w:spacing w:line="360" w:lineRule="auto"/>
              <w:jc w:val="center"/>
              <w:rPr>
                <w:rFonts w:hint="eastAsia" w:ascii="宋体" w:hAnsi="宋体" w:cs="宋体"/>
              </w:rPr>
            </w:pPr>
          </w:p>
        </w:tc>
        <w:tc>
          <w:tcPr>
            <w:tcW w:w="3334" w:type="dxa"/>
            <w:tcBorders>
              <w:top w:val="single" w:color="auto" w:sz="4" w:space="0"/>
              <w:left w:val="single" w:color="auto" w:sz="4" w:space="0"/>
              <w:bottom w:val="single" w:color="auto" w:sz="4" w:space="0"/>
              <w:right w:val="single" w:color="auto" w:sz="4" w:space="0"/>
            </w:tcBorders>
            <w:noWrap w:val="0"/>
            <w:vAlign w:val="center"/>
          </w:tcPr>
          <w:p w14:paraId="469F5CE5">
            <w:pPr>
              <w:spacing w:line="360" w:lineRule="auto"/>
              <w:jc w:val="center"/>
              <w:rPr>
                <w:rFonts w:hint="eastAsia" w:ascii="宋体" w:hAnsi="宋体" w:cs="宋体"/>
              </w:rPr>
            </w:pPr>
          </w:p>
        </w:tc>
        <w:tc>
          <w:tcPr>
            <w:tcW w:w="1068" w:type="dxa"/>
            <w:tcBorders>
              <w:top w:val="single" w:color="auto" w:sz="4" w:space="0"/>
              <w:left w:val="single" w:color="auto" w:sz="4" w:space="0"/>
              <w:bottom w:val="single" w:color="auto" w:sz="4" w:space="0"/>
              <w:right w:val="single" w:color="auto" w:sz="4" w:space="0"/>
            </w:tcBorders>
            <w:noWrap w:val="0"/>
            <w:vAlign w:val="center"/>
          </w:tcPr>
          <w:p w14:paraId="71BB1E49">
            <w:pPr>
              <w:spacing w:line="360" w:lineRule="auto"/>
              <w:jc w:val="center"/>
              <w:rPr>
                <w:rFonts w:hint="eastAsia" w:ascii="宋体" w:hAnsi="宋体" w:cs="宋体"/>
              </w:rPr>
            </w:pPr>
          </w:p>
        </w:tc>
        <w:tc>
          <w:tcPr>
            <w:tcW w:w="3206" w:type="dxa"/>
            <w:tcBorders>
              <w:top w:val="single" w:color="auto" w:sz="4" w:space="0"/>
              <w:left w:val="single" w:color="auto" w:sz="4" w:space="0"/>
              <w:bottom w:val="single" w:color="auto" w:sz="4" w:space="0"/>
              <w:right w:val="single" w:color="auto" w:sz="4" w:space="0"/>
            </w:tcBorders>
            <w:noWrap w:val="0"/>
            <w:vAlign w:val="center"/>
          </w:tcPr>
          <w:p w14:paraId="2618237D">
            <w:pPr>
              <w:spacing w:line="360" w:lineRule="auto"/>
              <w:jc w:val="center"/>
              <w:rPr>
                <w:rFonts w:hint="eastAsia" w:ascii="宋体" w:hAnsi="宋体" w:cs="宋体"/>
              </w:rPr>
            </w:pPr>
          </w:p>
        </w:tc>
      </w:tr>
      <w:tr w14:paraId="650845D3">
        <w:tblPrEx>
          <w:tblCellMar>
            <w:top w:w="0" w:type="dxa"/>
            <w:left w:w="28" w:type="dxa"/>
            <w:bottom w:w="0" w:type="dxa"/>
            <w:right w:w="28" w:type="dxa"/>
          </w:tblCellMar>
        </w:tblPrEx>
        <w:trPr>
          <w:trHeight w:val="481" w:hRule="atLeast"/>
          <w:jc w:val="center"/>
        </w:trPr>
        <w:tc>
          <w:tcPr>
            <w:tcW w:w="935" w:type="dxa"/>
            <w:tcBorders>
              <w:top w:val="single" w:color="auto" w:sz="4" w:space="0"/>
              <w:left w:val="single" w:color="auto" w:sz="4" w:space="0"/>
              <w:bottom w:val="single" w:color="auto" w:sz="4" w:space="0"/>
              <w:right w:val="single" w:color="auto" w:sz="4" w:space="0"/>
            </w:tcBorders>
            <w:noWrap w:val="0"/>
            <w:vAlign w:val="center"/>
          </w:tcPr>
          <w:p w14:paraId="60ED8B32">
            <w:pPr>
              <w:spacing w:line="360" w:lineRule="auto"/>
              <w:jc w:val="center"/>
              <w:rPr>
                <w:rFonts w:hint="eastAsia" w:ascii="宋体" w:hAnsi="宋体" w:cs="宋体"/>
              </w:rPr>
            </w:pPr>
          </w:p>
        </w:tc>
        <w:tc>
          <w:tcPr>
            <w:tcW w:w="1074" w:type="dxa"/>
            <w:tcBorders>
              <w:top w:val="single" w:color="auto" w:sz="4" w:space="0"/>
              <w:left w:val="single" w:color="auto" w:sz="4" w:space="0"/>
              <w:bottom w:val="single" w:color="auto" w:sz="4" w:space="0"/>
              <w:right w:val="single" w:color="auto" w:sz="4" w:space="0"/>
            </w:tcBorders>
            <w:noWrap w:val="0"/>
            <w:vAlign w:val="center"/>
          </w:tcPr>
          <w:p w14:paraId="79E09D7E">
            <w:pPr>
              <w:spacing w:line="360" w:lineRule="auto"/>
              <w:jc w:val="center"/>
              <w:rPr>
                <w:rFonts w:hint="eastAsia" w:ascii="宋体" w:hAnsi="宋体" w:cs="宋体"/>
              </w:rPr>
            </w:pPr>
          </w:p>
        </w:tc>
        <w:tc>
          <w:tcPr>
            <w:tcW w:w="3334" w:type="dxa"/>
            <w:tcBorders>
              <w:top w:val="single" w:color="auto" w:sz="4" w:space="0"/>
              <w:left w:val="single" w:color="auto" w:sz="4" w:space="0"/>
              <w:bottom w:val="single" w:color="auto" w:sz="4" w:space="0"/>
              <w:right w:val="single" w:color="auto" w:sz="4" w:space="0"/>
            </w:tcBorders>
            <w:noWrap w:val="0"/>
            <w:vAlign w:val="center"/>
          </w:tcPr>
          <w:p w14:paraId="6AE85EDE">
            <w:pPr>
              <w:spacing w:line="360" w:lineRule="auto"/>
              <w:jc w:val="center"/>
              <w:rPr>
                <w:rFonts w:hint="eastAsia" w:ascii="宋体" w:hAnsi="宋体" w:cs="宋体"/>
              </w:rPr>
            </w:pPr>
          </w:p>
        </w:tc>
        <w:tc>
          <w:tcPr>
            <w:tcW w:w="1068" w:type="dxa"/>
            <w:tcBorders>
              <w:top w:val="single" w:color="auto" w:sz="4" w:space="0"/>
              <w:left w:val="single" w:color="auto" w:sz="4" w:space="0"/>
              <w:bottom w:val="single" w:color="auto" w:sz="4" w:space="0"/>
              <w:right w:val="single" w:color="auto" w:sz="4" w:space="0"/>
            </w:tcBorders>
            <w:noWrap w:val="0"/>
            <w:vAlign w:val="center"/>
          </w:tcPr>
          <w:p w14:paraId="74FFF5C7">
            <w:pPr>
              <w:spacing w:line="360" w:lineRule="auto"/>
              <w:jc w:val="center"/>
              <w:rPr>
                <w:rFonts w:hint="eastAsia" w:ascii="宋体" w:hAnsi="宋体" w:cs="宋体"/>
              </w:rPr>
            </w:pPr>
          </w:p>
        </w:tc>
        <w:tc>
          <w:tcPr>
            <w:tcW w:w="3206" w:type="dxa"/>
            <w:tcBorders>
              <w:top w:val="single" w:color="auto" w:sz="4" w:space="0"/>
              <w:left w:val="single" w:color="auto" w:sz="4" w:space="0"/>
              <w:bottom w:val="single" w:color="auto" w:sz="4" w:space="0"/>
              <w:right w:val="single" w:color="auto" w:sz="4" w:space="0"/>
            </w:tcBorders>
            <w:noWrap w:val="0"/>
            <w:vAlign w:val="center"/>
          </w:tcPr>
          <w:p w14:paraId="3068DBB8">
            <w:pPr>
              <w:spacing w:line="360" w:lineRule="auto"/>
              <w:jc w:val="center"/>
              <w:rPr>
                <w:rFonts w:hint="eastAsia" w:ascii="宋体" w:hAnsi="宋体" w:cs="宋体"/>
              </w:rPr>
            </w:pPr>
          </w:p>
        </w:tc>
      </w:tr>
    </w:tbl>
    <w:p w14:paraId="2FA5924B">
      <w:pPr>
        <w:spacing w:line="520" w:lineRule="exact"/>
        <w:ind w:firstLine="420"/>
        <w:rPr>
          <w:rStyle w:val="34"/>
          <w:rFonts w:hint="eastAsia" w:ascii="宋体" w:hAnsi="宋体" w:eastAsia="宋体" w:cs="宋体"/>
          <w:color w:val="000000"/>
          <w:sz w:val="24"/>
          <w:szCs w:val="24"/>
          <w:highlight w:val="none"/>
        </w:rPr>
      </w:pPr>
      <w:r>
        <w:rPr>
          <w:rFonts w:hint="eastAsia" w:ascii="仿宋" w:hAnsi="仿宋" w:eastAsia="仿宋" w:cs="宋体"/>
        </w:rPr>
        <w:t>注：投标方要将投标文件和招标文件的差异之处汇集成表。技术部分和商务部分要单独列表。</w:t>
      </w:r>
    </w:p>
    <w:sectPr>
      <w:footerReference r:id="rId5" w:type="default"/>
      <w:pgSz w:w="11906" w:h="16838"/>
      <w:pgMar w:top="1440" w:right="1440" w:bottom="1440" w:left="1440"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PingFang SC">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ABC88">
    <w:pPr>
      <w:pStyle w:val="61"/>
      <w:jc w:val="center"/>
      <w:rPr>
        <w:rStyle w:val="34"/>
        <w:rFonts w:hint="eastAsia"/>
      </w:rPr>
    </w:pPr>
    <w:r>
      <w:rPr>
        <w:rStyle w:val="34"/>
      </w:rP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27AE9FF"/>
                      </w:txbxContent>
                    </wps:txbx>
                    <wps:bodyPr lIns="0" tIns="0" rIns="0" bIns="0" upright="1"/>
                  </wps:wsp>
                </a:graphicData>
              </a:graphic>
            </wp:anchor>
          </w:drawing>
        </mc:Choice>
        <mc:Fallback>
          <w:pict>
            <v:rect id="文本框 1" o:spid="_x0000_s1026" o:spt="1" style="position:absolute;left:0pt;margin-top:0pt;height:144pt;width:144pt;mso-position-horizontal:center;mso-position-horizontal-relative:margin;z-index:251661312;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a2Y8tMAAAAFAQAA&#10;DwAAAAAAAAABACAAAAAiAAAAZHJzL2Rvd25yZXYueG1sUEsBAhQAFAAAAAgAh07iQPmbWcasAQAA&#10;YQMAAA4AAAAAAAAAAQAgAAAAIgEAAGRycy9lMm9Eb2MueG1sUEsFBgAAAAAGAAYAWQEAAEAFAAAA&#10;AA==&#10;">
              <v:fill on="f" focussize="0,0"/>
              <v:stroke on="f"/>
              <v:imagedata o:title=""/>
              <o:lock v:ext="edit" aspectratio="f"/>
              <v:textbox inset="0mm,0mm,0mm,0mm">
                <w:txbxContent>
                  <w:p w14:paraId="027AE9FF"/>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39F41">
    <w:pPr>
      <w:jc w:val="center"/>
      <w:rPr>
        <w:rStyle w:val="34"/>
      </w:rPr>
    </w:pPr>
    <w:r>
      <mc:AlternateContent>
        <mc:Choice Requires="wps">
          <w:drawing>
            <wp:anchor distT="0" distB="0" distL="0" distR="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3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29718E9">
                          <w:pPr>
                            <w:pStyle w:val="20"/>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39"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za80zLAQAAkwMAAA4AAABkcnMvZTJvRG9jLnhtbK1TS27bMBDdF8gd&#10;CO5jSW5RuI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QFZ05YevPzj+/nn7/P&#10;v76x1++SRV3Akk4+hgeYMqQw6e0bsOlLSlg/2Hq62Kr6yCRtFqvlapWT45Jqc0I42dP1ABjvlLcs&#10;BRUHerfBTnH8gHE8Oh9J3YxLq/O32pixmnayRHMklqLY7/qJ7c7XJ5JJU0/grYevnHX05hV3NOKc&#10;mXtHlqbxmAOYg90cCCfpYsVHXhjeHyK1H7ilZmOHiQO91aBumqs0DH/nw6mnf2nz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l1uVLQAAAABQEAAA8AAAAAAAAAAQAgAAAAIgAAAGRycy9kb3ducmV2&#10;LnhtbFBLAQIUABQAAAAIAIdO4kA82vNMywEAAJMDAAAOAAAAAAAAAAEAIAAAAB8BAABkcnMvZTJv&#10;RG9jLnhtbFBLBQYAAAAABgAGAFkBAABcBQAAAAA=&#10;">
              <v:fill on="f" focussize="0,0"/>
              <v:stroke on="f"/>
              <v:imagedata o:title=""/>
              <o:lock v:ext="edit" aspectratio="f"/>
              <v:textbox inset="0mm,0mm,0mm,0mm" style="mso-fit-shape-to-text:t;">
                <w:txbxContent>
                  <w:p w14:paraId="729718E9">
                    <w:pPr>
                      <w:pStyle w:val="20"/>
                    </w:pPr>
                    <w:r>
                      <w:fldChar w:fldCharType="begin"/>
                    </w:r>
                    <w:r>
                      <w:instrText xml:space="preserve"> PAGE  \* MERGEFORMAT </w:instrText>
                    </w:r>
                    <w:r>
                      <w:fldChar w:fldCharType="separate"/>
                    </w:r>
                    <w:r>
                      <w:t>1</w:t>
                    </w:r>
                    <w:r>
                      <w:fldChar w:fldCharType="end"/>
                    </w:r>
                  </w:p>
                </w:txbxContent>
              </v:textbox>
            </v:rect>
          </w:pict>
        </mc:Fallback>
      </mc:AlternateContent>
    </w:r>
    <w:r>
      <w:rPr>
        <w:rStyle w:val="34"/>
      </w:rPr>
      <mc:AlternateContent>
        <mc:Choice Requires="wps">
          <w:drawing>
            <wp:anchor distT="0" distB="0" distL="0" distR="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2"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EE43AF1"/>
                      </w:txbxContent>
                    </wps:txbx>
                    <wps:bodyPr lIns="0" tIns="0" rIns="0" bIns="0" upright="1"/>
                  </wps:wsp>
                </a:graphicData>
              </a:graphic>
            </wp:anchor>
          </w:drawing>
        </mc:Choice>
        <mc:Fallback>
          <w:pict>
            <v:rect id="文本框 2" o:spid="_x0000_s1026" o:spt="1" style="position:absolute;left:0pt;margin-top:0pt;height:144pt;width:144pt;mso-position-horizontal:center;mso-position-horizontal-relative:margin;z-index:251663360;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ZrZjy0wAAAAUB&#10;AAAPAAAAAAAAAAEAIAAAACIAAABkcnMvZG93bnJldi54bWxQSwECFAAUAAAACACHTuJAP0x9d64B&#10;AABhAwAADgAAAAAAAAABACAAAAAiAQAAZHJzL2Uyb0RvYy54bWxQSwUGAAAAAAYABgBZAQAAQgUA&#10;AAAA&#10;">
              <v:fill on="f" focussize="0,0"/>
              <v:stroke on="f"/>
              <v:imagedata o:title=""/>
              <o:lock v:ext="edit" aspectratio="f"/>
              <v:textbox inset="0mm,0mm,0mm,0mm">
                <w:txbxContent>
                  <w:p w14:paraId="0EE43AF1"/>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086B1">
    <w:pPr>
      <w:pStyle w:val="61"/>
      <w:jc w:val="center"/>
      <w:rPr>
        <w:rStyle w:val="34"/>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72183">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7672183">
                    <w:pPr>
                      <w:pStyle w:val="20"/>
                    </w:pPr>
                    <w:r>
                      <w:fldChar w:fldCharType="begin"/>
                    </w:r>
                    <w:r>
                      <w:instrText xml:space="preserve"> PAGE  \* MERGEFORMAT </w:instrText>
                    </w:r>
                    <w:r>
                      <w:fldChar w:fldCharType="separate"/>
                    </w:r>
                    <w:r>
                      <w:t>3</w:t>
                    </w:r>
                    <w:r>
                      <w:fldChar w:fldCharType="end"/>
                    </w:r>
                  </w:p>
                </w:txbxContent>
              </v:textbox>
            </v:shape>
          </w:pict>
        </mc:Fallback>
      </mc:AlternateContent>
    </w:r>
    <w:r>
      <w:rPr>
        <w:rStyle w:val="3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560655"/>
                      </w:txbxContent>
                    </wps:txbx>
                    <wps:bodyPr lIns="0" tIns="0" rIns="0" bIns="0" upright="1"/>
                  </wps:wsp>
                </a:graphicData>
              </a:graphic>
            </wp:anchor>
          </w:drawing>
        </mc:Choice>
        <mc:Fallback>
          <w:pict>
            <v:shape id="文本框 1"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WaT2&#10;QNIAAAAFAQAADwAAAAAAAAABACAAAAAiAAAAZHJzL2Rvd25yZXYueG1sUEsBAhQAFAAAAAgAh07i&#10;QC4PcXy2AQAAdAMAAA4AAAAAAAAAAQAgAAAAIQEAAGRycy9lMm9Eb2MueG1sUEsFBgAAAAAGAAYA&#10;WQEAAEkFAAAAAA==&#10;">
              <v:fill on="f" focussize="0,0"/>
              <v:stroke on="f"/>
              <v:imagedata o:title=""/>
              <o:lock v:ext="edit" aspectratio="f"/>
              <v:textbox inset="0mm,0mm,0mm,0mm">
                <w:txbxContent>
                  <w:p w14:paraId="35560655"/>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0A372F"/>
    <w:multiLevelType w:val="singleLevel"/>
    <w:tmpl w:val="6C0A372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hideSpellingErrors/>
  <w:documentProtection w:enforcement="0"/>
  <w:defaultTabStop w:val="4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hdrShapeDefaults>
    <o:shapelayout v:ext="edit">
      <o:idmap v:ext="edit" data="3"/>
    </o:shapelayout>
  </w:hdrShapeDefault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4M2NkYjczZjQ4M2Q1YmVmNDZjOTQ3YzRiNDMyOWMifQ=="/>
  </w:docVars>
  <w:rsids>
    <w:rsidRoot w:val="00CF6F49"/>
    <w:rsid w:val="00013D0C"/>
    <w:rsid w:val="00033000"/>
    <w:rsid w:val="000338F3"/>
    <w:rsid w:val="00036E36"/>
    <w:rsid w:val="00041069"/>
    <w:rsid w:val="00061991"/>
    <w:rsid w:val="000675B9"/>
    <w:rsid w:val="000738FD"/>
    <w:rsid w:val="000850A5"/>
    <w:rsid w:val="00087DAC"/>
    <w:rsid w:val="000C0F61"/>
    <w:rsid w:val="000C3B8E"/>
    <w:rsid w:val="000E5F8E"/>
    <w:rsid w:val="000F3EA8"/>
    <w:rsid w:val="00110A26"/>
    <w:rsid w:val="00112265"/>
    <w:rsid w:val="00133F6F"/>
    <w:rsid w:val="00142CB1"/>
    <w:rsid w:val="001523A0"/>
    <w:rsid w:val="00162615"/>
    <w:rsid w:val="001769A6"/>
    <w:rsid w:val="0018142C"/>
    <w:rsid w:val="00183CC7"/>
    <w:rsid w:val="00191F96"/>
    <w:rsid w:val="0019724D"/>
    <w:rsid w:val="001A2CC8"/>
    <w:rsid w:val="001C0418"/>
    <w:rsid w:val="001C2612"/>
    <w:rsid w:val="001D5D02"/>
    <w:rsid w:val="001E555F"/>
    <w:rsid w:val="001F03FE"/>
    <w:rsid w:val="0020210C"/>
    <w:rsid w:val="002070B8"/>
    <w:rsid w:val="00217794"/>
    <w:rsid w:val="00225F67"/>
    <w:rsid w:val="00233099"/>
    <w:rsid w:val="00234A51"/>
    <w:rsid w:val="0024485C"/>
    <w:rsid w:val="00246FBB"/>
    <w:rsid w:val="00250054"/>
    <w:rsid w:val="00270373"/>
    <w:rsid w:val="00272884"/>
    <w:rsid w:val="002739D6"/>
    <w:rsid w:val="002762C9"/>
    <w:rsid w:val="0028126E"/>
    <w:rsid w:val="002828C7"/>
    <w:rsid w:val="002A491F"/>
    <w:rsid w:val="002B63F8"/>
    <w:rsid w:val="002D22BE"/>
    <w:rsid w:val="002E1376"/>
    <w:rsid w:val="00312159"/>
    <w:rsid w:val="00323AFA"/>
    <w:rsid w:val="0032501A"/>
    <w:rsid w:val="00355391"/>
    <w:rsid w:val="00385A1C"/>
    <w:rsid w:val="00394E2B"/>
    <w:rsid w:val="003A5ACC"/>
    <w:rsid w:val="003B42DB"/>
    <w:rsid w:val="003C2596"/>
    <w:rsid w:val="003C39B9"/>
    <w:rsid w:val="003C6988"/>
    <w:rsid w:val="003F4074"/>
    <w:rsid w:val="003F4173"/>
    <w:rsid w:val="00410A0D"/>
    <w:rsid w:val="004201A5"/>
    <w:rsid w:val="00450FBD"/>
    <w:rsid w:val="004520BB"/>
    <w:rsid w:val="0049538F"/>
    <w:rsid w:val="004A5072"/>
    <w:rsid w:val="004A50C5"/>
    <w:rsid w:val="004D1108"/>
    <w:rsid w:val="004E20A9"/>
    <w:rsid w:val="004E63F4"/>
    <w:rsid w:val="00513E68"/>
    <w:rsid w:val="005363B5"/>
    <w:rsid w:val="00537B21"/>
    <w:rsid w:val="0055338A"/>
    <w:rsid w:val="0057791D"/>
    <w:rsid w:val="005852DE"/>
    <w:rsid w:val="00587153"/>
    <w:rsid w:val="00590071"/>
    <w:rsid w:val="005B454B"/>
    <w:rsid w:val="005C0548"/>
    <w:rsid w:val="005C0F03"/>
    <w:rsid w:val="005F246D"/>
    <w:rsid w:val="00636406"/>
    <w:rsid w:val="00647D74"/>
    <w:rsid w:val="00652FE2"/>
    <w:rsid w:val="00682080"/>
    <w:rsid w:val="006B78BB"/>
    <w:rsid w:val="006C5D66"/>
    <w:rsid w:val="006D2E93"/>
    <w:rsid w:val="006D7251"/>
    <w:rsid w:val="006F660D"/>
    <w:rsid w:val="00701E1D"/>
    <w:rsid w:val="007152B8"/>
    <w:rsid w:val="007346DA"/>
    <w:rsid w:val="00763610"/>
    <w:rsid w:val="007720D6"/>
    <w:rsid w:val="00782A08"/>
    <w:rsid w:val="007C22CA"/>
    <w:rsid w:val="007E10FC"/>
    <w:rsid w:val="007E7468"/>
    <w:rsid w:val="007F43D2"/>
    <w:rsid w:val="00811FEC"/>
    <w:rsid w:val="00817156"/>
    <w:rsid w:val="00821412"/>
    <w:rsid w:val="008364B5"/>
    <w:rsid w:val="00871012"/>
    <w:rsid w:val="008718EE"/>
    <w:rsid w:val="008735FB"/>
    <w:rsid w:val="008951D3"/>
    <w:rsid w:val="00895471"/>
    <w:rsid w:val="008A099B"/>
    <w:rsid w:val="008A6DA8"/>
    <w:rsid w:val="008A7AB1"/>
    <w:rsid w:val="008C4897"/>
    <w:rsid w:val="008E3E86"/>
    <w:rsid w:val="00902881"/>
    <w:rsid w:val="009044ED"/>
    <w:rsid w:val="00924C8E"/>
    <w:rsid w:val="0095003C"/>
    <w:rsid w:val="009504E9"/>
    <w:rsid w:val="009544FD"/>
    <w:rsid w:val="00962068"/>
    <w:rsid w:val="00963360"/>
    <w:rsid w:val="00967707"/>
    <w:rsid w:val="00971AD8"/>
    <w:rsid w:val="00975DDD"/>
    <w:rsid w:val="00977898"/>
    <w:rsid w:val="009A2CA9"/>
    <w:rsid w:val="009A56ED"/>
    <w:rsid w:val="009A65D7"/>
    <w:rsid w:val="009B52C9"/>
    <w:rsid w:val="009C59F3"/>
    <w:rsid w:val="009C642B"/>
    <w:rsid w:val="00A01F6E"/>
    <w:rsid w:val="00A2609A"/>
    <w:rsid w:val="00A26C07"/>
    <w:rsid w:val="00A312A7"/>
    <w:rsid w:val="00A40A60"/>
    <w:rsid w:val="00A4252C"/>
    <w:rsid w:val="00A43529"/>
    <w:rsid w:val="00A5014E"/>
    <w:rsid w:val="00A52DDA"/>
    <w:rsid w:val="00A67118"/>
    <w:rsid w:val="00A72563"/>
    <w:rsid w:val="00A7416B"/>
    <w:rsid w:val="00A74E6C"/>
    <w:rsid w:val="00A75E41"/>
    <w:rsid w:val="00AA2639"/>
    <w:rsid w:val="00AD0AC7"/>
    <w:rsid w:val="00AD1AAB"/>
    <w:rsid w:val="00AE408B"/>
    <w:rsid w:val="00AF0279"/>
    <w:rsid w:val="00AF04C7"/>
    <w:rsid w:val="00B37041"/>
    <w:rsid w:val="00B4004F"/>
    <w:rsid w:val="00B4093B"/>
    <w:rsid w:val="00B706FD"/>
    <w:rsid w:val="00B71687"/>
    <w:rsid w:val="00BB3506"/>
    <w:rsid w:val="00BC06ED"/>
    <w:rsid w:val="00BD5C38"/>
    <w:rsid w:val="00BF062F"/>
    <w:rsid w:val="00BF1B09"/>
    <w:rsid w:val="00BF52B0"/>
    <w:rsid w:val="00C00E5F"/>
    <w:rsid w:val="00C07E88"/>
    <w:rsid w:val="00C14DB8"/>
    <w:rsid w:val="00C17C62"/>
    <w:rsid w:val="00C201FD"/>
    <w:rsid w:val="00C32002"/>
    <w:rsid w:val="00C334F5"/>
    <w:rsid w:val="00C35401"/>
    <w:rsid w:val="00C35868"/>
    <w:rsid w:val="00C42D89"/>
    <w:rsid w:val="00C57A21"/>
    <w:rsid w:val="00C67850"/>
    <w:rsid w:val="00C90166"/>
    <w:rsid w:val="00C921B6"/>
    <w:rsid w:val="00CA3B3F"/>
    <w:rsid w:val="00CC4673"/>
    <w:rsid w:val="00CD7139"/>
    <w:rsid w:val="00CE3EFA"/>
    <w:rsid w:val="00CE7201"/>
    <w:rsid w:val="00CF594E"/>
    <w:rsid w:val="00CF6F49"/>
    <w:rsid w:val="00D1024B"/>
    <w:rsid w:val="00D43D2B"/>
    <w:rsid w:val="00D910DA"/>
    <w:rsid w:val="00DB0474"/>
    <w:rsid w:val="00DB2989"/>
    <w:rsid w:val="00DC20B7"/>
    <w:rsid w:val="00DC2BA3"/>
    <w:rsid w:val="00DC41CD"/>
    <w:rsid w:val="00E02DFA"/>
    <w:rsid w:val="00E50D93"/>
    <w:rsid w:val="00E73383"/>
    <w:rsid w:val="00E73C28"/>
    <w:rsid w:val="00E73F08"/>
    <w:rsid w:val="00E75D46"/>
    <w:rsid w:val="00E8037D"/>
    <w:rsid w:val="00E868F8"/>
    <w:rsid w:val="00EB5CAF"/>
    <w:rsid w:val="00EC17E7"/>
    <w:rsid w:val="00EF2D4E"/>
    <w:rsid w:val="00EF6149"/>
    <w:rsid w:val="00EF6757"/>
    <w:rsid w:val="00F018B6"/>
    <w:rsid w:val="00F122F6"/>
    <w:rsid w:val="00F1366D"/>
    <w:rsid w:val="00F15CD2"/>
    <w:rsid w:val="00F22D1C"/>
    <w:rsid w:val="00F34B0B"/>
    <w:rsid w:val="00F54DF0"/>
    <w:rsid w:val="00F71934"/>
    <w:rsid w:val="00F77C61"/>
    <w:rsid w:val="00F93F57"/>
    <w:rsid w:val="00FA24B3"/>
    <w:rsid w:val="00FA4FA2"/>
    <w:rsid w:val="00FE3B71"/>
    <w:rsid w:val="00FF2D0E"/>
    <w:rsid w:val="012E0D91"/>
    <w:rsid w:val="01CD04A6"/>
    <w:rsid w:val="02557C87"/>
    <w:rsid w:val="02A3155A"/>
    <w:rsid w:val="04092691"/>
    <w:rsid w:val="040A715B"/>
    <w:rsid w:val="04974587"/>
    <w:rsid w:val="04BF4C57"/>
    <w:rsid w:val="04C462FB"/>
    <w:rsid w:val="05066A38"/>
    <w:rsid w:val="0600752A"/>
    <w:rsid w:val="06752D5E"/>
    <w:rsid w:val="06B3590D"/>
    <w:rsid w:val="071A291B"/>
    <w:rsid w:val="07A64AE1"/>
    <w:rsid w:val="07B7647D"/>
    <w:rsid w:val="07C66477"/>
    <w:rsid w:val="07E25A04"/>
    <w:rsid w:val="08034550"/>
    <w:rsid w:val="082C2EB6"/>
    <w:rsid w:val="0838773D"/>
    <w:rsid w:val="08A70E02"/>
    <w:rsid w:val="08B04754"/>
    <w:rsid w:val="08FD605F"/>
    <w:rsid w:val="090B4A7C"/>
    <w:rsid w:val="09781C69"/>
    <w:rsid w:val="097B396B"/>
    <w:rsid w:val="09D16DC3"/>
    <w:rsid w:val="0A083831"/>
    <w:rsid w:val="0A5B5D10"/>
    <w:rsid w:val="0C8573BB"/>
    <w:rsid w:val="0D0572E2"/>
    <w:rsid w:val="0D0B4931"/>
    <w:rsid w:val="0D31309F"/>
    <w:rsid w:val="0D5E0930"/>
    <w:rsid w:val="0D7B6F3D"/>
    <w:rsid w:val="0DFE7212"/>
    <w:rsid w:val="0E1740CD"/>
    <w:rsid w:val="0E840CB7"/>
    <w:rsid w:val="0ED15794"/>
    <w:rsid w:val="0F1E71CE"/>
    <w:rsid w:val="0F3D4B01"/>
    <w:rsid w:val="0F773AEC"/>
    <w:rsid w:val="0F8B4398"/>
    <w:rsid w:val="0FAF2D3E"/>
    <w:rsid w:val="10030D22"/>
    <w:rsid w:val="109C2F25"/>
    <w:rsid w:val="10DC1574"/>
    <w:rsid w:val="112235C2"/>
    <w:rsid w:val="11BD13A5"/>
    <w:rsid w:val="120E69DB"/>
    <w:rsid w:val="12E110C3"/>
    <w:rsid w:val="13B92B25"/>
    <w:rsid w:val="149B452F"/>
    <w:rsid w:val="14E04115"/>
    <w:rsid w:val="15393709"/>
    <w:rsid w:val="161731D1"/>
    <w:rsid w:val="16492AAC"/>
    <w:rsid w:val="17222EAE"/>
    <w:rsid w:val="17234B3C"/>
    <w:rsid w:val="174F0C42"/>
    <w:rsid w:val="17E5229C"/>
    <w:rsid w:val="180715CC"/>
    <w:rsid w:val="18D26CD5"/>
    <w:rsid w:val="18DA283C"/>
    <w:rsid w:val="18E611E1"/>
    <w:rsid w:val="19234583"/>
    <w:rsid w:val="1A243254"/>
    <w:rsid w:val="1AE72AED"/>
    <w:rsid w:val="1C5254BF"/>
    <w:rsid w:val="1C690161"/>
    <w:rsid w:val="1CFA12B9"/>
    <w:rsid w:val="1CFC0B0C"/>
    <w:rsid w:val="1D4E55A7"/>
    <w:rsid w:val="1D5C3353"/>
    <w:rsid w:val="1DA11B98"/>
    <w:rsid w:val="1DCE5BCC"/>
    <w:rsid w:val="1E537319"/>
    <w:rsid w:val="1E5C414D"/>
    <w:rsid w:val="20784E15"/>
    <w:rsid w:val="20C35284"/>
    <w:rsid w:val="20D03CE6"/>
    <w:rsid w:val="21366A7E"/>
    <w:rsid w:val="213F3B84"/>
    <w:rsid w:val="21D73DBD"/>
    <w:rsid w:val="225B679C"/>
    <w:rsid w:val="22935AE9"/>
    <w:rsid w:val="2325284A"/>
    <w:rsid w:val="2327091D"/>
    <w:rsid w:val="237302E3"/>
    <w:rsid w:val="24003335"/>
    <w:rsid w:val="24514225"/>
    <w:rsid w:val="24932828"/>
    <w:rsid w:val="257F2008"/>
    <w:rsid w:val="25AA21EA"/>
    <w:rsid w:val="25F35D34"/>
    <w:rsid w:val="270A7185"/>
    <w:rsid w:val="27550966"/>
    <w:rsid w:val="27C623BA"/>
    <w:rsid w:val="293D6BFB"/>
    <w:rsid w:val="2994431C"/>
    <w:rsid w:val="2A252FF6"/>
    <w:rsid w:val="2A562929"/>
    <w:rsid w:val="2AC44D5F"/>
    <w:rsid w:val="2ACD19B4"/>
    <w:rsid w:val="2B724B56"/>
    <w:rsid w:val="2B7A6E44"/>
    <w:rsid w:val="2BDA65EC"/>
    <w:rsid w:val="2C78619D"/>
    <w:rsid w:val="2C884632"/>
    <w:rsid w:val="2E136AA5"/>
    <w:rsid w:val="2E3C5EB8"/>
    <w:rsid w:val="2EBC2938"/>
    <w:rsid w:val="2FAC0C09"/>
    <w:rsid w:val="2FB10C54"/>
    <w:rsid w:val="2FE06FDD"/>
    <w:rsid w:val="2FF429A3"/>
    <w:rsid w:val="30C46377"/>
    <w:rsid w:val="317C04DD"/>
    <w:rsid w:val="318B6016"/>
    <w:rsid w:val="31AA329C"/>
    <w:rsid w:val="3235361D"/>
    <w:rsid w:val="323739ED"/>
    <w:rsid w:val="32C95D77"/>
    <w:rsid w:val="33E16D1D"/>
    <w:rsid w:val="342310E4"/>
    <w:rsid w:val="34256C5C"/>
    <w:rsid w:val="34D67F04"/>
    <w:rsid w:val="34F27058"/>
    <w:rsid w:val="35203AD9"/>
    <w:rsid w:val="35C209EC"/>
    <w:rsid w:val="36233D62"/>
    <w:rsid w:val="36911A1F"/>
    <w:rsid w:val="36FA6BAB"/>
    <w:rsid w:val="37155300"/>
    <w:rsid w:val="376B702A"/>
    <w:rsid w:val="37974FD7"/>
    <w:rsid w:val="382C1457"/>
    <w:rsid w:val="383257E5"/>
    <w:rsid w:val="389D4A65"/>
    <w:rsid w:val="38BC0217"/>
    <w:rsid w:val="39757442"/>
    <w:rsid w:val="39A34F54"/>
    <w:rsid w:val="3AB962FE"/>
    <w:rsid w:val="3B6224F2"/>
    <w:rsid w:val="3C5B6581"/>
    <w:rsid w:val="3C5E535B"/>
    <w:rsid w:val="3C5F0234"/>
    <w:rsid w:val="3C984A2F"/>
    <w:rsid w:val="3E830785"/>
    <w:rsid w:val="3ECC2AA4"/>
    <w:rsid w:val="3EF835C8"/>
    <w:rsid w:val="3F750635"/>
    <w:rsid w:val="401008FA"/>
    <w:rsid w:val="402E02A7"/>
    <w:rsid w:val="40700DAC"/>
    <w:rsid w:val="41DD486A"/>
    <w:rsid w:val="42553A22"/>
    <w:rsid w:val="42AD2BBA"/>
    <w:rsid w:val="42AE19DD"/>
    <w:rsid w:val="43192398"/>
    <w:rsid w:val="44120A94"/>
    <w:rsid w:val="445769C9"/>
    <w:rsid w:val="445826E4"/>
    <w:rsid w:val="44DB3950"/>
    <w:rsid w:val="45291FC0"/>
    <w:rsid w:val="45DC7F9A"/>
    <w:rsid w:val="45EF7078"/>
    <w:rsid w:val="465F4B2D"/>
    <w:rsid w:val="466D1F47"/>
    <w:rsid w:val="476B5EF1"/>
    <w:rsid w:val="479245F9"/>
    <w:rsid w:val="47AB7721"/>
    <w:rsid w:val="47AE06A6"/>
    <w:rsid w:val="48013092"/>
    <w:rsid w:val="48243B68"/>
    <w:rsid w:val="488B0DB2"/>
    <w:rsid w:val="49303CF7"/>
    <w:rsid w:val="49652363"/>
    <w:rsid w:val="49A907E4"/>
    <w:rsid w:val="4A0F3952"/>
    <w:rsid w:val="4B2D7F8F"/>
    <w:rsid w:val="4B5123FB"/>
    <w:rsid w:val="4BF278C2"/>
    <w:rsid w:val="4C4C0F0B"/>
    <w:rsid w:val="4C507EE6"/>
    <w:rsid w:val="4C7622A1"/>
    <w:rsid w:val="4C8C5620"/>
    <w:rsid w:val="4D130666"/>
    <w:rsid w:val="4D551EB6"/>
    <w:rsid w:val="4D711E4D"/>
    <w:rsid w:val="4DCD1A36"/>
    <w:rsid w:val="4EE07773"/>
    <w:rsid w:val="4F3B7E1F"/>
    <w:rsid w:val="4F8151E4"/>
    <w:rsid w:val="4FA879D9"/>
    <w:rsid w:val="50AF7567"/>
    <w:rsid w:val="50B138A7"/>
    <w:rsid w:val="50F20458"/>
    <w:rsid w:val="5118661C"/>
    <w:rsid w:val="51263104"/>
    <w:rsid w:val="518E7838"/>
    <w:rsid w:val="52974503"/>
    <w:rsid w:val="52EB2107"/>
    <w:rsid w:val="532D7F8B"/>
    <w:rsid w:val="534D2933"/>
    <w:rsid w:val="534F73A8"/>
    <w:rsid w:val="53982AFD"/>
    <w:rsid w:val="548B5741"/>
    <w:rsid w:val="54B44908"/>
    <w:rsid w:val="54BA15B2"/>
    <w:rsid w:val="54FC355F"/>
    <w:rsid w:val="55831A74"/>
    <w:rsid w:val="57F8018B"/>
    <w:rsid w:val="58205D3B"/>
    <w:rsid w:val="587C547D"/>
    <w:rsid w:val="588D5689"/>
    <w:rsid w:val="590B1FC3"/>
    <w:rsid w:val="59183990"/>
    <w:rsid w:val="59EE55ED"/>
    <w:rsid w:val="5A004A30"/>
    <w:rsid w:val="5A933E27"/>
    <w:rsid w:val="5AF42517"/>
    <w:rsid w:val="5C322624"/>
    <w:rsid w:val="5C5F68AD"/>
    <w:rsid w:val="5C71038F"/>
    <w:rsid w:val="5C82259C"/>
    <w:rsid w:val="5DFC2FFA"/>
    <w:rsid w:val="5E113BD7"/>
    <w:rsid w:val="5E323EA3"/>
    <w:rsid w:val="5E632DDB"/>
    <w:rsid w:val="5EA25CCA"/>
    <w:rsid w:val="5EF552A7"/>
    <w:rsid w:val="60123C27"/>
    <w:rsid w:val="603B318E"/>
    <w:rsid w:val="60CD61E0"/>
    <w:rsid w:val="60FB119E"/>
    <w:rsid w:val="611759A9"/>
    <w:rsid w:val="616A18E2"/>
    <w:rsid w:val="61EF3D39"/>
    <w:rsid w:val="621B179A"/>
    <w:rsid w:val="622D39F5"/>
    <w:rsid w:val="626B258D"/>
    <w:rsid w:val="63A63296"/>
    <w:rsid w:val="642B3543"/>
    <w:rsid w:val="6437288F"/>
    <w:rsid w:val="64CF55AC"/>
    <w:rsid w:val="6525608D"/>
    <w:rsid w:val="652A7C9A"/>
    <w:rsid w:val="65FA646A"/>
    <w:rsid w:val="679766C0"/>
    <w:rsid w:val="68092E92"/>
    <w:rsid w:val="68F17EB2"/>
    <w:rsid w:val="69287E0E"/>
    <w:rsid w:val="694B635A"/>
    <w:rsid w:val="6985092D"/>
    <w:rsid w:val="6ACF7B20"/>
    <w:rsid w:val="6AD95A7D"/>
    <w:rsid w:val="6AF26B3F"/>
    <w:rsid w:val="6B3D58FF"/>
    <w:rsid w:val="6BA408F4"/>
    <w:rsid w:val="6C7D068A"/>
    <w:rsid w:val="6CBD1451"/>
    <w:rsid w:val="6D91263F"/>
    <w:rsid w:val="6E816588"/>
    <w:rsid w:val="6FCB7806"/>
    <w:rsid w:val="704A2F79"/>
    <w:rsid w:val="70F24DF4"/>
    <w:rsid w:val="70F50EA9"/>
    <w:rsid w:val="71593474"/>
    <w:rsid w:val="716D3419"/>
    <w:rsid w:val="71714531"/>
    <w:rsid w:val="71940950"/>
    <w:rsid w:val="722D4D79"/>
    <w:rsid w:val="72824E1C"/>
    <w:rsid w:val="729D74FA"/>
    <w:rsid w:val="72B92643"/>
    <w:rsid w:val="73374439"/>
    <w:rsid w:val="73740A39"/>
    <w:rsid w:val="74C741F1"/>
    <w:rsid w:val="74F43CFB"/>
    <w:rsid w:val="75F111BF"/>
    <w:rsid w:val="763149BF"/>
    <w:rsid w:val="7655136F"/>
    <w:rsid w:val="766E1C96"/>
    <w:rsid w:val="766F5938"/>
    <w:rsid w:val="768510B5"/>
    <w:rsid w:val="76876CD5"/>
    <w:rsid w:val="76A84CD5"/>
    <w:rsid w:val="770B3462"/>
    <w:rsid w:val="781918E0"/>
    <w:rsid w:val="78965447"/>
    <w:rsid w:val="79683B38"/>
    <w:rsid w:val="79A750A0"/>
    <w:rsid w:val="79BD0A91"/>
    <w:rsid w:val="7ACF09AD"/>
    <w:rsid w:val="7B8E4BEC"/>
    <w:rsid w:val="7C105077"/>
    <w:rsid w:val="7C2154D6"/>
    <w:rsid w:val="7C693446"/>
    <w:rsid w:val="7C7B7F6A"/>
    <w:rsid w:val="7D0E4000"/>
    <w:rsid w:val="7E897D0F"/>
    <w:rsid w:val="7ED97280"/>
    <w:rsid w:val="7F874EC5"/>
    <w:rsid w:val="7FBA7E61"/>
    <w:rsid w:val="7FC66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3">
    <w:name w:val="heading 1"/>
    <w:basedOn w:val="1"/>
    <w:next w:val="1"/>
    <w:link w:val="45"/>
    <w:qFormat/>
    <w:uiPriority w:val="0"/>
    <w:pPr>
      <w:keepNext/>
      <w:keepLines/>
      <w:adjustRightInd w:val="0"/>
      <w:spacing w:line="360" w:lineRule="auto"/>
      <w:outlineLvl w:val="0"/>
    </w:pPr>
    <w:rPr>
      <w:rFonts w:ascii="宋体"/>
      <w:b/>
      <w:kern w:val="44"/>
      <w:sz w:val="44"/>
      <w:szCs w:val="20"/>
    </w:rPr>
  </w:style>
  <w:style w:type="paragraph" w:styleId="2">
    <w:name w:val="heading 2"/>
    <w:basedOn w:val="1"/>
    <w:next w:val="1"/>
    <w:qFormat/>
    <w:uiPriority w:val="0"/>
    <w:pPr>
      <w:keepNext/>
      <w:keepLines/>
      <w:adjustRightInd w:val="0"/>
      <w:spacing w:before="260" w:after="260" w:line="416" w:lineRule="atLeast"/>
      <w:outlineLvl w:val="1"/>
    </w:pPr>
    <w:rPr>
      <w:rFonts w:ascii="宋体"/>
      <w:b/>
      <w:kern w:val="44"/>
      <w:sz w:val="28"/>
      <w:szCs w:val="20"/>
    </w:rPr>
  </w:style>
  <w:style w:type="paragraph" w:styleId="4">
    <w:name w:val="heading 3"/>
    <w:basedOn w:val="1"/>
    <w:next w:val="5"/>
    <w:link w:val="46"/>
    <w:qFormat/>
    <w:uiPriority w:val="0"/>
    <w:pPr>
      <w:widowControl w:val="0"/>
      <w:tabs>
        <w:tab w:val="left" w:pos="680"/>
        <w:tab w:val="left" w:pos="907"/>
        <w:tab w:val="left" w:pos="1134"/>
        <w:tab w:val="left" w:pos="1361"/>
        <w:tab w:val="right" w:pos="6804"/>
        <w:tab w:val="left" w:pos="7088"/>
      </w:tabs>
      <w:adjustRightInd w:val="0"/>
      <w:spacing w:before="120" w:line="360" w:lineRule="atLeast"/>
      <w:jc w:val="left"/>
      <w:outlineLvl w:val="2"/>
    </w:pPr>
    <w:rPr>
      <w:rFonts w:ascii="Arial" w:hAnsi="Arial"/>
      <w:b/>
      <w:kern w:val="0"/>
      <w:sz w:val="24"/>
    </w:rPr>
  </w:style>
  <w:style w:type="paragraph" w:styleId="6">
    <w:name w:val="heading 4"/>
    <w:basedOn w:val="1"/>
    <w:next w:val="5"/>
    <w:link w:val="47"/>
    <w:qFormat/>
    <w:uiPriority w:val="0"/>
    <w:pPr>
      <w:keepNext/>
      <w:widowControl w:val="0"/>
      <w:adjustRightInd w:val="0"/>
      <w:spacing w:line="360" w:lineRule="auto"/>
      <w:ind w:left="454" w:hanging="425"/>
      <w:jc w:val="left"/>
      <w:outlineLvl w:val="3"/>
    </w:pPr>
    <w:rPr>
      <w:rFonts w:ascii="宋体"/>
      <w:i/>
      <w:kern w:val="0"/>
      <w:sz w:val="24"/>
      <w:szCs w:val="20"/>
    </w:rPr>
  </w:style>
  <w:style w:type="paragraph" w:styleId="7">
    <w:name w:val="heading 5"/>
    <w:basedOn w:val="1"/>
    <w:next w:val="5"/>
    <w:link w:val="48"/>
    <w:qFormat/>
    <w:uiPriority w:val="0"/>
    <w:pPr>
      <w:keepNext/>
      <w:keepLines/>
      <w:widowControl w:val="0"/>
      <w:spacing w:before="120" w:after="120"/>
      <w:ind w:left="310" w:firstLine="400"/>
      <w:textAlignment w:val="auto"/>
      <w:outlineLvl w:val="4"/>
    </w:pPr>
    <w:rPr>
      <w:rFonts w:ascii="小标宋"/>
      <w:sz w:val="24"/>
      <w:szCs w:val="20"/>
    </w:rPr>
  </w:style>
  <w:style w:type="paragraph" w:styleId="8">
    <w:name w:val="heading 6"/>
    <w:basedOn w:val="1"/>
    <w:next w:val="5"/>
    <w:link w:val="49"/>
    <w:qFormat/>
    <w:uiPriority w:val="0"/>
    <w:pPr>
      <w:keepNext/>
      <w:keepLines/>
      <w:widowControl w:val="0"/>
      <w:spacing w:before="240" w:after="64" w:line="320" w:lineRule="auto"/>
      <w:ind w:left="310" w:firstLine="400"/>
      <w:textAlignment w:val="auto"/>
      <w:outlineLvl w:val="5"/>
    </w:pPr>
    <w:rPr>
      <w:rFonts w:ascii="Arial" w:hAnsi="Arial" w:eastAsia="黑体"/>
      <w:sz w:val="24"/>
      <w:szCs w:val="20"/>
    </w:rPr>
  </w:style>
  <w:style w:type="paragraph" w:styleId="9">
    <w:name w:val="heading 7"/>
    <w:basedOn w:val="1"/>
    <w:next w:val="5"/>
    <w:link w:val="50"/>
    <w:qFormat/>
    <w:uiPriority w:val="0"/>
    <w:pPr>
      <w:keepNext/>
      <w:keepLines/>
      <w:widowControl w:val="0"/>
      <w:spacing w:before="240" w:after="64" w:line="320" w:lineRule="auto"/>
      <w:ind w:left="310" w:firstLine="400"/>
      <w:textAlignment w:val="auto"/>
      <w:outlineLvl w:val="6"/>
    </w:pPr>
    <w:rPr>
      <w:rFonts w:ascii="宋体"/>
      <w:sz w:val="24"/>
      <w:szCs w:val="20"/>
    </w:rPr>
  </w:style>
  <w:style w:type="paragraph" w:styleId="10">
    <w:name w:val="heading 8"/>
    <w:basedOn w:val="1"/>
    <w:next w:val="5"/>
    <w:link w:val="51"/>
    <w:qFormat/>
    <w:uiPriority w:val="0"/>
    <w:pPr>
      <w:keepNext/>
      <w:keepLines/>
      <w:widowControl w:val="0"/>
      <w:spacing w:before="240" w:after="64" w:line="320" w:lineRule="auto"/>
      <w:ind w:left="310" w:firstLine="400"/>
      <w:textAlignment w:val="auto"/>
      <w:outlineLvl w:val="7"/>
    </w:pPr>
    <w:rPr>
      <w:rFonts w:ascii="Arial" w:hAnsi="Arial" w:eastAsia="黑体"/>
      <w:b/>
      <w:sz w:val="24"/>
      <w:szCs w:val="20"/>
    </w:rPr>
  </w:style>
  <w:style w:type="paragraph" w:styleId="11">
    <w:name w:val="heading 9"/>
    <w:basedOn w:val="1"/>
    <w:next w:val="5"/>
    <w:link w:val="52"/>
    <w:qFormat/>
    <w:uiPriority w:val="0"/>
    <w:pPr>
      <w:keepNext/>
      <w:keepLines/>
      <w:widowControl w:val="0"/>
      <w:spacing w:before="240" w:after="64" w:line="320" w:lineRule="auto"/>
      <w:ind w:left="310" w:firstLine="400"/>
      <w:textAlignment w:val="auto"/>
      <w:outlineLvl w:val="8"/>
    </w:pPr>
    <w:rPr>
      <w:rFonts w:ascii="Arial" w:hAnsi="Arial" w:eastAsia="黑体"/>
      <w:b/>
      <w:sz w:val="24"/>
      <w:szCs w:val="20"/>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widowControl w:val="0"/>
      <w:adjustRightInd w:val="0"/>
      <w:spacing w:line="360" w:lineRule="atLeast"/>
      <w:ind w:firstLine="420"/>
      <w:jc w:val="left"/>
    </w:pPr>
    <w:rPr>
      <w:kern w:val="0"/>
      <w:sz w:val="24"/>
      <w:szCs w:val="20"/>
    </w:rPr>
  </w:style>
  <w:style w:type="paragraph" w:styleId="12">
    <w:name w:val="Document Map"/>
    <w:basedOn w:val="1"/>
    <w:link w:val="77"/>
    <w:semiHidden/>
    <w:qFormat/>
    <w:uiPriority w:val="0"/>
    <w:pPr>
      <w:widowControl w:val="0"/>
      <w:shd w:val="clear" w:color="auto" w:fill="000080"/>
      <w:textAlignment w:val="auto"/>
    </w:pPr>
    <w:rPr>
      <w:sz w:val="24"/>
    </w:rPr>
  </w:style>
  <w:style w:type="paragraph" w:styleId="13">
    <w:name w:val="annotation text"/>
    <w:basedOn w:val="1"/>
    <w:link w:val="78"/>
    <w:semiHidden/>
    <w:qFormat/>
    <w:uiPriority w:val="0"/>
    <w:pPr>
      <w:widowControl w:val="0"/>
      <w:jc w:val="left"/>
      <w:textAlignment w:val="auto"/>
    </w:pPr>
    <w:rPr>
      <w:sz w:val="24"/>
    </w:rPr>
  </w:style>
  <w:style w:type="paragraph" w:styleId="14">
    <w:name w:val="Body Text"/>
    <w:basedOn w:val="1"/>
    <w:link w:val="79"/>
    <w:qFormat/>
    <w:uiPriority w:val="0"/>
    <w:pPr>
      <w:widowControl w:val="0"/>
      <w:spacing w:after="120"/>
      <w:textAlignment w:val="auto"/>
    </w:pPr>
    <w:rPr>
      <w:sz w:val="24"/>
    </w:rPr>
  </w:style>
  <w:style w:type="paragraph" w:styleId="15">
    <w:name w:val="Body Text Indent"/>
    <w:basedOn w:val="1"/>
    <w:link w:val="80"/>
    <w:qFormat/>
    <w:uiPriority w:val="0"/>
    <w:pPr>
      <w:widowControl w:val="0"/>
      <w:adjustRightInd w:val="0"/>
      <w:spacing w:line="360" w:lineRule="auto"/>
      <w:ind w:firstLine="480"/>
      <w:jc w:val="left"/>
    </w:pPr>
    <w:rPr>
      <w:rFonts w:ascii="宋体"/>
      <w:color w:val="0000FF"/>
      <w:kern w:val="0"/>
      <w:sz w:val="24"/>
      <w:szCs w:val="20"/>
    </w:rPr>
  </w:style>
  <w:style w:type="paragraph" w:styleId="16">
    <w:name w:val="Plain Text"/>
    <w:basedOn w:val="1"/>
    <w:qFormat/>
    <w:uiPriority w:val="0"/>
    <w:rPr>
      <w:rFonts w:ascii="宋体" w:hAnsi="Courier New"/>
      <w:szCs w:val="20"/>
    </w:rPr>
  </w:style>
  <w:style w:type="paragraph" w:styleId="17">
    <w:name w:val="Date"/>
    <w:basedOn w:val="1"/>
    <w:next w:val="1"/>
    <w:qFormat/>
    <w:uiPriority w:val="0"/>
    <w:pPr>
      <w:ind w:left="100" w:leftChars="2500"/>
    </w:pPr>
  </w:style>
  <w:style w:type="paragraph" w:styleId="18">
    <w:name w:val="Body Text Indent 2"/>
    <w:basedOn w:val="1"/>
    <w:link w:val="81"/>
    <w:qFormat/>
    <w:uiPriority w:val="0"/>
    <w:pPr>
      <w:widowControl w:val="0"/>
      <w:adjustRightInd w:val="0"/>
      <w:spacing w:line="0" w:lineRule="atLeast"/>
      <w:ind w:right="202" w:firstLine="630" w:firstLineChars="225"/>
      <w:jc w:val="left"/>
    </w:pPr>
    <w:rPr>
      <w:rFonts w:ascii="宋体"/>
      <w:spacing w:val="20"/>
      <w:kern w:val="0"/>
      <w:position w:val="20"/>
      <w:sz w:val="24"/>
      <w:szCs w:val="20"/>
    </w:rPr>
  </w:style>
  <w:style w:type="paragraph" w:styleId="19">
    <w:name w:val="Balloon Text"/>
    <w:basedOn w:val="1"/>
    <w:link w:val="53"/>
    <w:semiHidden/>
    <w:unhideWhenUsed/>
    <w:qFormat/>
    <w:uiPriority w:val="0"/>
    <w:rPr>
      <w:sz w:val="18"/>
      <w:szCs w:val="18"/>
    </w:rPr>
  </w:style>
  <w:style w:type="paragraph" w:styleId="20">
    <w:name w:val="footer"/>
    <w:basedOn w:val="1"/>
    <w:qFormat/>
    <w:uiPriority w:val="0"/>
    <w:pPr>
      <w:tabs>
        <w:tab w:val="center" w:pos="4153"/>
        <w:tab w:val="right" w:pos="8306"/>
      </w:tabs>
      <w:adjustRightInd w:val="0"/>
      <w:spacing w:line="240" w:lineRule="atLeast"/>
      <w:jc w:val="left"/>
    </w:pPr>
    <w:rPr>
      <w:kern w:val="0"/>
      <w:sz w:val="18"/>
      <w:szCs w:val="20"/>
    </w:rPr>
  </w:style>
  <w:style w:type="paragraph" w:styleId="21">
    <w:name w:val="header"/>
    <w:basedOn w:val="1"/>
    <w:qFormat/>
    <w:uiPriority w:val="0"/>
    <w:pPr>
      <w:pBdr>
        <w:bottom w:val="single" w:color="auto" w:sz="6" w:space="1"/>
      </w:pBdr>
      <w:tabs>
        <w:tab w:val="center" w:pos="4153"/>
        <w:tab w:val="right" w:pos="8306"/>
      </w:tabs>
      <w:adjustRightInd w:val="0"/>
      <w:snapToGrid w:val="0"/>
      <w:spacing w:line="240" w:lineRule="atLeast"/>
      <w:jc w:val="center"/>
    </w:pPr>
    <w:rPr>
      <w:kern w:val="0"/>
      <w:sz w:val="18"/>
      <w:szCs w:val="20"/>
    </w:rPr>
  </w:style>
  <w:style w:type="paragraph" w:styleId="22">
    <w:name w:val="toc 1"/>
    <w:basedOn w:val="1"/>
    <w:next w:val="1"/>
    <w:semiHidden/>
    <w:qFormat/>
    <w:uiPriority w:val="0"/>
    <w:pPr>
      <w:widowControl w:val="0"/>
      <w:tabs>
        <w:tab w:val="right" w:leader="dot" w:pos="8820"/>
      </w:tabs>
      <w:adjustRightInd w:val="0"/>
      <w:spacing w:line="360" w:lineRule="auto"/>
      <w:jc w:val="left"/>
    </w:pPr>
    <w:rPr>
      <w:rFonts w:ascii="宋体" w:hAnsi="宋体"/>
      <w:b/>
      <w:kern w:val="0"/>
      <w:sz w:val="30"/>
      <w:szCs w:val="30"/>
    </w:rPr>
  </w:style>
  <w:style w:type="paragraph" w:styleId="23">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24">
    <w:name w:val="Body Text Indent 3"/>
    <w:basedOn w:val="1"/>
    <w:link w:val="82"/>
    <w:qFormat/>
    <w:uiPriority w:val="0"/>
    <w:pPr>
      <w:widowControl w:val="0"/>
      <w:adjustRightInd w:val="0"/>
      <w:spacing w:line="360" w:lineRule="auto"/>
      <w:ind w:firstLine="780" w:firstLineChars="300"/>
      <w:jc w:val="left"/>
    </w:pPr>
    <w:rPr>
      <w:color w:val="FF0000"/>
      <w:spacing w:val="10"/>
      <w:kern w:val="0"/>
      <w:sz w:val="24"/>
      <w:szCs w:val="20"/>
      <w:u w:val="single"/>
    </w:rPr>
  </w:style>
  <w:style w:type="paragraph" w:styleId="25">
    <w:name w:val="Normal (Web)"/>
    <w:basedOn w:val="1"/>
    <w:unhideWhenUsed/>
    <w:qFormat/>
    <w:uiPriority w:val="0"/>
    <w:rPr>
      <w:sz w:val="24"/>
    </w:rPr>
  </w:style>
  <w:style w:type="paragraph" w:styleId="26">
    <w:name w:val="Title"/>
    <w:basedOn w:val="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83"/>
    <w:semiHidden/>
    <w:qFormat/>
    <w:uiPriority w:val="0"/>
    <w:rPr>
      <w:b/>
      <w:bCs/>
    </w:rPr>
  </w:style>
  <w:style w:type="paragraph" w:styleId="28">
    <w:name w:val="Body Text First Indent"/>
    <w:basedOn w:val="14"/>
    <w:link w:val="84"/>
    <w:qFormat/>
    <w:uiPriority w:val="0"/>
    <w:pPr>
      <w:spacing w:after="0"/>
      <w:ind w:firstLine="420"/>
    </w:pPr>
    <w:rPr>
      <w:szCs w:val="20"/>
    </w:rPr>
  </w:style>
  <w:style w:type="paragraph" w:styleId="29">
    <w:name w:val="Body Text First Indent 2"/>
    <w:basedOn w:val="15"/>
    <w:qFormat/>
    <w:uiPriority w:val="0"/>
    <w:pPr>
      <w:ind w:firstLine="420" w:firstLineChars="200"/>
    </w:pPr>
    <w:rPr>
      <w:szCs w:val="24"/>
    </w:rPr>
  </w:style>
  <w:style w:type="table" w:styleId="31">
    <w:name w:val="Table Grid"/>
    <w:basedOn w:val="3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4"/>
    <w:qFormat/>
    <w:uiPriority w:val="0"/>
    <w:rPr>
      <w:rFonts w:cs="Times New Roman"/>
      <w:b/>
      <w:bCs/>
    </w:rPr>
  </w:style>
  <w:style w:type="character" w:customStyle="1" w:styleId="34">
    <w:name w:val="NormalCharacter"/>
    <w:qFormat/>
    <w:uiPriority w:val="0"/>
  </w:style>
  <w:style w:type="character" w:styleId="35">
    <w:name w:val="page number"/>
    <w:basedOn w:val="32"/>
    <w:qFormat/>
    <w:uiPriority w:val="0"/>
  </w:style>
  <w:style w:type="character" w:styleId="36">
    <w:name w:val="FollowedHyperlink"/>
    <w:qFormat/>
    <w:uiPriority w:val="0"/>
    <w:rPr>
      <w:color w:val="3F88BF"/>
      <w:kern w:val="0"/>
      <w:u w:val="none"/>
    </w:rPr>
  </w:style>
  <w:style w:type="character" w:styleId="37">
    <w:name w:val="Emphasis"/>
    <w:qFormat/>
    <w:uiPriority w:val="0"/>
    <w:rPr>
      <w:color w:val="CC0000"/>
      <w:kern w:val="0"/>
    </w:rPr>
  </w:style>
  <w:style w:type="character" w:styleId="38">
    <w:name w:val="HTML Definition"/>
    <w:qFormat/>
    <w:uiPriority w:val="0"/>
    <w:rPr>
      <w:kern w:val="0"/>
    </w:rPr>
  </w:style>
  <w:style w:type="character" w:styleId="39">
    <w:name w:val="HTML Variable"/>
    <w:qFormat/>
    <w:uiPriority w:val="0"/>
    <w:rPr>
      <w:kern w:val="0"/>
    </w:rPr>
  </w:style>
  <w:style w:type="character" w:styleId="40">
    <w:name w:val="Hyperlink"/>
    <w:basedOn w:val="34"/>
    <w:qFormat/>
    <w:uiPriority w:val="0"/>
    <w:rPr>
      <w:color w:val="0000FF"/>
      <w:u w:val="single"/>
    </w:rPr>
  </w:style>
  <w:style w:type="character" w:styleId="41">
    <w:name w:val="HTML Code"/>
    <w:qFormat/>
    <w:uiPriority w:val="0"/>
    <w:rPr>
      <w:rFonts w:hint="default" w:ascii="PingFang SC" w:hAnsi="PingFang SC" w:eastAsia="PingFang SC" w:cs="PingFang SC"/>
      <w:kern w:val="0"/>
      <w:sz w:val="20"/>
    </w:rPr>
  </w:style>
  <w:style w:type="character" w:styleId="42">
    <w:name w:val="HTML Cite"/>
    <w:qFormat/>
    <w:uiPriority w:val="0"/>
    <w:rPr>
      <w:color w:val="008000"/>
      <w:kern w:val="0"/>
    </w:rPr>
  </w:style>
  <w:style w:type="character" w:styleId="43">
    <w:name w:val="HTML Keyboard"/>
    <w:qFormat/>
    <w:uiPriority w:val="0"/>
    <w:rPr>
      <w:rFonts w:hint="default" w:ascii="PingFang SC" w:hAnsi="PingFang SC" w:eastAsia="PingFang SC" w:cs="PingFang SC"/>
      <w:kern w:val="0"/>
      <w:sz w:val="20"/>
    </w:rPr>
  </w:style>
  <w:style w:type="character" w:styleId="44">
    <w:name w:val="HTML Sample"/>
    <w:qFormat/>
    <w:uiPriority w:val="0"/>
    <w:rPr>
      <w:rFonts w:hint="default" w:ascii="PingFang SC" w:hAnsi="PingFang SC" w:eastAsia="PingFang SC" w:cs="PingFang SC"/>
      <w:kern w:val="0"/>
    </w:rPr>
  </w:style>
  <w:style w:type="character" w:customStyle="1" w:styleId="45">
    <w:name w:val="标题 1 字符"/>
    <w:link w:val="3"/>
    <w:qFormat/>
    <w:uiPriority w:val="0"/>
    <w:rPr>
      <w:rFonts w:ascii="宋体"/>
      <w:b/>
      <w:kern w:val="44"/>
      <w:sz w:val="44"/>
    </w:rPr>
  </w:style>
  <w:style w:type="character" w:customStyle="1" w:styleId="46">
    <w:name w:val="标题 3 字符"/>
    <w:basedOn w:val="32"/>
    <w:link w:val="4"/>
    <w:qFormat/>
    <w:uiPriority w:val="0"/>
    <w:rPr>
      <w:rFonts w:ascii="Arial" w:hAnsi="Arial"/>
      <w:b/>
      <w:sz w:val="24"/>
      <w:szCs w:val="24"/>
    </w:rPr>
  </w:style>
  <w:style w:type="character" w:customStyle="1" w:styleId="47">
    <w:name w:val="标题 4 字符"/>
    <w:basedOn w:val="32"/>
    <w:link w:val="6"/>
    <w:qFormat/>
    <w:uiPriority w:val="0"/>
    <w:rPr>
      <w:rFonts w:ascii="宋体"/>
      <w:i/>
      <w:sz w:val="24"/>
    </w:rPr>
  </w:style>
  <w:style w:type="character" w:customStyle="1" w:styleId="48">
    <w:name w:val="标题 5 字符"/>
    <w:basedOn w:val="32"/>
    <w:link w:val="7"/>
    <w:qFormat/>
    <w:uiPriority w:val="0"/>
    <w:rPr>
      <w:rFonts w:ascii="小标宋"/>
      <w:kern w:val="2"/>
      <w:sz w:val="24"/>
    </w:rPr>
  </w:style>
  <w:style w:type="character" w:customStyle="1" w:styleId="49">
    <w:name w:val="标题 6 字符"/>
    <w:basedOn w:val="32"/>
    <w:link w:val="8"/>
    <w:qFormat/>
    <w:uiPriority w:val="0"/>
    <w:rPr>
      <w:rFonts w:ascii="Arial" w:hAnsi="Arial" w:eastAsia="黑体"/>
      <w:kern w:val="2"/>
      <w:sz w:val="24"/>
    </w:rPr>
  </w:style>
  <w:style w:type="character" w:customStyle="1" w:styleId="50">
    <w:name w:val="标题 7 字符"/>
    <w:basedOn w:val="32"/>
    <w:link w:val="9"/>
    <w:qFormat/>
    <w:uiPriority w:val="0"/>
    <w:rPr>
      <w:rFonts w:ascii="宋体"/>
      <w:kern w:val="2"/>
      <w:sz w:val="24"/>
    </w:rPr>
  </w:style>
  <w:style w:type="character" w:customStyle="1" w:styleId="51">
    <w:name w:val="标题 8 字符"/>
    <w:basedOn w:val="32"/>
    <w:link w:val="10"/>
    <w:qFormat/>
    <w:uiPriority w:val="0"/>
    <w:rPr>
      <w:rFonts w:ascii="Arial" w:hAnsi="Arial" w:eastAsia="黑体"/>
      <w:b/>
      <w:kern w:val="2"/>
      <w:sz w:val="24"/>
    </w:rPr>
  </w:style>
  <w:style w:type="character" w:customStyle="1" w:styleId="52">
    <w:name w:val="标题 9 字符"/>
    <w:basedOn w:val="32"/>
    <w:link w:val="11"/>
    <w:qFormat/>
    <w:uiPriority w:val="0"/>
    <w:rPr>
      <w:rFonts w:ascii="Arial" w:hAnsi="Arial" w:eastAsia="黑体"/>
      <w:b/>
      <w:kern w:val="2"/>
      <w:sz w:val="24"/>
    </w:rPr>
  </w:style>
  <w:style w:type="character" w:customStyle="1" w:styleId="53">
    <w:name w:val="批注框文本 字符"/>
    <w:basedOn w:val="32"/>
    <w:link w:val="19"/>
    <w:semiHidden/>
    <w:qFormat/>
    <w:uiPriority w:val="99"/>
    <w:rPr>
      <w:kern w:val="2"/>
      <w:sz w:val="18"/>
      <w:szCs w:val="18"/>
    </w:rPr>
  </w:style>
  <w:style w:type="paragraph" w:customStyle="1" w:styleId="54">
    <w:name w:val="Heading2"/>
    <w:basedOn w:val="1"/>
    <w:next w:val="1"/>
    <w:qFormat/>
    <w:uiPriority w:val="0"/>
    <w:pPr>
      <w:keepNext/>
      <w:keepLines/>
      <w:spacing w:before="260" w:after="260" w:line="416" w:lineRule="auto"/>
    </w:pPr>
    <w:rPr>
      <w:rFonts w:ascii="Arial" w:hAnsi="Arial" w:eastAsia="黑体"/>
      <w:b/>
      <w:bCs/>
      <w:sz w:val="32"/>
      <w:szCs w:val="32"/>
    </w:rPr>
  </w:style>
  <w:style w:type="paragraph" w:customStyle="1" w:styleId="55">
    <w:name w:val="Heading3"/>
    <w:basedOn w:val="1"/>
    <w:next w:val="1"/>
    <w:qFormat/>
    <w:uiPriority w:val="0"/>
    <w:pPr>
      <w:keepNext/>
      <w:keepLines/>
      <w:spacing w:before="260" w:after="260" w:line="416" w:lineRule="auto"/>
    </w:pPr>
    <w:rPr>
      <w:b/>
      <w:bCs/>
      <w:sz w:val="32"/>
      <w:szCs w:val="32"/>
    </w:rPr>
  </w:style>
  <w:style w:type="table" w:customStyle="1" w:styleId="56">
    <w:name w:val="TableNormal"/>
    <w:semiHidden/>
    <w:qFormat/>
    <w:uiPriority w:val="0"/>
    <w:tblPr>
      <w:tblCellMar>
        <w:top w:w="0" w:type="dxa"/>
        <w:left w:w="0" w:type="dxa"/>
        <w:bottom w:w="0" w:type="dxa"/>
        <w:right w:w="0" w:type="dxa"/>
      </w:tblCellMar>
    </w:tblPr>
  </w:style>
  <w:style w:type="character" w:customStyle="1" w:styleId="57">
    <w:name w:val="PageNumber"/>
    <w:basedOn w:val="34"/>
    <w:qFormat/>
    <w:uiPriority w:val="0"/>
  </w:style>
  <w:style w:type="paragraph" w:customStyle="1" w:styleId="58">
    <w:name w:val="TOC2"/>
    <w:basedOn w:val="1"/>
    <w:next w:val="1"/>
    <w:qFormat/>
    <w:uiPriority w:val="0"/>
    <w:pPr>
      <w:ind w:left="420" w:leftChars="200"/>
    </w:pPr>
  </w:style>
  <w:style w:type="paragraph" w:customStyle="1" w:styleId="59">
    <w:name w:val="TOC1"/>
    <w:basedOn w:val="1"/>
    <w:next w:val="1"/>
    <w:qFormat/>
    <w:uiPriority w:val="0"/>
  </w:style>
  <w:style w:type="paragraph" w:customStyle="1" w:styleId="60">
    <w:name w:val="Acetate"/>
    <w:basedOn w:val="1"/>
    <w:qFormat/>
    <w:uiPriority w:val="0"/>
    <w:rPr>
      <w:sz w:val="18"/>
      <w:szCs w:val="18"/>
    </w:rPr>
  </w:style>
  <w:style w:type="paragraph" w:customStyle="1" w:styleId="61">
    <w:name w:val="页脚1"/>
    <w:basedOn w:val="1"/>
    <w:qFormat/>
    <w:uiPriority w:val="0"/>
    <w:pPr>
      <w:tabs>
        <w:tab w:val="center" w:pos="4153"/>
        <w:tab w:val="right" w:pos="8306"/>
      </w:tabs>
      <w:snapToGrid w:val="0"/>
      <w:jc w:val="left"/>
    </w:pPr>
    <w:rPr>
      <w:rFonts w:ascii="宋体" w:hAnsi="宋体"/>
      <w:b/>
      <w:sz w:val="18"/>
      <w:szCs w:val="18"/>
    </w:rPr>
  </w:style>
  <w:style w:type="paragraph" w:customStyle="1" w:styleId="62">
    <w:name w:val="页眉1"/>
    <w:basedOn w:val="1"/>
    <w:qFormat/>
    <w:uiPriority w:val="0"/>
    <w:pPr>
      <w:pBdr>
        <w:bottom w:val="single" w:color="000000" w:sz="6" w:space="1"/>
      </w:pBdr>
      <w:tabs>
        <w:tab w:val="center" w:pos="4153"/>
        <w:tab w:val="right" w:pos="8306"/>
      </w:tabs>
      <w:snapToGrid w:val="0"/>
      <w:jc w:val="center"/>
    </w:pPr>
    <w:rPr>
      <w:sz w:val="18"/>
      <w:szCs w:val="18"/>
    </w:rPr>
  </w:style>
  <w:style w:type="paragraph" w:customStyle="1" w:styleId="63">
    <w:name w:val="UserStyle_0"/>
    <w:qFormat/>
    <w:uiPriority w:val="0"/>
    <w:pPr>
      <w:textAlignment w:val="baseline"/>
    </w:pPr>
    <w:rPr>
      <w:rFonts w:ascii="Times New Roman" w:hAnsi="Times New Roman" w:eastAsia="宋体" w:cs="Times New Roman"/>
      <w:lang w:val="en-US" w:eastAsia="zh-CN" w:bidi="ar-SA"/>
    </w:rPr>
  </w:style>
  <w:style w:type="paragraph" w:customStyle="1" w:styleId="64">
    <w:name w:val="UserStyle_1"/>
    <w:basedOn w:val="1"/>
    <w:qFormat/>
    <w:uiPriority w:val="0"/>
    <w:pPr>
      <w:snapToGrid w:val="0"/>
      <w:spacing w:line="360" w:lineRule="auto"/>
      <w:ind w:firstLine="560" w:firstLineChars="200"/>
    </w:pPr>
    <w:rPr>
      <w:rFonts w:ascii="宋体"/>
      <w:kern w:val="0"/>
      <w:sz w:val="28"/>
      <w:szCs w:val="20"/>
    </w:rPr>
  </w:style>
  <w:style w:type="paragraph" w:customStyle="1" w:styleId="65">
    <w:name w:val="UserStyle_2"/>
    <w:basedOn w:val="1"/>
    <w:qFormat/>
    <w:uiPriority w:val="0"/>
    <w:pPr>
      <w:tabs>
        <w:tab w:val="center" w:pos="4153"/>
        <w:tab w:val="right" w:pos="8306"/>
      </w:tabs>
      <w:snapToGrid w:val="0"/>
      <w:jc w:val="center"/>
    </w:pPr>
    <w:rPr>
      <w:sz w:val="18"/>
      <w:szCs w:val="18"/>
    </w:rPr>
  </w:style>
  <w:style w:type="paragraph" w:customStyle="1" w:styleId="66">
    <w:name w:val="UserStyle_3"/>
    <w:qFormat/>
    <w:uiPriority w:val="0"/>
    <w:pPr>
      <w:ind w:left="200" w:leftChars="200"/>
      <w:textAlignment w:val="baseline"/>
    </w:pPr>
    <w:rPr>
      <w:rFonts w:ascii="Times New Roman" w:hAnsi="Times New Roman" w:eastAsia="宋体" w:cs="Times New Roman"/>
      <w:lang w:val="en-US" w:eastAsia="zh-CN" w:bidi="ar-SA"/>
    </w:rPr>
  </w:style>
  <w:style w:type="paragraph" w:customStyle="1" w:styleId="67">
    <w:name w:val="UserStyle_4"/>
    <w:basedOn w:val="1"/>
    <w:qFormat/>
    <w:uiPriority w:val="0"/>
    <w:pPr>
      <w:spacing w:line="360" w:lineRule="auto"/>
    </w:pPr>
    <w:rPr>
      <w:rFonts w:ascii="宋体" w:hAnsi="宋体"/>
      <w:sz w:val="24"/>
      <w:szCs w:val="20"/>
    </w:rPr>
  </w:style>
  <w:style w:type="paragraph" w:customStyle="1" w:styleId="68">
    <w:name w:val="UserStyle_5"/>
    <w:basedOn w:val="55"/>
    <w:qFormat/>
    <w:uiPriority w:val="0"/>
    <w:pPr>
      <w:tabs>
        <w:tab w:val="left" w:pos="851"/>
        <w:tab w:val="left" w:pos="900"/>
      </w:tabs>
      <w:snapToGrid w:val="0"/>
      <w:spacing w:before="120" w:after="120" w:line="360" w:lineRule="auto"/>
      <w:ind w:firstLine="200" w:firstLineChars="200"/>
      <w:jc w:val="left"/>
    </w:pPr>
    <w:rPr>
      <w:rFonts w:eastAsia="黑体"/>
      <w:b w:val="0"/>
      <w:bCs w:val="0"/>
      <w:sz w:val="28"/>
      <w:szCs w:val="24"/>
    </w:rPr>
  </w:style>
  <w:style w:type="table" w:customStyle="1" w:styleId="69">
    <w:name w:val="UserStyle_6"/>
    <w:basedOn w:val="56"/>
    <w:qFormat/>
    <w:uiPriority w:val="0"/>
  </w:style>
  <w:style w:type="table" w:customStyle="1" w:styleId="70">
    <w:name w:val="UserStyle_7"/>
    <w:basedOn w:val="56"/>
    <w:qFormat/>
    <w:uiPriority w:val="0"/>
  </w:style>
  <w:style w:type="paragraph" w:customStyle="1" w:styleId="71">
    <w:name w:val="WPSOffice手动目录 1"/>
    <w:qFormat/>
    <w:uiPriority w:val="0"/>
    <w:rPr>
      <w:rFonts w:ascii="Times New Roman" w:hAnsi="Times New Roman" w:eastAsia="宋体" w:cs="Times New Roman"/>
      <w:lang w:val="en-US" w:eastAsia="zh-CN" w:bidi="ar-SA"/>
    </w:rPr>
  </w:style>
  <w:style w:type="paragraph" w:customStyle="1" w:styleId="72">
    <w:name w:val="列出段落1"/>
    <w:basedOn w:val="1"/>
    <w:qFormat/>
    <w:uiPriority w:val="0"/>
    <w:pPr>
      <w:ind w:firstLine="420" w:firstLineChars="200"/>
    </w:pPr>
  </w:style>
  <w:style w:type="character" w:customStyle="1" w:styleId="73">
    <w:name w:val="font11"/>
    <w:qFormat/>
    <w:uiPriority w:val="0"/>
    <w:rPr>
      <w:rFonts w:hint="eastAsia" w:ascii="宋体" w:hAnsi="宋体" w:eastAsia="宋体" w:cs="宋体"/>
      <w:color w:val="000000"/>
      <w:sz w:val="20"/>
      <w:szCs w:val="20"/>
      <w:u w:val="none"/>
    </w:rPr>
  </w:style>
  <w:style w:type="character" w:customStyle="1" w:styleId="74">
    <w:name w:val="font21"/>
    <w:qFormat/>
    <w:uiPriority w:val="0"/>
    <w:rPr>
      <w:rFonts w:hint="eastAsia" w:ascii="宋体" w:hAnsi="宋体" w:eastAsia="宋体" w:cs="宋体"/>
      <w:color w:val="000000"/>
      <w:sz w:val="20"/>
      <w:szCs w:val="20"/>
      <w:u w:val="none"/>
    </w:rPr>
  </w:style>
  <w:style w:type="paragraph" w:customStyle="1" w:styleId="75">
    <w:name w:val="首行缩进"/>
    <w:basedOn w:val="1"/>
    <w:qFormat/>
    <w:uiPriority w:val="0"/>
    <w:pPr>
      <w:shd w:val="clear" w:color="auto" w:fill="FFFFFF"/>
      <w:tabs>
        <w:tab w:val="left" w:pos="426"/>
      </w:tabs>
      <w:spacing w:line="480" w:lineRule="exact"/>
      <w:ind w:right="-21" w:rightChars="-21" w:firstLine="200" w:firstLineChars="200"/>
      <w:jc w:val="left"/>
    </w:pPr>
    <w:rPr>
      <w:rFonts w:ascii="宋体" w:hAnsi="宋体" w:cs="宋体"/>
      <w:bCs/>
      <w:szCs w:val="22"/>
    </w:rPr>
  </w:style>
  <w:style w:type="paragraph" w:styleId="76">
    <w:name w:val="List Paragraph"/>
    <w:basedOn w:val="1"/>
    <w:unhideWhenUsed/>
    <w:qFormat/>
    <w:uiPriority w:val="99"/>
    <w:pPr>
      <w:ind w:firstLine="420" w:firstLineChars="200"/>
    </w:pPr>
  </w:style>
  <w:style w:type="character" w:customStyle="1" w:styleId="77">
    <w:name w:val="文档结构图 字符"/>
    <w:basedOn w:val="32"/>
    <w:link w:val="12"/>
    <w:semiHidden/>
    <w:qFormat/>
    <w:uiPriority w:val="0"/>
    <w:rPr>
      <w:kern w:val="2"/>
      <w:sz w:val="24"/>
      <w:szCs w:val="24"/>
      <w:shd w:val="clear" w:color="auto" w:fill="000080"/>
    </w:rPr>
  </w:style>
  <w:style w:type="character" w:customStyle="1" w:styleId="78">
    <w:name w:val="批注文字 字符"/>
    <w:basedOn w:val="32"/>
    <w:link w:val="13"/>
    <w:semiHidden/>
    <w:qFormat/>
    <w:uiPriority w:val="0"/>
    <w:rPr>
      <w:kern w:val="2"/>
      <w:sz w:val="24"/>
      <w:szCs w:val="24"/>
    </w:rPr>
  </w:style>
  <w:style w:type="character" w:customStyle="1" w:styleId="79">
    <w:name w:val="正文文本 字符"/>
    <w:basedOn w:val="32"/>
    <w:link w:val="14"/>
    <w:qFormat/>
    <w:uiPriority w:val="0"/>
    <w:rPr>
      <w:kern w:val="2"/>
      <w:sz w:val="24"/>
      <w:szCs w:val="24"/>
    </w:rPr>
  </w:style>
  <w:style w:type="character" w:customStyle="1" w:styleId="80">
    <w:name w:val="正文文本缩进 字符"/>
    <w:basedOn w:val="32"/>
    <w:link w:val="15"/>
    <w:qFormat/>
    <w:uiPriority w:val="0"/>
    <w:rPr>
      <w:rFonts w:ascii="宋体"/>
      <w:color w:val="0000FF"/>
      <w:sz w:val="24"/>
    </w:rPr>
  </w:style>
  <w:style w:type="character" w:customStyle="1" w:styleId="81">
    <w:name w:val="正文文本缩进 2 字符"/>
    <w:basedOn w:val="32"/>
    <w:link w:val="18"/>
    <w:qFormat/>
    <w:uiPriority w:val="0"/>
    <w:rPr>
      <w:rFonts w:ascii="宋体"/>
      <w:spacing w:val="20"/>
      <w:position w:val="20"/>
      <w:sz w:val="24"/>
    </w:rPr>
  </w:style>
  <w:style w:type="character" w:customStyle="1" w:styleId="82">
    <w:name w:val="正文文本缩进 3 字符"/>
    <w:basedOn w:val="32"/>
    <w:link w:val="24"/>
    <w:qFormat/>
    <w:uiPriority w:val="0"/>
    <w:rPr>
      <w:color w:val="FF0000"/>
      <w:spacing w:val="10"/>
      <w:sz w:val="24"/>
      <w:u w:val="single"/>
    </w:rPr>
  </w:style>
  <w:style w:type="character" w:customStyle="1" w:styleId="83">
    <w:name w:val="批注主题 字符"/>
    <w:basedOn w:val="78"/>
    <w:link w:val="27"/>
    <w:semiHidden/>
    <w:qFormat/>
    <w:uiPriority w:val="0"/>
    <w:rPr>
      <w:b/>
      <w:bCs/>
      <w:kern w:val="2"/>
      <w:sz w:val="24"/>
      <w:szCs w:val="24"/>
    </w:rPr>
  </w:style>
  <w:style w:type="character" w:customStyle="1" w:styleId="84">
    <w:name w:val="正文文本首行缩进 字符"/>
    <w:basedOn w:val="79"/>
    <w:link w:val="28"/>
    <w:qFormat/>
    <w:uiPriority w:val="0"/>
    <w:rPr>
      <w:kern w:val="2"/>
      <w:sz w:val="24"/>
      <w:szCs w:val="24"/>
    </w:rPr>
  </w:style>
  <w:style w:type="character" w:customStyle="1" w:styleId="85">
    <w:name w:val="answer-title12"/>
    <w:qFormat/>
    <w:uiPriority w:val="0"/>
  </w:style>
  <w:style w:type="character" w:customStyle="1" w:styleId="86">
    <w:name w:val="num"/>
    <w:qFormat/>
    <w:uiPriority w:val="0"/>
    <w:rPr>
      <w:b/>
      <w:color w:val="FF7800"/>
      <w:kern w:val="0"/>
    </w:rPr>
  </w:style>
  <w:style w:type="character" w:customStyle="1" w:styleId="87">
    <w:name w:val="num10"/>
    <w:qFormat/>
    <w:uiPriority w:val="0"/>
    <w:rPr>
      <w:b/>
      <w:color w:val="FF7800"/>
      <w:kern w:val="0"/>
    </w:rPr>
  </w:style>
  <w:style w:type="character" w:customStyle="1" w:styleId="88">
    <w:name w:val="legend"/>
    <w:qFormat/>
    <w:uiPriority w:val="0"/>
    <w:rPr>
      <w:rFonts w:ascii="Arial" w:hAnsi="Arial" w:cs="Arial"/>
      <w:b/>
      <w:color w:val="73B304"/>
      <w:kern w:val="0"/>
      <w:sz w:val="21"/>
      <w:szCs w:val="21"/>
      <w:shd w:val="clear" w:color="auto" w:fill="FFFFFF"/>
    </w:rPr>
  </w:style>
  <w:style w:type="character" w:customStyle="1" w:styleId="89">
    <w:name w:val="release-day"/>
    <w:qFormat/>
    <w:uiPriority w:val="0"/>
    <w:rPr>
      <w:kern w:val="0"/>
      <w:bdr w:val="single" w:color="BDEBB0" w:sz="6" w:space="0"/>
      <w:shd w:val="clear" w:color="auto" w:fill="F5FFF1"/>
    </w:rPr>
  </w:style>
  <w:style w:type="character" w:customStyle="1" w:styleId="90">
    <w:name w:val="标题 1 Char1"/>
    <w:qFormat/>
    <w:uiPriority w:val="0"/>
    <w:rPr>
      <w:rFonts w:ascii="宋体" w:eastAsia="宋体"/>
      <w:b/>
      <w:kern w:val="44"/>
      <w:sz w:val="32"/>
      <w:lang w:val="en-US" w:eastAsia="zh-CN" w:bidi="ar-SA"/>
    </w:rPr>
  </w:style>
  <w:style w:type="character" w:customStyle="1" w:styleId="91">
    <w:name w:val="font01"/>
    <w:qFormat/>
    <w:uiPriority w:val="0"/>
    <w:rPr>
      <w:rFonts w:hint="eastAsia" w:ascii="宋体" w:hAnsi="宋体" w:eastAsia="宋体" w:cs="宋体"/>
      <w:color w:val="000000"/>
      <w:kern w:val="0"/>
      <w:sz w:val="18"/>
      <w:szCs w:val="18"/>
      <w:u w:val="none"/>
    </w:rPr>
  </w:style>
  <w:style w:type="paragraph" w:customStyle="1" w:styleId="92">
    <w:name w:val="Char1 Char Char Char Char Char Char Char Char Char"/>
    <w:basedOn w:val="1"/>
    <w:qFormat/>
    <w:uiPriority w:val="0"/>
    <w:pPr>
      <w:widowControl w:val="0"/>
      <w:textAlignment w:val="auto"/>
    </w:pPr>
  </w:style>
  <w:style w:type="paragraph" w:customStyle="1" w:styleId="93">
    <w:name w:val="默认段落字体 Para Char Char Char Char"/>
    <w:basedOn w:val="1"/>
    <w:qFormat/>
    <w:uiPriority w:val="0"/>
    <w:pPr>
      <w:widowControl w:val="0"/>
      <w:textAlignment w:val="auto"/>
    </w:pPr>
  </w:style>
  <w:style w:type="paragraph" w:customStyle="1" w:styleId="9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95">
    <w:name w:val="样式1"/>
    <w:basedOn w:val="1"/>
    <w:qFormat/>
    <w:uiPriority w:val="0"/>
    <w:pPr>
      <w:widowControl w:val="0"/>
      <w:adjustRightInd w:val="0"/>
      <w:spacing w:line="420" w:lineRule="auto"/>
      <w:jc w:val="center"/>
    </w:pPr>
    <w:rPr>
      <w:rFonts w:ascii="宋体"/>
      <w:kern w:val="0"/>
      <w:sz w:val="24"/>
      <w:szCs w:val="20"/>
    </w:rPr>
  </w:style>
  <w:style w:type="paragraph" w:customStyle="1" w:styleId="96">
    <w:name w:val="1"/>
    <w:basedOn w:val="1"/>
    <w:qFormat/>
    <w:uiPriority w:val="0"/>
    <w:pPr>
      <w:widowControl w:val="0"/>
      <w:adjustRightInd w:val="0"/>
      <w:spacing w:line="360" w:lineRule="atLeast"/>
      <w:jc w:val="left"/>
    </w:pPr>
    <w:rPr>
      <w:kern w:val="0"/>
      <w:sz w:val="24"/>
    </w:rPr>
  </w:style>
  <w:style w:type="paragraph" w:customStyle="1" w:styleId="97">
    <w:name w:val="Char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98">
    <w:name w:val="Char"/>
    <w:basedOn w:val="1"/>
    <w:qFormat/>
    <w:uiPriority w:val="0"/>
    <w:pPr>
      <w:widowControl w:val="0"/>
      <w:adjustRightInd w:val="0"/>
      <w:spacing w:line="360" w:lineRule="auto"/>
      <w:textAlignment w:val="auto"/>
    </w:pPr>
    <w:rPr>
      <w:kern w:val="0"/>
      <w:sz w:val="24"/>
    </w:rPr>
  </w:style>
  <w:style w:type="paragraph" w:customStyle="1" w:styleId="99">
    <w:name w:val="默认段落字体 Para Char Char Char Char Char Char Char Char Char Char"/>
    <w:basedOn w:val="1"/>
    <w:qFormat/>
    <w:uiPriority w:val="0"/>
    <w:pPr>
      <w:widowControl w:val="0"/>
      <w:textAlignment w:val="auto"/>
    </w:pPr>
  </w:style>
  <w:style w:type="paragraph" w:customStyle="1" w:styleId="100">
    <w:name w:val="Char Char Char"/>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01">
    <w:name w:val="A"/>
    <w:basedOn w:val="1"/>
    <w:qFormat/>
    <w:uiPriority w:val="0"/>
    <w:pPr>
      <w:widowControl w:val="0"/>
      <w:adjustRightInd w:val="0"/>
      <w:spacing w:line="480" w:lineRule="atLeast"/>
      <w:jc w:val="center"/>
    </w:pPr>
    <w:rPr>
      <w:rFonts w:ascii="宋体"/>
      <w:kern w:val="0"/>
      <w:sz w:val="32"/>
      <w:szCs w:val="20"/>
    </w:rPr>
  </w:style>
  <w:style w:type="paragraph" w:customStyle="1" w:styleId="102">
    <w:name w:val="二级条标题"/>
    <w:basedOn w:val="103"/>
    <w:next w:val="105"/>
    <w:qFormat/>
    <w:uiPriority w:val="0"/>
    <w:pPr>
      <w:outlineLvl w:val="3"/>
    </w:pPr>
  </w:style>
  <w:style w:type="paragraph" w:customStyle="1" w:styleId="103">
    <w:name w:val="一级条标题"/>
    <w:basedOn w:val="104"/>
    <w:next w:val="105"/>
    <w:qFormat/>
    <w:uiPriority w:val="0"/>
    <w:pPr>
      <w:spacing w:before="0" w:beforeLines="0" w:after="0" w:afterLines="0"/>
      <w:outlineLvl w:val="2"/>
    </w:pPr>
  </w:style>
  <w:style w:type="paragraph" w:customStyle="1" w:styleId="104">
    <w:name w:val="章标题"/>
    <w:next w:val="105"/>
    <w:qFormat/>
    <w:uiPriority w:val="0"/>
    <w:pPr>
      <w:spacing w:before="50" w:beforeLines="50" w:after="50" w:afterLines="50"/>
      <w:ind w:firstLine="400"/>
      <w:jc w:val="both"/>
      <w:outlineLvl w:val="1"/>
    </w:pPr>
    <w:rPr>
      <w:rFonts w:ascii="黑体" w:hAnsi="Times New Roman" w:eastAsia="黑体" w:cs="Times New Roman"/>
      <w:sz w:val="21"/>
      <w:szCs w:val="22"/>
      <w:lang w:val="en-US" w:eastAsia="zh-CN" w:bidi="ar-SA"/>
    </w:rPr>
  </w:style>
  <w:style w:type="paragraph" w:customStyle="1" w:styleId="105">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06">
    <w:name w:val="纯文本1"/>
    <w:basedOn w:val="1"/>
    <w:qFormat/>
    <w:uiPriority w:val="0"/>
    <w:pPr>
      <w:widowControl w:val="0"/>
      <w:textAlignment w:val="auto"/>
    </w:pPr>
    <w:rPr>
      <w:rFonts w:ascii="宋体" w:hAnsi="Courier New" w:cs="Courier New"/>
      <w:sz w:val="24"/>
      <w:szCs w:val="21"/>
    </w:rPr>
  </w:style>
  <w:style w:type="paragraph" w:customStyle="1" w:styleId="107">
    <w:name w:val="Char Char1"/>
    <w:basedOn w:val="1"/>
    <w:qFormat/>
    <w:uiPriority w:val="0"/>
    <w:pPr>
      <w:widowControl w:val="0"/>
      <w:adjustRightInd w:val="0"/>
      <w:spacing w:line="360" w:lineRule="atLeast"/>
      <w:jc w:val="left"/>
    </w:pPr>
    <w:rPr>
      <w:kern w:val="0"/>
      <w:sz w:val="24"/>
    </w:rPr>
  </w:style>
  <w:style w:type="paragraph" w:customStyle="1" w:styleId="108">
    <w:name w:val="UserStyle_10"/>
    <w:basedOn w:val="1"/>
    <w:qFormat/>
    <w:uiPriority w:val="0"/>
    <w:pPr>
      <w:widowControl w:val="0"/>
      <w:ind w:firstLine="420" w:firstLineChars="200"/>
      <w:textAlignment w:val="auto"/>
    </w:pPr>
    <w:rPr>
      <w:sz w:val="24"/>
    </w:rPr>
  </w:style>
  <w:style w:type="paragraph" w:customStyle="1" w:styleId="109">
    <w:name w:val="Char Char Char Char1 Char Char Char Char Char Char Char"/>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10">
    <w:name w:val="正文1"/>
    <w:basedOn w:val="1"/>
    <w:link w:val="111"/>
    <w:qFormat/>
    <w:uiPriority w:val="0"/>
    <w:pPr>
      <w:widowControl w:val="0"/>
      <w:adjustRightInd w:val="0"/>
      <w:spacing w:line="360" w:lineRule="atLeast"/>
      <w:jc w:val="left"/>
    </w:pPr>
    <w:rPr>
      <w:rFonts w:ascii="宋体"/>
      <w:kern w:val="0"/>
      <w:sz w:val="24"/>
      <w:szCs w:val="20"/>
    </w:rPr>
  </w:style>
  <w:style w:type="character" w:customStyle="1" w:styleId="111">
    <w:name w:val="正文1 Char"/>
    <w:link w:val="110"/>
    <w:qFormat/>
    <w:uiPriority w:val="0"/>
    <w:rPr>
      <w:rFonts w:ascii="宋体"/>
      <w:sz w:val="24"/>
    </w:rPr>
  </w:style>
  <w:style w:type="paragraph" w:customStyle="1" w:styleId="112">
    <w:name w:val="三级条标题"/>
    <w:basedOn w:val="102"/>
    <w:next w:val="105"/>
    <w:qFormat/>
    <w:uiPriority w:val="0"/>
    <w:pPr>
      <w:outlineLvl w:val="4"/>
    </w:pPr>
  </w:style>
  <w:style w:type="paragraph" w:customStyle="1" w:styleId="113">
    <w:name w:val="正文报告"/>
    <w:basedOn w:val="1"/>
    <w:qFormat/>
    <w:uiPriority w:val="0"/>
    <w:pPr>
      <w:widowControl w:val="0"/>
      <w:tabs>
        <w:tab w:val="left" w:pos="510"/>
      </w:tabs>
      <w:adjustRightInd w:val="0"/>
      <w:spacing w:line="460" w:lineRule="exact"/>
      <w:ind w:firstLine="482"/>
    </w:pPr>
    <w:rPr>
      <w:kern w:val="0"/>
      <w:sz w:val="24"/>
      <w:szCs w:val="20"/>
    </w:rPr>
  </w:style>
  <w:style w:type="paragraph" w:customStyle="1" w:styleId="114">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 w:type="paragraph" w:customStyle="1" w:styleId="115">
    <w:name w:val="Char Char"/>
    <w:basedOn w:val="1"/>
    <w:qFormat/>
    <w:uiPriority w:val="0"/>
    <w:pPr>
      <w:widowControl w:val="0"/>
      <w:adjustRightInd w:val="0"/>
      <w:spacing w:line="360" w:lineRule="atLeast"/>
      <w:jc w:val="left"/>
    </w:pPr>
    <w:rPr>
      <w:kern w:val="0"/>
      <w:sz w:val="24"/>
    </w:rPr>
  </w:style>
  <w:style w:type="paragraph" w:customStyle="1" w:styleId="116">
    <w:name w:val="Char Char11"/>
    <w:basedOn w:val="1"/>
    <w:qFormat/>
    <w:uiPriority w:val="0"/>
    <w:pPr>
      <w:widowControl w:val="0"/>
      <w:textAlignment w:val="auto"/>
    </w:pPr>
  </w:style>
  <w:style w:type="paragraph" w:customStyle="1" w:styleId="117">
    <w:name w:val="样式2"/>
    <w:basedOn w:val="1"/>
    <w:qFormat/>
    <w:uiPriority w:val="0"/>
    <w:pPr>
      <w:widowControl w:val="0"/>
      <w:spacing w:line="360" w:lineRule="auto"/>
      <w:textAlignment w:val="auto"/>
    </w:pPr>
    <w:rPr>
      <w:kern w:val="0"/>
      <w:sz w:val="28"/>
      <w:szCs w:val="20"/>
    </w:rPr>
  </w:style>
  <w:style w:type="paragraph" w:customStyle="1" w:styleId="118">
    <w:name w:val="Char Char Char Char"/>
    <w:basedOn w:val="1"/>
    <w:qFormat/>
    <w:uiPriority w:val="0"/>
    <w:pPr>
      <w:widowControl w:val="0"/>
      <w:adjustRightInd w:val="0"/>
      <w:spacing w:line="360" w:lineRule="auto"/>
      <w:textAlignment w:val="auto"/>
    </w:pPr>
    <w:rPr>
      <w:kern w:val="0"/>
      <w:sz w:val="24"/>
      <w:szCs w:val="20"/>
    </w:rPr>
  </w:style>
  <w:style w:type="paragraph" w:customStyle="1" w:styleId="119">
    <w:name w:val="Char1 Char"/>
    <w:basedOn w:val="1"/>
    <w:qFormat/>
    <w:uiPriority w:val="0"/>
    <w:pPr>
      <w:widowControl w:val="0"/>
      <w:adjustRightInd w:val="0"/>
      <w:spacing w:line="360" w:lineRule="atLeast"/>
      <w:jc w:val="left"/>
    </w:pPr>
    <w:rPr>
      <w:kern w:val="0"/>
      <w:sz w:val="24"/>
    </w:rPr>
  </w:style>
  <w:style w:type="paragraph" w:customStyle="1" w:styleId="120">
    <w:name w:val="Char1"/>
    <w:basedOn w:val="1"/>
    <w:qFormat/>
    <w:uiPriority w:val="0"/>
    <w:pPr>
      <w:widowControl w:val="0"/>
      <w:textAlignment w:val="auto"/>
    </w:pPr>
    <w:rPr>
      <w:sz w:val="24"/>
    </w:rPr>
  </w:style>
  <w:style w:type="paragraph" w:customStyle="1" w:styleId="121">
    <w:name w:val="正文文本 31"/>
    <w:basedOn w:val="1"/>
    <w:qFormat/>
    <w:uiPriority w:val="0"/>
    <w:pPr>
      <w:widowControl w:val="0"/>
      <w:adjustRightInd w:val="0"/>
      <w:spacing w:line="360" w:lineRule="auto"/>
      <w:jc w:val="center"/>
    </w:pPr>
    <w:rPr>
      <w:rFonts w:ascii="宋体"/>
      <w:b/>
      <w:color w:val="FF0000"/>
      <w:kern w:val="0"/>
      <w:sz w:val="24"/>
      <w:szCs w:val="20"/>
      <w:u w:val="single"/>
    </w:rPr>
  </w:style>
  <w:style w:type="paragraph" w:customStyle="1" w:styleId="122">
    <w:name w:val="p0"/>
    <w:basedOn w:val="1"/>
    <w:qFormat/>
    <w:uiPriority w:val="0"/>
    <w:pPr>
      <w:spacing w:line="560" w:lineRule="atLeast"/>
      <w:ind w:left="839" w:firstLine="200" w:firstLineChars="200"/>
      <w:textAlignment w:val="auto"/>
    </w:pPr>
    <w:rPr>
      <w:rFonts w:ascii="Calibri" w:hAnsi="Calibri" w:cs="宋体"/>
      <w:kern w:val="0"/>
      <w:sz w:val="24"/>
      <w:szCs w:val="21"/>
    </w:rPr>
  </w:style>
  <w:style w:type="paragraph" w:customStyle="1" w:styleId="123">
    <w:name w:val="列出段落2"/>
    <w:basedOn w:val="1"/>
    <w:unhideWhenUsed/>
    <w:qFormat/>
    <w:uiPriority w:val="34"/>
    <w:pPr>
      <w:widowControl w:val="0"/>
      <w:ind w:firstLine="420" w:firstLineChars="200"/>
      <w:textAlignment w:val="auto"/>
    </w:pPr>
    <w:rPr>
      <w:rFonts w:hint="eastAsia"/>
    </w:rPr>
  </w:style>
  <w:style w:type="paragraph" w:customStyle="1" w:styleId="124">
    <w:name w:val="Char Char Char Char1 Char Char Char"/>
    <w:basedOn w:val="1"/>
    <w:qFormat/>
    <w:uiPriority w:val="0"/>
    <w:pPr>
      <w:widowControl w:val="0"/>
      <w:spacing w:line="360" w:lineRule="auto"/>
      <w:ind w:firstLine="200" w:firstLineChars="200"/>
      <w:textAlignment w:val="auto"/>
    </w:pPr>
    <w:rPr>
      <w:rFonts w:ascii="宋体" w:hAnsi="宋体" w:cs="宋体"/>
      <w:sz w:val="24"/>
    </w:rPr>
  </w:style>
  <w:style w:type="character" w:customStyle="1" w:styleId="125">
    <w:name w:val="font31"/>
    <w:qFormat/>
    <w:uiPriority w:val="0"/>
    <w:rPr>
      <w:rFonts w:hint="eastAsia" w:ascii="宋体" w:hAnsi="宋体" w:eastAsia="宋体" w:cs="宋体"/>
      <w:color w:val="000000"/>
      <w:sz w:val="18"/>
      <w:szCs w:val="18"/>
      <w:u w:val="none"/>
    </w:rPr>
  </w:style>
  <w:style w:type="paragraph" w:customStyle="1" w:styleId="126">
    <w:name w:val="Char1 Char Char Char Char Char Char Char Char Char1"/>
    <w:basedOn w:val="1"/>
    <w:qFormat/>
    <w:uiPriority w:val="0"/>
    <w:pPr>
      <w:widowControl w:val="0"/>
      <w:textAlignment w:val="auto"/>
    </w:pPr>
  </w:style>
  <w:style w:type="paragraph" w:customStyle="1" w:styleId="127">
    <w:name w:val="Char Char Char Char1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28">
    <w:name w:val="Char2"/>
    <w:basedOn w:val="1"/>
    <w:qFormat/>
    <w:uiPriority w:val="0"/>
    <w:pPr>
      <w:widowControl w:val="0"/>
      <w:adjustRightInd w:val="0"/>
      <w:spacing w:line="360" w:lineRule="auto"/>
      <w:textAlignment w:val="auto"/>
    </w:pPr>
    <w:rPr>
      <w:kern w:val="0"/>
      <w:sz w:val="24"/>
    </w:rPr>
  </w:style>
  <w:style w:type="paragraph" w:customStyle="1" w:styleId="129">
    <w:name w:val="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30">
    <w:name w:val="纯文本2"/>
    <w:basedOn w:val="1"/>
    <w:qFormat/>
    <w:uiPriority w:val="0"/>
    <w:pPr>
      <w:widowControl w:val="0"/>
      <w:textAlignment w:val="auto"/>
    </w:pPr>
    <w:rPr>
      <w:rFonts w:ascii="宋体" w:hAnsi="Courier New" w:cs="Courier New"/>
      <w:sz w:val="24"/>
      <w:szCs w:val="21"/>
    </w:rPr>
  </w:style>
  <w:style w:type="paragraph" w:customStyle="1" w:styleId="131">
    <w:name w:val="Char Char12"/>
    <w:basedOn w:val="1"/>
    <w:qFormat/>
    <w:uiPriority w:val="0"/>
    <w:pPr>
      <w:widowControl w:val="0"/>
      <w:adjustRightInd w:val="0"/>
      <w:spacing w:line="360" w:lineRule="atLeast"/>
      <w:jc w:val="left"/>
    </w:pPr>
    <w:rPr>
      <w:kern w:val="0"/>
      <w:sz w:val="24"/>
    </w:rPr>
  </w:style>
  <w:style w:type="paragraph" w:customStyle="1" w:styleId="132">
    <w:name w:val="Char Char Char Char1 Char Char Char Char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33">
    <w:name w:val="Char Char2"/>
    <w:basedOn w:val="1"/>
    <w:qFormat/>
    <w:uiPriority w:val="0"/>
    <w:pPr>
      <w:widowControl w:val="0"/>
      <w:adjustRightInd w:val="0"/>
      <w:spacing w:line="360" w:lineRule="atLeast"/>
      <w:jc w:val="left"/>
    </w:pPr>
    <w:rPr>
      <w:kern w:val="0"/>
      <w:sz w:val="24"/>
    </w:rPr>
  </w:style>
  <w:style w:type="paragraph" w:customStyle="1" w:styleId="134">
    <w:name w:val="Char Char Char Char2"/>
    <w:basedOn w:val="1"/>
    <w:qFormat/>
    <w:uiPriority w:val="0"/>
    <w:pPr>
      <w:widowControl w:val="0"/>
      <w:adjustRightInd w:val="0"/>
      <w:spacing w:line="360" w:lineRule="auto"/>
      <w:textAlignment w:val="auto"/>
    </w:pPr>
    <w:rPr>
      <w:kern w:val="0"/>
      <w:sz w:val="24"/>
      <w:szCs w:val="20"/>
    </w:rPr>
  </w:style>
  <w:style w:type="paragraph" w:customStyle="1" w:styleId="135">
    <w:name w:val="Char1 Char1"/>
    <w:basedOn w:val="1"/>
    <w:qFormat/>
    <w:uiPriority w:val="0"/>
    <w:pPr>
      <w:widowControl w:val="0"/>
      <w:adjustRightInd w:val="0"/>
      <w:spacing w:line="360" w:lineRule="atLeast"/>
      <w:jc w:val="left"/>
    </w:pPr>
    <w:rPr>
      <w:kern w:val="0"/>
      <w:sz w:val="24"/>
    </w:rPr>
  </w:style>
  <w:style w:type="paragraph" w:customStyle="1" w:styleId="136">
    <w:name w:val="Char11"/>
    <w:basedOn w:val="1"/>
    <w:qFormat/>
    <w:uiPriority w:val="0"/>
    <w:pPr>
      <w:widowControl w:val="0"/>
      <w:textAlignment w:val="auto"/>
    </w:pPr>
    <w:rPr>
      <w:sz w:val="24"/>
    </w:rPr>
  </w:style>
  <w:style w:type="paragraph" w:customStyle="1" w:styleId="137">
    <w:name w:val="正文文本 32"/>
    <w:basedOn w:val="1"/>
    <w:qFormat/>
    <w:uiPriority w:val="0"/>
    <w:pPr>
      <w:widowControl w:val="0"/>
      <w:adjustRightInd w:val="0"/>
      <w:spacing w:line="360" w:lineRule="auto"/>
      <w:jc w:val="center"/>
    </w:pPr>
    <w:rPr>
      <w:rFonts w:ascii="宋体"/>
      <w:b/>
      <w:color w:val="FF0000"/>
      <w:kern w:val="0"/>
      <w:sz w:val="24"/>
      <w:szCs w:val="20"/>
      <w:u w:val="single"/>
    </w:rPr>
  </w:style>
  <w:style w:type="paragraph" w:customStyle="1" w:styleId="138">
    <w:name w:val="列出段落3"/>
    <w:basedOn w:val="1"/>
    <w:unhideWhenUsed/>
    <w:qFormat/>
    <w:uiPriority w:val="34"/>
    <w:pPr>
      <w:widowControl w:val="0"/>
      <w:ind w:firstLine="420" w:firstLineChars="200"/>
      <w:textAlignment w:val="auto"/>
    </w:pPr>
    <w:rPr>
      <w:rFonts w:hint="eastAsia"/>
    </w:rPr>
  </w:style>
  <w:style w:type="paragraph" w:customStyle="1" w:styleId="139">
    <w:name w:val="Char Char Char Char1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40">
    <w:name w:val="正文6q"/>
    <w:basedOn w:val="1"/>
    <w:qFormat/>
    <w:uiPriority w:val="0"/>
    <w:pPr>
      <w:tabs>
        <w:tab w:val="left" w:pos="912"/>
        <w:tab w:val="left" w:pos="960"/>
      </w:tabs>
      <w:spacing w:line="300" w:lineRule="auto"/>
    </w:pPr>
    <w:rPr>
      <w:rFonts w:eastAsia="幼圆"/>
      <w:sz w:val="24"/>
      <w:szCs w:val="20"/>
    </w:rPr>
  </w:style>
  <w:style w:type="paragraph" w:customStyle="1" w:styleId="141">
    <w:name w:val="正文3q"/>
    <w:basedOn w:val="1"/>
    <w:qFormat/>
    <w:uiPriority w:val="0"/>
    <w:pPr>
      <w:tabs>
        <w:tab w:val="left" w:pos="840"/>
      </w:tabs>
      <w:spacing w:line="300" w:lineRule="auto"/>
    </w:pPr>
    <w:rPr>
      <w:rFonts w:eastAsia="楷体_GB2312"/>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14161</Words>
  <Characters>14800</Characters>
  <Lines>1</Lines>
  <Paragraphs>1</Paragraphs>
  <TotalTime>1</TotalTime>
  <ScaleCrop>false</ScaleCrop>
  <LinksUpToDate>false</LinksUpToDate>
  <CharactersWithSpaces>14931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2025-05-06T13:52:00Z</dcterms:created>
  <dc:creator>李鹏程</dc:creator>
  <cp:lastModifiedBy>李鹏程</cp:lastModifiedBy>
  <cp:lastPrinted>2025-05-12T03:03:00Z</cp:lastPrinted>
  <dcterms:modified xsi:type="dcterms:W3CDTF">2026-03-25T10:01:15Z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7AAA6077E8004A0EB791F3BEF8C81C51</vt:lpwstr>
  </property>
  <property fmtid="{D5CDD505-2E9C-101B-9397-08002B2CF9AE}" pid="4" name="KSOTemplateDocerSaveRecord">
    <vt:lpwstr>eyJoZGlkIjoiZGE2Mjg2YTZkZTMyMTYwY2M1OTQ5YzJlN2MyYmRjOGEiLCJ1c2VySWQiOiIxNTY5NDgyOTM2In0=</vt:lpwstr>
  </property>
</Properties>
</file>