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FB717">
      <w:bookmarkStart w:id="42" w:name="_GoBack"/>
      <w:bookmarkEnd w:id="42"/>
      <w:r>
        <w:drawing>
          <wp:anchor distT="0" distB="0" distL="114300" distR="114300" simplePos="0" relativeHeight="251660288"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2"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8888"/>
                    <pic:cNvPicPr>
                      <a:picLocks noChangeAspect="1"/>
                    </pic:cNvPicPr>
                  </pic:nvPicPr>
                  <pic:blipFill>
                    <a:blip r:embed="rId7"/>
                    <a:stretch>
                      <a:fillRect/>
                    </a:stretch>
                  </pic:blipFill>
                  <pic:spPr>
                    <a:xfrm>
                      <a:off x="0" y="0"/>
                      <a:ext cx="582930" cy="483870"/>
                    </a:xfrm>
                    <a:prstGeom prst="rect">
                      <a:avLst/>
                    </a:prstGeom>
                    <a:noFill/>
                    <a:ln>
                      <a:noFill/>
                    </a:ln>
                  </pic:spPr>
                </pic:pic>
              </a:graphicData>
            </a:graphic>
          </wp:anchor>
        </w:drawing>
      </w:r>
    </w:p>
    <w:p w14:paraId="36C33A02">
      <w:pPr>
        <w:spacing w:line="360" w:lineRule="auto"/>
        <w:ind w:firstLine="964" w:firstLineChars="300"/>
        <w:rPr>
          <w:rFonts w:hint="eastAsia" w:ascii="宋体" w:hAnsi="宋体" w:cs="宋体"/>
          <w:b/>
          <w:sz w:val="32"/>
          <w:szCs w:val="32"/>
        </w:rPr>
      </w:pPr>
      <w:r>
        <w:rPr>
          <w:rFonts w:hint="eastAsia" w:ascii="宋体" w:hAnsi="宋体" w:cs="宋体"/>
          <w:b/>
          <w:sz w:val="32"/>
          <w:szCs w:val="32"/>
        </w:rPr>
        <w:t>伊犁新天煤化工有限责任公司</w:t>
      </w:r>
    </w:p>
    <w:p w14:paraId="25EC1332">
      <w:pPr>
        <w:rPr>
          <w:rStyle w:val="34"/>
          <w:rFonts w:hint="eastAsia" w:ascii="宋体" w:hAnsi="宋体"/>
          <w:b/>
          <w:sz w:val="28"/>
          <w:szCs w:val="28"/>
        </w:rPr>
      </w:pPr>
    </w:p>
    <w:p w14:paraId="5B871677">
      <w:pPr>
        <w:rPr>
          <w:rStyle w:val="34"/>
          <w:rFonts w:hint="eastAsia" w:ascii="宋体" w:hAnsi="宋体"/>
          <w:b/>
          <w:sz w:val="32"/>
          <w:szCs w:val="32"/>
        </w:rPr>
      </w:pPr>
    </w:p>
    <w:p w14:paraId="547CE26A">
      <w:pPr>
        <w:rPr>
          <w:rStyle w:val="34"/>
          <w:rFonts w:hint="eastAsia" w:ascii="宋体" w:hAnsi="宋体"/>
          <w:b/>
          <w:sz w:val="32"/>
          <w:szCs w:val="32"/>
        </w:rPr>
      </w:pPr>
    </w:p>
    <w:p w14:paraId="66022C2E">
      <w:pPr>
        <w:widowControl w:val="0"/>
        <w:spacing w:line="360" w:lineRule="auto"/>
        <w:jc w:val="center"/>
        <w:textAlignment w:val="auto"/>
        <w:rPr>
          <w:rFonts w:hint="eastAsia" w:ascii="宋体" w:hAnsi="宋体" w:cs="宋体"/>
          <w:b/>
          <w:bCs/>
          <w:kern w:val="44"/>
          <w:sz w:val="44"/>
          <w:szCs w:val="44"/>
        </w:rPr>
      </w:pPr>
      <w:r>
        <w:rPr>
          <w:rFonts w:hint="eastAsia" w:ascii="宋体" w:hAnsi="宋体" w:cs="宋体"/>
          <w:b/>
          <w:bCs/>
          <w:kern w:val="44"/>
          <w:sz w:val="44"/>
          <w:szCs w:val="44"/>
          <w:lang w:val="en-US" w:eastAsia="zh-CN"/>
        </w:rPr>
        <w:t>热电装置锅炉烟风道清灰</w:t>
      </w:r>
      <w:r>
        <w:rPr>
          <w:rFonts w:hint="eastAsia" w:ascii="宋体" w:hAnsi="宋体" w:cs="宋体"/>
          <w:b/>
          <w:bCs/>
          <w:kern w:val="44"/>
          <w:sz w:val="44"/>
          <w:szCs w:val="44"/>
        </w:rPr>
        <w:t>服务</w:t>
      </w:r>
    </w:p>
    <w:p w14:paraId="0983765D">
      <w:pPr>
        <w:widowControl w:val="0"/>
        <w:spacing w:line="360" w:lineRule="auto"/>
        <w:jc w:val="center"/>
        <w:textAlignment w:val="auto"/>
        <w:rPr>
          <w:rFonts w:hint="eastAsia" w:ascii="宋体" w:hAnsi="宋体" w:cs="宋体"/>
          <w:b/>
          <w:bCs/>
          <w:kern w:val="44"/>
          <w:sz w:val="44"/>
          <w:szCs w:val="44"/>
        </w:rPr>
      </w:pPr>
      <w:r>
        <w:rPr>
          <w:rFonts w:hint="eastAsia" w:ascii="宋体" w:hAnsi="宋体" w:cs="宋体"/>
          <w:b/>
          <w:bCs/>
          <w:kern w:val="44"/>
          <w:sz w:val="44"/>
          <w:szCs w:val="44"/>
        </w:rPr>
        <w:t>技术规范书</w:t>
      </w:r>
    </w:p>
    <w:p w14:paraId="12EC0610">
      <w:pPr>
        <w:spacing w:line="360" w:lineRule="auto"/>
        <w:jc w:val="center"/>
        <w:rPr>
          <w:rFonts w:hint="eastAsia" w:ascii="宋体" w:hAnsi="宋体" w:cs="宋体"/>
          <w:b/>
          <w:sz w:val="36"/>
          <w:szCs w:val="36"/>
        </w:rPr>
      </w:pPr>
    </w:p>
    <w:p w14:paraId="765511D9">
      <w:pPr>
        <w:spacing w:line="360" w:lineRule="auto"/>
        <w:rPr>
          <w:rFonts w:hint="eastAsia" w:ascii="宋体" w:hAnsi="宋体" w:cs="宋体"/>
          <w:b/>
          <w:sz w:val="32"/>
          <w:szCs w:val="32"/>
        </w:rPr>
      </w:pPr>
    </w:p>
    <w:p w14:paraId="54F80806">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编制：</w:t>
      </w:r>
    </w:p>
    <w:p w14:paraId="2D0968F0">
      <w:pPr>
        <w:widowControl w:val="0"/>
        <w:spacing w:line="360" w:lineRule="auto"/>
        <w:ind w:firstLine="2530" w:firstLineChars="900"/>
        <w:jc w:val="left"/>
        <w:textAlignment w:val="auto"/>
        <w:rPr>
          <w:rFonts w:hint="eastAsia" w:cs="宋体"/>
          <w:b/>
          <w:bCs/>
          <w:kern w:val="44"/>
          <w:sz w:val="28"/>
          <w:szCs w:val="28"/>
        </w:rPr>
      </w:pPr>
    </w:p>
    <w:p w14:paraId="768348B7">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会签：</w:t>
      </w:r>
    </w:p>
    <w:p w14:paraId="72955397">
      <w:pPr>
        <w:widowControl w:val="0"/>
        <w:spacing w:line="360" w:lineRule="auto"/>
        <w:ind w:firstLine="2530" w:firstLineChars="900"/>
        <w:jc w:val="left"/>
        <w:textAlignment w:val="auto"/>
        <w:rPr>
          <w:rFonts w:hint="eastAsia" w:cs="宋体"/>
          <w:b/>
          <w:bCs/>
          <w:kern w:val="44"/>
          <w:sz w:val="28"/>
          <w:szCs w:val="28"/>
        </w:rPr>
      </w:pPr>
    </w:p>
    <w:p w14:paraId="65A9FA33">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审核：</w:t>
      </w:r>
    </w:p>
    <w:p w14:paraId="1530BC48">
      <w:pPr>
        <w:widowControl w:val="0"/>
        <w:spacing w:line="360" w:lineRule="auto"/>
        <w:ind w:firstLine="2530" w:firstLineChars="900"/>
        <w:jc w:val="left"/>
        <w:textAlignment w:val="auto"/>
        <w:rPr>
          <w:rFonts w:hint="eastAsia" w:cs="宋体"/>
          <w:b/>
          <w:bCs/>
          <w:kern w:val="44"/>
          <w:sz w:val="28"/>
          <w:szCs w:val="28"/>
        </w:rPr>
      </w:pPr>
    </w:p>
    <w:p w14:paraId="3302DD1F">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审定：</w:t>
      </w:r>
    </w:p>
    <w:p w14:paraId="77C87955">
      <w:pPr>
        <w:widowControl w:val="0"/>
        <w:spacing w:line="360" w:lineRule="auto"/>
        <w:ind w:firstLine="2530" w:firstLineChars="900"/>
        <w:jc w:val="left"/>
        <w:textAlignment w:val="auto"/>
        <w:rPr>
          <w:rFonts w:hint="eastAsia" w:cs="宋体"/>
          <w:b/>
          <w:bCs/>
          <w:kern w:val="44"/>
          <w:sz w:val="28"/>
          <w:szCs w:val="28"/>
        </w:rPr>
      </w:pPr>
    </w:p>
    <w:p w14:paraId="7ACAF7B2">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批准：</w:t>
      </w:r>
    </w:p>
    <w:p w14:paraId="2AB1BFBE">
      <w:pPr>
        <w:spacing w:line="360" w:lineRule="auto"/>
        <w:rPr>
          <w:rFonts w:hint="eastAsia" w:ascii="宋体" w:hAnsi="宋体" w:cs="宋体"/>
          <w:b/>
          <w:sz w:val="32"/>
          <w:szCs w:val="32"/>
        </w:rPr>
      </w:pPr>
    </w:p>
    <w:p w14:paraId="5E3B32CD">
      <w:pPr>
        <w:spacing w:line="360" w:lineRule="auto"/>
        <w:jc w:val="center"/>
        <w:rPr>
          <w:rFonts w:hint="eastAsia" w:ascii="宋体" w:hAnsi="宋体" w:cs="宋体"/>
          <w:b/>
          <w:sz w:val="32"/>
          <w:szCs w:val="32"/>
        </w:rPr>
      </w:pPr>
    </w:p>
    <w:p w14:paraId="1F9784E3">
      <w:pPr>
        <w:spacing w:line="360" w:lineRule="auto"/>
        <w:jc w:val="center"/>
        <w:rPr>
          <w:rFonts w:hint="eastAsia" w:ascii="宋体" w:hAnsi="宋体" w:cs="宋体"/>
          <w:b/>
          <w:sz w:val="32"/>
          <w:szCs w:val="32"/>
        </w:rPr>
      </w:pPr>
    </w:p>
    <w:p w14:paraId="15035DEB">
      <w:pPr>
        <w:widowControl w:val="0"/>
        <w:spacing w:line="276" w:lineRule="auto"/>
        <w:jc w:val="center"/>
        <w:textAlignment w:val="auto"/>
        <w:rPr>
          <w:rFonts w:hint="eastAsia" w:ascii="黑体" w:hAnsi="黑体" w:eastAsia="黑体" w:cs="宋体"/>
          <w:b/>
          <w:bCs/>
          <w:kern w:val="44"/>
          <w:sz w:val="28"/>
          <w:szCs w:val="28"/>
        </w:rPr>
      </w:pPr>
    </w:p>
    <w:p w14:paraId="1BDE0ED5">
      <w:pPr>
        <w:widowControl w:val="0"/>
        <w:spacing w:line="276" w:lineRule="auto"/>
        <w:ind w:firstLine="2530" w:firstLineChars="900"/>
        <w:jc w:val="both"/>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伊犁新天煤化工有限责任公司</w:t>
      </w:r>
    </w:p>
    <w:p w14:paraId="50ECC240">
      <w:pPr>
        <w:widowControl w:val="0"/>
        <w:spacing w:line="276" w:lineRule="auto"/>
        <w:jc w:val="center"/>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202</w:t>
      </w:r>
      <w:r>
        <w:rPr>
          <w:rFonts w:hint="eastAsia" w:ascii="黑体" w:hAnsi="黑体" w:eastAsia="黑体" w:cs="宋体"/>
          <w:b/>
          <w:bCs/>
          <w:kern w:val="44"/>
          <w:sz w:val="28"/>
          <w:szCs w:val="28"/>
          <w:lang w:val="en-US" w:eastAsia="zh-CN"/>
        </w:rPr>
        <w:t>6</w:t>
      </w:r>
      <w:r>
        <w:rPr>
          <w:rFonts w:hint="eastAsia" w:ascii="黑体" w:hAnsi="黑体" w:eastAsia="黑体" w:cs="宋体"/>
          <w:b/>
          <w:bCs/>
          <w:kern w:val="44"/>
          <w:sz w:val="28"/>
          <w:szCs w:val="28"/>
        </w:rPr>
        <w:t>年</w:t>
      </w:r>
      <w:r>
        <w:rPr>
          <w:rFonts w:hint="eastAsia" w:ascii="黑体" w:hAnsi="黑体" w:eastAsia="黑体" w:cs="宋体"/>
          <w:b/>
          <w:bCs/>
          <w:kern w:val="44"/>
          <w:sz w:val="28"/>
          <w:szCs w:val="28"/>
          <w:lang w:val="en-US" w:eastAsia="zh-CN"/>
        </w:rPr>
        <w:t>1</w:t>
      </w:r>
      <w:r>
        <w:rPr>
          <w:rFonts w:hint="eastAsia" w:ascii="黑体" w:hAnsi="黑体" w:eastAsia="黑体" w:cs="宋体"/>
          <w:b/>
          <w:bCs/>
          <w:kern w:val="44"/>
          <w:sz w:val="28"/>
          <w:szCs w:val="28"/>
        </w:rPr>
        <w:t>月</w:t>
      </w:r>
    </w:p>
    <w:p w14:paraId="0CAE29E4">
      <w:pPr>
        <w:spacing w:line="360" w:lineRule="auto"/>
        <w:jc w:val="center"/>
        <w:rPr>
          <w:rFonts w:hint="eastAsia" w:ascii="宋体" w:hAnsi="宋体" w:cs="宋体"/>
          <w:b/>
          <w:sz w:val="32"/>
          <w:szCs w:val="32"/>
        </w:rPr>
      </w:pPr>
    </w:p>
    <w:p w14:paraId="0A0861C4">
      <w:pPr>
        <w:spacing w:line="360" w:lineRule="auto"/>
        <w:jc w:val="center"/>
        <w:rPr>
          <w:rFonts w:hint="eastAsia" w:ascii="宋体" w:hAnsi="宋体" w:cs="宋体"/>
          <w:b/>
          <w:sz w:val="32"/>
          <w:szCs w:val="32"/>
        </w:rPr>
      </w:pPr>
    </w:p>
    <w:p w14:paraId="7AA3FDF8">
      <w:pPr>
        <w:spacing w:line="360" w:lineRule="auto"/>
        <w:jc w:val="center"/>
        <w:rPr>
          <w:rFonts w:hint="eastAsia" w:ascii="宋体" w:hAnsi="宋体" w:cs="宋体"/>
          <w:b/>
          <w:sz w:val="32"/>
          <w:szCs w:val="32"/>
        </w:rPr>
      </w:pPr>
    </w:p>
    <w:p w14:paraId="3EEAB14D">
      <w:pPr>
        <w:pStyle w:val="23"/>
        <w:tabs>
          <w:tab w:val="right" w:leader="dot" w:pos="9026"/>
          <w:tab w:val="clear" w:pos="8820"/>
        </w:tabs>
      </w:pPr>
      <w:r>
        <w:rPr>
          <w:bCs/>
          <w:sz w:val="24"/>
        </w:rPr>
        <w:fldChar w:fldCharType="begin"/>
      </w:r>
      <w:r>
        <w:rPr>
          <w:bCs/>
          <w:sz w:val="24"/>
        </w:rPr>
        <w:instrText xml:space="preserve">TOC \o "1-1" \h \u </w:instrText>
      </w:r>
      <w:r>
        <w:rPr>
          <w:bCs/>
          <w:sz w:val="24"/>
        </w:rPr>
        <w:fldChar w:fldCharType="separate"/>
      </w:r>
      <w:r>
        <w:rPr>
          <w:bCs/>
        </w:rPr>
        <w:fldChar w:fldCharType="begin"/>
      </w:r>
      <w:r>
        <w:rPr>
          <w:bCs/>
        </w:rPr>
        <w:instrText xml:space="preserve"> HYPERLINK \l _Toc23763 </w:instrText>
      </w:r>
      <w:r>
        <w:rPr>
          <w:bCs/>
        </w:rPr>
        <w:fldChar w:fldCharType="separate"/>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、总则</w:t>
      </w:r>
      <w:r>
        <w:tab/>
      </w:r>
      <w:r>
        <w:rPr>
          <w:rFonts w:hint="eastAsia"/>
          <w:lang w:val="en-US" w:eastAsia="zh-CN"/>
        </w:rPr>
        <w:t>1</w:t>
      </w:r>
      <w:r>
        <w:rPr>
          <w:bCs/>
        </w:rPr>
        <w:fldChar w:fldCharType="end"/>
      </w:r>
    </w:p>
    <w:p w14:paraId="12EB6225">
      <w:pPr>
        <w:pStyle w:val="23"/>
        <w:tabs>
          <w:tab w:val="right" w:leader="dot" w:pos="9026"/>
          <w:tab w:val="clear" w:pos="8820"/>
        </w:tabs>
      </w:pPr>
      <w:r>
        <w:rPr>
          <w:bCs/>
        </w:rPr>
        <w:fldChar w:fldCharType="begin"/>
      </w:r>
      <w:r>
        <w:rPr>
          <w:bCs/>
        </w:rPr>
        <w:instrText xml:space="preserve"> HYPERLINK \l _Toc17201 </w:instrText>
      </w:r>
      <w:r>
        <w:rPr>
          <w:bCs/>
        </w:rPr>
        <w:fldChar w:fldCharType="separate"/>
      </w:r>
      <w:r>
        <w:rPr>
          <w:rFonts w:hint="eastAsia" w:ascii="宋体" w:hAnsi="宋体" w:eastAsia="宋体" w:cs="宋体"/>
          <w:szCs w:val="24"/>
          <w:highlight w:val="none"/>
        </w:rPr>
        <w:t>2 项目概况</w:t>
      </w:r>
      <w:r>
        <w:tab/>
      </w:r>
      <w:r>
        <w:rPr>
          <w:rFonts w:hint="eastAsia"/>
          <w:lang w:val="en-US" w:eastAsia="zh-CN"/>
        </w:rPr>
        <w:t>1</w:t>
      </w:r>
      <w:r>
        <w:rPr>
          <w:bCs/>
        </w:rPr>
        <w:fldChar w:fldCharType="end"/>
      </w:r>
    </w:p>
    <w:p w14:paraId="33429390">
      <w:pPr>
        <w:pStyle w:val="23"/>
        <w:tabs>
          <w:tab w:val="right" w:leader="dot" w:pos="9026"/>
          <w:tab w:val="clear" w:pos="8820"/>
        </w:tabs>
      </w:pPr>
      <w:r>
        <w:rPr>
          <w:bCs/>
        </w:rPr>
        <w:fldChar w:fldCharType="begin"/>
      </w:r>
      <w:r>
        <w:rPr>
          <w:bCs/>
        </w:rPr>
        <w:instrText xml:space="preserve"> HYPERLINK \l _Toc28009 </w:instrText>
      </w:r>
      <w:r>
        <w:rPr>
          <w:bCs/>
        </w:rPr>
        <w:fldChar w:fldCharType="separate"/>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本项目执行的标准和规范</w:t>
      </w:r>
      <w:r>
        <w:tab/>
      </w:r>
      <w:r>
        <w:rPr>
          <w:rFonts w:hint="eastAsia"/>
          <w:lang w:val="en-US" w:eastAsia="zh-CN"/>
        </w:rPr>
        <w:t>1</w:t>
      </w:r>
      <w:r>
        <w:rPr>
          <w:bCs/>
        </w:rPr>
        <w:fldChar w:fldCharType="end"/>
      </w:r>
    </w:p>
    <w:p w14:paraId="66288439">
      <w:pPr>
        <w:pStyle w:val="23"/>
        <w:tabs>
          <w:tab w:val="right" w:leader="dot" w:pos="9026"/>
          <w:tab w:val="clear" w:pos="8820"/>
        </w:tabs>
      </w:pPr>
      <w:r>
        <w:rPr>
          <w:bCs/>
        </w:rPr>
        <w:fldChar w:fldCharType="begin"/>
      </w:r>
      <w:r>
        <w:rPr>
          <w:bCs/>
        </w:rPr>
        <w:instrText xml:space="preserve"> HYPERLINK \l _Toc27959 </w:instrText>
      </w:r>
      <w:r>
        <w:rPr>
          <w:bCs/>
        </w:rPr>
        <w:fldChar w:fldCharType="separate"/>
      </w:r>
      <w:r>
        <w:rPr>
          <w:rFonts w:hint="eastAsia" w:ascii="宋体" w:hAnsi="宋体" w:eastAsia="宋体" w:cs="宋体"/>
          <w:szCs w:val="24"/>
          <w:highlight w:val="none"/>
          <w:lang w:val="en-US" w:eastAsia="zh-CN"/>
        </w:rPr>
        <w:t>4 项目</w:t>
      </w:r>
      <w:r>
        <w:rPr>
          <w:rFonts w:hint="eastAsia" w:ascii="宋体" w:hAnsi="宋体" w:eastAsia="宋体" w:cs="宋体"/>
          <w:szCs w:val="24"/>
          <w:highlight w:val="none"/>
        </w:rPr>
        <w:t>范围及</w:t>
      </w:r>
      <w:r>
        <w:rPr>
          <w:rFonts w:hint="eastAsia" w:ascii="宋体" w:hAnsi="宋体" w:eastAsia="宋体" w:cs="宋体"/>
          <w:szCs w:val="24"/>
          <w:highlight w:val="none"/>
          <w:lang w:val="en-US" w:eastAsia="zh-CN"/>
        </w:rPr>
        <w:t>工期</w:t>
      </w:r>
      <w:r>
        <w:tab/>
      </w:r>
      <w:r>
        <w:rPr>
          <w:rFonts w:hint="eastAsia"/>
          <w:lang w:val="en-US" w:eastAsia="zh-CN"/>
        </w:rPr>
        <w:t>2</w:t>
      </w:r>
      <w:r>
        <w:rPr>
          <w:bCs/>
        </w:rPr>
        <w:fldChar w:fldCharType="end"/>
      </w:r>
    </w:p>
    <w:p w14:paraId="75FD487F">
      <w:pPr>
        <w:pStyle w:val="23"/>
        <w:tabs>
          <w:tab w:val="right" w:leader="dot" w:pos="9026"/>
          <w:tab w:val="clear" w:pos="8820"/>
        </w:tabs>
      </w:pPr>
      <w:r>
        <w:rPr>
          <w:bCs/>
        </w:rPr>
        <w:fldChar w:fldCharType="begin"/>
      </w:r>
      <w:r>
        <w:rPr>
          <w:bCs/>
        </w:rPr>
        <w:instrText xml:space="preserve"> HYPERLINK \l _Toc28439 </w:instrText>
      </w:r>
      <w:r>
        <w:rPr>
          <w:bCs/>
        </w:rPr>
        <w:fldChar w:fldCharType="separate"/>
      </w:r>
      <w:r>
        <w:rPr>
          <w:rFonts w:hint="eastAsia" w:ascii="宋体" w:hAnsi="宋体" w:eastAsia="宋体" w:cs="宋体"/>
          <w:szCs w:val="24"/>
          <w:highlight w:val="none"/>
          <w:lang w:val="en-US" w:eastAsia="zh-CN"/>
        </w:rPr>
        <w:t>5项目内容及</w:t>
      </w:r>
      <w:r>
        <w:rPr>
          <w:rFonts w:hint="eastAsia" w:ascii="宋体" w:hAnsi="宋体" w:eastAsia="宋体" w:cs="宋体"/>
          <w:szCs w:val="24"/>
          <w:highlight w:val="none"/>
        </w:rPr>
        <w:t>要求</w:t>
      </w:r>
      <w:r>
        <w:tab/>
      </w:r>
      <w:r>
        <w:rPr>
          <w:rFonts w:hint="eastAsia"/>
          <w:lang w:val="en-US" w:eastAsia="zh-CN"/>
        </w:rPr>
        <w:t>2</w:t>
      </w:r>
      <w:r>
        <w:rPr>
          <w:bCs/>
        </w:rPr>
        <w:fldChar w:fldCharType="end"/>
      </w:r>
    </w:p>
    <w:p w14:paraId="592D0415">
      <w:pPr>
        <w:pStyle w:val="23"/>
        <w:tabs>
          <w:tab w:val="right" w:leader="dot" w:pos="9026"/>
          <w:tab w:val="clear" w:pos="8820"/>
        </w:tabs>
      </w:pPr>
      <w:r>
        <w:rPr>
          <w:bCs/>
        </w:rPr>
        <w:fldChar w:fldCharType="begin"/>
      </w:r>
      <w:r>
        <w:rPr>
          <w:bCs/>
        </w:rPr>
        <w:instrText xml:space="preserve"> HYPERLINK \l _Toc31702 </w:instrText>
      </w:r>
      <w:r>
        <w:rPr>
          <w:bCs/>
        </w:rPr>
        <w:fldChar w:fldCharType="separate"/>
      </w:r>
      <w:r>
        <w:rPr>
          <w:rFonts w:hint="eastAsia" w:ascii="宋体" w:hAnsi="宋体" w:eastAsia="宋体" w:cs="宋体"/>
          <w:szCs w:val="24"/>
          <w:highlight w:val="none"/>
          <w:lang w:val="en-US" w:eastAsia="zh-CN"/>
        </w:rPr>
        <w:t xml:space="preserve">6 </w:t>
      </w:r>
      <w:r>
        <w:rPr>
          <w:rFonts w:hint="eastAsia" w:cs="宋体"/>
          <w:szCs w:val="24"/>
          <w:highlight w:val="none"/>
          <w:lang w:val="en-US" w:eastAsia="zh-CN"/>
        </w:rPr>
        <w:t>投标人</w:t>
      </w:r>
      <w:r>
        <w:rPr>
          <w:rFonts w:hint="eastAsia" w:ascii="宋体" w:hAnsi="宋体" w:eastAsia="宋体" w:cs="宋体"/>
          <w:szCs w:val="24"/>
          <w:highlight w:val="none"/>
          <w:lang w:val="en-US" w:eastAsia="zh-CN"/>
        </w:rPr>
        <w:t>应达到的目标</w:t>
      </w:r>
      <w:r>
        <w:tab/>
      </w:r>
      <w:r>
        <w:rPr>
          <w:rFonts w:hint="eastAsia"/>
          <w:lang w:val="en-US" w:eastAsia="zh-CN"/>
        </w:rPr>
        <w:t>7</w:t>
      </w:r>
      <w:r>
        <w:rPr>
          <w:bCs/>
        </w:rPr>
        <w:fldChar w:fldCharType="end"/>
      </w:r>
    </w:p>
    <w:p w14:paraId="2E44AB84">
      <w:pPr>
        <w:pStyle w:val="23"/>
        <w:tabs>
          <w:tab w:val="right" w:leader="dot" w:pos="9026"/>
          <w:tab w:val="clear" w:pos="8820"/>
        </w:tabs>
      </w:pPr>
      <w:r>
        <w:rPr>
          <w:bCs/>
        </w:rPr>
        <w:fldChar w:fldCharType="begin"/>
      </w:r>
      <w:r>
        <w:rPr>
          <w:bCs/>
        </w:rPr>
        <w:instrText xml:space="preserve"> HYPERLINK \l _Toc14819 </w:instrText>
      </w:r>
      <w:r>
        <w:rPr>
          <w:bCs/>
        </w:rPr>
        <w:fldChar w:fldCharType="separate"/>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资质</w:t>
      </w:r>
      <w:r>
        <w:rPr>
          <w:rFonts w:hint="eastAsia" w:ascii="宋体" w:hAnsi="宋体" w:eastAsia="宋体" w:cs="宋体"/>
          <w:szCs w:val="24"/>
          <w:highlight w:val="none"/>
          <w:lang w:val="en-US" w:eastAsia="zh-CN"/>
        </w:rPr>
        <w:t>条件</w:t>
      </w:r>
      <w:r>
        <w:rPr>
          <w:rFonts w:hint="eastAsia" w:ascii="宋体" w:hAnsi="宋体" w:eastAsia="宋体" w:cs="宋体"/>
          <w:szCs w:val="24"/>
          <w:highlight w:val="none"/>
        </w:rPr>
        <w:t>及人员要求</w:t>
      </w:r>
      <w:r>
        <w:tab/>
      </w:r>
      <w:r>
        <w:rPr>
          <w:rFonts w:hint="eastAsia"/>
          <w:lang w:val="en-US" w:eastAsia="zh-CN"/>
        </w:rPr>
        <w:t>8</w:t>
      </w:r>
      <w:r>
        <w:rPr>
          <w:bCs/>
        </w:rPr>
        <w:fldChar w:fldCharType="end"/>
      </w:r>
    </w:p>
    <w:p w14:paraId="5314C71D">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_Toc16240 </w:instrText>
      </w:r>
      <w:r>
        <w:rPr>
          <w:bCs/>
        </w:rPr>
        <w:fldChar w:fldCharType="separate"/>
      </w:r>
      <w:r>
        <w:rPr>
          <w:rFonts w:hint="eastAsia" w:ascii="宋体" w:hAnsi="宋体" w:eastAsia="宋体" w:cs="宋体"/>
          <w:szCs w:val="24"/>
          <w:highlight w:val="none"/>
          <w:lang w:val="en-US" w:eastAsia="zh-CN"/>
        </w:rPr>
        <w:t>8安全要求</w:t>
      </w:r>
      <w:r>
        <w:tab/>
      </w:r>
      <w:r>
        <w:rPr>
          <w:rFonts w:hint="eastAsia"/>
          <w:lang w:val="en-US" w:eastAsia="zh-CN"/>
        </w:rPr>
        <w:t>1</w:t>
      </w:r>
      <w:r>
        <w:rPr>
          <w:bCs/>
        </w:rPr>
        <w:fldChar w:fldCharType="end"/>
      </w:r>
      <w:r>
        <w:rPr>
          <w:rFonts w:hint="eastAsia"/>
          <w:bCs/>
          <w:lang w:val="en-US" w:eastAsia="zh-CN"/>
        </w:rPr>
        <w:t>0</w:t>
      </w:r>
    </w:p>
    <w:p w14:paraId="5A71474E">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_Toc224 </w:instrText>
      </w:r>
      <w:r>
        <w:rPr>
          <w:bCs/>
        </w:rPr>
        <w:fldChar w:fldCharType="separate"/>
      </w:r>
      <w:r>
        <w:rPr>
          <w:rFonts w:hint="eastAsia" w:ascii="宋体" w:hAnsi="宋体" w:eastAsia="宋体" w:cs="宋体"/>
          <w:szCs w:val="24"/>
          <w:highlight w:val="none"/>
          <w:lang w:val="en-US" w:eastAsia="zh-CN"/>
        </w:rPr>
        <w:t>9双方职责</w:t>
      </w:r>
      <w:r>
        <w:tab/>
      </w:r>
      <w:r>
        <w:rPr>
          <w:rFonts w:hint="eastAsia"/>
          <w:lang w:val="en-US" w:eastAsia="zh-CN"/>
        </w:rPr>
        <w:t>1</w:t>
      </w:r>
      <w:r>
        <w:rPr>
          <w:bCs/>
        </w:rPr>
        <w:fldChar w:fldCharType="end"/>
      </w:r>
      <w:r>
        <w:rPr>
          <w:rFonts w:hint="eastAsia"/>
          <w:bCs/>
          <w:lang w:val="en-US" w:eastAsia="zh-CN"/>
        </w:rPr>
        <w:t>1</w:t>
      </w:r>
    </w:p>
    <w:p w14:paraId="1E6FAFCB">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_Toc21176 </w:instrText>
      </w:r>
      <w:r>
        <w:rPr>
          <w:bCs/>
        </w:rPr>
        <w:fldChar w:fldCharType="separate"/>
      </w:r>
      <w:r>
        <w:rPr>
          <w:rFonts w:hint="eastAsia" w:ascii="宋体" w:hAnsi="宋体" w:eastAsia="宋体" w:cs="宋体"/>
          <w:szCs w:val="24"/>
          <w:highlight w:val="none"/>
          <w:lang w:val="en-US" w:eastAsia="zh-CN"/>
        </w:rPr>
        <w:t>10</w:t>
      </w:r>
      <w:r>
        <w:rPr>
          <w:rFonts w:hint="eastAsia" w:hAnsi="宋体" w:cs="宋体"/>
          <w:szCs w:val="24"/>
          <w:highlight w:val="none"/>
        </w:rPr>
        <w:t>安健环及文明施工、危险源（环境因素）控制要求</w:t>
      </w:r>
      <w:r>
        <w:tab/>
      </w:r>
      <w:r>
        <w:rPr>
          <w:rFonts w:hint="eastAsia"/>
          <w:lang w:val="en-US" w:eastAsia="zh-CN"/>
        </w:rPr>
        <w:t>1</w:t>
      </w:r>
      <w:r>
        <w:rPr>
          <w:bCs/>
        </w:rPr>
        <w:fldChar w:fldCharType="end"/>
      </w:r>
      <w:r>
        <w:rPr>
          <w:rFonts w:hint="eastAsia"/>
          <w:bCs/>
          <w:lang w:val="en-US" w:eastAsia="zh-CN"/>
        </w:rPr>
        <w:t>3</w:t>
      </w:r>
    </w:p>
    <w:p w14:paraId="4DA16892">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_Toc13675 </w:instrText>
      </w:r>
      <w:r>
        <w:rPr>
          <w:bCs/>
        </w:rPr>
        <w:fldChar w:fldCharType="separate"/>
      </w:r>
      <w:r>
        <w:rPr>
          <w:rFonts w:hint="eastAsia" w:ascii="宋体" w:hAnsi="宋体" w:eastAsia="宋体" w:cs="宋体"/>
          <w:szCs w:val="24"/>
          <w:highlight w:val="none"/>
          <w:lang w:val="en-US" w:eastAsia="zh-CN"/>
        </w:rPr>
        <w:t>11考核</w:t>
      </w:r>
      <w:r>
        <w:tab/>
      </w:r>
      <w:r>
        <w:rPr>
          <w:rFonts w:hint="eastAsia"/>
          <w:lang w:val="en-US" w:eastAsia="zh-CN"/>
        </w:rPr>
        <w:t>1</w:t>
      </w:r>
      <w:r>
        <w:rPr>
          <w:bCs/>
        </w:rPr>
        <w:fldChar w:fldCharType="end"/>
      </w:r>
      <w:r>
        <w:rPr>
          <w:rFonts w:hint="eastAsia"/>
          <w:bCs/>
          <w:lang w:val="en-US" w:eastAsia="zh-CN"/>
        </w:rPr>
        <w:t>5</w:t>
      </w:r>
    </w:p>
    <w:p w14:paraId="029A65E6">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_Toc14993 </w:instrText>
      </w:r>
      <w:r>
        <w:rPr>
          <w:bCs/>
        </w:rPr>
        <w:fldChar w:fldCharType="separate"/>
      </w:r>
      <w:r>
        <w:rPr>
          <w:rFonts w:hint="eastAsia" w:ascii="宋体" w:hAnsi="宋体" w:eastAsia="宋体" w:cs="宋体"/>
          <w:szCs w:val="24"/>
          <w:highlight w:val="none"/>
          <w:lang w:val="en-US" w:eastAsia="zh-CN"/>
        </w:rPr>
        <w:t>12 附则</w:t>
      </w:r>
      <w:r>
        <w:tab/>
      </w:r>
      <w:r>
        <w:rPr>
          <w:rFonts w:hint="eastAsia"/>
          <w:lang w:val="en-US" w:eastAsia="zh-CN"/>
        </w:rPr>
        <w:t>1</w:t>
      </w:r>
      <w:r>
        <w:rPr>
          <w:bCs/>
        </w:rPr>
        <w:fldChar w:fldCharType="end"/>
      </w:r>
      <w:r>
        <w:rPr>
          <w:rFonts w:hint="eastAsia"/>
          <w:bCs/>
          <w:lang w:val="en-US" w:eastAsia="zh-CN"/>
        </w:rPr>
        <w:t>6</w:t>
      </w:r>
    </w:p>
    <w:p w14:paraId="002058AC">
      <w:pPr>
        <w:pStyle w:val="23"/>
        <w:tabs>
          <w:tab w:val="right" w:leader="dot" w:pos="9026"/>
          <w:tab w:val="clear" w:pos="8820"/>
        </w:tabs>
        <w:rPr>
          <w:rFonts w:hint="eastAsia" w:eastAsia="宋体"/>
          <w:lang w:val="en-US" w:eastAsia="zh-CN"/>
        </w:rPr>
      </w:pPr>
      <w:r>
        <w:rPr>
          <w:bCs/>
        </w:rPr>
        <w:fldChar w:fldCharType="begin"/>
      </w:r>
      <w:r>
        <w:rPr>
          <w:bCs/>
        </w:rPr>
        <w:instrText xml:space="preserve"> HYPERLINK \l _Toc26468 </w:instrText>
      </w:r>
      <w:r>
        <w:rPr>
          <w:bCs/>
        </w:rPr>
        <w:fldChar w:fldCharType="separate"/>
      </w:r>
      <w:r>
        <w:rPr>
          <w:rFonts w:hint="eastAsia" w:ascii="宋体" w:hAnsi="宋体" w:eastAsia="宋体" w:cs="宋体"/>
          <w:szCs w:val="24"/>
          <w:highlight w:val="none"/>
          <w:lang w:val="en-US" w:eastAsia="zh-CN"/>
        </w:rPr>
        <w:t>13附录附表</w:t>
      </w:r>
      <w:r>
        <w:tab/>
      </w:r>
      <w:r>
        <w:rPr>
          <w:rFonts w:hint="eastAsia"/>
          <w:lang w:val="en-US" w:eastAsia="zh-CN"/>
        </w:rPr>
        <w:t>1</w:t>
      </w:r>
      <w:r>
        <w:rPr>
          <w:bCs/>
        </w:rPr>
        <w:fldChar w:fldCharType="end"/>
      </w:r>
      <w:r>
        <w:rPr>
          <w:rFonts w:hint="eastAsia"/>
          <w:bCs/>
          <w:lang w:val="en-US" w:eastAsia="zh-CN"/>
        </w:rPr>
        <w:t>6</w:t>
      </w:r>
    </w:p>
    <w:p w14:paraId="656674C6">
      <w:pPr>
        <w:spacing w:line="360" w:lineRule="auto"/>
        <w:rPr>
          <w:highlight w:val="yellow"/>
        </w:rPr>
        <w:sectPr>
          <w:footerReference r:id="rId4" w:type="first"/>
          <w:footerReference r:id="rId3" w:type="default"/>
          <w:pgSz w:w="11906" w:h="16838"/>
          <w:pgMar w:top="1440" w:right="1440" w:bottom="1440" w:left="1440" w:header="851" w:footer="992" w:gutter="0"/>
          <w:pgNumType w:start="1"/>
          <w:cols w:space="720" w:num="1"/>
          <w:docGrid w:linePitch="312" w:charSpace="0"/>
        </w:sectPr>
      </w:pPr>
      <w:r>
        <w:rPr>
          <w:bCs/>
        </w:rPr>
        <w:fldChar w:fldCharType="end"/>
      </w:r>
    </w:p>
    <w:p w14:paraId="54125C1C">
      <w:pPr>
        <w:pStyle w:val="4"/>
        <w:rPr>
          <w:rFonts w:hint="eastAsia" w:ascii="宋体" w:hAnsi="宋体" w:eastAsia="宋体" w:cs="宋体"/>
          <w:sz w:val="24"/>
          <w:szCs w:val="24"/>
          <w:highlight w:val="none"/>
        </w:rPr>
      </w:pPr>
      <w:bookmarkStart w:id="0" w:name="_Toc26517"/>
      <w:bookmarkStart w:id="1" w:name="_Toc23763"/>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总则</w:t>
      </w:r>
      <w:bookmarkEnd w:id="0"/>
      <w:bookmarkEnd w:id="1"/>
      <w:r>
        <w:rPr>
          <w:rFonts w:hint="eastAsia" w:ascii="宋体" w:hAnsi="宋体" w:eastAsia="宋体" w:cs="宋体"/>
          <w:sz w:val="24"/>
          <w:szCs w:val="24"/>
          <w:highlight w:val="none"/>
        </w:rPr>
        <w:t xml:space="preserve"> </w:t>
      </w:r>
    </w:p>
    <w:p w14:paraId="2D3EA46F">
      <w:pPr>
        <w:spacing w:line="360" w:lineRule="auto"/>
        <w:rPr>
          <w:rFonts w:hint="eastAsia" w:ascii="宋体" w:hAnsi="宋体" w:eastAsia="宋体" w:cs="宋体"/>
          <w:sz w:val="24"/>
          <w:szCs w:val="24"/>
          <w:highlight w:val="none"/>
        </w:rPr>
      </w:pPr>
      <w:bookmarkStart w:id="2" w:name="_Toc29373319"/>
      <w:bookmarkStart w:id="3" w:name="_Toc14163"/>
      <w:bookmarkStart w:id="4" w:name="_Toc29373551"/>
      <w:bookmarkStart w:id="5" w:name="_Toc29373226"/>
      <w:bookmarkStart w:id="6" w:name="_Toc31666_WPSOffice_Level1"/>
      <w:bookmarkStart w:id="7" w:name="_Toc26775"/>
      <w:bookmarkStart w:id="8" w:name="_Toc29556519"/>
      <w:bookmarkStart w:id="9" w:name="_Toc29556560"/>
      <w:bookmarkStart w:id="10" w:name="_Toc15938"/>
      <w:r>
        <w:rPr>
          <w:rFonts w:hint="eastAsia" w:ascii="宋体" w:hAnsi="宋体" w:eastAsia="宋体" w:cs="宋体"/>
          <w:sz w:val="24"/>
          <w:szCs w:val="24"/>
          <w:highlight w:val="none"/>
        </w:rPr>
        <w:t>1.1</w:t>
      </w:r>
      <w:r>
        <w:rPr>
          <w:rFonts w:hint="eastAsia" w:ascii="宋体" w:hAnsi="宋体" w:eastAsia="宋体" w:cs="宋体"/>
          <w:bCs/>
          <w:sz w:val="24"/>
          <w:szCs w:val="24"/>
          <w:highlight w:val="none"/>
        </w:rPr>
        <w:t>本技术规范书适用于浙能伊犁新天煤化工有限责任公司</w:t>
      </w:r>
      <w:r>
        <w:rPr>
          <w:rFonts w:hint="eastAsia" w:ascii="宋体" w:hAnsi="宋体" w:cs="宋体"/>
          <w:bCs/>
          <w:sz w:val="24"/>
          <w:szCs w:val="24"/>
          <w:highlight w:val="none"/>
          <w:lang w:val="en-US" w:eastAsia="zh-CN"/>
        </w:rPr>
        <w:t>热电装置锅炉烟风道清灰</w:t>
      </w:r>
      <w:r>
        <w:rPr>
          <w:rFonts w:hint="eastAsia" w:ascii="宋体" w:hAnsi="宋体" w:eastAsia="宋体" w:cs="宋体"/>
          <w:bCs/>
          <w:sz w:val="24"/>
          <w:szCs w:val="24"/>
          <w:highlight w:val="none"/>
        </w:rPr>
        <w:t>项目服务招标工作。</w:t>
      </w:r>
    </w:p>
    <w:p w14:paraId="2622BAA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1.2本技术规范书提出的是最低限度的技术要求，并未对一切技术细节作出规定，也未充分引述有关标准和规范。</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必须保证提供符合本技术规范书和相关国家标准要求的优质服务。对国家有关安全、环保等强制性标准，必须满足要求。</w:t>
      </w:r>
    </w:p>
    <w:p w14:paraId="314F0E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1.3如未对本技术规范书提出偏差，将认为</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提供的服务符合规范和标准的要求。</w:t>
      </w:r>
    </w:p>
    <w:p w14:paraId="788CBAD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不接受任何带有试验性质的服务工作。</w:t>
      </w:r>
    </w:p>
    <w:p w14:paraId="453C291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在整个</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项目中所使用规范和标准必须遵循现行最新版本的国家标准。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应提供所使用的规范和标准。本技术规范书所使用的规范标准如遇与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所执行的规范标准发生矛盾时，应按较高标准执行。</w:t>
      </w:r>
    </w:p>
    <w:p w14:paraId="73CA1D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1.6在签订合同之后，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有权提出因规范标准和规程发生变化而产生的一些补充要求，具体项目由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和</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共同商定。</w:t>
      </w:r>
    </w:p>
    <w:p w14:paraId="64593D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 提供的</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服务应是成熟可靠、技术先进，类似行业有</w:t>
      </w:r>
      <w:r>
        <w:rPr>
          <w:rFonts w:hint="eastAsia" w:ascii="宋体" w:hAnsi="宋体" w:eastAsia="宋体" w:cs="宋体"/>
          <w:sz w:val="24"/>
          <w:szCs w:val="24"/>
          <w:highlight w:val="none"/>
          <w:lang w:val="en-US" w:eastAsia="zh-CN"/>
        </w:rPr>
        <w:t>高温烟气管道施工</w:t>
      </w:r>
      <w:r>
        <w:rPr>
          <w:rFonts w:hint="eastAsia" w:ascii="宋体" w:hAnsi="宋体" w:eastAsia="宋体" w:cs="宋体"/>
          <w:sz w:val="24"/>
          <w:szCs w:val="24"/>
          <w:highlight w:val="none"/>
        </w:rPr>
        <w:t>相关业绩。</w:t>
      </w:r>
    </w:p>
    <w:p w14:paraId="2BA30B8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1.8本技术规范书将作为合同的附件，与合同正文具有同等效力。</w:t>
      </w:r>
    </w:p>
    <w:p w14:paraId="042AFB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1.9未尽事宜，双方友好协商解决。</w:t>
      </w:r>
    </w:p>
    <w:p w14:paraId="756CFC6C">
      <w:pPr>
        <w:pStyle w:val="4"/>
        <w:rPr>
          <w:rFonts w:hint="eastAsia" w:ascii="宋体" w:hAnsi="宋体" w:eastAsia="宋体" w:cs="宋体"/>
          <w:sz w:val="24"/>
          <w:szCs w:val="24"/>
          <w:highlight w:val="none"/>
          <w:lang w:val="en-US" w:eastAsia="zh-CN"/>
        </w:rPr>
      </w:pPr>
      <w:bookmarkStart w:id="11" w:name="_Toc17201"/>
      <w:bookmarkStart w:id="12" w:name="_Toc141011852"/>
      <w:r>
        <w:rPr>
          <w:rFonts w:hint="eastAsia" w:ascii="宋体" w:hAnsi="宋体" w:eastAsia="宋体" w:cs="宋体"/>
          <w:sz w:val="24"/>
          <w:szCs w:val="24"/>
          <w:highlight w:val="none"/>
          <w:lang w:val="en-US" w:eastAsia="zh-CN"/>
        </w:rPr>
        <w:t>2 项目概况</w:t>
      </w:r>
      <w:bookmarkEnd w:id="11"/>
      <w:bookmarkEnd w:id="12"/>
    </w:p>
    <w:p w14:paraId="1ED9E9D7">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7AC77701">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lang w:val="en-US" w:eastAsia="zh-CN"/>
        </w:rPr>
      </w:pPr>
      <w:r>
        <w:rPr>
          <w:rStyle w:val="34"/>
          <w:rFonts w:hint="eastAsia" w:ascii="宋体" w:hAnsi="宋体" w:eastAsia="宋体" w:cs="宋体"/>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363A0B9F">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3" w:name="_Toc28009"/>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本项目执行的标准和规范</w:t>
      </w:r>
      <w:bookmarkEnd w:id="13"/>
    </w:p>
    <w:bookmarkEnd w:id="2"/>
    <w:bookmarkEnd w:id="3"/>
    <w:bookmarkEnd w:id="4"/>
    <w:bookmarkEnd w:id="5"/>
    <w:bookmarkEnd w:id="6"/>
    <w:bookmarkEnd w:id="7"/>
    <w:bookmarkEnd w:id="8"/>
    <w:bookmarkEnd w:id="9"/>
    <w:bookmarkEnd w:id="10"/>
    <w:p w14:paraId="3053AEBA">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bookmarkStart w:id="14" w:name="_Toc141011853"/>
      <w:bookmarkStart w:id="15" w:name="_Toc27959"/>
      <w:r>
        <w:rPr>
          <w:rStyle w:val="34"/>
          <w:rFonts w:hint="eastAsia" w:ascii="宋体" w:hAnsi="宋体" w:eastAsia="宋体" w:cs="宋体"/>
          <w:sz w:val="24"/>
          <w:szCs w:val="24"/>
          <w:highlight w:val="none"/>
        </w:rPr>
        <w:t>（1）</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严格按设备《480t高温高压煤粉锅炉检修规程》、锅炉维护说明书及清灰方案等，进行清灰。如果以上标准发生冲突，按照较高标准执行。</w:t>
      </w:r>
    </w:p>
    <w:p w14:paraId="20548AE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（2）</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必须提前</w:t>
      </w:r>
      <w:r>
        <w:rPr>
          <w:rStyle w:val="34"/>
          <w:rFonts w:hint="eastAsia" w:ascii="宋体" w:hAnsi="宋体" w:eastAsia="宋体" w:cs="宋体"/>
          <w:sz w:val="24"/>
          <w:szCs w:val="24"/>
          <w:highlight w:val="none"/>
          <w:lang w:val="en-US" w:eastAsia="zh-CN"/>
        </w:rPr>
        <w:t>编制</w:t>
      </w:r>
      <w:r>
        <w:rPr>
          <w:rStyle w:val="34"/>
          <w:rFonts w:hint="eastAsia" w:ascii="宋体" w:hAnsi="宋体" w:eastAsia="宋体" w:cs="宋体"/>
          <w:sz w:val="24"/>
          <w:szCs w:val="24"/>
          <w:highlight w:val="none"/>
        </w:rPr>
        <w:t>清灰方案</w:t>
      </w:r>
      <w:r>
        <w:rPr>
          <w:rStyle w:val="34"/>
          <w:rFonts w:hint="eastAsia" w:ascii="宋体" w:hAnsi="宋体" w:eastAsia="宋体" w:cs="宋体"/>
          <w:sz w:val="24"/>
          <w:szCs w:val="24"/>
          <w:highlight w:val="none"/>
          <w:lang w:val="en-US" w:eastAsia="zh-CN"/>
        </w:rPr>
        <w:t>并组织学习</w:t>
      </w:r>
      <w:r>
        <w:rPr>
          <w:rStyle w:val="34"/>
          <w:rFonts w:hint="eastAsia" w:ascii="宋体" w:hAnsi="宋体" w:eastAsia="宋体" w:cs="宋体"/>
          <w:sz w:val="24"/>
          <w:szCs w:val="24"/>
          <w:highlight w:val="none"/>
        </w:rPr>
        <w:t>,清灰中认真填写各项内容，如需让步，必须征得</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 xml:space="preserve">签字同意。 </w:t>
      </w:r>
    </w:p>
    <w:p w14:paraId="5862BB90">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（3）</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应认真做好清灰记录，记录应真实、准确、完整，清灰结束后整理交</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归档，并要求</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保留所有技术记录的原始记录备查。</w:t>
      </w:r>
    </w:p>
    <w:p w14:paraId="362FA248">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（4）</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必须接受</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检修质量监督员的监督和检查，如需改动，应及时向</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提出异动申请，经批准后方可实施。</w:t>
      </w:r>
    </w:p>
    <w:p w14:paraId="1ECACE9B">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（5）</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严格按清灰计划项目实施，不漏清项目或擅自减少清灰项目工作量，如发生项目变动，应先向</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申请批准。</w:t>
      </w:r>
    </w:p>
    <w:p w14:paraId="371A0182">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（6）严格执行工作票制度，不得进行无票检修；设备试转一定要经</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代表现场检查并签字后方可进行。</w:t>
      </w:r>
    </w:p>
    <w:p w14:paraId="519C7455">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（7）确保清灰检修质量，本次清灰检修实行</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工作负责人自检，</w:t>
      </w:r>
      <w:r>
        <w:rPr>
          <w:rStyle w:val="34"/>
          <w:rFonts w:hint="eastAsia" w:ascii="宋体" w:hAnsi="宋体" w:cs="宋体"/>
          <w:sz w:val="24"/>
          <w:szCs w:val="24"/>
          <w:highlight w:val="none"/>
          <w:lang w:eastAsia="zh-CN"/>
        </w:rPr>
        <w:t>投标人</w:t>
      </w:r>
      <w:r>
        <w:rPr>
          <w:rStyle w:val="34"/>
          <w:rFonts w:hint="eastAsia" w:ascii="宋体" w:hAnsi="宋体" w:eastAsia="宋体" w:cs="宋体"/>
          <w:sz w:val="24"/>
          <w:szCs w:val="24"/>
          <w:highlight w:val="none"/>
        </w:rPr>
        <w:t>技术负责人初步验收和</w:t>
      </w:r>
      <w:r>
        <w:rPr>
          <w:rStyle w:val="34"/>
          <w:rFonts w:hint="eastAsia" w:ascii="宋体" w:hAnsi="宋体" w:cs="宋体"/>
          <w:sz w:val="24"/>
          <w:szCs w:val="24"/>
          <w:highlight w:val="none"/>
          <w:lang w:eastAsia="zh-CN"/>
        </w:rPr>
        <w:t>招标人</w:t>
      </w:r>
      <w:r>
        <w:rPr>
          <w:rStyle w:val="34"/>
          <w:rFonts w:hint="eastAsia" w:ascii="宋体" w:hAnsi="宋体" w:eastAsia="宋体" w:cs="宋体"/>
          <w:sz w:val="24"/>
          <w:szCs w:val="24"/>
          <w:highlight w:val="none"/>
        </w:rPr>
        <w:t>三级验收制度，各级须严把质量关，严禁弄虚作假。</w:t>
      </w:r>
    </w:p>
    <w:p w14:paraId="612ADF05">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（8）其他未尽事宜，详见商务合同。</w:t>
      </w:r>
    </w:p>
    <w:p w14:paraId="33E4A8DB">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 项目</w:t>
      </w:r>
      <w:r>
        <w:rPr>
          <w:rFonts w:hint="eastAsia" w:ascii="宋体" w:hAnsi="宋体" w:eastAsia="宋体" w:cs="宋体"/>
          <w:sz w:val="24"/>
          <w:szCs w:val="24"/>
          <w:highlight w:val="none"/>
        </w:rPr>
        <w:t>范围及</w:t>
      </w:r>
      <w:bookmarkEnd w:id="14"/>
      <w:r>
        <w:rPr>
          <w:rFonts w:hint="eastAsia" w:ascii="宋体" w:hAnsi="宋体" w:eastAsia="宋体" w:cs="宋体"/>
          <w:sz w:val="24"/>
          <w:szCs w:val="24"/>
          <w:highlight w:val="none"/>
          <w:lang w:val="en-US" w:eastAsia="zh-CN"/>
        </w:rPr>
        <w:t>工期</w:t>
      </w:r>
      <w:bookmarkEnd w:id="15"/>
    </w:p>
    <w:p w14:paraId="562E446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16" w:name="_Toc445388462"/>
      <w:r>
        <w:rPr>
          <w:rFonts w:hint="eastAsia" w:ascii="宋体" w:hAnsi="宋体" w:eastAsia="宋体" w:cs="宋体"/>
          <w:sz w:val="24"/>
          <w:szCs w:val="24"/>
          <w:highlight w:val="none"/>
          <w:lang w:val="en-US" w:eastAsia="zh-CN"/>
        </w:rPr>
        <w:t>4.1清灰范围</w:t>
      </w:r>
      <w:bookmarkEnd w:id="16"/>
    </w:p>
    <w:p w14:paraId="5544575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本次锅炉停炉烟风道清灰项目项目的施工范围为：省煤器冷灰斗，水平烟道</w:t>
      </w:r>
      <w:bookmarkStart w:id="17" w:name="_Toc445388463"/>
      <w:r>
        <w:rPr>
          <w:rFonts w:hint="eastAsia" w:ascii="宋体" w:hAnsi="宋体" w:eastAsia="宋体" w:cs="宋体"/>
          <w:sz w:val="24"/>
          <w:szCs w:val="24"/>
          <w:highlight w:val="none"/>
          <w:lang w:val="en-US" w:eastAsia="zh-CN"/>
        </w:rPr>
        <w:t>，锅炉烟风道其他积灰部位。</w:t>
      </w:r>
    </w:p>
    <w:bookmarkEnd w:id="17"/>
    <w:p w14:paraId="700D4D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 项目工期</w:t>
      </w:r>
    </w:p>
    <w:p w14:paraId="28AAD23E">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4.2.1 </w:t>
      </w:r>
      <w:r>
        <w:rPr>
          <w:rStyle w:val="34"/>
          <w:rFonts w:hint="eastAsia" w:ascii="宋体" w:hAnsi="宋体" w:eastAsia="宋体" w:cs="宋体"/>
          <w:sz w:val="24"/>
          <w:szCs w:val="24"/>
          <w:highlight w:val="none"/>
          <w:lang w:val="en-US" w:eastAsia="zh-CN"/>
        </w:rPr>
        <w:t>本</w:t>
      </w:r>
      <w:r>
        <w:rPr>
          <w:rStyle w:val="34"/>
          <w:rFonts w:hint="eastAsia" w:ascii="宋体" w:hAnsi="宋体" w:eastAsia="宋体" w:cs="宋体"/>
          <w:sz w:val="24"/>
          <w:szCs w:val="24"/>
          <w:highlight w:val="none"/>
        </w:rPr>
        <w:t>项目施工工期为</w:t>
      </w:r>
      <w:r>
        <w:rPr>
          <w:rStyle w:val="34"/>
          <w:rFonts w:hint="eastAsia" w:ascii="宋体" w:hAnsi="宋体" w:cs="宋体"/>
          <w:sz w:val="24"/>
          <w:szCs w:val="24"/>
          <w:highlight w:val="none"/>
          <w:lang w:val="en-US" w:eastAsia="zh-CN"/>
        </w:rPr>
        <w:t>单台炉10天</w:t>
      </w:r>
      <w:r>
        <w:rPr>
          <w:rStyle w:val="34"/>
          <w:rFonts w:hint="eastAsia" w:ascii="宋体" w:hAnsi="宋体" w:eastAsia="宋体" w:cs="宋体"/>
          <w:sz w:val="24"/>
          <w:szCs w:val="24"/>
          <w:highlight w:val="none"/>
        </w:rPr>
        <w:t>，</w:t>
      </w:r>
      <w:r>
        <w:rPr>
          <w:rStyle w:val="34"/>
          <w:rFonts w:hint="eastAsia" w:ascii="宋体" w:hAnsi="宋体" w:cs="宋体"/>
          <w:sz w:val="24"/>
          <w:szCs w:val="24"/>
          <w:highlight w:val="none"/>
          <w:lang w:val="en-US" w:eastAsia="zh-CN"/>
        </w:rPr>
        <w:t>四台炉共计40天，</w:t>
      </w:r>
      <w:r>
        <w:rPr>
          <w:rFonts w:hint="eastAsia" w:ascii="宋体" w:hAnsi="宋体" w:eastAsia="宋体" w:cs="宋体"/>
          <w:sz w:val="24"/>
          <w:szCs w:val="24"/>
          <w:highlight w:val="none"/>
        </w:rPr>
        <w:t>暂定20</w:t>
      </w:r>
      <w:r>
        <w:rPr>
          <w:rFonts w:hint="eastAsia" w:ascii="宋体" w:hAnsi="宋体" w:cs="宋体"/>
          <w:sz w:val="24"/>
          <w:szCs w:val="24"/>
          <w:highlight w:val="none"/>
          <w:lang w:val="en-US" w:eastAsia="zh-CN"/>
        </w:rPr>
        <w:t>26年完成</w:t>
      </w:r>
      <w:r>
        <w:rPr>
          <w:rFonts w:hint="eastAsia" w:ascii="宋体" w:hAnsi="宋体" w:eastAsia="宋体" w:cs="宋体"/>
          <w:sz w:val="24"/>
          <w:szCs w:val="24"/>
          <w:highlight w:val="none"/>
          <w:lang w:val="en-US" w:eastAsia="zh-CN"/>
        </w:rPr>
        <w:t>，具体时间以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通知为准；</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开工前提供项目进度表，确保整体进度。受国家、地方、企业等的政策或要求等影响，所延误工期时，工期顺延）。</w:t>
      </w:r>
    </w:p>
    <w:p w14:paraId="235AECA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4.2.2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不仅要保证自己承担工作的进度，同时和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一起协调与其它外包系统设备的连接项目等施工进度，确保整体进度。</w:t>
      </w:r>
    </w:p>
    <w:p w14:paraId="13FD248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4.2.3 施工服务工期内，涉及各类检修作业时不仅须按时完成项目，同时各分项工期均须按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要求进度时间完成。</w:t>
      </w:r>
    </w:p>
    <w:p w14:paraId="51F0F32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4.2.4 施工服务工期内，以生产装置现场实际情况为指导，不仅要求按时按进度完成本职检修工作，同时应服从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协调指挥要求，主动配合完成现场其他施工作业工作。</w:t>
      </w:r>
    </w:p>
    <w:p w14:paraId="7B1F904E">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8" w:name="_Toc141011854"/>
      <w:bookmarkStart w:id="19" w:name="_Toc28439"/>
      <w:r>
        <w:rPr>
          <w:rFonts w:hint="eastAsia" w:ascii="宋体" w:hAnsi="宋体" w:eastAsia="宋体" w:cs="宋体"/>
          <w:sz w:val="24"/>
          <w:szCs w:val="24"/>
          <w:highlight w:val="none"/>
          <w:lang w:val="en-US" w:eastAsia="zh-CN"/>
        </w:rPr>
        <w:t>5项目内容及</w:t>
      </w:r>
      <w:r>
        <w:rPr>
          <w:rFonts w:hint="eastAsia" w:ascii="宋体" w:hAnsi="宋体" w:eastAsia="宋体" w:cs="宋体"/>
          <w:sz w:val="24"/>
          <w:szCs w:val="24"/>
          <w:highlight w:val="none"/>
        </w:rPr>
        <w:t>要求</w:t>
      </w:r>
      <w:bookmarkEnd w:id="18"/>
      <w:bookmarkEnd w:id="19"/>
    </w:p>
    <w:p w14:paraId="35A90D6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0" w:name="_Toc445388465"/>
      <w:bookmarkStart w:id="21" w:name="_Toc141011855"/>
      <w:r>
        <w:rPr>
          <w:rFonts w:hint="eastAsia" w:ascii="宋体" w:hAnsi="宋体" w:eastAsia="宋体" w:cs="宋体"/>
          <w:sz w:val="24"/>
          <w:szCs w:val="24"/>
          <w:highlight w:val="none"/>
          <w:lang w:val="en-US" w:eastAsia="zh-CN"/>
        </w:rPr>
        <w:t>5.1 一般要求</w:t>
      </w:r>
      <w:bookmarkEnd w:id="20"/>
    </w:p>
    <w:p w14:paraId="19D01BBB">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 xml:space="preserve">（1）必须依据DL5009.1-2014《电力建设安全工作规程》及国家相关行业标准、安全规范进行本项目清灰工作。 </w:t>
      </w:r>
    </w:p>
    <w:p w14:paraId="7EAA092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（2）必须执行</w:t>
      </w:r>
      <w:r>
        <w:rPr>
          <w:rFonts w:hint="eastAsia" w:ascii="宋体" w:hAnsi="宋体" w:cs="宋体"/>
          <w:kern w:val="0"/>
          <w:sz w:val="24"/>
          <w:lang w:eastAsia="zh-CN"/>
        </w:rPr>
        <w:t>招标人</w:t>
      </w:r>
      <w:r>
        <w:rPr>
          <w:rFonts w:hint="eastAsia" w:ascii="宋体" w:hAnsi="宋体" w:cs="宋体"/>
          <w:kern w:val="0"/>
          <w:sz w:val="24"/>
        </w:rPr>
        <w:t>制定的各项安全生产管理制度和规定，必须积极主动接受</w:t>
      </w:r>
      <w:r>
        <w:rPr>
          <w:rFonts w:hint="eastAsia" w:ascii="宋体" w:hAnsi="宋体" w:cs="宋体"/>
          <w:kern w:val="0"/>
          <w:sz w:val="24"/>
          <w:lang w:eastAsia="zh-CN"/>
        </w:rPr>
        <w:t>招标人</w:t>
      </w:r>
      <w:r>
        <w:rPr>
          <w:rFonts w:hint="eastAsia" w:ascii="宋体" w:hAnsi="宋体" w:cs="宋体"/>
          <w:kern w:val="0"/>
          <w:sz w:val="24"/>
        </w:rPr>
        <w:t>对清灰管理工作监督与考核。</w:t>
      </w:r>
    </w:p>
    <w:p w14:paraId="357A4155">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（3）必须提交本单位法人营业执照、资质文件、许可证书、施工资质文件、单位安健环资质文件，进厂施工人员情况调查表、施工机具和自带施工工器具清单。</w:t>
      </w:r>
    </w:p>
    <w:p w14:paraId="4D8BDCC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（4）必须储备足够的，为完成本规范任务所必需的具备相关专业上岗资质的人员和装备，以及处理突发事件的抢修人员，检修中所需的配合工种由</w:t>
      </w:r>
      <w:r>
        <w:rPr>
          <w:rFonts w:hint="eastAsia" w:ascii="宋体" w:hAnsi="宋体" w:cs="宋体"/>
          <w:kern w:val="0"/>
          <w:sz w:val="24"/>
          <w:lang w:eastAsia="zh-CN"/>
        </w:rPr>
        <w:t>投标人</w:t>
      </w:r>
      <w:r>
        <w:rPr>
          <w:rFonts w:hint="eastAsia" w:ascii="宋体" w:hAnsi="宋体" w:cs="宋体"/>
          <w:kern w:val="0"/>
          <w:sz w:val="24"/>
        </w:rPr>
        <w:t>自行负责。</w:t>
      </w:r>
    </w:p>
    <w:p w14:paraId="13A7A6D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（5）进厂的所有工作人员，必须经 “三级”安全教育及考试合格后方能上岗，且人员必须相对固定，并能长期驻守在现场，人员变动时必须征得</w:t>
      </w:r>
      <w:r>
        <w:rPr>
          <w:rFonts w:hint="eastAsia" w:ascii="宋体" w:hAnsi="宋体" w:cs="宋体"/>
          <w:kern w:val="0"/>
          <w:sz w:val="24"/>
          <w:lang w:eastAsia="zh-CN"/>
        </w:rPr>
        <w:t>招标人</w:t>
      </w:r>
      <w:r>
        <w:rPr>
          <w:rFonts w:hint="eastAsia" w:ascii="宋体" w:hAnsi="宋体" w:cs="宋体"/>
          <w:kern w:val="0"/>
          <w:sz w:val="24"/>
        </w:rPr>
        <w:t>主管部门的认可。</w:t>
      </w:r>
    </w:p>
    <w:p w14:paraId="609425B8">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（6）必须按要求编写各相关预案，做好事故应急预案，以便能快速处理突发事件。</w:t>
      </w:r>
    </w:p>
    <w:p w14:paraId="353E98A1">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（7）必须达到以下安全责任目标及要求另行签订安全协议，安全协议与合同同样具有法定约束力。</w:t>
      </w:r>
    </w:p>
    <w:p w14:paraId="35AA271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1）总体目标：零事故、零污染、零伤害；</w:t>
      </w:r>
    </w:p>
    <w:p w14:paraId="0D19BC9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 具体目标：</w:t>
      </w:r>
    </w:p>
    <w:p w14:paraId="664ED98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①杜绝重伤、死亡事故的发生；</w:t>
      </w:r>
    </w:p>
    <w:p w14:paraId="08857ED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②安全隐患整改率必须保证在时限内达到100%，杜绝出现重大隐患；</w:t>
      </w:r>
    </w:p>
    <w:p w14:paraId="2CB87766">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③不发生火灾事故，火险隐患整改率必须保证在时限内达到100%；</w:t>
      </w:r>
    </w:p>
    <w:p w14:paraId="78F6594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④保证外包工程建设、检修或调试期间不损坏热电车间的设备、设施，不影响热电车间正常生产运行。</w:t>
      </w:r>
    </w:p>
    <w:p w14:paraId="6FA497A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3)作为工程项目的</w:t>
      </w:r>
      <w:r>
        <w:rPr>
          <w:rFonts w:hint="eastAsia" w:ascii="宋体" w:hAnsi="宋体" w:cs="宋体"/>
          <w:kern w:val="0"/>
          <w:sz w:val="24"/>
          <w:lang w:eastAsia="zh-CN"/>
        </w:rPr>
        <w:t>投标人</w:t>
      </w:r>
      <w:r>
        <w:rPr>
          <w:rFonts w:hint="eastAsia" w:ascii="宋体" w:hAnsi="宋体" w:cs="宋体"/>
          <w:kern w:val="0"/>
          <w:sz w:val="24"/>
        </w:rPr>
        <w:t>，对</w:t>
      </w:r>
      <w:r>
        <w:rPr>
          <w:rFonts w:hint="eastAsia" w:ascii="宋体" w:hAnsi="宋体" w:cs="宋体"/>
          <w:kern w:val="0"/>
          <w:sz w:val="24"/>
          <w:lang w:val="en-US" w:eastAsia="zh-CN"/>
        </w:rPr>
        <w:t>承包</w:t>
      </w:r>
      <w:r>
        <w:rPr>
          <w:rFonts w:hint="eastAsia" w:ascii="宋体" w:hAnsi="宋体" w:cs="宋体"/>
          <w:kern w:val="0"/>
          <w:sz w:val="24"/>
        </w:rPr>
        <w:t>工程施工全过程的安全工作负全面责任，承担包括但不限于由于自身管理不善、或因施工人员自身原因与过错所造成的人身伤亡、设备和工程质量事故、火灾以及一切责任事故的全部责任及经济损失，且不应为此增加</w:t>
      </w:r>
      <w:r>
        <w:rPr>
          <w:rFonts w:hint="eastAsia" w:ascii="宋体" w:hAnsi="宋体" w:cs="宋体"/>
          <w:kern w:val="0"/>
          <w:sz w:val="24"/>
          <w:lang w:eastAsia="zh-CN"/>
        </w:rPr>
        <w:t>招标人</w:t>
      </w:r>
      <w:r>
        <w:rPr>
          <w:rFonts w:hint="eastAsia" w:ascii="宋体" w:hAnsi="宋体" w:cs="宋体"/>
          <w:kern w:val="0"/>
          <w:sz w:val="24"/>
        </w:rPr>
        <w:t>费用或延迟施工进度，对发生的事故按“四不放过”的原则进行调查处理，发生人身、设备等事故，应立即用电话等方式报</w:t>
      </w:r>
      <w:r>
        <w:rPr>
          <w:rFonts w:hint="eastAsia" w:ascii="宋体" w:hAnsi="宋体" w:cs="宋体"/>
          <w:kern w:val="0"/>
          <w:sz w:val="24"/>
          <w:lang w:eastAsia="zh-CN"/>
        </w:rPr>
        <w:t>招标人</w:t>
      </w:r>
      <w:r>
        <w:rPr>
          <w:rFonts w:hint="eastAsia" w:ascii="宋体" w:hAnsi="宋体" w:cs="宋体"/>
          <w:kern w:val="0"/>
          <w:sz w:val="24"/>
        </w:rPr>
        <w:t>（火警：6491119、急救：6491120），严禁弄虚作假、隐瞒不报。必须切实履行以下安全责任及具备下列条件：</w:t>
      </w:r>
    </w:p>
    <w:p w14:paraId="21E6FF9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①有胜任</w:t>
      </w:r>
      <w:r>
        <w:rPr>
          <w:rFonts w:hint="eastAsia" w:ascii="宋体" w:hAnsi="宋体" w:cs="宋体"/>
          <w:kern w:val="0"/>
          <w:sz w:val="24"/>
          <w:lang w:val="en-US" w:eastAsia="zh-CN"/>
        </w:rPr>
        <w:t>施工</w:t>
      </w:r>
      <w:r>
        <w:rPr>
          <w:rFonts w:hint="eastAsia" w:ascii="宋体" w:hAnsi="宋体" w:cs="宋体"/>
          <w:kern w:val="0"/>
          <w:sz w:val="24"/>
        </w:rPr>
        <w:t>工程管理的项目领导班子，项目负责人、工程技术人员和工人，安全施工的技术等级必须满足所承接工程的需要。</w:t>
      </w:r>
    </w:p>
    <w:p w14:paraId="185710C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②能准确理解和执行</w:t>
      </w:r>
      <w:r>
        <w:rPr>
          <w:rFonts w:hint="eastAsia" w:ascii="宋体" w:hAnsi="宋体" w:cs="宋体"/>
          <w:kern w:val="0"/>
          <w:sz w:val="24"/>
          <w:lang w:eastAsia="zh-CN"/>
        </w:rPr>
        <w:t>招标人</w:t>
      </w:r>
      <w:r>
        <w:rPr>
          <w:rFonts w:hint="eastAsia" w:ascii="宋体" w:hAnsi="宋体" w:cs="宋体"/>
          <w:kern w:val="0"/>
          <w:sz w:val="24"/>
        </w:rPr>
        <w:t>提供的，有关安全技术规程制度和质量要求、工艺要求等技术文件，有施工组织设计、安全计划和分项工程安全施工措施。</w:t>
      </w:r>
    </w:p>
    <w:p w14:paraId="39ADC38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③施工机械、工器具及安全防护设施、安全用具等必须满足施工需要及安全需要。</w:t>
      </w:r>
    </w:p>
    <w:p w14:paraId="4A1551C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④在工作中要主动接受</w:t>
      </w:r>
      <w:r>
        <w:rPr>
          <w:rFonts w:hint="eastAsia" w:ascii="宋体" w:hAnsi="宋体" w:cs="宋体"/>
          <w:kern w:val="0"/>
          <w:sz w:val="24"/>
          <w:lang w:eastAsia="zh-CN"/>
        </w:rPr>
        <w:t>招标人</w:t>
      </w:r>
      <w:r>
        <w:rPr>
          <w:rFonts w:hint="eastAsia" w:ascii="宋体" w:hAnsi="宋体" w:cs="宋体"/>
          <w:kern w:val="0"/>
          <w:sz w:val="24"/>
        </w:rPr>
        <w:t>的安全检查和监督。对因</w:t>
      </w:r>
      <w:r>
        <w:rPr>
          <w:rFonts w:hint="eastAsia" w:ascii="宋体" w:hAnsi="宋体" w:cs="宋体"/>
          <w:kern w:val="0"/>
          <w:sz w:val="24"/>
          <w:lang w:eastAsia="zh-CN"/>
        </w:rPr>
        <w:t>投标人</w:t>
      </w:r>
      <w:r>
        <w:rPr>
          <w:rFonts w:hint="eastAsia" w:ascii="宋体" w:hAnsi="宋体" w:cs="宋体"/>
          <w:kern w:val="0"/>
          <w:sz w:val="24"/>
        </w:rPr>
        <w:t>工作人员的责任，造成设备停运、损失，火灾及人身伤害等影响施工和安全目标的行为，必须接受</w:t>
      </w:r>
      <w:r>
        <w:rPr>
          <w:rFonts w:hint="eastAsia" w:ascii="宋体" w:hAnsi="宋体" w:cs="宋体"/>
          <w:kern w:val="0"/>
          <w:sz w:val="24"/>
          <w:lang w:eastAsia="zh-CN"/>
        </w:rPr>
        <w:t>招标人</w:t>
      </w:r>
      <w:r>
        <w:rPr>
          <w:rFonts w:hint="eastAsia" w:ascii="宋体" w:hAnsi="宋体" w:cs="宋体"/>
          <w:kern w:val="0"/>
          <w:sz w:val="24"/>
        </w:rPr>
        <w:t>的考核。</w:t>
      </w:r>
    </w:p>
    <w:p w14:paraId="55832179">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（8）按时完成责任内的所有工作、保证质量、工期和安全文明，检修工作结束后要及时完成各种书面资料的填写、整理，按时反馈给</w:t>
      </w:r>
      <w:r>
        <w:rPr>
          <w:rFonts w:hint="eastAsia" w:ascii="宋体" w:hAnsi="宋体" w:cs="宋体"/>
          <w:kern w:val="0"/>
          <w:sz w:val="24"/>
          <w:lang w:eastAsia="zh-CN"/>
        </w:rPr>
        <w:t>招标人</w:t>
      </w:r>
      <w:r>
        <w:rPr>
          <w:rFonts w:hint="eastAsia" w:ascii="宋体" w:hAnsi="宋体" w:cs="宋体"/>
          <w:kern w:val="0"/>
          <w:sz w:val="24"/>
        </w:rPr>
        <w:t>主管部门备案。</w:t>
      </w:r>
    </w:p>
    <w:p w14:paraId="4E3B53D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（9）负责配置具有合格证且符合安全标准的检修工器具，统一着装及自身劳动保护用品。</w:t>
      </w:r>
    </w:p>
    <w:p w14:paraId="0391172E">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（10）在任何形式的检修工作中，不准损坏其他设备，因</w:t>
      </w:r>
      <w:r>
        <w:rPr>
          <w:rFonts w:hint="eastAsia" w:ascii="宋体" w:hAnsi="宋体" w:cs="宋体"/>
          <w:kern w:val="0"/>
          <w:sz w:val="24"/>
          <w:lang w:eastAsia="zh-CN"/>
        </w:rPr>
        <w:t>投标人</w:t>
      </w:r>
      <w:r>
        <w:rPr>
          <w:rFonts w:hint="eastAsia" w:ascii="宋体" w:hAnsi="宋体" w:cs="宋体"/>
          <w:kern w:val="0"/>
          <w:sz w:val="24"/>
        </w:rPr>
        <w:t>认为因素造成损失的或者引起设备功能失效的，由</w:t>
      </w:r>
      <w:r>
        <w:rPr>
          <w:rFonts w:hint="eastAsia" w:ascii="宋体" w:hAnsi="宋体" w:cs="宋体"/>
          <w:kern w:val="0"/>
          <w:sz w:val="24"/>
          <w:lang w:eastAsia="zh-CN"/>
        </w:rPr>
        <w:t>投标人</w:t>
      </w:r>
      <w:r>
        <w:rPr>
          <w:rFonts w:hint="eastAsia" w:ascii="宋体" w:hAnsi="宋体" w:cs="宋体"/>
          <w:kern w:val="0"/>
          <w:sz w:val="24"/>
        </w:rPr>
        <w:t>承担全部责任。未经</w:t>
      </w:r>
      <w:r>
        <w:rPr>
          <w:rFonts w:hint="eastAsia" w:ascii="宋体" w:hAnsi="宋体" w:cs="宋体"/>
          <w:kern w:val="0"/>
          <w:sz w:val="24"/>
          <w:lang w:eastAsia="zh-CN"/>
        </w:rPr>
        <w:t>招标人</w:t>
      </w:r>
      <w:r>
        <w:rPr>
          <w:rFonts w:hint="eastAsia" w:ascii="宋体" w:hAnsi="宋体" w:cs="宋体"/>
          <w:kern w:val="0"/>
          <w:sz w:val="24"/>
        </w:rPr>
        <w:t>同意</w:t>
      </w:r>
      <w:r>
        <w:rPr>
          <w:rFonts w:hint="eastAsia" w:ascii="宋体" w:hAnsi="宋体" w:cs="宋体"/>
          <w:kern w:val="0"/>
          <w:sz w:val="24"/>
          <w:lang w:eastAsia="zh-CN"/>
        </w:rPr>
        <w:t>投标人</w:t>
      </w:r>
      <w:r>
        <w:rPr>
          <w:rFonts w:hint="eastAsia" w:ascii="宋体" w:hAnsi="宋体" w:cs="宋体"/>
          <w:kern w:val="0"/>
          <w:sz w:val="24"/>
        </w:rPr>
        <w:t>不准擅自更换或调换所辖设备的零部件或备品备件。一般性消耗性材料由</w:t>
      </w:r>
      <w:r>
        <w:rPr>
          <w:rFonts w:hint="eastAsia" w:ascii="宋体" w:hAnsi="宋体" w:cs="宋体"/>
          <w:kern w:val="0"/>
          <w:sz w:val="24"/>
          <w:lang w:eastAsia="zh-CN"/>
        </w:rPr>
        <w:t>投标人</w:t>
      </w:r>
      <w:r>
        <w:rPr>
          <w:rFonts w:hint="eastAsia" w:ascii="宋体" w:hAnsi="宋体" w:cs="宋体"/>
          <w:kern w:val="0"/>
          <w:sz w:val="24"/>
        </w:rPr>
        <w:t>自行负责（指未附着安装在设备上的材料）。</w:t>
      </w:r>
    </w:p>
    <w:p w14:paraId="45774C5D">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（11）在每一次清灰工作结束后，</w:t>
      </w:r>
      <w:r>
        <w:rPr>
          <w:rFonts w:hint="eastAsia" w:ascii="宋体" w:hAnsi="宋体" w:cs="宋体"/>
          <w:kern w:val="0"/>
          <w:sz w:val="24"/>
          <w:lang w:eastAsia="zh-CN"/>
        </w:rPr>
        <w:t>投标人</w:t>
      </w:r>
      <w:r>
        <w:rPr>
          <w:rFonts w:hint="eastAsia" w:ascii="宋体" w:hAnsi="宋体" w:cs="宋体"/>
          <w:kern w:val="0"/>
          <w:sz w:val="24"/>
        </w:rPr>
        <w:t>工作人员应按照要求，作好各种资料的记录和整理，并在两天内交</w:t>
      </w:r>
      <w:r>
        <w:rPr>
          <w:rFonts w:hint="eastAsia" w:ascii="宋体" w:hAnsi="宋体" w:cs="宋体"/>
          <w:kern w:val="0"/>
          <w:sz w:val="24"/>
          <w:lang w:eastAsia="zh-CN"/>
        </w:rPr>
        <w:t>招标人</w:t>
      </w:r>
      <w:r>
        <w:rPr>
          <w:rFonts w:hint="eastAsia" w:ascii="宋体" w:hAnsi="宋体" w:cs="宋体"/>
          <w:kern w:val="0"/>
          <w:sz w:val="24"/>
        </w:rPr>
        <w:t xml:space="preserve">热电车间相关专业及班组存档。 </w:t>
      </w:r>
    </w:p>
    <w:p w14:paraId="53229BF0">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（12）应全面负责清灰过程中的环境、卫生清洁、劳动保护等的管理工作。</w:t>
      </w:r>
    </w:p>
    <w:p w14:paraId="5AD4F619">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（13）应储备并提供为完成维修任务所必需的一般消耗性材料、专用工器具及其它物品。</w:t>
      </w:r>
    </w:p>
    <w:p w14:paraId="21DB18B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（14）负责本技术</w:t>
      </w:r>
      <w:r>
        <w:rPr>
          <w:rFonts w:hint="eastAsia" w:ascii="宋体" w:hAnsi="宋体" w:cs="宋体"/>
          <w:kern w:val="0"/>
          <w:sz w:val="24"/>
          <w:lang w:eastAsia="zh-CN"/>
        </w:rPr>
        <w:t>协议书</w:t>
      </w:r>
      <w:r>
        <w:rPr>
          <w:rFonts w:hint="eastAsia" w:ascii="宋体" w:hAnsi="宋体" w:cs="宋体"/>
          <w:kern w:val="0"/>
          <w:sz w:val="24"/>
        </w:rPr>
        <w:t>内设备的验收工作。</w:t>
      </w:r>
    </w:p>
    <w:p w14:paraId="2341EA5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（15）如发生紧急情况或重大事项情况下，</w:t>
      </w:r>
      <w:r>
        <w:rPr>
          <w:rFonts w:hint="eastAsia" w:ascii="宋体" w:hAnsi="宋体" w:cs="宋体"/>
          <w:kern w:val="0"/>
          <w:sz w:val="24"/>
          <w:lang w:eastAsia="zh-CN"/>
        </w:rPr>
        <w:t>投标人</w:t>
      </w:r>
      <w:r>
        <w:rPr>
          <w:rFonts w:hint="eastAsia" w:ascii="宋体" w:hAnsi="宋体" w:cs="宋体"/>
          <w:kern w:val="0"/>
          <w:sz w:val="24"/>
        </w:rPr>
        <w:t>因技术力量不足或准备不及等因素而无法处理或耽误维修等，导致</w:t>
      </w:r>
      <w:r>
        <w:rPr>
          <w:rFonts w:hint="eastAsia" w:ascii="宋体" w:hAnsi="宋体" w:cs="宋体"/>
          <w:kern w:val="0"/>
          <w:sz w:val="24"/>
          <w:lang w:eastAsia="zh-CN"/>
        </w:rPr>
        <w:t>招标人</w:t>
      </w:r>
      <w:r>
        <w:rPr>
          <w:rFonts w:hint="eastAsia" w:ascii="宋体" w:hAnsi="宋体" w:cs="宋体"/>
          <w:kern w:val="0"/>
          <w:sz w:val="24"/>
        </w:rPr>
        <w:t>委托其它施工队伍进行紧急处理，必须担负全部委托费用及由此造成的损失，并接受</w:t>
      </w:r>
      <w:r>
        <w:rPr>
          <w:rFonts w:hint="eastAsia" w:ascii="宋体" w:hAnsi="宋体" w:cs="宋体"/>
          <w:kern w:val="0"/>
          <w:sz w:val="24"/>
          <w:lang w:eastAsia="zh-CN"/>
        </w:rPr>
        <w:t>招标人</w:t>
      </w:r>
      <w:r>
        <w:rPr>
          <w:rFonts w:hint="eastAsia" w:ascii="宋体" w:hAnsi="宋体" w:cs="宋体"/>
          <w:kern w:val="0"/>
          <w:sz w:val="24"/>
        </w:rPr>
        <w:t>相应考核。</w:t>
      </w:r>
    </w:p>
    <w:p w14:paraId="0DE2A62A">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（16）必须承担由于</w:t>
      </w:r>
      <w:r>
        <w:rPr>
          <w:rFonts w:hint="eastAsia" w:ascii="宋体" w:hAnsi="宋体" w:cs="宋体"/>
          <w:kern w:val="0"/>
          <w:sz w:val="24"/>
          <w:lang w:eastAsia="zh-CN"/>
        </w:rPr>
        <w:t>投标人</w:t>
      </w:r>
      <w:r>
        <w:rPr>
          <w:rFonts w:hint="eastAsia" w:ascii="宋体" w:hAnsi="宋体" w:cs="宋体"/>
          <w:kern w:val="0"/>
          <w:sz w:val="24"/>
        </w:rPr>
        <w:t>对设备检修引起的一切责任。</w:t>
      </w:r>
    </w:p>
    <w:p w14:paraId="4259DBB6">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（17）检修工作必须坚持“质量第一”文明施工。</w:t>
      </w:r>
    </w:p>
    <w:p w14:paraId="068A9E5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（18）必须办理工作票许可开工后才能开始工作，工作票由</w:t>
      </w:r>
      <w:r>
        <w:rPr>
          <w:rFonts w:hint="eastAsia" w:ascii="宋体" w:hAnsi="宋体" w:cs="宋体"/>
          <w:kern w:val="0"/>
          <w:sz w:val="24"/>
          <w:lang w:eastAsia="zh-CN"/>
        </w:rPr>
        <w:t>投标人</w:t>
      </w:r>
      <w:r>
        <w:rPr>
          <w:rFonts w:hint="eastAsia" w:ascii="宋体" w:hAnsi="宋体" w:cs="宋体"/>
          <w:kern w:val="0"/>
          <w:sz w:val="24"/>
        </w:rPr>
        <w:t>工作负责人填写，并由</w:t>
      </w:r>
      <w:r>
        <w:rPr>
          <w:rFonts w:hint="eastAsia" w:ascii="宋体" w:hAnsi="宋体" w:cs="宋体"/>
          <w:kern w:val="0"/>
          <w:sz w:val="24"/>
          <w:lang w:eastAsia="zh-CN"/>
        </w:rPr>
        <w:t>招标人</w:t>
      </w:r>
      <w:r>
        <w:rPr>
          <w:rFonts w:hint="eastAsia" w:ascii="宋体" w:hAnsi="宋体" w:cs="宋体"/>
          <w:kern w:val="0"/>
          <w:sz w:val="24"/>
        </w:rPr>
        <w:t>相关负责人签发。</w:t>
      </w:r>
      <w:r>
        <w:rPr>
          <w:rFonts w:hint="eastAsia" w:ascii="宋体" w:hAnsi="宋体" w:cs="宋体"/>
          <w:kern w:val="0"/>
          <w:sz w:val="24"/>
          <w:lang w:eastAsia="zh-CN"/>
        </w:rPr>
        <w:t>投标人</w:t>
      </w:r>
      <w:r>
        <w:rPr>
          <w:rFonts w:hint="eastAsia" w:ascii="宋体" w:hAnsi="宋体" w:cs="宋体"/>
          <w:kern w:val="0"/>
          <w:sz w:val="24"/>
        </w:rPr>
        <w:t>工作负责人资格，由</w:t>
      </w:r>
      <w:r>
        <w:rPr>
          <w:rFonts w:hint="eastAsia" w:ascii="宋体" w:hAnsi="宋体" w:cs="宋体"/>
          <w:kern w:val="0"/>
          <w:sz w:val="24"/>
          <w:lang w:eastAsia="zh-CN"/>
        </w:rPr>
        <w:t>招标人</w:t>
      </w:r>
      <w:r>
        <w:rPr>
          <w:rFonts w:hint="eastAsia" w:ascii="宋体" w:hAnsi="宋体" w:cs="宋体"/>
          <w:kern w:val="0"/>
          <w:sz w:val="24"/>
        </w:rPr>
        <w:t>安健环考试合格后认定、批准，工作监护人由</w:t>
      </w:r>
      <w:r>
        <w:rPr>
          <w:rFonts w:hint="eastAsia" w:ascii="宋体" w:hAnsi="宋体" w:cs="宋体"/>
          <w:kern w:val="0"/>
          <w:sz w:val="24"/>
          <w:lang w:eastAsia="zh-CN"/>
        </w:rPr>
        <w:t>投标人</w:t>
      </w:r>
      <w:r>
        <w:rPr>
          <w:rFonts w:hint="eastAsia" w:ascii="宋体" w:hAnsi="宋体" w:cs="宋体"/>
          <w:kern w:val="0"/>
          <w:sz w:val="24"/>
        </w:rPr>
        <w:t>相关班组指定人员担任。</w:t>
      </w:r>
    </w:p>
    <w:p w14:paraId="4E2102B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cs="宋体"/>
          <w:kern w:val="0"/>
          <w:sz w:val="24"/>
        </w:rPr>
        <w:t>（19）若违反本规范相关规定，</w:t>
      </w:r>
      <w:r>
        <w:rPr>
          <w:rFonts w:hint="eastAsia" w:ascii="宋体" w:hAnsi="宋体" w:cs="宋体"/>
          <w:kern w:val="0"/>
          <w:sz w:val="24"/>
          <w:lang w:eastAsia="zh-CN"/>
        </w:rPr>
        <w:t>招标人</w:t>
      </w:r>
      <w:r>
        <w:rPr>
          <w:rFonts w:hint="eastAsia" w:ascii="宋体" w:hAnsi="宋体" w:cs="宋体"/>
          <w:kern w:val="0"/>
          <w:sz w:val="24"/>
        </w:rPr>
        <w:t>可在</w:t>
      </w:r>
      <w:r>
        <w:rPr>
          <w:rFonts w:hint="eastAsia" w:ascii="宋体" w:hAnsi="宋体" w:cs="宋体"/>
          <w:kern w:val="0"/>
          <w:sz w:val="24"/>
          <w:lang w:eastAsia="zh-CN"/>
        </w:rPr>
        <w:t>投标人</w:t>
      </w:r>
      <w:r>
        <w:rPr>
          <w:rFonts w:hint="eastAsia" w:ascii="宋体" w:hAnsi="宋体" w:cs="宋体"/>
          <w:kern w:val="0"/>
          <w:sz w:val="24"/>
        </w:rPr>
        <w:t>合同款项中纳入考核。</w:t>
      </w:r>
      <w:r>
        <w:rPr>
          <w:rFonts w:hint="eastAsia" w:ascii="宋体" w:hAnsi="宋体" w:eastAsia="宋体" w:cs="宋体"/>
          <w:sz w:val="24"/>
          <w:szCs w:val="24"/>
          <w:highlight w:val="none"/>
          <w:lang w:val="en-US" w:eastAsia="zh-CN"/>
        </w:rPr>
        <w:t>5.4项目技术要求</w:t>
      </w:r>
    </w:p>
    <w:bookmarkEnd w:id="21"/>
    <w:p w14:paraId="6B4FEB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2" w:name="_Toc445388466"/>
      <w:r>
        <w:rPr>
          <w:rFonts w:hint="eastAsia" w:ascii="宋体" w:hAnsi="宋体" w:cs="宋体"/>
          <w:sz w:val="24"/>
          <w:szCs w:val="24"/>
          <w:highlight w:val="none"/>
          <w:lang w:val="en-US" w:eastAsia="zh-CN"/>
        </w:rPr>
        <w:t>5.2</w:t>
      </w:r>
      <w:r>
        <w:rPr>
          <w:rFonts w:hint="eastAsia" w:ascii="宋体" w:hAnsi="宋体" w:eastAsia="宋体" w:cs="宋体"/>
          <w:sz w:val="24"/>
          <w:szCs w:val="24"/>
          <w:highlight w:val="none"/>
          <w:lang w:val="en-US" w:eastAsia="zh-CN"/>
        </w:rPr>
        <w:t xml:space="preserve"> 清灰组织要求</w:t>
      </w:r>
      <w:bookmarkEnd w:id="22"/>
    </w:p>
    <w:p w14:paraId="04A65ED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1）</w:t>
      </w:r>
      <w:r>
        <w:rPr>
          <w:rFonts w:hint="eastAsia" w:ascii="宋体" w:hAnsi="宋体" w:cs="宋体"/>
          <w:kern w:val="0"/>
          <w:sz w:val="24"/>
        </w:rPr>
        <w:t>清灰准备</w:t>
      </w:r>
    </w:p>
    <w:p w14:paraId="1BCC51D4">
      <w:pPr>
        <w:widowControl/>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组织清灰人员及配置相关工器具进场，做好现场清灰工作的布置，尽快投入正式清灰。项目开工一周前，担任本项目的项目经理、专业专工、安全员、质量员及项目的技术人员提前进入现场，其他检修人员通知后三天内全部进入现场。</w:t>
      </w:r>
    </w:p>
    <w:p w14:paraId="17C13421">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1）提前做好项目清灰工器具、材料准备；配备必要的质检人员和工具，确保项目质量。</w:t>
      </w:r>
    </w:p>
    <w:p w14:paraId="1EFF6811">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2）根据</w:t>
      </w:r>
      <w:r>
        <w:rPr>
          <w:rFonts w:hint="eastAsia" w:ascii="宋体" w:hAnsi="宋体" w:cs="宋体"/>
          <w:kern w:val="0"/>
          <w:sz w:val="24"/>
          <w:lang w:eastAsia="zh-CN"/>
        </w:rPr>
        <w:t>招标人</w:t>
      </w:r>
      <w:r>
        <w:rPr>
          <w:rFonts w:hint="eastAsia" w:ascii="宋体" w:hAnsi="宋体" w:cs="宋体"/>
          <w:kern w:val="0"/>
          <w:sz w:val="24"/>
        </w:rPr>
        <w:t>检修计划要求，合理组织、安排清灰人员，保证清灰计划的可行性。</w:t>
      </w:r>
    </w:p>
    <w:p w14:paraId="4EB279A6">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3）按照</w:t>
      </w:r>
      <w:r>
        <w:rPr>
          <w:rFonts w:hint="eastAsia" w:ascii="宋体" w:hAnsi="宋体" w:cs="宋体"/>
          <w:kern w:val="0"/>
          <w:sz w:val="24"/>
          <w:lang w:eastAsia="zh-CN"/>
        </w:rPr>
        <w:t>招标人</w:t>
      </w:r>
      <w:r>
        <w:rPr>
          <w:rFonts w:hint="eastAsia" w:ascii="宋体" w:hAnsi="宋体" w:cs="宋体"/>
          <w:kern w:val="0"/>
          <w:sz w:val="24"/>
        </w:rPr>
        <w:t>计划的清灰项目，对项目进行分类，并针对重大清灰项目拟定清灰组织方案，编制和细化检修所需的技术措施、安全措施、组织措施等。</w:t>
      </w:r>
    </w:p>
    <w:p w14:paraId="424C34FF">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4）根据清灰方案的规定，提前对参加检修的工作人员进行技术交底及技术讨论。</w:t>
      </w:r>
    </w:p>
    <w:p w14:paraId="4D081AEA">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5）编制本清灰项目的组织机构图，并备注相关人员联系电话，以便</w:t>
      </w:r>
      <w:r>
        <w:rPr>
          <w:rFonts w:hint="eastAsia" w:ascii="宋体" w:hAnsi="宋体" w:cs="宋体"/>
          <w:kern w:val="0"/>
          <w:sz w:val="24"/>
          <w:lang w:eastAsia="zh-CN"/>
        </w:rPr>
        <w:t>招标人</w:t>
      </w:r>
      <w:r>
        <w:rPr>
          <w:rFonts w:hint="eastAsia" w:ascii="宋体" w:hAnsi="宋体" w:cs="宋体"/>
          <w:kern w:val="0"/>
          <w:sz w:val="24"/>
        </w:rPr>
        <w:t>管理人员沟通联系。</w:t>
      </w:r>
    </w:p>
    <w:p w14:paraId="30BD410E">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（2）技术准备</w:t>
      </w:r>
    </w:p>
    <w:p w14:paraId="0B5AADBF">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1）应组织具有丰富清灰经验的技术及质检人员进行检修。</w:t>
      </w:r>
    </w:p>
    <w:p w14:paraId="0D71E3A5">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2）项目开工前，组织参加本项目的检修人员，有针对性的进行技术培训。</w:t>
      </w:r>
    </w:p>
    <w:p w14:paraId="1E4CF737">
      <w:pPr>
        <w:widowControl/>
        <w:adjustRightInd w:val="0"/>
        <w:snapToGrid w:val="0"/>
        <w:spacing w:line="360" w:lineRule="auto"/>
        <w:ind w:firstLine="240" w:firstLineChars="100"/>
        <w:jc w:val="left"/>
        <w:rPr>
          <w:rFonts w:ascii="宋体" w:hAnsi="宋体" w:cs="宋体"/>
          <w:kern w:val="0"/>
          <w:sz w:val="24"/>
        </w:rPr>
      </w:pPr>
      <w:r>
        <w:rPr>
          <w:rFonts w:hint="eastAsia" w:ascii="宋体" w:hAnsi="宋体" w:cs="宋体"/>
          <w:kern w:val="0"/>
          <w:sz w:val="24"/>
        </w:rPr>
        <w:t>3）本项目配备足够的专业技术人员，以满足现场清灰所需为要求。技术负责人员一名，项目经理或技术负责人具有丰富的锅炉设备检修管理经验，技术全面，有四年以上火电厂锅炉检修经验，所有人员均应为锅炉检修中专及以上专业水平，熟悉火电厂锅炉检修规程，都具有相关机务检修经验，参加过</w:t>
      </w:r>
      <w:r>
        <w:rPr>
          <w:rFonts w:hint="eastAsia" w:ascii="宋体" w:hAnsi="宋体" w:cs="宋体"/>
          <w:kern w:val="0"/>
          <w:sz w:val="24"/>
          <w:lang w:eastAsia="zh-CN"/>
        </w:rPr>
        <w:t>投标人</w:t>
      </w:r>
      <w:r>
        <w:rPr>
          <w:rFonts w:hint="eastAsia" w:ascii="宋体" w:hAnsi="宋体" w:cs="宋体"/>
          <w:kern w:val="0"/>
          <w:sz w:val="24"/>
        </w:rPr>
        <w:t>的专业技术培训，熟练掌握国家通用语言。</w:t>
      </w:r>
    </w:p>
    <w:p w14:paraId="1DF1F5F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3" w:name="_Toc445388467"/>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清灰安全要求</w:t>
      </w:r>
      <w:bookmarkEnd w:id="23"/>
    </w:p>
    <w:p w14:paraId="663640E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（1）清灰人员进行清灰工作时，必须办理合格的工作票及各种特殊作业票。</w:t>
      </w:r>
    </w:p>
    <w:p w14:paraId="57C272C7">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）清灰人员如需在脚手架上工作，必须系安全带方能上脚手架，并将安全带挂在固定牢固部件上，高挂低用。</w:t>
      </w:r>
    </w:p>
    <w:p w14:paraId="3A31DEA4">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）清灰所需工器具，应按要求摆放在指定的地点, 妥善保管，工作中轻起轻落。</w:t>
      </w:r>
    </w:p>
    <w:p w14:paraId="677FEA83">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4）清灰现场应尽量避免上下交叉作业，如无法避免，应在监护人的监督下，由工作负责人统一指挥，上方清灰人员应系好安全带、所用工器具系好安全绳并确保防坠落安全措施已执行到位；下方清灰人员，应在工作负责人确认安全措施已执行到位后，方可进入现场工作，并做好事故预想，工作时做到注意力集中，保持上下通信畅通。</w:t>
      </w:r>
    </w:p>
    <w:p w14:paraId="57D5324C">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）现场工作人员应精神状态良好、无有碍工作的疾病，并不得酒后上班。</w:t>
      </w:r>
    </w:p>
    <w:p w14:paraId="502E2722">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）进入生产场所的所有人员包括管理人员必须戴好安全帽，禁止在生产场所吸烟。</w:t>
      </w:r>
    </w:p>
    <w:p w14:paraId="5672318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（7）烟风道内清灰作业前应加强通风，检验合格后，方可入内清灰，外部必须设专业监护。</w:t>
      </w:r>
    </w:p>
    <w:p w14:paraId="40B5BF4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宋体"/>
          <w:sz w:val="24"/>
          <w:szCs w:val="24"/>
          <w:highlight w:val="none"/>
          <w:lang w:val="en-US" w:eastAsia="zh-CN"/>
        </w:rPr>
      </w:pPr>
      <w:bookmarkStart w:id="24" w:name="_Toc445388468"/>
      <w:r>
        <w:rPr>
          <w:rFonts w:hint="eastAsia" w:ascii="宋体" w:hAnsi="宋体" w:cs="宋体"/>
          <w:sz w:val="24"/>
          <w:szCs w:val="24"/>
          <w:highlight w:val="none"/>
          <w:lang w:val="en-US" w:eastAsia="zh-CN"/>
        </w:rPr>
        <w:t>5.4 清灰技术要求</w:t>
      </w:r>
      <w:bookmarkEnd w:id="24"/>
    </w:p>
    <w:p w14:paraId="1D13CA9E">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（1）建立以技术负责人为首的技术保证体系，贯彻执行国家项目验收评价标准、技术规范，向</w:t>
      </w:r>
      <w:r>
        <w:rPr>
          <w:rFonts w:hint="eastAsia" w:ascii="宋体" w:hAnsi="宋体" w:cs="宋体"/>
          <w:kern w:val="0"/>
          <w:sz w:val="24"/>
          <w:lang w:eastAsia="zh-CN"/>
        </w:rPr>
        <w:t>招标人</w:t>
      </w:r>
      <w:r>
        <w:rPr>
          <w:rFonts w:hint="eastAsia" w:ascii="宋体" w:hAnsi="宋体" w:cs="宋体"/>
          <w:kern w:val="0"/>
          <w:sz w:val="24"/>
        </w:rPr>
        <w:t>提供可操作的清灰程序文件。</w:t>
      </w:r>
    </w:p>
    <w:p w14:paraId="3C24A25F">
      <w:pPr>
        <w:widowControl/>
        <w:adjustRightInd w:val="0"/>
        <w:snapToGrid w:val="0"/>
        <w:spacing w:line="360" w:lineRule="auto"/>
        <w:jc w:val="left"/>
        <w:rPr>
          <w:rFonts w:ascii="宋体" w:hAnsi="宋体" w:cs="宋体"/>
          <w:kern w:val="0"/>
          <w:sz w:val="24"/>
        </w:rPr>
      </w:pPr>
      <w:r>
        <w:rPr>
          <w:rFonts w:hint="eastAsia" w:ascii="宋体" w:hAnsi="宋体" w:cs="宋体"/>
          <w:kern w:val="0"/>
          <w:sz w:val="24"/>
        </w:rPr>
        <w:t>（2）工作人员均提前进场，熟悉现场环境，学习相关管理规程。制定清灰方案及计划，进行内部培训，学习和遵守</w:t>
      </w:r>
      <w:r>
        <w:rPr>
          <w:rFonts w:hint="eastAsia" w:ascii="宋体" w:hAnsi="宋体" w:cs="宋体"/>
          <w:kern w:val="0"/>
          <w:sz w:val="24"/>
          <w:lang w:eastAsia="zh-CN"/>
        </w:rPr>
        <w:t>招标人</w:t>
      </w:r>
      <w:r>
        <w:rPr>
          <w:rFonts w:hint="eastAsia" w:ascii="宋体" w:hAnsi="宋体" w:cs="宋体"/>
          <w:kern w:val="0"/>
          <w:sz w:val="24"/>
        </w:rPr>
        <w:t>的各种规章制度。</w:t>
      </w:r>
    </w:p>
    <w:p w14:paraId="0C7490B6">
      <w:pPr>
        <w:pStyle w:val="112"/>
        <w:numPr>
          <w:ilvl w:val="4"/>
          <w:numId w:val="0"/>
        </w:numPr>
        <w:spacing w:line="360" w:lineRule="auto"/>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（3）服从招标人的管理和技术指导。</w:t>
      </w:r>
    </w:p>
    <w:p w14:paraId="24CC0E4C">
      <w:pPr>
        <w:pStyle w:val="112"/>
        <w:numPr>
          <w:ilvl w:val="4"/>
          <w:numId w:val="0"/>
        </w:num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5.5 检修项目及工日（按清实际灰量结算，以3工日/每立方米核算）</w:t>
      </w:r>
    </w:p>
    <w:tbl>
      <w:tblPr>
        <w:tblStyle w:val="30"/>
        <w:tblW w:w="4455" w:type="pct"/>
        <w:jc w:val="center"/>
        <w:tblLayout w:type="fixed"/>
        <w:tblCellMar>
          <w:top w:w="0" w:type="dxa"/>
          <w:left w:w="108" w:type="dxa"/>
          <w:bottom w:w="0" w:type="dxa"/>
          <w:right w:w="108" w:type="dxa"/>
        </w:tblCellMar>
      </w:tblPr>
      <w:tblGrid>
        <w:gridCol w:w="476"/>
        <w:gridCol w:w="934"/>
        <w:gridCol w:w="3498"/>
        <w:gridCol w:w="716"/>
        <w:gridCol w:w="888"/>
        <w:gridCol w:w="912"/>
        <w:gridCol w:w="812"/>
      </w:tblGrid>
      <w:tr w14:paraId="4511A851">
        <w:tblPrEx>
          <w:tblCellMar>
            <w:top w:w="0" w:type="dxa"/>
            <w:left w:w="108" w:type="dxa"/>
            <w:bottom w:w="0" w:type="dxa"/>
            <w:right w:w="108" w:type="dxa"/>
          </w:tblCellMar>
        </w:tblPrEx>
        <w:trPr>
          <w:trHeight w:val="285" w:hRule="atLeast"/>
          <w:jc w:val="center"/>
        </w:trPr>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11744">
            <w:pPr>
              <w:rPr>
                <w:rFonts w:hint="eastAsia"/>
              </w:rPr>
            </w:pPr>
            <w:r>
              <w:rPr>
                <w:rFonts w:hint="eastAsia"/>
              </w:rPr>
              <w:t>序号</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99303">
            <w:pPr>
              <w:rPr>
                <w:rFonts w:hint="eastAsia"/>
              </w:rPr>
            </w:pPr>
            <w:r>
              <w:rPr>
                <w:rFonts w:hint="eastAsia"/>
              </w:rPr>
              <w:t>项目名称</w:t>
            </w:r>
          </w:p>
        </w:tc>
        <w:tc>
          <w:tcPr>
            <w:tcW w:w="2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1864F">
            <w:pPr>
              <w:rPr>
                <w:rFonts w:hint="eastAsia"/>
              </w:rPr>
            </w:pPr>
            <w:r>
              <w:rPr>
                <w:rFonts w:hint="eastAsia"/>
              </w:rPr>
              <w:t>检修内容</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BBD8B">
            <w:pPr>
              <w:rPr>
                <w:rFonts w:hint="eastAsia"/>
              </w:rPr>
            </w:pPr>
            <w:r>
              <w:rPr>
                <w:rFonts w:hint="eastAsia"/>
              </w:rPr>
              <w:t>单位</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9933">
            <w:pPr>
              <w:rPr>
                <w:rFonts w:hint="eastAsia" w:eastAsiaTheme="minorEastAsia"/>
                <w:lang w:val="en-US" w:eastAsia="zh-CN"/>
              </w:rPr>
            </w:pPr>
            <w:r>
              <w:rPr>
                <w:rFonts w:hint="eastAsia"/>
                <w:lang w:val="en-US" w:eastAsia="zh-CN"/>
              </w:rPr>
              <w:t>单台锅炉</w:t>
            </w:r>
            <w:r>
              <w:rPr>
                <w:rFonts w:hint="eastAsia"/>
              </w:rPr>
              <w:t>工程</w:t>
            </w:r>
            <w:r>
              <w:rPr>
                <w:rFonts w:hint="eastAsia"/>
                <w:lang w:val="en-US" w:eastAsia="zh-CN"/>
              </w:rPr>
              <w:t>模拟</w:t>
            </w:r>
            <w:r>
              <w:rPr>
                <w:rFonts w:hint="eastAsia"/>
              </w:rPr>
              <w:t>量</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0C1F9">
            <w:pPr>
              <w:rPr>
                <w:rFonts w:hint="eastAsia"/>
              </w:rPr>
            </w:pPr>
            <w:r>
              <w:rPr>
                <w:rFonts w:hint="eastAsia"/>
              </w:rPr>
              <w:t>工日</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39E74">
            <w:pPr>
              <w:rPr>
                <w:rFonts w:hint="eastAsia"/>
              </w:rPr>
            </w:pPr>
            <w:r>
              <w:rPr>
                <w:rFonts w:hint="eastAsia"/>
              </w:rPr>
              <w:t>备注</w:t>
            </w:r>
          </w:p>
        </w:tc>
      </w:tr>
      <w:tr w14:paraId="6E5934C5">
        <w:tblPrEx>
          <w:tblCellMar>
            <w:top w:w="0" w:type="dxa"/>
            <w:left w:w="108" w:type="dxa"/>
            <w:bottom w:w="0" w:type="dxa"/>
            <w:right w:w="108" w:type="dxa"/>
          </w:tblCellMar>
        </w:tblPrEx>
        <w:trPr>
          <w:trHeight w:val="285" w:hRule="atLeast"/>
          <w:jc w:val="center"/>
        </w:trPr>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A472">
            <w:pPr>
              <w:rPr>
                <w:rFonts w:hint="eastAsia"/>
              </w:rPr>
            </w:pPr>
            <w:r>
              <w:rPr>
                <w:rFonts w:hint="eastAsia"/>
              </w:rPr>
              <w:t>1</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37D9">
            <w:pPr>
              <w:rPr>
                <w:rFonts w:hint="eastAsia"/>
              </w:rPr>
            </w:pPr>
            <w:r>
              <w:rPr>
                <w:rFonts w:hint="eastAsia"/>
              </w:rPr>
              <w:t>省煤器冷灰斗</w:t>
            </w:r>
          </w:p>
        </w:tc>
        <w:tc>
          <w:tcPr>
            <w:tcW w:w="2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9DFB">
            <w:pPr>
              <w:rPr>
                <w:rFonts w:hint="eastAsia"/>
              </w:rPr>
            </w:pPr>
            <w:r>
              <w:rPr>
                <w:rFonts w:hint="eastAsia"/>
              </w:rPr>
              <w:t>1、</w:t>
            </w:r>
            <w:r>
              <w:rPr>
                <w:rFonts w:hint="eastAsia"/>
              </w:rPr>
              <w:tab/>
            </w:r>
            <w:r>
              <w:rPr>
                <w:rFonts w:hint="eastAsia"/>
              </w:rPr>
              <w:t>开具工作票、打开人孔门，观察积灰情况。</w:t>
            </w:r>
          </w:p>
          <w:p w14:paraId="21EF4DA9">
            <w:pPr>
              <w:rPr>
                <w:rFonts w:hint="eastAsia"/>
              </w:rPr>
            </w:pPr>
            <w:r>
              <w:rPr>
                <w:rFonts w:hint="eastAsia"/>
              </w:rPr>
              <w:t>2、</w:t>
            </w:r>
            <w:r>
              <w:rPr>
                <w:rFonts w:hint="eastAsia"/>
              </w:rPr>
              <w:tab/>
            </w:r>
            <w:r>
              <w:rPr>
                <w:rFonts w:hint="eastAsia"/>
              </w:rPr>
              <w:t>省煤器冷灰斗进入8人，分为四组同时作业，作业时有专人监护。</w:t>
            </w:r>
          </w:p>
          <w:p w14:paraId="5DA91E07">
            <w:pPr>
              <w:rPr>
                <w:rFonts w:hint="eastAsia"/>
              </w:rPr>
            </w:pPr>
            <w:r>
              <w:rPr>
                <w:rFonts w:hint="eastAsia"/>
              </w:rPr>
              <w:t>3、</w:t>
            </w:r>
            <w:r>
              <w:rPr>
                <w:rFonts w:hint="eastAsia"/>
              </w:rPr>
              <w:tab/>
            </w:r>
            <w:r>
              <w:rPr>
                <w:rFonts w:hint="eastAsia"/>
              </w:rPr>
              <w:t>作业方式采用铁镐敲击成板结泥状的积灰，后用铁锹装置编制袋内，每袋装约20kg，装袋后运至人孔门外，再有8人运冷灰斗底部平台通过挂设滑轮，将灰袋转运至锅炉0米层，并放置在锅炉堆放点。</w:t>
            </w:r>
          </w:p>
          <w:p w14:paraId="20B79593">
            <w:pPr>
              <w:rPr>
                <w:rFonts w:hint="eastAsia"/>
              </w:rPr>
            </w:pPr>
            <w:r>
              <w:rPr>
                <w:rFonts w:hint="eastAsia"/>
              </w:rPr>
              <w:t>4、</w:t>
            </w:r>
            <w:r>
              <w:rPr>
                <w:rFonts w:hint="eastAsia"/>
              </w:rPr>
              <w:tab/>
            </w:r>
            <w:r>
              <w:rPr>
                <w:rFonts w:hint="eastAsia"/>
              </w:rPr>
              <w:t>冷灰斗内部积灰清理完成后用运输车辆将堆放点积灰运至两公里外渣场，汽车装卸有10人完成。</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E703F">
            <w:pPr>
              <w:rPr>
                <w:rFonts w:hint="default" w:eastAsia="宋体"/>
                <w:lang w:val="en-US" w:eastAsia="zh-CN"/>
              </w:rPr>
            </w:pPr>
            <w:r>
              <w:rPr>
                <w:rFonts w:hint="eastAsia"/>
                <w:lang w:val="en-US" w:eastAsia="zh-CN"/>
              </w:rPr>
              <w:t>立方米</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B0155">
            <w:pPr>
              <w:rPr>
                <w:rFonts w:hint="default" w:eastAsiaTheme="minorEastAsia"/>
                <w:lang w:val="en-US" w:eastAsia="zh-CN"/>
              </w:rPr>
            </w:pPr>
            <w:r>
              <w:rPr>
                <w:rFonts w:hint="eastAsia"/>
                <w:color w:val="auto"/>
                <w:lang w:val="en-US" w:eastAsia="zh-CN"/>
              </w:rPr>
              <w:t>100</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FFA96">
            <w:pPr>
              <w:rPr>
                <w:rFonts w:hint="default" w:eastAsiaTheme="minorEastAsia"/>
                <w:lang w:val="en-US" w:eastAsia="zh-CN"/>
              </w:rPr>
            </w:pPr>
            <w:r>
              <w:rPr>
                <w:rFonts w:hint="eastAsia"/>
                <w:lang w:val="en-US" w:eastAsia="zh-CN"/>
              </w:rPr>
              <w:t>300工日</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5F8DC">
            <w:pPr>
              <w:rPr>
                <w:rFonts w:hint="eastAsia"/>
                <w:lang w:val="en-US" w:eastAsia="zh-CN"/>
              </w:rPr>
            </w:pPr>
          </w:p>
        </w:tc>
      </w:tr>
      <w:tr w14:paraId="4FA26716">
        <w:tblPrEx>
          <w:tblCellMar>
            <w:top w:w="0" w:type="dxa"/>
            <w:left w:w="108" w:type="dxa"/>
            <w:bottom w:w="0" w:type="dxa"/>
            <w:right w:w="108" w:type="dxa"/>
          </w:tblCellMar>
        </w:tblPrEx>
        <w:trPr>
          <w:trHeight w:val="380" w:hRule="atLeast"/>
          <w:jc w:val="center"/>
        </w:trPr>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6655C">
            <w:pPr>
              <w:rPr>
                <w:rFonts w:hint="eastAsia"/>
              </w:rPr>
            </w:pPr>
            <w:r>
              <w:rPr>
                <w:rFonts w:hint="eastAsia"/>
              </w:rPr>
              <w:t>2</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6CFCE">
            <w:pPr>
              <w:rPr>
                <w:rFonts w:hint="eastAsia"/>
              </w:rPr>
            </w:pPr>
            <w:r>
              <w:rPr>
                <w:rFonts w:hint="eastAsia"/>
              </w:rPr>
              <w:t>水平烟道</w:t>
            </w:r>
          </w:p>
        </w:tc>
        <w:tc>
          <w:tcPr>
            <w:tcW w:w="21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34092">
            <w:pPr>
              <w:rPr>
                <w:rFonts w:hint="eastAsia"/>
              </w:rPr>
            </w:pPr>
            <w:r>
              <w:rPr>
                <w:rFonts w:hint="eastAsia"/>
              </w:rPr>
              <w:t>1、</w:t>
            </w:r>
            <w:r>
              <w:rPr>
                <w:rFonts w:hint="eastAsia"/>
              </w:rPr>
              <w:tab/>
            </w:r>
            <w:r>
              <w:rPr>
                <w:rFonts w:hint="eastAsia"/>
              </w:rPr>
              <w:t>开具工作票、打开人孔门，观察积灰情况。</w:t>
            </w:r>
          </w:p>
          <w:p w14:paraId="39595238">
            <w:pPr>
              <w:rPr>
                <w:rFonts w:hint="eastAsia"/>
              </w:rPr>
            </w:pPr>
            <w:r>
              <w:rPr>
                <w:rFonts w:hint="eastAsia"/>
              </w:rPr>
              <w:t>2、</w:t>
            </w:r>
            <w:r>
              <w:rPr>
                <w:rFonts w:hint="eastAsia"/>
              </w:rPr>
              <w:tab/>
            </w:r>
            <w:r>
              <w:rPr>
                <w:rFonts w:hint="eastAsia"/>
              </w:rPr>
              <w:t>水平烟道进入4人，分为两组组同时作业，作业时有专人监护。</w:t>
            </w:r>
          </w:p>
          <w:p w14:paraId="30578510">
            <w:pPr>
              <w:rPr>
                <w:rFonts w:hint="eastAsia"/>
              </w:rPr>
            </w:pPr>
            <w:r>
              <w:rPr>
                <w:rFonts w:hint="eastAsia"/>
              </w:rPr>
              <w:t>3、</w:t>
            </w:r>
            <w:r>
              <w:rPr>
                <w:rFonts w:hint="eastAsia"/>
              </w:rPr>
              <w:tab/>
            </w:r>
            <w:r>
              <w:rPr>
                <w:rFonts w:hint="eastAsia"/>
              </w:rPr>
              <w:t>作业方式采用用铁锹装置编制袋内，每袋装约20kg，装袋后运至人孔门外，再有4人运水平烟道平台通过挂设滑轮，将灰袋转运至烟道底部0米，并放置在堆放点。</w:t>
            </w:r>
          </w:p>
          <w:p w14:paraId="7166B886">
            <w:pPr>
              <w:rPr>
                <w:rFonts w:hint="eastAsia"/>
              </w:rPr>
            </w:pPr>
            <w:r>
              <w:rPr>
                <w:rFonts w:hint="eastAsia"/>
              </w:rPr>
              <w:t>4、</w:t>
            </w:r>
            <w:r>
              <w:rPr>
                <w:rFonts w:hint="eastAsia"/>
              </w:rPr>
              <w:tab/>
            </w:r>
            <w:r>
              <w:rPr>
                <w:rFonts w:hint="eastAsia"/>
              </w:rPr>
              <w:t>水平烟道内部积灰清理完成后用运输车辆将堆放点积灰运至两公里外渣场，汽车装卸有6人完成。</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4FD52">
            <w:pPr>
              <w:rPr>
                <w:rFonts w:hint="eastAsia"/>
              </w:rPr>
            </w:pPr>
            <w:r>
              <w:rPr>
                <w:rFonts w:hint="eastAsia"/>
                <w:lang w:val="en-US" w:eastAsia="zh-CN"/>
              </w:rPr>
              <w:t>立方米</w:t>
            </w:r>
          </w:p>
        </w:tc>
        <w:tc>
          <w:tcPr>
            <w:tcW w:w="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6DEE">
            <w:pPr>
              <w:rPr>
                <w:rFonts w:hint="default" w:eastAsiaTheme="minorEastAsia"/>
                <w:lang w:val="en-US" w:eastAsia="zh-CN"/>
              </w:rPr>
            </w:pPr>
            <w:r>
              <w:rPr>
                <w:rFonts w:hint="eastAsia"/>
                <w:lang w:val="en-US" w:eastAsia="zh-CN"/>
              </w:rPr>
              <w:t>20</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F6216">
            <w:pPr>
              <w:rPr>
                <w:rFonts w:hint="default" w:eastAsiaTheme="minorEastAsia"/>
                <w:lang w:val="en-US" w:eastAsia="zh-CN"/>
              </w:rPr>
            </w:pPr>
            <w:r>
              <w:rPr>
                <w:rFonts w:hint="eastAsia"/>
                <w:lang w:val="en-US" w:eastAsia="zh-CN"/>
              </w:rPr>
              <w:t>60工日</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00A9">
            <w:pPr>
              <w:rPr>
                <w:rFonts w:hint="eastAsia"/>
                <w:lang w:val="en-US" w:eastAsia="zh-CN"/>
              </w:rPr>
            </w:pPr>
          </w:p>
        </w:tc>
      </w:tr>
      <w:tr w14:paraId="3776B8CE">
        <w:tblPrEx>
          <w:tblCellMar>
            <w:top w:w="0" w:type="dxa"/>
            <w:left w:w="108" w:type="dxa"/>
            <w:bottom w:w="0" w:type="dxa"/>
            <w:right w:w="108" w:type="dxa"/>
          </w:tblCellMar>
        </w:tblPrEx>
        <w:trPr>
          <w:trHeight w:val="380" w:hRule="atLeast"/>
          <w:jc w:val="center"/>
        </w:trPr>
        <w:tc>
          <w:tcPr>
            <w:tcW w:w="3953" w:type="pct"/>
            <w:gridSpan w:val="5"/>
            <w:tcBorders>
              <w:top w:val="single" w:color="000000" w:sz="4" w:space="0"/>
              <w:left w:val="single" w:color="000000" w:sz="4" w:space="0"/>
              <w:bottom w:val="single" w:color="000000" w:sz="4" w:space="0"/>
              <w:right w:val="single" w:color="auto" w:sz="4" w:space="0"/>
            </w:tcBorders>
            <w:shd w:val="clear" w:color="auto" w:fill="auto"/>
            <w:vAlign w:val="center"/>
          </w:tcPr>
          <w:p w14:paraId="6766AB7D">
            <w:pPr>
              <w:jc w:val="center"/>
              <w:rPr>
                <w:rFonts w:hint="eastAsia"/>
              </w:rPr>
            </w:pPr>
            <w:r>
              <w:rPr>
                <w:rFonts w:hint="eastAsia"/>
              </w:rPr>
              <w:t>合计</w:t>
            </w:r>
          </w:p>
        </w:tc>
        <w:tc>
          <w:tcPr>
            <w:tcW w:w="1046" w:type="pct"/>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21A178AE">
            <w:pPr>
              <w:rPr>
                <w:rFonts w:hint="default" w:eastAsiaTheme="minorEastAsia"/>
                <w:lang w:val="en-US" w:eastAsia="zh-CN"/>
              </w:rPr>
            </w:pPr>
            <w:r>
              <w:rPr>
                <w:rFonts w:hint="eastAsia"/>
                <w:lang w:val="en-US" w:eastAsia="zh-CN"/>
              </w:rPr>
              <w:t>360工日</w:t>
            </w:r>
          </w:p>
        </w:tc>
      </w:tr>
    </w:tbl>
    <w:p w14:paraId="19EE2B39">
      <w:pPr>
        <w:pStyle w:val="76"/>
        <w:adjustRightInd w:val="0"/>
        <w:snapToGrid w:val="0"/>
        <w:spacing w:line="360" w:lineRule="auto"/>
        <w:ind w:firstLine="0" w:firstLineChars="0"/>
        <w:rPr>
          <w:rFonts w:hint="eastAsia" w:ascii="宋体" w:hAnsi="宋体" w:eastAsia="宋体" w:cs="宋体"/>
          <w:bCs/>
          <w:sz w:val="24"/>
          <w:szCs w:val="24"/>
          <w:highlight w:val="none"/>
        </w:rPr>
      </w:pPr>
    </w:p>
    <w:p w14:paraId="58BC3072">
      <w:pPr>
        <w:pStyle w:val="76"/>
        <w:adjustRightInd w:val="0"/>
        <w:snapToGrid w:val="0"/>
        <w:spacing w:line="360" w:lineRule="auto"/>
        <w:ind w:firstLine="0" w:firstLineChars="0"/>
        <w:rPr>
          <w:rFonts w:hint="eastAsia" w:ascii="宋体" w:hAnsi="宋体" w:eastAsia="宋体" w:cs="宋体"/>
          <w:bCs/>
          <w:sz w:val="24"/>
          <w:szCs w:val="24"/>
          <w:highlight w:val="none"/>
        </w:rPr>
      </w:pPr>
    </w:p>
    <w:p w14:paraId="7D100AFB">
      <w:pPr>
        <w:pStyle w:val="76"/>
        <w:adjustRightInd w:val="0"/>
        <w:snapToGrid w:val="0"/>
        <w:spacing w:line="360" w:lineRule="auto"/>
        <w:ind w:firstLine="0" w:firstLineChars="0"/>
        <w:rPr>
          <w:rFonts w:hint="default" w:ascii="宋体" w:hAnsi="宋体" w:eastAsia="宋体" w:cs="宋体"/>
          <w:bCs/>
          <w:sz w:val="24"/>
          <w:szCs w:val="24"/>
          <w:highlight w:val="none"/>
          <w:lang w:val="en-US" w:eastAsia="zh-CN"/>
        </w:rPr>
      </w:pPr>
    </w:p>
    <w:p w14:paraId="0685E012">
      <w:pPr>
        <w:pStyle w:val="76"/>
        <w:adjustRightInd w:val="0"/>
        <w:snapToGrid w:val="0"/>
        <w:spacing w:line="360" w:lineRule="auto"/>
        <w:ind w:firstLine="0" w:firstLineChars="0"/>
        <w:rPr>
          <w:rFonts w:hint="eastAsia" w:ascii="宋体" w:hAnsi="宋体" w:eastAsia="宋体" w:cs="宋体"/>
          <w:bCs/>
          <w:sz w:val="24"/>
          <w:szCs w:val="24"/>
          <w:highlight w:val="none"/>
        </w:rPr>
      </w:pPr>
    </w:p>
    <w:p w14:paraId="4B3475C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5.6</w:t>
      </w:r>
      <w:r>
        <w:rPr>
          <w:rFonts w:hint="eastAsia" w:ascii="宋体" w:hAnsi="宋体" w:eastAsia="宋体" w:cs="宋体"/>
          <w:bCs/>
          <w:sz w:val="24"/>
          <w:szCs w:val="24"/>
          <w:highlight w:val="none"/>
        </w:rPr>
        <w:t>服务范围及职责</w:t>
      </w:r>
    </w:p>
    <w:p w14:paraId="670A3632">
      <w:pPr>
        <w:pStyle w:val="76"/>
        <w:numPr>
          <w:ilvl w:val="0"/>
          <w:numId w:val="0"/>
        </w:numPr>
        <w:adjustRightInd w:val="0"/>
        <w:snapToGrid w:val="0"/>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5.6.1</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lang w:val="en-US" w:eastAsia="zh-CN"/>
        </w:rPr>
        <w:t>职责：</w:t>
      </w:r>
    </w:p>
    <w:p w14:paraId="5E94224B">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5.6.1.1</w:t>
      </w:r>
      <w:r>
        <w:rPr>
          <w:rFonts w:hint="eastAsia" w:ascii="宋体" w:hAnsi="宋体" w:eastAsia="宋体" w:cs="宋体"/>
          <w:bCs/>
          <w:sz w:val="24"/>
          <w:szCs w:val="24"/>
          <w:highlight w:val="none"/>
        </w:rPr>
        <w:t>负责脚手架搭设、设备及附属管线保温拆除</w:t>
      </w:r>
      <w:r>
        <w:rPr>
          <w:rFonts w:hint="eastAsia" w:ascii="宋体" w:hAnsi="宋体" w:eastAsia="宋体" w:cs="宋体"/>
          <w:bCs/>
          <w:sz w:val="24"/>
          <w:szCs w:val="24"/>
          <w:highlight w:val="none"/>
          <w:lang w:val="en-US" w:eastAsia="zh-CN"/>
        </w:rPr>
        <w:t>恢复</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内保温恢复、</w:t>
      </w:r>
      <w:r>
        <w:rPr>
          <w:rFonts w:hint="eastAsia" w:ascii="宋体" w:hAnsi="宋体" w:eastAsia="宋体" w:cs="宋体"/>
          <w:bCs/>
          <w:sz w:val="24"/>
          <w:szCs w:val="24"/>
          <w:highlight w:val="none"/>
        </w:rPr>
        <w:t>除锈、刷漆；</w:t>
      </w:r>
    </w:p>
    <w:p w14:paraId="300561DD">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5.6.1.2</w:t>
      </w:r>
      <w:r>
        <w:rPr>
          <w:rFonts w:hint="eastAsia" w:ascii="宋体" w:hAnsi="宋体" w:eastAsia="宋体" w:cs="宋体"/>
          <w:bCs/>
          <w:sz w:val="24"/>
          <w:szCs w:val="24"/>
          <w:highlight w:val="none"/>
        </w:rPr>
        <w:t>负责管道焊缝焊接后</w:t>
      </w:r>
      <w:r>
        <w:rPr>
          <w:rFonts w:hint="eastAsia" w:ascii="宋体" w:hAnsi="宋体" w:eastAsia="宋体" w:cs="宋体"/>
          <w:bCs/>
          <w:sz w:val="24"/>
          <w:szCs w:val="24"/>
          <w:highlight w:val="none"/>
          <w:lang w:val="en-US" w:eastAsia="zh-CN"/>
        </w:rPr>
        <w:t>渗透检查</w:t>
      </w:r>
      <w:r>
        <w:rPr>
          <w:rFonts w:hint="eastAsia" w:ascii="宋体" w:hAnsi="宋体" w:eastAsia="宋体" w:cs="宋体"/>
          <w:bCs/>
          <w:sz w:val="24"/>
          <w:szCs w:val="24"/>
          <w:highlight w:val="none"/>
        </w:rPr>
        <w:t>（只提供一次检测费用，返修</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负责）；</w:t>
      </w:r>
    </w:p>
    <w:p w14:paraId="24045708">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5.6.1.3负责提供</w:t>
      </w:r>
      <w:r>
        <w:rPr>
          <w:rFonts w:hint="eastAsia" w:ascii="宋体" w:hAnsi="宋体" w:eastAsia="宋体" w:cs="宋体"/>
          <w:bCs/>
          <w:sz w:val="24"/>
          <w:szCs w:val="24"/>
          <w:highlight w:val="none"/>
        </w:rPr>
        <w:t>焊条、焊丝、工业用气（氧气、乙炔、氩气、CO2保护气）</w:t>
      </w:r>
    </w:p>
    <w:p w14:paraId="63F78794">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5.6.1.4</w:t>
      </w:r>
      <w:r>
        <w:rPr>
          <w:rFonts w:hint="eastAsia" w:ascii="宋体" w:hAnsi="宋体" w:eastAsia="宋体" w:cs="宋体"/>
          <w:bCs/>
          <w:sz w:val="24"/>
          <w:szCs w:val="24"/>
          <w:highlight w:val="none"/>
        </w:rPr>
        <w:t>负责提供属于检修工作所用的备品配件、装置性材料（如钢板、圆钢、角钢、槽钢、工字钢、H型钢、管材、法兰、阀门、管件、支吊架、螺栓、螺母、成型垫片、等）；</w:t>
      </w:r>
    </w:p>
    <w:p w14:paraId="68CD8F00">
      <w:pPr>
        <w:pStyle w:val="76"/>
        <w:numPr>
          <w:ilvl w:val="0"/>
          <w:numId w:val="0"/>
        </w:numPr>
        <w:adjustRightInd w:val="0"/>
        <w:snapToGrid w:val="0"/>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5.6.2</w:t>
      </w:r>
      <w:r>
        <w:rPr>
          <w:rFonts w:hint="eastAsia" w:ascii="宋体" w:hAnsi="宋体" w:cs="宋体"/>
          <w:bCs/>
          <w:sz w:val="24"/>
          <w:szCs w:val="24"/>
          <w:highlight w:val="none"/>
          <w:lang w:val="en-US" w:eastAsia="zh-CN"/>
        </w:rPr>
        <w:t>投标人</w:t>
      </w:r>
      <w:r>
        <w:rPr>
          <w:rFonts w:hint="eastAsia" w:ascii="宋体" w:hAnsi="宋体" w:eastAsia="宋体" w:cs="宋体"/>
          <w:bCs/>
          <w:sz w:val="24"/>
          <w:szCs w:val="24"/>
          <w:highlight w:val="none"/>
          <w:lang w:val="en-US" w:eastAsia="zh-CN"/>
        </w:rPr>
        <w:t>职责：</w:t>
      </w:r>
    </w:p>
    <w:p w14:paraId="5E8A7588">
      <w:pPr>
        <w:pStyle w:val="27"/>
        <w:adjustRightInd w:val="0"/>
        <w:snapToGrid w:val="0"/>
        <w:spacing w:before="0" w:after="0" w:line="360" w:lineRule="auto"/>
        <w:ind w:firstLine="480" w:firstLineChars="200"/>
        <w:jc w:val="left"/>
        <w:rPr>
          <w:rFonts w:asciiTheme="minorEastAsia" w:hAnsiTheme="minorEastAsia" w:eastAsiaTheme="minorEastAsia"/>
          <w:b w:val="0"/>
          <w:sz w:val="24"/>
        </w:rPr>
      </w:pPr>
      <w:r>
        <w:rPr>
          <w:rFonts w:hint="eastAsia" w:asciiTheme="minorEastAsia" w:hAnsiTheme="minorEastAsia" w:eastAsiaTheme="minorEastAsia"/>
          <w:b w:val="0"/>
          <w:sz w:val="24"/>
          <w:lang w:val="en-US" w:eastAsia="zh-CN"/>
        </w:rPr>
        <w:t>投标人负责提供</w:t>
      </w:r>
      <w:r>
        <w:rPr>
          <w:rFonts w:hint="eastAsia" w:asciiTheme="minorEastAsia" w:hAnsiTheme="minorEastAsia" w:eastAsiaTheme="minorEastAsia"/>
          <w:b w:val="0"/>
          <w:sz w:val="24"/>
        </w:rPr>
        <w:t>施工用工器具（除设备专用工具由</w:t>
      </w:r>
      <w:r>
        <w:rPr>
          <w:rFonts w:hint="eastAsia" w:asciiTheme="minorEastAsia" w:hAnsiTheme="minorEastAsia" w:eastAsiaTheme="minorEastAsia"/>
          <w:b w:val="0"/>
          <w:sz w:val="24"/>
          <w:lang w:eastAsia="zh-CN"/>
        </w:rPr>
        <w:t>投标人</w:t>
      </w:r>
      <w:r>
        <w:rPr>
          <w:rFonts w:hint="eastAsia" w:asciiTheme="minorEastAsia" w:hAnsiTheme="minorEastAsia" w:eastAsiaTheme="minorEastAsia"/>
          <w:b w:val="0"/>
          <w:sz w:val="24"/>
        </w:rPr>
        <w:t>提供），所需用消耗性材料，消耗性材料清单如下（</w:t>
      </w:r>
      <w:r>
        <w:rPr>
          <w:rFonts w:hint="eastAsia" w:asciiTheme="minorEastAsia" w:hAnsiTheme="minorEastAsia" w:eastAsiaTheme="minorEastAsia"/>
          <w:b w:val="0"/>
          <w:sz w:val="24"/>
          <w:lang w:val="en-US" w:eastAsia="zh-CN"/>
        </w:rPr>
        <w:t>包括</w:t>
      </w:r>
      <w:r>
        <w:rPr>
          <w:rFonts w:hint="eastAsia" w:asciiTheme="minorEastAsia" w:hAnsiTheme="minorEastAsia" w:eastAsiaTheme="minorEastAsia"/>
          <w:b w:val="0"/>
          <w:sz w:val="24"/>
        </w:rPr>
        <w:t>但不限于此）：</w:t>
      </w:r>
    </w:p>
    <w:p w14:paraId="22E620A6">
      <w:pPr>
        <w:pStyle w:val="27"/>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1</w:t>
      </w:r>
      <w:r>
        <w:rPr>
          <w:rFonts w:asciiTheme="minorEastAsia" w:hAnsiTheme="minorEastAsia" w:eastAsiaTheme="minorEastAsia"/>
          <w:b w:val="0"/>
          <w:sz w:val="24"/>
        </w:rPr>
        <w:t>)</w:t>
      </w:r>
      <w:r>
        <w:rPr>
          <w:rFonts w:hint="eastAsia" w:asciiTheme="minorEastAsia" w:hAnsiTheme="minorEastAsia" w:eastAsiaTheme="minorEastAsia"/>
          <w:b w:val="0"/>
          <w:sz w:val="24"/>
        </w:rPr>
        <w:t>电器类：锁具、100W以下普通灯泡灯管及检修用照明、灯具，检修用的电线、保险丝、电炉丝、电源插头、电源插座、线轴等；</w:t>
      </w:r>
    </w:p>
    <w:p w14:paraId="2EEC6CAE">
      <w:pPr>
        <w:pStyle w:val="27"/>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2</w:t>
      </w:r>
      <w:r>
        <w:rPr>
          <w:rFonts w:asciiTheme="minorEastAsia" w:hAnsiTheme="minorEastAsia" w:eastAsiaTheme="minorEastAsia"/>
          <w:b w:val="0"/>
          <w:sz w:val="24"/>
        </w:rPr>
        <w:t>)</w:t>
      </w:r>
      <w:r>
        <w:rPr>
          <w:rFonts w:hint="eastAsia" w:asciiTheme="minorEastAsia" w:hAnsiTheme="minorEastAsia" w:eastAsiaTheme="minorEastAsia"/>
          <w:b w:val="0"/>
          <w:sz w:val="24"/>
        </w:rPr>
        <w:t>研磨类：砂轮片、角向磨片、切割机专用片；各类砂布、各类砂纸；</w:t>
      </w:r>
    </w:p>
    <w:p w14:paraId="7CFAEAC3">
      <w:pPr>
        <w:pStyle w:val="27"/>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3</w:t>
      </w:r>
      <w:r>
        <w:rPr>
          <w:rFonts w:asciiTheme="minorEastAsia" w:hAnsiTheme="minorEastAsia" w:eastAsiaTheme="minorEastAsia"/>
          <w:b w:val="0"/>
          <w:sz w:val="24"/>
        </w:rPr>
        <w:t>)</w:t>
      </w:r>
      <w:r>
        <w:rPr>
          <w:rFonts w:hint="eastAsia" w:asciiTheme="minorEastAsia" w:hAnsiTheme="minorEastAsia" w:eastAsiaTheme="minorEastAsia"/>
          <w:b w:val="0"/>
          <w:sz w:val="24"/>
        </w:rPr>
        <w:t>绳索类：麻绳、尼龙绳、钢丝绳、手拉葫芦等；</w:t>
      </w:r>
    </w:p>
    <w:p w14:paraId="23B4D698">
      <w:pPr>
        <w:pStyle w:val="27"/>
        <w:adjustRightInd w:val="0"/>
        <w:snapToGrid w:val="0"/>
        <w:spacing w:before="0" w:after="0" w:line="360" w:lineRule="auto"/>
        <w:jc w:val="left"/>
        <w:rPr>
          <w:rFonts w:asciiTheme="minorEastAsia" w:hAnsiTheme="minorEastAsia" w:eastAsiaTheme="minorEastAsia"/>
          <w:b w:val="0"/>
          <w:sz w:val="24"/>
        </w:rPr>
      </w:pPr>
      <w:r>
        <w:rPr>
          <w:rFonts w:hint="eastAsia" w:asciiTheme="minorEastAsia" w:hAnsiTheme="minorEastAsia" w:eastAsiaTheme="minorEastAsia"/>
          <w:b w:val="0"/>
          <w:sz w:val="24"/>
        </w:rPr>
        <w:t>4</w:t>
      </w:r>
      <w:r>
        <w:rPr>
          <w:rFonts w:asciiTheme="minorEastAsia" w:hAnsiTheme="minorEastAsia" w:eastAsiaTheme="minorEastAsia"/>
          <w:b w:val="0"/>
          <w:sz w:val="24"/>
        </w:rPr>
        <w:t>)</w:t>
      </w:r>
      <w:r>
        <w:rPr>
          <w:rFonts w:hint="eastAsia" w:asciiTheme="minorEastAsia" w:hAnsiTheme="minorEastAsia" w:eastAsiaTheme="minorEastAsia"/>
          <w:b w:val="0"/>
          <w:sz w:val="24"/>
        </w:rPr>
        <w:t>消耗品：镀锌铁丝、胶布、白布、白布带、毛刷、钢丝刷、绝缘带、防水胶带、玻璃丝带、黄蜡带、生料带、扎带、热缩管、线鼻子、绑线、塑料布、记号笔、电池、以及未提到的低值易耗品等；</w:t>
      </w:r>
    </w:p>
    <w:p w14:paraId="4175A5A4">
      <w:pPr>
        <w:pStyle w:val="76"/>
        <w:numPr>
          <w:ilvl w:val="0"/>
          <w:numId w:val="0"/>
        </w:numPr>
        <w:adjustRightInd w:val="0"/>
        <w:snapToGrid w:val="0"/>
        <w:spacing w:line="360" w:lineRule="auto"/>
        <w:rPr>
          <w:rFonts w:hint="eastAsia" w:ascii="宋体" w:hAnsi="宋体" w:cs="宋体" w:eastAsiaTheme="minorEastAsia"/>
          <w:bCs/>
          <w:sz w:val="24"/>
          <w:szCs w:val="24"/>
          <w:highlight w:val="none"/>
          <w:lang w:eastAsia="zh-CN"/>
        </w:rPr>
      </w:pPr>
      <w:r>
        <w:rPr>
          <w:rFonts w:hint="eastAsia" w:asciiTheme="minorEastAsia" w:hAnsiTheme="minorEastAsia" w:eastAsiaTheme="minorEastAsia"/>
          <w:b w:val="0"/>
          <w:sz w:val="24"/>
        </w:rPr>
        <w:t>5</w:t>
      </w:r>
      <w:r>
        <w:rPr>
          <w:rFonts w:asciiTheme="minorEastAsia" w:hAnsiTheme="minorEastAsia" w:eastAsiaTheme="minorEastAsia"/>
          <w:b w:val="0"/>
          <w:sz w:val="24"/>
        </w:rPr>
        <w:t>)</w:t>
      </w:r>
      <w:r>
        <w:rPr>
          <w:rFonts w:hint="eastAsia" w:asciiTheme="minorEastAsia" w:hAnsiTheme="minorEastAsia" w:eastAsiaTheme="minorEastAsia"/>
          <w:b w:val="0"/>
          <w:sz w:val="24"/>
        </w:rPr>
        <w:t>消耗性工具：铁锹、錾子、样冲</w:t>
      </w:r>
      <w:r>
        <w:rPr>
          <w:rFonts w:hint="eastAsia" w:asciiTheme="minorEastAsia" w:hAnsiTheme="minorEastAsia" w:eastAsiaTheme="minorEastAsia"/>
          <w:b w:val="0"/>
          <w:sz w:val="24"/>
          <w:lang w:eastAsia="zh-CN"/>
        </w:rPr>
        <w:t>，</w:t>
      </w:r>
      <w:r>
        <w:rPr>
          <w:rFonts w:hint="eastAsia" w:asciiTheme="minorEastAsia" w:hAnsiTheme="minorEastAsia" w:eastAsiaTheme="minorEastAsia"/>
          <w:b w:val="0"/>
          <w:sz w:val="24"/>
        </w:rPr>
        <w:t>棉纱、擦机布、现场卫生清扫工具等</w:t>
      </w:r>
      <w:r>
        <w:rPr>
          <w:rFonts w:hint="eastAsia" w:asciiTheme="minorEastAsia" w:hAnsiTheme="minorEastAsia" w:eastAsiaTheme="minorEastAsia"/>
          <w:b w:val="0"/>
          <w:sz w:val="24"/>
          <w:lang w:eastAsia="zh-CN"/>
        </w:rPr>
        <w:t>。</w:t>
      </w:r>
    </w:p>
    <w:p w14:paraId="1D7168CE">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25" w:name="_Toc31702"/>
      <w:r>
        <w:rPr>
          <w:rFonts w:hint="eastAsia" w:ascii="宋体" w:hAnsi="宋体" w:eastAsia="宋体" w:cs="宋体"/>
          <w:sz w:val="24"/>
          <w:szCs w:val="24"/>
          <w:highlight w:val="none"/>
          <w:lang w:val="en-US" w:eastAsia="zh-CN"/>
        </w:rPr>
        <w:t xml:space="preserve">6 </w:t>
      </w:r>
      <w:r>
        <w:rPr>
          <w:rFonts w:hint="eastAsia"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应达到的目标</w:t>
      </w:r>
      <w:bookmarkEnd w:id="25"/>
    </w:p>
    <w:p w14:paraId="1E92B04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6.1安全性指标</w:t>
      </w:r>
    </w:p>
    <w:p w14:paraId="3CEE98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（1）不发生本项目部员工轻伤以上、急性中毒等各类人身事故。</w:t>
      </w:r>
    </w:p>
    <w:p w14:paraId="0B1C50B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（2）不发生外包人员轻伤以上、急性中毒等各类人身事故。</w:t>
      </w:r>
    </w:p>
    <w:p w14:paraId="78A4106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（3）不发生负主责以上有人员受伤构成的交通事故。</w:t>
      </w:r>
    </w:p>
    <w:p w14:paraId="7FC9EF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（4）不发生本项目部责任造成的火险事件。</w:t>
      </w:r>
    </w:p>
    <w:p w14:paraId="333E2BC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（5）设备考核障碍及可靠性指标控制在以下范围（指非人为原因造成）：不发生考核障碍、一类障碍、二类障碍。</w:t>
      </w:r>
    </w:p>
    <w:p w14:paraId="1295CF6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（6）不发生误操作事件。</w:t>
      </w:r>
    </w:p>
    <w:p w14:paraId="3FCEC85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 环保指标：</w:t>
      </w:r>
    </w:p>
    <w:p w14:paraId="07FF6A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（1）不发生一般以上环境污染事件。</w:t>
      </w:r>
    </w:p>
    <w:p w14:paraId="0C7E77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（2）不发生本项目部责任造成的“三废”排放超标事件。</w:t>
      </w:r>
    </w:p>
    <w:p w14:paraId="7ACCEDA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（3）不发生本项目部责任造成的危废处置不合规、不合法事件。</w:t>
      </w:r>
    </w:p>
    <w:p w14:paraId="329B507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（4）不发生本项目部责任造成的公司被上级单位、政府部门通报批评或罚款的环保事件。</w:t>
      </w:r>
    </w:p>
    <w:p w14:paraId="2A376EB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6.3不发生造成后果的危险化学品泄漏事件。</w:t>
      </w:r>
    </w:p>
    <w:p w14:paraId="09CA7E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 职业卫生：</w:t>
      </w:r>
    </w:p>
    <w:p w14:paraId="5E443C9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（1）不发生新增职业病病例。</w:t>
      </w:r>
    </w:p>
    <w:p w14:paraId="068D31F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（2）职业病危害年度体检率100%。</w:t>
      </w:r>
    </w:p>
    <w:p w14:paraId="1EF63A7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 不发生本项目部责任造成的公司被上级单位及政府部门下发的安全环保挂牌督办通知书、安全生产督（稽）查通知书要求整改的问题未及时整改的情况和上级单位及政府部门通报批评的事件。</w:t>
      </w:r>
    </w:p>
    <w:p w14:paraId="30EFB4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6.6 治安保卫：</w:t>
      </w:r>
    </w:p>
    <w:p w14:paraId="1919C1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（1）不发生本项目部责任造成的生产物资被盗抢案件。</w:t>
      </w:r>
    </w:p>
    <w:p w14:paraId="3555917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（2）不发生危险物品（包括易制毒、放射品）被盗、丢失或被非法转让案件。</w:t>
      </w:r>
    </w:p>
    <w:p w14:paraId="6F0E68E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（3）公司区域内不发生有本项目部人员参与的群殴、群架事件。</w:t>
      </w:r>
    </w:p>
    <w:p w14:paraId="7C3DE8E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6.7 其他指标：</w:t>
      </w:r>
    </w:p>
    <w:p w14:paraId="62DCD8A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（1）隐患整改率不低于95%。</w:t>
      </w:r>
    </w:p>
    <w:p w14:paraId="7028C49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（2）不发生本项目部员工个人负主责的其他不安全事件。</w:t>
      </w:r>
    </w:p>
    <w:p w14:paraId="67AD573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（3）员工三级安全培训率100%。</w:t>
      </w:r>
    </w:p>
    <w:p w14:paraId="676E40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 特种作业人员持证上岗率100%。</w:t>
      </w:r>
    </w:p>
    <w:p w14:paraId="7DFD958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6.8 经济性指标</w:t>
      </w:r>
    </w:p>
    <w:p w14:paraId="1CF0973F">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机组、设备达到铭牌出力；能耗、物耗达到</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制定的当年计划指标。</w:t>
      </w:r>
    </w:p>
    <w:p w14:paraId="4196256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6.9 可靠性指标</w:t>
      </w:r>
    </w:p>
    <w:p w14:paraId="02F750FF">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（1）非计划停运次数</w:t>
      </w:r>
      <w:r>
        <w:rPr>
          <w:rStyle w:val="34"/>
          <w:rFonts w:hint="eastAsia" w:ascii="宋体" w:hAnsi="宋体" w:cs="宋体"/>
          <w:bCs/>
          <w:sz w:val="24"/>
          <w:szCs w:val="24"/>
          <w:highlight w:val="none"/>
          <w:lang w:eastAsia="zh-CN"/>
        </w:rPr>
        <w:t>投标人</w:t>
      </w:r>
      <w:r>
        <w:rPr>
          <w:rStyle w:val="34"/>
          <w:rFonts w:hint="eastAsia" w:ascii="宋体" w:hAnsi="宋体" w:eastAsia="宋体" w:cs="宋体"/>
          <w:bCs/>
          <w:sz w:val="24"/>
          <w:szCs w:val="24"/>
          <w:highlight w:val="none"/>
        </w:rPr>
        <w:t>责任0次/每年。</w:t>
      </w:r>
    </w:p>
    <w:p w14:paraId="15FAC49C">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（2）不发生考核障碍、一类障碍和二类障碍。</w:t>
      </w:r>
    </w:p>
    <w:p w14:paraId="212A2A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6.10 环保指标</w:t>
      </w:r>
    </w:p>
    <w:p w14:paraId="45C01B80">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现场作业过程要符合国家有关环保管理标准、技术规范及公司环保管理制度。</w:t>
      </w:r>
    </w:p>
    <w:p w14:paraId="274EBFC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6.11 生产管理目标:</w:t>
      </w:r>
    </w:p>
    <w:p w14:paraId="4C508555">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（1）机组、设备要达到一流煤化工企业管理水平，设备管理达到无渗漏标准。</w:t>
      </w:r>
    </w:p>
    <w:p w14:paraId="046518BB">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（2）设备大修后，连续运行时间在200天以上。</w:t>
      </w:r>
    </w:p>
    <w:p w14:paraId="4FA97B3A">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（3）设备定修定检项目遗漏率为0%。</w:t>
      </w:r>
    </w:p>
    <w:p w14:paraId="1A1238BF">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（4）完成</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制定的相关生产指标。</w:t>
      </w:r>
    </w:p>
    <w:p w14:paraId="2F5C1A66">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（5）票证合格率100%</w:t>
      </w:r>
      <w:r>
        <w:rPr>
          <w:rFonts w:hint="eastAsia" w:ascii="宋体" w:hAnsi="宋体" w:eastAsia="宋体" w:cs="宋体"/>
          <w:sz w:val="24"/>
          <w:szCs w:val="24"/>
          <w:highlight w:val="none"/>
          <w:lang w:eastAsia="zh-CN"/>
        </w:rPr>
        <w:t>。</w:t>
      </w:r>
    </w:p>
    <w:p w14:paraId="3C7C924E">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26" w:name="_Toc14819"/>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资质</w:t>
      </w:r>
      <w:r>
        <w:rPr>
          <w:rFonts w:hint="eastAsia" w:ascii="宋体" w:hAnsi="宋体" w:eastAsia="宋体" w:cs="宋体"/>
          <w:sz w:val="24"/>
          <w:szCs w:val="24"/>
          <w:highlight w:val="none"/>
          <w:lang w:val="en-US" w:eastAsia="zh-CN"/>
        </w:rPr>
        <w:t>条件</w:t>
      </w:r>
      <w:r>
        <w:rPr>
          <w:rFonts w:hint="eastAsia" w:ascii="宋体" w:hAnsi="宋体" w:eastAsia="宋体" w:cs="宋体"/>
          <w:sz w:val="24"/>
          <w:szCs w:val="24"/>
          <w:highlight w:val="none"/>
        </w:rPr>
        <w:t>及人员要求</w:t>
      </w:r>
      <w:bookmarkEnd w:id="26"/>
    </w:p>
    <w:p w14:paraId="5E70127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必须是在中华人民共和国境内依法注册、具有独立法人资格、具有履行合同所必需的财务、技术及相关服务等能力，且是浙能集团的合格供应商。</w:t>
      </w:r>
    </w:p>
    <w:p w14:paraId="71DD772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必须具有化工行业或发电厂类似项目的维修业绩。</w:t>
      </w:r>
    </w:p>
    <w:p w14:paraId="124E08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参与项目的人员必须身体健康，具有从事</w:t>
      </w:r>
      <w:r>
        <w:rPr>
          <w:rFonts w:hint="eastAsia" w:ascii="宋体" w:hAnsi="宋体" w:eastAsia="宋体" w:cs="宋体"/>
          <w:sz w:val="24"/>
          <w:szCs w:val="24"/>
          <w:highlight w:val="none"/>
          <w:lang w:val="en-US" w:eastAsia="zh-CN"/>
        </w:rPr>
        <w:t>化工设备</w:t>
      </w:r>
      <w:r>
        <w:rPr>
          <w:rFonts w:hint="eastAsia" w:ascii="宋体" w:hAnsi="宋体" w:eastAsia="宋体" w:cs="宋体"/>
          <w:sz w:val="24"/>
          <w:szCs w:val="24"/>
          <w:highlight w:val="none"/>
        </w:rPr>
        <w:t xml:space="preserve">检修或安装工作经验3年以上。 </w:t>
      </w:r>
    </w:p>
    <w:p w14:paraId="61DA833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 参加项目的主要专业技术人员应不少于总人数的10%，其配备需经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认可，主要技术人员从事</w:t>
      </w:r>
      <w:r>
        <w:rPr>
          <w:rFonts w:hint="eastAsia" w:ascii="宋体" w:hAnsi="宋体" w:cs="宋体"/>
          <w:sz w:val="24"/>
          <w:szCs w:val="24"/>
          <w:highlight w:val="none"/>
          <w:lang w:val="en-US" w:eastAsia="zh-CN"/>
        </w:rPr>
        <w:t>电厂</w:t>
      </w:r>
      <w:r>
        <w:rPr>
          <w:rFonts w:hint="eastAsia" w:ascii="宋体" w:hAnsi="宋体" w:eastAsia="宋体" w:cs="宋体"/>
          <w:sz w:val="24"/>
          <w:szCs w:val="24"/>
          <w:highlight w:val="none"/>
          <w:lang w:val="en-US" w:eastAsia="zh-CN"/>
        </w:rPr>
        <w:t>设备检修或安装工作至少5年以上，并具有石化或化工大修类似设备的检修或安装经验。</w:t>
      </w:r>
    </w:p>
    <w:p w14:paraId="77EEB4B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5 </w:t>
      </w:r>
      <w:r>
        <w:rPr>
          <w:rFonts w:hint="eastAsia" w:ascii="宋体" w:hAnsi="宋体" w:eastAsia="宋体" w:cs="宋体"/>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6EAC0C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应具有完善的质量保证体系，</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的焊工必须持有质监局发的《特种设备作业人员证》和安监局的《特种作业操作证》。</w:t>
      </w:r>
      <w:r>
        <w:rPr>
          <w:rFonts w:hint="eastAsia" w:ascii="宋体" w:hAnsi="宋体" w:eastAsia="宋体" w:cs="宋体"/>
          <w:sz w:val="24"/>
          <w:szCs w:val="24"/>
          <w:highlight w:val="none"/>
          <w:lang w:val="en-US" w:eastAsia="zh-CN"/>
        </w:rPr>
        <w:t>焊工需接受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的入厂测试并合格后方可进入该项目进行焊接作业，未经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入厂测试的焊接严禁施工焊接。</w:t>
      </w:r>
    </w:p>
    <w:p w14:paraId="315667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7.7 </w:t>
      </w:r>
      <w:r>
        <w:rPr>
          <w:rFonts w:hint="eastAsia" w:ascii="宋体" w:hAnsi="宋体" w:eastAsia="宋体" w:cs="宋体"/>
          <w:sz w:val="24"/>
          <w:szCs w:val="24"/>
          <w:highlight w:val="none"/>
        </w:rPr>
        <w:t>需进行高处作业的作业人员，需持有特种作业操作证（高处作业），且在有效期内。</w:t>
      </w:r>
    </w:p>
    <w:p w14:paraId="39CBA18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.8严禁使用未成年人和不适应现场安全施工要求的老、弱、病、残人员。 </w:t>
      </w:r>
    </w:p>
    <w:p w14:paraId="1B94F32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7.9</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应严格按照合同、设计文件（图纸等）、技术规范的要求进行试验和检验。技术规范和图纸中的焊接结构及有关说明仅为原则性的，</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应根据技术协议和图纸，制定焊接工艺评定、详细的焊接工艺、焊接结构选择，并取得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的同意。</w:t>
      </w:r>
    </w:p>
    <w:p w14:paraId="7F688F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7.10</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应制定详细的作业方案和计划，并在施工前发给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审核。</w:t>
      </w:r>
    </w:p>
    <w:p w14:paraId="5AC3D22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7.11</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有专人负责本合同的施工质量，由专人负责有关质量证明的签发和管理。</w:t>
      </w:r>
    </w:p>
    <w:p w14:paraId="39E92CD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7.12</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以及</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委托第三方检验机构的检验，任何因质量检验不合格而造成</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进度的拖延，一切责任均由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w:t>
      </w:r>
    </w:p>
    <w:p w14:paraId="10CD159E">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 xml:space="preserve">7.13 </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检修人员的配备应在经</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考核（笔试、面试）合格后方能上岗，且</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的人员必须固定，并能长期住在现场，</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在现场的维护管理和技术人员名单应与合同确定的名单相符，任何情况下的人员变动都应提前通知</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，并需征得</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的同意。并将人员变动情况书面抄报</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项目责任部门、现场监管部门。</w:t>
      </w:r>
    </w:p>
    <w:p w14:paraId="650C91B6">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 xml:space="preserve">7.14 </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人员休假原则上由</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自行安排，但</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主要技术人员（班组长、安全员、焊工人员）离开</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现场三天及以上的，必须到</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归口管理部门办理书面请假手续。</w:t>
      </w:r>
    </w:p>
    <w:p w14:paraId="125DEF2B">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7" w:name="_Toc16240"/>
      <w:r>
        <w:rPr>
          <w:rFonts w:hint="eastAsia" w:ascii="宋体" w:hAnsi="宋体" w:eastAsia="宋体" w:cs="宋体"/>
          <w:sz w:val="24"/>
          <w:szCs w:val="24"/>
          <w:highlight w:val="none"/>
          <w:lang w:val="en-US" w:eastAsia="zh-CN"/>
        </w:rPr>
        <w:t>8安全要求</w:t>
      </w:r>
      <w:bookmarkEnd w:id="27"/>
    </w:p>
    <w:p w14:paraId="47AADE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8.1入厂资料要求：</w:t>
      </w:r>
    </w:p>
    <w:p w14:paraId="2C6B1B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应该建立归档资料如下：</w:t>
      </w:r>
    </w:p>
    <w:p w14:paraId="61CC1CE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管理人员对作业人员的安全技术交底记录（全员覆盖，新入职人员及时进行安全技术交底，纸质版留档）。</w:t>
      </w:r>
    </w:p>
    <w:p w14:paraId="55C095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8.1.3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组织员工培训学习公司相关制度、管理规定、事故案例的学习记录。（电子版备查，要求有清晰的照片能证明所学内容，有清晰的扫描签到表）</w:t>
      </w:r>
    </w:p>
    <w:p w14:paraId="5DCF41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8.1.4 三级安全教育台账以及整套资料。</w:t>
      </w:r>
    </w:p>
    <w:p w14:paraId="6E441E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8.1.5 项目主管单位对制度、管理规定、操作规程提供的确认表。（纸质版留档）</w:t>
      </w:r>
    </w:p>
    <w:p w14:paraId="62A7092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8.1.6 项目主管单位对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组织进行培训学习记录。（常年维保单位每月一次）。（电子版备查，要求有清晰的照片能证明所学内容，有清晰的扫描签到表）</w:t>
      </w:r>
    </w:p>
    <w:p w14:paraId="46BF38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8.1.7 安健环协议以及交叉协议。（纸质版留档）</w:t>
      </w:r>
    </w:p>
    <w:p w14:paraId="419FBF2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8.1.8 项目开工前条件确认表。（纸质版留档）</w:t>
      </w:r>
    </w:p>
    <w:p w14:paraId="635800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8.1.9 安全生产责任书（层层签订）（纸质版留档）</w:t>
      </w:r>
    </w:p>
    <w:p w14:paraId="1596DF8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8.1.10 合同以及附件。（纸质版留档）</w:t>
      </w:r>
    </w:p>
    <w:p w14:paraId="32F8343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8.1.11 企业资质、专业外包资质。（电子版备查）</w:t>
      </w:r>
    </w:p>
    <w:p w14:paraId="470A19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8.1.12 管理人员授权书、任命书。（纸质版留档）</w:t>
      </w:r>
    </w:p>
    <w:p w14:paraId="6FC093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8.1.13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全员安全生产责任制。（纸质版留档）</w:t>
      </w:r>
    </w:p>
    <w:p w14:paraId="62A670A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8.1.14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应急预案。（纸质版留档）</w:t>
      </w:r>
    </w:p>
    <w:p w14:paraId="02B37B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8.1.15 外包项目人员台账（及时更新）以及特种作业人员台账（电子版及时更新）。</w:t>
      </w:r>
    </w:p>
    <w:p w14:paraId="44FD5F1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8.1.16 所有审核审批的方案存档。（纸质版留档）</w:t>
      </w:r>
    </w:p>
    <w:p w14:paraId="4CCB5B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8.1.17 安全生产费用使用台账（电子版台账，必须提供相关佐证资料例如发票等）。</w:t>
      </w:r>
    </w:p>
    <w:p w14:paraId="03CB39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8.1.18 外包项目所有人员的入厂健康体检、职业病体检报告（纸质版留档）,详细要求见附件22。</w:t>
      </w:r>
    </w:p>
    <w:p w14:paraId="0AFD8A1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8.2安全要求：</w:t>
      </w:r>
    </w:p>
    <w:p w14:paraId="5FBD813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8.2.1 检修人员进行设备检修工作时，必须办理合格的工作票及各种特殊作业票。</w:t>
      </w:r>
    </w:p>
    <w:p w14:paraId="058A33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8.2.2 检修人员如需在脚手架上工作，必须系安全带方能上脚手架，并将安全带挂在固定牢固部件上，高挂低用。</w:t>
      </w:r>
    </w:p>
    <w:p w14:paraId="2959798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8.2.3 设备所有零部件，应按要求摆放在指定的地点, 妥善保管。工作中轻起轻落,不准将设备或零部件直接放在地面上，在检修现场必须垫上橡胶垫，以防工具、零件等掉在地上。</w:t>
      </w:r>
    </w:p>
    <w:p w14:paraId="20F1517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56C895A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8.2.5 现场工作人员应精神状态良好、无有碍工作的疾病，并不得酒后上班。</w:t>
      </w:r>
    </w:p>
    <w:p w14:paraId="5C2A7FA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8.2.6 进入生产场所的所有人员包括管理人员必须戴好安全帽，禁止在生产场所吸烟。</w:t>
      </w:r>
    </w:p>
    <w:p w14:paraId="4200128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8.2.7 动火作业按要求办理好动火作业工作票，注意火星的控制，以及动火操作的规范。</w:t>
      </w:r>
    </w:p>
    <w:p w14:paraId="6E3106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8.2.8 容器内作业注意通风，外部设专业监护，防止中毒窒息。</w:t>
      </w:r>
    </w:p>
    <w:p w14:paraId="3C8A8AE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8.2.9 必须严格遵守安全监察部制定的八大特殊作业等安全管理制度要求。</w:t>
      </w:r>
    </w:p>
    <w:p w14:paraId="58B74F4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 安全生产七大禁令</w:t>
      </w:r>
    </w:p>
    <w:p w14:paraId="12627D4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4"/>
          <w:rFonts w:hint="eastAsia" w:ascii="宋体" w:hAnsi="宋体" w:eastAsia="宋体" w:cs="宋体"/>
          <w:b/>
          <w:sz w:val="24"/>
          <w:szCs w:val="24"/>
          <w:highlight w:val="none"/>
        </w:rPr>
      </w:pPr>
      <w:r>
        <w:rPr>
          <w:rFonts w:hint="eastAsia" w:ascii="宋体" w:hAnsi="宋体" w:eastAsia="宋体" w:cs="宋体"/>
          <w:sz w:val="24"/>
          <w:szCs w:val="24"/>
          <w:highlight w:val="none"/>
          <w:lang w:val="en-US" w:eastAsia="zh-CN"/>
        </w:rPr>
        <w:t>8.3.1 严禁在生产装置区内吸烟。</w:t>
      </w:r>
    </w:p>
    <w:p w14:paraId="43B1795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8.3.2 严禁高处作业不使用安全带。</w:t>
      </w:r>
    </w:p>
    <w:p w14:paraId="7CFC05E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8.3.3 严禁违章指挥、强令他人违章冒险作业。</w:t>
      </w:r>
    </w:p>
    <w:p w14:paraId="0A3DBA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8.3.4 严禁未经许可进行受限空间作业、动火作业。</w:t>
      </w:r>
    </w:p>
    <w:p w14:paraId="36961FB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8.3.5 严禁无证进行电气、架子、叉车、电气焊作业。</w:t>
      </w:r>
    </w:p>
    <w:p w14:paraId="79FA4E2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8.3.6 严禁未经审批或许可，取消或退出安全联锁。</w:t>
      </w:r>
    </w:p>
    <w:p w14:paraId="7127674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8.3.7 严禁未经许可关闭、破坏直接关系生产安全的报警、防护、救生设备、设施，不得篡改、销毁其相关数据、信息。</w:t>
      </w:r>
    </w:p>
    <w:p w14:paraId="234BFD09">
      <w:pPr>
        <w:rPr>
          <w:rStyle w:val="34"/>
          <w:rFonts w:hint="eastAsia" w:ascii="宋体" w:hAnsi="宋体" w:eastAsia="宋体" w:cs="宋体"/>
          <w:b/>
          <w:sz w:val="24"/>
          <w:szCs w:val="24"/>
          <w:highlight w:val="none"/>
        </w:rPr>
      </w:pPr>
    </w:p>
    <w:p w14:paraId="29FB6447">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8" w:name="_Toc224"/>
      <w:r>
        <w:rPr>
          <w:rFonts w:hint="eastAsia" w:ascii="宋体" w:hAnsi="宋体" w:eastAsia="宋体" w:cs="宋体"/>
          <w:sz w:val="24"/>
          <w:szCs w:val="24"/>
          <w:highlight w:val="none"/>
          <w:lang w:val="en-US" w:eastAsia="zh-CN"/>
        </w:rPr>
        <w:t>9双方职责</w:t>
      </w:r>
      <w:bookmarkEnd w:id="28"/>
    </w:p>
    <w:p w14:paraId="188E2B3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9.1 </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职责</w:t>
      </w:r>
    </w:p>
    <w:p w14:paraId="609E3B7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 对项目安全、质量及进度实施全过程管理，安全管理实行统一牵头、统一指挥、统一管理及考核，对存在的各类安全隐患及时督促整改。</w:t>
      </w:r>
    </w:p>
    <w:p w14:paraId="67B6A3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9.1.2 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提出的各种技术方案进行审核和批准。</w:t>
      </w:r>
    </w:p>
    <w:p w14:paraId="4F2CFB0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9.1.3 负责</w:t>
      </w:r>
      <w:r>
        <w:rPr>
          <w:rFonts w:hint="eastAsia" w:ascii="宋体" w:hAnsi="宋体" w:eastAsia="宋体" w:cs="宋体"/>
          <w:sz w:val="24"/>
          <w:szCs w:val="24"/>
          <w:highlight w:val="none"/>
        </w:rPr>
        <w:t>报废物资和退库物资手续办理，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运送至指定地点。</w:t>
      </w:r>
    </w:p>
    <w:p w14:paraId="14A65D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9.1.4 负责检修项目中涉及的光谱分析及焊缝探伤工作。</w:t>
      </w:r>
    </w:p>
    <w:p w14:paraId="584E1F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9.1.5 负责检修项目涉及的水、电、脚手架搭设、保温的拆装、恢复等工作。</w:t>
      </w:r>
    </w:p>
    <w:p w14:paraId="75815A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9.1.6 根据</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的相关事故调查规定，当发生不安全情况时,必要时组织</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进行事故调查处理。</w:t>
      </w:r>
    </w:p>
    <w:p w14:paraId="2055DD9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9.1.7 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提供有关设备资料及有关生产、管理需要的上级文件，并及时答复</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提出的有关生产、管理中发生的问题。</w:t>
      </w:r>
    </w:p>
    <w:p w14:paraId="5D58174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9.1.8 负责组织内部检修协调会议，并负责</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与其它相关单位的工作协调。</w:t>
      </w:r>
    </w:p>
    <w:p w14:paraId="1B013B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9.1.9 为</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提供本承包范围范围系统设备设计、制造、安装、调试、运行、维护的图纸资料（包括设备的技术规范、竣工图纸、运行及维护手册或说明书等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履行本合同所需的资料）的收集和管理便利，避免影响检修进度和质量。</w:t>
      </w:r>
    </w:p>
    <w:p w14:paraId="07A06B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9.1.10 按本承包合同规定，及时向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支付各种费用。</w:t>
      </w:r>
    </w:p>
    <w:p w14:paraId="63D319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9.1.11 参加检修项目的验收工作。</w:t>
      </w:r>
    </w:p>
    <w:p w14:paraId="6E4E83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9.1.12 检修所需的项目车辆由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统一负责协调。</w:t>
      </w:r>
    </w:p>
    <w:p w14:paraId="59AD17D5">
      <w:pPr>
        <w:snapToGrid w:val="0"/>
        <w:spacing w:line="360" w:lineRule="auto"/>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lang w:val="en-US" w:eastAsia="zh-CN"/>
        </w:rPr>
        <w:t>9</w:t>
      </w:r>
      <w:r>
        <w:rPr>
          <w:rStyle w:val="34"/>
          <w:rFonts w:hint="eastAsia" w:ascii="宋体" w:hAnsi="宋体" w:eastAsia="宋体" w:cs="宋体"/>
          <w:bCs/>
          <w:sz w:val="24"/>
          <w:szCs w:val="24"/>
          <w:highlight w:val="none"/>
        </w:rPr>
        <w:t>.1.1</w:t>
      </w:r>
      <w:r>
        <w:rPr>
          <w:rStyle w:val="34"/>
          <w:rFonts w:hint="eastAsia" w:ascii="宋体" w:hAnsi="宋体" w:eastAsia="宋体" w:cs="宋体"/>
          <w:bCs/>
          <w:sz w:val="24"/>
          <w:szCs w:val="24"/>
          <w:highlight w:val="none"/>
          <w:lang w:val="en-US" w:eastAsia="zh-CN"/>
        </w:rPr>
        <w:t xml:space="preserve">3 </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有权收取提供给承包商生活使用的电费及食堂管理费。</w:t>
      </w:r>
    </w:p>
    <w:p w14:paraId="479B31D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职责</w:t>
      </w:r>
    </w:p>
    <w:p w14:paraId="212CD55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在接到中标通知书后1个月内，将本项目组织机构、质量措施、安全措施、组织措施等文件（不限上列内容）报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审核。在检修开始一周前将工作负责人及工作票签发人名单、工作人员名单、特殊工种人员名单及资质材料报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w:t>
      </w:r>
    </w:p>
    <w:p w14:paraId="7DC1C0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9.2.2</w:t>
      </w:r>
      <w:r>
        <w:rPr>
          <w:rFonts w:hint="eastAsia" w:ascii="宋体" w:hAnsi="宋体" w:eastAsia="宋体" w:cs="宋体"/>
          <w:sz w:val="24"/>
          <w:szCs w:val="24"/>
          <w:highlight w:val="none"/>
        </w:rPr>
        <w:t xml:space="preserve"> 本项目所需要的票证办理、施工准备由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w:t>
      </w:r>
    </w:p>
    <w:p w14:paraId="3E4155B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 xml:space="preserve">.3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必须在开工前十天将气化炉单炉大修、堆焊用工器具、消耗性材料清单发给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审阅。且在开工前一周将气化炉单炉大修用工器具、消耗性材料运至</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检修现场（由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自行保管）。</w:t>
      </w:r>
    </w:p>
    <w:p w14:paraId="60C7F9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.4 本项目检修所用的工器具必须保证完好，且校验合格（现场使用的计量工器具，须有检验合格证及检验时间，过期未检验计量工器具严禁带入现场使用），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保证在施工过程中使用的工器具是安全和可靠的，不会造成事故，否则，</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承担由此引起的相应责任。出厂前要按照清单进行清点，并由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签字认可，确保现场无施工遗留工具。</w:t>
      </w:r>
    </w:p>
    <w:p w14:paraId="7D95F3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.5 所有的耗材均需采购国内合格产品，凡是没有标签、生产日期的消耗性材料一律不得采用，杜绝伪劣产品使用在工作中。</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提出新型材料的使用前必须报</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批准后方可使用。</w:t>
      </w:r>
    </w:p>
    <w:p w14:paraId="103AFC8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 xml:space="preserve">.6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负责做好承包维护设备范围内的装置性设施（如平台、栏杆、现场专用检修平台等）的维护及保养等工作, 保持设备及生产场地的清洁卫生。</w:t>
      </w:r>
    </w:p>
    <w:p w14:paraId="193ACB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9.2.7 检修过程中产生的废料和垃圾的清理、转运由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负责（转运地点由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指定）。</w:t>
      </w:r>
    </w:p>
    <w:p w14:paraId="5762AF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9.2.8 负责完成机务专业检修中和检修结束后需进行的各种试验和调试（含电气、仪控专业需机务配合完成的项目）。</w:t>
      </w:r>
    </w:p>
    <w:p w14:paraId="14B186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9.2.9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应尽其最大努力减少维护人员的流动和更换，同时</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有权建议更换任何不合适的人员。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在招用员工时要审查核实是否与另外单位项目用工重合。</w:t>
      </w:r>
    </w:p>
    <w:p w14:paraId="0F1F110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9.2.10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应根据项目内容、时间进度和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要求，配置足够人员，参加气化炉大修的人员数量和资格必须在开工一周前报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047CAD8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9.2.11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应及时将遇到的技术问题通知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，并积极处理和解决。</w:t>
      </w:r>
    </w:p>
    <w:p w14:paraId="5657901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应制订堆焊施工方案、焊接工艺卡和项目进度表。</w:t>
      </w:r>
    </w:p>
    <w:p w14:paraId="3B04077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9.2.13 项目服务工期内，以生产装置现场实际情况为指导，不仅要求按时按进度完成本职检修工作，同时应服从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协调指挥要求，主动配合完成现场其他施工作业工作。</w:t>
      </w:r>
    </w:p>
    <w:p w14:paraId="3040FA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9.2.14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做好设备主体部分进行解体检查和调整工作，必要时对达到规定磨损限度的零件加以更换。此外，还要对主要零部件的磨损情况进行测量、鉴定和记录。</w:t>
      </w:r>
    </w:p>
    <w:p w14:paraId="69D0C02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9.2.15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检修所做的各项检修技术记录、检查试验（校验）报告、安装调试文件、设计说明、测绘图纸及相关计算书等必须齐全准确、符合</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归档要求，并及时提供给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4C8E06E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9.2.16 </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项目部的日常考核，</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接到</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的通报后，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应在一个月内将考核执行情况反馈给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57BEDCD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所有人员薪金结算必须由第三方（银行）支付到员工。</w:t>
      </w:r>
    </w:p>
    <w:p w14:paraId="5CF878B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9.2.18 安全生产费用专款专用，必须用于安全相关费用支出。</w:t>
      </w:r>
    </w:p>
    <w:p w14:paraId="4BE6D252">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29" w:name="_Toc21176"/>
      <w:r>
        <w:rPr>
          <w:rFonts w:hint="eastAsia" w:ascii="宋体" w:hAnsi="宋体" w:eastAsia="宋体" w:cs="宋体"/>
          <w:sz w:val="24"/>
          <w:szCs w:val="24"/>
          <w:highlight w:val="none"/>
          <w:lang w:val="en-US" w:eastAsia="zh-CN"/>
        </w:rPr>
        <w:t>10</w:t>
      </w:r>
      <w:r>
        <w:rPr>
          <w:rFonts w:hint="eastAsia" w:hAnsi="宋体" w:cs="宋体"/>
          <w:sz w:val="24"/>
          <w:szCs w:val="24"/>
          <w:highlight w:val="none"/>
        </w:rPr>
        <w:t>安健环及文明施工、危险源（环境因素）控制要求</w:t>
      </w:r>
      <w:bookmarkEnd w:id="29"/>
    </w:p>
    <w:p w14:paraId="5412A2E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贯彻“谁施工、谁负责安全”的管理原则。</w:t>
      </w:r>
    </w:p>
    <w:p w14:paraId="6CFB99E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10.2 </w:t>
      </w:r>
      <w:r>
        <w:rPr>
          <w:rFonts w:hint="eastAsia" w:ascii="宋体" w:hAnsi="宋体" w:eastAsia="宋体" w:cs="宋体"/>
          <w:sz w:val="24"/>
          <w:szCs w:val="24"/>
          <w:highlight w:val="none"/>
        </w:rPr>
        <w:t>所有作业人员必须经过安全培训方可上岗，作业时必须严格按照相关要求穿戴劳保用品；</w:t>
      </w:r>
    </w:p>
    <w:p w14:paraId="2B2826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10.3 </w:t>
      </w:r>
      <w:r>
        <w:rPr>
          <w:rFonts w:hint="eastAsia" w:ascii="宋体" w:hAnsi="宋体" w:eastAsia="宋体" w:cs="宋体"/>
          <w:sz w:val="24"/>
          <w:szCs w:val="24"/>
          <w:highlight w:val="none"/>
        </w:rPr>
        <w:t>涉及到高风险作业时，必须由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及</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双方共同监护的情况下方可作业；</w:t>
      </w:r>
    </w:p>
    <w:p w14:paraId="10D1743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的工作人员必须严格遵守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的管理要求，严格按安全规程文明施工，服从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生产调度，接受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文明生产考核。</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必须有安全员，制定与本</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有关的安全措施。针对有可能发生火灾、爆炸、触电、高空坠落、中毒、窒息、机械伤害、烧烫伤等危险或引起严重设备事故的施工，</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应事先向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详细了解情况，并制定施工安全技术措施，经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确认后实施。针对高空作业、交叉、动火等特殊作业，必须制定并落实针对性的安全防范保护措施，确保人身、设备、施工机械的安全。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还应落实好保证消防安全的措施，施工时注意留出安全消防通道，不得妨碍交通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通行</w:t>
      </w:r>
      <w:r>
        <w:rPr>
          <w:rFonts w:hint="eastAsia" w:ascii="宋体" w:hAnsi="宋体" w:eastAsia="宋体" w:cs="宋体"/>
          <w:sz w:val="24"/>
          <w:szCs w:val="24"/>
          <w:highlight w:val="none"/>
        </w:rPr>
        <w:t>。作业人员在作业区域内必须遵守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安全管理的有关规定和制度，佩好胸卡，戴好安全帽等个人安全器具，不准进入与作业无关的区域，并随时接受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的项目负责人的工作指导和安监人员现场的安全监督。</w:t>
      </w:r>
    </w:p>
    <w:p w14:paraId="6C2425D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lang w:eastAsia="zh-CN"/>
        </w:rPr>
        <w:t>项目负责人</w:t>
      </w:r>
      <w:r>
        <w:rPr>
          <w:rFonts w:hint="eastAsia" w:ascii="宋体" w:hAnsi="宋体" w:eastAsia="宋体" w:cs="宋体"/>
          <w:sz w:val="24"/>
          <w:szCs w:val="24"/>
          <w:highlight w:val="none"/>
        </w:rPr>
        <w:t>是本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的安全工作的第一责任人，对本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工作期间所有施工项目的实施过程中涉及的安全负责，以及施工现场、施工过程中的安全负责。</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参加施工的特种作业人员和特种设备作业人员必须具备政府主管部门（车间）颁发的有效证书或证明，提交</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审核、备案。</w:t>
      </w:r>
    </w:p>
    <w:p w14:paraId="451F64C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10.6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安全环保部备案，凡增补或调换人员，更换工种，必须及时进行安全教育和考试，考试成绩报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安全环保部备案。未接受安全教育和安全考试不合格者不得进入现场施工。</w:t>
      </w:r>
    </w:p>
    <w:p w14:paraId="39F9F8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的监督、检查和指导。对于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查出的隐患及问题，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必须限期整改。当</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认为确实有必要暂停施工，并提出要求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暂停施工意见后，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应当按</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要求停止施工。</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实施处理意见后，以书面形式向</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提出复工要求。在</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组织验收并签字同意后，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重新施工。对</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违反安全生产规定、制度的要求，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有权拒绝执行，有权要求</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改进。</w:t>
      </w:r>
    </w:p>
    <w:p w14:paraId="7FD57C6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10.8 各种安全防护设施如：遮栏、安全标志牌、警告牌、接地线、脚手架结构等不得擅自拆除、变更。如确实需要拆除、变更的，必须经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项目主管部门负责人和上述安全设施、标志设置单位（人员）同意，采取必要、可靠的安全措施后，方能拆除、变更现场安全防护设施。</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因施工需要设置的安全防护设施、安全标志牌，其他人员不得擅自拆除，投方在项目完成后应及时拆除，不得无故延误。</w:t>
      </w:r>
    </w:p>
    <w:p w14:paraId="7DC93AA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10.9 </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已经将水、电源提供到检修区就近的地方，</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必须按照国家有关规范、安全的要求自行连接到使用地点，并负责水、电线路及装置日常维护和管理。</w:t>
      </w:r>
    </w:p>
    <w:p w14:paraId="6B22C56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10.10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必须按国家颁布的安全规范及要求进行施工。</w:t>
      </w:r>
    </w:p>
    <w:p w14:paraId="781E8EE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在规定的施工场地内施工，不得随意占用厂内的主干道。施工的临时设施，各类加工场地及堆棚、用电、用水，要符合安全要求，要有管理制度。各类施工机具堆放整齐，要设有安全及文明安装的标牌。</w:t>
      </w:r>
    </w:p>
    <w:p w14:paraId="3B9F4E8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10.12 </w:t>
      </w:r>
      <w:r>
        <w:rPr>
          <w:rFonts w:hint="eastAsia" w:ascii="宋体" w:hAnsi="宋体" w:eastAsia="宋体" w:cs="宋体"/>
          <w:sz w:val="24"/>
          <w:szCs w:val="24"/>
          <w:highlight w:val="none"/>
        </w:rPr>
        <w:t>保证安装现场清洁整齐，材料分类堆码整齐，施工剩余物资、边角余料、垃圾等均由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收集并运到</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指定地点，并不得增加任何费用。</w:t>
      </w:r>
    </w:p>
    <w:p w14:paraId="0A1311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负责施工区域的安全、保卫工作及施工照明，采取有效措施确保施工安全，杜绝重大人身伤亡及设备事故。如因</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安全措施不到位而发生责任事故，全部损失由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w:t>
      </w:r>
    </w:p>
    <w:p w14:paraId="3E6D208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必须具备安装所需的各类规范、国家标准，各类有关的技术标准等技术资料，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认为有必要时，必须无条件提供。</w:t>
      </w:r>
    </w:p>
    <w:p w14:paraId="7849308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必须在合同意向确认后，向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提供开工报告、组织施工方案、安全承诺书、质量保证措施，及各项施工准备（机具和人员）。</w:t>
      </w:r>
    </w:p>
    <w:p w14:paraId="0937EB5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10.16 项目</w:t>
      </w:r>
      <w:r>
        <w:rPr>
          <w:rFonts w:hint="eastAsia" w:ascii="宋体" w:hAnsi="宋体" w:eastAsia="宋体" w:cs="宋体"/>
          <w:sz w:val="24"/>
          <w:szCs w:val="24"/>
          <w:highlight w:val="none"/>
        </w:rPr>
        <w:t>开工后，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单位密切配合，为施工创造条件；施工交叉作业时，要服从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的统一协调安排。</w:t>
      </w:r>
    </w:p>
    <w:p w14:paraId="761AA8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10.17 </w:t>
      </w:r>
      <w:r>
        <w:rPr>
          <w:rFonts w:hint="eastAsia" w:ascii="宋体" w:hAnsi="宋体" w:eastAsia="宋体" w:cs="宋体"/>
          <w:sz w:val="24"/>
          <w:szCs w:val="24"/>
          <w:highlight w:val="none"/>
        </w:rPr>
        <w:t>全体施工工作人员必须严格遵守施工</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所在地的有关规定，由于违反规定而发生的一切后果由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自负。</w:t>
      </w:r>
    </w:p>
    <w:p w14:paraId="39C6B2F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10.18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在容器内施工应符合安全规范，并做好上下交叉作业的安全措施。</w:t>
      </w:r>
    </w:p>
    <w:p w14:paraId="548BC95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 xml:space="preserve">10.19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原因造成</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人身或设备事故，</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负责处理，</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承担责任并配合处理。</w:t>
      </w:r>
    </w:p>
    <w:p w14:paraId="045E55E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10.20</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在检修过程中出现的被更换下来的任何废旧设备、配件和装置性材料均为</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所有，应妥善保护并及时向</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移交被更换下来的设备或材料。应每天对施工现场的废物、垃圾进行</w:t>
      </w:r>
      <w:r>
        <w:rPr>
          <w:rFonts w:hint="eastAsia" w:ascii="宋体" w:hAnsi="宋体" w:eastAsia="宋体" w:cs="宋体"/>
          <w:sz w:val="24"/>
          <w:szCs w:val="24"/>
          <w:highlight w:val="none"/>
          <w:lang w:val="zh-CN" w:eastAsia="zh-CN"/>
        </w:rPr>
        <w:t>一次清理，并将其集中堆放在</w:t>
      </w:r>
      <w:r>
        <w:rPr>
          <w:rFonts w:hint="eastAsia" w:ascii="宋体" w:hAnsi="宋体" w:cs="宋体"/>
          <w:sz w:val="24"/>
          <w:szCs w:val="24"/>
          <w:highlight w:val="none"/>
          <w:lang w:val="zh-CN" w:eastAsia="zh-CN"/>
        </w:rPr>
        <w:t>招标人</w:t>
      </w:r>
      <w:r>
        <w:rPr>
          <w:rFonts w:hint="eastAsia" w:ascii="宋体" w:hAnsi="宋体" w:eastAsia="宋体" w:cs="宋体"/>
          <w:sz w:val="24"/>
          <w:szCs w:val="24"/>
          <w:highlight w:val="none"/>
          <w:lang w:val="zh-CN" w:eastAsia="zh-CN"/>
        </w:rPr>
        <w:t>同意的地点。</w:t>
      </w:r>
    </w:p>
    <w:p w14:paraId="62C197AD">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0" w:name="_Toc141011861"/>
      <w:bookmarkStart w:id="31" w:name="_Toc13675"/>
      <w:r>
        <w:rPr>
          <w:rFonts w:hint="eastAsia" w:ascii="宋体" w:hAnsi="宋体" w:eastAsia="宋体" w:cs="宋体"/>
          <w:sz w:val="24"/>
          <w:szCs w:val="24"/>
          <w:highlight w:val="none"/>
          <w:lang w:val="en-US" w:eastAsia="zh-CN"/>
        </w:rPr>
        <w:t>11考核</w:t>
      </w:r>
      <w:bookmarkEnd w:id="30"/>
      <w:bookmarkEnd w:id="31"/>
    </w:p>
    <w:p w14:paraId="0363F1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2" w:name="_Toc141011862"/>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1清灰质量验收</w:t>
      </w:r>
    </w:p>
    <w:p w14:paraId="061FDDB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（1）停运锅炉的省煤器冷灰斗、水平烟道及烟道所有积灰部位必须清理干净，保证锅炉运行时烟道流畅。</w:t>
      </w:r>
    </w:p>
    <w:p w14:paraId="411767A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（2）清灰现场遗留积灰应及时清理干净，地面清扫干净。</w:t>
      </w:r>
    </w:p>
    <w:p w14:paraId="7E65F3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3" w:name="_Toc445388474"/>
      <w:r>
        <w:rPr>
          <w:rFonts w:hint="eastAsia" w:ascii="宋体" w:hAnsi="宋体" w:cs="宋体"/>
          <w:sz w:val="24"/>
          <w:szCs w:val="24"/>
          <w:highlight w:val="none"/>
          <w:lang w:val="en-US" w:eastAsia="zh-CN"/>
        </w:rPr>
        <w:t>11.2</w:t>
      </w:r>
      <w:r>
        <w:rPr>
          <w:rFonts w:hint="eastAsia" w:ascii="宋体" w:hAnsi="宋体" w:eastAsia="宋体" w:cs="宋体"/>
          <w:sz w:val="24"/>
          <w:szCs w:val="24"/>
          <w:highlight w:val="none"/>
          <w:lang w:val="en-US" w:eastAsia="zh-CN"/>
        </w:rPr>
        <w:t>考核条款</w:t>
      </w:r>
      <w:bookmarkEnd w:id="33"/>
    </w:p>
    <w:p w14:paraId="2014357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人员必须服从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管理，组织开展检修班组班前、班后会，否则考核1000元/次。</w:t>
      </w:r>
    </w:p>
    <w:p w14:paraId="601BDC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人员必须做到应清必清，造成烟道应积灰而影响设备安全平稳运行，由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承担100%责任考核。</w:t>
      </w:r>
    </w:p>
    <w:p w14:paraId="43CB5AA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4" w:name="_Toc445388475"/>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清灰项目出现漏清情况，扣罚1000-5000元/项，并进行警告，如拒不执行，扣罚总报价的10%。</w:t>
      </w:r>
      <w:bookmarkEnd w:id="34"/>
    </w:p>
    <w:p w14:paraId="0A065D2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由于清灰中</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清灰人员违章作业，部门（专业）被连带考核部分由施工单位100%承担。</w:t>
      </w:r>
    </w:p>
    <w:p w14:paraId="540261A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应积极配合</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在清灰中的标准化管理要求，若出现屡教不改、敷衍塞责等现象，</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将按500元/每次进行考核。</w:t>
      </w:r>
    </w:p>
    <w:p w14:paraId="4A96758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bookmarkStart w:id="35" w:name="_Toc445388481"/>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在清灰过程中应严格执行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的技术、安全要求，对</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提出的整改措施拒不执行的，每发生一次扣罚</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1000元。</w:t>
      </w:r>
      <w:bookmarkEnd w:id="35"/>
    </w:p>
    <w:p w14:paraId="5001620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6" w:name="_Toc445388484"/>
      <w:r>
        <w:rPr>
          <w:rFonts w:hint="eastAsia" w:ascii="宋体" w:hAnsi="宋体" w:eastAsia="宋体" w:cs="宋体"/>
          <w:sz w:val="24"/>
          <w:szCs w:val="24"/>
          <w:highlight w:val="none"/>
          <w:lang w:val="en-US" w:eastAsia="zh-CN"/>
        </w:rPr>
        <w:t>（7）</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在清灰过程中，如发生人员或设备的不安全事件，应如实迅速向</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反馈，若有隐瞒不报情形，每发现一次扣罚</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1000元，情节严重的按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相关规定从重处理。</w:t>
      </w:r>
      <w:bookmarkEnd w:id="36"/>
    </w:p>
    <w:p w14:paraId="18B5500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bookmarkStart w:id="37" w:name="_Toc445388486"/>
      <w:r>
        <w:rPr>
          <w:rFonts w:hint="eastAsia" w:ascii="宋体" w:hAnsi="宋体" w:eastAsia="宋体" w:cs="宋体"/>
          <w:sz w:val="24"/>
          <w:szCs w:val="24"/>
          <w:highlight w:val="none"/>
          <w:lang w:val="en-US" w:eastAsia="zh-CN"/>
        </w:rPr>
        <w:t>（8）</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在清灰过程中，不得破坏设备的保温、油漆及其它相关设施，否则每发现一处扣罚</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1000元，并另外按原价赔偿。</w:t>
      </w:r>
      <w:bookmarkEnd w:id="37"/>
    </w:p>
    <w:p w14:paraId="101AEF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清灰结束后应及时清理周边及地面积灰，如不及时清理，给运行操作带来不便，考核合同款的5%。</w:t>
      </w:r>
      <w:bookmarkStart w:id="38" w:name="_Toc14993"/>
    </w:p>
    <w:p w14:paraId="4DD9D317">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附则</w:t>
      </w:r>
      <w:bookmarkEnd w:id="38"/>
    </w:p>
    <w:p w14:paraId="341D4C71">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39" w:name="_Toc4385"/>
      <w:r>
        <w:rPr>
          <w:rFonts w:hint="eastAsia" w:ascii="宋体" w:hAnsi="宋体" w:eastAsia="宋体" w:cs="宋体"/>
          <w:b w:val="0"/>
          <w:bCs/>
          <w:sz w:val="24"/>
          <w:szCs w:val="24"/>
          <w:highlight w:val="none"/>
          <w:lang w:val="en-US" w:eastAsia="zh-CN"/>
        </w:rPr>
        <w:t>12.1 本办法是合同协议书的附件，作为合同的构成部分。附件中的维护质量与可靠性、维护作业安全考核项目中的相关工作，虽经（或未经）</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管理人员的验收，均不能免除</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的相关责任。</w:t>
      </w:r>
      <w:bookmarkEnd w:id="39"/>
    </w:p>
    <w:p w14:paraId="400685D2">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40" w:name="_Toc25575"/>
      <w:r>
        <w:rPr>
          <w:rFonts w:hint="eastAsia" w:ascii="宋体" w:hAnsi="宋体" w:eastAsia="宋体" w:cs="宋体"/>
          <w:b w:val="0"/>
          <w:bCs/>
          <w:sz w:val="24"/>
          <w:szCs w:val="24"/>
          <w:highlight w:val="none"/>
          <w:lang w:val="en-US" w:eastAsia="zh-CN"/>
        </w:rPr>
        <w:t xml:space="preserve">12.2 </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应在投标之前就本办法的内容进行研究并考虑相关风险，在招标澄清时提请解释或提出相关的协商意见。一旦投标，将被认为已熟悉了本办法并双方同意，在执行时有关条款的度量权为</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w:t>
      </w:r>
      <w:bookmarkEnd w:id="40"/>
    </w:p>
    <w:p w14:paraId="61578D0B">
      <w:pPr>
        <w:pStyle w:val="4"/>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41" w:name="_Toc26468"/>
      <w:r>
        <w:rPr>
          <w:rFonts w:hint="eastAsia" w:ascii="宋体" w:hAnsi="宋体" w:eastAsia="宋体" w:cs="宋体"/>
          <w:sz w:val="24"/>
          <w:szCs w:val="24"/>
          <w:highlight w:val="none"/>
          <w:lang w:val="en-US" w:eastAsia="zh-CN"/>
        </w:rPr>
        <w:t>13附录附表</w:t>
      </w:r>
      <w:bookmarkEnd w:id="32"/>
      <w:bookmarkEnd w:id="41"/>
    </w:p>
    <w:p w14:paraId="7CADAED2">
      <w:pPr>
        <w:snapToGrid w:val="0"/>
        <w:spacing w:line="360" w:lineRule="auto"/>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附录A  差异表</w:t>
      </w:r>
    </w:p>
    <w:p w14:paraId="612C5D0F">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hint="eastAsia" w:ascii="宋体" w:hAnsi="宋体" w:cs="宋体"/>
          <w:sz w:val="32"/>
          <w:szCs w:val="32"/>
        </w:rPr>
      </w:pPr>
      <w:r>
        <w:rPr>
          <w:rFonts w:hint="eastAsia" w:ascii="宋体" w:hAnsi="宋体" w:cs="宋体"/>
          <w:sz w:val="32"/>
          <w:szCs w:val="32"/>
        </w:rPr>
        <w:t>差  异  表</w:t>
      </w:r>
    </w:p>
    <w:tbl>
      <w:tblPr>
        <w:tblStyle w:val="30"/>
        <w:tblW w:w="9617" w:type="dxa"/>
        <w:jc w:val="center"/>
        <w:tblLayout w:type="fixed"/>
        <w:tblCellMar>
          <w:top w:w="0" w:type="dxa"/>
          <w:left w:w="28" w:type="dxa"/>
          <w:bottom w:w="0" w:type="dxa"/>
          <w:right w:w="28" w:type="dxa"/>
        </w:tblCellMar>
      </w:tblPr>
      <w:tblGrid>
        <w:gridCol w:w="935"/>
        <w:gridCol w:w="1074"/>
        <w:gridCol w:w="3334"/>
        <w:gridCol w:w="1068"/>
        <w:gridCol w:w="3206"/>
      </w:tblGrid>
      <w:tr w14:paraId="6F320DC3">
        <w:tblPrEx>
          <w:tblCellMar>
            <w:top w:w="0" w:type="dxa"/>
            <w:left w:w="28" w:type="dxa"/>
            <w:bottom w:w="0" w:type="dxa"/>
            <w:right w:w="28" w:type="dxa"/>
          </w:tblCellMar>
        </w:tblPrEx>
        <w:trPr>
          <w:trHeight w:val="219" w:hRule="atLeast"/>
          <w:jc w:val="center"/>
        </w:trPr>
        <w:tc>
          <w:tcPr>
            <w:tcW w:w="935" w:type="dxa"/>
            <w:tcBorders>
              <w:top w:val="single" w:color="auto" w:sz="6" w:space="0"/>
              <w:left w:val="single" w:color="auto" w:sz="6" w:space="0"/>
              <w:right w:val="single" w:color="auto" w:sz="6" w:space="0"/>
            </w:tcBorders>
            <w:noWrap w:val="0"/>
            <w:vAlign w:val="center"/>
          </w:tcPr>
          <w:p w14:paraId="78ACF229">
            <w:pPr>
              <w:spacing w:line="360" w:lineRule="auto"/>
              <w:jc w:val="center"/>
              <w:rPr>
                <w:rFonts w:hint="eastAsia" w:ascii="宋体" w:hAnsi="宋体" w:cs="宋体"/>
              </w:rPr>
            </w:pPr>
          </w:p>
        </w:tc>
        <w:tc>
          <w:tcPr>
            <w:tcW w:w="1074" w:type="dxa"/>
            <w:tcBorders>
              <w:top w:val="single" w:color="auto" w:sz="6" w:space="0"/>
              <w:left w:val="nil"/>
            </w:tcBorders>
            <w:noWrap w:val="0"/>
            <w:vAlign w:val="center"/>
          </w:tcPr>
          <w:p w14:paraId="2E553776">
            <w:pPr>
              <w:spacing w:line="360" w:lineRule="auto"/>
              <w:jc w:val="center"/>
              <w:rPr>
                <w:rFonts w:hint="eastAsia" w:ascii="宋体" w:hAnsi="宋体" w:cs="宋体"/>
              </w:rPr>
            </w:pPr>
          </w:p>
        </w:tc>
        <w:tc>
          <w:tcPr>
            <w:tcW w:w="3334" w:type="dxa"/>
            <w:tcBorders>
              <w:top w:val="single" w:color="auto" w:sz="6" w:space="0"/>
              <w:right w:val="single" w:color="auto" w:sz="6" w:space="0"/>
            </w:tcBorders>
            <w:noWrap w:val="0"/>
            <w:vAlign w:val="center"/>
          </w:tcPr>
          <w:p w14:paraId="1C37A930">
            <w:pPr>
              <w:spacing w:line="360" w:lineRule="auto"/>
              <w:ind w:firstLine="630" w:firstLineChars="300"/>
              <w:rPr>
                <w:rFonts w:hint="eastAsia" w:ascii="宋体" w:hAnsi="宋体" w:cs="宋体"/>
              </w:rPr>
            </w:pPr>
            <w:r>
              <w:rPr>
                <w:rFonts w:hint="eastAsia" w:ascii="宋体" w:hAnsi="宋体" w:cs="宋体"/>
              </w:rPr>
              <w:t>招标文件</w:t>
            </w:r>
          </w:p>
        </w:tc>
        <w:tc>
          <w:tcPr>
            <w:tcW w:w="1068" w:type="dxa"/>
            <w:tcBorders>
              <w:top w:val="single" w:color="auto" w:sz="6" w:space="0"/>
              <w:left w:val="nil"/>
            </w:tcBorders>
            <w:noWrap w:val="0"/>
            <w:vAlign w:val="center"/>
          </w:tcPr>
          <w:p w14:paraId="6F61E590">
            <w:pPr>
              <w:spacing w:line="360" w:lineRule="auto"/>
              <w:jc w:val="center"/>
              <w:rPr>
                <w:rFonts w:hint="eastAsia" w:ascii="宋体" w:hAnsi="宋体" w:cs="宋体"/>
              </w:rPr>
            </w:pPr>
          </w:p>
        </w:tc>
        <w:tc>
          <w:tcPr>
            <w:tcW w:w="3206" w:type="dxa"/>
            <w:tcBorders>
              <w:top w:val="single" w:color="auto" w:sz="6" w:space="0"/>
              <w:right w:val="single" w:color="auto" w:sz="6" w:space="0"/>
            </w:tcBorders>
            <w:noWrap w:val="0"/>
            <w:vAlign w:val="center"/>
          </w:tcPr>
          <w:p w14:paraId="65CA7A3B">
            <w:pPr>
              <w:spacing w:line="360" w:lineRule="auto"/>
              <w:ind w:firstLine="420" w:firstLineChars="200"/>
              <w:rPr>
                <w:rFonts w:hint="eastAsia" w:ascii="宋体" w:hAnsi="宋体" w:cs="宋体"/>
              </w:rPr>
            </w:pPr>
            <w:r>
              <w:rPr>
                <w:rFonts w:hint="eastAsia" w:ascii="宋体" w:hAnsi="宋体" w:cs="宋体"/>
              </w:rPr>
              <w:t>投标文件</w:t>
            </w:r>
          </w:p>
        </w:tc>
      </w:tr>
      <w:tr w14:paraId="16009F42">
        <w:tblPrEx>
          <w:tblCellMar>
            <w:top w:w="0" w:type="dxa"/>
            <w:left w:w="28" w:type="dxa"/>
            <w:bottom w:w="0" w:type="dxa"/>
            <w:right w:w="28" w:type="dxa"/>
          </w:tblCellMar>
        </w:tblPrEx>
        <w:trPr>
          <w:trHeight w:val="234" w:hRule="atLeast"/>
          <w:jc w:val="center"/>
        </w:trPr>
        <w:tc>
          <w:tcPr>
            <w:tcW w:w="935" w:type="dxa"/>
            <w:tcBorders>
              <w:left w:val="single" w:color="auto" w:sz="6" w:space="0"/>
              <w:right w:val="single" w:color="auto" w:sz="6" w:space="0"/>
            </w:tcBorders>
            <w:noWrap w:val="0"/>
            <w:vAlign w:val="center"/>
          </w:tcPr>
          <w:p w14:paraId="3F17746E">
            <w:pPr>
              <w:spacing w:line="360" w:lineRule="auto"/>
              <w:jc w:val="center"/>
              <w:rPr>
                <w:rFonts w:hint="eastAsia" w:ascii="宋体" w:hAnsi="宋体" w:cs="宋体"/>
              </w:rPr>
            </w:pPr>
            <w:r>
              <w:rPr>
                <w:rFonts w:hint="eastAsia" w:ascii="宋体" w:hAnsi="宋体" w:cs="宋体"/>
              </w:rPr>
              <w:t>序号</w:t>
            </w:r>
          </w:p>
        </w:tc>
        <w:tc>
          <w:tcPr>
            <w:tcW w:w="1074" w:type="dxa"/>
            <w:tcBorders>
              <w:top w:val="single" w:color="auto" w:sz="6" w:space="0"/>
              <w:left w:val="nil"/>
              <w:right w:val="single" w:color="auto" w:sz="6" w:space="0"/>
            </w:tcBorders>
            <w:noWrap w:val="0"/>
            <w:vAlign w:val="center"/>
          </w:tcPr>
          <w:p w14:paraId="330FB2DC">
            <w:pPr>
              <w:spacing w:line="360" w:lineRule="auto"/>
              <w:jc w:val="center"/>
              <w:rPr>
                <w:rFonts w:hint="eastAsia" w:ascii="宋体" w:hAnsi="宋体" w:cs="宋体"/>
              </w:rPr>
            </w:pPr>
            <w:r>
              <w:rPr>
                <w:rFonts w:hint="eastAsia" w:ascii="宋体" w:hAnsi="宋体" w:cs="宋体"/>
              </w:rPr>
              <w:t>条目</w:t>
            </w:r>
          </w:p>
        </w:tc>
        <w:tc>
          <w:tcPr>
            <w:tcW w:w="3334" w:type="dxa"/>
            <w:tcBorders>
              <w:top w:val="single" w:color="auto" w:sz="6" w:space="0"/>
              <w:left w:val="nil"/>
              <w:right w:val="single" w:color="auto" w:sz="6" w:space="0"/>
            </w:tcBorders>
            <w:noWrap w:val="0"/>
            <w:vAlign w:val="center"/>
          </w:tcPr>
          <w:p w14:paraId="5275DD8F">
            <w:pPr>
              <w:spacing w:line="360" w:lineRule="auto"/>
              <w:jc w:val="center"/>
              <w:rPr>
                <w:rFonts w:hint="eastAsia" w:ascii="宋体" w:hAnsi="宋体" w:cs="宋体"/>
              </w:rPr>
            </w:pPr>
            <w:r>
              <w:rPr>
                <w:rFonts w:hint="eastAsia" w:ascii="宋体" w:hAnsi="宋体" w:cs="宋体"/>
              </w:rPr>
              <w:t>简要内容</w:t>
            </w:r>
          </w:p>
        </w:tc>
        <w:tc>
          <w:tcPr>
            <w:tcW w:w="1068" w:type="dxa"/>
            <w:tcBorders>
              <w:top w:val="single" w:color="auto" w:sz="6" w:space="0"/>
              <w:left w:val="nil"/>
              <w:right w:val="single" w:color="auto" w:sz="6" w:space="0"/>
            </w:tcBorders>
            <w:noWrap w:val="0"/>
            <w:vAlign w:val="center"/>
          </w:tcPr>
          <w:p w14:paraId="5591FAC9">
            <w:pPr>
              <w:spacing w:line="360" w:lineRule="auto"/>
              <w:jc w:val="center"/>
              <w:rPr>
                <w:rFonts w:hint="eastAsia" w:ascii="宋体" w:hAnsi="宋体" w:cs="宋体"/>
              </w:rPr>
            </w:pPr>
            <w:r>
              <w:rPr>
                <w:rFonts w:hint="eastAsia" w:ascii="宋体" w:hAnsi="宋体" w:cs="宋体"/>
              </w:rPr>
              <w:t>条目</w:t>
            </w:r>
          </w:p>
        </w:tc>
        <w:tc>
          <w:tcPr>
            <w:tcW w:w="3206" w:type="dxa"/>
            <w:tcBorders>
              <w:top w:val="single" w:color="auto" w:sz="6" w:space="0"/>
              <w:left w:val="nil"/>
              <w:right w:val="single" w:color="auto" w:sz="6" w:space="0"/>
            </w:tcBorders>
            <w:noWrap w:val="0"/>
            <w:vAlign w:val="center"/>
          </w:tcPr>
          <w:p w14:paraId="24D3098A">
            <w:pPr>
              <w:spacing w:line="360" w:lineRule="auto"/>
              <w:jc w:val="center"/>
              <w:rPr>
                <w:rFonts w:hint="eastAsia" w:ascii="宋体" w:hAnsi="宋体" w:cs="宋体"/>
              </w:rPr>
            </w:pPr>
            <w:r>
              <w:rPr>
                <w:rFonts w:hint="eastAsia" w:ascii="宋体" w:hAnsi="宋体" w:cs="宋体"/>
              </w:rPr>
              <w:t>简要内容</w:t>
            </w:r>
          </w:p>
        </w:tc>
      </w:tr>
      <w:tr w14:paraId="1FFC4A82">
        <w:tblPrEx>
          <w:tblCellMar>
            <w:top w:w="0" w:type="dxa"/>
            <w:left w:w="28" w:type="dxa"/>
            <w:bottom w:w="0" w:type="dxa"/>
            <w:right w:w="28" w:type="dxa"/>
          </w:tblCellMar>
        </w:tblPrEx>
        <w:trPr>
          <w:trHeight w:val="104" w:hRule="atLeast"/>
          <w:jc w:val="center"/>
        </w:trPr>
        <w:tc>
          <w:tcPr>
            <w:tcW w:w="935" w:type="dxa"/>
            <w:tcBorders>
              <w:top w:val="single" w:color="auto" w:sz="6" w:space="0"/>
              <w:left w:val="single" w:color="auto" w:sz="6" w:space="0"/>
              <w:bottom w:val="single" w:color="auto" w:sz="6" w:space="0"/>
            </w:tcBorders>
            <w:noWrap w:val="0"/>
            <w:vAlign w:val="center"/>
          </w:tcPr>
          <w:p w14:paraId="156912A5">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0FEABE55">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4CD0B1D8">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1D48AFD4">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6E9C46E0">
            <w:pPr>
              <w:spacing w:line="360" w:lineRule="auto"/>
              <w:jc w:val="center"/>
              <w:rPr>
                <w:rFonts w:hint="eastAsia" w:ascii="宋体" w:hAnsi="宋体" w:cs="宋体"/>
              </w:rPr>
            </w:pPr>
          </w:p>
        </w:tc>
      </w:tr>
    </w:tbl>
    <w:p w14:paraId="39ACC961">
      <w:pPr>
        <w:spacing w:line="520" w:lineRule="exact"/>
        <w:ind w:firstLine="420"/>
        <w:rPr>
          <w:rFonts w:hint="eastAsia" w:ascii="仿宋" w:hAnsi="仿宋" w:eastAsia="仿宋" w:cs="宋体"/>
        </w:rPr>
      </w:pPr>
      <w:r>
        <w:rPr>
          <w:rFonts w:hint="eastAsia" w:ascii="仿宋" w:hAnsi="仿宋" w:eastAsia="仿宋" w:cs="宋体"/>
        </w:rPr>
        <w:t>注：</w:t>
      </w:r>
      <w:r>
        <w:rPr>
          <w:rFonts w:hint="eastAsia" w:ascii="仿宋" w:hAnsi="仿宋" w:eastAsia="仿宋" w:cs="宋体"/>
          <w:lang w:eastAsia="zh-CN"/>
        </w:rPr>
        <w:t>投标人</w:t>
      </w:r>
      <w:r>
        <w:rPr>
          <w:rFonts w:hint="eastAsia" w:ascii="仿宋" w:hAnsi="仿宋" w:eastAsia="仿宋" w:cs="宋体"/>
        </w:rPr>
        <w:t>要将投标文件和招标文件的差异之处汇集成表。技术部分和商务部分要单独列表。</w:t>
      </w:r>
    </w:p>
    <w:sectPr>
      <w:footerReference r:id="rId5" w:type="default"/>
      <w:pgSz w:w="11906" w:h="16838"/>
      <w:pgMar w:top="1440" w:right="1440" w:bottom="1440" w:left="1440"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7CD01">
    <w:pPr>
      <w:pStyle w:val="61"/>
      <w:jc w:val="center"/>
      <w:rPr>
        <w:rStyle w:val="34"/>
        <w:rFonts w:hint="eastAsia"/>
      </w:rPr>
    </w:pPr>
    <w:r>
      <w:rPr>
        <w:rStyle w:val="34"/>
      </w:rP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8E8E466"/>
                      </w:txbxContent>
                    </wps:txbx>
                    <wps:bodyPr lIns="0" tIns="0" rIns="0" bIns="0" upright="1"/>
                  </wps:wsp>
                </a:graphicData>
              </a:graphic>
            </wp:anchor>
          </w:drawing>
        </mc:Choice>
        <mc:Fallback>
          <w:pict>
            <v:rect id="文本框 1" o:spid="_x0000_s1026" o:spt="1" style="position:absolute;left:0pt;margin-top:0pt;height:144pt;width:144pt;mso-position-horizontal:center;mso-position-horizontal-relative:margin;z-index:251661312;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a2Y8tMAAAAFAQAA&#10;DwAAAAAAAAABACAAAAAiAAAAZHJzL2Rvd25yZXYueG1sUEsBAhQAFAAAAAgAh07iQPmbWcasAQAA&#10;YQMAAA4AAAAAAAAAAQAgAAAAIgEAAGRycy9lMm9Eb2MueG1sUEsFBgAAAAAGAAYAWQEAAEAFAAAA&#10;AA==&#10;">
              <v:fill on="f" focussize="0,0"/>
              <v:stroke on="f"/>
              <v:imagedata o:title=""/>
              <o:lock v:ext="edit" aspectratio="f"/>
              <v:textbox inset="0mm,0mm,0mm,0mm">
                <w:txbxContent>
                  <w:p w14:paraId="28E8E466"/>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B2AE8">
    <w:pPr>
      <w:jc w:val="center"/>
      <w:rPr>
        <w:rStyle w:val="34"/>
      </w:rPr>
    </w:pPr>
    <w: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DBF421C">
                          <w:pPr>
                            <w:pStyle w:val="21"/>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39"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za80zLAQAAkwMAAA4AAABkcnMvZTJvRG9jLnhtbK1TS27bMBDdF8gd&#10;CO5jSW5RuI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QFZ05YevPzj+/nn7/P&#10;v76x1++SRV3Akk4+hgeYMqQw6e0bsOlLSlg/2Hq62Kr6yCRtFqvlapWT45Jqc0I42dP1ABjvlLcs&#10;BRUHerfBTnH8gHE8Oh9J3YxLq/O32pixmnayRHMklqLY7/qJ7c7XJ5JJU0/grYevnHX05hV3NOKc&#10;mXtHlqbxmAOYg90cCCfpYsVHXhjeHyK1H7ilZmOHiQO91aBumqs0DH/nw6mnf2n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A82vNMywEAAJMDAAAOAAAAAAAAAAEAIAAAAB8BAABkcnMvZTJv&#10;RG9jLnhtbFBLBQYAAAAABgAGAFkBAABcBQAAAAA=&#10;">
              <v:fill on="f" focussize="0,0"/>
              <v:stroke on="f"/>
              <v:imagedata o:title=""/>
              <o:lock v:ext="edit" aspectratio="f"/>
              <v:textbox inset="0mm,0mm,0mm,0mm" style="mso-fit-shape-to-text:t;">
                <w:txbxContent>
                  <w:p w14:paraId="6DBF421C">
                    <w:pPr>
                      <w:pStyle w:val="21"/>
                    </w:pPr>
                    <w:r>
                      <w:fldChar w:fldCharType="begin"/>
                    </w:r>
                    <w:r>
                      <w:instrText xml:space="preserve"> PAGE  \* MERGEFORMAT </w:instrText>
                    </w:r>
                    <w:r>
                      <w:fldChar w:fldCharType="separate"/>
                    </w:r>
                    <w:r>
                      <w:t>1</w:t>
                    </w:r>
                    <w:r>
                      <w:fldChar w:fldCharType="end"/>
                    </w:r>
                  </w:p>
                </w:txbxContent>
              </v:textbox>
            </v:rect>
          </w:pict>
        </mc:Fallback>
      </mc:AlternateContent>
    </w:r>
    <w:r>
      <w:rPr>
        <w:rStyle w:val="34"/>
      </w:rPr>
      <mc:AlternateContent>
        <mc:Choice Requires="wps">
          <w:drawing>
            <wp:anchor distT="0" distB="0" distL="0" distR="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0B346AB"/>
                      </w:txbxContent>
                    </wps:txbx>
                    <wps:bodyPr lIns="0" tIns="0" rIns="0" bIns="0" upright="1"/>
                  </wps:wsp>
                </a:graphicData>
              </a:graphic>
            </wp:anchor>
          </w:drawing>
        </mc:Choice>
        <mc:Fallback>
          <w:pict>
            <v:rect id="文本框 2" o:spid="_x0000_s1026" o:spt="1" style="position:absolute;left:0pt;margin-top:0pt;height:144pt;width:144pt;mso-position-horizontal:center;mso-position-horizontal-relative:margin;z-index:251663360;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ZrZjy0wAAAAUB&#10;AAAPAAAAAAAAAAEAIAAAACIAAABkcnMvZG93bnJldi54bWxQSwECFAAUAAAACACHTuJAP0x9d64B&#10;AABhAwAADgAAAAAAAAABACAAAAAiAQAAZHJzL2Uyb0RvYy54bWxQSwUGAAAAAAYABgBZAQAAQgUA&#10;AAAA&#10;">
              <v:fill on="f" focussize="0,0"/>
              <v:stroke on="f"/>
              <v:imagedata o:title=""/>
              <o:lock v:ext="edit" aspectratio="f"/>
              <v:textbox inset="0mm,0mm,0mm,0mm">
                <w:txbxContent>
                  <w:p w14:paraId="50B346AB"/>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2C080">
    <w:pPr>
      <w:pStyle w:val="61"/>
      <w:jc w:val="center"/>
      <w:rPr>
        <w:rStyle w:val="34"/>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23C2F">
                          <w:pPr>
                            <w:pStyle w:val="2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723C2F">
                    <w:pPr>
                      <w:pStyle w:val="21"/>
                    </w:pPr>
                    <w:r>
                      <w:fldChar w:fldCharType="begin"/>
                    </w:r>
                    <w:r>
                      <w:instrText xml:space="preserve"> PAGE  \* MERGEFORMAT </w:instrText>
                    </w:r>
                    <w:r>
                      <w:fldChar w:fldCharType="separate"/>
                    </w:r>
                    <w:r>
                      <w:t>3</w:t>
                    </w:r>
                    <w:r>
                      <w:fldChar w:fldCharType="end"/>
                    </w:r>
                  </w:p>
                </w:txbxContent>
              </v:textbox>
            </v:shape>
          </w:pict>
        </mc:Fallback>
      </mc:AlternateContent>
    </w:r>
    <w:r>
      <w:rPr>
        <w:rStyle w:val="3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470613"/>
                      </w:txbxContent>
                    </wps:txbx>
                    <wps:bodyPr lIns="0" tIns="0" rIns="0" bIns="0" upright="1"/>
                  </wps:wsp>
                </a:graphicData>
              </a:graphic>
            </wp:anchor>
          </w:drawing>
        </mc:Choice>
        <mc:Fallback>
          <w:pict>
            <v:shape id="文本框 1"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WaT2&#10;QNIAAAAFAQAADwAAAAAAAAABACAAAAAiAAAAZHJzL2Rvd25yZXYueG1sUEsBAhQAFAAAAAgAh07i&#10;QC4PcXy2AQAAdAMAAA4AAAAAAAAAAQAgAAAAIQEAAGRycy9lMm9Eb2MueG1sUEsFBgAAAAAGAAYA&#10;WQEAAEkFAAAAAA==&#10;">
              <v:fill on="f" focussize="0,0"/>
              <v:stroke on="f"/>
              <v:imagedata o:title=""/>
              <o:lock v:ext="edit" aspectratio="f"/>
              <v:textbox inset="0mm,0mm,0mm,0mm">
                <w:txbxContent>
                  <w:p w14:paraId="57470613"/>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hideSpellingErrors/>
  <w:documentProtection w:enforcement="0"/>
  <w:defaultTabStop w:val="4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4M2NkYjczZjQ4M2Q1YmVmNDZjOTQ3YzRiNDMyOWMifQ=="/>
  </w:docVars>
  <w:rsids>
    <w:rsidRoot w:val="00CF6F49"/>
    <w:rsid w:val="00013D0C"/>
    <w:rsid w:val="00033000"/>
    <w:rsid w:val="000338F3"/>
    <w:rsid w:val="00036E36"/>
    <w:rsid w:val="00041069"/>
    <w:rsid w:val="00061991"/>
    <w:rsid w:val="000675B9"/>
    <w:rsid w:val="000738FD"/>
    <w:rsid w:val="000850A5"/>
    <w:rsid w:val="00087DAC"/>
    <w:rsid w:val="000C0F61"/>
    <w:rsid w:val="000C3B8E"/>
    <w:rsid w:val="000E5F8E"/>
    <w:rsid w:val="000F3EA8"/>
    <w:rsid w:val="00110A26"/>
    <w:rsid w:val="00112265"/>
    <w:rsid w:val="00133F6F"/>
    <w:rsid w:val="00142CB1"/>
    <w:rsid w:val="001523A0"/>
    <w:rsid w:val="00162615"/>
    <w:rsid w:val="001769A6"/>
    <w:rsid w:val="0018142C"/>
    <w:rsid w:val="00183CC7"/>
    <w:rsid w:val="00191F96"/>
    <w:rsid w:val="0019724D"/>
    <w:rsid w:val="001A2CC8"/>
    <w:rsid w:val="001C0418"/>
    <w:rsid w:val="001C2612"/>
    <w:rsid w:val="001D5D02"/>
    <w:rsid w:val="001E555F"/>
    <w:rsid w:val="001F03FE"/>
    <w:rsid w:val="0020210C"/>
    <w:rsid w:val="002070B8"/>
    <w:rsid w:val="00217794"/>
    <w:rsid w:val="00225F67"/>
    <w:rsid w:val="00233099"/>
    <w:rsid w:val="00234A51"/>
    <w:rsid w:val="0024485C"/>
    <w:rsid w:val="00246FBB"/>
    <w:rsid w:val="00250054"/>
    <w:rsid w:val="00270373"/>
    <w:rsid w:val="00272884"/>
    <w:rsid w:val="002739D6"/>
    <w:rsid w:val="002762C9"/>
    <w:rsid w:val="0028126E"/>
    <w:rsid w:val="002828C7"/>
    <w:rsid w:val="002A491F"/>
    <w:rsid w:val="002B63F8"/>
    <w:rsid w:val="002D22BE"/>
    <w:rsid w:val="002E1376"/>
    <w:rsid w:val="00312159"/>
    <w:rsid w:val="00323AFA"/>
    <w:rsid w:val="0032501A"/>
    <w:rsid w:val="00355391"/>
    <w:rsid w:val="00385A1C"/>
    <w:rsid w:val="00394E2B"/>
    <w:rsid w:val="003A5ACC"/>
    <w:rsid w:val="003B42DB"/>
    <w:rsid w:val="003C2596"/>
    <w:rsid w:val="003C39B9"/>
    <w:rsid w:val="003C6988"/>
    <w:rsid w:val="003F4074"/>
    <w:rsid w:val="003F4173"/>
    <w:rsid w:val="00410A0D"/>
    <w:rsid w:val="004201A5"/>
    <w:rsid w:val="00450FBD"/>
    <w:rsid w:val="004520BB"/>
    <w:rsid w:val="0049538F"/>
    <w:rsid w:val="004A5072"/>
    <w:rsid w:val="004A50C5"/>
    <w:rsid w:val="004D1108"/>
    <w:rsid w:val="004E20A9"/>
    <w:rsid w:val="004E63F4"/>
    <w:rsid w:val="00513E68"/>
    <w:rsid w:val="005363B5"/>
    <w:rsid w:val="00537B21"/>
    <w:rsid w:val="0055338A"/>
    <w:rsid w:val="0057791D"/>
    <w:rsid w:val="005852DE"/>
    <w:rsid w:val="00587153"/>
    <w:rsid w:val="00590071"/>
    <w:rsid w:val="005B454B"/>
    <w:rsid w:val="005C0548"/>
    <w:rsid w:val="005C0F03"/>
    <w:rsid w:val="005F246D"/>
    <w:rsid w:val="00636406"/>
    <w:rsid w:val="00652FE2"/>
    <w:rsid w:val="00682080"/>
    <w:rsid w:val="006B78BB"/>
    <w:rsid w:val="006C5D66"/>
    <w:rsid w:val="006D2E93"/>
    <w:rsid w:val="006D7251"/>
    <w:rsid w:val="006F660D"/>
    <w:rsid w:val="00701E1D"/>
    <w:rsid w:val="007152B8"/>
    <w:rsid w:val="007346DA"/>
    <w:rsid w:val="00763610"/>
    <w:rsid w:val="007720D6"/>
    <w:rsid w:val="00782A08"/>
    <w:rsid w:val="007C22CA"/>
    <w:rsid w:val="007E10FC"/>
    <w:rsid w:val="007E7468"/>
    <w:rsid w:val="007F43D2"/>
    <w:rsid w:val="00811FEC"/>
    <w:rsid w:val="00817156"/>
    <w:rsid w:val="00821412"/>
    <w:rsid w:val="008364B5"/>
    <w:rsid w:val="00871012"/>
    <w:rsid w:val="008718EE"/>
    <w:rsid w:val="008735FB"/>
    <w:rsid w:val="008951D3"/>
    <w:rsid w:val="00895471"/>
    <w:rsid w:val="008A099B"/>
    <w:rsid w:val="008A6DA8"/>
    <w:rsid w:val="008A7AB1"/>
    <w:rsid w:val="008C4897"/>
    <w:rsid w:val="008E3E86"/>
    <w:rsid w:val="00902881"/>
    <w:rsid w:val="009044ED"/>
    <w:rsid w:val="00924C8E"/>
    <w:rsid w:val="0095003C"/>
    <w:rsid w:val="009504E9"/>
    <w:rsid w:val="009544FD"/>
    <w:rsid w:val="00962068"/>
    <w:rsid w:val="00963360"/>
    <w:rsid w:val="00967707"/>
    <w:rsid w:val="00971AD8"/>
    <w:rsid w:val="00975DDD"/>
    <w:rsid w:val="00977898"/>
    <w:rsid w:val="009A2CA9"/>
    <w:rsid w:val="009A56ED"/>
    <w:rsid w:val="009A65D7"/>
    <w:rsid w:val="009B52C9"/>
    <w:rsid w:val="009C59F3"/>
    <w:rsid w:val="009C642B"/>
    <w:rsid w:val="00A01F6E"/>
    <w:rsid w:val="00A2609A"/>
    <w:rsid w:val="00A26C07"/>
    <w:rsid w:val="00A312A7"/>
    <w:rsid w:val="00A40A60"/>
    <w:rsid w:val="00A4252C"/>
    <w:rsid w:val="00A43529"/>
    <w:rsid w:val="00A5014E"/>
    <w:rsid w:val="00A52DDA"/>
    <w:rsid w:val="00A67118"/>
    <w:rsid w:val="00A72563"/>
    <w:rsid w:val="00A7416B"/>
    <w:rsid w:val="00A74E6C"/>
    <w:rsid w:val="00A75E41"/>
    <w:rsid w:val="00AA2639"/>
    <w:rsid w:val="00AD0AC7"/>
    <w:rsid w:val="00AD1AAB"/>
    <w:rsid w:val="00AE408B"/>
    <w:rsid w:val="00AF0279"/>
    <w:rsid w:val="00AF04C7"/>
    <w:rsid w:val="00B37041"/>
    <w:rsid w:val="00B4004F"/>
    <w:rsid w:val="00B4093B"/>
    <w:rsid w:val="00B706FD"/>
    <w:rsid w:val="00B71687"/>
    <w:rsid w:val="00BB3506"/>
    <w:rsid w:val="00BC06ED"/>
    <w:rsid w:val="00BD5C38"/>
    <w:rsid w:val="00BF062F"/>
    <w:rsid w:val="00BF1B09"/>
    <w:rsid w:val="00BF52B0"/>
    <w:rsid w:val="00C00E5F"/>
    <w:rsid w:val="00C07E88"/>
    <w:rsid w:val="00C14DB8"/>
    <w:rsid w:val="00C17C62"/>
    <w:rsid w:val="00C201FD"/>
    <w:rsid w:val="00C32002"/>
    <w:rsid w:val="00C334F5"/>
    <w:rsid w:val="00C35401"/>
    <w:rsid w:val="00C35868"/>
    <w:rsid w:val="00C42D89"/>
    <w:rsid w:val="00C57A21"/>
    <w:rsid w:val="00C67850"/>
    <w:rsid w:val="00C90166"/>
    <w:rsid w:val="00C921B6"/>
    <w:rsid w:val="00CA3B3F"/>
    <w:rsid w:val="00CC4673"/>
    <w:rsid w:val="00CD7139"/>
    <w:rsid w:val="00CE3EFA"/>
    <w:rsid w:val="00CE7201"/>
    <w:rsid w:val="00CF594E"/>
    <w:rsid w:val="00CF6F49"/>
    <w:rsid w:val="00D1024B"/>
    <w:rsid w:val="00D43D2B"/>
    <w:rsid w:val="00D910DA"/>
    <w:rsid w:val="00DB0474"/>
    <w:rsid w:val="00DB2989"/>
    <w:rsid w:val="00DC20B7"/>
    <w:rsid w:val="00DC2BA3"/>
    <w:rsid w:val="00DC41CD"/>
    <w:rsid w:val="00E02DFA"/>
    <w:rsid w:val="00E50D93"/>
    <w:rsid w:val="00E73383"/>
    <w:rsid w:val="00E73C28"/>
    <w:rsid w:val="00E73F08"/>
    <w:rsid w:val="00E75D46"/>
    <w:rsid w:val="00E8037D"/>
    <w:rsid w:val="00E868F8"/>
    <w:rsid w:val="00EB5CAF"/>
    <w:rsid w:val="00EC17E7"/>
    <w:rsid w:val="00EF2D4E"/>
    <w:rsid w:val="00EF6149"/>
    <w:rsid w:val="00EF6757"/>
    <w:rsid w:val="00F018B6"/>
    <w:rsid w:val="00F122F6"/>
    <w:rsid w:val="00F1366D"/>
    <w:rsid w:val="00F15CD2"/>
    <w:rsid w:val="00F22D1C"/>
    <w:rsid w:val="00F34B0B"/>
    <w:rsid w:val="00F54DF0"/>
    <w:rsid w:val="00F71934"/>
    <w:rsid w:val="00F77C61"/>
    <w:rsid w:val="00F93F57"/>
    <w:rsid w:val="00FA24B3"/>
    <w:rsid w:val="00FA4FA2"/>
    <w:rsid w:val="00FE3B71"/>
    <w:rsid w:val="00FF2D0E"/>
    <w:rsid w:val="012E0D91"/>
    <w:rsid w:val="022C0BE1"/>
    <w:rsid w:val="02557C87"/>
    <w:rsid w:val="02A3155A"/>
    <w:rsid w:val="03520FBF"/>
    <w:rsid w:val="04092691"/>
    <w:rsid w:val="040A715B"/>
    <w:rsid w:val="04974587"/>
    <w:rsid w:val="04BF4C57"/>
    <w:rsid w:val="04C462FB"/>
    <w:rsid w:val="05A766D5"/>
    <w:rsid w:val="05D80996"/>
    <w:rsid w:val="06752D5E"/>
    <w:rsid w:val="071A291B"/>
    <w:rsid w:val="07A64AE1"/>
    <w:rsid w:val="07B7647D"/>
    <w:rsid w:val="07C66477"/>
    <w:rsid w:val="07E25A04"/>
    <w:rsid w:val="08034550"/>
    <w:rsid w:val="080414EE"/>
    <w:rsid w:val="082C2EB6"/>
    <w:rsid w:val="082F4DFA"/>
    <w:rsid w:val="0838773D"/>
    <w:rsid w:val="08A70E02"/>
    <w:rsid w:val="08B04754"/>
    <w:rsid w:val="08FD605F"/>
    <w:rsid w:val="09781C69"/>
    <w:rsid w:val="097B396B"/>
    <w:rsid w:val="0A083831"/>
    <w:rsid w:val="0A5B5D10"/>
    <w:rsid w:val="0C8573BB"/>
    <w:rsid w:val="0D0572E2"/>
    <w:rsid w:val="0D0B4931"/>
    <w:rsid w:val="0D2E4618"/>
    <w:rsid w:val="0D31309F"/>
    <w:rsid w:val="0D5E0930"/>
    <w:rsid w:val="0D7B6F3D"/>
    <w:rsid w:val="0DC51F28"/>
    <w:rsid w:val="0DFE7212"/>
    <w:rsid w:val="0E840CB7"/>
    <w:rsid w:val="0ED111B9"/>
    <w:rsid w:val="0ED15794"/>
    <w:rsid w:val="0F0F5767"/>
    <w:rsid w:val="0F1E71CE"/>
    <w:rsid w:val="0F3D4B01"/>
    <w:rsid w:val="0F404F48"/>
    <w:rsid w:val="0F8B4398"/>
    <w:rsid w:val="0FC72972"/>
    <w:rsid w:val="10030D22"/>
    <w:rsid w:val="109C2F25"/>
    <w:rsid w:val="10DC1574"/>
    <w:rsid w:val="112235C2"/>
    <w:rsid w:val="11AB481D"/>
    <w:rsid w:val="11BD13A5"/>
    <w:rsid w:val="120E69DB"/>
    <w:rsid w:val="12E110C3"/>
    <w:rsid w:val="13B92B25"/>
    <w:rsid w:val="14915AB5"/>
    <w:rsid w:val="14E04115"/>
    <w:rsid w:val="15393709"/>
    <w:rsid w:val="15EB3A81"/>
    <w:rsid w:val="15F33648"/>
    <w:rsid w:val="161731D1"/>
    <w:rsid w:val="16492AAC"/>
    <w:rsid w:val="17222EAE"/>
    <w:rsid w:val="17234B3C"/>
    <w:rsid w:val="174F0C42"/>
    <w:rsid w:val="17E5229C"/>
    <w:rsid w:val="180715CC"/>
    <w:rsid w:val="18D26CD5"/>
    <w:rsid w:val="18DA283C"/>
    <w:rsid w:val="18E611E1"/>
    <w:rsid w:val="19234583"/>
    <w:rsid w:val="1A1569E9"/>
    <w:rsid w:val="1A243254"/>
    <w:rsid w:val="1AE72AED"/>
    <w:rsid w:val="1C5254BF"/>
    <w:rsid w:val="1CFA12B9"/>
    <w:rsid w:val="1CFC0B0C"/>
    <w:rsid w:val="1D4E55A7"/>
    <w:rsid w:val="1D5C3353"/>
    <w:rsid w:val="1DA11B98"/>
    <w:rsid w:val="1DC6355F"/>
    <w:rsid w:val="1DCE5BCC"/>
    <w:rsid w:val="1E537319"/>
    <w:rsid w:val="1E5C414D"/>
    <w:rsid w:val="20784E15"/>
    <w:rsid w:val="20C35284"/>
    <w:rsid w:val="20D03CE6"/>
    <w:rsid w:val="21366A7E"/>
    <w:rsid w:val="213F3B84"/>
    <w:rsid w:val="21D73DBD"/>
    <w:rsid w:val="225B679C"/>
    <w:rsid w:val="226D1744"/>
    <w:rsid w:val="22935AE9"/>
    <w:rsid w:val="2325284A"/>
    <w:rsid w:val="2327091D"/>
    <w:rsid w:val="237302E3"/>
    <w:rsid w:val="23BE0432"/>
    <w:rsid w:val="24003335"/>
    <w:rsid w:val="24514225"/>
    <w:rsid w:val="24932828"/>
    <w:rsid w:val="257F2008"/>
    <w:rsid w:val="25AA21EA"/>
    <w:rsid w:val="270A7185"/>
    <w:rsid w:val="27C623BA"/>
    <w:rsid w:val="293D353D"/>
    <w:rsid w:val="293D6BFB"/>
    <w:rsid w:val="2994431C"/>
    <w:rsid w:val="2A252FF6"/>
    <w:rsid w:val="2A562929"/>
    <w:rsid w:val="2AC44D5F"/>
    <w:rsid w:val="2ACD19B4"/>
    <w:rsid w:val="2B724B56"/>
    <w:rsid w:val="2B7A6E44"/>
    <w:rsid w:val="2C78619D"/>
    <w:rsid w:val="2C884632"/>
    <w:rsid w:val="2FAC0C09"/>
    <w:rsid w:val="2FB10C54"/>
    <w:rsid w:val="2FE06FDD"/>
    <w:rsid w:val="2FF429A3"/>
    <w:rsid w:val="30C46377"/>
    <w:rsid w:val="317C04DD"/>
    <w:rsid w:val="318B6016"/>
    <w:rsid w:val="31AA329C"/>
    <w:rsid w:val="3235361D"/>
    <w:rsid w:val="323739ED"/>
    <w:rsid w:val="32C95D77"/>
    <w:rsid w:val="33E16D1D"/>
    <w:rsid w:val="342310E4"/>
    <w:rsid w:val="34256C5C"/>
    <w:rsid w:val="34D67F04"/>
    <w:rsid w:val="34F27058"/>
    <w:rsid w:val="35203AD9"/>
    <w:rsid w:val="35C209EC"/>
    <w:rsid w:val="36233D62"/>
    <w:rsid w:val="36782A6C"/>
    <w:rsid w:val="36911A1F"/>
    <w:rsid w:val="36FA6BAB"/>
    <w:rsid w:val="376B702A"/>
    <w:rsid w:val="37974FD7"/>
    <w:rsid w:val="382C1457"/>
    <w:rsid w:val="383257E5"/>
    <w:rsid w:val="38BC0217"/>
    <w:rsid w:val="39757442"/>
    <w:rsid w:val="39A34F54"/>
    <w:rsid w:val="3AB962FE"/>
    <w:rsid w:val="3B2577A9"/>
    <w:rsid w:val="3B6224F2"/>
    <w:rsid w:val="3C5B6581"/>
    <w:rsid w:val="3C5E535B"/>
    <w:rsid w:val="3C5F0234"/>
    <w:rsid w:val="3C984A2F"/>
    <w:rsid w:val="3D715D41"/>
    <w:rsid w:val="3E830785"/>
    <w:rsid w:val="3ECC2AA4"/>
    <w:rsid w:val="3EF835C8"/>
    <w:rsid w:val="401008FA"/>
    <w:rsid w:val="402E02A7"/>
    <w:rsid w:val="40700DAC"/>
    <w:rsid w:val="41DD486A"/>
    <w:rsid w:val="42060EF0"/>
    <w:rsid w:val="42553A22"/>
    <w:rsid w:val="42AD2BBA"/>
    <w:rsid w:val="42AE19DD"/>
    <w:rsid w:val="43192398"/>
    <w:rsid w:val="43831019"/>
    <w:rsid w:val="445769C9"/>
    <w:rsid w:val="445826E4"/>
    <w:rsid w:val="44DB3950"/>
    <w:rsid w:val="45291FC0"/>
    <w:rsid w:val="45DC7F9A"/>
    <w:rsid w:val="45EF7078"/>
    <w:rsid w:val="465F4B2D"/>
    <w:rsid w:val="48013092"/>
    <w:rsid w:val="48243B68"/>
    <w:rsid w:val="488B0DB2"/>
    <w:rsid w:val="49303CF7"/>
    <w:rsid w:val="49652363"/>
    <w:rsid w:val="4A0F3952"/>
    <w:rsid w:val="4B2D7F8F"/>
    <w:rsid w:val="4B5123FB"/>
    <w:rsid w:val="4BEF7CE2"/>
    <w:rsid w:val="4BF278C2"/>
    <w:rsid w:val="4C4C0F0B"/>
    <w:rsid w:val="4C7622A1"/>
    <w:rsid w:val="4C8C5620"/>
    <w:rsid w:val="4D130666"/>
    <w:rsid w:val="4D551EB6"/>
    <w:rsid w:val="4D711E4D"/>
    <w:rsid w:val="4DCD1A36"/>
    <w:rsid w:val="4F3B7E1F"/>
    <w:rsid w:val="4F8151E4"/>
    <w:rsid w:val="4FA879D9"/>
    <w:rsid w:val="50AF7567"/>
    <w:rsid w:val="50B138A7"/>
    <w:rsid w:val="5118661C"/>
    <w:rsid w:val="51263104"/>
    <w:rsid w:val="518E7838"/>
    <w:rsid w:val="52974503"/>
    <w:rsid w:val="534F73A8"/>
    <w:rsid w:val="53982AFD"/>
    <w:rsid w:val="54B44908"/>
    <w:rsid w:val="54BA15B2"/>
    <w:rsid w:val="54FC355F"/>
    <w:rsid w:val="55831A74"/>
    <w:rsid w:val="57F8018B"/>
    <w:rsid w:val="58205D3B"/>
    <w:rsid w:val="587C547D"/>
    <w:rsid w:val="588D5689"/>
    <w:rsid w:val="590B1FC3"/>
    <w:rsid w:val="59183990"/>
    <w:rsid w:val="59EE55ED"/>
    <w:rsid w:val="5A004A30"/>
    <w:rsid w:val="5A4E1134"/>
    <w:rsid w:val="5A6614B3"/>
    <w:rsid w:val="5A933E27"/>
    <w:rsid w:val="5AF42517"/>
    <w:rsid w:val="5C322624"/>
    <w:rsid w:val="5C5F68AD"/>
    <w:rsid w:val="5C71038F"/>
    <w:rsid w:val="5C82259C"/>
    <w:rsid w:val="5E113BD7"/>
    <w:rsid w:val="5E323EA3"/>
    <w:rsid w:val="5E632DDB"/>
    <w:rsid w:val="5EA25CCA"/>
    <w:rsid w:val="5EF552A7"/>
    <w:rsid w:val="5F976889"/>
    <w:rsid w:val="60123C27"/>
    <w:rsid w:val="603B318E"/>
    <w:rsid w:val="60FB119E"/>
    <w:rsid w:val="611759A9"/>
    <w:rsid w:val="621B179A"/>
    <w:rsid w:val="622D39F5"/>
    <w:rsid w:val="626B258D"/>
    <w:rsid w:val="63A63296"/>
    <w:rsid w:val="642B3543"/>
    <w:rsid w:val="6437288F"/>
    <w:rsid w:val="64CF55AC"/>
    <w:rsid w:val="64FB04B9"/>
    <w:rsid w:val="6525608D"/>
    <w:rsid w:val="652A7C9A"/>
    <w:rsid w:val="65FA646A"/>
    <w:rsid w:val="679766C0"/>
    <w:rsid w:val="68092E92"/>
    <w:rsid w:val="680D4CAA"/>
    <w:rsid w:val="68F17EB2"/>
    <w:rsid w:val="69287E0E"/>
    <w:rsid w:val="694B635A"/>
    <w:rsid w:val="6985092D"/>
    <w:rsid w:val="699E4367"/>
    <w:rsid w:val="6ACF7B20"/>
    <w:rsid w:val="6AD95A7D"/>
    <w:rsid w:val="6AF26B3F"/>
    <w:rsid w:val="6B3D58FF"/>
    <w:rsid w:val="6B7C6425"/>
    <w:rsid w:val="6BA408F4"/>
    <w:rsid w:val="6C6E796C"/>
    <w:rsid w:val="6C7D068A"/>
    <w:rsid w:val="6CBD1451"/>
    <w:rsid w:val="6D91263F"/>
    <w:rsid w:val="6E816588"/>
    <w:rsid w:val="6FCB7806"/>
    <w:rsid w:val="6FD51B62"/>
    <w:rsid w:val="704A2F79"/>
    <w:rsid w:val="70F24DF4"/>
    <w:rsid w:val="70F50EA9"/>
    <w:rsid w:val="71593474"/>
    <w:rsid w:val="716D3419"/>
    <w:rsid w:val="71714531"/>
    <w:rsid w:val="71940950"/>
    <w:rsid w:val="722D4D79"/>
    <w:rsid w:val="72824E1C"/>
    <w:rsid w:val="729D74FA"/>
    <w:rsid w:val="733369BC"/>
    <w:rsid w:val="73374439"/>
    <w:rsid w:val="73740A39"/>
    <w:rsid w:val="74C741F1"/>
    <w:rsid w:val="74F43CFB"/>
    <w:rsid w:val="75F111BF"/>
    <w:rsid w:val="760E128B"/>
    <w:rsid w:val="763149BF"/>
    <w:rsid w:val="7655136F"/>
    <w:rsid w:val="766E1C96"/>
    <w:rsid w:val="766F5938"/>
    <w:rsid w:val="768510B5"/>
    <w:rsid w:val="76876CD5"/>
    <w:rsid w:val="76A84CD5"/>
    <w:rsid w:val="770B3462"/>
    <w:rsid w:val="77781C09"/>
    <w:rsid w:val="781918E0"/>
    <w:rsid w:val="79683B38"/>
    <w:rsid w:val="79A750A0"/>
    <w:rsid w:val="79BD0A91"/>
    <w:rsid w:val="7ACF09AD"/>
    <w:rsid w:val="7B8E4BEC"/>
    <w:rsid w:val="7C0028A7"/>
    <w:rsid w:val="7C105077"/>
    <w:rsid w:val="7C693446"/>
    <w:rsid w:val="7C7B7F6A"/>
    <w:rsid w:val="7C800E24"/>
    <w:rsid w:val="7D011CA4"/>
    <w:rsid w:val="7D0E4000"/>
    <w:rsid w:val="7E89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4">
    <w:name w:val="heading 1"/>
    <w:basedOn w:val="1"/>
    <w:next w:val="1"/>
    <w:link w:val="45"/>
    <w:qFormat/>
    <w:uiPriority w:val="0"/>
    <w:pPr>
      <w:keepNext/>
      <w:keepLines/>
      <w:adjustRightInd w:val="0"/>
      <w:spacing w:line="360" w:lineRule="auto"/>
      <w:outlineLvl w:val="0"/>
    </w:pPr>
    <w:rPr>
      <w:rFonts w:ascii="宋体"/>
      <w:b/>
      <w:kern w:val="44"/>
      <w:sz w:val="44"/>
      <w:szCs w:val="20"/>
    </w:rPr>
  </w:style>
  <w:style w:type="paragraph" w:styleId="5">
    <w:name w:val="heading 2"/>
    <w:basedOn w:val="1"/>
    <w:next w:val="1"/>
    <w:qFormat/>
    <w:uiPriority w:val="0"/>
    <w:pPr>
      <w:keepNext/>
      <w:keepLines/>
      <w:adjustRightInd w:val="0"/>
      <w:spacing w:before="260" w:after="260" w:line="416" w:lineRule="atLeast"/>
      <w:outlineLvl w:val="1"/>
    </w:pPr>
    <w:rPr>
      <w:rFonts w:ascii="宋体"/>
      <w:b/>
      <w:kern w:val="44"/>
      <w:sz w:val="28"/>
      <w:szCs w:val="20"/>
    </w:rPr>
  </w:style>
  <w:style w:type="paragraph" w:styleId="6">
    <w:name w:val="heading 3"/>
    <w:basedOn w:val="1"/>
    <w:next w:val="7"/>
    <w:link w:val="46"/>
    <w:qFormat/>
    <w:uiPriority w:val="0"/>
    <w:pPr>
      <w:widowControl w:val="0"/>
      <w:tabs>
        <w:tab w:val="left" w:pos="680"/>
        <w:tab w:val="left" w:pos="907"/>
        <w:tab w:val="left" w:pos="1134"/>
        <w:tab w:val="left" w:pos="1361"/>
        <w:tab w:val="right" w:pos="6804"/>
        <w:tab w:val="left" w:pos="7088"/>
      </w:tabs>
      <w:adjustRightInd w:val="0"/>
      <w:spacing w:before="120" w:line="360" w:lineRule="atLeast"/>
      <w:jc w:val="left"/>
      <w:outlineLvl w:val="2"/>
    </w:pPr>
    <w:rPr>
      <w:rFonts w:ascii="Arial" w:hAnsi="Arial"/>
      <w:b/>
      <w:kern w:val="0"/>
      <w:sz w:val="24"/>
    </w:rPr>
  </w:style>
  <w:style w:type="paragraph" w:styleId="8">
    <w:name w:val="heading 4"/>
    <w:basedOn w:val="1"/>
    <w:next w:val="7"/>
    <w:link w:val="47"/>
    <w:qFormat/>
    <w:uiPriority w:val="0"/>
    <w:pPr>
      <w:keepNext/>
      <w:widowControl w:val="0"/>
      <w:adjustRightInd w:val="0"/>
      <w:spacing w:line="360" w:lineRule="auto"/>
      <w:ind w:left="454" w:hanging="425"/>
      <w:jc w:val="left"/>
      <w:outlineLvl w:val="3"/>
    </w:pPr>
    <w:rPr>
      <w:rFonts w:ascii="宋体"/>
      <w:i/>
      <w:kern w:val="0"/>
      <w:sz w:val="24"/>
      <w:szCs w:val="20"/>
    </w:rPr>
  </w:style>
  <w:style w:type="paragraph" w:styleId="9">
    <w:name w:val="heading 5"/>
    <w:basedOn w:val="1"/>
    <w:next w:val="7"/>
    <w:link w:val="48"/>
    <w:qFormat/>
    <w:uiPriority w:val="0"/>
    <w:pPr>
      <w:keepNext/>
      <w:keepLines/>
      <w:widowControl w:val="0"/>
      <w:spacing w:before="120" w:after="120"/>
      <w:ind w:left="310" w:firstLine="400"/>
      <w:textAlignment w:val="auto"/>
      <w:outlineLvl w:val="4"/>
    </w:pPr>
    <w:rPr>
      <w:rFonts w:ascii="小标宋"/>
      <w:sz w:val="24"/>
      <w:szCs w:val="20"/>
    </w:rPr>
  </w:style>
  <w:style w:type="paragraph" w:styleId="10">
    <w:name w:val="heading 6"/>
    <w:basedOn w:val="1"/>
    <w:next w:val="7"/>
    <w:link w:val="49"/>
    <w:qFormat/>
    <w:uiPriority w:val="0"/>
    <w:pPr>
      <w:keepNext/>
      <w:keepLines/>
      <w:widowControl w:val="0"/>
      <w:spacing w:before="240" w:after="64" w:line="320" w:lineRule="auto"/>
      <w:ind w:left="310" w:firstLine="400"/>
      <w:textAlignment w:val="auto"/>
      <w:outlineLvl w:val="5"/>
    </w:pPr>
    <w:rPr>
      <w:rFonts w:ascii="Arial" w:hAnsi="Arial" w:eastAsia="黑体"/>
      <w:sz w:val="24"/>
      <w:szCs w:val="20"/>
    </w:rPr>
  </w:style>
  <w:style w:type="paragraph" w:styleId="11">
    <w:name w:val="heading 7"/>
    <w:basedOn w:val="1"/>
    <w:next w:val="7"/>
    <w:link w:val="50"/>
    <w:qFormat/>
    <w:uiPriority w:val="0"/>
    <w:pPr>
      <w:keepNext/>
      <w:keepLines/>
      <w:widowControl w:val="0"/>
      <w:spacing w:before="240" w:after="64" w:line="320" w:lineRule="auto"/>
      <w:ind w:left="310" w:firstLine="400"/>
      <w:textAlignment w:val="auto"/>
      <w:outlineLvl w:val="6"/>
    </w:pPr>
    <w:rPr>
      <w:rFonts w:ascii="宋体"/>
      <w:sz w:val="24"/>
      <w:szCs w:val="20"/>
    </w:rPr>
  </w:style>
  <w:style w:type="paragraph" w:styleId="12">
    <w:name w:val="heading 8"/>
    <w:basedOn w:val="1"/>
    <w:next w:val="7"/>
    <w:link w:val="51"/>
    <w:qFormat/>
    <w:uiPriority w:val="0"/>
    <w:pPr>
      <w:keepNext/>
      <w:keepLines/>
      <w:widowControl w:val="0"/>
      <w:spacing w:before="240" w:after="64" w:line="320" w:lineRule="auto"/>
      <w:ind w:left="310" w:firstLine="400"/>
      <w:textAlignment w:val="auto"/>
      <w:outlineLvl w:val="7"/>
    </w:pPr>
    <w:rPr>
      <w:rFonts w:ascii="Arial" w:hAnsi="Arial" w:eastAsia="黑体"/>
      <w:b/>
      <w:sz w:val="24"/>
      <w:szCs w:val="20"/>
    </w:rPr>
  </w:style>
  <w:style w:type="paragraph" w:styleId="13">
    <w:name w:val="heading 9"/>
    <w:basedOn w:val="1"/>
    <w:next w:val="7"/>
    <w:link w:val="52"/>
    <w:qFormat/>
    <w:uiPriority w:val="0"/>
    <w:pPr>
      <w:keepNext/>
      <w:keepLines/>
      <w:widowControl w:val="0"/>
      <w:spacing w:before="240" w:after="64" w:line="320" w:lineRule="auto"/>
      <w:ind w:left="310" w:firstLine="400"/>
      <w:textAlignment w:val="auto"/>
      <w:outlineLvl w:val="8"/>
    </w:pPr>
    <w:rPr>
      <w:rFonts w:ascii="Arial" w:hAnsi="Arial" w:eastAsia="黑体"/>
      <w:b/>
      <w:sz w:val="24"/>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link w:val="80"/>
    <w:qFormat/>
    <w:uiPriority w:val="0"/>
    <w:pPr>
      <w:widowControl w:val="0"/>
      <w:adjustRightInd w:val="0"/>
      <w:spacing w:line="360" w:lineRule="auto"/>
      <w:ind w:firstLine="480"/>
      <w:jc w:val="left"/>
    </w:pPr>
    <w:rPr>
      <w:rFonts w:ascii="宋体"/>
      <w:color w:val="0000FF"/>
      <w:kern w:val="0"/>
      <w:sz w:val="24"/>
      <w:szCs w:val="20"/>
    </w:rPr>
  </w:style>
  <w:style w:type="paragraph" w:styleId="7">
    <w:name w:val="Normal Indent"/>
    <w:basedOn w:val="1"/>
    <w:qFormat/>
    <w:uiPriority w:val="0"/>
    <w:pPr>
      <w:widowControl w:val="0"/>
      <w:adjustRightInd w:val="0"/>
      <w:spacing w:line="360" w:lineRule="atLeast"/>
      <w:ind w:firstLine="420"/>
      <w:jc w:val="left"/>
    </w:pPr>
    <w:rPr>
      <w:kern w:val="0"/>
      <w:sz w:val="24"/>
      <w:szCs w:val="20"/>
    </w:rPr>
  </w:style>
  <w:style w:type="paragraph" w:styleId="14">
    <w:name w:val="Document Map"/>
    <w:basedOn w:val="1"/>
    <w:link w:val="77"/>
    <w:semiHidden/>
    <w:qFormat/>
    <w:uiPriority w:val="0"/>
    <w:pPr>
      <w:widowControl w:val="0"/>
      <w:shd w:val="clear" w:color="auto" w:fill="000080"/>
      <w:textAlignment w:val="auto"/>
    </w:pPr>
    <w:rPr>
      <w:sz w:val="24"/>
    </w:rPr>
  </w:style>
  <w:style w:type="paragraph" w:styleId="15">
    <w:name w:val="annotation text"/>
    <w:basedOn w:val="1"/>
    <w:link w:val="78"/>
    <w:semiHidden/>
    <w:qFormat/>
    <w:uiPriority w:val="0"/>
    <w:pPr>
      <w:widowControl w:val="0"/>
      <w:jc w:val="left"/>
      <w:textAlignment w:val="auto"/>
    </w:pPr>
    <w:rPr>
      <w:sz w:val="24"/>
    </w:rPr>
  </w:style>
  <w:style w:type="paragraph" w:styleId="16">
    <w:name w:val="Body Text"/>
    <w:basedOn w:val="1"/>
    <w:link w:val="79"/>
    <w:qFormat/>
    <w:uiPriority w:val="0"/>
    <w:pPr>
      <w:widowControl w:val="0"/>
      <w:spacing w:after="120"/>
      <w:textAlignment w:val="auto"/>
    </w:pPr>
    <w:rPr>
      <w:sz w:val="24"/>
    </w:rPr>
  </w:style>
  <w:style w:type="paragraph" w:styleId="17">
    <w:name w:val="Plain Text"/>
    <w:basedOn w:val="1"/>
    <w:qFormat/>
    <w:uiPriority w:val="0"/>
    <w:rPr>
      <w:rFonts w:ascii="宋体" w:hAnsi="Courier New"/>
      <w:szCs w:val="20"/>
    </w:rPr>
  </w:style>
  <w:style w:type="paragraph" w:styleId="18">
    <w:name w:val="Date"/>
    <w:basedOn w:val="1"/>
    <w:next w:val="1"/>
    <w:qFormat/>
    <w:uiPriority w:val="0"/>
    <w:pPr>
      <w:ind w:left="100" w:leftChars="2500"/>
    </w:pPr>
  </w:style>
  <w:style w:type="paragraph" w:styleId="19">
    <w:name w:val="Body Text Indent 2"/>
    <w:basedOn w:val="1"/>
    <w:link w:val="81"/>
    <w:qFormat/>
    <w:uiPriority w:val="0"/>
    <w:pPr>
      <w:widowControl w:val="0"/>
      <w:adjustRightInd w:val="0"/>
      <w:spacing w:line="0" w:lineRule="atLeast"/>
      <w:ind w:right="202" w:firstLine="630" w:firstLineChars="225"/>
      <w:jc w:val="left"/>
    </w:pPr>
    <w:rPr>
      <w:rFonts w:ascii="宋体"/>
      <w:spacing w:val="20"/>
      <w:kern w:val="0"/>
      <w:position w:val="20"/>
      <w:sz w:val="24"/>
      <w:szCs w:val="20"/>
    </w:rPr>
  </w:style>
  <w:style w:type="paragraph" w:styleId="20">
    <w:name w:val="Balloon Text"/>
    <w:basedOn w:val="1"/>
    <w:link w:val="53"/>
    <w:semiHidden/>
    <w:unhideWhenUsed/>
    <w:qFormat/>
    <w:uiPriority w:val="0"/>
    <w:rPr>
      <w:sz w:val="18"/>
      <w:szCs w:val="18"/>
    </w:rPr>
  </w:style>
  <w:style w:type="paragraph" w:styleId="21">
    <w:name w:val="footer"/>
    <w:basedOn w:val="1"/>
    <w:qFormat/>
    <w:uiPriority w:val="0"/>
    <w:pPr>
      <w:tabs>
        <w:tab w:val="center" w:pos="4153"/>
        <w:tab w:val="right" w:pos="8306"/>
      </w:tabs>
      <w:adjustRightInd w:val="0"/>
      <w:spacing w:line="240" w:lineRule="atLeast"/>
      <w:jc w:val="left"/>
    </w:pPr>
    <w:rPr>
      <w:kern w:val="0"/>
      <w:sz w:val="18"/>
      <w:szCs w:val="20"/>
    </w:rPr>
  </w:style>
  <w:style w:type="paragraph" w:styleId="22">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kern w:val="0"/>
      <w:sz w:val="18"/>
      <w:szCs w:val="20"/>
    </w:rPr>
  </w:style>
  <w:style w:type="paragraph" w:styleId="23">
    <w:name w:val="toc 1"/>
    <w:basedOn w:val="1"/>
    <w:next w:val="1"/>
    <w:semiHidden/>
    <w:qFormat/>
    <w:uiPriority w:val="0"/>
    <w:pPr>
      <w:widowControl w:val="0"/>
      <w:tabs>
        <w:tab w:val="right" w:leader="dot" w:pos="8820"/>
      </w:tabs>
      <w:adjustRightInd w:val="0"/>
      <w:spacing w:line="360" w:lineRule="auto"/>
      <w:jc w:val="left"/>
    </w:pPr>
    <w:rPr>
      <w:rFonts w:ascii="宋体" w:hAnsi="宋体"/>
      <w:b/>
      <w:kern w:val="0"/>
      <w:sz w:val="30"/>
      <w:szCs w:val="30"/>
    </w:rPr>
  </w:style>
  <w:style w:type="paragraph" w:styleId="24">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25">
    <w:name w:val="Body Text Indent 3"/>
    <w:basedOn w:val="1"/>
    <w:link w:val="82"/>
    <w:qFormat/>
    <w:uiPriority w:val="0"/>
    <w:pPr>
      <w:widowControl w:val="0"/>
      <w:adjustRightInd w:val="0"/>
      <w:spacing w:line="360" w:lineRule="auto"/>
      <w:ind w:firstLine="780" w:firstLineChars="300"/>
      <w:jc w:val="left"/>
    </w:pPr>
    <w:rPr>
      <w:color w:val="FF0000"/>
      <w:spacing w:val="10"/>
      <w:kern w:val="0"/>
      <w:sz w:val="24"/>
      <w:szCs w:val="20"/>
      <w:u w:val="single"/>
    </w:rPr>
  </w:style>
  <w:style w:type="paragraph" w:styleId="26">
    <w:name w:val="Normal (Web)"/>
    <w:basedOn w:val="1"/>
    <w:unhideWhenUsed/>
    <w:qFormat/>
    <w:uiPriority w:val="0"/>
    <w:rPr>
      <w:sz w:val="24"/>
    </w:rPr>
  </w:style>
  <w:style w:type="paragraph" w:styleId="27">
    <w:name w:val="Title"/>
    <w:basedOn w:val="1"/>
    <w:qFormat/>
    <w:uiPriority w:val="0"/>
    <w:pPr>
      <w:spacing w:before="240" w:after="60"/>
      <w:jc w:val="center"/>
      <w:outlineLvl w:val="0"/>
    </w:pPr>
    <w:rPr>
      <w:rFonts w:ascii="Arial" w:hAnsi="Arial" w:cs="Arial"/>
      <w:b/>
      <w:bCs/>
      <w:sz w:val="32"/>
      <w:szCs w:val="32"/>
    </w:rPr>
  </w:style>
  <w:style w:type="paragraph" w:styleId="28">
    <w:name w:val="annotation subject"/>
    <w:basedOn w:val="15"/>
    <w:next w:val="15"/>
    <w:link w:val="83"/>
    <w:semiHidden/>
    <w:qFormat/>
    <w:uiPriority w:val="0"/>
    <w:rPr>
      <w:b/>
      <w:bCs/>
    </w:rPr>
  </w:style>
  <w:style w:type="paragraph" w:styleId="29">
    <w:name w:val="Body Text First Indent"/>
    <w:basedOn w:val="16"/>
    <w:link w:val="84"/>
    <w:qFormat/>
    <w:uiPriority w:val="0"/>
    <w:pPr>
      <w:spacing w:after="0"/>
      <w:ind w:firstLine="420"/>
    </w:pPr>
    <w:rPr>
      <w:szCs w:val="20"/>
    </w:rPr>
  </w:style>
  <w:style w:type="table" w:styleId="31">
    <w:name w:val="Table Grid"/>
    <w:basedOn w:val="3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4"/>
    <w:qFormat/>
    <w:uiPriority w:val="0"/>
    <w:rPr>
      <w:rFonts w:cs="Times New Roman"/>
      <w:b/>
      <w:bCs/>
    </w:rPr>
  </w:style>
  <w:style w:type="character" w:customStyle="1" w:styleId="34">
    <w:name w:val="NormalCharacter"/>
    <w:qFormat/>
    <w:uiPriority w:val="0"/>
  </w:style>
  <w:style w:type="character" w:styleId="35">
    <w:name w:val="page number"/>
    <w:basedOn w:val="32"/>
    <w:qFormat/>
    <w:uiPriority w:val="0"/>
  </w:style>
  <w:style w:type="character" w:styleId="36">
    <w:name w:val="FollowedHyperlink"/>
    <w:qFormat/>
    <w:uiPriority w:val="0"/>
    <w:rPr>
      <w:color w:val="3F88BF"/>
      <w:kern w:val="0"/>
      <w:u w:val="none"/>
    </w:rPr>
  </w:style>
  <w:style w:type="character" w:styleId="37">
    <w:name w:val="Emphasis"/>
    <w:qFormat/>
    <w:uiPriority w:val="0"/>
    <w:rPr>
      <w:color w:val="CC0000"/>
      <w:kern w:val="0"/>
    </w:rPr>
  </w:style>
  <w:style w:type="character" w:styleId="38">
    <w:name w:val="HTML Definition"/>
    <w:qFormat/>
    <w:uiPriority w:val="0"/>
    <w:rPr>
      <w:kern w:val="0"/>
    </w:rPr>
  </w:style>
  <w:style w:type="character" w:styleId="39">
    <w:name w:val="HTML Variable"/>
    <w:qFormat/>
    <w:uiPriority w:val="0"/>
    <w:rPr>
      <w:kern w:val="0"/>
    </w:rPr>
  </w:style>
  <w:style w:type="character" w:styleId="40">
    <w:name w:val="Hyperlink"/>
    <w:basedOn w:val="34"/>
    <w:qFormat/>
    <w:uiPriority w:val="0"/>
    <w:rPr>
      <w:color w:val="0000FF"/>
      <w:u w:val="single"/>
    </w:rPr>
  </w:style>
  <w:style w:type="character" w:styleId="41">
    <w:name w:val="HTML Code"/>
    <w:qFormat/>
    <w:uiPriority w:val="0"/>
    <w:rPr>
      <w:rFonts w:hint="default" w:ascii="PingFang SC" w:hAnsi="PingFang SC" w:eastAsia="PingFang SC" w:cs="PingFang SC"/>
      <w:kern w:val="0"/>
      <w:sz w:val="20"/>
    </w:rPr>
  </w:style>
  <w:style w:type="character" w:styleId="42">
    <w:name w:val="HTML Cite"/>
    <w:qFormat/>
    <w:uiPriority w:val="0"/>
    <w:rPr>
      <w:color w:val="008000"/>
      <w:kern w:val="0"/>
    </w:rPr>
  </w:style>
  <w:style w:type="character" w:styleId="43">
    <w:name w:val="HTML Keyboard"/>
    <w:qFormat/>
    <w:uiPriority w:val="0"/>
    <w:rPr>
      <w:rFonts w:hint="default" w:ascii="PingFang SC" w:hAnsi="PingFang SC" w:eastAsia="PingFang SC" w:cs="PingFang SC"/>
      <w:kern w:val="0"/>
      <w:sz w:val="20"/>
    </w:rPr>
  </w:style>
  <w:style w:type="character" w:styleId="44">
    <w:name w:val="HTML Sample"/>
    <w:qFormat/>
    <w:uiPriority w:val="0"/>
    <w:rPr>
      <w:rFonts w:hint="default" w:ascii="PingFang SC" w:hAnsi="PingFang SC" w:eastAsia="PingFang SC" w:cs="PingFang SC"/>
      <w:kern w:val="0"/>
    </w:rPr>
  </w:style>
  <w:style w:type="character" w:customStyle="1" w:styleId="45">
    <w:name w:val="标题 1 字符"/>
    <w:link w:val="4"/>
    <w:qFormat/>
    <w:uiPriority w:val="0"/>
    <w:rPr>
      <w:rFonts w:ascii="宋体"/>
      <w:b/>
      <w:kern w:val="44"/>
      <w:sz w:val="44"/>
    </w:rPr>
  </w:style>
  <w:style w:type="character" w:customStyle="1" w:styleId="46">
    <w:name w:val="标题 3 字符"/>
    <w:basedOn w:val="32"/>
    <w:link w:val="6"/>
    <w:qFormat/>
    <w:uiPriority w:val="0"/>
    <w:rPr>
      <w:rFonts w:ascii="Arial" w:hAnsi="Arial"/>
      <w:b/>
      <w:sz w:val="24"/>
      <w:szCs w:val="24"/>
    </w:rPr>
  </w:style>
  <w:style w:type="character" w:customStyle="1" w:styleId="47">
    <w:name w:val="标题 4 字符"/>
    <w:basedOn w:val="32"/>
    <w:link w:val="8"/>
    <w:qFormat/>
    <w:uiPriority w:val="0"/>
    <w:rPr>
      <w:rFonts w:ascii="宋体"/>
      <w:i/>
      <w:sz w:val="24"/>
    </w:rPr>
  </w:style>
  <w:style w:type="character" w:customStyle="1" w:styleId="48">
    <w:name w:val="标题 5 字符"/>
    <w:basedOn w:val="32"/>
    <w:link w:val="9"/>
    <w:qFormat/>
    <w:uiPriority w:val="0"/>
    <w:rPr>
      <w:rFonts w:ascii="小标宋"/>
      <w:kern w:val="2"/>
      <w:sz w:val="24"/>
    </w:rPr>
  </w:style>
  <w:style w:type="character" w:customStyle="1" w:styleId="49">
    <w:name w:val="标题 6 字符"/>
    <w:basedOn w:val="32"/>
    <w:link w:val="10"/>
    <w:qFormat/>
    <w:uiPriority w:val="0"/>
    <w:rPr>
      <w:rFonts w:ascii="Arial" w:hAnsi="Arial" w:eastAsia="黑体"/>
      <w:kern w:val="2"/>
      <w:sz w:val="24"/>
    </w:rPr>
  </w:style>
  <w:style w:type="character" w:customStyle="1" w:styleId="50">
    <w:name w:val="标题 7 字符"/>
    <w:basedOn w:val="32"/>
    <w:link w:val="11"/>
    <w:qFormat/>
    <w:uiPriority w:val="0"/>
    <w:rPr>
      <w:rFonts w:ascii="宋体"/>
      <w:kern w:val="2"/>
      <w:sz w:val="24"/>
    </w:rPr>
  </w:style>
  <w:style w:type="character" w:customStyle="1" w:styleId="51">
    <w:name w:val="标题 8 字符"/>
    <w:basedOn w:val="32"/>
    <w:link w:val="12"/>
    <w:qFormat/>
    <w:uiPriority w:val="0"/>
    <w:rPr>
      <w:rFonts w:ascii="Arial" w:hAnsi="Arial" w:eastAsia="黑体"/>
      <w:b/>
      <w:kern w:val="2"/>
      <w:sz w:val="24"/>
    </w:rPr>
  </w:style>
  <w:style w:type="character" w:customStyle="1" w:styleId="52">
    <w:name w:val="标题 9 字符"/>
    <w:basedOn w:val="32"/>
    <w:link w:val="13"/>
    <w:qFormat/>
    <w:uiPriority w:val="0"/>
    <w:rPr>
      <w:rFonts w:ascii="Arial" w:hAnsi="Arial" w:eastAsia="黑体"/>
      <w:b/>
      <w:kern w:val="2"/>
      <w:sz w:val="24"/>
    </w:rPr>
  </w:style>
  <w:style w:type="character" w:customStyle="1" w:styleId="53">
    <w:name w:val="批注框文本 字符"/>
    <w:basedOn w:val="32"/>
    <w:link w:val="20"/>
    <w:semiHidden/>
    <w:qFormat/>
    <w:uiPriority w:val="99"/>
    <w:rPr>
      <w:kern w:val="2"/>
      <w:sz w:val="18"/>
      <w:szCs w:val="18"/>
    </w:rPr>
  </w:style>
  <w:style w:type="paragraph" w:customStyle="1" w:styleId="54">
    <w:name w:val="Heading2"/>
    <w:basedOn w:val="1"/>
    <w:next w:val="1"/>
    <w:qFormat/>
    <w:uiPriority w:val="0"/>
    <w:pPr>
      <w:keepNext/>
      <w:keepLines/>
      <w:spacing w:before="260" w:after="260" w:line="416" w:lineRule="auto"/>
    </w:pPr>
    <w:rPr>
      <w:rFonts w:ascii="Arial" w:hAnsi="Arial" w:eastAsia="黑体"/>
      <w:b/>
      <w:bCs/>
      <w:sz w:val="32"/>
      <w:szCs w:val="32"/>
    </w:rPr>
  </w:style>
  <w:style w:type="paragraph" w:customStyle="1" w:styleId="55">
    <w:name w:val="Heading3"/>
    <w:basedOn w:val="1"/>
    <w:next w:val="1"/>
    <w:qFormat/>
    <w:uiPriority w:val="0"/>
    <w:pPr>
      <w:keepNext/>
      <w:keepLines/>
      <w:spacing w:before="260" w:after="260" w:line="416" w:lineRule="auto"/>
    </w:pPr>
    <w:rPr>
      <w:b/>
      <w:bCs/>
      <w:sz w:val="32"/>
      <w:szCs w:val="32"/>
    </w:rPr>
  </w:style>
  <w:style w:type="table" w:customStyle="1" w:styleId="56">
    <w:name w:val="TableNormal"/>
    <w:semiHidden/>
    <w:qFormat/>
    <w:uiPriority w:val="0"/>
    <w:tblPr>
      <w:tblCellMar>
        <w:top w:w="0" w:type="dxa"/>
        <w:left w:w="0" w:type="dxa"/>
        <w:bottom w:w="0" w:type="dxa"/>
        <w:right w:w="0" w:type="dxa"/>
      </w:tblCellMar>
    </w:tblPr>
  </w:style>
  <w:style w:type="character" w:customStyle="1" w:styleId="57">
    <w:name w:val="PageNumber"/>
    <w:basedOn w:val="34"/>
    <w:qFormat/>
    <w:uiPriority w:val="0"/>
  </w:style>
  <w:style w:type="paragraph" w:customStyle="1" w:styleId="58">
    <w:name w:val="TOC2"/>
    <w:basedOn w:val="1"/>
    <w:next w:val="1"/>
    <w:qFormat/>
    <w:uiPriority w:val="0"/>
    <w:pPr>
      <w:ind w:left="420" w:leftChars="200"/>
    </w:pPr>
  </w:style>
  <w:style w:type="paragraph" w:customStyle="1" w:styleId="59">
    <w:name w:val="TOC1"/>
    <w:basedOn w:val="1"/>
    <w:next w:val="1"/>
    <w:qFormat/>
    <w:uiPriority w:val="0"/>
  </w:style>
  <w:style w:type="paragraph" w:customStyle="1" w:styleId="60">
    <w:name w:val="Acetate"/>
    <w:basedOn w:val="1"/>
    <w:qFormat/>
    <w:uiPriority w:val="0"/>
    <w:rPr>
      <w:sz w:val="18"/>
      <w:szCs w:val="18"/>
    </w:rPr>
  </w:style>
  <w:style w:type="paragraph" w:customStyle="1" w:styleId="61">
    <w:name w:val="页脚1"/>
    <w:basedOn w:val="1"/>
    <w:qFormat/>
    <w:uiPriority w:val="0"/>
    <w:pPr>
      <w:tabs>
        <w:tab w:val="center" w:pos="4153"/>
        <w:tab w:val="right" w:pos="8306"/>
      </w:tabs>
      <w:snapToGrid w:val="0"/>
      <w:jc w:val="left"/>
    </w:pPr>
    <w:rPr>
      <w:rFonts w:ascii="宋体" w:hAnsi="宋体"/>
      <w:b/>
      <w:sz w:val="18"/>
      <w:szCs w:val="18"/>
    </w:rPr>
  </w:style>
  <w:style w:type="paragraph" w:customStyle="1" w:styleId="62">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63">
    <w:name w:val="UserStyle_0"/>
    <w:qFormat/>
    <w:uiPriority w:val="0"/>
    <w:pPr>
      <w:textAlignment w:val="baseline"/>
    </w:pPr>
    <w:rPr>
      <w:rFonts w:ascii="Times New Roman" w:hAnsi="Times New Roman" w:eastAsia="宋体" w:cs="Times New Roman"/>
      <w:lang w:val="en-US" w:eastAsia="zh-CN" w:bidi="ar-SA"/>
    </w:rPr>
  </w:style>
  <w:style w:type="paragraph" w:customStyle="1" w:styleId="64">
    <w:name w:val="UserStyle_1"/>
    <w:basedOn w:val="1"/>
    <w:qFormat/>
    <w:uiPriority w:val="0"/>
    <w:pPr>
      <w:snapToGrid w:val="0"/>
      <w:spacing w:line="360" w:lineRule="auto"/>
      <w:ind w:firstLine="560" w:firstLineChars="200"/>
    </w:pPr>
    <w:rPr>
      <w:rFonts w:ascii="宋体"/>
      <w:kern w:val="0"/>
      <w:sz w:val="28"/>
      <w:szCs w:val="20"/>
    </w:rPr>
  </w:style>
  <w:style w:type="paragraph" w:customStyle="1" w:styleId="65">
    <w:name w:val="UserStyle_2"/>
    <w:basedOn w:val="1"/>
    <w:qFormat/>
    <w:uiPriority w:val="0"/>
    <w:pPr>
      <w:tabs>
        <w:tab w:val="center" w:pos="4153"/>
        <w:tab w:val="right" w:pos="8306"/>
      </w:tabs>
      <w:snapToGrid w:val="0"/>
      <w:jc w:val="center"/>
    </w:pPr>
    <w:rPr>
      <w:sz w:val="18"/>
      <w:szCs w:val="18"/>
    </w:rPr>
  </w:style>
  <w:style w:type="paragraph" w:customStyle="1" w:styleId="66">
    <w:name w:val="UserStyle_3"/>
    <w:qFormat/>
    <w:uiPriority w:val="0"/>
    <w:pPr>
      <w:ind w:left="200" w:leftChars="200"/>
      <w:textAlignment w:val="baseline"/>
    </w:pPr>
    <w:rPr>
      <w:rFonts w:ascii="Times New Roman" w:hAnsi="Times New Roman" w:eastAsia="宋体" w:cs="Times New Roman"/>
      <w:lang w:val="en-US" w:eastAsia="zh-CN" w:bidi="ar-SA"/>
    </w:rPr>
  </w:style>
  <w:style w:type="paragraph" w:customStyle="1" w:styleId="67">
    <w:name w:val="UserStyle_4"/>
    <w:basedOn w:val="1"/>
    <w:qFormat/>
    <w:uiPriority w:val="0"/>
    <w:pPr>
      <w:spacing w:line="360" w:lineRule="auto"/>
    </w:pPr>
    <w:rPr>
      <w:rFonts w:ascii="宋体" w:hAnsi="宋体"/>
      <w:sz w:val="24"/>
      <w:szCs w:val="20"/>
    </w:rPr>
  </w:style>
  <w:style w:type="paragraph" w:customStyle="1" w:styleId="68">
    <w:name w:val="UserStyle_5"/>
    <w:basedOn w:val="55"/>
    <w:qFormat/>
    <w:uiPriority w:val="0"/>
    <w:pPr>
      <w:tabs>
        <w:tab w:val="left" w:pos="851"/>
        <w:tab w:val="left" w:pos="900"/>
      </w:tabs>
      <w:snapToGrid w:val="0"/>
      <w:spacing w:before="120" w:after="120" w:line="360" w:lineRule="auto"/>
      <w:ind w:firstLine="200" w:firstLineChars="200"/>
      <w:jc w:val="left"/>
    </w:pPr>
    <w:rPr>
      <w:rFonts w:eastAsia="黑体"/>
      <w:b w:val="0"/>
      <w:bCs w:val="0"/>
      <w:sz w:val="28"/>
      <w:szCs w:val="24"/>
    </w:rPr>
  </w:style>
  <w:style w:type="table" w:customStyle="1" w:styleId="69">
    <w:name w:val="UserStyle_6"/>
    <w:basedOn w:val="56"/>
    <w:qFormat/>
    <w:uiPriority w:val="0"/>
  </w:style>
  <w:style w:type="table" w:customStyle="1" w:styleId="70">
    <w:name w:val="UserStyle_7"/>
    <w:basedOn w:val="56"/>
    <w:qFormat/>
    <w:uiPriority w:val="0"/>
  </w:style>
  <w:style w:type="paragraph" w:customStyle="1" w:styleId="71">
    <w:name w:val="WPSOffice手动目录 1"/>
    <w:qFormat/>
    <w:uiPriority w:val="0"/>
    <w:rPr>
      <w:rFonts w:ascii="Times New Roman" w:hAnsi="Times New Roman" w:eastAsia="宋体" w:cs="Times New Roman"/>
      <w:lang w:val="en-US" w:eastAsia="zh-CN" w:bidi="ar-SA"/>
    </w:rPr>
  </w:style>
  <w:style w:type="paragraph" w:customStyle="1" w:styleId="72">
    <w:name w:val="列出段落1"/>
    <w:basedOn w:val="1"/>
    <w:qFormat/>
    <w:uiPriority w:val="0"/>
    <w:pPr>
      <w:ind w:firstLine="420" w:firstLineChars="200"/>
    </w:pPr>
  </w:style>
  <w:style w:type="character" w:customStyle="1" w:styleId="73">
    <w:name w:val="font11"/>
    <w:qFormat/>
    <w:uiPriority w:val="0"/>
    <w:rPr>
      <w:rFonts w:hint="eastAsia" w:ascii="宋体" w:hAnsi="宋体" w:eastAsia="宋体" w:cs="宋体"/>
      <w:color w:val="000000"/>
      <w:sz w:val="20"/>
      <w:szCs w:val="20"/>
      <w:u w:val="none"/>
    </w:rPr>
  </w:style>
  <w:style w:type="character" w:customStyle="1" w:styleId="74">
    <w:name w:val="font21"/>
    <w:qFormat/>
    <w:uiPriority w:val="0"/>
    <w:rPr>
      <w:rFonts w:hint="eastAsia" w:ascii="宋体" w:hAnsi="宋体" w:eastAsia="宋体" w:cs="宋体"/>
      <w:color w:val="000000"/>
      <w:sz w:val="20"/>
      <w:szCs w:val="20"/>
      <w:u w:val="none"/>
    </w:rPr>
  </w:style>
  <w:style w:type="paragraph" w:customStyle="1" w:styleId="75">
    <w:name w:val="首行缩进"/>
    <w:basedOn w:val="1"/>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paragraph" w:styleId="76">
    <w:name w:val="List Paragraph"/>
    <w:basedOn w:val="1"/>
    <w:unhideWhenUsed/>
    <w:qFormat/>
    <w:uiPriority w:val="99"/>
    <w:pPr>
      <w:ind w:firstLine="420" w:firstLineChars="200"/>
    </w:pPr>
  </w:style>
  <w:style w:type="character" w:customStyle="1" w:styleId="77">
    <w:name w:val="文档结构图 字符"/>
    <w:basedOn w:val="32"/>
    <w:link w:val="14"/>
    <w:semiHidden/>
    <w:qFormat/>
    <w:uiPriority w:val="0"/>
    <w:rPr>
      <w:kern w:val="2"/>
      <w:sz w:val="24"/>
      <w:szCs w:val="24"/>
      <w:shd w:val="clear" w:color="auto" w:fill="000080"/>
    </w:rPr>
  </w:style>
  <w:style w:type="character" w:customStyle="1" w:styleId="78">
    <w:name w:val="批注文字 字符"/>
    <w:basedOn w:val="32"/>
    <w:link w:val="15"/>
    <w:semiHidden/>
    <w:qFormat/>
    <w:uiPriority w:val="0"/>
    <w:rPr>
      <w:kern w:val="2"/>
      <w:sz w:val="24"/>
      <w:szCs w:val="24"/>
    </w:rPr>
  </w:style>
  <w:style w:type="character" w:customStyle="1" w:styleId="79">
    <w:name w:val="正文文本 字符"/>
    <w:basedOn w:val="32"/>
    <w:link w:val="16"/>
    <w:qFormat/>
    <w:uiPriority w:val="0"/>
    <w:rPr>
      <w:kern w:val="2"/>
      <w:sz w:val="24"/>
      <w:szCs w:val="24"/>
    </w:rPr>
  </w:style>
  <w:style w:type="character" w:customStyle="1" w:styleId="80">
    <w:name w:val="正文文本缩进 字符"/>
    <w:basedOn w:val="32"/>
    <w:link w:val="3"/>
    <w:qFormat/>
    <w:uiPriority w:val="0"/>
    <w:rPr>
      <w:rFonts w:ascii="宋体"/>
      <w:color w:val="0000FF"/>
      <w:sz w:val="24"/>
    </w:rPr>
  </w:style>
  <w:style w:type="character" w:customStyle="1" w:styleId="81">
    <w:name w:val="正文文本缩进 2 字符"/>
    <w:basedOn w:val="32"/>
    <w:link w:val="19"/>
    <w:qFormat/>
    <w:uiPriority w:val="0"/>
    <w:rPr>
      <w:rFonts w:ascii="宋体"/>
      <w:spacing w:val="20"/>
      <w:position w:val="20"/>
      <w:sz w:val="24"/>
    </w:rPr>
  </w:style>
  <w:style w:type="character" w:customStyle="1" w:styleId="82">
    <w:name w:val="正文文本缩进 3 字符"/>
    <w:basedOn w:val="32"/>
    <w:link w:val="25"/>
    <w:qFormat/>
    <w:uiPriority w:val="0"/>
    <w:rPr>
      <w:color w:val="FF0000"/>
      <w:spacing w:val="10"/>
      <w:sz w:val="24"/>
      <w:u w:val="single"/>
    </w:rPr>
  </w:style>
  <w:style w:type="character" w:customStyle="1" w:styleId="83">
    <w:name w:val="批注主题 字符"/>
    <w:basedOn w:val="78"/>
    <w:link w:val="28"/>
    <w:semiHidden/>
    <w:qFormat/>
    <w:uiPriority w:val="0"/>
    <w:rPr>
      <w:b/>
      <w:bCs/>
      <w:kern w:val="2"/>
      <w:sz w:val="24"/>
      <w:szCs w:val="24"/>
    </w:rPr>
  </w:style>
  <w:style w:type="character" w:customStyle="1" w:styleId="84">
    <w:name w:val="正文文本首行缩进 字符"/>
    <w:basedOn w:val="79"/>
    <w:link w:val="29"/>
    <w:qFormat/>
    <w:uiPriority w:val="0"/>
    <w:rPr>
      <w:kern w:val="2"/>
      <w:sz w:val="24"/>
      <w:szCs w:val="24"/>
    </w:rPr>
  </w:style>
  <w:style w:type="character" w:customStyle="1" w:styleId="85">
    <w:name w:val="answer-title12"/>
    <w:qFormat/>
    <w:uiPriority w:val="0"/>
  </w:style>
  <w:style w:type="character" w:customStyle="1" w:styleId="86">
    <w:name w:val="num"/>
    <w:qFormat/>
    <w:uiPriority w:val="0"/>
    <w:rPr>
      <w:b/>
      <w:color w:val="FF7800"/>
      <w:kern w:val="0"/>
    </w:rPr>
  </w:style>
  <w:style w:type="character" w:customStyle="1" w:styleId="87">
    <w:name w:val="num10"/>
    <w:qFormat/>
    <w:uiPriority w:val="0"/>
    <w:rPr>
      <w:b/>
      <w:color w:val="FF7800"/>
      <w:kern w:val="0"/>
    </w:rPr>
  </w:style>
  <w:style w:type="character" w:customStyle="1" w:styleId="88">
    <w:name w:val="legend"/>
    <w:qFormat/>
    <w:uiPriority w:val="0"/>
    <w:rPr>
      <w:rFonts w:ascii="Arial" w:hAnsi="Arial" w:cs="Arial"/>
      <w:b/>
      <w:color w:val="73B304"/>
      <w:kern w:val="0"/>
      <w:sz w:val="21"/>
      <w:szCs w:val="21"/>
      <w:shd w:val="clear" w:color="auto" w:fill="FFFFFF"/>
    </w:rPr>
  </w:style>
  <w:style w:type="character" w:customStyle="1" w:styleId="89">
    <w:name w:val="release-day"/>
    <w:qFormat/>
    <w:uiPriority w:val="0"/>
    <w:rPr>
      <w:kern w:val="0"/>
      <w:bdr w:val="single" w:color="BDEBB0" w:sz="6" w:space="0"/>
      <w:shd w:val="clear" w:color="auto" w:fill="F5FFF1"/>
    </w:rPr>
  </w:style>
  <w:style w:type="character" w:customStyle="1" w:styleId="90">
    <w:name w:val="标题 1 Char1"/>
    <w:qFormat/>
    <w:uiPriority w:val="0"/>
    <w:rPr>
      <w:rFonts w:ascii="宋体" w:eastAsia="宋体"/>
      <w:b/>
      <w:kern w:val="44"/>
      <w:sz w:val="32"/>
      <w:lang w:val="en-US" w:eastAsia="zh-CN" w:bidi="ar-SA"/>
    </w:rPr>
  </w:style>
  <w:style w:type="character" w:customStyle="1" w:styleId="91">
    <w:name w:val="font01"/>
    <w:qFormat/>
    <w:uiPriority w:val="0"/>
    <w:rPr>
      <w:rFonts w:hint="eastAsia" w:ascii="宋体" w:hAnsi="宋体" w:eastAsia="宋体" w:cs="宋体"/>
      <w:color w:val="000000"/>
      <w:kern w:val="0"/>
      <w:sz w:val="18"/>
      <w:szCs w:val="18"/>
      <w:u w:val="none"/>
    </w:rPr>
  </w:style>
  <w:style w:type="paragraph" w:customStyle="1" w:styleId="92">
    <w:name w:val="Char1 Char Char Char Char Char Char Char Char Char"/>
    <w:basedOn w:val="1"/>
    <w:qFormat/>
    <w:uiPriority w:val="0"/>
    <w:pPr>
      <w:widowControl w:val="0"/>
      <w:textAlignment w:val="auto"/>
    </w:pPr>
  </w:style>
  <w:style w:type="paragraph" w:customStyle="1" w:styleId="93">
    <w:name w:val="默认段落字体 Para Char Char Char Char"/>
    <w:basedOn w:val="1"/>
    <w:qFormat/>
    <w:uiPriority w:val="0"/>
    <w:pPr>
      <w:widowControl w:val="0"/>
      <w:textAlignment w:val="auto"/>
    </w:pPr>
  </w:style>
  <w:style w:type="paragraph" w:customStyle="1" w:styleId="9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5">
    <w:name w:val="样式1"/>
    <w:basedOn w:val="1"/>
    <w:qFormat/>
    <w:uiPriority w:val="0"/>
    <w:pPr>
      <w:widowControl w:val="0"/>
      <w:adjustRightInd w:val="0"/>
      <w:spacing w:line="420" w:lineRule="auto"/>
      <w:jc w:val="center"/>
    </w:pPr>
    <w:rPr>
      <w:rFonts w:ascii="宋体"/>
      <w:kern w:val="0"/>
      <w:sz w:val="24"/>
      <w:szCs w:val="20"/>
    </w:rPr>
  </w:style>
  <w:style w:type="paragraph" w:customStyle="1" w:styleId="96">
    <w:name w:val="1"/>
    <w:basedOn w:val="1"/>
    <w:qFormat/>
    <w:uiPriority w:val="0"/>
    <w:pPr>
      <w:widowControl w:val="0"/>
      <w:adjustRightInd w:val="0"/>
      <w:spacing w:line="360" w:lineRule="atLeast"/>
      <w:jc w:val="left"/>
    </w:pPr>
    <w:rPr>
      <w:kern w:val="0"/>
      <w:sz w:val="24"/>
    </w:rPr>
  </w:style>
  <w:style w:type="paragraph" w:customStyle="1" w:styleId="97">
    <w:name w:val="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98">
    <w:name w:val="Char"/>
    <w:basedOn w:val="1"/>
    <w:qFormat/>
    <w:uiPriority w:val="0"/>
    <w:pPr>
      <w:widowControl w:val="0"/>
      <w:adjustRightInd w:val="0"/>
      <w:spacing w:line="360" w:lineRule="auto"/>
      <w:textAlignment w:val="auto"/>
    </w:pPr>
    <w:rPr>
      <w:kern w:val="0"/>
      <w:sz w:val="24"/>
    </w:rPr>
  </w:style>
  <w:style w:type="paragraph" w:customStyle="1" w:styleId="99">
    <w:name w:val="默认段落字体 Para Char Char Char Char Char Char Char Char Char Char"/>
    <w:basedOn w:val="1"/>
    <w:qFormat/>
    <w:uiPriority w:val="0"/>
    <w:pPr>
      <w:widowControl w:val="0"/>
      <w:textAlignment w:val="auto"/>
    </w:pPr>
  </w:style>
  <w:style w:type="paragraph" w:customStyle="1" w:styleId="100">
    <w:name w:val="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01">
    <w:name w:val="A"/>
    <w:basedOn w:val="1"/>
    <w:qFormat/>
    <w:uiPriority w:val="0"/>
    <w:pPr>
      <w:widowControl w:val="0"/>
      <w:adjustRightInd w:val="0"/>
      <w:spacing w:line="480" w:lineRule="atLeast"/>
      <w:jc w:val="center"/>
    </w:pPr>
    <w:rPr>
      <w:rFonts w:ascii="宋体"/>
      <w:kern w:val="0"/>
      <w:sz w:val="32"/>
      <w:szCs w:val="20"/>
    </w:rPr>
  </w:style>
  <w:style w:type="paragraph" w:customStyle="1" w:styleId="102">
    <w:name w:val="二级条标题"/>
    <w:basedOn w:val="103"/>
    <w:next w:val="105"/>
    <w:qFormat/>
    <w:uiPriority w:val="0"/>
    <w:pPr>
      <w:outlineLvl w:val="3"/>
    </w:pPr>
  </w:style>
  <w:style w:type="paragraph" w:customStyle="1" w:styleId="103">
    <w:name w:val="一级条标题"/>
    <w:basedOn w:val="104"/>
    <w:next w:val="105"/>
    <w:qFormat/>
    <w:uiPriority w:val="0"/>
    <w:pPr>
      <w:spacing w:before="0" w:beforeLines="0" w:after="0" w:afterLines="0"/>
      <w:outlineLvl w:val="2"/>
    </w:pPr>
  </w:style>
  <w:style w:type="paragraph" w:customStyle="1" w:styleId="104">
    <w:name w:val="章标题"/>
    <w:next w:val="105"/>
    <w:qFormat/>
    <w:uiPriority w:val="0"/>
    <w:pPr>
      <w:spacing w:before="50" w:beforeLines="50" w:after="50" w:afterLines="50"/>
      <w:ind w:firstLine="400"/>
      <w:jc w:val="both"/>
      <w:outlineLvl w:val="1"/>
    </w:pPr>
    <w:rPr>
      <w:rFonts w:ascii="黑体" w:hAnsi="Times New Roman" w:eastAsia="黑体" w:cs="Times New Roman"/>
      <w:sz w:val="21"/>
      <w:szCs w:val="22"/>
      <w:lang w:val="en-US" w:eastAsia="zh-CN" w:bidi="ar-SA"/>
    </w:rPr>
  </w:style>
  <w:style w:type="paragraph" w:customStyle="1" w:styleId="105">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06">
    <w:name w:val="纯文本1"/>
    <w:basedOn w:val="1"/>
    <w:qFormat/>
    <w:uiPriority w:val="0"/>
    <w:pPr>
      <w:widowControl w:val="0"/>
      <w:textAlignment w:val="auto"/>
    </w:pPr>
    <w:rPr>
      <w:rFonts w:ascii="宋体" w:hAnsi="Courier New" w:cs="Courier New"/>
      <w:sz w:val="24"/>
      <w:szCs w:val="21"/>
    </w:rPr>
  </w:style>
  <w:style w:type="paragraph" w:customStyle="1" w:styleId="107">
    <w:name w:val="Char Char1"/>
    <w:basedOn w:val="1"/>
    <w:qFormat/>
    <w:uiPriority w:val="0"/>
    <w:pPr>
      <w:widowControl w:val="0"/>
      <w:adjustRightInd w:val="0"/>
      <w:spacing w:line="360" w:lineRule="atLeast"/>
      <w:jc w:val="left"/>
    </w:pPr>
    <w:rPr>
      <w:kern w:val="0"/>
      <w:sz w:val="24"/>
    </w:rPr>
  </w:style>
  <w:style w:type="paragraph" w:customStyle="1" w:styleId="108">
    <w:name w:val="UserStyle_10"/>
    <w:basedOn w:val="1"/>
    <w:qFormat/>
    <w:uiPriority w:val="0"/>
    <w:pPr>
      <w:widowControl w:val="0"/>
      <w:ind w:firstLine="420" w:firstLineChars="200"/>
      <w:textAlignment w:val="auto"/>
    </w:pPr>
    <w:rPr>
      <w:sz w:val="24"/>
    </w:rPr>
  </w:style>
  <w:style w:type="paragraph" w:customStyle="1" w:styleId="109">
    <w:name w:val="Char Char Char Char1 Char Char Char Char 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10">
    <w:name w:val="正文1"/>
    <w:basedOn w:val="1"/>
    <w:link w:val="111"/>
    <w:qFormat/>
    <w:uiPriority w:val="0"/>
    <w:pPr>
      <w:widowControl w:val="0"/>
      <w:adjustRightInd w:val="0"/>
      <w:spacing w:line="360" w:lineRule="atLeast"/>
      <w:jc w:val="left"/>
    </w:pPr>
    <w:rPr>
      <w:rFonts w:ascii="宋体"/>
      <w:kern w:val="0"/>
      <w:sz w:val="24"/>
      <w:szCs w:val="20"/>
    </w:rPr>
  </w:style>
  <w:style w:type="character" w:customStyle="1" w:styleId="111">
    <w:name w:val="正文1 Char"/>
    <w:link w:val="110"/>
    <w:qFormat/>
    <w:uiPriority w:val="0"/>
    <w:rPr>
      <w:rFonts w:ascii="宋体"/>
      <w:sz w:val="24"/>
    </w:rPr>
  </w:style>
  <w:style w:type="paragraph" w:customStyle="1" w:styleId="112">
    <w:name w:val="三级条标题"/>
    <w:basedOn w:val="102"/>
    <w:next w:val="105"/>
    <w:qFormat/>
    <w:uiPriority w:val="0"/>
    <w:pPr>
      <w:outlineLvl w:val="4"/>
    </w:pPr>
  </w:style>
  <w:style w:type="paragraph" w:customStyle="1" w:styleId="113">
    <w:name w:val="正文报告"/>
    <w:basedOn w:val="1"/>
    <w:qFormat/>
    <w:uiPriority w:val="0"/>
    <w:pPr>
      <w:widowControl w:val="0"/>
      <w:tabs>
        <w:tab w:val="left" w:pos="510"/>
      </w:tabs>
      <w:adjustRightInd w:val="0"/>
      <w:spacing w:line="460" w:lineRule="exact"/>
      <w:ind w:firstLine="482"/>
    </w:pPr>
    <w:rPr>
      <w:kern w:val="0"/>
      <w:sz w:val="24"/>
      <w:szCs w:val="20"/>
    </w:rPr>
  </w:style>
  <w:style w:type="paragraph" w:customStyle="1" w:styleId="114">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115">
    <w:name w:val="Char Char"/>
    <w:basedOn w:val="1"/>
    <w:qFormat/>
    <w:uiPriority w:val="0"/>
    <w:pPr>
      <w:widowControl w:val="0"/>
      <w:adjustRightInd w:val="0"/>
      <w:spacing w:line="360" w:lineRule="atLeast"/>
      <w:jc w:val="left"/>
    </w:pPr>
    <w:rPr>
      <w:kern w:val="0"/>
      <w:sz w:val="24"/>
    </w:rPr>
  </w:style>
  <w:style w:type="paragraph" w:customStyle="1" w:styleId="116">
    <w:name w:val="Char Char11"/>
    <w:basedOn w:val="1"/>
    <w:qFormat/>
    <w:uiPriority w:val="0"/>
    <w:pPr>
      <w:widowControl w:val="0"/>
      <w:textAlignment w:val="auto"/>
    </w:pPr>
  </w:style>
  <w:style w:type="paragraph" w:customStyle="1" w:styleId="117">
    <w:name w:val="样式2"/>
    <w:basedOn w:val="1"/>
    <w:qFormat/>
    <w:uiPriority w:val="0"/>
    <w:pPr>
      <w:widowControl w:val="0"/>
      <w:spacing w:line="360" w:lineRule="auto"/>
      <w:textAlignment w:val="auto"/>
    </w:pPr>
    <w:rPr>
      <w:kern w:val="0"/>
      <w:sz w:val="28"/>
      <w:szCs w:val="20"/>
    </w:rPr>
  </w:style>
  <w:style w:type="paragraph" w:customStyle="1" w:styleId="118">
    <w:name w:val="Char Char Char Char"/>
    <w:basedOn w:val="1"/>
    <w:qFormat/>
    <w:uiPriority w:val="0"/>
    <w:pPr>
      <w:widowControl w:val="0"/>
      <w:adjustRightInd w:val="0"/>
      <w:spacing w:line="360" w:lineRule="auto"/>
      <w:textAlignment w:val="auto"/>
    </w:pPr>
    <w:rPr>
      <w:kern w:val="0"/>
      <w:sz w:val="24"/>
      <w:szCs w:val="20"/>
    </w:rPr>
  </w:style>
  <w:style w:type="paragraph" w:customStyle="1" w:styleId="119">
    <w:name w:val="Char1 Char"/>
    <w:basedOn w:val="1"/>
    <w:qFormat/>
    <w:uiPriority w:val="0"/>
    <w:pPr>
      <w:widowControl w:val="0"/>
      <w:adjustRightInd w:val="0"/>
      <w:spacing w:line="360" w:lineRule="atLeast"/>
      <w:jc w:val="left"/>
    </w:pPr>
    <w:rPr>
      <w:kern w:val="0"/>
      <w:sz w:val="24"/>
    </w:rPr>
  </w:style>
  <w:style w:type="paragraph" w:customStyle="1" w:styleId="120">
    <w:name w:val="Char1"/>
    <w:basedOn w:val="1"/>
    <w:qFormat/>
    <w:uiPriority w:val="0"/>
    <w:pPr>
      <w:widowControl w:val="0"/>
      <w:textAlignment w:val="auto"/>
    </w:pPr>
    <w:rPr>
      <w:sz w:val="24"/>
    </w:rPr>
  </w:style>
  <w:style w:type="paragraph" w:customStyle="1" w:styleId="121">
    <w:name w:val="正文文本 31"/>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22">
    <w:name w:val="p0"/>
    <w:basedOn w:val="1"/>
    <w:qFormat/>
    <w:uiPriority w:val="0"/>
    <w:pPr>
      <w:spacing w:line="560" w:lineRule="atLeast"/>
      <w:ind w:left="839" w:firstLine="200" w:firstLineChars="200"/>
      <w:textAlignment w:val="auto"/>
    </w:pPr>
    <w:rPr>
      <w:rFonts w:ascii="Calibri" w:hAnsi="Calibri" w:cs="宋体"/>
      <w:kern w:val="0"/>
      <w:sz w:val="24"/>
      <w:szCs w:val="21"/>
    </w:rPr>
  </w:style>
  <w:style w:type="paragraph" w:customStyle="1" w:styleId="123">
    <w:name w:val="列出段落2"/>
    <w:basedOn w:val="1"/>
    <w:unhideWhenUsed/>
    <w:qFormat/>
    <w:uiPriority w:val="34"/>
    <w:pPr>
      <w:widowControl w:val="0"/>
      <w:ind w:firstLine="420" w:firstLineChars="200"/>
      <w:textAlignment w:val="auto"/>
    </w:pPr>
    <w:rPr>
      <w:rFonts w:hint="eastAsia"/>
    </w:rPr>
  </w:style>
  <w:style w:type="paragraph" w:customStyle="1" w:styleId="124">
    <w:name w:val="Char Char Char Char1 Char Char Char"/>
    <w:basedOn w:val="1"/>
    <w:qFormat/>
    <w:uiPriority w:val="0"/>
    <w:pPr>
      <w:widowControl w:val="0"/>
      <w:spacing w:line="360" w:lineRule="auto"/>
      <w:ind w:firstLine="200" w:firstLineChars="200"/>
      <w:textAlignment w:val="auto"/>
    </w:pPr>
    <w:rPr>
      <w:rFonts w:ascii="宋体" w:hAnsi="宋体" w:cs="宋体"/>
      <w:sz w:val="24"/>
    </w:rPr>
  </w:style>
  <w:style w:type="character" w:customStyle="1" w:styleId="125">
    <w:name w:val="font31"/>
    <w:qFormat/>
    <w:uiPriority w:val="0"/>
    <w:rPr>
      <w:rFonts w:hint="eastAsia" w:ascii="宋体" w:hAnsi="宋体" w:eastAsia="宋体" w:cs="宋体"/>
      <w:color w:val="000000"/>
      <w:sz w:val="18"/>
      <w:szCs w:val="18"/>
      <w:u w:val="none"/>
    </w:rPr>
  </w:style>
  <w:style w:type="paragraph" w:customStyle="1" w:styleId="126">
    <w:name w:val="Char1 Char Char Char Char Char Char Char Char Char1"/>
    <w:basedOn w:val="1"/>
    <w:qFormat/>
    <w:uiPriority w:val="0"/>
    <w:pPr>
      <w:widowControl w:val="0"/>
      <w:textAlignment w:val="auto"/>
    </w:pPr>
  </w:style>
  <w:style w:type="paragraph" w:customStyle="1" w:styleId="127">
    <w:name w:val="Char Char Char Char1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28">
    <w:name w:val="Char2"/>
    <w:basedOn w:val="1"/>
    <w:qFormat/>
    <w:uiPriority w:val="0"/>
    <w:pPr>
      <w:widowControl w:val="0"/>
      <w:adjustRightInd w:val="0"/>
      <w:spacing w:line="360" w:lineRule="auto"/>
      <w:textAlignment w:val="auto"/>
    </w:pPr>
    <w:rPr>
      <w:kern w:val="0"/>
      <w:sz w:val="24"/>
    </w:rPr>
  </w:style>
  <w:style w:type="paragraph" w:customStyle="1" w:styleId="129">
    <w:name w:val="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0">
    <w:name w:val="纯文本2"/>
    <w:basedOn w:val="1"/>
    <w:qFormat/>
    <w:uiPriority w:val="0"/>
    <w:pPr>
      <w:widowControl w:val="0"/>
      <w:textAlignment w:val="auto"/>
    </w:pPr>
    <w:rPr>
      <w:rFonts w:ascii="宋体" w:hAnsi="Courier New" w:cs="Courier New"/>
      <w:sz w:val="24"/>
      <w:szCs w:val="21"/>
    </w:rPr>
  </w:style>
  <w:style w:type="paragraph" w:customStyle="1" w:styleId="131">
    <w:name w:val="Char Char12"/>
    <w:basedOn w:val="1"/>
    <w:qFormat/>
    <w:uiPriority w:val="0"/>
    <w:pPr>
      <w:widowControl w:val="0"/>
      <w:adjustRightInd w:val="0"/>
      <w:spacing w:line="360" w:lineRule="atLeast"/>
      <w:jc w:val="left"/>
    </w:pPr>
    <w:rPr>
      <w:kern w:val="0"/>
      <w:sz w:val="24"/>
    </w:rPr>
  </w:style>
  <w:style w:type="paragraph" w:customStyle="1" w:styleId="132">
    <w:name w:val="Char Char Char Char1 Char Char Char 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3">
    <w:name w:val="Char Char2"/>
    <w:basedOn w:val="1"/>
    <w:qFormat/>
    <w:uiPriority w:val="0"/>
    <w:pPr>
      <w:widowControl w:val="0"/>
      <w:adjustRightInd w:val="0"/>
      <w:spacing w:line="360" w:lineRule="atLeast"/>
      <w:jc w:val="left"/>
    </w:pPr>
    <w:rPr>
      <w:kern w:val="0"/>
      <w:sz w:val="24"/>
    </w:rPr>
  </w:style>
  <w:style w:type="paragraph" w:customStyle="1" w:styleId="134">
    <w:name w:val="Char Char Char Char2"/>
    <w:basedOn w:val="1"/>
    <w:qFormat/>
    <w:uiPriority w:val="0"/>
    <w:pPr>
      <w:widowControl w:val="0"/>
      <w:adjustRightInd w:val="0"/>
      <w:spacing w:line="360" w:lineRule="auto"/>
      <w:textAlignment w:val="auto"/>
    </w:pPr>
    <w:rPr>
      <w:kern w:val="0"/>
      <w:sz w:val="24"/>
      <w:szCs w:val="20"/>
    </w:rPr>
  </w:style>
  <w:style w:type="paragraph" w:customStyle="1" w:styleId="135">
    <w:name w:val="Char1 Char1"/>
    <w:basedOn w:val="1"/>
    <w:qFormat/>
    <w:uiPriority w:val="0"/>
    <w:pPr>
      <w:widowControl w:val="0"/>
      <w:adjustRightInd w:val="0"/>
      <w:spacing w:line="360" w:lineRule="atLeast"/>
      <w:jc w:val="left"/>
    </w:pPr>
    <w:rPr>
      <w:kern w:val="0"/>
      <w:sz w:val="24"/>
    </w:rPr>
  </w:style>
  <w:style w:type="paragraph" w:customStyle="1" w:styleId="136">
    <w:name w:val="Char11"/>
    <w:basedOn w:val="1"/>
    <w:qFormat/>
    <w:uiPriority w:val="0"/>
    <w:pPr>
      <w:widowControl w:val="0"/>
      <w:textAlignment w:val="auto"/>
    </w:pPr>
    <w:rPr>
      <w:sz w:val="24"/>
    </w:rPr>
  </w:style>
  <w:style w:type="paragraph" w:customStyle="1" w:styleId="137">
    <w:name w:val="正文文本 32"/>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38">
    <w:name w:val="列出段落3"/>
    <w:basedOn w:val="1"/>
    <w:unhideWhenUsed/>
    <w:qFormat/>
    <w:uiPriority w:val="34"/>
    <w:pPr>
      <w:widowControl w:val="0"/>
      <w:ind w:firstLine="420" w:firstLineChars="200"/>
      <w:textAlignment w:val="auto"/>
    </w:pPr>
    <w:rPr>
      <w:rFonts w:hint="eastAsia"/>
    </w:rPr>
  </w:style>
  <w:style w:type="paragraph" w:customStyle="1" w:styleId="139">
    <w:name w:val="Char Char Char Char1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40">
    <w:name w:val="正文6q"/>
    <w:basedOn w:val="1"/>
    <w:qFormat/>
    <w:uiPriority w:val="0"/>
    <w:pPr>
      <w:tabs>
        <w:tab w:val="left" w:pos="912"/>
        <w:tab w:val="left" w:pos="960"/>
      </w:tabs>
      <w:spacing w:line="300" w:lineRule="auto"/>
    </w:pPr>
    <w:rPr>
      <w:rFonts w:eastAsia="幼圆"/>
      <w:sz w:val="24"/>
      <w:szCs w:val="20"/>
    </w:rPr>
  </w:style>
  <w:style w:type="paragraph" w:customStyle="1" w:styleId="141">
    <w:name w:val="正文3q"/>
    <w:basedOn w:val="1"/>
    <w:qFormat/>
    <w:uiPriority w:val="0"/>
    <w:pPr>
      <w:tabs>
        <w:tab w:val="left" w:pos="840"/>
      </w:tabs>
      <w:spacing w:line="300" w:lineRule="auto"/>
    </w:pPr>
    <w:rPr>
      <w:rFonts w:eastAsia="楷体_GB2312"/>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12663</Words>
  <Characters>13375</Characters>
  <Lines>1</Lines>
  <Paragraphs>1</Paragraphs>
  <TotalTime>0</TotalTime>
  <ScaleCrop>false</ScaleCrop>
  <LinksUpToDate>false</LinksUpToDate>
  <CharactersWithSpaces>13551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2025-05-06T13:52:00Z</dcterms:created>
  <dc:creator>李鹏程</dc:creator>
  <cp:lastModifiedBy>李鹏程</cp:lastModifiedBy>
  <cp:lastPrinted>2025-05-12T03:03:00Z</cp:lastPrinted>
  <dcterms:modified xsi:type="dcterms:W3CDTF">2026-03-25T10:01:47Z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4FA82FE50B2C4EE7993945C8127A5820</vt:lpwstr>
  </property>
  <property fmtid="{D5CDD505-2E9C-101B-9397-08002B2CF9AE}" pid="4" name="KSOTemplateDocerSaveRecord">
    <vt:lpwstr>eyJoZGlkIjoiZGE2Mjg2YTZkZTMyMTYwY2M1OTQ5YzJlN2MyYmRjOGEiLCJ1c2VySWQiOiIxNTY5NDgyOTM2In0=</vt:lpwstr>
  </property>
</Properties>
</file>