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B7DB6F">
      <w:pPr>
        <w:rPr>
          <w:rFonts w:hint="eastAsia"/>
          <w:lang w:eastAsia="zh-CN"/>
        </w:rPr>
      </w:pPr>
      <w:bookmarkStart w:id="32" w:name="_GoBack"/>
      <w:bookmarkEnd w:id="32"/>
    </w:p>
    <w:p w14:paraId="79172769"/>
    <w:p w14:paraId="189F51FE"/>
    <w:p w14:paraId="63BD8F95">
      <w:pPr>
        <w:tabs>
          <w:tab w:val="left" w:pos="3360"/>
          <w:tab w:val="left" w:pos="4320"/>
        </w:tabs>
        <w:spacing w:line="800" w:lineRule="exact"/>
        <w:jc w:val="center"/>
        <w:rPr>
          <w:rFonts w:ascii="宋体" w:hAnsi="宋体"/>
          <w:b/>
          <w:bCs/>
          <w:sz w:val="40"/>
          <w:szCs w:val="40"/>
        </w:rPr>
      </w:pPr>
      <w:r>
        <w:rPr>
          <w:rFonts w:hint="eastAsia" w:ascii="宋体" w:hAnsi="宋体"/>
          <w:b/>
          <w:bCs/>
          <w:sz w:val="40"/>
          <w:szCs w:val="40"/>
        </w:rPr>
        <w:t>目   录</w:t>
      </w:r>
    </w:p>
    <w:p w14:paraId="1D448A5F">
      <w:pPr>
        <w:tabs>
          <w:tab w:val="left" w:pos="3360"/>
          <w:tab w:val="left" w:pos="4320"/>
        </w:tabs>
        <w:spacing w:line="800" w:lineRule="exact"/>
        <w:jc w:val="center"/>
        <w:rPr>
          <w:rFonts w:ascii="宋体" w:hAnsi="宋体"/>
          <w:sz w:val="28"/>
          <w:szCs w:val="28"/>
        </w:rPr>
      </w:pPr>
    </w:p>
    <w:p w14:paraId="0F82EF41">
      <w:pPr>
        <w:pStyle w:val="23"/>
        <w:tabs>
          <w:tab w:val="right" w:leader="dot" w:pos="8619"/>
        </w:tabs>
        <w:spacing w:line="480" w:lineRule="auto"/>
        <w:rPr>
          <w:rFonts w:hint="eastAsia" w:ascii="宋体" w:hAnsi="宋体" w:eastAsia="宋体" w:cs="宋体"/>
          <w:sz w:val="32"/>
          <w:szCs w:val="32"/>
        </w:rPr>
      </w:pPr>
      <w:r>
        <w:rPr>
          <w:rFonts w:hint="eastAsia" w:ascii="宋体" w:hAnsi="宋体" w:eastAsia="宋体" w:cs="宋体"/>
          <w:b/>
          <w:kern w:val="0"/>
          <w:sz w:val="32"/>
          <w:szCs w:val="32"/>
        </w:rPr>
        <w:fldChar w:fldCharType="begin"/>
      </w:r>
      <w:r>
        <w:rPr>
          <w:rFonts w:hint="eastAsia" w:ascii="宋体" w:hAnsi="宋体" w:eastAsia="宋体" w:cs="宋体"/>
          <w:b/>
          <w:sz w:val="32"/>
          <w:szCs w:val="32"/>
        </w:rPr>
        <w:instrText xml:space="preserve"> TOC \o "1-3" \h \z \u </w:instrText>
      </w:r>
      <w:r>
        <w:rPr>
          <w:rFonts w:hint="eastAsia" w:ascii="宋体" w:hAnsi="宋体" w:eastAsia="宋体" w:cs="宋体"/>
          <w:b/>
          <w:kern w:val="0"/>
          <w:sz w:val="32"/>
          <w:szCs w:val="32"/>
        </w:rPr>
        <w:fldChar w:fldCharType="separate"/>
      </w:r>
      <w:r>
        <w:rPr>
          <w:rFonts w:hint="eastAsia" w:ascii="宋体" w:hAnsi="宋体" w:eastAsia="宋体" w:cs="宋体"/>
          <w:kern w:val="0"/>
          <w:sz w:val="32"/>
          <w:szCs w:val="32"/>
        </w:rPr>
        <w:fldChar w:fldCharType="begin"/>
      </w:r>
      <w:r>
        <w:rPr>
          <w:rFonts w:hint="eastAsia" w:ascii="宋体" w:hAnsi="宋体" w:eastAsia="宋体" w:cs="宋体"/>
          <w:kern w:val="0"/>
          <w:sz w:val="32"/>
          <w:szCs w:val="32"/>
        </w:rPr>
        <w:instrText xml:space="preserve"> HYPERLINK \l _Toc964 </w:instrText>
      </w:r>
      <w:r>
        <w:rPr>
          <w:rFonts w:hint="eastAsia" w:ascii="宋体" w:hAnsi="宋体" w:eastAsia="宋体" w:cs="宋体"/>
          <w:kern w:val="0"/>
          <w:sz w:val="32"/>
          <w:szCs w:val="32"/>
        </w:rPr>
        <w:fldChar w:fldCharType="separate"/>
      </w:r>
      <w:r>
        <w:rPr>
          <w:rFonts w:hint="eastAsia" w:ascii="宋体" w:hAnsi="宋体" w:eastAsia="宋体" w:cs="宋体"/>
          <w:sz w:val="32"/>
          <w:szCs w:val="32"/>
        </w:rPr>
        <w:t>1 总则</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_Toc964 \h </w:instrText>
      </w:r>
      <w:r>
        <w:rPr>
          <w:rFonts w:hint="eastAsia" w:ascii="宋体" w:hAnsi="宋体" w:eastAsia="宋体" w:cs="宋体"/>
          <w:sz w:val="32"/>
          <w:szCs w:val="32"/>
        </w:rPr>
        <w:fldChar w:fldCharType="separate"/>
      </w:r>
      <w:r>
        <w:rPr>
          <w:rFonts w:hint="eastAsia" w:ascii="宋体" w:hAnsi="宋体" w:eastAsia="宋体" w:cs="宋体"/>
          <w:sz w:val="32"/>
          <w:szCs w:val="32"/>
        </w:rPr>
        <w:t>3</w:t>
      </w:r>
      <w:r>
        <w:rPr>
          <w:rFonts w:hint="eastAsia" w:ascii="宋体" w:hAnsi="宋体" w:eastAsia="宋体" w:cs="宋体"/>
          <w:sz w:val="32"/>
          <w:szCs w:val="32"/>
        </w:rPr>
        <w:fldChar w:fldCharType="end"/>
      </w:r>
      <w:r>
        <w:rPr>
          <w:rFonts w:hint="eastAsia" w:ascii="宋体" w:hAnsi="宋体" w:eastAsia="宋体" w:cs="宋体"/>
          <w:kern w:val="0"/>
          <w:sz w:val="32"/>
          <w:szCs w:val="32"/>
        </w:rPr>
        <w:fldChar w:fldCharType="end"/>
      </w:r>
    </w:p>
    <w:p w14:paraId="42BF22B1">
      <w:pPr>
        <w:pStyle w:val="23"/>
        <w:tabs>
          <w:tab w:val="right" w:leader="dot" w:pos="8619"/>
        </w:tabs>
        <w:spacing w:line="48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_Toc9213 </w:instrText>
      </w:r>
      <w:r>
        <w:rPr>
          <w:rFonts w:hint="eastAsia" w:ascii="宋体" w:hAnsi="宋体" w:eastAsia="宋体" w:cs="宋体"/>
          <w:sz w:val="32"/>
          <w:szCs w:val="32"/>
        </w:rPr>
        <w:fldChar w:fldCharType="separate"/>
      </w:r>
      <w:r>
        <w:rPr>
          <w:rFonts w:hint="eastAsia" w:ascii="宋体" w:hAnsi="宋体" w:eastAsia="宋体" w:cs="宋体"/>
          <w:sz w:val="32"/>
          <w:szCs w:val="32"/>
          <w:highlight w:val="none"/>
        </w:rPr>
        <w:t>2 项目概况</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_Toc9213 \h </w:instrText>
      </w:r>
      <w:r>
        <w:rPr>
          <w:rFonts w:hint="eastAsia" w:ascii="宋体" w:hAnsi="宋体" w:eastAsia="宋体" w:cs="宋体"/>
          <w:sz w:val="32"/>
          <w:szCs w:val="32"/>
        </w:rPr>
        <w:fldChar w:fldCharType="separate"/>
      </w:r>
      <w:r>
        <w:rPr>
          <w:rFonts w:hint="eastAsia" w:ascii="宋体" w:hAnsi="宋体" w:eastAsia="宋体" w:cs="宋体"/>
          <w:sz w:val="32"/>
          <w:szCs w:val="32"/>
        </w:rPr>
        <w:t>3</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14:paraId="189DCEBB">
      <w:pPr>
        <w:pStyle w:val="23"/>
        <w:tabs>
          <w:tab w:val="right" w:leader="dot" w:pos="8619"/>
        </w:tabs>
        <w:spacing w:line="48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_Toc14279 </w:instrText>
      </w:r>
      <w:r>
        <w:rPr>
          <w:rFonts w:hint="eastAsia" w:ascii="宋体" w:hAnsi="宋体" w:eastAsia="宋体" w:cs="宋体"/>
          <w:sz w:val="32"/>
          <w:szCs w:val="32"/>
        </w:rPr>
        <w:fldChar w:fldCharType="separate"/>
      </w:r>
      <w:r>
        <w:rPr>
          <w:rFonts w:hint="eastAsia" w:ascii="宋体" w:hAnsi="宋体" w:eastAsia="宋体" w:cs="宋体"/>
          <w:sz w:val="32"/>
          <w:szCs w:val="32"/>
          <w:highlight w:val="none"/>
        </w:rPr>
        <w:t>3</w:t>
      </w:r>
      <w:r>
        <w:rPr>
          <w:rFonts w:hint="eastAsia" w:ascii="宋体" w:hAnsi="宋体" w:eastAsia="宋体" w:cs="宋体"/>
          <w:sz w:val="32"/>
          <w:szCs w:val="32"/>
          <w:highlight w:val="none"/>
          <w:lang w:val="en-US" w:eastAsia="zh-CN"/>
        </w:rPr>
        <w:t xml:space="preserve"> 项目</w:t>
      </w:r>
      <w:r>
        <w:rPr>
          <w:rFonts w:hint="eastAsia" w:ascii="宋体" w:hAnsi="宋体" w:eastAsia="宋体" w:cs="宋体"/>
          <w:sz w:val="32"/>
          <w:szCs w:val="32"/>
          <w:highlight w:val="none"/>
        </w:rPr>
        <w:t>范围及</w:t>
      </w:r>
      <w:r>
        <w:rPr>
          <w:rFonts w:hint="eastAsia" w:ascii="宋体" w:hAnsi="宋体" w:eastAsia="宋体" w:cs="宋体"/>
          <w:sz w:val="32"/>
          <w:szCs w:val="32"/>
          <w:highlight w:val="none"/>
          <w:lang w:val="en-US" w:eastAsia="zh-CN"/>
        </w:rPr>
        <w:t>工期</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_Toc14279 \h </w:instrText>
      </w:r>
      <w:r>
        <w:rPr>
          <w:rFonts w:hint="eastAsia" w:ascii="宋体" w:hAnsi="宋体" w:eastAsia="宋体" w:cs="宋体"/>
          <w:sz w:val="32"/>
          <w:szCs w:val="32"/>
        </w:rPr>
        <w:fldChar w:fldCharType="separate"/>
      </w:r>
      <w:r>
        <w:rPr>
          <w:rFonts w:hint="eastAsia" w:ascii="宋体" w:hAnsi="宋体" w:eastAsia="宋体" w:cs="宋体"/>
          <w:sz w:val="32"/>
          <w:szCs w:val="32"/>
        </w:rPr>
        <w:t>3</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14:paraId="6DBFE9C5">
      <w:pPr>
        <w:pStyle w:val="23"/>
        <w:tabs>
          <w:tab w:val="right" w:leader="dot" w:pos="8619"/>
        </w:tabs>
        <w:spacing w:line="48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_Toc32500 </w:instrText>
      </w:r>
      <w:r>
        <w:rPr>
          <w:rFonts w:hint="eastAsia" w:ascii="宋体" w:hAnsi="宋体" w:eastAsia="宋体" w:cs="宋体"/>
          <w:sz w:val="32"/>
          <w:szCs w:val="32"/>
        </w:rPr>
        <w:fldChar w:fldCharType="separate"/>
      </w:r>
      <w:r>
        <w:rPr>
          <w:rFonts w:hint="eastAsia" w:ascii="宋体" w:hAnsi="宋体" w:eastAsia="宋体" w:cs="宋体"/>
          <w:sz w:val="32"/>
          <w:szCs w:val="32"/>
          <w:highlight w:val="none"/>
        </w:rPr>
        <w:t xml:space="preserve">4 </w:t>
      </w:r>
      <w:r>
        <w:rPr>
          <w:rFonts w:hint="eastAsia" w:ascii="宋体" w:hAnsi="宋体" w:eastAsia="宋体" w:cs="宋体"/>
          <w:sz w:val="32"/>
          <w:szCs w:val="32"/>
          <w:highlight w:val="none"/>
          <w:lang w:val="en-US" w:eastAsia="zh-CN"/>
        </w:rPr>
        <w:t>项目内容及</w:t>
      </w:r>
      <w:r>
        <w:rPr>
          <w:rFonts w:hint="eastAsia" w:ascii="宋体" w:hAnsi="宋体" w:eastAsia="宋体" w:cs="宋体"/>
          <w:sz w:val="32"/>
          <w:szCs w:val="32"/>
          <w:highlight w:val="none"/>
        </w:rPr>
        <w:t>要求</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_Toc32500 \h </w:instrText>
      </w:r>
      <w:r>
        <w:rPr>
          <w:rFonts w:hint="eastAsia" w:ascii="宋体" w:hAnsi="宋体" w:eastAsia="宋体" w:cs="宋体"/>
          <w:sz w:val="32"/>
          <w:szCs w:val="32"/>
        </w:rPr>
        <w:fldChar w:fldCharType="separate"/>
      </w:r>
      <w:r>
        <w:rPr>
          <w:rFonts w:hint="eastAsia" w:ascii="宋体" w:hAnsi="宋体" w:eastAsia="宋体" w:cs="宋体"/>
          <w:sz w:val="32"/>
          <w:szCs w:val="32"/>
        </w:rPr>
        <w:t>7</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14:paraId="38F6A201">
      <w:pPr>
        <w:pStyle w:val="23"/>
        <w:tabs>
          <w:tab w:val="right" w:leader="dot" w:pos="8619"/>
        </w:tabs>
        <w:spacing w:line="48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_Toc16893 </w:instrText>
      </w:r>
      <w:r>
        <w:rPr>
          <w:rFonts w:hint="eastAsia" w:ascii="宋体" w:hAnsi="宋体" w:eastAsia="宋体" w:cs="宋体"/>
          <w:sz w:val="32"/>
          <w:szCs w:val="32"/>
        </w:rPr>
        <w:fldChar w:fldCharType="separate"/>
      </w:r>
      <w:r>
        <w:rPr>
          <w:rFonts w:hint="eastAsia" w:ascii="宋体" w:hAnsi="宋体" w:eastAsia="宋体" w:cs="宋体"/>
          <w:sz w:val="32"/>
          <w:szCs w:val="32"/>
        </w:rPr>
        <w:t>5</w:t>
      </w:r>
      <w:r>
        <w:rPr>
          <w:rFonts w:hint="eastAsia" w:ascii="宋体" w:hAnsi="宋体" w:eastAsia="宋体" w:cs="宋体"/>
          <w:sz w:val="32"/>
          <w:szCs w:val="32"/>
          <w:lang w:val="en-US" w:eastAsia="zh-CN"/>
        </w:rPr>
        <w:t xml:space="preserve"> 投标方应达到的目标</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_Toc16893 \h </w:instrText>
      </w:r>
      <w:r>
        <w:rPr>
          <w:rFonts w:hint="eastAsia" w:ascii="宋体" w:hAnsi="宋体" w:eastAsia="宋体" w:cs="宋体"/>
          <w:sz w:val="32"/>
          <w:szCs w:val="32"/>
        </w:rPr>
        <w:fldChar w:fldCharType="separate"/>
      </w:r>
      <w:r>
        <w:rPr>
          <w:rFonts w:hint="eastAsia" w:ascii="宋体" w:hAnsi="宋体" w:eastAsia="宋体" w:cs="宋体"/>
          <w:sz w:val="32"/>
          <w:szCs w:val="32"/>
        </w:rPr>
        <w:t>16</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14:paraId="7E9975B3">
      <w:pPr>
        <w:pStyle w:val="23"/>
        <w:tabs>
          <w:tab w:val="right" w:leader="dot" w:pos="8619"/>
        </w:tabs>
        <w:spacing w:line="48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_Toc3743 </w:instrText>
      </w:r>
      <w:r>
        <w:rPr>
          <w:rFonts w:hint="eastAsia" w:ascii="宋体" w:hAnsi="宋体" w:eastAsia="宋体" w:cs="宋体"/>
          <w:sz w:val="32"/>
          <w:szCs w:val="32"/>
        </w:rPr>
        <w:fldChar w:fldCharType="separate"/>
      </w:r>
      <w:r>
        <w:rPr>
          <w:rFonts w:hint="eastAsia" w:ascii="宋体" w:hAnsi="宋体" w:eastAsia="宋体" w:cs="宋体"/>
          <w:sz w:val="32"/>
          <w:szCs w:val="32"/>
        </w:rPr>
        <w:t>6 资质</w:t>
      </w:r>
      <w:r>
        <w:rPr>
          <w:rFonts w:hint="eastAsia" w:ascii="宋体" w:hAnsi="宋体" w:eastAsia="宋体" w:cs="宋体"/>
          <w:sz w:val="32"/>
          <w:szCs w:val="32"/>
          <w:lang w:val="en-US" w:eastAsia="zh-CN"/>
        </w:rPr>
        <w:t>条件</w:t>
      </w:r>
      <w:r>
        <w:rPr>
          <w:rFonts w:hint="eastAsia" w:ascii="宋体" w:hAnsi="宋体" w:eastAsia="宋体" w:cs="宋体"/>
          <w:sz w:val="32"/>
          <w:szCs w:val="32"/>
        </w:rPr>
        <w:t>及人员要求</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_Toc3743 \h </w:instrText>
      </w:r>
      <w:r>
        <w:rPr>
          <w:rFonts w:hint="eastAsia" w:ascii="宋体" w:hAnsi="宋体" w:eastAsia="宋体" w:cs="宋体"/>
          <w:sz w:val="32"/>
          <w:szCs w:val="32"/>
        </w:rPr>
        <w:fldChar w:fldCharType="separate"/>
      </w:r>
      <w:r>
        <w:rPr>
          <w:rFonts w:hint="eastAsia" w:ascii="宋体" w:hAnsi="宋体" w:eastAsia="宋体" w:cs="宋体"/>
          <w:sz w:val="32"/>
          <w:szCs w:val="32"/>
        </w:rPr>
        <w:t>17</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14:paraId="2AFDB060">
      <w:pPr>
        <w:pStyle w:val="23"/>
        <w:tabs>
          <w:tab w:val="right" w:leader="dot" w:pos="8619"/>
        </w:tabs>
        <w:spacing w:line="48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_Toc2356 </w:instrText>
      </w:r>
      <w:r>
        <w:rPr>
          <w:rFonts w:hint="eastAsia" w:ascii="宋体" w:hAnsi="宋体" w:eastAsia="宋体" w:cs="宋体"/>
          <w:sz w:val="32"/>
          <w:szCs w:val="32"/>
        </w:rPr>
        <w:fldChar w:fldCharType="separate"/>
      </w:r>
      <w:r>
        <w:rPr>
          <w:rFonts w:hint="eastAsia" w:ascii="宋体" w:hAnsi="宋体" w:eastAsia="宋体" w:cs="宋体"/>
          <w:sz w:val="32"/>
          <w:szCs w:val="32"/>
          <w:lang w:val="en-US" w:eastAsia="zh-CN"/>
        </w:rPr>
        <w:t>7 安全要求</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_Toc2356 \h </w:instrText>
      </w:r>
      <w:r>
        <w:rPr>
          <w:rFonts w:hint="eastAsia" w:ascii="宋体" w:hAnsi="宋体" w:eastAsia="宋体" w:cs="宋体"/>
          <w:sz w:val="32"/>
          <w:szCs w:val="32"/>
        </w:rPr>
        <w:fldChar w:fldCharType="separate"/>
      </w:r>
      <w:r>
        <w:rPr>
          <w:rFonts w:hint="eastAsia" w:ascii="宋体" w:hAnsi="宋体" w:eastAsia="宋体" w:cs="宋体"/>
          <w:sz w:val="32"/>
          <w:szCs w:val="32"/>
        </w:rPr>
        <w:t>19</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14:paraId="20F426FC">
      <w:pPr>
        <w:pStyle w:val="23"/>
        <w:tabs>
          <w:tab w:val="right" w:leader="dot" w:pos="8619"/>
        </w:tabs>
        <w:spacing w:line="48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_Toc21238 </w:instrText>
      </w:r>
      <w:r>
        <w:rPr>
          <w:rFonts w:hint="eastAsia" w:ascii="宋体" w:hAnsi="宋体" w:eastAsia="宋体" w:cs="宋体"/>
          <w:sz w:val="32"/>
          <w:szCs w:val="32"/>
        </w:rPr>
        <w:fldChar w:fldCharType="separate"/>
      </w:r>
      <w:r>
        <w:rPr>
          <w:rFonts w:hint="eastAsia" w:ascii="宋体" w:hAnsi="宋体" w:eastAsia="宋体" w:cs="宋体"/>
          <w:sz w:val="32"/>
          <w:szCs w:val="32"/>
          <w:lang w:val="en-US" w:eastAsia="zh-CN"/>
        </w:rPr>
        <w:t>8 双方职责</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_Toc21238 \h </w:instrText>
      </w:r>
      <w:r>
        <w:rPr>
          <w:rFonts w:hint="eastAsia" w:ascii="宋体" w:hAnsi="宋体" w:eastAsia="宋体" w:cs="宋体"/>
          <w:sz w:val="32"/>
          <w:szCs w:val="32"/>
        </w:rPr>
        <w:fldChar w:fldCharType="separate"/>
      </w:r>
      <w:r>
        <w:rPr>
          <w:rFonts w:hint="eastAsia" w:ascii="宋体" w:hAnsi="宋体" w:eastAsia="宋体" w:cs="宋体"/>
          <w:sz w:val="32"/>
          <w:szCs w:val="32"/>
        </w:rPr>
        <w:t>21</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14:paraId="556F27C9">
      <w:pPr>
        <w:pStyle w:val="23"/>
        <w:tabs>
          <w:tab w:val="right" w:leader="dot" w:pos="8619"/>
        </w:tabs>
        <w:spacing w:line="48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_Toc30811 </w:instrText>
      </w:r>
      <w:r>
        <w:rPr>
          <w:rFonts w:hint="eastAsia" w:ascii="宋体" w:hAnsi="宋体" w:eastAsia="宋体" w:cs="宋体"/>
          <w:sz w:val="32"/>
          <w:szCs w:val="32"/>
        </w:rPr>
        <w:fldChar w:fldCharType="separate"/>
      </w:r>
      <w:r>
        <w:rPr>
          <w:rFonts w:hint="eastAsia" w:ascii="宋体" w:hAnsi="宋体" w:eastAsia="宋体" w:cs="宋体"/>
          <w:sz w:val="32"/>
          <w:szCs w:val="32"/>
          <w:lang w:val="en-US" w:eastAsia="zh-CN"/>
        </w:rPr>
        <w:t xml:space="preserve">9 </w:t>
      </w:r>
      <w:r>
        <w:rPr>
          <w:rFonts w:hint="eastAsia" w:ascii="宋体" w:hAnsi="宋体" w:eastAsia="宋体" w:cs="宋体"/>
          <w:sz w:val="32"/>
          <w:szCs w:val="32"/>
        </w:rPr>
        <w:t>安健环及文明施工、危险源（环境因素）控制要求</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_Toc30811 \h </w:instrText>
      </w:r>
      <w:r>
        <w:rPr>
          <w:rFonts w:hint="eastAsia" w:ascii="宋体" w:hAnsi="宋体" w:eastAsia="宋体" w:cs="宋体"/>
          <w:sz w:val="32"/>
          <w:szCs w:val="32"/>
        </w:rPr>
        <w:fldChar w:fldCharType="separate"/>
      </w:r>
      <w:r>
        <w:rPr>
          <w:rFonts w:hint="eastAsia" w:ascii="宋体" w:hAnsi="宋体" w:eastAsia="宋体" w:cs="宋体"/>
          <w:sz w:val="32"/>
          <w:szCs w:val="32"/>
        </w:rPr>
        <w:t>23</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14:paraId="2308ACA6">
      <w:pPr>
        <w:pStyle w:val="23"/>
        <w:tabs>
          <w:tab w:val="right" w:leader="dot" w:pos="8619"/>
        </w:tabs>
        <w:spacing w:line="48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_Toc12958 </w:instrText>
      </w:r>
      <w:r>
        <w:rPr>
          <w:rFonts w:hint="eastAsia" w:ascii="宋体" w:hAnsi="宋体" w:eastAsia="宋体" w:cs="宋体"/>
          <w:sz w:val="32"/>
          <w:szCs w:val="32"/>
        </w:rPr>
        <w:fldChar w:fldCharType="separate"/>
      </w:r>
      <w:r>
        <w:rPr>
          <w:rFonts w:hint="eastAsia" w:ascii="宋体" w:hAnsi="宋体" w:eastAsia="宋体" w:cs="宋体"/>
          <w:sz w:val="32"/>
          <w:szCs w:val="32"/>
          <w:lang w:val="en-US" w:eastAsia="zh-CN"/>
        </w:rPr>
        <w:t>10 考核</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_Toc12958 \h </w:instrText>
      </w:r>
      <w:r>
        <w:rPr>
          <w:rFonts w:hint="eastAsia" w:ascii="宋体" w:hAnsi="宋体" w:eastAsia="宋体" w:cs="宋体"/>
          <w:sz w:val="32"/>
          <w:szCs w:val="32"/>
        </w:rPr>
        <w:fldChar w:fldCharType="separate"/>
      </w:r>
      <w:r>
        <w:rPr>
          <w:rFonts w:hint="eastAsia" w:ascii="宋体" w:hAnsi="宋体" w:eastAsia="宋体" w:cs="宋体"/>
          <w:sz w:val="32"/>
          <w:szCs w:val="32"/>
        </w:rPr>
        <w:t>25</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14:paraId="1ED5860F">
      <w:pPr>
        <w:pStyle w:val="23"/>
        <w:tabs>
          <w:tab w:val="right" w:leader="dot" w:pos="8619"/>
        </w:tabs>
        <w:spacing w:line="48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_Toc11567 </w:instrText>
      </w:r>
      <w:r>
        <w:rPr>
          <w:rFonts w:hint="eastAsia" w:ascii="宋体" w:hAnsi="宋体" w:eastAsia="宋体" w:cs="宋体"/>
          <w:sz w:val="32"/>
          <w:szCs w:val="32"/>
        </w:rPr>
        <w:fldChar w:fldCharType="separate"/>
      </w:r>
      <w:r>
        <w:rPr>
          <w:rFonts w:hint="eastAsia" w:ascii="宋体" w:hAnsi="宋体" w:eastAsia="宋体" w:cs="宋体"/>
          <w:sz w:val="32"/>
          <w:szCs w:val="32"/>
          <w:lang w:val="en-US" w:eastAsia="zh-CN"/>
        </w:rPr>
        <w:t>11 附则</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_Toc11567 \h </w:instrText>
      </w:r>
      <w:r>
        <w:rPr>
          <w:rFonts w:hint="eastAsia" w:ascii="宋体" w:hAnsi="宋体" w:eastAsia="宋体" w:cs="宋体"/>
          <w:sz w:val="32"/>
          <w:szCs w:val="32"/>
        </w:rPr>
        <w:fldChar w:fldCharType="separate"/>
      </w:r>
      <w:r>
        <w:rPr>
          <w:rFonts w:hint="eastAsia" w:ascii="宋体" w:hAnsi="宋体" w:eastAsia="宋体" w:cs="宋体"/>
          <w:sz w:val="32"/>
          <w:szCs w:val="32"/>
        </w:rPr>
        <w:t>25</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14:paraId="3AECA6E3">
      <w:pPr>
        <w:pStyle w:val="23"/>
        <w:tabs>
          <w:tab w:val="right" w:leader="dot" w:pos="8619"/>
        </w:tabs>
        <w:spacing w:line="48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_Toc1890 </w:instrText>
      </w:r>
      <w:r>
        <w:rPr>
          <w:rFonts w:hint="eastAsia" w:ascii="宋体" w:hAnsi="宋体" w:eastAsia="宋体" w:cs="宋体"/>
          <w:sz w:val="32"/>
          <w:szCs w:val="32"/>
        </w:rPr>
        <w:fldChar w:fldCharType="separate"/>
      </w:r>
      <w:r>
        <w:rPr>
          <w:rFonts w:hint="eastAsia" w:ascii="宋体" w:hAnsi="宋体" w:eastAsia="宋体" w:cs="宋体"/>
          <w:sz w:val="32"/>
          <w:szCs w:val="32"/>
          <w:lang w:val="en-US" w:eastAsia="zh-CN"/>
        </w:rPr>
        <w:t>12 附录附表</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_Toc1890 \h </w:instrText>
      </w:r>
      <w:r>
        <w:rPr>
          <w:rFonts w:hint="eastAsia" w:ascii="宋体" w:hAnsi="宋体" w:eastAsia="宋体" w:cs="宋体"/>
          <w:sz w:val="32"/>
          <w:szCs w:val="32"/>
        </w:rPr>
        <w:fldChar w:fldCharType="separate"/>
      </w:r>
      <w:r>
        <w:rPr>
          <w:rFonts w:hint="eastAsia" w:ascii="宋体" w:hAnsi="宋体" w:eastAsia="宋体" w:cs="宋体"/>
          <w:sz w:val="32"/>
          <w:szCs w:val="32"/>
        </w:rPr>
        <w:t>25</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14:paraId="537E2062">
      <w:pPr>
        <w:spacing w:line="480" w:lineRule="auto"/>
        <w:jc w:val="left"/>
        <w:rPr>
          <w:rFonts w:hint="eastAsia" w:ascii="宋体" w:hAnsi="宋体" w:eastAsia="宋体" w:cs="宋体"/>
          <w:b/>
          <w:sz w:val="32"/>
          <w:szCs w:val="32"/>
        </w:rPr>
      </w:pPr>
      <w:r>
        <w:rPr>
          <w:rFonts w:hint="eastAsia" w:ascii="宋体" w:hAnsi="宋体" w:eastAsia="宋体" w:cs="宋体"/>
          <w:sz w:val="32"/>
          <w:szCs w:val="32"/>
        </w:rPr>
        <w:fldChar w:fldCharType="end"/>
      </w:r>
    </w:p>
    <w:p w14:paraId="12228415"/>
    <w:p w14:paraId="3E6AEFC1">
      <w:pPr>
        <w:tabs>
          <w:tab w:val="left" w:pos="2479"/>
        </w:tabs>
        <w:spacing w:line="800" w:lineRule="exact"/>
        <w:rPr>
          <w:rFonts w:ascii="宋体" w:hAnsi="宋体"/>
        </w:rPr>
        <w:sectPr>
          <w:headerReference r:id="rId3" w:type="default"/>
          <w:footerReference r:id="rId4" w:type="default"/>
          <w:pgSz w:w="11907" w:h="16840"/>
          <w:pgMar w:top="1474" w:right="1474" w:bottom="1474" w:left="1814" w:header="851" w:footer="851" w:gutter="0"/>
          <w:cols w:space="720" w:num="1"/>
          <w:docGrid w:linePitch="326" w:charSpace="0"/>
        </w:sectPr>
      </w:pPr>
    </w:p>
    <w:p w14:paraId="31E6DA4C">
      <w:pPr>
        <w:pStyle w:val="3"/>
        <w:keepNext/>
        <w:keepLines/>
        <w:pageBreakBefore w:val="0"/>
        <w:widowControl w:val="0"/>
        <w:kinsoku w:val="0"/>
        <w:wordWrap/>
        <w:overflowPunct/>
        <w:topLinePunct w:val="0"/>
        <w:autoSpaceDE/>
        <w:autoSpaceDN/>
        <w:bidi w:val="0"/>
        <w:adjustRightInd w:val="0"/>
        <w:snapToGrid w:val="0"/>
        <w:ind w:firstLine="562" w:firstLineChars="200"/>
        <w:jc w:val="left"/>
        <w:textAlignment w:val="auto"/>
        <w:rPr>
          <w:sz w:val="28"/>
          <w:szCs w:val="13"/>
        </w:rPr>
      </w:pPr>
      <w:bookmarkStart w:id="0" w:name="_Toc170270571"/>
      <w:bookmarkEnd w:id="0"/>
      <w:bookmarkStart w:id="1" w:name="_Toc96238072"/>
      <w:bookmarkEnd w:id="1"/>
      <w:bookmarkStart w:id="2" w:name="_Toc170462597"/>
      <w:bookmarkEnd w:id="2"/>
      <w:bookmarkStart w:id="3" w:name="_Toc80271043"/>
      <w:bookmarkEnd w:id="3"/>
      <w:bookmarkStart w:id="4" w:name="_Toc964"/>
      <w:r>
        <w:rPr>
          <w:rFonts w:hint="eastAsia"/>
          <w:sz w:val="28"/>
          <w:szCs w:val="13"/>
        </w:rPr>
        <w:t>1 总则</w:t>
      </w:r>
      <w:bookmarkEnd w:id="4"/>
    </w:p>
    <w:p w14:paraId="005FB3B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ascii="宋体" w:hAnsi="宋体"/>
          <w:sz w:val="24"/>
          <w:szCs w:val="24"/>
        </w:rPr>
      </w:pPr>
      <w:r>
        <w:rPr>
          <w:rFonts w:hint="eastAsia" w:ascii="宋体" w:hAnsi="宋体"/>
          <w:sz w:val="24"/>
          <w:szCs w:val="24"/>
        </w:rPr>
        <w:t>1.1</w:t>
      </w:r>
      <w:r>
        <w:rPr>
          <w:rFonts w:hint="eastAsia" w:ascii="宋体" w:hAnsi="宋体"/>
          <w:bCs/>
          <w:sz w:val="24"/>
          <w:szCs w:val="24"/>
        </w:rPr>
        <w:t>本技术规范书适用于浙能伊犁新天煤化工有限责任公司气化炉</w:t>
      </w:r>
      <w:bookmarkStart w:id="5" w:name="_Hlk157283234"/>
      <w:r>
        <w:rPr>
          <w:rFonts w:hint="eastAsia" w:ascii="宋体" w:hAnsi="宋体"/>
          <w:bCs/>
          <w:sz w:val="24"/>
          <w:szCs w:val="24"/>
        </w:rPr>
        <w:t>大修和内筒体及</w:t>
      </w:r>
      <w:bookmarkEnd w:id="5"/>
      <w:r>
        <w:rPr>
          <w:rFonts w:hint="eastAsia" w:ascii="宋体" w:hAnsi="宋体"/>
          <w:bCs/>
          <w:sz w:val="24"/>
          <w:szCs w:val="24"/>
        </w:rPr>
        <w:t>下灰室锥体部分堆焊维保服务招标工作。</w:t>
      </w:r>
    </w:p>
    <w:p w14:paraId="7D7CAD00">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ascii="宋体" w:hAnsi="宋体"/>
          <w:sz w:val="24"/>
          <w:szCs w:val="24"/>
          <w:highlight w:val="none"/>
        </w:rPr>
      </w:pPr>
      <w:r>
        <w:rPr>
          <w:rFonts w:hint="eastAsia" w:ascii="宋体" w:hAnsi="宋体"/>
          <w:sz w:val="24"/>
          <w:szCs w:val="24"/>
          <w:highlight w:val="none"/>
        </w:rPr>
        <w:t>1.2本技术规范书提出的是最低限度的技术要求，并未对一切技术细节作出规定，也未充分引述有关标准和规范。投标方必须保证提供符合本技术规范书和相关国家标准要求的优质服务。对国家有关安全、环保等强制性标准，必须满足要求。</w:t>
      </w:r>
    </w:p>
    <w:p w14:paraId="050F206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ascii="宋体" w:hAnsi="宋体"/>
          <w:sz w:val="24"/>
          <w:szCs w:val="24"/>
          <w:highlight w:val="none"/>
        </w:rPr>
      </w:pPr>
      <w:r>
        <w:rPr>
          <w:rFonts w:hint="eastAsia" w:ascii="宋体" w:hAnsi="宋体"/>
          <w:sz w:val="24"/>
          <w:szCs w:val="24"/>
          <w:highlight w:val="none"/>
        </w:rPr>
        <w:t>1.3如未对本技术规范书提出偏差，将认为投标方提供的服务符合规范和标准的要求。</w:t>
      </w:r>
    </w:p>
    <w:p w14:paraId="4D286DF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ascii="宋体" w:hAnsi="宋体"/>
          <w:sz w:val="24"/>
          <w:szCs w:val="24"/>
          <w:highlight w:val="none"/>
        </w:rPr>
      </w:pPr>
      <w:r>
        <w:rPr>
          <w:rFonts w:hint="eastAsia" w:ascii="宋体" w:hAnsi="宋体"/>
          <w:sz w:val="24"/>
          <w:szCs w:val="24"/>
          <w:highlight w:val="none"/>
        </w:rPr>
        <w:t>1.4招标方不接受任何带有试验性质的服务工作。</w:t>
      </w:r>
    </w:p>
    <w:p w14:paraId="54D28DA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ascii="宋体" w:hAnsi="宋体"/>
          <w:sz w:val="24"/>
          <w:szCs w:val="24"/>
          <w:highlight w:val="none"/>
        </w:rPr>
      </w:pPr>
      <w:r>
        <w:rPr>
          <w:rFonts w:hint="eastAsia" w:ascii="宋体" w:hAnsi="宋体"/>
          <w:sz w:val="24"/>
          <w:szCs w:val="24"/>
          <w:highlight w:val="none"/>
        </w:rPr>
        <w:t>1.5投标方在整个</w:t>
      </w:r>
      <w:r>
        <w:rPr>
          <w:rFonts w:hint="eastAsia" w:ascii="宋体" w:hAnsi="宋体"/>
          <w:sz w:val="24"/>
          <w:szCs w:val="24"/>
          <w:highlight w:val="none"/>
          <w:lang w:eastAsia="zh-CN"/>
        </w:rPr>
        <w:t>项目</w:t>
      </w:r>
      <w:r>
        <w:rPr>
          <w:rFonts w:hint="eastAsia" w:ascii="宋体" w:hAnsi="宋体"/>
          <w:sz w:val="24"/>
          <w:szCs w:val="24"/>
          <w:highlight w:val="none"/>
        </w:rPr>
        <w:t>项目中所使用规范和标准必须遵循现行最新版本的国家标准。投标方应提供所使用的规范和标准。本技术规范书所使用的规范标准如遇与投标方所执行的规范标准发生矛盾时，应按较高标准执行。</w:t>
      </w:r>
    </w:p>
    <w:p w14:paraId="26BF9D3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ascii="宋体" w:hAnsi="宋体"/>
          <w:sz w:val="24"/>
          <w:szCs w:val="24"/>
          <w:highlight w:val="none"/>
        </w:rPr>
      </w:pPr>
      <w:r>
        <w:rPr>
          <w:rFonts w:hint="eastAsia" w:ascii="宋体" w:hAnsi="宋体"/>
          <w:sz w:val="24"/>
          <w:szCs w:val="24"/>
          <w:highlight w:val="none"/>
        </w:rPr>
        <w:t>1.6在签订合同之后，招标方有权提出因规范标准和规程发生变化而产生的一些补充要求，具体项目由招标方和投标方共同商定。</w:t>
      </w:r>
    </w:p>
    <w:p w14:paraId="185F802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ascii="宋体" w:hAnsi="宋体"/>
          <w:sz w:val="24"/>
          <w:szCs w:val="24"/>
          <w:highlight w:val="none"/>
        </w:rPr>
      </w:pPr>
      <w:r>
        <w:rPr>
          <w:rFonts w:hint="eastAsia" w:ascii="宋体" w:hAnsi="宋体"/>
          <w:sz w:val="24"/>
          <w:szCs w:val="24"/>
          <w:highlight w:val="none"/>
        </w:rPr>
        <w:t>1.7 投标人资质的要求，投标人提供的</w:t>
      </w:r>
      <w:r>
        <w:rPr>
          <w:rFonts w:hint="eastAsia" w:ascii="宋体" w:hAnsi="宋体"/>
          <w:sz w:val="24"/>
          <w:szCs w:val="24"/>
          <w:highlight w:val="none"/>
          <w:lang w:eastAsia="zh-CN"/>
        </w:rPr>
        <w:t>项目</w:t>
      </w:r>
      <w:r>
        <w:rPr>
          <w:rFonts w:hint="eastAsia" w:ascii="宋体" w:hAnsi="宋体"/>
          <w:sz w:val="24"/>
          <w:szCs w:val="24"/>
          <w:highlight w:val="none"/>
        </w:rPr>
        <w:t>服务应是成熟可靠、技术先进，类似行业有气化炉堆焊inconeL625相关业绩。</w:t>
      </w:r>
    </w:p>
    <w:p w14:paraId="6E8ECD2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ascii="宋体" w:hAnsi="宋体"/>
          <w:sz w:val="24"/>
          <w:szCs w:val="24"/>
          <w:highlight w:val="none"/>
        </w:rPr>
      </w:pPr>
      <w:r>
        <w:rPr>
          <w:rFonts w:hint="eastAsia" w:ascii="宋体" w:hAnsi="宋体"/>
          <w:sz w:val="24"/>
          <w:szCs w:val="24"/>
          <w:highlight w:val="none"/>
        </w:rPr>
        <w:t>1.8本技术规范书将作为合同的附件，与合同正文具有同等效力。</w:t>
      </w:r>
    </w:p>
    <w:p w14:paraId="6E84DA1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ascii="宋体" w:hAnsi="宋体"/>
          <w:sz w:val="24"/>
          <w:szCs w:val="24"/>
          <w:highlight w:val="none"/>
        </w:rPr>
      </w:pPr>
      <w:r>
        <w:rPr>
          <w:rFonts w:hint="eastAsia" w:ascii="宋体" w:hAnsi="宋体"/>
          <w:sz w:val="24"/>
          <w:szCs w:val="24"/>
          <w:highlight w:val="none"/>
        </w:rPr>
        <w:t>1.9未尽事宜，双方友好协商解决。</w:t>
      </w:r>
    </w:p>
    <w:p w14:paraId="4139A2A6">
      <w:pPr>
        <w:pStyle w:val="3"/>
        <w:keepNext/>
        <w:keepLines/>
        <w:pageBreakBefore w:val="0"/>
        <w:widowControl w:val="0"/>
        <w:kinsoku w:val="0"/>
        <w:wordWrap/>
        <w:overflowPunct/>
        <w:topLinePunct w:val="0"/>
        <w:autoSpaceDE/>
        <w:autoSpaceDN/>
        <w:bidi w:val="0"/>
        <w:adjustRightInd w:val="0"/>
        <w:snapToGrid w:val="0"/>
        <w:ind w:firstLine="562" w:firstLineChars="200"/>
        <w:jc w:val="left"/>
        <w:textAlignment w:val="auto"/>
        <w:rPr>
          <w:rFonts w:hint="eastAsia"/>
          <w:sz w:val="28"/>
          <w:szCs w:val="13"/>
          <w:highlight w:val="none"/>
        </w:rPr>
      </w:pPr>
      <w:bookmarkStart w:id="6" w:name="_Toc80271044"/>
      <w:bookmarkEnd w:id="6"/>
      <w:bookmarkStart w:id="7" w:name="_Toc9213"/>
      <w:r>
        <w:rPr>
          <w:rFonts w:hint="eastAsia"/>
          <w:sz w:val="28"/>
          <w:szCs w:val="13"/>
          <w:highlight w:val="none"/>
        </w:rPr>
        <w:t>2 项目概况</w:t>
      </w:r>
      <w:bookmarkEnd w:id="7"/>
    </w:p>
    <w:p w14:paraId="459C7C59">
      <w:pPr>
        <w:keepNext w:val="0"/>
        <w:keepLines w:val="0"/>
        <w:pageBreakBefore w:val="0"/>
        <w:widowControl w:val="0"/>
        <w:tabs>
          <w:tab w:val="left" w:pos="480"/>
        </w:tabs>
        <w:kinsoku w:val="0"/>
        <w:wordWrap/>
        <w:overflowPunct/>
        <w:topLinePunct w:val="0"/>
        <w:autoSpaceDE/>
        <w:autoSpaceDN/>
        <w:bidi w:val="0"/>
        <w:adjustRightInd w:val="0"/>
        <w:snapToGrid w:val="0"/>
        <w:spacing w:line="360" w:lineRule="auto"/>
        <w:ind w:firstLine="480" w:firstLineChars="200"/>
        <w:jc w:val="left"/>
        <w:textAlignment w:val="auto"/>
        <w:rPr>
          <w:rStyle w:val="87"/>
          <w:rFonts w:hint="eastAsia" w:ascii="宋体" w:hAnsi="宋体"/>
          <w:sz w:val="24"/>
          <w:szCs w:val="24"/>
          <w:highlight w:val="none"/>
        </w:rPr>
      </w:pPr>
      <w:r>
        <w:rPr>
          <w:rStyle w:val="87"/>
          <w:rFonts w:hint="eastAsia" w:ascii="宋体" w:hAnsi="宋体"/>
          <w:sz w:val="24"/>
          <w:szCs w:val="24"/>
          <w:highlight w:val="none"/>
        </w:rPr>
        <w:t xml:space="preserve">公司建于新疆维吾尔自治区伊宁市巴彦岱镇火龙洞以北，北靠天山支脉科古琴山，南临伊犁河，厂址地形高差较大，北高南低，海拔标高约1000-1080m 之间，东西向中部大部分地段较为平缓。土地属于半荒漠草场。 </w:t>
      </w:r>
    </w:p>
    <w:p w14:paraId="54B298EC">
      <w:pPr>
        <w:keepNext w:val="0"/>
        <w:keepLines w:val="0"/>
        <w:pageBreakBefore w:val="0"/>
        <w:widowControl w:val="0"/>
        <w:tabs>
          <w:tab w:val="left" w:pos="480"/>
        </w:tabs>
        <w:kinsoku w:val="0"/>
        <w:wordWrap/>
        <w:overflowPunct/>
        <w:topLinePunct w:val="0"/>
        <w:autoSpaceDE/>
        <w:autoSpaceDN/>
        <w:bidi w:val="0"/>
        <w:adjustRightInd w:val="0"/>
        <w:snapToGrid w:val="0"/>
        <w:spacing w:line="360" w:lineRule="auto"/>
        <w:ind w:firstLine="480" w:firstLineChars="200"/>
        <w:jc w:val="left"/>
        <w:textAlignment w:val="auto"/>
        <w:rPr>
          <w:rStyle w:val="87"/>
          <w:rFonts w:hint="eastAsia" w:ascii="宋体" w:hAnsi="宋体" w:eastAsia="宋体"/>
          <w:sz w:val="24"/>
          <w:szCs w:val="24"/>
          <w:highlight w:val="none"/>
          <w:lang w:val="en-US" w:eastAsia="zh-CN"/>
        </w:rPr>
      </w:pPr>
      <w:r>
        <w:rPr>
          <w:rStyle w:val="87"/>
          <w:rFonts w:hint="eastAsia" w:ascii="宋体" w:hAnsi="宋体"/>
          <w:sz w:val="24"/>
          <w:szCs w:val="24"/>
          <w:highlight w:val="none"/>
        </w:rPr>
        <w:t>该地区属大陆性气候，因地形关系，经常形成多雨雪的天气。冬季寒冷，夏季炎热，7 月份极端最高气温为 39.2℃；1 月份最低气温为-30.9℃，极端最低气温为-36℃，全年平均气温9℃；年平均降水量269mm；年平均蒸发量为1604.3mm；空气平均相对湿度65%；50年一遇基本雪压1.0kPa，最大积雪厚度79cm。最大冻结深度120cm。常年主导风向为东风和偏西风，50年一遇基本风压0.6kPa。</w:t>
      </w:r>
    </w:p>
    <w:p w14:paraId="6049CE1F">
      <w:pPr>
        <w:pStyle w:val="3"/>
        <w:keepNext/>
        <w:keepLines/>
        <w:pageBreakBefore w:val="0"/>
        <w:widowControl w:val="0"/>
        <w:kinsoku w:val="0"/>
        <w:wordWrap/>
        <w:overflowPunct/>
        <w:topLinePunct w:val="0"/>
        <w:autoSpaceDE/>
        <w:autoSpaceDN/>
        <w:bidi w:val="0"/>
        <w:adjustRightInd w:val="0"/>
        <w:snapToGrid w:val="0"/>
        <w:ind w:firstLine="562" w:firstLineChars="200"/>
        <w:jc w:val="left"/>
        <w:textAlignment w:val="auto"/>
        <w:rPr>
          <w:rFonts w:hint="eastAsia"/>
          <w:sz w:val="28"/>
          <w:szCs w:val="13"/>
          <w:highlight w:val="none"/>
          <w:lang w:eastAsia="zh-CN"/>
        </w:rPr>
      </w:pPr>
      <w:bookmarkStart w:id="8" w:name="_Toc14279"/>
      <w:r>
        <w:rPr>
          <w:rFonts w:hint="eastAsia"/>
          <w:sz w:val="28"/>
          <w:szCs w:val="13"/>
          <w:highlight w:val="none"/>
        </w:rPr>
        <w:t>3</w:t>
      </w:r>
      <w:r>
        <w:rPr>
          <w:rFonts w:hint="eastAsia"/>
          <w:sz w:val="28"/>
          <w:szCs w:val="13"/>
          <w:highlight w:val="none"/>
          <w:lang w:val="en-US" w:eastAsia="zh-CN"/>
        </w:rPr>
        <w:t xml:space="preserve"> 项目</w:t>
      </w:r>
      <w:r>
        <w:rPr>
          <w:rFonts w:hint="eastAsia"/>
          <w:sz w:val="28"/>
          <w:szCs w:val="13"/>
          <w:highlight w:val="none"/>
        </w:rPr>
        <w:t>范围及</w:t>
      </w:r>
      <w:r>
        <w:rPr>
          <w:rFonts w:hint="eastAsia"/>
          <w:sz w:val="28"/>
          <w:szCs w:val="13"/>
          <w:highlight w:val="none"/>
          <w:lang w:val="en-US" w:eastAsia="zh-CN"/>
        </w:rPr>
        <w:t>工期</w:t>
      </w:r>
      <w:bookmarkEnd w:id="8"/>
    </w:p>
    <w:p w14:paraId="31BDC1D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eastAsia="宋体" w:cs="Times New Roman"/>
          <w:sz w:val="24"/>
          <w:szCs w:val="24"/>
          <w:highlight w:val="none"/>
          <w:lang w:val="en-US" w:eastAsia="zh-CN"/>
        </w:rPr>
      </w:pPr>
      <w:r>
        <w:rPr>
          <w:rFonts w:hint="eastAsia" w:ascii="宋体" w:hAnsi="宋体" w:eastAsia="宋体" w:cs="Times New Roman"/>
          <w:sz w:val="24"/>
          <w:szCs w:val="24"/>
          <w:highlight w:val="none"/>
          <w:lang w:val="en-US" w:eastAsia="zh-CN"/>
        </w:rPr>
        <w:t>3.1</w:t>
      </w:r>
      <w:r>
        <w:rPr>
          <w:rFonts w:hint="eastAsia" w:ascii="宋体" w:hAnsi="宋体" w:cs="Times New Roman"/>
          <w:sz w:val="24"/>
          <w:szCs w:val="24"/>
          <w:highlight w:val="none"/>
          <w:lang w:val="en-US" w:eastAsia="zh-CN"/>
        </w:rPr>
        <w:t>项目</w:t>
      </w:r>
      <w:r>
        <w:rPr>
          <w:rFonts w:hint="eastAsia" w:ascii="宋体" w:hAnsi="宋体" w:eastAsia="宋体" w:cs="Times New Roman"/>
          <w:sz w:val="24"/>
          <w:szCs w:val="24"/>
          <w:highlight w:val="none"/>
          <w:lang w:val="en-US" w:eastAsia="zh-CN"/>
        </w:rPr>
        <w:t>范围</w:t>
      </w:r>
    </w:p>
    <w:p w14:paraId="7E4335D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sz w:val="24"/>
          <w:szCs w:val="24"/>
          <w:highlight w:val="none"/>
          <w:lang w:val="en-US" w:eastAsia="zh-CN"/>
        </w:rPr>
      </w:pPr>
      <w:r>
        <w:rPr>
          <w:rFonts w:hint="eastAsia" w:ascii="宋体" w:hAnsi="宋体" w:eastAsia="宋体" w:cs="Times New Roman"/>
          <w:sz w:val="24"/>
          <w:szCs w:val="24"/>
          <w:highlight w:val="none"/>
          <w:lang w:val="en-US" w:eastAsia="zh-CN"/>
        </w:rPr>
        <w:t>3.1.1 气化炉大修服务，</w:t>
      </w:r>
      <w:r>
        <w:rPr>
          <w:rFonts w:hint="eastAsia" w:ascii="宋体" w:hAnsi="宋体" w:eastAsia="宋体" w:cs="Times New Roman"/>
          <w:sz w:val="24"/>
          <w:szCs w:val="24"/>
          <w:highlight w:val="none"/>
        </w:rPr>
        <w:t>含煤锁、炉篦及驱动装置、灰锁、膨胀冷却器、气化炉炉体、洗涤冷却器、</w:t>
      </w:r>
      <w:r>
        <w:rPr>
          <w:rFonts w:hint="eastAsia" w:ascii="宋体" w:hAnsi="宋体" w:cs="Times New Roman"/>
          <w:sz w:val="24"/>
          <w:szCs w:val="24"/>
          <w:highlight w:val="none"/>
          <w:lang w:val="en-US" w:eastAsia="zh-CN"/>
        </w:rPr>
        <w:t>偏心套组件拆装及2㎡以内的补焊服务</w:t>
      </w:r>
      <w:r>
        <w:rPr>
          <w:rFonts w:hint="eastAsia" w:ascii="宋体" w:hAnsi="宋体" w:eastAsia="宋体" w:cs="Times New Roman"/>
          <w:sz w:val="24"/>
          <w:szCs w:val="24"/>
          <w:highlight w:val="none"/>
        </w:rPr>
        <w:t>等设备检修</w:t>
      </w:r>
      <w:r>
        <w:rPr>
          <w:rFonts w:hint="eastAsia" w:ascii="宋体" w:hAnsi="宋体" w:eastAsia="宋体" w:cs="Times New Roman"/>
          <w:sz w:val="24"/>
          <w:szCs w:val="24"/>
          <w:highlight w:val="none"/>
          <w:lang w:val="en-US" w:eastAsia="zh-CN"/>
        </w:rPr>
        <w:t>等</w:t>
      </w:r>
      <w:r>
        <w:rPr>
          <w:rFonts w:hint="eastAsia" w:ascii="宋体" w:hAnsi="宋体" w:eastAsia="宋体" w:cs="Times New Roman"/>
          <w:b/>
          <w:bCs/>
          <w:sz w:val="24"/>
          <w:szCs w:val="24"/>
          <w:highlight w:val="none"/>
          <w:lang w:val="en-US" w:eastAsia="zh-CN"/>
        </w:rPr>
        <w:t>共计</w:t>
      </w:r>
      <w:r>
        <w:rPr>
          <w:rFonts w:hint="eastAsia" w:ascii="宋体" w:hAnsi="宋体" w:cs="Times New Roman"/>
          <w:b/>
          <w:bCs/>
          <w:sz w:val="24"/>
          <w:szCs w:val="24"/>
          <w:highlight w:val="none"/>
          <w:lang w:val="en-US" w:eastAsia="zh-CN"/>
        </w:rPr>
        <w:t>14</w:t>
      </w:r>
      <w:r>
        <w:rPr>
          <w:rFonts w:hint="eastAsia" w:ascii="宋体" w:hAnsi="宋体" w:eastAsia="宋体" w:cs="Times New Roman"/>
          <w:b/>
          <w:bCs/>
          <w:sz w:val="24"/>
          <w:szCs w:val="24"/>
          <w:highlight w:val="none"/>
        </w:rPr>
        <w:t>台</w:t>
      </w:r>
      <w:r>
        <w:rPr>
          <w:rFonts w:hint="eastAsia" w:ascii="宋体" w:hAnsi="宋体" w:eastAsia="宋体" w:cs="Times New Roman"/>
          <w:sz w:val="24"/>
          <w:szCs w:val="24"/>
          <w:highlight w:val="none"/>
        </w:rPr>
        <w:t>气化炉及其附属设备进行拆装及检修</w:t>
      </w:r>
      <w:r>
        <w:rPr>
          <w:rFonts w:hint="eastAsia" w:ascii="宋体" w:hAnsi="宋体" w:eastAsia="宋体" w:cs="Times New Roman"/>
          <w:sz w:val="24"/>
          <w:szCs w:val="24"/>
          <w:highlight w:val="none"/>
          <w:lang w:val="en-US" w:eastAsia="zh-CN"/>
        </w:rPr>
        <w:t>工作</w:t>
      </w:r>
      <w:r>
        <w:rPr>
          <w:rFonts w:hint="eastAsia" w:ascii="宋体" w:hAnsi="宋体" w:eastAsia="宋体" w:cs="Times New Roman"/>
          <w:sz w:val="24"/>
          <w:szCs w:val="24"/>
          <w:highlight w:val="none"/>
          <w:lang w:eastAsia="zh-CN"/>
        </w:rPr>
        <w:t>。</w:t>
      </w:r>
    </w:p>
    <w:p w14:paraId="05B3E5E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highlight w:val="none"/>
          <w:lang w:val="en-US" w:eastAsia="zh-CN"/>
        </w:rPr>
      </w:pPr>
      <w:r>
        <w:rPr>
          <w:rFonts w:hint="eastAsia" w:ascii="宋体" w:hAnsi="宋体" w:cs="Times New Roman"/>
          <w:sz w:val="24"/>
          <w:szCs w:val="24"/>
          <w:highlight w:val="none"/>
          <w:lang w:val="en-US" w:eastAsia="zh-CN"/>
        </w:rPr>
        <w:t>3.1.2气化炉内筒体及下灰室锥体部分堆焊</w:t>
      </w:r>
      <w:r>
        <w:rPr>
          <w:rFonts w:hint="eastAsia" w:ascii="宋体" w:hAnsi="宋体" w:eastAsia="宋体" w:cs="Times New Roman"/>
          <w:sz w:val="24"/>
          <w:szCs w:val="24"/>
          <w:highlight w:val="none"/>
          <w:lang w:val="en-US" w:eastAsia="zh-CN"/>
        </w:rPr>
        <w:t>，</w:t>
      </w:r>
      <w:r>
        <w:rPr>
          <w:rFonts w:hint="eastAsia" w:ascii="宋体" w:hAnsi="宋体" w:eastAsia="宋体" w:cs="Times New Roman"/>
          <w:sz w:val="24"/>
          <w:szCs w:val="24"/>
          <w:highlight w:val="none"/>
        </w:rPr>
        <w:t>含煤锁、炉篦及驱动装置、灰锁、膨胀冷却器、气化炉炉体、洗涤冷却器、</w:t>
      </w:r>
      <w:r>
        <w:rPr>
          <w:rFonts w:hint="eastAsia" w:ascii="宋体" w:hAnsi="宋体" w:cs="Times New Roman"/>
          <w:sz w:val="24"/>
          <w:szCs w:val="24"/>
          <w:highlight w:val="none"/>
          <w:lang w:val="en-US" w:eastAsia="zh-CN"/>
        </w:rPr>
        <w:t>偏心套组件拆装</w:t>
      </w:r>
      <w:r>
        <w:rPr>
          <w:rFonts w:hint="eastAsia" w:ascii="宋体" w:hAnsi="宋体" w:eastAsia="宋体" w:cs="Times New Roman"/>
          <w:sz w:val="24"/>
          <w:szCs w:val="24"/>
          <w:highlight w:val="none"/>
        </w:rPr>
        <w:t>等设备检修，并对内夹套</w:t>
      </w:r>
      <w:r>
        <w:rPr>
          <w:rFonts w:hint="eastAsia" w:ascii="宋体" w:hAnsi="宋体" w:cs="Times New Roman"/>
          <w:sz w:val="24"/>
          <w:szCs w:val="24"/>
          <w:highlight w:val="none"/>
          <w:lang w:eastAsia="zh-CN"/>
        </w:rPr>
        <w:t>、</w:t>
      </w:r>
      <w:r>
        <w:rPr>
          <w:rFonts w:hint="eastAsia" w:ascii="宋体" w:hAnsi="宋体" w:cs="Times New Roman"/>
          <w:sz w:val="24"/>
          <w:szCs w:val="24"/>
          <w:highlight w:val="none"/>
          <w:lang w:val="en-US" w:eastAsia="zh-CN"/>
        </w:rPr>
        <w:t>下锥体</w:t>
      </w:r>
      <w:r>
        <w:rPr>
          <w:rFonts w:hint="eastAsia" w:ascii="宋体" w:hAnsi="宋体" w:eastAsia="宋体" w:cs="Times New Roman"/>
          <w:sz w:val="24"/>
          <w:szCs w:val="24"/>
          <w:highlight w:val="none"/>
        </w:rPr>
        <w:t>原堆焊层腐蚀、脱落的部分进行打磨、堆焊</w:t>
      </w:r>
      <w:r>
        <w:rPr>
          <w:rFonts w:hint="eastAsia" w:ascii="宋体" w:hAnsi="宋体" w:cs="Times New Roman"/>
          <w:sz w:val="24"/>
          <w:szCs w:val="24"/>
          <w:highlight w:val="none"/>
          <w:lang w:eastAsia="zh-CN"/>
        </w:rPr>
        <w:t>（</w:t>
      </w:r>
      <w:r>
        <w:rPr>
          <w:rFonts w:hint="eastAsia" w:ascii="宋体" w:hAnsi="宋体" w:cs="Times New Roman"/>
          <w:sz w:val="24"/>
          <w:szCs w:val="24"/>
          <w:highlight w:val="none"/>
          <w:lang w:val="en-US" w:eastAsia="zh-CN"/>
        </w:rPr>
        <w:t>2㎡以上</w:t>
      </w:r>
      <w:r>
        <w:rPr>
          <w:rFonts w:hint="eastAsia" w:ascii="宋体" w:hAnsi="宋体" w:cs="Times New Roman"/>
          <w:sz w:val="24"/>
          <w:szCs w:val="24"/>
          <w:highlight w:val="none"/>
          <w:lang w:eastAsia="zh-CN"/>
        </w:rPr>
        <w:t>）</w:t>
      </w:r>
      <w:r>
        <w:rPr>
          <w:rFonts w:hint="eastAsia" w:ascii="宋体" w:hAnsi="宋体" w:eastAsia="宋体" w:cs="Times New Roman"/>
          <w:sz w:val="24"/>
          <w:szCs w:val="24"/>
          <w:highlight w:val="none"/>
          <w:lang w:val="en-US" w:eastAsia="zh-CN"/>
        </w:rPr>
        <w:t>等</w:t>
      </w:r>
      <w:r>
        <w:rPr>
          <w:rFonts w:hint="eastAsia" w:ascii="宋体" w:hAnsi="宋体" w:eastAsia="宋体" w:cs="Times New Roman"/>
          <w:b/>
          <w:bCs/>
          <w:sz w:val="24"/>
          <w:szCs w:val="24"/>
          <w:highlight w:val="none"/>
          <w:lang w:val="en-US" w:eastAsia="zh-CN"/>
        </w:rPr>
        <w:t>共计</w:t>
      </w:r>
      <w:r>
        <w:rPr>
          <w:rFonts w:hint="eastAsia" w:ascii="宋体" w:hAnsi="宋体" w:cs="Times New Roman"/>
          <w:b/>
          <w:bCs/>
          <w:sz w:val="24"/>
          <w:szCs w:val="24"/>
          <w:highlight w:val="none"/>
          <w:lang w:val="en-US" w:eastAsia="zh-CN"/>
        </w:rPr>
        <w:t>6</w:t>
      </w:r>
      <w:r>
        <w:rPr>
          <w:rFonts w:hint="eastAsia" w:ascii="宋体" w:hAnsi="宋体" w:eastAsia="宋体" w:cs="Times New Roman"/>
          <w:b/>
          <w:bCs/>
          <w:sz w:val="24"/>
          <w:szCs w:val="24"/>
          <w:highlight w:val="none"/>
        </w:rPr>
        <w:t>台</w:t>
      </w:r>
      <w:r>
        <w:rPr>
          <w:rFonts w:hint="eastAsia" w:ascii="宋体" w:hAnsi="宋体" w:eastAsia="宋体" w:cs="Times New Roman"/>
          <w:sz w:val="24"/>
          <w:szCs w:val="24"/>
          <w:highlight w:val="none"/>
        </w:rPr>
        <w:t>气化炉及其附属设备进行拆装及检修</w:t>
      </w:r>
      <w:r>
        <w:rPr>
          <w:rFonts w:hint="eastAsia" w:ascii="宋体" w:hAnsi="宋体" w:eastAsia="宋体" w:cs="Times New Roman"/>
          <w:sz w:val="24"/>
          <w:szCs w:val="24"/>
          <w:highlight w:val="none"/>
          <w:lang w:val="en-US" w:eastAsia="zh-CN"/>
        </w:rPr>
        <w:t>工作</w:t>
      </w:r>
      <w:r>
        <w:rPr>
          <w:rFonts w:hint="eastAsia" w:ascii="宋体" w:hAnsi="宋体" w:eastAsia="宋体" w:cs="Times New Roman"/>
          <w:sz w:val="24"/>
          <w:szCs w:val="24"/>
          <w:highlight w:val="none"/>
          <w:lang w:eastAsia="zh-CN"/>
        </w:rPr>
        <w:t>。</w:t>
      </w:r>
      <w:r>
        <w:rPr>
          <w:rFonts w:hint="eastAsia" w:ascii="宋体" w:hAnsi="宋体"/>
          <w:sz w:val="24"/>
          <w:szCs w:val="24"/>
          <w:highlight w:val="none"/>
          <w:lang w:val="en-US" w:eastAsia="zh-CN"/>
        </w:rPr>
        <w:t xml:space="preserve"> </w:t>
      </w:r>
    </w:p>
    <w:p w14:paraId="4F2C999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highlight w:val="none"/>
          <w:lang w:val="en-US" w:eastAsia="zh-CN"/>
        </w:rPr>
      </w:pPr>
      <w:r>
        <w:rPr>
          <w:rFonts w:hint="eastAsia" w:ascii="宋体" w:hAnsi="宋体"/>
          <w:sz w:val="24"/>
          <w:szCs w:val="24"/>
          <w:highlight w:val="none"/>
          <w:lang w:val="en-US" w:eastAsia="zh-CN"/>
        </w:rPr>
        <w:t>3.1.3 投标方应充分进行现场勘探和评估，因施工区域缺陷和施工难度而引起的施工方案的调整，均由投标方无条件完成，招标方不再另行增加费用。</w:t>
      </w:r>
    </w:p>
    <w:p w14:paraId="1BA1079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highlight w:val="none"/>
          <w:lang w:val="en-US" w:eastAsia="zh-CN"/>
        </w:rPr>
      </w:pPr>
      <w:r>
        <w:rPr>
          <w:rFonts w:hint="eastAsia" w:ascii="宋体" w:hAnsi="宋体"/>
          <w:sz w:val="24"/>
          <w:szCs w:val="24"/>
          <w:highlight w:val="none"/>
          <w:lang w:val="en-US" w:eastAsia="zh-CN"/>
        </w:rPr>
        <w:t>3.1.4 投标方负责对气化装置气化炉、洗涤冷却器结焦清理工作，负责气化炉、煤仓及溜槽、贮槽等内部的物料清除工作，负责工艺隔离、置换后系统设备当中堆积的物料焦渣清理工作。</w:t>
      </w:r>
    </w:p>
    <w:p w14:paraId="322FA31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rPr>
      </w:pPr>
      <w:r>
        <w:rPr>
          <w:rFonts w:hint="eastAsia" w:ascii="宋体" w:hAnsi="宋体"/>
          <w:sz w:val="24"/>
          <w:szCs w:val="24"/>
          <w:highlight w:val="none"/>
          <w:lang w:val="en-US" w:eastAsia="zh-CN"/>
        </w:rPr>
        <w:t>3.1.5 本项目堆焊检修工作量为</w:t>
      </w:r>
      <w:r>
        <w:rPr>
          <w:rFonts w:hint="eastAsia" w:ascii="宋体" w:hAnsi="宋体"/>
          <w:sz w:val="24"/>
          <w:szCs w:val="24"/>
          <w:lang w:val="en-US" w:eastAsia="zh-CN"/>
        </w:rPr>
        <w:t>暂估量，检修过程中如有变化，以实际完成工作量进行统计、核算。单台气化炉内筒体需重新堆焊的部分，其高度约1500mm,直径3848mm,需清除原堆焊层、打磨母材并再次堆焊的面积预计18.12m</w:t>
      </w:r>
      <w:r>
        <w:rPr>
          <w:rFonts w:hint="eastAsia" w:ascii="宋体" w:hAnsi="宋体"/>
          <w:sz w:val="24"/>
          <w:szCs w:val="24"/>
          <w:vertAlign w:val="superscript"/>
          <w:lang w:val="en-US" w:eastAsia="zh-CN"/>
        </w:rPr>
        <w:t>2</w:t>
      </w:r>
      <w:r>
        <w:rPr>
          <w:rFonts w:hint="eastAsia" w:ascii="宋体" w:hAnsi="宋体"/>
          <w:sz w:val="24"/>
          <w:szCs w:val="24"/>
          <w:lang w:val="en-US" w:eastAsia="zh-CN"/>
        </w:rPr>
        <w:t>,下灰室内4根支柱部分需清除原堆焊层、打磨母材并再次堆焊的面积预计12.32m</w:t>
      </w:r>
      <w:r>
        <w:rPr>
          <w:rFonts w:hint="eastAsia" w:ascii="宋体" w:hAnsi="宋体"/>
          <w:sz w:val="24"/>
          <w:szCs w:val="24"/>
          <w:vertAlign w:val="superscript"/>
          <w:lang w:val="en-US" w:eastAsia="zh-CN"/>
        </w:rPr>
        <w:t>2</w:t>
      </w:r>
      <w:r>
        <w:rPr>
          <w:rFonts w:hint="eastAsia" w:ascii="宋体" w:hAnsi="宋体"/>
          <w:sz w:val="24"/>
          <w:szCs w:val="24"/>
          <w:lang w:val="en-US" w:eastAsia="zh-CN"/>
        </w:rPr>
        <w:t>,下灰室锥体部分需打磨、堆焊的面积预计10.26m</w:t>
      </w:r>
      <w:r>
        <w:rPr>
          <w:rFonts w:hint="eastAsia" w:ascii="宋体" w:hAnsi="宋体"/>
          <w:sz w:val="24"/>
          <w:szCs w:val="24"/>
          <w:vertAlign w:val="superscript"/>
          <w:lang w:val="en-US" w:eastAsia="zh-CN"/>
        </w:rPr>
        <w:t>2</w:t>
      </w:r>
      <w:r>
        <w:rPr>
          <w:rFonts w:hint="eastAsia" w:ascii="宋体" w:hAnsi="宋体"/>
          <w:sz w:val="24"/>
          <w:szCs w:val="24"/>
          <w:lang w:val="en-US" w:eastAsia="zh-CN"/>
        </w:rPr>
        <w:t>,下灰室膨胀弯预计12 m</w:t>
      </w:r>
      <w:r>
        <w:rPr>
          <w:rFonts w:hint="eastAsia" w:ascii="宋体" w:hAnsi="宋体"/>
          <w:sz w:val="24"/>
          <w:szCs w:val="24"/>
          <w:vertAlign w:val="superscript"/>
          <w:lang w:val="en-US" w:eastAsia="zh-CN"/>
        </w:rPr>
        <w:t>2</w:t>
      </w:r>
      <w:r>
        <w:rPr>
          <w:rFonts w:hint="eastAsia" w:ascii="宋体" w:hAnsi="宋体"/>
          <w:sz w:val="24"/>
          <w:szCs w:val="24"/>
          <w:lang w:val="en-US" w:eastAsia="zh-CN"/>
        </w:rPr>
        <w:t>，小椎体预计4.5 m</w:t>
      </w:r>
      <w:r>
        <w:rPr>
          <w:rFonts w:hint="eastAsia" w:ascii="宋体" w:hAnsi="宋体"/>
          <w:sz w:val="24"/>
          <w:szCs w:val="24"/>
          <w:vertAlign w:val="superscript"/>
          <w:lang w:val="en-US" w:eastAsia="zh-CN"/>
        </w:rPr>
        <w:t>2</w:t>
      </w:r>
      <w:r>
        <w:rPr>
          <w:rFonts w:hint="eastAsia" w:ascii="宋体" w:hAnsi="宋体"/>
          <w:sz w:val="24"/>
          <w:szCs w:val="24"/>
          <w:lang w:val="en-US" w:eastAsia="zh-CN"/>
        </w:rPr>
        <w:t>，预估量共计为57.2 m</w:t>
      </w:r>
      <w:r>
        <w:rPr>
          <w:rFonts w:hint="eastAsia" w:ascii="宋体" w:hAnsi="宋体"/>
          <w:sz w:val="24"/>
          <w:szCs w:val="24"/>
          <w:vertAlign w:val="superscript"/>
          <w:lang w:val="en-US" w:eastAsia="zh-CN"/>
        </w:rPr>
        <w:t>2</w:t>
      </w:r>
      <w:r>
        <w:rPr>
          <w:rFonts w:hint="eastAsia" w:ascii="宋体" w:hAnsi="宋体"/>
          <w:sz w:val="24"/>
          <w:szCs w:val="24"/>
          <w:lang w:val="en-US" w:eastAsia="zh-CN"/>
        </w:rPr>
        <w:t>。本项目的施工焊接堆焊范围为图1、图2中红色标识区域，详见下图，</w:t>
      </w:r>
    </w:p>
    <w:p w14:paraId="5718BC40">
      <w:pPr>
        <w:spacing w:line="360" w:lineRule="auto"/>
        <w:ind w:firstLine="600" w:firstLineChars="250"/>
        <w:rPr>
          <w:rFonts w:hint="eastAsia" w:ascii="宋体" w:hAnsi="宋体"/>
          <w:sz w:val="24"/>
          <w:szCs w:val="24"/>
        </w:rPr>
        <w:sectPr>
          <w:headerReference r:id="rId5" w:type="default"/>
          <w:footerReference r:id="rId6" w:type="default"/>
          <w:endnotePr>
            <w:numFmt w:val="decimal"/>
          </w:endnotePr>
          <w:pgSz w:w="11906" w:h="16838"/>
          <w:pgMar w:top="1418" w:right="1134" w:bottom="1134" w:left="1418" w:header="851" w:footer="641" w:gutter="0"/>
          <w:cols w:space="720" w:num="1"/>
          <w:docGrid w:linePitch="312" w:charSpace="0"/>
        </w:sectPr>
      </w:pPr>
    </w:p>
    <w:p w14:paraId="3AEA7349">
      <w:pPr>
        <w:spacing w:line="360" w:lineRule="auto"/>
        <w:ind w:firstLine="600" w:firstLineChars="250"/>
        <w:rPr>
          <w:rFonts w:ascii="宋体" w:hAnsi="宋体"/>
          <w:sz w:val="24"/>
          <w:szCs w:val="24"/>
        </w:rPr>
      </w:pPr>
      <w:r>
        <w:rPr>
          <w:rFonts w:hint="eastAsia" w:ascii="宋体" w:hAnsi="宋体"/>
          <w:sz w:val="24"/>
          <w:szCs w:val="24"/>
        </w:rPr>
        <w:t>炉内内夹套需重新堆焊的部分如图1所示：</w:t>
      </w:r>
    </w:p>
    <w:p w14:paraId="129C127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eastAsia="宋体" w:cs="Times New Roman"/>
          <w:sz w:val="24"/>
          <w:szCs w:val="24"/>
          <w:lang w:val="en-US" w:eastAsia="zh-CN"/>
        </w:rPr>
      </w:pPr>
      <w:r>
        <w:rPr>
          <w:rFonts w:ascii="宋体" w:hAnsi="宋体"/>
          <w:kern w:val="0"/>
        </w:rPr>
        <w:fldChar w:fldCharType="begin"/>
      </w:r>
      <w:r>
        <w:rPr>
          <w:rFonts w:ascii="宋体" w:hAnsi="宋体"/>
          <w:kern w:val="0"/>
        </w:rPr>
        <w:instrText xml:space="preserve"> INCLUDEPICTURE "C:\\Users\\56229\\AppData\\Roaming\\Tencent\\Users\\562293043\\QQ\\WinTemp\\RichOle\\FH`}@F(78PML007{G_VDV$5.png" \* MERGEFORMATINET </w:instrText>
      </w:r>
      <w:r>
        <w:rPr>
          <w:rFonts w:ascii="宋体" w:hAnsi="宋体"/>
          <w:kern w:val="0"/>
        </w:rPr>
        <w:fldChar w:fldCharType="separate"/>
      </w:r>
      <w:r>
        <w:rPr>
          <w:rFonts w:ascii="宋体" w:hAnsi="宋体"/>
          <w:kern w:val="0"/>
        </w:rPr>
        <w:fldChar w:fldCharType="begin"/>
      </w:r>
      <w:r>
        <w:rPr>
          <w:rFonts w:ascii="宋体" w:hAnsi="宋体"/>
          <w:kern w:val="0"/>
        </w:rPr>
        <w:instrText xml:space="preserve"> INCLUDEPICTURE  "C:\\Users\\56229\\AppData\\Roaming\\Tencent\\Users\\562293043\\QQ\\WinTemp\\RichOle\\FH`}@F(78PML007{G_VDV$5.png" \* MERGEFORMATINET </w:instrText>
      </w:r>
      <w:r>
        <w:rPr>
          <w:rFonts w:ascii="宋体" w:hAnsi="宋体"/>
          <w:kern w:val="0"/>
        </w:rPr>
        <w:fldChar w:fldCharType="separate"/>
      </w:r>
      <w:r>
        <w:rPr>
          <w:rFonts w:ascii="宋体" w:hAnsi="宋体"/>
          <w:kern w:val="0"/>
        </w:rPr>
        <w:fldChar w:fldCharType="begin"/>
      </w:r>
      <w:r>
        <w:rPr>
          <w:rFonts w:ascii="宋体" w:hAnsi="宋体"/>
          <w:kern w:val="0"/>
        </w:rPr>
        <w:instrText xml:space="preserve"> INCLUDEPICTURE  "C:\\Users\\56229\\AppData\\Roaming\\Tencent\\Users\\562293043\\QQ\\WinTemp\\RichOle\\FH`}@F(78PML007{G_VDV$5.png" \* MERGEFORMATINET </w:instrText>
      </w:r>
      <w:r>
        <w:rPr>
          <w:rFonts w:ascii="宋体" w:hAnsi="宋体"/>
          <w:kern w:val="0"/>
        </w:rPr>
        <w:fldChar w:fldCharType="separate"/>
      </w:r>
      <w:r>
        <w:rPr>
          <w:rFonts w:ascii="宋体" w:hAnsi="宋体"/>
          <w:kern w:val="0"/>
        </w:rPr>
        <w:fldChar w:fldCharType="begin"/>
      </w:r>
      <w:r>
        <w:rPr>
          <w:rFonts w:ascii="宋体" w:hAnsi="宋体"/>
          <w:kern w:val="0"/>
        </w:rPr>
        <w:instrText xml:space="preserve"> INCLUDEPICTURE  "C:\\Users\\崔富忠\\56229\\AppData\\Roaming\\Tencent\\Users\\562293043\\QQ\\WinTemp\\RichOle\\FH`}@F(78PML007{G_VDV$5.png" \* MERGEFORMATINET </w:instrText>
      </w:r>
      <w:r>
        <w:rPr>
          <w:rFonts w:ascii="宋体" w:hAnsi="宋体"/>
          <w:kern w:val="0"/>
        </w:rPr>
        <w:fldChar w:fldCharType="separate"/>
      </w:r>
      <w:r>
        <w:rPr>
          <w:rFonts w:ascii="宋体" w:hAnsi="宋体"/>
          <w:kern w:val="0"/>
        </w:rPr>
        <w:fldChar w:fldCharType="begin"/>
      </w:r>
      <w:r>
        <w:rPr>
          <w:rFonts w:ascii="宋体" w:hAnsi="宋体"/>
          <w:kern w:val="0"/>
        </w:rPr>
        <w:instrText xml:space="preserve"> INCLUDEPICTURE  "E:\\56229\\AppData\\Roaming\\Tencent\\Users\\562293043\\QQ\\WinTemp\\RichOle\\FH`}@F(78PML007{G_VDV$5.png" \* MERGEFORMATINET </w:instrText>
      </w:r>
      <w:r>
        <w:rPr>
          <w:rFonts w:ascii="宋体" w:hAnsi="宋体"/>
          <w:kern w:val="0"/>
        </w:rPr>
        <w:fldChar w:fldCharType="separate"/>
      </w:r>
      <w:r>
        <w:rPr>
          <w:rFonts w:ascii="宋体" w:hAnsi="宋体"/>
          <w:kern w:val="0"/>
        </w:rPr>
        <w:fldChar w:fldCharType="begin"/>
      </w:r>
      <w:r>
        <w:rPr>
          <w:rFonts w:ascii="宋体" w:hAnsi="宋体"/>
          <w:kern w:val="0"/>
        </w:rPr>
        <w:instrText xml:space="preserve"> INCLUDEPICTURE  "E:\\技术规范书\\2024年度气化装置维保服务技术规范 修订0129\\56229\\AppData\\Roaming\\Tencent\\Users\\562293043\\QQ\\WinTemp\\RichOle\\FH%60%7d@F(78PML007%7bG_VDV$5.png" \* MERGEFORMATINET </w:instrText>
      </w:r>
      <w:r>
        <w:rPr>
          <w:rFonts w:ascii="宋体" w:hAnsi="宋体"/>
          <w:kern w:val="0"/>
        </w:rPr>
        <w:fldChar w:fldCharType="separate"/>
      </w:r>
      <w:r>
        <w:rPr>
          <w:rFonts w:ascii="宋体" w:hAnsi="宋体"/>
          <w:kern w:val="0"/>
        </w:rPr>
        <w:fldChar w:fldCharType="begin"/>
      </w:r>
      <w:r>
        <w:rPr>
          <w:rFonts w:ascii="宋体" w:hAnsi="宋体"/>
          <w:kern w:val="0"/>
        </w:rPr>
        <w:instrText xml:space="preserve"> INCLUDEPICTURE  "E:\\技术规范书\\2024年度气化装置维保服务技术规范 修订0129\\56229\\AppData\\Roaming\\Tencent\\Users\\562293043\\QQ\\WinTemp\\RichOle\\FH%60%7d@F(78PML007%7bG_VDV$5.png" \* MERGEFORMATINET </w:instrText>
      </w:r>
      <w:r>
        <w:rPr>
          <w:rFonts w:ascii="宋体" w:hAnsi="宋体"/>
          <w:kern w:val="0"/>
        </w:rPr>
        <w:fldChar w:fldCharType="separate"/>
      </w:r>
      <w:r>
        <w:rPr>
          <w:rFonts w:ascii="宋体" w:hAnsi="宋体"/>
          <w:kern w:val="0"/>
        </w:rPr>
        <w:pict>
          <v:shape id="_x0000_i1026" o:spt="75" type="#_x0000_t75" style="height:545.25pt;width:493.75pt;" filled="f" o:preferrelative="t" stroked="f" coordsize="21600,21600">
            <v:path/>
            <v:fill on="f" focussize="0,0"/>
            <v:stroke on="f"/>
            <v:imagedata r:id="rId8" r:href="rId9" o:title=""/>
            <o:lock v:ext="edit" aspectratio="t"/>
            <w10:wrap type="none"/>
            <w10:anchorlock/>
          </v:shape>
        </w:pict>
      </w:r>
      <w:r>
        <w:rPr>
          <w:rFonts w:ascii="宋体" w:hAnsi="宋体"/>
          <w:kern w:val="0"/>
        </w:rPr>
        <w:fldChar w:fldCharType="end"/>
      </w:r>
      <w:r>
        <w:rPr>
          <w:rFonts w:ascii="宋体" w:hAnsi="宋体"/>
          <w:kern w:val="0"/>
        </w:rPr>
        <w:fldChar w:fldCharType="end"/>
      </w:r>
      <w:r>
        <w:rPr>
          <w:rFonts w:ascii="宋体" w:hAnsi="宋体"/>
          <w:kern w:val="0"/>
        </w:rPr>
        <w:fldChar w:fldCharType="end"/>
      </w:r>
      <w:r>
        <w:rPr>
          <w:rFonts w:ascii="宋体" w:hAnsi="宋体"/>
          <w:kern w:val="0"/>
        </w:rPr>
        <w:fldChar w:fldCharType="end"/>
      </w:r>
      <w:r>
        <w:rPr>
          <w:rFonts w:ascii="宋体" w:hAnsi="宋体"/>
          <w:kern w:val="0"/>
        </w:rPr>
        <w:fldChar w:fldCharType="end"/>
      </w:r>
      <w:r>
        <w:rPr>
          <w:rFonts w:ascii="宋体" w:hAnsi="宋体"/>
          <w:kern w:val="0"/>
        </w:rPr>
        <w:fldChar w:fldCharType="end"/>
      </w:r>
      <w:r>
        <w:rPr>
          <w:rFonts w:ascii="宋体" w:hAnsi="宋体"/>
          <w:kern w:val="0"/>
        </w:rPr>
        <w:fldChar w:fldCharType="end"/>
      </w:r>
    </w:p>
    <w:p w14:paraId="18E7EA56">
      <w:pPr>
        <w:spacing w:line="360" w:lineRule="auto"/>
        <w:jc w:val="center"/>
        <w:rPr>
          <w:rFonts w:hint="eastAsia" w:ascii="宋体" w:hAnsi="宋体"/>
        </w:rPr>
      </w:pPr>
      <w:r>
        <w:rPr>
          <w:rFonts w:hint="eastAsia" w:ascii="宋体" w:hAnsi="宋体"/>
        </w:rPr>
        <w:t>图1</w:t>
      </w:r>
    </w:p>
    <w:p w14:paraId="39BE11D9">
      <w:pPr>
        <w:rPr>
          <w:rFonts w:hint="eastAsia"/>
        </w:rPr>
      </w:pPr>
    </w:p>
    <w:p w14:paraId="6B7C8DEB">
      <w:pPr>
        <w:spacing w:line="480" w:lineRule="auto"/>
        <w:ind w:firstLine="480" w:firstLineChars="200"/>
        <w:rPr>
          <w:rFonts w:hint="eastAsia" w:ascii="宋体" w:hAnsi="宋体"/>
          <w:sz w:val="24"/>
          <w:szCs w:val="24"/>
        </w:rPr>
        <w:sectPr>
          <w:endnotePr>
            <w:numFmt w:val="decimal"/>
          </w:endnotePr>
          <w:pgSz w:w="11906" w:h="16838"/>
          <w:pgMar w:top="1418" w:right="1134" w:bottom="1134" w:left="1418" w:header="851" w:footer="641" w:gutter="0"/>
          <w:cols w:space="720" w:num="1"/>
          <w:docGrid w:linePitch="312" w:charSpace="0"/>
        </w:sectPr>
      </w:pPr>
    </w:p>
    <w:p w14:paraId="3A5962CE">
      <w:pPr>
        <w:spacing w:line="480" w:lineRule="auto"/>
        <w:ind w:firstLine="480" w:firstLineChars="200"/>
        <w:rPr>
          <w:rFonts w:ascii="宋体" w:hAnsi="宋体"/>
          <w:sz w:val="24"/>
          <w:szCs w:val="24"/>
        </w:rPr>
      </w:pPr>
      <w:r>
        <w:rPr>
          <w:rFonts w:hint="eastAsia" w:ascii="宋体" w:hAnsi="宋体"/>
          <w:sz w:val="24"/>
          <w:szCs w:val="24"/>
        </w:rPr>
        <w:t>内夹套下部的下灰室需堆焊的部分如图2所示：</w:t>
      </w:r>
    </w:p>
    <w:p w14:paraId="562DCA59">
      <w:pPr>
        <w:widowControl/>
        <w:jc w:val="left"/>
        <w:rPr>
          <w:rFonts w:ascii="宋体" w:hAnsi="宋体"/>
          <w:kern w:val="0"/>
        </w:rPr>
      </w:pPr>
      <w:r>
        <w:rPr>
          <w:rFonts w:ascii="宋体" w:hAnsi="宋体"/>
          <w:kern w:val="0"/>
        </w:rPr>
        <w:fldChar w:fldCharType="begin"/>
      </w:r>
      <w:r>
        <w:rPr>
          <w:rFonts w:ascii="宋体" w:hAnsi="宋体"/>
          <w:kern w:val="0"/>
        </w:rPr>
        <w:instrText xml:space="preserve"> INCLUDEPICTURE  "E:\\技术规范书\\2024年度气化装置维保服务技术规范 修订0129\\56229\\AppData\\Roaming\\Tencent\\Users\\562293043\\QQ\\WinTemp\\RichOle\\3G%5d3$J0YVGAW((TS$S2W_@Y.png" \* MERGEFORMATINET </w:instrText>
      </w:r>
      <w:r>
        <w:rPr>
          <w:rFonts w:ascii="宋体" w:hAnsi="宋体"/>
          <w:kern w:val="0"/>
        </w:rPr>
        <w:fldChar w:fldCharType="separate"/>
      </w:r>
      <w:r>
        <w:rPr>
          <w:rFonts w:ascii="宋体" w:hAnsi="宋体"/>
          <w:kern w:val="0"/>
        </w:rPr>
        <w:pict>
          <v:shape id="_x0000_i1027" o:spt="75" type="#_x0000_t75" style="height:383.7pt;width:443.8pt;" filled="f" o:preferrelative="t" stroked="f" coordsize="21600,21600">
            <v:path/>
            <v:fill on="f" focussize="0,0"/>
            <v:stroke on="f"/>
            <v:imagedata r:id="rId10" r:href="rId11" o:title=""/>
            <o:lock v:ext="edit" aspectratio="t"/>
            <w10:wrap type="none"/>
            <w10:anchorlock/>
          </v:shape>
        </w:pict>
      </w:r>
      <w:r>
        <w:rPr>
          <w:rFonts w:ascii="宋体" w:hAnsi="宋体"/>
          <w:kern w:val="0"/>
        </w:rPr>
        <w:fldChar w:fldCharType="end"/>
      </w:r>
      <w:r>
        <w:rPr>
          <w:rFonts w:ascii="宋体" w:hAnsi="宋体"/>
          <w:kern w:val="0"/>
        </w:rPr>
        <w:pict>
          <v:shape id="_x0000_s2051" o:spid="_x0000_s2051" o:spt="32" type="#_x0000_t32" style="position:absolute;left:0pt;flip:y;margin-left:318.65pt;margin-top:127.4pt;height:49.2pt;width:0pt;z-index:251659264;mso-width-relative:page;mso-height-relative:page;" o:connectortype="straight" filled="f" stroked="t" coordsize="21600,21600">
            <v:path arrowok="t"/>
            <v:fill on="f" focussize="0,0"/>
            <v:stroke weight="4.5pt" color="#FF0000"/>
            <v:imagedata o:title=""/>
            <o:lock v:ext="edit"/>
          </v:shape>
        </w:pict>
      </w:r>
      <w:r>
        <w:rPr>
          <w:rFonts w:ascii="宋体" w:hAnsi="宋体"/>
          <w:kern w:val="0"/>
        </w:rPr>
        <w:pict>
          <v:shape id="_x0000_s2052" o:spid="_x0000_s2052" o:spt="32" type="#_x0000_t32" style="position:absolute;left:0pt;flip:y;margin-left:104.65pt;margin-top:127.4pt;height:49.2pt;width:0pt;z-index:251659264;mso-width-relative:page;mso-height-relative:page;" o:connectortype="straight" filled="f" stroked="t" coordsize="21600,21600">
            <v:path arrowok="t"/>
            <v:fill on="f" focussize="0,0"/>
            <v:stroke weight="4.5pt" color="#FF0000"/>
            <v:imagedata o:title=""/>
            <o:lock v:ext="edit"/>
          </v:shape>
        </w:pict>
      </w:r>
      <w:r>
        <w:rPr>
          <w:rFonts w:ascii="宋体" w:hAnsi="宋体"/>
          <w:kern w:val="0"/>
        </w:rPr>
        <w:pict>
          <v:shape id="_x0000_s2053" o:spid="_x0000_s2053" o:spt="32" type="#_x0000_t32" style="position:absolute;left:0pt;flip:x y;margin-left:328.5pt;margin-top:122.9pt;height:38.65pt;width:34.2pt;z-index:251659264;mso-width-relative:page;mso-height-relative:page;" o:connectortype="straight" filled="f" stroked="t" coordsize="21600,21600">
            <v:path arrowok="t"/>
            <v:fill on="f" focussize="0,0"/>
            <v:stroke weight="4.5pt" color="#FF0000"/>
            <v:imagedata o:title=""/>
            <o:lock v:ext="edit"/>
          </v:shape>
        </w:pict>
      </w:r>
      <w:r>
        <w:rPr>
          <w:rFonts w:ascii="宋体" w:hAnsi="宋体"/>
          <w:kern w:val="0"/>
        </w:rPr>
        <w:pict>
          <v:shape id="_x0000_s2054" o:spid="_x0000_s2054" o:spt="32" type="#_x0000_t32" style="position:absolute;left:0pt;flip:y;margin-left:65.6pt;margin-top:122.9pt;height:38.65pt;width:32.75pt;z-index:251659264;mso-width-relative:page;mso-height-relative:page;" o:connectortype="straight" filled="f" stroked="t" coordsize="21600,21600">
            <v:path arrowok="t"/>
            <v:fill on="f" focussize="0,0"/>
            <v:stroke weight="4.5pt" color="#FF0000"/>
            <v:imagedata o:title=""/>
            <o:lock v:ext="edit"/>
          </v:shape>
        </w:pict>
      </w:r>
    </w:p>
    <w:p w14:paraId="6A7A8C8D">
      <w:pPr>
        <w:spacing w:line="480" w:lineRule="auto"/>
        <w:jc w:val="center"/>
        <w:rPr>
          <w:rFonts w:ascii="宋体" w:hAnsi="宋体"/>
        </w:rPr>
      </w:pPr>
      <w:r>
        <w:rPr>
          <w:rFonts w:hint="eastAsia" w:ascii="宋体" w:hAnsi="宋体"/>
        </w:rPr>
        <w:t>图2</w:t>
      </w:r>
    </w:p>
    <w:p w14:paraId="1AAD834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3.1.5 在上述服务范围内，投标方在履行合同义务时应遵守下列标准：</w:t>
      </w:r>
    </w:p>
    <w:p w14:paraId="00D7C53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3.1.5.1标准规范：投标方在合同期内所做工作，规范和标准必须遵循现行最新版本的标准。招标方最终以有利于自己的标准规范对投标方进行考核。</w:t>
      </w:r>
    </w:p>
    <w:p w14:paraId="53D9D20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3.1.5.2投标方必须执行原电力工业部、化工部及其承继机构颁发并继续有效的有关电厂、化工企业运行维护的规定。有矛盾时，按较高标准执行。</w:t>
      </w:r>
    </w:p>
    <w:p w14:paraId="289F011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3.1.5.3运行手册、检修手册、操作手册及企业标准。</w:t>
      </w:r>
    </w:p>
    <w:p w14:paraId="4E6A596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3.1.5.4设备供应商提供的技术规范。</w:t>
      </w:r>
    </w:p>
    <w:p w14:paraId="4434DFD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3.1.5.5任何适用的环保限制和国家、省政府及地方政府颁发的有关环保规定。</w:t>
      </w:r>
    </w:p>
    <w:p w14:paraId="6732DD5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3.1.5.6 除上述标准外，投标方亦应遵守招标方的下列手册和管理制度的要求：</w:t>
      </w:r>
    </w:p>
    <w:p w14:paraId="16D3DA7B">
      <w:pPr>
        <w:keepNext w:val="0"/>
        <w:keepLines w:val="0"/>
        <w:pageBreakBefore w:val="0"/>
        <w:widowControl w:val="0"/>
        <w:kinsoku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sz w:val="24"/>
          <w:szCs w:val="24"/>
          <w:lang w:val="en-US" w:eastAsia="zh-CN"/>
        </w:rPr>
      </w:pPr>
      <w:r>
        <w:rPr>
          <w:rFonts w:hint="eastAsia" w:ascii="宋体" w:hAnsi="宋体"/>
          <w:sz w:val="24"/>
          <w:szCs w:val="24"/>
          <w:lang w:val="en-US" w:eastAsia="zh-CN"/>
        </w:rPr>
        <w:t>a职业健康和安全培训手册。</w:t>
      </w:r>
    </w:p>
    <w:p w14:paraId="3F6026DC">
      <w:pPr>
        <w:keepNext w:val="0"/>
        <w:keepLines w:val="0"/>
        <w:pageBreakBefore w:val="0"/>
        <w:widowControl w:val="0"/>
        <w:kinsoku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sz w:val="24"/>
          <w:szCs w:val="24"/>
          <w:lang w:val="en-US" w:eastAsia="zh-CN"/>
        </w:rPr>
      </w:pPr>
      <w:r>
        <w:rPr>
          <w:rFonts w:hint="eastAsia" w:ascii="宋体" w:hAnsi="宋体"/>
          <w:sz w:val="24"/>
          <w:szCs w:val="24"/>
          <w:lang w:val="en-US" w:eastAsia="zh-CN"/>
        </w:rPr>
        <w:t>b质量培训手册。</w:t>
      </w:r>
    </w:p>
    <w:p w14:paraId="0232F930">
      <w:pPr>
        <w:keepNext w:val="0"/>
        <w:keepLines w:val="0"/>
        <w:pageBreakBefore w:val="0"/>
        <w:widowControl w:val="0"/>
        <w:kinsoku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sz w:val="24"/>
          <w:szCs w:val="24"/>
          <w:lang w:val="en-US" w:eastAsia="zh-CN"/>
        </w:rPr>
      </w:pPr>
      <w:r>
        <w:rPr>
          <w:rFonts w:hint="eastAsia" w:ascii="宋体" w:hAnsi="宋体"/>
          <w:sz w:val="24"/>
          <w:szCs w:val="24"/>
          <w:lang w:val="en-US" w:eastAsia="zh-CN"/>
        </w:rPr>
        <w:t>c环保培训手册。</w:t>
      </w:r>
    </w:p>
    <w:p w14:paraId="4F0E9B20">
      <w:pPr>
        <w:keepNext w:val="0"/>
        <w:keepLines w:val="0"/>
        <w:pageBreakBefore w:val="0"/>
        <w:widowControl w:val="0"/>
        <w:kinsoku w:val="0"/>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Times New Roman"/>
          <w:sz w:val="24"/>
          <w:szCs w:val="24"/>
          <w:lang w:val="en-US" w:eastAsia="zh-CN"/>
        </w:rPr>
      </w:pPr>
      <w:r>
        <w:rPr>
          <w:rFonts w:hint="eastAsia" w:ascii="宋体" w:hAnsi="宋体"/>
          <w:sz w:val="24"/>
          <w:szCs w:val="24"/>
          <w:lang w:val="en-US" w:eastAsia="zh-CN"/>
        </w:rPr>
        <w:t>d招标方合理希望实施的任何其他培训手册。</w:t>
      </w:r>
    </w:p>
    <w:p w14:paraId="276271D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sz w:val="24"/>
          <w:szCs w:val="24"/>
          <w:highlight w:val="none"/>
          <w:lang w:val="en-US" w:eastAsia="zh-CN"/>
        </w:rPr>
      </w:pPr>
      <w:r>
        <w:rPr>
          <w:rFonts w:hint="default" w:ascii="宋体" w:hAnsi="宋体"/>
          <w:sz w:val="24"/>
          <w:szCs w:val="24"/>
          <w:highlight w:val="none"/>
          <w:lang w:val="en-US" w:eastAsia="zh-CN"/>
        </w:rPr>
        <w:t>3.</w:t>
      </w:r>
      <w:r>
        <w:rPr>
          <w:rFonts w:hint="eastAsia" w:ascii="宋体" w:hAnsi="宋体"/>
          <w:sz w:val="24"/>
          <w:szCs w:val="24"/>
          <w:highlight w:val="none"/>
          <w:lang w:val="en-US" w:eastAsia="zh-CN"/>
        </w:rPr>
        <w:t>2 项目工期</w:t>
      </w:r>
    </w:p>
    <w:p w14:paraId="6885BFF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highlight w:val="none"/>
          <w:lang w:val="en-US" w:eastAsia="zh-CN"/>
        </w:rPr>
      </w:pPr>
      <w:r>
        <w:rPr>
          <w:rFonts w:hint="eastAsia" w:ascii="宋体" w:hAnsi="宋体"/>
          <w:sz w:val="24"/>
          <w:szCs w:val="24"/>
          <w:highlight w:val="none"/>
          <w:lang w:val="en-US" w:eastAsia="zh-CN"/>
        </w:rPr>
        <w:t>3.2.1 单炉自运行隔离交出施工工期为55天（受施工所在气化炉同一气化框架内气化炉进行开车操作，以及国家、地方、企业等的政策或要求等影响，所延误工期时，工期顺延）。</w:t>
      </w:r>
    </w:p>
    <w:p w14:paraId="4A7AE31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highlight w:val="none"/>
          <w:lang w:val="en-US" w:eastAsia="zh-CN"/>
        </w:rPr>
      </w:pPr>
      <w:r>
        <w:rPr>
          <w:rFonts w:hint="eastAsia" w:ascii="宋体" w:hAnsi="宋体"/>
          <w:sz w:val="24"/>
          <w:szCs w:val="24"/>
          <w:highlight w:val="none"/>
          <w:lang w:val="en-US" w:eastAsia="zh-CN"/>
        </w:rPr>
        <w:t>3.2.2 投标方不仅要保证自己承担工作的进度，同时和招标方一起协调与其它外包系统设备的连接项目等施工进度，确保整体进度。</w:t>
      </w:r>
    </w:p>
    <w:p w14:paraId="073E9A8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highlight w:val="none"/>
          <w:lang w:val="en-US" w:eastAsia="zh-CN"/>
        </w:rPr>
      </w:pPr>
      <w:r>
        <w:rPr>
          <w:rFonts w:hint="eastAsia" w:ascii="宋体" w:hAnsi="宋体"/>
          <w:sz w:val="24"/>
          <w:szCs w:val="24"/>
          <w:highlight w:val="none"/>
          <w:lang w:val="en-US" w:eastAsia="zh-CN"/>
        </w:rPr>
        <w:t>3.2.3 维保服务工期内，涉及各类检修作业时不仅须按时完成项目，同时各分项工期均须按投标方要求进度时间完成。</w:t>
      </w:r>
    </w:p>
    <w:p w14:paraId="4C6B311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highlight w:val="none"/>
          <w:lang w:val="en-US" w:eastAsia="zh-CN"/>
        </w:rPr>
      </w:pPr>
      <w:r>
        <w:rPr>
          <w:rFonts w:hint="eastAsia" w:ascii="宋体" w:hAnsi="宋体"/>
          <w:sz w:val="24"/>
          <w:szCs w:val="24"/>
          <w:highlight w:val="none"/>
          <w:lang w:val="en-US" w:eastAsia="zh-CN"/>
        </w:rPr>
        <w:t>3.2.4 维保服务工期内，以生产装置现场实际情况为指导，不仅要求按时按进度完成本职检修工作，同时应服从招标方协调指挥要求，主动配合完成现场其他施工作业工作。</w:t>
      </w:r>
    </w:p>
    <w:p w14:paraId="5B55A0C8">
      <w:pPr>
        <w:keepNext w:val="0"/>
        <w:keepLines w:val="0"/>
        <w:widowControl w:val="0"/>
        <w:suppressLineNumbers w:val="0"/>
        <w:kinsoku w:val="0"/>
        <w:adjustRightInd w:val="0"/>
        <w:snapToGrid w:val="0"/>
        <w:spacing w:before="0" w:beforeAutospacing="0" w:after="0" w:afterAutospacing="0" w:line="360" w:lineRule="auto"/>
        <w:ind w:left="0" w:right="0"/>
        <w:jc w:val="left"/>
        <w:rPr>
          <w:rFonts w:hint="eastAsia"/>
          <w:lang w:val="en-US" w:eastAsia="zh-CN"/>
        </w:rPr>
      </w:pPr>
      <w:r>
        <w:rPr>
          <w:rStyle w:val="159"/>
          <w:rFonts w:hint="eastAsia" w:ascii="宋体" w:hAnsi="宋体" w:eastAsia="宋体" w:cs="宋体"/>
          <w:bCs/>
          <w:kern w:val="2"/>
          <w:sz w:val="24"/>
          <w:szCs w:val="24"/>
          <w:lang w:val="en-US" w:eastAsia="zh-CN" w:bidi="ar"/>
        </w:rPr>
        <w:t>3.2.5 气化炉大修和内筒体及内夹套堆焊服务工期：自2026年6月18日至2028年6月17日。</w:t>
      </w:r>
    </w:p>
    <w:p w14:paraId="1D831688">
      <w:pPr>
        <w:pStyle w:val="3"/>
        <w:keepNext/>
        <w:keepLines/>
        <w:pageBreakBefore w:val="0"/>
        <w:widowControl w:val="0"/>
        <w:kinsoku w:val="0"/>
        <w:wordWrap/>
        <w:overflowPunct/>
        <w:topLinePunct w:val="0"/>
        <w:autoSpaceDE/>
        <w:autoSpaceDN/>
        <w:bidi w:val="0"/>
        <w:adjustRightInd w:val="0"/>
        <w:snapToGrid w:val="0"/>
        <w:ind w:firstLine="562" w:firstLineChars="200"/>
        <w:jc w:val="left"/>
        <w:textAlignment w:val="auto"/>
        <w:rPr>
          <w:rFonts w:hint="eastAsia"/>
          <w:sz w:val="28"/>
          <w:szCs w:val="13"/>
          <w:highlight w:val="none"/>
        </w:rPr>
      </w:pPr>
      <w:bookmarkStart w:id="9" w:name="_Toc32500"/>
      <w:r>
        <w:rPr>
          <w:rFonts w:hint="eastAsia"/>
          <w:sz w:val="28"/>
          <w:szCs w:val="13"/>
          <w:highlight w:val="none"/>
        </w:rPr>
        <w:t xml:space="preserve">4 </w:t>
      </w:r>
      <w:r>
        <w:rPr>
          <w:rFonts w:hint="eastAsia"/>
          <w:sz w:val="28"/>
          <w:szCs w:val="13"/>
          <w:highlight w:val="none"/>
          <w:lang w:val="en-US" w:eastAsia="zh-CN"/>
        </w:rPr>
        <w:t>项目内容及</w:t>
      </w:r>
      <w:r>
        <w:rPr>
          <w:rFonts w:hint="eastAsia"/>
          <w:sz w:val="28"/>
          <w:szCs w:val="13"/>
          <w:highlight w:val="none"/>
        </w:rPr>
        <w:t>要求</w:t>
      </w:r>
      <w:bookmarkEnd w:id="9"/>
    </w:p>
    <w:p w14:paraId="03FA4C9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sz w:val="24"/>
          <w:szCs w:val="24"/>
          <w:highlight w:val="none"/>
        </w:rPr>
      </w:pPr>
      <w:r>
        <w:rPr>
          <w:rFonts w:hint="eastAsia" w:ascii="宋体" w:hAnsi="宋体" w:cs="Times New Roman"/>
          <w:sz w:val="24"/>
          <w:szCs w:val="24"/>
          <w:highlight w:val="none"/>
          <w:lang w:val="en-US" w:eastAsia="zh-CN"/>
        </w:rPr>
        <w:t xml:space="preserve">4.1 </w:t>
      </w:r>
      <w:r>
        <w:rPr>
          <w:rFonts w:hint="eastAsia" w:ascii="宋体" w:hAnsi="宋体" w:cs="Times New Roman"/>
          <w:sz w:val="24"/>
          <w:szCs w:val="24"/>
          <w:highlight w:val="none"/>
          <w:lang w:eastAsia="zh-CN"/>
        </w:rPr>
        <w:t>项目</w:t>
      </w:r>
      <w:r>
        <w:rPr>
          <w:rFonts w:hint="eastAsia" w:ascii="宋体" w:hAnsi="宋体" w:eastAsia="宋体" w:cs="Times New Roman"/>
          <w:sz w:val="24"/>
          <w:szCs w:val="24"/>
          <w:highlight w:val="none"/>
        </w:rPr>
        <w:t>内容：</w:t>
      </w:r>
    </w:p>
    <w:p w14:paraId="2367E17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highlight w:val="none"/>
          <w:lang w:val="en-US" w:eastAsia="zh-CN"/>
        </w:rPr>
      </w:pPr>
      <w:r>
        <w:rPr>
          <w:rFonts w:hint="eastAsia" w:ascii="宋体" w:hAnsi="宋体"/>
          <w:sz w:val="24"/>
          <w:szCs w:val="24"/>
          <w:highlight w:val="none"/>
          <w:lang w:val="en-US" w:eastAsia="zh-CN"/>
        </w:rPr>
        <w:t>4.1.1气化炉大修服务</w:t>
      </w:r>
      <w:r>
        <w:rPr>
          <w:rFonts w:hint="eastAsia" w:ascii="宋体" w:hAnsi="宋体"/>
          <w:b/>
          <w:bCs/>
          <w:sz w:val="24"/>
          <w:szCs w:val="24"/>
          <w:highlight w:val="none"/>
          <w:lang w:val="en-US" w:eastAsia="zh-CN"/>
        </w:rPr>
        <w:t>共计14台</w:t>
      </w:r>
      <w:r>
        <w:rPr>
          <w:rFonts w:hint="eastAsia" w:ascii="宋体" w:hAnsi="宋体"/>
          <w:sz w:val="24"/>
          <w:szCs w:val="24"/>
          <w:highlight w:val="none"/>
          <w:lang w:val="en-US" w:eastAsia="zh-CN"/>
        </w:rPr>
        <w:t>。</w:t>
      </w:r>
    </w:p>
    <w:p w14:paraId="0217261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sz w:val="24"/>
          <w:szCs w:val="24"/>
          <w:highlight w:val="none"/>
          <w:lang w:val="en-US" w:eastAsia="zh-CN"/>
        </w:rPr>
      </w:pPr>
      <w:r>
        <w:rPr>
          <w:rFonts w:hint="eastAsia" w:ascii="宋体" w:hAnsi="宋体"/>
          <w:sz w:val="24"/>
          <w:szCs w:val="24"/>
          <w:highlight w:val="none"/>
          <w:lang w:val="en-US" w:eastAsia="zh-CN"/>
        </w:rPr>
        <w:t>4.1.2</w:t>
      </w:r>
      <w:r>
        <w:rPr>
          <w:rFonts w:hint="eastAsia" w:ascii="宋体" w:hAnsi="宋体" w:cs="Times New Roman"/>
          <w:sz w:val="24"/>
          <w:szCs w:val="24"/>
          <w:highlight w:val="none"/>
          <w:lang w:val="en-US" w:eastAsia="zh-CN"/>
        </w:rPr>
        <w:t>气化炉内筒体及下灰室锥体部分堆焊</w:t>
      </w:r>
      <w:r>
        <w:rPr>
          <w:rFonts w:hint="eastAsia" w:ascii="宋体" w:hAnsi="宋体" w:eastAsia="宋体" w:cs="Times New Roman"/>
          <w:b/>
          <w:bCs/>
          <w:sz w:val="24"/>
          <w:szCs w:val="24"/>
          <w:highlight w:val="none"/>
          <w:lang w:val="en-US" w:eastAsia="zh-CN"/>
        </w:rPr>
        <w:t>共计</w:t>
      </w:r>
      <w:r>
        <w:rPr>
          <w:rFonts w:hint="eastAsia" w:ascii="宋体" w:hAnsi="宋体" w:cs="Times New Roman"/>
          <w:b/>
          <w:bCs/>
          <w:sz w:val="24"/>
          <w:szCs w:val="24"/>
          <w:highlight w:val="none"/>
          <w:lang w:val="en-US" w:eastAsia="zh-CN"/>
        </w:rPr>
        <w:t>6</w:t>
      </w:r>
      <w:r>
        <w:rPr>
          <w:rFonts w:hint="eastAsia" w:ascii="宋体" w:hAnsi="宋体" w:eastAsia="宋体" w:cs="Times New Roman"/>
          <w:b/>
          <w:bCs/>
          <w:sz w:val="24"/>
          <w:szCs w:val="24"/>
          <w:highlight w:val="none"/>
        </w:rPr>
        <w:t>台</w:t>
      </w:r>
      <w:r>
        <w:rPr>
          <w:rFonts w:hint="eastAsia" w:ascii="宋体" w:hAnsi="宋体" w:cs="Times New Roman"/>
          <w:b/>
          <w:bCs/>
          <w:sz w:val="24"/>
          <w:szCs w:val="24"/>
          <w:highlight w:val="none"/>
          <w:lang w:eastAsia="zh-CN"/>
        </w:rPr>
        <w:t>。</w:t>
      </w:r>
    </w:p>
    <w:p w14:paraId="50E8FCF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Times New Roman"/>
          <w:sz w:val="24"/>
          <w:szCs w:val="24"/>
          <w:highlight w:val="none"/>
          <w:lang w:eastAsia="zh-CN"/>
        </w:rPr>
      </w:pPr>
      <w:r>
        <w:rPr>
          <w:rFonts w:hint="eastAsia" w:ascii="宋体" w:hAnsi="宋体"/>
          <w:sz w:val="24"/>
          <w:szCs w:val="24"/>
          <w:highlight w:val="none"/>
          <w:lang w:val="en-US" w:eastAsia="zh-CN"/>
        </w:rPr>
        <w:t>4.1.3</w:t>
      </w:r>
      <w:r>
        <w:rPr>
          <w:rFonts w:hint="eastAsia" w:ascii="宋体" w:hAnsi="宋体" w:eastAsia="宋体" w:cs="Times New Roman"/>
          <w:sz w:val="24"/>
          <w:szCs w:val="24"/>
          <w:highlight w:val="none"/>
        </w:rPr>
        <w:t>投标方应充分进行现场勘探和评估，因施工区域缺陷和施工难度而引起的施工方案的调整，均由投标方负责，招标方不再另行增加费用</w:t>
      </w:r>
      <w:r>
        <w:rPr>
          <w:rFonts w:hint="eastAsia" w:ascii="宋体" w:hAnsi="宋体" w:cs="Times New Roman"/>
          <w:sz w:val="24"/>
          <w:szCs w:val="24"/>
          <w:highlight w:val="none"/>
          <w:lang w:eastAsia="zh-CN"/>
        </w:rPr>
        <w:t>。</w:t>
      </w:r>
    </w:p>
    <w:p w14:paraId="4FAE09DF">
      <w:pPr>
        <w:pStyle w:val="68"/>
        <w:numPr>
          <w:ilvl w:val="0"/>
          <w:numId w:val="0"/>
        </w:numPr>
        <w:spacing w:line="360" w:lineRule="auto"/>
        <w:rPr>
          <w:rFonts w:hint="default"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4.2 本项目大修内容为：</w:t>
      </w:r>
    </w:p>
    <w:p w14:paraId="2544F844">
      <w:pPr>
        <w:pStyle w:val="68"/>
        <w:numPr>
          <w:ilvl w:val="0"/>
          <w:numId w:val="0"/>
        </w:numPr>
        <w:spacing w:line="360" w:lineRule="auto"/>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4.2.1 气化炉体大修内容（以单台气化炉大修为例）</w:t>
      </w:r>
    </w:p>
    <w:p w14:paraId="77F9BBAC">
      <w:pPr>
        <w:pStyle w:val="67"/>
        <w:numPr>
          <w:ilvl w:val="0"/>
          <w:numId w:val="0"/>
        </w:numPr>
        <w:spacing w:line="360" w:lineRule="auto"/>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4.2.1.1 按工艺处置要求，导盲单台气化炉入炉检修所需的所有盲板；</w:t>
      </w:r>
    </w:p>
    <w:p w14:paraId="24F388B1">
      <w:pPr>
        <w:pStyle w:val="67"/>
        <w:numPr>
          <w:ilvl w:val="0"/>
          <w:numId w:val="0"/>
        </w:numPr>
        <w:spacing w:line="360" w:lineRule="auto"/>
        <w:rPr>
          <w:rFonts w:ascii="宋体" w:hAnsi="宋体" w:eastAsia="宋体"/>
          <w:sz w:val="24"/>
          <w:szCs w:val="24"/>
        </w:rPr>
      </w:pPr>
      <w:r>
        <w:rPr>
          <w:rFonts w:hint="eastAsia" w:ascii="宋体" w:hAnsi="宋体" w:eastAsia="宋体" w:cs="Times New Roman"/>
          <w:kern w:val="2"/>
          <w:sz w:val="24"/>
          <w:szCs w:val="24"/>
          <w:highlight w:val="none"/>
          <w:lang w:val="en-US" w:eastAsia="zh-CN" w:bidi="ar-SA"/>
        </w:rPr>
        <w:t>4.2.1.2 拆除煤锁、灰</w:t>
      </w:r>
      <w:r>
        <w:rPr>
          <w:rFonts w:hint="eastAsia" w:ascii="宋体" w:hAnsi="宋体" w:eastAsia="宋体"/>
          <w:sz w:val="24"/>
          <w:szCs w:val="24"/>
          <w:highlight w:val="none"/>
        </w:rPr>
        <w:t>锁及膨胀冷凝器、2台炉篦减速机、2套炉篦大</w:t>
      </w:r>
      <w:r>
        <w:rPr>
          <w:rFonts w:hint="eastAsia" w:ascii="宋体" w:hAnsi="宋体" w:eastAsia="宋体"/>
          <w:sz w:val="24"/>
          <w:szCs w:val="24"/>
        </w:rPr>
        <w:t>轴偏心套组件的本体，以及与之相连接的阀门和管道；</w:t>
      </w:r>
    </w:p>
    <w:p w14:paraId="75379655">
      <w:pPr>
        <w:pStyle w:val="67"/>
        <w:numPr>
          <w:ilvl w:val="0"/>
          <w:numId w:val="0"/>
        </w:numPr>
        <w:spacing w:line="360" w:lineRule="auto"/>
        <w:rPr>
          <w:rFonts w:ascii="宋体" w:hAnsi="宋体" w:eastAsia="宋体"/>
          <w:sz w:val="24"/>
          <w:szCs w:val="24"/>
        </w:rPr>
      </w:pPr>
      <w:r>
        <w:rPr>
          <w:rFonts w:hint="eastAsia" w:ascii="宋体" w:hAnsi="宋体" w:eastAsia="宋体"/>
          <w:sz w:val="24"/>
          <w:szCs w:val="24"/>
          <w:lang w:val="en-US" w:eastAsia="zh-CN"/>
        </w:rPr>
        <w:t xml:space="preserve">4.2.1.3 </w:t>
      </w:r>
      <w:r>
        <w:rPr>
          <w:rFonts w:hint="eastAsia" w:ascii="宋体" w:hAnsi="宋体" w:eastAsia="宋体"/>
          <w:sz w:val="24"/>
          <w:szCs w:val="24"/>
        </w:rPr>
        <w:t>炉篦系统解体检修：</w:t>
      </w:r>
    </w:p>
    <w:p w14:paraId="5F845084">
      <w:pPr>
        <w:pStyle w:val="73"/>
        <w:spacing w:line="360" w:lineRule="auto"/>
        <w:ind w:left="0" w:leftChars="0" w:firstLine="0" w:firstLineChars="0"/>
        <w:rPr>
          <w:sz w:val="24"/>
          <w:szCs w:val="24"/>
        </w:rPr>
      </w:pPr>
      <w:r>
        <w:rPr>
          <w:rFonts w:hint="eastAsia" w:ascii="宋体" w:hAnsi="宋体" w:eastAsia="宋体"/>
          <w:sz w:val="24"/>
          <w:szCs w:val="24"/>
          <w:lang w:val="en-US" w:eastAsia="zh-CN"/>
        </w:rPr>
        <w:t>4.2.1.3</w:t>
      </w:r>
      <w:r>
        <w:rPr>
          <w:rFonts w:hint="eastAsia" w:hAnsi="宋体"/>
          <w:sz w:val="24"/>
          <w:szCs w:val="24"/>
          <w:lang w:val="en-US" w:eastAsia="zh-CN"/>
        </w:rPr>
        <w:t xml:space="preserve">.1 </w:t>
      </w:r>
      <w:r>
        <w:rPr>
          <w:rFonts w:hint="eastAsia"/>
          <w:sz w:val="24"/>
          <w:szCs w:val="24"/>
        </w:rPr>
        <w:t>解体检查炉篦盖板烧裂、磨损变形等情况，对磨损或脱落的耐磨条修复或更换新件，预更换炉篦盖板1套、护板1套；</w:t>
      </w:r>
    </w:p>
    <w:p w14:paraId="266A136B">
      <w:pPr>
        <w:pStyle w:val="73"/>
        <w:spacing w:line="360" w:lineRule="auto"/>
        <w:ind w:left="0" w:leftChars="0" w:firstLine="0" w:firstLineChars="0"/>
        <w:rPr>
          <w:sz w:val="24"/>
          <w:szCs w:val="24"/>
        </w:rPr>
      </w:pPr>
      <w:r>
        <w:rPr>
          <w:rFonts w:hint="eastAsia" w:ascii="宋体" w:hAnsi="宋体" w:eastAsia="宋体"/>
          <w:sz w:val="24"/>
          <w:szCs w:val="24"/>
          <w:lang w:val="en-US" w:eastAsia="zh-CN"/>
        </w:rPr>
        <w:t>4.2.1.3</w:t>
      </w:r>
      <w:r>
        <w:rPr>
          <w:rFonts w:hint="eastAsia" w:hAnsi="宋体"/>
          <w:sz w:val="24"/>
          <w:szCs w:val="24"/>
          <w:lang w:val="en-US" w:eastAsia="zh-CN"/>
        </w:rPr>
        <w:t xml:space="preserve">.2 </w:t>
      </w:r>
      <w:r>
        <w:rPr>
          <w:rFonts w:hint="eastAsia"/>
          <w:sz w:val="24"/>
          <w:szCs w:val="24"/>
        </w:rPr>
        <w:t>解体检查所有布气环的变形、烧裂情况，修复或更换新件；</w:t>
      </w:r>
    </w:p>
    <w:p w14:paraId="30074798">
      <w:pPr>
        <w:pStyle w:val="73"/>
        <w:spacing w:line="360" w:lineRule="auto"/>
        <w:ind w:left="0" w:leftChars="0" w:firstLine="0" w:firstLineChars="0"/>
        <w:rPr>
          <w:sz w:val="24"/>
          <w:szCs w:val="24"/>
        </w:rPr>
      </w:pPr>
      <w:r>
        <w:rPr>
          <w:rFonts w:hint="eastAsia" w:ascii="宋体" w:hAnsi="宋体" w:eastAsia="宋体"/>
          <w:sz w:val="24"/>
          <w:szCs w:val="24"/>
          <w:lang w:val="en-US" w:eastAsia="zh-CN"/>
        </w:rPr>
        <w:t>4.2.1.3</w:t>
      </w:r>
      <w:r>
        <w:rPr>
          <w:rFonts w:hint="eastAsia" w:hAnsi="宋体"/>
          <w:sz w:val="24"/>
          <w:szCs w:val="24"/>
          <w:lang w:val="en-US" w:eastAsia="zh-CN"/>
        </w:rPr>
        <w:t xml:space="preserve">.3 </w:t>
      </w:r>
      <w:r>
        <w:rPr>
          <w:rFonts w:hint="eastAsia"/>
          <w:sz w:val="24"/>
          <w:szCs w:val="24"/>
        </w:rPr>
        <w:t>解体检查刮刀的磨损、变形情况，修复或更换新件，预更换刮刀3套；</w:t>
      </w:r>
    </w:p>
    <w:p w14:paraId="09C4F662">
      <w:pPr>
        <w:pStyle w:val="73"/>
        <w:spacing w:line="360" w:lineRule="auto"/>
        <w:ind w:left="0" w:leftChars="0" w:firstLine="0" w:firstLineChars="0"/>
        <w:rPr>
          <w:sz w:val="24"/>
          <w:szCs w:val="24"/>
        </w:rPr>
      </w:pPr>
      <w:r>
        <w:rPr>
          <w:rFonts w:hint="eastAsia" w:ascii="宋体" w:hAnsi="宋体" w:eastAsia="宋体"/>
          <w:sz w:val="24"/>
          <w:szCs w:val="24"/>
          <w:lang w:val="en-US" w:eastAsia="zh-CN"/>
        </w:rPr>
        <w:t>4.2.1.3</w:t>
      </w:r>
      <w:r>
        <w:rPr>
          <w:rFonts w:hint="eastAsia" w:hAnsi="宋体"/>
          <w:sz w:val="24"/>
          <w:szCs w:val="24"/>
          <w:lang w:val="en-US" w:eastAsia="zh-CN"/>
        </w:rPr>
        <w:t xml:space="preserve">.4 </w:t>
      </w:r>
      <w:r>
        <w:rPr>
          <w:rFonts w:hint="eastAsia"/>
          <w:sz w:val="24"/>
          <w:szCs w:val="24"/>
        </w:rPr>
        <w:t>解体检查破碎环的磨损、变形情况，必要时修复或更换新件，预更换破碎环1件；</w:t>
      </w:r>
    </w:p>
    <w:p w14:paraId="0D065E1A">
      <w:pPr>
        <w:pStyle w:val="73"/>
        <w:spacing w:line="360" w:lineRule="auto"/>
        <w:ind w:left="0" w:leftChars="0" w:firstLine="0" w:firstLineChars="0"/>
        <w:rPr>
          <w:sz w:val="24"/>
          <w:szCs w:val="24"/>
        </w:rPr>
      </w:pPr>
      <w:r>
        <w:rPr>
          <w:rFonts w:hint="eastAsia" w:ascii="宋体" w:hAnsi="宋体" w:eastAsia="宋体"/>
          <w:sz w:val="24"/>
          <w:szCs w:val="24"/>
          <w:lang w:val="en-US" w:eastAsia="zh-CN"/>
        </w:rPr>
        <w:t>4.2.1.3</w:t>
      </w:r>
      <w:r>
        <w:rPr>
          <w:rFonts w:hint="eastAsia" w:hAnsi="宋体"/>
          <w:sz w:val="24"/>
          <w:szCs w:val="24"/>
          <w:lang w:val="en-US" w:eastAsia="zh-CN"/>
        </w:rPr>
        <w:t xml:space="preserve">.5 </w:t>
      </w:r>
      <w:r>
        <w:rPr>
          <w:rFonts w:hint="eastAsia"/>
          <w:sz w:val="24"/>
          <w:szCs w:val="24"/>
        </w:rPr>
        <w:t>解体检查大小齿轮啮合、磨损、变形及损坏情况，对齿轮着色检查、测量啮合间隙</w:t>
      </w:r>
      <w:r>
        <w:rPr>
          <w:sz w:val="24"/>
          <w:szCs w:val="24"/>
        </w:rPr>
        <w:t xml:space="preserve"> </w:t>
      </w:r>
      <w:r>
        <w:rPr>
          <w:rFonts w:hint="eastAsia"/>
          <w:sz w:val="24"/>
          <w:szCs w:val="24"/>
        </w:rPr>
        <w:t>，必要时更换，预更换齿轮环段1件；</w:t>
      </w:r>
    </w:p>
    <w:p w14:paraId="21F10E4C">
      <w:pPr>
        <w:pStyle w:val="73"/>
        <w:spacing w:line="360" w:lineRule="auto"/>
        <w:ind w:left="0" w:leftChars="0" w:firstLine="0" w:firstLineChars="0"/>
        <w:rPr>
          <w:sz w:val="24"/>
          <w:szCs w:val="24"/>
          <w:highlight w:val="none"/>
        </w:rPr>
      </w:pPr>
      <w:r>
        <w:rPr>
          <w:rFonts w:hint="eastAsia" w:ascii="宋体" w:hAnsi="宋体" w:eastAsia="宋体"/>
          <w:sz w:val="24"/>
          <w:szCs w:val="24"/>
          <w:highlight w:val="none"/>
          <w:lang w:val="en-US" w:eastAsia="zh-CN"/>
        </w:rPr>
        <w:t>4.2.1.3</w:t>
      </w:r>
      <w:r>
        <w:rPr>
          <w:rFonts w:hint="eastAsia" w:hAnsi="宋体"/>
          <w:sz w:val="24"/>
          <w:szCs w:val="24"/>
          <w:highlight w:val="none"/>
          <w:lang w:val="en-US" w:eastAsia="zh-CN"/>
        </w:rPr>
        <w:t xml:space="preserve">.6 </w:t>
      </w:r>
      <w:r>
        <w:rPr>
          <w:rFonts w:hint="eastAsia"/>
          <w:sz w:val="24"/>
          <w:szCs w:val="24"/>
          <w:highlight w:val="none"/>
        </w:rPr>
        <w:t>解体检查止推盘磨损、变形情况，必要时更换，预更换止推盘1件；</w:t>
      </w:r>
    </w:p>
    <w:p w14:paraId="31429DEC">
      <w:pPr>
        <w:pStyle w:val="73"/>
        <w:spacing w:line="360" w:lineRule="auto"/>
        <w:ind w:left="0" w:leftChars="0" w:firstLine="0" w:firstLineChars="0"/>
        <w:rPr>
          <w:sz w:val="24"/>
          <w:szCs w:val="24"/>
          <w:highlight w:val="none"/>
        </w:rPr>
      </w:pPr>
      <w:r>
        <w:rPr>
          <w:rFonts w:hint="eastAsia" w:ascii="宋体" w:hAnsi="宋体" w:eastAsia="宋体"/>
          <w:sz w:val="24"/>
          <w:szCs w:val="24"/>
          <w:highlight w:val="none"/>
          <w:lang w:val="en-US" w:eastAsia="zh-CN"/>
        </w:rPr>
        <w:t>4.2.1.3</w:t>
      </w:r>
      <w:r>
        <w:rPr>
          <w:rFonts w:hint="eastAsia" w:hAnsi="宋体"/>
          <w:sz w:val="24"/>
          <w:szCs w:val="24"/>
          <w:highlight w:val="none"/>
          <w:lang w:val="en-US" w:eastAsia="zh-CN"/>
        </w:rPr>
        <w:t xml:space="preserve">.7 </w:t>
      </w:r>
      <w:r>
        <w:rPr>
          <w:rFonts w:hint="eastAsia"/>
          <w:sz w:val="24"/>
          <w:szCs w:val="24"/>
          <w:highlight w:val="none"/>
        </w:rPr>
        <w:t>解体检查轴瓦磨损情况，测量轴瓦间隙，预更换轴瓦1套；</w:t>
      </w:r>
    </w:p>
    <w:p w14:paraId="59FCDF0A">
      <w:pPr>
        <w:pStyle w:val="73"/>
        <w:spacing w:line="360" w:lineRule="auto"/>
        <w:ind w:left="0" w:leftChars="0" w:firstLine="0" w:firstLineChars="0"/>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4.2.1.3.8 解体检查大齿轮外部护板是否脱落、磨损等，检查齿轮下刮板磨损、变形情况；</w:t>
      </w:r>
    </w:p>
    <w:p w14:paraId="67AB2D38">
      <w:pPr>
        <w:pStyle w:val="73"/>
        <w:spacing w:line="360" w:lineRule="auto"/>
        <w:ind w:left="0" w:leftChars="0" w:firstLine="0" w:firstLineChars="0"/>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4.2.1.3.9 解体检查炉体下部耐磨板磨损、变形情况，修复或更换新件，预更换护板1套。</w:t>
      </w:r>
    </w:p>
    <w:p w14:paraId="6D5FB45B">
      <w:pPr>
        <w:pStyle w:val="73"/>
        <w:spacing w:line="360" w:lineRule="auto"/>
        <w:ind w:left="0" w:leftChars="0" w:firstLine="0" w:firstLineChars="0"/>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4.2.1.3.10 炉体做水压试验；</w:t>
      </w:r>
    </w:p>
    <w:p w14:paraId="2EA17A30">
      <w:pPr>
        <w:pStyle w:val="73"/>
        <w:spacing w:line="360" w:lineRule="auto"/>
        <w:ind w:left="0" w:leftChars="0" w:firstLine="0" w:firstLineChars="0"/>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4.2.1.3.11 拆出炉篦大轴，进行清理。</w:t>
      </w:r>
    </w:p>
    <w:p w14:paraId="31771984">
      <w:pPr>
        <w:pStyle w:val="73"/>
        <w:spacing w:line="360" w:lineRule="auto"/>
        <w:ind w:left="0" w:leftChars="0" w:firstLine="0" w:firstLineChars="0"/>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4.2.1.3.1</w:t>
      </w:r>
      <w:r>
        <w:rPr>
          <w:rFonts w:hint="eastAsia" w:hAnsi="宋体"/>
          <w:sz w:val="24"/>
          <w:szCs w:val="24"/>
          <w:highlight w:val="none"/>
          <w:lang w:val="en-US" w:eastAsia="zh-CN"/>
        </w:rPr>
        <w:t>2</w:t>
      </w:r>
      <w:r>
        <w:rPr>
          <w:rFonts w:hint="eastAsia" w:ascii="宋体" w:hAnsi="宋体" w:eastAsia="宋体"/>
          <w:sz w:val="24"/>
          <w:szCs w:val="24"/>
          <w:highlight w:val="none"/>
          <w:lang w:val="en-US" w:eastAsia="zh-CN"/>
        </w:rPr>
        <w:t>检查炉篦大轴小齿轮两侧的夹套是否漏水，对其进行补焊。</w:t>
      </w:r>
    </w:p>
    <w:p w14:paraId="57CA5BC5">
      <w:pPr>
        <w:pStyle w:val="73"/>
        <w:spacing w:line="360" w:lineRule="auto"/>
        <w:ind w:left="0" w:leftChars="0" w:firstLine="0" w:firstLineChars="0"/>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4.2.1.4 煤锁解体大修</w:t>
      </w:r>
    </w:p>
    <w:p w14:paraId="27C80A70">
      <w:pPr>
        <w:pStyle w:val="73"/>
        <w:spacing w:line="360" w:lineRule="auto"/>
        <w:ind w:left="0" w:leftChars="0" w:firstLine="0" w:firstLineChars="0"/>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4.2.1.4.1 拆六层煤锁周围的篦子板、钢梁，将煤锁吊装至一层地面的检修架上；</w:t>
      </w:r>
    </w:p>
    <w:p w14:paraId="5FC8191C">
      <w:pPr>
        <w:pStyle w:val="73"/>
        <w:spacing w:line="360" w:lineRule="auto"/>
        <w:ind w:left="0" w:leftChars="0" w:firstLine="0" w:firstLineChars="0"/>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4.2.1.4.</w:t>
      </w:r>
      <w:r>
        <w:rPr>
          <w:rFonts w:hint="eastAsia" w:hAnsi="宋体"/>
          <w:sz w:val="24"/>
          <w:szCs w:val="24"/>
          <w:highlight w:val="none"/>
          <w:lang w:val="en-US" w:eastAsia="zh-CN"/>
        </w:rPr>
        <w:t xml:space="preserve">2 </w:t>
      </w:r>
      <w:r>
        <w:rPr>
          <w:rFonts w:hint="eastAsia" w:ascii="宋体" w:hAnsi="宋体" w:eastAsia="宋体"/>
          <w:sz w:val="24"/>
          <w:szCs w:val="24"/>
          <w:highlight w:val="none"/>
          <w:lang w:val="en-US" w:eastAsia="zh-CN"/>
        </w:rPr>
        <w:t>内部拆卸检查各零部件情况，预更换煤锁上、下阀各1套；</w:t>
      </w:r>
    </w:p>
    <w:p w14:paraId="10842EAE">
      <w:pPr>
        <w:pStyle w:val="73"/>
        <w:spacing w:line="360" w:lineRule="auto"/>
        <w:ind w:left="0" w:leftChars="0" w:firstLine="0" w:firstLineChars="0"/>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4.2.1.4.</w:t>
      </w:r>
      <w:r>
        <w:rPr>
          <w:rFonts w:hint="eastAsia" w:hAnsi="宋体"/>
          <w:sz w:val="24"/>
          <w:szCs w:val="24"/>
          <w:highlight w:val="none"/>
          <w:lang w:val="en-US" w:eastAsia="zh-CN"/>
        </w:rPr>
        <w:t xml:space="preserve">3 </w:t>
      </w:r>
      <w:r>
        <w:rPr>
          <w:rFonts w:hint="eastAsia" w:ascii="宋体" w:hAnsi="宋体" w:eastAsia="宋体"/>
          <w:sz w:val="24"/>
          <w:szCs w:val="24"/>
          <w:highlight w:val="none"/>
          <w:lang w:val="en-US" w:eastAsia="zh-CN"/>
        </w:rPr>
        <w:t>对内支撑架进行检查，校正；</w:t>
      </w:r>
    </w:p>
    <w:p w14:paraId="2B31AA4B">
      <w:pPr>
        <w:pStyle w:val="73"/>
        <w:spacing w:line="360" w:lineRule="auto"/>
        <w:ind w:left="0" w:leftChars="0" w:firstLine="0" w:firstLineChars="0"/>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4.2.1.4.</w:t>
      </w:r>
      <w:r>
        <w:rPr>
          <w:rFonts w:hint="eastAsia" w:hAnsi="宋体"/>
          <w:sz w:val="24"/>
          <w:szCs w:val="24"/>
          <w:highlight w:val="none"/>
          <w:lang w:val="en-US" w:eastAsia="zh-CN"/>
        </w:rPr>
        <w:t xml:space="preserve">4 </w:t>
      </w:r>
      <w:r>
        <w:rPr>
          <w:rFonts w:hint="eastAsia" w:ascii="宋体" w:hAnsi="宋体" w:eastAsia="宋体"/>
          <w:sz w:val="24"/>
          <w:szCs w:val="24"/>
          <w:highlight w:val="none"/>
          <w:lang w:val="en-US" w:eastAsia="zh-CN"/>
        </w:rPr>
        <w:t>煤锁检查并测厚；</w:t>
      </w:r>
    </w:p>
    <w:p w14:paraId="4A3DCDE1">
      <w:pPr>
        <w:pStyle w:val="73"/>
        <w:spacing w:line="360" w:lineRule="auto"/>
        <w:ind w:left="0" w:leftChars="0" w:firstLine="0" w:firstLineChars="0"/>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4.2.1.4.</w:t>
      </w:r>
      <w:r>
        <w:rPr>
          <w:rFonts w:hint="eastAsia" w:hAnsi="宋体"/>
          <w:sz w:val="24"/>
          <w:szCs w:val="24"/>
          <w:highlight w:val="none"/>
          <w:lang w:val="en-US" w:eastAsia="zh-CN"/>
        </w:rPr>
        <w:t xml:space="preserve">5 </w:t>
      </w:r>
      <w:r>
        <w:rPr>
          <w:rFonts w:hint="eastAsia" w:ascii="宋体" w:hAnsi="宋体" w:eastAsia="宋体"/>
          <w:sz w:val="24"/>
          <w:szCs w:val="24"/>
          <w:highlight w:val="none"/>
          <w:lang w:val="en-US" w:eastAsia="zh-CN"/>
        </w:rPr>
        <w:t>解体内件，更换内摆杆1件、摇臂轴1件、填料轴承、垫环等各1件。</w:t>
      </w:r>
    </w:p>
    <w:p w14:paraId="537307B5">
      <w:pPr>
        <w:pStyle w:val="68"/>
        <w:numPr>
          <w:ilvl w:val="0"/>
          <w:numId w:val="0"/>
        </w:numPr>
        <w:spacing w:line="360" w:lineRule="auto"/>
        <w:rPr>
          <w:rFonts w:ascii="宋体" w:hAnsi="宋体" w:eastAsia="宋体"/>
          <w:sz w:val="24"/>
          <w:szCs w:val="24"/>
          <w:highlight w:val="none"/>
        </w:rPr>
      </w:pPr>
      <w:r>
        <w:rPr>
          <w:rFonts w:hint="eastAsia" w:ascii="宋体" w:hAnsi="宋体" w:eastAsia="宋体"/>
          <w:sz w:val="24"/>
          <w:szCs w:val="24"/>
          <w:highlight w:val="none"/>
          <w:lang w:val="en-US" w:eastAsia="zh-CN"/>
        </w:rPr>
        <w:t xml:space="preserve">4.2.1.5 </w:t>
      </w:r>
      <w:r>
        <w:rPr>
          <w:rFonts w:hint="eastAsia" w:ascii="宋体" w:hAnsi="宋体" w:eastAsia="宋体"/>
          <w:sz w:val="24"/>
          <w:szCs w:val="24"/>
          <w:highlight w:val="none"/>
        </w:rPr>
        <w:t>灰锁解体大修</w:t>
      </w:r>
    </w:p>
    <w:p w14:paraId="71981B7B">
      <w:pPr>
        <w:pStyle w:val="73"/>
        <w:spacing w:line="360" w:lineRule="auto"/>
        <w:ind w:left="0" w:leftChars="0" w:firstLine="0" w:firstLineChars="0"/>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4.2.1.5</w:t>
      </w:r>
      <w:r>
        <w:rPr>
          <w:rFonts w:hint="eastAsia" w:hAnsi="宋体"/>
          <w:sz w:val="24"/>
          <w:szCs w:val="24"/>
          <w:highlight w:val="none"/>
          <w:lang w:val="en-US" w:eastAsia="zh-CN"/>
        </w:rPr>
        <w:t xml:space="preserve">.1 </w:t>
      </w:r>
      <w:r>
        <w:rPr>
          <w:rFonts w:hint="eastAsia" w:ascii="宋体" w:hAnsi="宋体" w:eastAsia="宋体"/>
          <w:sz w:val="24"/>
          <w:szCs w:val="24"/>
          <w:highlight w:val="none"/>
          <w:lang w:val="en-US" w:eastAsia="zh-CN"/>
        </w:rPr>
        <w:t>拆三层灰锁周围的篦子板、钢梁，将灰锁吊装至二层的检修架上；</w:t>
      </w:r>
    </w:p>
    <w:p w14:paraId="2BE80118">
      <w:pPr>
        <w:pStyle w:val="73"/>
        <w:spacing w:line="360" w:lineRule="auto"/>
        <w:ind w:left="0" w:leftChars="0" w:firstLine="0" w:firstLineChars="0"/>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4.2.1.5</w:t>
      </w:r>
      <w:r>
        <w:rPr>
          <w:rFonts w:hint="eastAsia" w:hAnsi="宋体"/>
          <w:sz w:val="24"/>
          <w:szCs w:val="24"/>
          <w:highlight w:val="none"/>
          <w:lang w:val="en-US" w:eastAsia="zh-CN"/>
        </w:rPr>
        <w:t xml:space="preserve">.2 </w:t>
      </w:r>
      <w:r>
        <w:rPr>
          <w:rFonts w:hint="eastAsia" w:ascii="宋体" w:hAnsi="宋体" w:eastAsia="宋体"/>
          <w:sz w:val="24"/>
          <w:szCs w:val="24"/>
          <w:highlight w:val="none"/>
          <w:lang w:val="en-US" w:eastAsia="zh-CN"/>
        </w:rPr>
        <w:t>内部拆卸检查各零部件情况，预更换灰锁上、下阀各1套；</w:t>
      </w:r>
    </w:p>
    <w:p w14:paraId="0BD1A649">
      <w:pPr>
        <w:pStyle w:val="73"/>
        <w:spacing w:line="360" w:lineRule="auto"/>
        <w:ind w:left="0" w:leftChars="0" w:firstLine="0" w:firstLineChars="0"/>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4.2.1.5</w:t>
      </w:r>
      <w:r>
        <w:rPr>
          <w:rFonts w:hint="eastAsia" w:hAnsi="宋体"/>
          <w:sz w:val="24"/>
          <w:szCs w:val="24"/>
          <w:highlight w:val="none"/>
          <w:lang w:val="en-US" w:eastAsia="zh-CN"/>
        </w:rPr>
        <w:t xml:space="preserve">.3 </w:t>
      </w:r>
      <w:r>
        <w:rPr>
          <w:rFonts w:hint="eastAsia" w:ascii="宋体" w:hAnsi="宋体" w:eastAsia="宋体"/>
          <w:sz w:val="24"/>
          <w:szCs w:val="24"/>
          <w:highlight w:val="none"/>
          <w:lang w:val="en-US" w:eastAsia="zh-CN"/>
        </w:rPr>
        <w:t>对内支撑架进行检查，校正；</w:t>
      </w:r>
    </w:p>
    <w:p w14:paraId="2483B449">
      <w:pPr>
        <w:pStyle w:val="73"/>
        <w:spacing w:line="360" w:lineRule="auto"/>
        <w:ind w:left="0" w:leftChars="0" w:firstLine="0" w:firstLineChars="0"/>
        <w:rPr>
          <w:rFonts w:hint="eastAsia" w:ascii="宋体" w:hAnsi="宋体" w:eastAsia="宋体"/>
          <w:sz w:val="24"/>
          <w:szCs w:val="24"/>
          <w:lang w:val="en-US" w:eastAsia="zh-CN"/>
        </w:rPr>
      </w:pPr>
      <w:r>
        <w:rPr>
          <w:rFonts w:hint="eastAsia" w:ascii="宋体" w:hAnsi="宋体" w:eastAsia="宋体"/>
          <w:sz w:val="24"/>
          <w:szCs w:val="24"/>
          <w:lang w:val="en-US" w:eastAsia="zh-CN"/>
        </w:rPr>
        <w:t>4.2.1.5</w:t>
      </w:r>
      <w:r>
        <w:rPr>
          <w:rFonts w:hint="eastAsia" w:hAnsi="宋体"/>
          <w:sz w:val="24"/>
          <w:szCs w:val="24"/>
          <w:lang w:val="en-US" w:eastAsia="zh-CN"/>
        </w:rPr>
        <w:t xml:space="preserve">.4 </w:t>
      </w:r>
      <w:r>
        <w:rPr>
          <w:rFonts w:hint="eastAsia" w:ascii="宋体" w:hAnsi="宋体" w:eastAsia="宋体"/>
          <w:sz w:val="24"/>
          <w:szCs w:val="24"/>
          <w:lang w:val="en-US" w:eastAsia="zh-CN"/>
        </w:rPr>
        <w:t>检查并测厚；</w:t>
      </w:r>
    </w:p>
    <w:p w14:paraId="4FD117CD">
      <w:pPr>
        <w:pStyle w:val="73"/>
        <w:spacing w:line="360" w:lineRule="auto"/>
        <w:ind w:left="0" w:leftChars="0" w:firstLine="0" w:firstLineChars="0"/>
        <w:rPr>
          <w:rFonts w:hint="eastAsia" w:ascii="宋体" w:hAnsi="宋体" w:eastAsia="宋体"/>
          <w:sz w:val="24"/>
          <w:szCs w:val="24"/>
          <w:lang w:val="en-US" w:eastAsia="zh-CN"/>
        </w:rPr>
      </w:pPr>
      <w:r>
        <w:rPr>
          <w:rFonts w:hint="eastAsia" w:ascii="宋体" w:hAnsi="宋体" w:eastAsia="宋体"/>
          <w:sz w:val="24"/>
          <w:szCs w:val="24"/>
          <w:lang w:val="en-US" w:eastAsia="zh-CN"/>
        </w:rPr>
        <w:t>4.2.1.5</w:t>
      </w:r>
      <w:r>
        <w:rPr>
          <w:rFonts w:hint="eastAsia" w:hAnsi="宋体"/>
          <w:sz w:val="24"/>
          <w:szCs w:val="24"/>
          <w:lang w:val="en-US" w:eastAsia="zh-CN"/>
        </w:rPr>
        <w:t xml:space="preserve">.5 </w:t>
      </w:r>
      <w:r>
        <w:rPr>
          <w:rFonts w:hint="eastAsia" w:ascii="宋体" w:hAnsi="宋体" w:eastAsia="宋体"/>
          <w:sz w:val="24"/>
          <w:szCs w:val="24"/>
          <w:lang w:val="en-US" w:eastAsia="zh-CN"/>
        </w:rPr>
        <w:t>解体内件检修更换內摆杆2件、摇臂轴2件、填料轴承、垫环等各2件。</w:t>
      </w:r>
    </w:p>
    <w:p w14:paraId="2B9BD345">
      <w:pPr>
        <w:pStyle w:val="74"/>
        <w:spacing w:line="360" w:lineRule="auto"/>
        <w:ind w:firstLine="0" w:firstLineChars="0"/>
        <w:rPr>
          <w:rFonts w:hAnsi="宋体"/>
          <w:sz w:val="24"/>
          <w:szCs w:val="24"/>
        </w:rPr>
      </w:pPr>
      <w:r>
        <w:rPr>
          <w:rFonts w:hint="eastAsia" w:ascii="宋体" w:hAnsi="宋体" w:eastAsia="宋体"/>
          <w:sz w:val="24"/>
          <w:szCs w:val="24"/>
          <w:lang w:val="en-US" w:eastAsia="zh-CN"/>
        </w:rPr>
        <w:t>4.2.1.</w:t>
      </w:r>
      <w:r>
        <w:rPr>
          <w:rFonts w:hint="eastAsia" w:hAnsi="宋体"/>
          <w:sz w:val="24"/>
          <w:szCs w:val="24"/>
          <w:lang w:val="en-US" w:eastAsia="zh-CN"/>
        </w:rPr>
        <w:t xml:space="preserve">6 </w:t>
      </w:r>
      <w:r>
        <w:rPr>
          <w:rFonts w:hint="eastAsia" w:hAnsi="宋体"/>
          <w:sz w:val="24"/>
          <w:szCs w:val="24"/>
        </w:rPr>
        <w:t>洗涤冷却器大修</w:t>
      </w:r>
    </w:p>
    <w:p w14:paraId="40A0682A">
      <w:pPr>
        <w:pStyle w:val="67"/>
        <w:keepNext w:val="0"/>
        <w:keepLines w:val="0"/>
        <w:pageBreakBefore w:val="0"/>
        <w:widowControl w:val="0"/>
        <w:numPr>
          <w:ilvl w:val="0"/>
          <w:numId w:val="0"/>
        </w:numPr>
        <w:kinsoku w:val="0"/>
        <w:wordWrap/>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Times New Roman"/>
          <w:sz w:val="24"/>
          <w:szCs w:val="24"/>
          <w:lang w:val="en-US" w:eastAsia="zh-CN" w:bidi="ar-SA"/>
        </w:rPr>
      </w:pPr>
      <w:r>
        <w:rPr>
          <w:rFonts w:hint="eastAsia" w:ascii="宋体" w:hAnsi="宋体" w:eastAsia="宋体" w:cs="Times New Roman"/>
          <w:sz w:val="24"/>
          <w:szCs w:val="24"/>
          <w:lang w:val="en-US" w:eastAsia="zh-CN" w:bidi="ar-SA"/>
        </w:rPr>
        <w:t>4.2.1.6.1 拆除洗涤冷却器的盲法兰盖及洗涤冷却器刮刀以及与之相接的煤气水管线和液压油管线；</w:t>
      </w:r>
    </w:p>
    <w:p w14:paraId="26AD3CF3">
      <w:pPr>
        <w:pStyle w:val="67"/>
        <w:numPr>
          <w:ilvl w:val="0"/>
          <w:numId w:val="0"/>
        </w:numPr>
        <w:spacing w:line="360" w:lineRule="auto"/>
        <w:rPr>
          <w:rFonts w:hint="eastAsia" w:ascii="宋体" w:hAnsi="宋体" w:eastAsia="宋体" w:cs="Times New Roman"/>
          <w:sz w:val="24"/>
          <w:szCs w:val="24"/>
          <w:highlight w:val="none"/>
          <w:lang w:val="en-US" w:eastAsia="zh-CN" w:bidi="ar-SA"/>
        </w:rPr>
      </w:pPr>
      <w:r>
        <w:rPr>
          <w:rFonts w:hint="eastAsia" w:ascii="宋体" w:hAnsi="宋体" w:eastAsia="宋体" w:cs="Times New Roman"/>
          <w:sz w:val="24"/>
          <w:szCs w:val="24"/>
          <w:highlight w:val="none"/>
          <w:lang w:val="en-US" w:eastAsia="zh-CN" w:bidi="ar-SA"/>
        </w:rPr>
        <w:t>4.2.1.6.2 清理洗涤冷却器内部结焦并清理至渣池；</w:t>
      </w:r>
    </w:p>
    <w:p w14:paraId="0E93D6BE">
      <w:pPr>
        <w:pStyle w:val="74"/>
        <w:spacing w:line="360" w:lineRule="auto"/>
        <w:ind w:left="0" w:leftChars="0" w:firstLine="0" w:firstLineChars="0"/>
        <w:rPr>
          <w:rFonts w:hAnsi="宋体"/>
          <w:sz w:val="24"/>
          <w:szCs w:val="24"/>
          <w:highlight w:val="none"/>
        </w:rPr>
      </w:pPr>
      <w:r>
        <w:rPr>
          <w:rFonts w:hint="eastAsia" w:ascii="宋体" w:hAnsi="宋体" w:eastAsia="宋体" w:cs="Times New Roman"/>
          <w:sz w:val="24"/>
          <w:szCs w:val="24"/>
          <w:highlight w:val="none"/>
          <w:lang w:val="en-US" w:eastAsia="zh-CN" w:bidi="ar-SA"/>
        </w:rPr>
        <w:t>4.2.1.6.</w:t>
      </w:r>
      <w:r>
        <w:rPr>
          <w:rFonts w:hint="eastAsia" w:hAnsi="宋体" w:cs="Times New Roman"/>
          <w:sz w:val="24"/>
          <w:szCs w:val="24"/>
          <w:highlight w:val="none"/>
          <w:lang w:val="en-US" w:eastAsia="zh-CN" w:bidi="ar-SA"/>
        </w:rPr>
        <w:t xml:space="preserve">3 </w:t>
      </w:r>
      <w:r>
        <w:rPr>
          <w:rFonts w:hint="eastAsia" w:hAnsi="宋体"/>
          <w:sz w:val="24"/>
          <w:szCs w:val="24"/>
          <w:highlight w:val="none"/>
        </w:rPr>
        <w:t>检查洗涤冷却器刮刀的所有零部件，并更换磨损、损坏的零部件；</w:t>
      </w:r>
    </w:p>
    <w:p w14:paraId="749AF990">
      <w:pPr>
        <w:pStyle w:val="74"/>
        <w:spacing w:line="360" w:lineRule="auto"/>
        <w:ind w:left="0" w:leftChars="0" w:firstLine="0" w:firstLineChars="0"/>
        <w:rPr>
          <w:rFonts w:hAnsi="宋体"/>
          <w:sz w:val="24"/>
          <w:szCs w:val="24"/>
          <w:highlight w:val="none"/>
        </w:rPr>
      </w:pPr>
      <w:r>
        <w:rPr>
          <w:rFonts w:hint="eastAsia" w:ascii="宋体" w:hAnsi="宋体" w:eastAsia="宋体" w:cs="Times New Roman"/>
          <w:sz w:val="24"/>
          <w:szCs w:val="24"/>
          <w:highlight w:val="none"/>
          <w:lang w:val="en-US" w:eastAsia="zh-CN" w:bidi="ar-SA"/>
        </w:rPr>
        <w:t>4.2.1.6.</w:t>
      </w:r>
      <w:r>
        <w:rPr>
          <w:rFonts w:hint="eastAsia" w:hAnsi="宋体" w:cs="Times New Roman"/>
          <w:sz w:val="24"/>
          <w:szCs w:val="24"/>
          <w:highlight w:val="none"/>
          <w:lang w:val="en-US" w:eastAsia="zh-CN" w:bidi="ar-SA"/>
        </w:rPr>
        <w:t xml:space="preserve">4 </w:t>
      </w:r>
      <w:r>
        <w:rPr>
          <w:rFonts w:hint="eastAsia" w:hAnsi="宋体"/>
          <w:sz w:val="24"/>
          <w:szCs w:val="24"/>
          <w:highlight w:val="none"/>
        </w:rPr>
        <w:t>拆开洗涤冷却器去废热锅炉集水槽的DN250的煤气水管线，清理管道中积存的焦油和煤粉，清理完成后恢复煤气水管线；</w:t>
      </w:r>
    </w:p>
    <w:p w14:paraId="018491A3">
      <w:pPr>
        <w:pStyle w:val="74"/>
        <w:spacing w:line="360" w:lineRule="auto"/>
        <w:ind w:firstLine="0" w:firstLineChars="0"/>
        <w:rPr>
          <w:rFonts w:hAnsi="宋体"/>
          <w:sz w:val="24"/>
          <w:szCs w:val="24"/>
          <w:highlight w:val="none"/>
        </w:rPr>
      </w:pPr>
      <w:r>
        <w:rPr>
          <w:rFonts w:hint="eastAsia" w:ascii="宋体" w:hAnsi="宋体" w:eastAsia="宋体"/>
          <w:sz w:val="24"/>
          <w:szCs w:val="24"/>
          <w:highlight w:val="none"/>
          <w:lang w:val="en-US" w:eastAsia="zh-CN"/>
        </w:rPr>
        <w:t>4.2.1.</w:t>
      </w:r>
      <w:r>
        <w:rPr>
          <w:rFonts w:hint="eastAsia" w:hAnsi="宋体"/>
          <w:sz w:val="24"/>
          <w:szCs w:val="24"/>
          <w:highlight w:val="none"/>
          <w:lang w:val="en-US" w:eastAsia="zh-CN"/>
        </w:rPr>
        <w:t xml:space="preserve">7 </w:t>
      </w:r>
      <w:r>
        <w:rPr>
          <w:rFonts w:hint="eastAsia" w:hAnsi="宋体"/>
          <w:sz w:val="24"/>
          <w:szCs w:val="24"/>
          <w:highlight w:val="none"/>
        </w:rPr>
        <w:t>偏心套组件的检修</w:t>
      </w:r>
    </w:p>
    <w:p w14:paraId="7B22C047">
      <w:pPr>
        <w:pStyle w:val="74"/>
        <w:keepNext w:val="0"/>
        <w:keepLines w:val="0"/>
        <w:pageBreakBefore w:val="0"/>
        <w:widowControl/>
        <w:kinsoku/>
        <w:wordWrap/>
        <w:overflowPunct/>
        <w:topLinePunct w:val="0"/>
        <w:autoSpaceDE w:val="0"/>
        <w:autoSpaceDN w:val="0"/>
        <w:bidi w:val="0"/>
        <w:adjustRightInd w:val="0"/>
        <w:snapToGrid w:val="0"/>
        <w:spacing w:line="360" w:lineRule="auto"/>
        <w:ind w:firstLine="0" w:firstLineChars="0"/>
        <w:textAlignment w:val="auto"/>
        <w:rPr>
          <w:rFonts w:hAnsi="宋体"/>
          <w:sz w:val="24"/>
          <w:szCs w:val="24"/>
          <w:highlight w:val="none"/>
        </w:rPr>
      </w:pPr>
      <w:r>
        <w:rPr>
          <w:rFonts w:hint="eastAsia" w:ascii="宋体" w:hAnsi="宋体" w:eastAsia="宋体"/>
          <w:sz w:val="24"/>
          <w:szCs w:val="24"/>
          <w:highlight w:val="none"/>
          <w:lang w:val="en-US" w:eastAsia="zh-CN"/>
        </w:rPr>
        <w:t>4.2.1.</w:t>
      </w:r>
      <w:r>
        <w:rPr>
          <w:rFonts w:hint="eastAsia" w:hAnsi="宋体"/>
          <w:sz w:val="24"/>
          <w:szCs w:val="24"/>
          <w:highlight w:val="none"/>
          <w:lang w:val="en-US" w:eastAsia="zh-CN"/>
        </w:rPr>
        <w:t>7.1</w:t>
      </w:r>
      <w:r>
        <w:rPr>
          <w:rFonts w:hint="eastAsia" w:hAnsi="宋体"/>
          <w:sz w:val="24"/>
          <w:szCs w:val="24"/>
          <w:highlight w:val="none"/>
        </w:rPr>
        <w:t xml:space="preserve"> 拆除气化炉两侧的2套偏心套组件，将其拉运至固定检修点处；</w:t>
      </w:r>
    </w:p>
    <w:p w14:paraId="3A683B40">
      <w:pPr>
        <w:pStyle w:val="74"/>
        <w:keepNext w:val="0"/>
        <w:keepLines w:val="0"/>
        <w:pageBreakBefore w:val="0"/>
        <w:widowControl/>
        <w:kinsoku/>
        <w:wordWrap/>
        <w:overflowPunct/>
        <w:topLinePunct w:val="0"/>
        <w:autoSpaceDE w:val="0"/>
        <w:autoSpaceDN w:val="0"/>
        <w:bidi w:val="0"/>
        <w:adjustRightInd w:val="0"/>
        <w:snapToGrid w:val="0"/>
        <w:spacing w:line="360" w:lineRule="auto"/>
        <w:ind w:firstLine="0" w:firstLineChars="0"/>
        <w:textAlignment w:val="auto"/>
        <w:rPr>
          <w:rFonts w:hAnsi="宋体"/>
          <w:sz w:val="24"/>
          <w:szCs w:val="24"/>
          <w:highlight w:val="none"/>
        </w:rPr>
      </w:pPr>
      <w:r>
        <w:rPr>
          <w:rFonts w:hint="eastAsia" w:ascii="宋体" w:hAnsi="宋体" w:eastAsia="宋体"/>
          <w:sz w:val="24"/>
          <w:szCs w:val="24"/>
          <w:highlight w:val="none"/>
          <w:lang w:val="en-US" w:eastAsia="zh-CN"/>
        </w:rPr>
        <w:t>4.2.1.</w:t>
      </w:r>
      <w:r>
        <w:rPr>
          <w:rFonts w:hint="eastAsia" w:hAnsi="宋体"/>
          <w:sz w:val="24"/>
          <w:szCs w:val="24"/>
          <w:highlight w:val="none"/>
          <w:lang w:val="en-US" w:eastAsia="zh-CN"/>
        </w:rPr>
        <w:t>7.2</w:t>
      </w:r>
      <w:r>
        <w:rPr>
          <w:rFonts w:hint="eastAsia" w:hAnsi="宋体"/>
          <w:sz w:val="24"/>
          <w:szCs w:val="24"/>
          <w:highlight w:val="none"/>
        </w:rPr>
        <w:t xml:space="preserve"> 将偏心套组件中的输出轴抽出，清理、清洗偏心套、输出轴；</w:t>
      </w:r>
    </w:p>
    <w:p w14:paraId="7C9B48E7">
      <w:pPr>
        <w:pStyle w:val="74"/>
        <w:keepNext w:val="0"/>
        <w:keepLines w:val="0"/>
        <w:pageBreakBefore w:val="0"/>
        <w:widowControl/>
        <w:kinsoku/>
        <w:wordWrap/>
        <w:overflowPunct/>
        <w:topLinePunct w:val="0"/>
        <w:autoSpaceDE w:val="0"/>
        <w:autoSpaceDN w:val="0"/>
        <w:bidi w:val="0"/>
        <w:adjustRightInd w:val="0"/>
        <w:snapToGrid w:val="0"/>
        <w:spacing w:line="360" w:lineRule="auto"/>
        <w:ind w:firstLine="0" w:firstLineChars="0"/>
        <w:textAlignment w:val="auto"/>
        <w:rPr>
          <w:rFonts w:hAnsi="宋体"/>
          <w:sz w:val="24"/>
          <w:szCs w:val="24"/>
          <w:highlight w:val="none"/>
        </w:rPr>
      </w:pPr>
      <w:r>
        <w:rPr>
          <w:rFonts w:hint="eastAsia" w:ascii="宋体" w:hAnsi="宋体" w:eastAsia="宋体"/>
          <w:sz w:val="24"/>
          <w:szCs w:val="24"/>
          <w:highlight w:val="none"/>
          <w:lang w:val="en-US" w:eastAsia="zh-CN"/>
        </w:rPr>
        <w:t>4.2.1.</w:t>
      </w:r>
      <w:r>
        <w:rPr>
          <w:rFonts w:hint="eastAsia" w:hAnsi="宋体"/>
          <w:sz w:val="24"/>
          <w:szCs w:val="24"/>
          <w:highlight w:val="none"/>
          <w:lang w:val="en-US" w:eastAsia="zh-CN"/>
        </w:rPr>
        <w:t>7.3</w:t>
      </w:r>
      <w:r>
        <w:rPr>
          <w:rFonts w:hint="eastAsia" w:hAnsi="宋体"/>
          <w:sz w:val="24"/>
          <w:szCs w:val="24"/>
          <w:highlight w:val="none"/>
        </w:rPr>
        <w:t xml:space="preserve"> 拆除偏心套中轴套，将新的输出轴装入偏心套；</w:t>
      </w:r>
    </w:p>
    <w:p w14:paraId="02159F4C">
      <w:pPr>
        <w:pStyle w:val="74"/>
        <w:keepNext w:val="0"/>
        <w:keepLines w:val="0"/>
        <w:pageBreakBefore w:val="0"/>
        <w:widowControl/>
        <w:kinsoku/>
        <w:wordWrap/>
        <w:overflowPunct/>
        <w:topLinePunct w:val="0"/>
        <w:autoSpaceDE w:val="0"/>
        <w:autoSpaceDN w:val="0"/>
        <w:bidi w:val="0"/>
        <w:adjustRightInd w:val="0"/>
        <w:snapToGrid w:val="0"/>
        <w:spacing w:line="360" w:lineRule="auto"/>
        <w:ind w:firstLine="0" w:firstLineChars="0"/>
        <w:textAlignment w:val="auto"/>
        <w:rPr>
          <w:rFonts w:hAnsi="宋体"/>
          <w:sz w:val="24"/>
          <w:szCs w:val="24"/>
          <w:highlight w:val="none"/>
        </w:rPr>
      </w:pPr>
      <w:r>
        <w:rPr>
          <w:rFonts w:hint="eastAsia" w:ascii="宋体" w:hAnsi="宋体" w:eastAsia="宋体"/>
          <w:sz w:val="24"/>
          <w:szCs w:val="24"/>
          <w:highlight w:val="none"/>
          <w:lang w:val="en-US" w:eastAsia="zh-CN"/>
        </w:rPr>
        <w:t>4.2.1.</w:t>
      </w:r>
      <w:r>
        <w:rPr>
          <w:rFonts w:hint="eastAsia" w:hAnsi="宋体"/>
          <w:sz w:val="24"/>
          <w:szCs w:val="24"/>
          <w:highlight w:val="none"/>
          <w:lang w:val="en-US" w:eastAsia="zh-CN"/>
        </w:rPr>
        <w:t>7.4</w:t>
      </w:r>
      <w:r>
        <w:rPr>
          <w:rFonts w:hint="eastAsia" w:hAnsi="宋体"/>
          <w:sz w:val="24"/>
          <w:szCs w:val="24"/>
          <w:highlight w:val="none"/>
        </w:rPr>
        <w:t xml:space="preserve"> 将偏心套及输出轴回装；</w:t>
      </w:r>
    </w:p>
    <w:p w14:paraId="39091F4F">
      <w:pPr>
        <w:pStyle w:val="74"/>
        <w:spacing w:line="360" w:lineRule="auto"/>
        <w:ind w:firstLine="0" w:firstLineChars="0"/>
        <w:rPr>
          <w:rFonts w:hAnsi="宋体"/>
          <w:sz w:val="24"/>
          <w:szCs w:val="24"/>
          <w:highlight w:val="none"/>
        </w:rPr>
      </w:pPr>
      <w:r>
        <w:rPr>
          <w:rFonts w:hint="eastAsia" w:ascii="宋体" w:hAnsi="宋体" w:eastAsia="宋体"/>
          <w:sz w:val="24"/>
          <w:szCs w:val="24"/>
          <w:highlight w:val="none"/>
          <w:lang w:val="en-US" w:eastAsia="zh-CN"/>
        </w:rPr>
        <w:t>4.2.1.</w:t>
      </w:r>
      <w:r>
        <w:rPr>
          <w:rFonts w:hint="eastAsia" w:hAnsi="宋体"/>
          <w:sz w:val="24"/>
          <w:szCs w:val="24"/>
          <w:highlight w:val="none"/>
          <w:lang w:val="en-US" w:eastAsia="zh-CN"/>
        </w:rPr>
        <w:t xml:space="preserve">8 </w:t>
      </w:r>
      <w:r>
        <w:rPr>
          <w:rFonts w:hint="eastAsia" w:hAnsi="宋体"/>
          <w:sz w:val="24"/>
          <w:szCs w:val="24"/>
          <w:highlight w:val="none"/>
        </w:rPr>
        <w:t>炉篦减速机的检修</w:t>
      </w:r>
    </w:p>
    <w:p w14:paraId="329604DE">
      <w:pPr>
        <w:pStyle w:val="74"/>
        <w:spacing w:line="360" w:lineRule="auto"/>
        <w:ind w:left="0" w:leftChars="0" w:firstLine="0" w:firstLineChars="0"/>
        <w:rPr>
          <w:rFonts w:hint="eastAsia" w:hAnsi="宋体"/>
          <w:sz w:val="24"/>
          <w:szCs w:val="24"/>
          <w:highlight w:val="none"/>
        </w:rPr>
      </w:pPr>
      <w:r>
        <w:rPr>
          <w:rFonts w:hint="eastAsia" w:ascii="宋体" w:hAnsi="宋体" w:eastAsia="宋体"/>
          <w:sz w:val="24"/>
          <w:szCs w:val="24"/>
          <w:highlight w:val="none"/>
          <w:lang w:val="en-US" w:eastAsia="zh-CN"/>
        </w:rPr>
        <w:t>4.2.1.</w:t>
      </w:r>
      <w:r>
        <w:rPr>
          <w:rFonts w:hint="eastAsia" w:hAnsi="宋体"/>
          <w:sz w:val="24"/>
          <w:szCs w:val="24"/>
          <w:highlight w:val="none"/>
          <w:lang w:val="en-US" w:eastAsia="zh-CN"/>
        </w:rPr>
        <w:t xml:space="preserve">8.1 </w:t>
      </w:r>
      <w:r>
        <w:rPr>
          <w:rFonts w:hint="eastAsia" w:hAnsi="宋体"/>
          <w:sz w:val="24"/>
          <w:szCs w:val="24"/>
          <w:highlight w:val="none"/>
        </w:rPr>
        <w:t>拆除炉篦减速机，并拉运至固定检修点；</w:t>
      </w:r>
    </w:p>
    <w:p w14:paraId="5FE44208">
      <w:pPr>
        <w:pStyle w:val="74"/>
        <w:spacing w:line="360" w:lineRule="auto"/>
        <w:ind w:left="0" w:leftChars="0" w:firstLine="0" w:firstLineChars="0"/>
        <w:rPr>
          <w:rFonts w:hAnsi="宋体"/>
          <w:sz w:val="24"/>
          <w:szCs w:val="24"/>
          <w:highlight w:val="none"/>
        </w:rPr>
      </w:pPr>
      <w:r>
        <w:rPr>
          <w:rFonts w:hint="eastAsia" w:ascii="宋体" w:hAnsi="宋体" w:eastAsia="宋体"/>
          <w:sz w:val="24"/>
          <w:szCs w:val="24"/>
          <w:highlight w:val="none"/>
          <w:lang w:val="en-US" w:eastAsia="zh-CN"/>
        </w:rPr>
        <w:t>4.2.1.</w:t>
      </w:r>
      <w:r>
        <w:rPr>
          <w:rFonts w:hint="eastAsia" w:hAnsi="宋体"/>
          <w:sz w:val="24"/>
          <w:szCs w:val="24"/>
          <w:highlight w:val="none"/>
          <w:lang w:val="en-US" w:eastAsia="zh-CN"/>
        </w:rPr>
        <w:t xml:space="preserve">8.2 </w:t>
      </w:r>
      <w:r>
        <w:rPr>
          <w:rFonts w:hint="eastAsia" w:hAnsi="宋体"/>
          <w:sz w:val="24"/>
          <w:szCs w:val="24"/>
          <w:highlight w:val="none"/>
        </w:rPr>
        <w:t>排出炉篦减速机中的润滑油，拆开炉篦减速机；</w:t>
      </w:r>
    </w:p>
    <w:p w14:paraId="5E94E6EF">
      <w:pPr>
        <w:pStyle w:val="74"/>
        <w:spacing w:line="360" w:lineRule="auto"/>
        <w:ind w:left="0" w:leftChars="0" w:firstLine="0" w:firstLineChars="0"/>
        <w:rPr>
          <w:rFonts w:hAnsi="宋体"/>
          <w:sz w:val="24"/>
          <w:szCs w:val="24"/>
          <w:highlight w:val="none"/>
        </w:rPr>
      </w:pPr>
      <w:r>
        <w:rPr>
          <w:rFonts w:hint="eastAsia" w:ascii="宋体" w:hAnsi="宋体" w:eastAsia="宋体"/>
          <w:sz w:val="24"/>
          <w:szCs w:val="24"/>
          <w:highlight w:val="none"/>
          <w:lang w:val="en-US" w:eastAsia="zh-CN"/>
        </w:rPr>
        <w:t>4.2.1.</w:t>
      </w:r>
      <w:r>
        <w:rPr>
          <w:rFonts w:hint="eastAsia" w:hAnsi="宋体"/>
          <w:sz w:val="24"/>
          <w:szCs w:val="24"/>
          <w:highlight w:val="none"/>
          <w:lang w:val="en-US" w:eastAsia="zh-CN"/>
        </w:rPr>
        <w:t xml:space="preserve">8.3 </w:t>
      </w:r>
      <w:r>
        <w:rPr>
          <w:rFonts w:hint="eastAsia" w:hAnsi="宋体"/>
          <w:sz w:val="24"/>
          <w:szCs w:val="24"/>
          <w:highlight w:val="none"/>
        </w:rPr>
        <w:t>回装炉篦减速机，重新加注润滑油；</w:t>
      </w:r>
    </w:p>
    <w:p w14:paraId="687D60BA">
      <w:pPr>
        <w:pStyle w:val="74"/>
        <w:keepNext w:val="0"/>
        <w:keepLines w:val="0"/>
        <w:pageBreakBefore w:val="0"/>
        <w:widowControl w:val="0"/>
        <w:kinsoku w:val="0"/>
        <w:wordWrap/>
        <w:overflowPunct/>
        <w:topLinePunct w:val="0"/>
        <w:bidi w:val="0"/>
        <w:adjustRightInd w:val="0"/>
        <w:snapToGrid w:val="0"/>
        <w:spacing w:line="360" w:lineRule="auto"/>
        <w:ind w:firstLine="0" w:firstLineChars="0"/>
        <w:jc w:val="left"/>
        <w:textAlignment w:val="auto"/>
        <w:rPr>
          <w:rFonts w:hAnsi="宋体"/>
          <w:sz w:val="24"/>
          <w:szCs w:val="24"/>
          <w:highlight w:val="none"/>
        </w:rPr>
      </w:pPr>
      <w:r>
        <w:rPr>
          <w:rFonts w:hint="eastAsia" w:hAnsi="宋体"/>
          <w:sz w:val="24"/>
          <w:szCs w:val="24"/>
          <w:highlight w:val="none"/>
        </w:rPr>
        <w:t>4.</w:t>
      </w:r>
      <w:r>
        <w:rPr>
          <w:rFonts w:hint="eastAsia" w:hAnsi="宋体"/>
          <w:sz w:val="24"/>
          <w:szCs w:val="24"/>
          <w:highlight w:val="none"/>
          <w:lang w:val="en-US" w:eastAsia="zh-CN"/>
        </w:rPr>
        <w:t xml:space="preserve">3 </w:t>
      </w:r>
      <w:r>
        <w:rPr>
          <w:rFonts w:hint="eastAsia" w:hAnsi="宋体"/>
          <w:sz w:val="24"/>
          <w:szCs w:val="24"/>
          <w:highlight w:val="none"/>
        </w:rPr>
        <w:t>大修工序</w:t>
      </w:r>
    </w:p>
    <w:p w14:paraId="002CF817">
      <w:pPr>
        <w:pStyle w:val="74"/>
        <w:keepNext w:val="0"/>
        <w:keepLines w:val="0"/>
        <w:pageBreakBefore w:val="0"/>
        <w:widowControl w:val="0"/>
        <w:kinsoku w:val="0"/>
        <w:wordWrap/>
        <w:overflowPunct/>
        <w:topLinePunct w:val="0"/>
        <w:bidi w:val="0"/>
        <w:adjustRightInd w:val="0"/>
        <w:snapToGrid w:val="0"/>
        <w:spacing w:line="360" w:lineRule="auto"/>
        <w:ind w:firstLine="0" w:firstLineChars="0"/>
        <w:jc w:val="left"/>
        <w:textAlignment w:val="auto"/>
        <w:rPr>
          <w:rFonts w:hint="eastAsia" w:hAnsi="宋体"/>
          <w:sz w:val="24"/>
          <w:szCs w:val="24"/>
          <w:highlight w:val="none"/>
        </w:rPr>
      </w:pPr>
      <w:bookmarkStart w:id="10" w:name="_Toc80271048"/>
      <w:bookmarkEnd w:id="10"/>
      <w:bookmarkStart w:id="11" w:name="_Toc80271152"/>
      <w:bookmarkEnd w:id="11"/>
      <w:r>
        <w:rPr>
          <w:rFonts w:hint="eastAsia" w:hAnsi="宋体"/>
          <w:sz w:val="24"/>
          <w:szCs w:val="24"/>
          <w:highlight w:val="none"/>
          <w:lang w:val="en-US" w:eastAsia="zh-CN"/>
        </w:rPr>
        <w:t xml:space="preserve">4.3.1 </w:t>
      </w:r>
      <w:r>
        <w:rPr>
          <w:rFonts w:hint="eastAsia" w:hAnsi="宋体"/>
          <w:sz w:val="24"/>
          <w:szCs w:val="24"/>
          <w:highlight w:val="none"/>
        </w:rPr>
        <w:t>拆卸步骤</w:t>
      </w:r>
    </w:p>
    <w:p w14:paraId="746A5CD8">
      <w:pPr>
        <w:pStyle w:val="74"/>
        <w:keepNext w:val="0"/>
        <w:keepLines w:val="0"/>
        <w:pageBreakBefore w:val="0"/>
        <w:widowControl w:val="0"/>
        <w:kinsoku w:val="0"/>
        <w:wordWrap/>
        <w:overflowPunct/>
        <w:topLinePunct w:val="0"/>
        <w:bidi w:val="0"/>
        <w:adjustRightInd w:val="0"/>
        <w:snapToGrid w:val="0"/>
        <w:spacing w:line="360" w:lineRule="auto"/>
        <w:ind w:firstLine="0" w:firstLineChars="0"/>
        <w:jc w:val="left"/>
        <w:textAlignment w:val="auto"/>
        <w:rPr>
          <w:rFonts w:hint="eastAsia" w:hAnsi="宋体"/>
          <w:sz w:val="24"/>
          <w:szCs w:val="24"/>
          <w:highlight w:val="none"/>
        </w:rPr>
      </w:pPr>
      <w:r>
        <w:rPr>
          <w:rFonts w:hint="eastAsia" w:hAnsi="宋体"/>
          <w:sz w:val="24"/>
          <w:szCs w:val="24"/>
          <w:highlight w:val="none"/>
          <w:lang w:val="en-US" w:eastAsia="zh-CN"/>
        </w:rPr>
        <w:t xml:space="preserve">4.3.1.1 </w:t>
      </w:r>
      <w:r>
        <w:rPr>
          <w:rFonts w:hint="eastAsia" w:hAnsi="宋体"/>
          <w:sz w:val="24"/>
          <w:szCs w:val="24"/>
          <w:highlight w:val="none"/>
        </w:rPr>
        <w:t>拆卸相关工艺管道和仪表管线，接口法兰用布或塑料布包好；</w:t>
      </w:r>
    </w:p>
    <w:p w14:paraId="31DA8D93">
      <w:pPr>
        <w:pStyle w:val="74"/>
        <w:keepNext w:val="0"/>
        <w:keepLines w:val="0"/>
        <w:pageBreakBefore w:val="0"/>
        <w:widowControl w:val="0"/>
        <w:kinsoku w:val="0"/>
        <w:wordWrap/>
        <w:overflowPunct/>
        <w:topLinePunct w:val="0"/>
        <w:bidi w:val="0"/>
        <w:adjustRightInd w:val="0"/>
        <w:snapToGrid w:val="0"/>
        <w:spacing w:line="360" w:lineRule="auto"/>
        <w:ind w:firstLine="0" w:firstLineChars="0"/>
        <w:jc w:val="left"/>
        <w:textAlignment w:val="auto"/>
        <w:rPr>
          <w:rFonts w:hint="eastAsia" w:hAnsi="宋体"/>
          <w:sz w:val="24"/>
          <w:szCs w:val="24"/>
          <w:highlight w:val="none"/>
        </w:rPr>
      </w:pPr>
      <w:r>
        <w:rPr>
          <w:rFonts w:hint="eastAsia" w:hAnsi="宋体"/>
          <w:sz w:val="24"/>
          <w:szCs w:val="24"/>
          <w:highlight w:val="none"/>
          <w:lang w:val="en-US" w:eastAsia="zh-CN"/>
        </w:rPr>
        <w:t xml:space="preserve">4.3.1.2 </w:t>
      </w:r>
      <w:r>
        <w:rPr>
          <w:rFonts w:hint="eastAsia" w:hAnsi="宋体"/>
          <w:sz w:val="24"/>
          <w:szCs w:val="24"/>
          <w:highlight w:val="none"/>
        </w:rPr>
        <w:t>拆卸相关液压管线和润滑油管线，接头用布包好。液压管线拆卸以前煤锁应排完煤，上、下阀应处于最高位置；</w:t>
      </w:r>
    </w:p>
    <w:p w14:paraId="57FDB22A">
      <w:pPr>
        <w:pStyle w:val="74"/>
        <w:keepNext w:val="0"/>
        <w:keepLines w:val="0"/>
        <w:pageBreakBefore w:val="0"/>
        <w:widowControl w:val="0"/>
        <w:kinsoku w:val="0"/>
        <w:wordWrap/>
        <w:overflowPunct/>
        <w:topLinePunct w:val="0"/>
        <w:bidi w:val="0"/>
        <w:adjustRightInd w:val="0"/>
        <w:snapToGrid w:val="0"/>
        <w:spacing w:line="360" w:lineRule="auto"/>
        <w:ind w:firstLine="0" w:firstLineChars="0"/>
        <w:jc w:val="left"/>
        <w:textAlignment w:val="auto"/>
        <w:rPr>
          <w:rFonts w:hint="eastAsia" w:hAnsi="宋体"/>
          <w:sz w:val="24"/>
          <w:szCs w:val="24"/>
          <w:highlight w:val="none"/>
        </w:rPr>
      </w:pPr>
      <w:r>
        <w:rPr>
          <w:rFonts w:hint="eastAsia" w:hAnsi="宋体"/>
          <w:sz w:val="24"/>
          <w:szCs w:val="24"/>
          <w:highlight w:val="none"/>
          <w:lang w:val="en-US" w:eastAsia="zh-CN"/>
        </w:rPr>
        <w:t xml:space="preserve">4.3.1.3 </w:t>
      </w:r>
      <w:r>
        <w:rPr>
          <w:rFonts w:hint="eastAsia" w:hAnsi="宋体"/>
          <w:sz w:val="24"/>
          <w:szCs w:val="24"/>
          <w:highlight w:val="none"/>
        </w:rPr>
        <w:t>拆除煤溜槽与煤仓的软连接，拆卸煤锁上阀座</w:t>
      </w:r>
      <w:r>
        <w:rPr>
          <w:rFonts w:hint="eastAsia" w:hAnsi="宋体"/>
          <w:sz w:val="24"/>
          <w:szCs w:val="24"/>
        </w:rPr>
        <w:t>与煤锁的连接螺栓，将煤锁上阀</w:t>
      </w:r>
      <w:r>
        <w:rPr>
          <w:rFonts w:hint="eastAsia" w:hAnsi="宋体"/>
          <w:sz w:val="24"/>
          <w:szCs w:val="24"/>
          <w:highlight w:val="none"/>
        </w:rPr>
        <w:t>连同阀座提起来，然后断掉圆筒阀和上阀的液压管线，再拆下煤溜槽与煤锁的连接螺栓，吊下煤溜槽；</w:t>
      </w:r>
    </w:p>
    <w:p w14:paraId="6550C2E8">
      <w:pPr>
        <w:pStyle w:val="74"/>
        <w:keepNext w:val="0"/>
        <w:keepLines w:val="0"/>
        <w:pageBreakBefore w:val="0"/>
        <w:widowControl w:val="0"/>
        <w:kinsoku w:val="0"/>
        <w:wordWrap/>
        <w:overflowPunct/>
        <w:topLinePunct w:val="0"/>
        <w:bidi w:val="0"/>
        <w:adjustRightInd w:val="0"/>
        <w:snapToGrid w:val="0"/>
        <w:spacing w:line="360" w:lineRule="auto"/>
        <w:ind w:firstLine="0" w:firstLineChars="0"/>
        <w:jc w:val="left"/>
        <w:textAlignment w:val="auto"/>
        <w:rPr>
          <w:rFonts w:hint="eastAsia" w:hAnsi="宋体"/>
          <w:sz w:val="24"/>
          <w:szCs w:val="24"/>
          <w:highlight w:val="none"/>
        </w:rPr>
      </w:pPr>
      <w:r>
        <w:rPr>
          <w:rFonts w:hint="eastAsia" w:hAnsi="宋体"/>
          <w:sz w:val="24"/>
          <w:szCs w:val="24"/>
          <w:highlight w:val="none"/>
          <w:lang w:val="en-US" w:eastAsia="zh-CN"/>
        </w:rPr>
        <w:t xml:space="preserve">4.3.1.4 </w:t>
      </w:r>
      <w:r>
        <w:rPr>
          <w:rFonts w:hint="eastAsia" w:hAnsi="宋体"/>
          <w:sz w:val="24"/>
          <w:szCs w:val="24"/>
          <w:highlight w:val="none"/>
        </w:rPr>
        <w:t>拆卸煤锁与气化炉的连接螺栓，吊煤锁至一楼；</w:t>
      </w:r>
    </w:p>
    <w:p w14:paraId="145FECD2">
      <w:pPr>
        <w:pStyle w:val="74"/>
        <w:keepNext w:val="0"/>
        <w:keepLines w:val="0"/>
        <w:pageBreakBefore w:val="0"/>
        <w:widowControl w:val="0"/>
        <w:kinsoku w:val="0"/>
        <w:wordWrap/>
        <w:overflowPunct/>
        <w:topLinePunct w:val="0"/>
        <w:bidi w:val="0"/>
        <w:adjustRightInd w:val="0"/>
        <w:snapToGrid w:val="0"/>
        <w:spacing w:line="360" w:lineRule="auto"/>
        <w:ind w:firstLine="0" w:firstLineChars="0"/>
        <w:jc w:val="left"/>
        <w:textAlignment w:val="auto"/>
        <w:rPr>
          <w:rFonts w:hint="eastAsia" w:hAnsi="宋体"/>
          <w:sz w:val="24"/>
          <w:szCs w:val="24"/>
          <w:highlight w:val="none"/>
        </w:rPr>
      </w:pPr>
      <w:r>
        <w:rPr>
          <w:rFonts w:hint="eastAsia" w:hAnsi="宋体"/>
          <w:sz w:val="24"/>
          <w:szCs w:val="24"/>
          <w:highlight w:val="none"/>
          <w:lang w:val="en-US" w:eastAsia="zh-CN"/>
        </w:rPr>
        <w:t xml:space="preserve">4.3.1.5 </w:t>
      </w:r>
      <w:r>
        <w:rPr>
          <w:rFonts w:hint="eastAsia" w:hAnsi="宋体"/>
          <w:sz w:val="24"/>
          <w:szCs w:val="24"/>
          <w:highlight w:val="none"/>
        </w:rPr>
        <w:t>拆卸并拿掉灰锁与竖灰管之间的膨胀节，拆卸灰锁与气化炉的连接螺栓，用电动葫芦将灰锁连同膨胀冷凝器一同吊至检修位置；</w:t>
      </w:r>
    </w:p>
    <w:p w14:paraId="78E620A0">
      <w:pPr>
        <w:pStyle w:val="74"/>
        <w:keepNext w:val="0"/>
        <w:keepLines w:val="0"/>
        <w:pageBreakBefore w:val="0"/>
        <w:widowControl w:val="0"/>
        <w:kinsoku w:val="0"/>
        <w:wordWrap/>
        <w:overflowPunct/>
        <w:topLinePunct w:val="0"/>
        <w:bidi w:val="0"/>
        <w:adjustRightInd w:val="0"/>
        <w:snapToGrid w:val="0"/>
        <w:spacing w:line="360" w:lineRule="auto"/>
        <w:ind w:firstLine="0" w:firstLineChars="0"/>
        <w:jc w:val="left"/>
        <w:textAlignment w:val="auto"/>
        <w:rPr>
          <w:rFonts w:hint="eastAsia" w:hAnsi="宋体"/>
          <w:sz w:val="24"/>
          <w:szCs w:val="24"/>
          <w:highlight w:val="none"/>
        </w:rPr>
      </w:pPr>
      <w:r>
        <w:rPr>
          <w:rFonts w:hint="eastAsia" w:hAnsi="宋体"/>
          <w:sz w:val="24"/>
          <w:szCs w:val="24"/>
          <w:highlight w:val="none"/>
          <w:lang w:val="en-US" w:eastAsia="zh-CN"/>
        </w:rPr>
        <w:t xml:space="preserve">4.3.1.6 </w:t>
      </w:r>
      <w:r>
        <w:rPr>
          <w:rFonts w:hint="eastAsia" w:hAnsi="宋体"/>
          <w:sz w:val="24"/>
          <w:szCs w:val="24"/>
          <w:highlight w:val="none"/>
        </w:rPr>
        <w:t>拆下炉蓖系统减速机解体检查，拆下偏心套及输出轴，解体检查，吊出前测量大小齿轮间隙；</w:t>
      </w:r>
    </w:p>
    <w:p w14:paraId="69AF1DBE">
      <w:pPr>
        <w:pStyle w:val="68"/>
        <w:keepNext w:val="0"/>
        <w:keepLines w:val="0"/>
        <w:pageBreakBefore w:val="0"/>
        <w:widowControl w:val="0"/>
        <w:numPr>
          <w:ilvl w:val="3"/>
          <w:numId w:val="0"/>
        </w:numPr>
        <w:kinsoku w:val="0"/>
        <w:wordWrap/>
        <w:overflowPunct/>
        <w:topLinePunct w:val="0"/>
        <w:bidi w:val="0"/>
        <w:adjustRightInd w:val="0"/>
        <w:snapToGrid w:val="0"/>
        <w:spacing w:line="360" w:lineRule="auto"/>
        <w:jc w:val="left"/>
        <w:textAlignment w:val="auto"/>
        <w:rPr>
          <w:rFonts w:ascii="宋体" w:hAnsi="宋体" w:eastAsia="宋体"/>
          <w:sz w:val="24"/>
          <w:szCs w:val="24"/>
          <w:highlight w:val="none"/>
        </w:rPr>
      </w:pPr>
      <w:r>
        <w:rPr>
          <w:rFonts w:hint="eastAsia" w:ascii="宋体" w:hAnsi="宋体" w:eastAsia="宋体"/>
          <w:sz w:val="24"/>
          <w:szCs w:val="24"/>
          <w:highlight w:val="none"/>
        </w:rPr>
        <w:t>4.3.</w:t>
      </w:r>
      <w:r>
        <w:rPr>
          <w:rFonts w:hint="eastAsia" w:ascii="宋体" w:hAnsi="宋体" w:eastAsia="宋体"/>
          <w:sz w:val="24"/>
          <w:szCs w:val="24"/>
          <w:highlight w:val="none"/>
          <w:lang w:val="en-US" w:eastAsia="zh-CN"/>
        </w:rPr>
        <w:t xml:space="preserve">1.7 </w:t>
      </w:r>
      <w:r>
        <w:rPr>
          <w:rFonts w:hint="eastAsia" w:ascii="宋体" w:hAnsi="宋体" w:eastAsia="宋体"/>
          <w:sz w:val="24"/>
          <w:szCs w:val="24"/>
          <w:highlight w:val="none"/>
        </w:rPr>
        <w:t>炉篦系统的拆卸：</w:t>
      </w:r>
    </w:p>
    <w:p w14:paraId="6346B84E">
      <w:pPr>
        <w:pStyle w:val="67"/>
        <w:numPr>
          <w:ilvl w:val="4"/>
          <w:numId w:val="0"/>
        </w:numPr>
        <w:spacing w:line="360" w:lineRule="auto"/>
        <w:jc w:val="left"/>
        <w:rPr>
          <w:rFonts w:ascii="宋体" w:hAnsi="宋体" w:eastAsia="宋体"/>
          <w:sz w:val="24"/>
          <w:szCs w:val="24"/>
          <w:highlight w:val="none"/>
        </w:rPr>
      </w:pPr>
      <w:r>
        <w:rPr>
          <w:rFonts w:hint="eastAsia" w:ascii="宋体" w:hAnsi="宋体" w:eastAsia="宋体"/>
          <w:sz w:val="24"/>
          <w:szCs w:val="24"/>
          <w:highlight w:val="none"/>
        </w:rPr>
        <w:t>4.3.</w:t>
      </w:r>
      <w:r>
        <w:rPr>
          <w:rFonts w:hint="eastAsia" w:ascii="宋体" w:hAnsi="宋体" w:eastAsia="宋体"/>
          <w:sz w:val="24"/>
          <w:szCs w:val="24"/>
          <w:highlight w:val="none"/>
          <w:lang w:val="en-US" w:eastAsia="zh-CN"/>
        </w:rPr>
        <w:t xml:space="preserve">1.7.1 </w:t>
      </w:r>
      <w:r>
        <w:rPr>
          <w:rFonts w:hint="eastAsia" w:ascii="宋体" w:hAnsi="宋体" w:eastAsia="宋体"/>
          <w:sz w:val="24"/>
          <w:szCs w:val="24"/>
          <w:highlight w:val="none"/>
        </w:rPr>
        <w:t>拆下最上面一、二层炉篦盖板的连接螺栓，整体吊出一、二层；</w:t>
      </w:r>
    </w:p>
    <w:p w14:paraId="57F109AD">
      <w:pPr>
        <w:pStyle w:val="67"/>
        <w:numPr>
          <w:ilvl w:val="0"/>
          <w:numId w:val="0"/>
        </w:numPr>
        <w:spacing w:line="360" w:lineRule="auto"/>
        <w:jc w:val="left"/>
        <w:rPr>
          <w:rFonts w:ascii="宋体" w:hAnsi="宋体" w:eastAsia="宋体"/>
          <w:sz w:val="24"/>
          <w:szCs w:val="24"/>
          <w:highlight w:val="none"/>
        </w:rPr>
      </w:pPr>
      <w:r>
        <w:rPr>
          <w:rFonts w:hint="eastAsia" w:ascii="宋体" w:hAnsi="宋体" w:eastAsia="宋体"/>
          <w:sz w:val="24"/>
          <w:szCs w:val="24"/>
          <w:highlight w:val="none"/>
        </w:rPr>
        <w:t>4.3.</w:t>
      </w:r>
      <w:r>
        <w:rPr>
          <w:rFonts w:hint="eastAsia" w:ascii="宋体" w:hAnsi="宋体" w:eastAsia="宋体"/>
          <w:sz w:val="24"/>
          <w:szCs w:val="24"/>
          <w:highlight w:val="none"/>
          <w:lang w:val="en-US" w:eastAsia="zh-CN"/>
        </w:rPr>
        <w:t xml:space="preserve">1.7.2 </w:t>
      </w:r>
      <w:r>
        <w:rPr>
          <w:rFonts w:hint="eastAsia" w:ascii="宋体" w:hAnsi="宋体" w:eastAsia="宋体"/>
          <w:sz w:val="24"/>
          <w:szCs w:val="24"/>
          <w:highlight w:val="none"/>
        </w:rPr>
        <w:t>拆下上部支撑环与中部支撑环的连接螺栓，吊出上部支撑环；</w:t>
      </w:r>
    </w:p>
    <w:p w14:paraId="137172E6">
      <w:pPr>
        <w:pStyle w:val="67"/>
        <w:numPr>
          <w:ilvl w:val="4"/>
          <w:numId w:val="0"/>
        </w:numPr>
        <w:spacing w:line="360" w:lineRule="auto"/>
        <w:jc w:val="left"/>
        <w:rPr>
          <w:rFonts w:hint="eastAsia" w:ascii="宋体" w:hAnsi="宋体" w:eastAsia="宋体"/>
          <w:sz w:val="24"/>
          <w:szCs w:val="24"/>
          <w:highlight w:val="none"/>
        </w:rPr>
      </w:pPr>
      <w:r>
        <w:rPr>
          <w:rFonts w:hint="eastAsia" w:ascii="宋体" w:hAnsi="宋体" w:eastAsia="宋体"/>
          <w:sz w:val="24"/>
          <w:szCs w:val="24"/>
          <w:highlight w:val="none"/>
        </w:rPr>
        <w:t>4.3.1.7.</w:t>
      </w:r>
      <w:r>
        <w:rPr>
          <w:rFonts w:hint="eastAsia" w:ascii="宋体" w:hAnsi="宋体" w:eastAsia="宋体"/>
          <w:sz w:val="24"/>
          <w:szCs w:val="24"/>
          <w:highlight w:val="none"/>
          <w:lang w:val="en-US" w:eastAsia="zh-CN"/>
        </w:rPr>
        <w:t xml:space="preserve">3 </w:t>
      </w:r>
      <w:r>
        <w:rPr>
          <w:rFonts w:hint="eastAsia" w:ascii="宋体" w:hAnsi="宋体" w:eastAsia="宋体"/>
          <w:sz w:val="24"/>
          <w:szCs w:val="24"/>
          <w:highlight w:val="none"/>
        </w:rPr>
        <w:t>逐层拆下三、四、五层炉篦盖板与中部支撑环及内环块的连接螺栓和销子，逐层吊出检查；</w:t>
      </w:r>
    </w:p>
    <w:p w14:paraId="7DD5D360">
      <w:pPr>
        <w:pStyle w:val="67"/>
        <w:numPr>
          <w:ilvl w:val="4"/>
          <w:numId w:val="0"/>
        </w:numPr>
        <w:spacing w:line="360" w:lineRule="auto"/>
        <w:jc w:val="left"/>
        <w:rPr>
          <w:rFonts w:hint="eastAsia" w:ascii="宋体" w:hAnsi="宋体" w:eastAsia="宋体"/>
          <w:sz w:val="24"/>
          <w:szCs w:val="24"/>
          <w:highlight w:val="none"/>
        </w:rPr>
      </w:pPr>
      <w:r>
        <w:rPr>
          <w:rFonts w:hint="eastAsia" w:ascii="宋体" w:hAnsi="宋体" w:eastAsia="宋体"/>
          <w:sz w:val="24"/>
          <w:szCs w:val="24"/>
          <w:highlight w:val="none"/>
        </w:rPr>
        <w:t>4.3.1.7.</w:t>
      </w:r>
      <w:r>
        <w:rPr>
          <w:rFonts w:hint="eastAsia" w:ascii="宋体" w:hAnsi="宋体" w:eastAsia="宋体"/>
          <w:sz w:val="24"/>
          <w:szCs w:val="24"/>
          <w:highlight w:val="none"/>
          <w:lang w:val="en-US" w:eastAsia="zh-CN"/>
        </w:rPr>
        <w:t xml:space="preserve">4 </w:t>
      </w:r>
      <w:r>
        <w:rPr>
          <w:rFonts w:hint="eastAsia" w:ascii="宋体" w:hAnsi="宋体" w:eastAsia="宋体"/>
          <w:sz w:val="24"/>
          <w:szCs w:val="24"/>
          <w:highlight w:val="none"/>
        </w:rPr>
        <w:t>拆卸中部支撑环与内环段的连接螺栓和销子，吊出中部支撑环；</w:t>
      </w:r>
    </w:p>
    <w:p w14:paraId="7C6BA2F4">
      <w:pPr>
        <w:pStyle w:val="67"/>
        <w:numPr>
          <w:ilvl w:val="4"/>
          <w:numId w:val="0"/>
        </w:numPr>
        <w:spacing w:line="360" w:lineRule="auto"/>
        <w:jc w:val="left"/>
        <w:rPr>
          <w:rFonts w:hint="eastAsia" w:ascii="宋体" w:hAnsi="宋体" w:eastAsia="宋体"/>
          <w:sz w:val="24"/>
          <w:szCs w:val="24"/>
          <w:highlight w:val="none"/>
        </w:rPr>
      </w:pPr>
      <w:r>
        <w:rPr>
          <w:rFonts w:hint="eastAsia" w:ascii="宋体" w:hAnsi="宋体" w:eastAsia="宋体"/>
          <w:sz w:val="24"/>
          <w:szCs w:val="24"/>
          <w:highlight w:val="none"/>
        </w:rPr>
        <w:t>4.3.1.7.</w:t>
      </w:r>
      <w:r>
        <w:rPr>
          <w:rFonts w:hint="eastAsia" w:ascii="宋体" w:hAnsi="宋体" w:eastAsia="宋体"/>
          <w:sz w:val="24"/>
          <w:szCs w:val="24"/>
          <w:highlight w:val="none"/>
          <w:lang w:val="en-US" w:eastAsia="zh-CN"/>
        </w:rPr>
        <w:t xml:space="preserve">5 </w:t>
      </w:r>
      <w:r>
        <w:rPr>
          <w:rFonts w:hint="eastAsia" w:ascii="宋体" w:hAnsi="宋体" w:eastAsia="宋体"/>
          <w:sz w:val="24"/>
          <w:szCs w:val="24"/>
          <w:highlight w:val="none"/>
        </w:rPr>
        <w:t>拆卸介质帽与内环段的连接螺栓，吊出介质帽；</w:t>
      </w:r>
    </w:p>
    <w:p w14:paraId="7FC4C956">
      <w:pPr>
        <w:pStyle w:val="67"/>
        <w:numPr>
          <w:ilvl w:val="4"/>
          <w:numId w:val="0"/>
        </w:numPr>
        <w:spacing w:line="360" w:lineRule="auto"/>
        <w:jc w:val="left"/>
        <w:rPr>
          <w:rFonts w:hint="eastAsia" w:ascii="宋体" w:hAnsi="宋体" w:eastAsia="宋体"/>
          <w:sz w:val="24"/>
          <w:szCs w:val="24"/>
          <w:highlight w:val="none"/>
        </w:rPr>
      </w:pPr>
      <w:r>
        <w:rPr>
          <w:rFonts w:hint="eastAsia" w:ascii="宋体" w:hAnsi="宋体" w:eastAsia="宋体"/>
          <w:sz w:val="24"/>
          <w:szCs w:val="24"/>
          <w:highlight w:val="none"/>
        </w:rPr>
        <w:t>4.3.1.7.</w:t>
      </w:r>
      <w:r>
        <w:rPr>
          <w:rFonts w:hint="eastAsia" w:ascii="宋体" w:hAnsi="宋体" w:eastAsia="宋体"/>
          <w:sz w:val="24"/>
          <w:szCs w:val="24"/>
          <w:highlight w:val="none"/>
          <w:lang w:val="en-US" w:eastAsia="zh-CN"/>
        </w:rPr>
        <w:t xml:space="preserve">6 </w:t>
      </w:r>
      <w:r>
        <w:rPr>
          <w:rFonts w:hint="eastAsia" w:ascii="宋体" w:hAnsi="宋体" w:eastAsia="宋体"/>
          <w:sz w:val="24"/>
          <w:szCs w:val="24"/>
          <w:highlight w:val="none"/>
        </w:rPr>
        <w:t>拆卸内环段与下部支撑环的连接螺栓和销子，吊出内环段和刮刀，检查；</w:t>
      </w:r>
    </w:p>
    <w:p w14:paraId="56BBC249">
      <w:pPr>
        <w:pStyle w:val="67"/>
        <w:numPr>
          <w:ilvl w:val="4"/>
          <w:numId w:val="0"/>
        </w:numPr>
        <w:spacing w:line="360" w:lineRule="auto"/>
        <w:jc w:val="left"/>
        <w:rPr>
          <w:rFonts w:hint="eastAsia" w:ascii="宋体" w:hAnsi="宋体" w:eastAsia="宋体"/>
          <w:sz w:val="24"/>
          <w:szCs w:val="24"/>
          <w:highlight w:val="none"/>
        </w:rPr>
      </w:pPr>
      <w:r>
        <w:rPr>
          <w:rFonts w:hint="eastAsia" w:ascii="宋体" w:hAnsi="宋体" w:eastAsia="宋体"/>
          <w:sz w:val="24"/>
          <w:szCs w:val="24"/>
          <w:highlight w:val="none"/>
        </w:rPr>
        <w:t>4.3.1.7.</w:t>
      </w:r>
      <w:r>
        <w:rPr>
          <w:rFonts w:hint="eastAsia" w:ascii="宋体" w:hAnsi="宋体" w:eastAsia="宋体"/>
          <w:sz w:val="24"/>
          <w:szCs w:val="24"/>
          <w:highlight w:val="none"/>
          <w:lang w:val="en-US" w:eastAsia="zh-CN"/>
        </w:rPr>
        <w:t xml:space="preserve">7 </w:t>
      </w:r>
      <w:r>
        <w:rPr>
          <w:rFonts w:hint="eastAsia" w:ascii="宋体" w:hAnsi="宋体" w:eastAsia="宋体"/>
          <w:sz w:val="24"/>
          <w:szCs w:val="24"/>
          <w:highlight w:val="none"/>
        </w:rPr>
        <w:t>解体破碎环，吊出；</w:t>
      </w:r>
    </w:p>
    <w:p w14:paraId="1F304B7A">
      <w:pPr>
        <w:pStyle w:val="67"/>
        <w:numPr>
          <w:ilvl w:val="4"/>
          <w:numId w:val="0"/>
        </w:numPr>
        <w:spacing w:line="360" w:lineRule="auto"/>
        <w:jc w:val="left"/>
        <w:rPr>
          <w:rFonts w:hint="eastAsia" w:ascii="宋体" w:hAnsi="宋体" w:eastAsia="宋体"/>
          <w:sz w:val="24"/>
          <w:szCs w:val="24"/>
          <w:highlight w:val="none"/>
        </w:rPr>
      </w:pPr>
      <w:r>
        <w:rPr>
          <w:rFonts w:hint="eastAsia" w:ascii="宋体" w:hAnsi="宋体" w:eastAsia="宋体"/>
          <w:sz w:val="24"/>
          <w:szCs w:val="24"/>
          <w:highlight w:val="none"/>
        </w:rPr>
        <w:t>4.3.1.7.</w:t>
      </w:r>
      <w:r>
        <w:rPr>
          <w:rFonts w:hint="eastAsia" w:ascii="宋体" w:hAnsi="宋体" w:eastAsia="宋体"/>
          <w:sz w:val="24"/>
          <w:szCs w:val="24"/>
          <w:highlight w:val="none"/>
          <w:lang w:val="en-US" w:eastAsia="zh-CN"/>
        </w:rPr>
        <w:t xml:space="preserve">8 </w:t>
      </w:r>
      <w:r>
        <w:rPr>
          <w:rFonts w:hint="eastAsia" w:ascii="宋体" w:hAnsi="宋体" w:eastAsia="宋体"/>
          <w:sz w:val="24"/>
          <w:szCs w:val="24"/>
          <w:highlight w:val="none"/>
        </w:rPr>
        <w:t>吊出大齿轮、止推盘、支承环等检查；</w:t>
      </w:r>
    </w:p>
    <w:p w14:paraId="087D9B5F">
      <w:pPr>
        <w:pStyle w:val="74"/>
        <w:keepNext w:val="0"/>
        <w:keepLines w:val="0"/>
        <w:pageBreakBefore w:val="0"/>
        <w:widowControl w:val="0"/>
        <w:kinsoku w:val="0"/>
        <w:wordWrap/>
        <w:overflowPunct/>
        <w:topLinePunct w:val="0"/>
        <w:bidi w:val="0"/>
        <w:adjustRightInd w:val="0"/>
        <w:snapToGrid w:val="0"/>
        <w:spacing w:line="360" w:lineRule="auto"/>
        <w:ind w:firstLine="0" w:firstLineChars="0"/>
        <w:jc w:val="left"/>
        <w:textAlignment w:val="auto"/>
        <w:rPr>
          <w:rFonts w:hint="eastAsia" w:hAnsi="宋体"/>
          <w:sz w:val="24"/>
          <w:szCs w:val="24"/>
          <w:highlight w:val="none"/>
        </w:rPr>
      </w:pPr>
      <w:r>
        <w:rPr>
          <w:rFonts w:hint="eastAsia" w:hAnsi="宋体"/>
          <w:sz w:val="24"/>
          <w:szCs w:val="24"/>
          <w:highlight w:val="none"/>
        </w:rPr>
        <w:t>4.3.1.7.</w:t>
      </w:r>
      <w:r>
        <w:rPr>
          <w:rFonts w:hint="eastAsia" w:hAnsi="宋体"/>
          <w:sz w:val="24"/>
          <w:szCs w:val="24"/>
          <w:highlight w:val="none"/>
          <w:lang w:val="en-US" w:eastAsia="zh-CN"/>
        </w:rPr>
        <w:t xml:space="preserve">9 </w:t>
      </w:r>
      <w:r>
        <w:rPr>
          <w:rFonts w:hint="eastAsia" w:hAnsi="宋体"/>
          <w:sz w:val="24"/>
          <w:szCs w:val="24"/>
          <w:highlight w:val="none"/>
        </w:rPr>
        <w:t>检查护板，润滑油管等其他零部件。</w:t>
      </w:r>
    </w:p>
    <w:p w14:paraId="6BA9FCFF">
      <w:pPr>
        <w:pStyle w:val="74"/>
        <w:keepNext w:val="0"/>
        <w:keepLines w:val="0"/>
        <w:pageBreakBefore w:val="0"/>
        <w:widowControl w:val="0"/>
        <w:kinsoku w:val="0"/>
        <w:wordWrap/>
        <w:overflowPunct/>
        <w:topLinePunct w:val="0"/>
        <w:bidi w:val="0"/>
        <w:adjustRightInd w:val="0"/>
        <w:snapToGrid w:val="0"/>
        <w:spacing w:line="360" w:lineRule="auto"/>
        <w:ind w:firstLine="0" w:firstLineChars="0"/>
        <w:jc w:val="left"/>
        <w:textAlignment w:val="auto"/>
        <w:rPr>
          <w:rFonts w:hint="eastAsia" w:hAnsi="宋体"/>
          <w:sz w:val="24"/>
          <w:szCs w:val="24"/>
          <w:highlight w:val="none"/>
        </w:rPr>
      </w:pPr>
      <w:bookmarkStart w:id="12" w:name="_Toc80271153"/>
      <w:bookmarkEnd w:id="12"/>
      <w:bookmarkStart w:id="13" w:name="_Toc80271049"/>
      <w:bookmarkEnd w:id="13"/>
      <w:r>
        <w:rPr>
          <w:rFonts w:hint="eastAsia" w:hAnsi="宋体"/>
          <w:sz w:val="24"/>
          <w:szCs w:val="24"/>
          <w:highlight w:val="none"/>
        </w:rPr>
        <w:t>4.</w:t>
      </w:r>
      <w:r>
        <w:rPr>
          <w:rFonts w:hint="eastAsia" w:hAnsi="宋体"/>
          <w:sz w:val="24"/>
          <w:szCs w:val="24"/>
          <w:highlight w:val="none"/>
          <w:lang w:val="en-US" w:eastAsia="zh-CN"/>
        </w:rPr>
        <w:t xml:space="preserve">4 </w:t>
      </w:r>
      <w:r>
        <w:rPr>
          <w:rFonts w:hint="eastAsia" w:hAnsi="宋体"/>
          <w:sz w:val="24"/>
          <w:szCs w:val="24"/>
          <w:highlight w:val="none"/>
        </w:rPr>
        <w:t>检修方法和质量标准</w:t>
      </w:r>
    </w:p>
    <w:p w14:paraId="62B36E57">
      <w:pPr>
        <w:pStyle w:val="74"/>
        <w:keepNext w:val="0"/>
        <w:keepLines w:val="0"/>
        <w:pageBreakBefore w:val="0"/>
        <w:widowControl w:val="0"/>
        <w:kinsoku w:val="0"/>
        <w:wordWrap/>
        <w:overflowPunct/>
        <w:topLinePunct w:val="0"/>
        <w:bidi w:val="0"/>
        <w:adjustRightInd w:val="0"/>
        <w:snapToGrid w:val="0"/>
        <w:spacing w:line="360" w:lineRule="auto"/>
        <w:ind w:firstLine="0" w:firstLineChars="0"/>
        <w:jc w:val="left"/>
        <w:textAlignment w:val="auto"/>
        <w:rPr>
          <w:rFonts w:hint="eastAsia" w:hAnsi="宋体"/>
          <w:sz w:val="24"/>
          <w:szCs w:val="24"/>
          <w:highlight w:val="none"/>
        </w:rPr>
      </w:pPr>
      <w:r>
        <w:rPr>
          <w:rFonts w:hint="eastAsia" w:hAnsi="宋体"/>
          <w:sz w:val="24"/>
          <w:szCs w:val="24"/>
          <w:highlight w:val="none"/>
          <w:lang w:val="en-US" w:eastAsia="zh-CN"/>
        </w:rPr>
        <w:t xml:space="preserve">4.4.1 </w:t>
      </w:r>
      <w:r>
        <w:rPr>
          <w:rFonts w:hint="eastAsia" w:hAnsi="宋体"/>
          <w:sz w:val="24"/>
          <w:szCs w:val="24"/>
          <w:highlight w:val="none"/>
        </w:rPr>
        <w:t>气化炉体检修</w:t>
      </w:r>
    </w:p>
    <w:p w14:paraId="35260455">
      <w:pPr>
        <w:pStyle w:val="74"/>
        <w:keepNext w:val="0"/>
        <w:keepLines w:val="0"/>
        <w:pageBreakBefore w:val="0"/>
        <w:widowControl w:val="0"/>
        <w:kinsoku w:val="0"/>
        <w:wordWrap/>
        <w:overflowPunct/>
        <w:topLinePunct w:val="0"/>
        <w:bidi w:val="0"/>
        <w:adjustRightInd w:val="0"/>
        <w:snapToGrid w:val="0"/>
        <w:spacing w:line="360" w:lineRule="auto"/>
        <w:ind w:firstLine="0" w:firstLineChars="0"/>
        <w:jc w:val="left"/>
        <w:textAlignment w:val="auto"/>
        <w:rPr>
          <w:rFonts w:hint="eastAsia" w:hAnsi="宋体"/>
          <w:sz w:val="24"/>
          <w:szCs w:val="24"/>
          <w:highlight w:val="none"/>
        </w:rPr>
      </w:pPr>
      <w:r>
        <w:rPr>
          <w:rFonts w:hint="eastAsia" w:hAnsi="宋体"/>
          <w:sz w:val="24"/>
          <w:szCs w:val="24"/>
          <w:highlight w:val="none"/>
          <w:lang w:val="en-US" w:eastAsia="zh-CN"/>
        </w:rPr>
        <w:t xml:space="preserve">4.4.1.1 </w:t>
      </w:r>
      <w:r>
        <w:rPr>
          <w:rFonts w:hint="eastAsia" w:hAnsi="宋体"/>
          <w:sz w:val="24"/>
          <w:szCs w:val="24"/>
          <w:highlight w:val="none"/>
        </w:rPr>
        <w:t>宏观检查炉体变形，鼓包，磨损等情况；</w:t>
      </w:r>
    </w:p>
    <w:p w14:paraId="0EF249B4">
      <w:pPr>
        <w:pStyle w:val="74"/>
        <w:keepNext w:val="0"/>
        <w:keepLines w:val="0"/>
        <w:pageBreakBefore w:val="0"/>
        <w:widowControl w:val="0"/>
        <w:kinsoku w:val="0"/>
        <w:wordWrap/>
        <w:overflowPunct/>
        <w:topLinePunct w:val="0"/>
        <w:bidi w:val="0"/>
        <w:adjustRightInd w:val="0"/>
        <w:snapToGrid w:val="0"/>
        <w:spacing w:line="360" w:lineRule="auto"/>
        <w:ind w:firstLine="0" w:firstLineChars="0"/>
        <w:jc w:val="left"/>
        <w:textAlignment w:val="auto"/>
        <w:rPr>
          <w:rFonts w:hint="eastAsia" w:hAnsi="宋体"/>
          <w:sz w:val="24"/>
          <w:szCs w:val="24"/>
          <w:highlight w:val="none"/>
        </w:rPr>
      </w:pPr>
      <w:r>
        <w:rPr>
          <w:rFonts w:hint="eastAsia" w:hAnsi="宋体"/>
          <w:sz w:val="24"/>
          <w:szCs w:val="24"/>
          <w:highlight w:val="none"/>
          <w:lang w:val="en-US" w:eastAsia="zh-CN"/>
        </w:rPr>
        <w:t xml:space="preserve">4.4.1.2 </w:t>
      </w:r>
      <w:r>
        <w:rPr>
          <w:rFonts w:hint="eastAsia" w:hAnsi="宋体"/>
          <w:sz w:val="24"/>
          <w:szCs w:val="24"/>
          <w:highlight w:val="none"/>
        </w:rPr>
        <w:t>用吊线法（铅垂线法）测量炉体内筒变形量，详细记录并绘出变形图表，鼓包量超过100mm以上应组织有关人员鉴定检查，并上报</w:t>
      </w:r>
      <w:r>
        <w:rPr>
          <w:rFonts w:hint="eastAsia" w:hAnsi="宋体"/>
          <w:sz w:val="24"/>
          <w:szCs w:val="24"/>
          <w:highlight w:val="none"/>
          <w:lang w:val="en-US" w:eastAsia="zh-CN"/>
        </w:rPr>
        <w:t>招标方</w:t>
      </w:r>
      <w:r>
        <w:rPr>
          <w:rFonts w:hint="eastAsia" w:hAnsi="宋体"/>
          <w:sz w:val="24"/>
          <w:szCs w:val="24"/>
          <w:highlight w:val="none"/>
        </w:rPr>
        <w:t>决定是否修复或更换夹套内筒；</w:t>
      </w:r>
    </w:p>
    <w:p w14:paraId="6199DA50">
      <w:pPr>
        <w:pStyle w:val="74"/>
        <w:keepNext w:val="0"/>
        <w:keepLines w:val="0"/>
        <w:pageBreakBefore w:val="0"/>
        <w:widowControl w:val="0"/>
        <w:kinsoku w:val="0"/>
        <w:wordWrap/>
        <w:overflowPunct/>
        <w:topLinePunct w:val="0"/>
        <w:bidi w:val="0"/>
        <w:adjustRightInd w:val="0"/>
        <w:snapToGrid w:val="0"/>
        <w:spacing w:line="360" w:lineRule="auto"/>
        <w:ind w:firstLine="0" w:firstLineChars="0"/>
        <w:jc w:val="left"/>
        <w:textAlignment w:val="auto"/>
        <w:rPr>
          <w:rFonts w:hint="eastAsia" w:hAnsi="宋体"/>
          <w:sz w:val="24"/>
          <w:szCs w:val="24"/>
          <w:highlight w:val="none"/>
        </w:rPr>
      </w:pPr>
      <w:r>
        <w:rPr>
          <w:rFonts w:hint="eastAsia" w:hAnsi="宋体"/>
          <w:sz w:val="24"/>
          <w:szCs w:val="24"/>
          <w:highlight w:val="none"/>
          <w:lang w:val="en-US" w:eastAsia="zh-CN"/>
        </w:rPr>
        <w:t xml:space="preserve">4.4.1.3 </w:t>
      </w:r>
      <w:r>
        <w:rPr>
          <w:rFonts w:hint="eastAsia" w:hAnsi="宋体"/>
          <w:sz w:val="24"/>
          <w:szCs w:val="24"/>
          <w:highlight w:val="none"/>
        </w:rPr>
        <w:t>对炉体夹套内筒进行测厚，厚度应≥22mm，小于22mm的区域进行补焊，最终达到22mm以上的厚度；</w:t>
      </w:r>
    </w:p>
    <w:p w14:paraId="0FE716C6">
      <w:pPr>
        <w:pStyle w:val="74"/>
        <w:keepNext w:val="0"/>
        <w:keepLines w:val="0"/>
        <w:pageBreakBefore w:val="0"/>
        <w:widowControl w:val="0"/>
        <w:kinsoku w:val="0"/>
        <w:wordWrap/>
        <w:overflowPunct/>
        <w:topLinePunct w:val="0"/>
        <w:bidi w:val="0"/>
        <w:adjustRightInd w:val="0"/>
        <w:snapToGrid w:val="0"/>
        <w:spacing w:line="360" w:lineRule="auto"/>
        <w:ind w:firstLine="0" w:firstLineChars="0"/>
        <w:jc w:val="left"/>
        <w:textAlignment w:val="auto"/>
        <w:rPr>
          <w:rFonts w:hint="eastAsia" w:hAnsi="宋体"/>
          <w:sz w:val="24"/>
          <w:szCs w:val="24"/>
          <w:highlight w:val="none"/>
        </w:rPr>
      </w:pPr>
      <w:r>
        <w:rPr>
          <w:rFonts w:hint="eastAsia" w:hAnsi="宋体"/>
          <w:sz w:val="24"/>
          <w:szCs w:val="24"/>
          <w:highlight w:val="none"/>
          <w:lang w:val="en-US" w:eastAsia="zh-CN"/>
        </w:rPr>
        <w:t xml:space="preserve">4.4.1.4 </w:t>
      </w:r>
      <w:r>
        <w:rPr>
          <w:rFonts w:hint="eastAsia" w:hAnsi="宋体"/>
          <w:sz w:val="24"/>
          <w:szCs w:val="24"/>
          <w:highlight w:val="none"/>
        </w:rPr>
        <w:t>对鼓包部位和变形严重部位进行磁粉探伤，并对其主要焊缝抽查20%超声波探伤</w:t>
      </w:r>
      <w:r>
        <w:rPr>
          <w:rFonts w:hint="eastAsia" w:hAnsi="宋体"/>
          <w:sz w:val="24"/>
          <w:szCs w:val="24"/>
          <w:highlight w:val="none"/>
          <w:lang w:eastAsia="zh-CN"/>
        </w:rPr>
        <w:t>、</w:t>
      </w:r>
      <w:r>
        <w:rPr>
          <w:rFonts w:hint="eastAsia" w:hAnsi="宋体"/>
          <w:sz w:val="24"/>
          <w:szCs w:val="24"/>
          <w:highlight w:val="none"/>
        </w:rPr>
        <w:t>磁粉探伤，不得有裂纹等缺陷，超声波探伤应符合Ⅰ级标准；</w:t>
      </w:r>
      <w:r>
        <w:rPr>
          <w:rFonts w:hint="eastAsia" w:ascii="宋体" w:hAnsi="宋体" w:cs="宋体"/>
          <w:bCs/>
          <w:sz w:val="24"/>
          <w:highlight w:val="none"/>
        </w:rPr>
        <w:t>（只提供一次检测费用，返修投标方负责）</w:t>
      </w:r>
    </w:p>
    <w:p w14:paraId="1473A78C">
      <w:pPr>
        <w:pStyle w:val="74"/>
        <w:keepNext w:val="0"/>
        <w:keepLines w:val="0"/>
        <w:pageBreakBefore w:val="0"/>
        <w:widowControl w:val="0"/>
        <w:kinsoku w:val="0"/>
        <w:wordWrap/>
        <w:overflowPunct/>
        <w:topLinePunct w:val="0"/>
        <w:bidi w:val="0"/>
        <w:adjustRightInd w:val="0"/>
        <w:snapToGrid w:val="0"/>
        <w:spacing w:line="360" w:lineRule="auto"/>
        <w:ind w:firstLine="0" w:firstLineChars="0"/>
        <w:jc w:val="left"/>
        <w:textAlignment w:val="auto"/>
        <w:rPr>
          <w:rFonts w:hint="eastAsia" w:hAnsi="宋体"/>
          <w:sz w:val="24"/>
          <w:szCs w:val="24"/>
          <w:highlight w:val="none"/>
        </w:rPr>
      </w:pPr>
      <w:r>
        <w:rPr>
          <w:rFonts w:hint="eastAsia" w:hAnsi="宋体"/>
          <w:sz w:val="24"/>
          <w:szCs w:val="24"/>
          <w:highlight w:val="none"/>
          <w:lang w:val="en-US" w:eastAsia="zh-CN"/>
        </w:rPr>
        <w:t xml:space="preserve">4.4.1.5 </w:t>
      </w:r>
      <w:r>
        <w:rPr>
          <w:rFonts w:hint="eastAsia" w:hAnsi="宋体"/>
          <w:sz w:val="24"/>
          <w:szCs w:val="24"/>
          <w:highlight w:val="none"/>
        </w:rPr>
        <w:t>下部护板板磨损厚度应小于10mm，如磨损超过10mm或弯曲、翘曲变形严重，应予以更换；</w:t>
      </w:r>
    </w:p>
    <w:p w14:paraId="18D59A91">
      <w:pPr>
        <w:pStyle w:val="74"/>
        <w:keepNext w:val="0"/>
        <w:keepLines w:val="0"/>
        <w:pageBreakBefore w:val="0"/>
        <w:widowControl w:val="0"/>
        <w:kinsoku w:val="0"/>
        <w:wordWrap/>
        <w:overflowPunct/>
        <w:topLinePunct w:val="0"/>
        <w:bidi w:val="0"/>
        <w:adjustRightInd w:val="0"/>
        <w:snapToGrid w:val="0"/>
        <w:spacing w:line="360" w:lineRule="auto"/>
        <w:ind w:firstLine="0" w:firstLineChars="0"/>
        <w:jc w:val="left"/>
        <w:textAlignment w:val="auto"/>
        <w:rPr>
          <w:rFonts w:hint="eastAsia" w:hAnsi="宋体"/>
          <w:sz w:val="24"/>
          <w:szCs w:val="24"/>
          <w:highlight w:val="none"/>
        </w:rPr>
      </w:pPr>
      <w:r>
        <w:rPr>
          <w:rFonts w:hint="eastAsia" w:hAnsi="宋体"/>
          <w:sz w:val="24"/>
          <w:szCs w:val="24"/>
          <w:highlight w:val="none"/>
          <w:lang w:val="en-US" w:eastAsia="zh-CN"/>
        </w:rPr>
        <w:t xml:space="preserve">4.4.1.6 </w:t>
      </w:r>
      <w:r>
        <w:rPr>
          <w:rFonts w:hint="eastAsia" w:hAnsi="宋体"/>
          <w:sz w:val="24"/>
          <w:szCs w:val="24"/>
          <w:highlight w:val="none"/>
        </w:rPr>
        <w:t>对炉体内筒鼓包严重部位进行金相组织检查，材质的金相组织不允许出现明显的相变现象；</w:t>
      </w:r>
    </w:p>
    <w:p w14:paraId="7078DCAD">
      <w:pPr>
        <w:pStyle w:val="67"/>
        <w:numPr>
          <w:ilvl w:val="4"/>
          <w:numId w:val="0"/>
        </w:numPr>
        <w:spacing w:line="360" w:lineRule="auto"/>
        <w:jc w:val="left"/>
        <w:rPr>
          <w:rFonts w:ascii="宋体" w:hAnsi="宋体" w:eastAsia="宋体"/>
          <w:sz w:val="24"/>
          <w:szCs w:val="24"/>
          <w:highlight w:val="none"/>
        </w:rPr>
      </w:pPr>
      <w:r>
        <w:rPr>
          <w:rFonts w:hint="eastAsia" w:ascii="宋体" w:hAnsi="宋体" w:eastAsia="宋体"/>
          <w:sz w:val="24"/>
          <w:szCs w:val="24"/>
          <w:highlight w:val="none"/>
          <w:lang w:val="en-US" w:eastAsia="zh-CN"/>
        </w:rPr>
        <w:t xml:space="preserve">4.4.2 </w:t>
      </w:r>
      <w:r>
        <w:rPr>
          <w:rFonts w:hint="eastAsia" w:ascii="宋体" w:hAnsi="宋体" w:eastAsia="宋体"/>
          <w:sz w:val="24"/>
          <w:szCs w:val="24"/>
          <w:highlight w:val="none"/>
        </w:rPr>
        <w:t>炉篦系统检修</w:t>
      </w:r>
    </w:p>
    <w:p w14:paraId="121CCC93">
      <w:pPr>
        <w:pStyle w:val="73"/>
        <w:spacing w:line="360" w:lineRule="auto"/>
        <w:ind w:left="0" w:leftChars="0" w:firstLine="0" w:firstLineChars="0"/>
        <w:jc w:val="left"/>
        <w:rPr>
          <w:rFonts w:hAnsi="宋体"/>
          <w:sz w:val="24"/>
          <w:szCs w:val="24"/>
        </w:rPr>
      </w:pPr>
      <w:r>
        <w:rPr>
          <w:rFonts w:hint="eastAsia" w:ascii="宋体" w:hAnsi="宋体" w:eastAsia="宋体"/>
          <w:sz w:val="24"/>
          <w:szCs w:val="24"/>
          <w:highlight w:val="none"/>
          <w:lang w:val="en-US" w:eastAsia="zh-CN"/>
        </w:rPr>
        <w:t>4.4.2</w:t>
      </w:r>
      <w:r>
        <w:rPr>
          <w:rFonts w:hint="eastAsia" w:hAnsi="宋体"/>
          <w:sz w:val="24"/>
          <w:szCs w:val="24"/>
          <w:highlight w:val="none"/>
          <w:lang w:val="en-US" w:eastAsia="zh-CN"/>
        </w:rPr>
        <w:t xml:space="preserve">.1 </w:t>
      </w:r>
      <w:r>
        <w:rPr>
          <w:rFonts w:hint="eastAsia" w:hAnsi="宋体"/>
          <w:sz w:val="24"/>
          <w:szCs w:val="24"/>
          <w:highlight w:val="none"/>
        </w:rPr>
        <w:t>检查各层炉篦盖板，重点应为三、四、五层，如磨损、变形、纹裂不严重，耐磨条脱落不多，可在补焊耐磨条后继续使用。如磨损、</w:t>
      </w:r>
      <w:r>
        <w:rPr>
          <w:rFonts w:hint="eastAsia" w:hAnsi="宋体"/>
          <w:sz w:val="24"/>
          <w:szCs w:val="24"/>
        </w:rPr>
        <w:t>变形、裂纹严重，耐磨条脱落严重，则需要更换新件；</w:t>
      </w:r>
    </w:p>
    <w:p w14:paraId="255235B8">
      <w:pPr>
        <w:pStyle w:val="67"/>
        <w:numPr>
          <w:ilvl w:val="4"/>
          <w:numId w:val="0"/>
        </w:numPr>
        <w:spacing w:line="360" w:lineRule="auto"/>
        <w:jc w:val="left"/>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4.4.2.2 各布气孔如有烧裂、变形严重现象应予更换；</w:t>
      </w:r>
    </w:p>
    <w:p w14:paraId="446A1701">
      <w:pPr>
        <w:pStyle w:val="67"/>
        <w:numPr>
          <w:ilvl w:val="4"/>
          <w:numId w:val="0"/>
        </w:numPr>
        <w:spacing w:line="360" w:lineRule="auto"/>
        <w:jc w:val="left"/>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4.4.2.3 检查刮刀磨损情况，刮刀磨损量超过10mm或变形严重时应更换。排灰刮刀与炉体护板的侧间隙应为30～60mm，底间隙应为30～60mm；</w:t>
      </w:r>
    </w:p>
    <w:p w14:paraId="2733C805">
      <w:pPr>
        <w:pStyle w:val="67"/>
        <w:numPr>
          <w:ilvl w:val="4"/>
          <w:numId w:val="0"/>
        </w:numPr>
        <w:spacing w:line="360" w:lineRule="auto"/>
        <w:jc w:val="left"/>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4.4.2.4 检查破碎环段，如有破碎或烧裂、磨损、变形严重现象，更换破损件；</w:t>
      </w:r>
    </w:p>
    <w:p w14:paraId="02D48CFA">
      <w:pPr>
        <w:pStyle w:val="67"/>
        <w:numPr>
          <w:ilvl w:val="4"/>
          <w:numId w:val="0"/>
        </w:numPr>
        <w:spacing w:line="360" w:lineRule="auto"/>
        <w:jc w:val="left"/>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4.4.2.5 检查清洗止推盘，如有破碎、磨损、断裂时应更换，对一般划痕、擦伤等现象，擦拭干净后可继续使用；</w:t>
      </w:r>
    </w:p>
    <w:p w14:paraId="6BA75F62">
      <w:pPr>
        <w:pStyle w:val="67"/>
        <w:numPr>
          <w:ilvl w:val="4"/>
          <w:numId w:val="0"/>
        </w:numPr>
        <w:spacing w:line="360" w:lineRule="auto"/>
        <w:jc w:val="left"/>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4.4.2.6 检查清洗轴瓦，如磨损严重时应予更换，轴瓦间隙应在1～1.4mm范围内；</w:t>
      </w:r>
    </w:p>
    <w:p w14:paraId="23C226AC">
      <w:pPr>
        <w:pStyle w:val="67"/>
        <w:numPr>
          <w:ilvl w:val="4"/>
          <w:numId w:val="0"/>
        </w:numPr>
        <w:spacing w:line="360" w:lineRule="auto"/>
        <w:jc w:val="left"/>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4.4.2.7 检查清洗导通润滑管，堵塞可用加热法或用空气吹扫导通，如无法导通或有烧裂现象，则应更换新管。；</w:t>
      </w:r>
    </w:p>
    <w:p w14:paraId="632F686A">
      <w:pPr>
        <w:pStyle w:val="67"/>
        <w:numPr>
          <w:ilvl w:val="4"/>
          <w:numId w:val="0"/>
        </w:numPr>
        <w:spacing w:line="360" w:lineRule="auto"/>
        <w:jc w:val="left"/>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4.4.2.8 检查清洗大齿轮，如有断裂现象应更换，对其轮齿，作磁粉探伤或着色检查，不应有裂纹等缺陷，大齿轮与小齿轮间隙值应为9.65+1.1mm；</w:t>
      </w:r>
    </w:p>
    <w:p w14:paraId="00DFA673">
      <w:pPr>
        <w:pStyle w:val="67"/>
        <w:numPr>
          <w:ilvl w:val="4"/>
          <w:numId w:val="0"/>
        </w:numPr>
        <w:spacing w:line="360" w:lineRule="auto"/>
        <w:jc w:val="left"/>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4.4.2.9 检查大齿轮护板与刮刀磨损、变形情况。如磨损、变形严重应更换，护板和刮刀应连接牢固。</w:t>
      </w:r>
    </w:p>
    <w:p w14:paraId="669C9D17">
      <w:pPr>
        <w:pStyle w:val="67"/>
        <w:numPr>
          <w:ilvl w:val="4"/>
          <w:numId w:val="0"/>
        </w:numPr>
        <w:spacing w:line="360" w:lineRule="auto"/>
        <w:jc w:val="left"/>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4.4.2.10 更换所有损坏和破坏的螺栓；</w:t>
      </w:r>
    </w:p>
    <w:p w14:paraId="6A245F3E">
      <w:pPr>
        <w:pStyle w:val="67"/>
        <w:numPr>
          <w:ilvl w:val="4"/>
          <w:numId w:val="0"/>
        </w:numPr>
        <w:spacing w:line="360" w:lineRule="auto"/>
        <w:jc w:val="left"/>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4.4.2.11 更换所有垫片。</w:t>
      </w:r>
    </w:p>
    <w:p w14:paraId="2BC871F6">
      <w:pPr>
        <w:pStyle w:val="67"/>
        <w:numPr>
          <w:ilvl w:val="4"/>
          <w:numId w:val="0"/>
        </w:numPr>
        <w:spacing w:line="360" w:lineRule="auto"/>
        <w:jc w:val="left"/>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4.4.3 煤锁检修</w:t>
      </w:r>
    </w:p>
    <w:p w14:paraId="7EB80E99">
      <w:pPr>
        <w:pStyle w:val="67"/>
        <w:numPr>
          <w:ilvl w:val="4"/>
          <w:numId w:val="0"/>
        </w:numPr>
        <w:spacing w:line="360" w:lineRule="auto"/>
        <w:jc w:val="left"/>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4.4.3.1 煤锁上、下阀应动作平稳；</w:t>
      </w:r>
    </w:p>
    <w:p w14:paraId="27FC8356">
      <w:pPr>
        <w:pStyle w:val="67"/>
        <w:numPr>
          <w:ilvl w:val="4"/>
          <w:numId w:val="0"/>
        </w:numPr>
        <w:spacing w:line="360" w:lineRule="auto"/>
        <w:jc w:val="left"/>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4.4.3.2 上、下阀密封面应完好、无漏气现象，如有深痕、沟槽裂缝,关不严现象应更换；</w:t>
      </w:r>
    </w:p>
    <w:p w14:paraId="1EC92DCA">
      <w:pPr>
        <w:pStyle w:val="67"/>
        <w:numPr>
          <w:ilvl w:val="4"/>
          <w:numId w:val="0"/>
        </w:numPr>
        <w:spacing w:line="360" w:lineRule="auto"/>
        <w:jc w:val="left"/>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4.4.3.3 更换上阀软密封；</w:t>
      </w:r>
    </w:p>
    <w:p w14:paraId="47D0F38F">
      <w:pPr>
        <w:pStyle w:val="67"/>
        <w:numPr>
          <w:ilvl w:val="4"/>
          <w:numId w:val="0"/>
        </w:numPr>
        <w:spacing w:line="360" w:lineRule="auto"/>
        <w:jc w:val="left"/>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4.4.3.4 摇臂轴及内摆杆如有损坏,应更换；</w:t>
      </w:r>
    </w:p>
    <w:p w14:paraId="7DCF674B">
      <w:pPr>
        <w:pStyle w:val="67"/>
        <w:numPr>
          <w:ilvl w:val="4"/>
          <w:numId w:val="0"/>
        </w:numPr>
        <w:spacing w:line="360" w:lineRule="auto"/>
        <w:jc w:val="left"/>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4.4.4 灰锁检修</w:t>
      </w:r>
    </w:p>
    <w:p w14:paraId="766C392A">
      <w:pPr>
        <w:pStyle w:val="67"/>
        <w:numPr>
          <w:ilvl w:val="4"/>
          <w:numId w:val="0"/>
        </w:numPr>
        <w:spacing w:line="360" w:lineRule="auto"/>
        <w:jc w:val="left"/>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4.4.4.1 灰锁衬里如有脱落或磨损、裂缝、变形严重时,应修补或更换；</w:t>
      </w:r>
    </w:p>
    <w:p w14:paraId="331C560B">
      <w:pPr>
        <w:pStyle w:val="67"/>
        <w:numPr>
          <w:ilvl w:val="4"/>
          <w:numId w:val="0"/>
        </w:numPr>
        <w:spacing w:line="360" w:lineRule="auto"/>
        <w:jc w:val="left"/>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4.4.4.2 上、下阀密封面结合紧密,无漏气现象,如有损伤、沟槽、裂缝、关不严现象应更换；</w:t>
      </w:r>
    </w:p>
    <w:p w14:paraId="6966BED2">
      <w:pPr>
        <w:pStyle w:val="67"/>
        <w:numPr>
          <w:ilvl w:val="4"/>
          <w:numId w:val="0"/>
        </w:numPr>
        <w:spacing w:line="360" w:lineRule="auto"/>
        <w:jc w:val="left"/>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4.4.4.3 阀杆弯曲度小于1mm，阀杆瓦片如磨损，应更换瓦片或更换阀杆；</w:t>
      </w:r>
    </w:p>
    <w:p w14:paraId="536D0D72">
      <w:pPr>
        <w:pStyle w:val="67"/>
        <w:numPr>
          <w:ilvl w:val="4"/>
          <w:numId w:val="0"/>
        </w:numPr>
        <w:spacing w:line="360" w:lineRule="auto"/>
        <w:jc w:val="left"/>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4.4.4.4 摇臂轴或内摆杆如有损坏现象，应更换新件；</w:t>
      </w:r>
    </w:p>
    <w:p w14:paraId="3E9FED56">
      <w:pPr>
        <w:pStyle w:val="67"/>
        <w:numPr>
          <w:ilvl w:val="4"/>
          <w:numId w:val="0"/>
        </w:numPr>
        <w:spacing w:line="360" w:lineRule="auto"/>
        <w:jc w:val="left"/>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4.4.4.5 更换上、下阀摇臂轴填料；</w:t>
      </w:r>
    </w:p>
    <w:p w14:paraId="10866076">
      <w:pPr>
        <w:pStyle w:val="67"/>
        <w:numPr>
          <w:ilvl w:val="4"/>
          <w:numId w:val="0"/>
        </w:numPr>
        <w:spacing w:line="360" w:lineRule="auto"/>
        <w:jc w:val="left"/>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4.4.4.6 疏通上、下阀摇臂轴润滑油路；</w:t>
      </w:r>
    </w:p>
    <w:p w14:paraId="46F8CC09">
      <w:pPr>
        <w:pStyle w:val="67"/>
        <w:numPr>
          <w:ilvl w:val="4"/>
          <w:numId w:val="0"/>
        </w:numPr>
        <w:spacing w:line="360" w:lineRule="auto"/>
        <w:jc w:val="left"/>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4.4.4.7 更换灰锁膨胀冷却器内的中心管；</w:t>
      </w:r>
    </w:p>
    <w:p w14:paraId="43DD7F1F">
      <w:pPr>
        <w:pStyle w:val="67"/>
        <w:numPr>
          <w:ilvl w:val="4"/>
          <w:numId w:val="0"/>
        </w:numPr>
        <w:spacing w:line="360" w:lineRule="auto"/>
        <w:jc w:val="left"/>
        <w:rPr>
          <w:rFonts w:hint="eastAsia" w:ascii="宋体" w:hAnsi="宋体" w:eastAsia="宋体"/>
          <w:sz w:val="24"/>
          <w:szCs w:val="24"/>
          <w:highlight w:val="none"/>
          <w:lang w:val="en-US" w:eastAsia="zh-CN"/>
        </w:rPr>
      </w:pPr>
      <w:bookmarkStart w:id="14" w:name="_Toc80271154"/>
      <w:bookmarkEnd w:id="14"/>
      <w:bookmarkStart w:id="15" w:name="_Toc80271050"/>
      <w:bookmarkEnd w:id="15"/>
      <w:r>
        <w:rPr>
          <w:rFonts w:hint="eastAsia" w:ascii="宋体" w:hAnsi="宋体" w:eastAsia="宋体"/>
          <w:sz w:val="24"/>
          <w:szCs w:val="24"/>
          <w:highlight w:val="none"/>
          <w:lang w:val="en-US" w:eastAsia="zh-CN"/>
        </w:rPr>
        <w:t>4.4.5 回装</w:t>
      </w:r>
    </w:p>
    <w:p w14:paraId="6E7372C5">
      <w:pPr>
        <w:pStyle w:val="67"/>
        <w:numPr>
          <w:ilvl w:val="4"/>
          <w:numId w:val="0"/>
        </w:numPr>
        <w:spacing w:line="360" w:lineRule="auto"/>
        <w:jc w:val="left"/>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4.4.5.1 原则上按拆卸的反过程进行；</w:t>
      </w:r>
    </w:p>
    <w:p w14:paraId="14274FB0">
      <w:pPr>
        <w:pStyle w:val="67"/>
        <w:numPr>
          <w:ilvl w:val="4"/>
          <w:numId w:val="0"/>
        </w:numPr>
        <w:spacing w:line="360" w:lineRule="auto"/>
        <w:jc w:val="left"/>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4.4.5.2 先回装炉篦系统,炉篦止推盘与径向瓦回装时抹少量二硫化钼，回装好后，装上减速机进行正反转试验，各半个小时，观察运行情况，如无问题，回装其它部件。回装完后用奥氏体不锈钢焊条点焊所有螺栓和销子；</w:t>
      </w:r>
    </w:p>
    <w:p w14:paraId="162336D3">
      <w:pPr>
        <w:pStyle w:val="67"/>
        <w:numPr>
          <w:ilvl w:val="4"/>
          <w:numId w:val="0"/>
        </w:numPr>
        <w:spacing w:line="360" w:lineRule="auto"/>
        <w:jc w:val="left"/>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4.4.5.4 夹套进行压力试验，试验压力为0.25MPa保压30分钟，无泄漏为合格；</w:t>
      </w:r>
    </w:p>
    <w:p w14:paraId="511678A5">
      <w:pPr>
        <w:pStyle w:val="67"/>
        <w:keepNext w:val="0"/>
        <w:keepLines w:val="0"/>
        <w:pageBreakBefore w:val="0"/>
        <w:widowControl w:val="0"/>
        <w:numPr>
          <w:ilvl w:val="4"/>
          <w:numId w:val="0"/>
        </w:numPr>
        <w:kinsoku w:val="0"/>
        <w:wordWrap/>
        <w:overflowPunct/>
        <w:topLinePunct w:val="0"/>
        <w:autoSpaceDE/>
        <w:autoSpaceDN/>
        <w:bidi w:val="0"/>
        <w:adjustRightInd w:val="0"/>
        <w:snapToGrid w:val="0"/>
        <w:spacing w:line="360" w:lineRule="auto"/>
        <w:jc w:val="left"/>
        <w:textAlignment w:val="auto"/>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4.4.5.5 按拆的反过程装配其它部分；</w:t>
      </w:r>
    </w:p>
    <w:p w14:paraId="2244BDC1">
      <w:pPr>
        <w:pStyle w:val="67"/>
        <w:keepNext w:val="0"/>
        <w:keepLines w:val="0"/>
        <w:pageBreakBefore w:val="0"/>
        <w:widowControl w:val="0"/>
        <w:numPr>
          <w:ilvl w:val="4"/>
          <w:numId w:val="0"/>
        </w:numPr>
        <w:kinsoku w:val="0"/>
        <w:wordWrap/>
        <w:overflowPunct/>
        <w:topLinePunct w:val="0"/>
        <w:autoSpaceDE/>
        <w:autoSpaceDN/>
        <w:bidi w:val="0"/>
        <w:adjustRightInd w:val="0"/>
        <w:snapToGrid w:val="0"/>
        <w:spacing w:line="360" w:lineRule="auto"/>
        <w:jc w:val="left"/>
        <w:textAlignment w:val="auto"/>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4.4.5.6 回装后连接所有工艺、仪表、液压和润滑油管线、阀门。</w:t>
      </w:r>
    </w:p>
    <w:p w14:paraId="27CE1C39">
      <w:pPr>
        <w:pStyle w:val="67"/>
        <w:keepNext w:val="0"/>
        <w:keepLines w:val="0"/>
        <w:pageBreakBefore w:val="0"/>
        <w:widowControl w:val="0"/>
        <w:numPr>
          <w:ilvl w:val="4"/>
          <w:numId w:val="0"/>
        </w:numPr>
        <w:kinsoku w:val="0"/>
        <w:wordWrap/>
        <w:overflowPunct/>
        <w:topLinePunct w:val="0"/>
        <w:autoSpaceDE/>
        <w:autoSpaceDN/>
        <w:bidi w:val="0"/>
        <w:adjustRightInd w:val="0"/>
        <w:snapToGrid w:val="0"/>
        <w:spacing w:line="360" w:lineRule="auto"/>
        <w:jc w:val="left"/>
        <w:textAlignment w:val="auto"/>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4.4.6 气化炉堆焊</w:t>
      </w:r>
    </w:p>
    <w:p w14:paraId="2A59499D">
      <w:pPr>
        <w:pStyle w:val="67"/>
        <w:keepNext w:val="0"/>
        <w:keepLines w:val="0"/>
        <w:pageBreakBefore w:val="0"/>
        <w:widowControl w:val="0"/>
        <w:numPr>
          <w:ilvl w:val="4"/>
          <w:numId w:val="0"/>
        </w:numPr>
        <w:kinsoku w:val="0"/>
        <w:wordWrap/>
        <w:overflowPunct/>
        <w:topLinePunct w:val="0"/>
        <w:autoSpaceDE/>
        <w:autoSpaceDN/>
        <w:bidi w:val="0"/>
        <w:adjustRightInd w:val="0"/>
        <w:snapToGrid w:val="0"/>
        <w:spacing w:line="360" w:lineRule="auto"/>
        <w:jc w:val="left"/>
        <w:textAlignment w:val="auto"/>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4.4.6.1 用碳弧气刨清除原堆焊层，再对母材表面进行打磨，直至露出金属光泽，然后进行堆焊。</w:t>
      </w:r>
    </w:p>
    <w:p w14:paraId="020D5CEE">
      <w:pPr>
        <w:pStyle w:val="67"/>
        <w:keepNext w:val="0"/>
        <w:keepLines w:val="0"/>
        <w:pageBreakBefore w:val="0"/>
        <w:widowControl w:val="0"/>
        <w:numPr>
          <w:ilvl w:val="4"/>
          <w:numId w:val="0"/>
        </w:numPr>
        <w:kinsoku w:val="0"/>
        <w:wordWrap/>
        <w:overflowPunct/>
        <w:topLinePunct w:val="0"/>
        <w:autoSpaceDE/>
        <w:autoSpaceDN/>
        <w:bidi w:val="0"/>
        <w:adjustRightInd w:val="0"/>
        <w:snapToGrid w:val="0"/>
        <w:spacing w:line="360" w:lineRule="auto"/>
        <w:jc w:val="left"/>
        <w:textAlignment w:val="auto"/>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4.4.6.2 单台气化炉内夹套需重新堆焊的部分，其高度约1500mm,直径3848mm,需清除原堆焊层、打磨母材并再次堆焊的面积约18.12m</w:t>
      </w:r>
      <w:r>
        <w:rPr>
          <w:rFonts w:hint="eastAsia" w:ascii="宋体" w:hAnsi="宋体" w:eastAsia="宋体"/>
          <w:sz w:val="24"/>
          <w:szCs w:val="24"/>
          <w:highlight w:val="none"/>
          <w:vertAlign w:val="superscript"/>
          <w:lang w:val="en-US" w:eastAsia="zh-CN"/>
        </w:rPr>
        <w:t>2</w:t>
      </w:r>
      <w:r>
        <w:rPr>
          <w:rFonts w:hint="eastAsia" w:ascii="宋体" w:hAnsi="宋体" w:eastAsia="宋体"/>
          <w:sz w:val="24"/>
          <w:szCs w:val="24"/>
          <w:highlight w:val="none"/>
          <w:lang w:val="en-US" w:eastAsia="zh-CN"/>
        </w:rPr>
        <w:t>。</w:t>
      </w:r>
    </w:p>
    <w:p w14:paraId="36A3880E">
      <w:pPr>
        <w:pStyle w:val="67"/>
        <w:keepNext w:val="0"/>
        <w:keepLines w:val="0"/>
        <w:pageBreakBefore w:val="0"/>
        <w:widowControl w:val="0"/>
        <w:numPr>
          <w:ilvl w:val="4"/>
          <w:numId w:val="0"/>
        </w:numPr>
        <w:kinsoku w:val="0"/>
        <w:wordWrap/>
        <w:overflowPunct/>
        <w:topLinePunct w:val="0"/>
        <w:autoSpaceDE/>
        <w:autoSpaceDN/>
        <w:bidi w:val="0"/>
        <w:adjustRightInd w:val="0"/>
        <w:snapToGrid w:val="0"/>
        <w:spacing w:line="360" w:lineRule="auto"/>
        <w:jc w:val="left"/>
        <w:textAlignment w:val="auto"/>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4.4.6.3 内夹套筒体部分堆焊2层，2层总厚度为5mm以上。</w:t>
      </w:r>
    </w:p>
    <w:p w14:paraId="46703252">
      <w:pPr>
        <w:pStyle w:val="67"/>
        <w:numPr>
          <w:ilvl w:val="4"/>
          <w:numId w:val="0"/>
        </w:numPr>
        <w:spacing w:line="360" w:lineRule="auto"/>
        <w:jc w:val="left"/>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4.4.6.4 将下灰室锥体部分的护板焊接点割开，并将护板割开取出。清理下灰室锥体部分表面的灰渣，铲除铁锈，并利用砂轮或其他打磨工具将锥体表面打磨出金属光泽。将下灰室锥体部分的凹陷处进行补平。</w:t>
      </w:r>
    </w:p>
    <w:p w14:paraId="4D0E5F14">
      <w:pPr>
        <w:pStyle w:val="67"/>
        <w:numPr>
          <w:ilvl w:val="4"/>
          <w:numId w:val="0"/>
        </w:numPr>
        <w:spacing w:line="360" w:lineRule="auto"/>
        <w:jc w:val="left"/>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4.4.6.5 下灰室内4根支柱部分需清除原堆焊层、打磨母材并再次堆焊的面积约12.32m</w:t>
      </w:r>
      <w:r>
        <w:rPr>
          <w:rFonts w:hint="eastAsia" w:ascii="宋体" w:hAnsi="宋体" w:eastAsia="宋体"/>
          <w:sz w:val="24"/>
          <w:szCs w:val="24"/>
          <w:highlight w:val="none"/>
          <w:vertAlign w:val="superscript"/>
          <w:lang w:val="en-US" w:eastAsia="zh-CN"/>
        </w:rPr>
        <w:t>2</w:t>
      </w:r>
      <w:r>
        <w:rPr>
          <w:rFonts w:hint="eastAsia" w:ascii="宋体" w:hAnsi="宋体" w:eastAsia="宋体"/>
          <w:sz w:val="24"/>
          <w:szCs w:val="24"/>
          <w:highlight w:val="none"/>
          <w:lang w:val="en-US" w:eastAsia="zh-CN"/>
        </w:rPr>
        <w:t>。下灰室锥体部分需打磨、堆焊的面积约10.26m</w:t>
      </w:r>
      <w:r>
        <w:rPr>
          <w:rFonts w:hint="eastAsia" w:ascii="宋体" w:hAnsi="宋体" w:eastAsia="宋体"/>
          <w:sz w:val="24"/>
          <w:szCs w:val="24"/>
          <w:highlight w:val="none"/>
          <w:vertAlign w:val="superscript"/>
          <w:lang w:val="en-US" w:eastAsia="zh-CN"/>
        </w:rPr>
        <w:t>2</w:t>
      </w:r>
      <w:r>
        <w:rPr>
          <w:rFonts w:hint="eastAsia" w:ascii="宋体" w:hAnsi="宋体" w:eastAsia="宋体"/>
          <w:sz w:val="24"/>
          <w:szCs w:val="24"/>
          <w:highlight w:val="none"/>
          <w:lang w:val="en-US" w:eastAsia="zh-CN"/>
        </w:rPr>
        <w:t>。</w:t>
      </w:r>
    </w:p>
    <w:p w14:paraId="31AF08D3">
      <w:pPr>
        <w:pStyle w:val="67"/>
        <w:numPr>
          <w:ilvl w:val="4"/>
          <w:numId w:val="0"/>
        </w:numPr>
        <w:spacing w:line="360" w:lineRule="auto"/>
        <w:jc w:val="left"/>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4.4.6.6 内夹套下灰室支柱及锥体部分堆焊2层，厚度为5mm以上。</w:t>
      </w:r>
    </w:p>
    <w:p w14:paraId="4CDE815E">
      <w:pPr>
        <w:pStyle w:val="67"/>
        <w:numPr>
          <w:ilvl w:val="4"/>
          <w:numId w:val="0"/>
        </w:numPr>
        <w:spacing w:line="360" w:lineRule="auto"/>
        <w:jc w:val="left"/>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4.4.6.7堆焊层表面进行光谱检测；按照10点/㎡进行光谱检测。堆焊2层的区域铁的含量＜7%，堆焊1层的区域铁含量＜25%。</w:t>
      </w:r>
    </w:p>
    <w:p w14:paraId="1F07179F">
      <w:pPr>
        <w:pStyle w:val="67"/>
        <w:numPr>
          <w:ilvl w:val="4"/>
          <w:numId w:val="0"/>
        </w:numPr>
        <w:spacing w:line="360" w:lineRule="auto"/>
        <w:jc w:val="left"/>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堆焊完毕后均应做100% PT探伤，检验结果符合NB/T47013.5-2015标准要求I级合格。</w:t>
      </w:r>
    </w:p>
    <w:p w14:paraId="13B2C0C5">
      <w:pPr>
        <w:pStyle w:val="67"/>
        <w:numPr>
          <w:ilvl w:val="4"/>
          <w:numId w:val="0"/>
        </w:numPr>
        <w:spacing w:line="360" w:lineRule="auto"/>
        <w:jc w:val="left"/>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4.4.6.8 回装下灰室锥体部分的护板，并将其点焊在下灰室夹套板上；</w:t>
      </w:r>
    </w:p>
    <w:p w14:paraId="242C55A9">
      <w:pPr>
        <w:pStyle w:val="67"/>
        <w:numPr>
          <w:ilvl w:val="4"/>
          <w:numId w:val="0"/>
        </w:numPr>
        <w:spacing w:line="360" w:lineRule="auto"/>
        <w:jc w:val="left"/>
        <w:rPr>
          <w:rFonts w:hint="eastAsia" w:ascii="宋体" w:hAnsi="宋体" w:eastAsia="宋体"/>
          <w:sz w:val="24"/>
          <w:szCs w:val="24"/>
          <w:highlight w:val="none"/>
          <w:lang w:val="en-US" w:eastAsia="zh-CN"/>
        </w:rPr>
      </w:pPr>
      <w:r>
        <w:rPr>
          <w:rFonts w:hint="default" w:ascii="宋体" w:hAnsi="宋体" w:eastAsia="宋体"/>
          <w:sz w:val="24"/>
          <w:szCs w:val="24"/>
          <w:highlight w:val="none"/>
          <w:lang w:val="en-US" w:eastAsia="zh-CN"/>
        </w:rPr>
        <w:t>4.</w:t>
      </w:r>
      <w:r>
        <w:rPr>
          <w:rFonts w:hint="eastAsia" w:ascii="宋体" w:hAnsi="宋体" w:eastAsia="宋体"/>
          <w:sz w:val="24"/>
          <w:szCs w:val="24"/>
          <w:highlight w:val="none"/>
          <w:lang w:val="en-US" w:eastAsia="zh-CN"/>
        </w:rPr>
        <w:t>5</w:t>
      </w:r>
      <w:r>
        <w:rPr>
          <w:rFonts w:hint="default" w:ascii="宋体" w:hAnsi="宋体" w:eastAsia="宋体"/>
          <w:sz w:val="24"/>
          <w:szCs w:val="24"/>
          <w:highlight w:val="none"/>
          <w:lang w:val="en-US" w:eastAsia="zh-CN"/>
        </w:rPr>
        <w:t xml:space="preserve"> </w:t>
      </w:r>
      <w:r>
        <w:rPr>
          <w:rFonts w:hint="eastAsia" w:ascii="宋体" w:hAnsi="宋体" w:eastAsia="宋体"/>
          <w:sz w:val="24"/>
          <w:szCs w:val="24"/>
          <w:highlight w:val="none"/>
          <w:lang w:val="en-US" w:eastAsia="zh-CN"/>
        </w:rPr>
        <w:t>检修项目及工日</w:t>
      </w:r>
    </w:p>
    <w:p w14:paraId="70C49EBF">
      <w:pPr>
        <w:pStyle w:val="67"/>
        <w:numPr>
          <w:ilvl w:val="4"/>
          <w:numId w:val="0"/>
        </w:numPr>
        <w:spacing w:line="360" w:lineRule="auto"/>
        <w:jc w:val="left"/>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4.5.1</w:t>
      </w:r>
      <w:r>
        <w:rPr>
          <w:rFonts w:hint="eastAsia" w:ascii="宋体" w:hAnsi="宋体" w:eastAsia="宋体"/>
          <w:b/>
          <w:bCs/>
          <w:sz w:val="24"/>
          <w:szCs w:val="24"/>
          <w:highlight w:val="none"/>
          <w:lang w:val="en-US" w:eastAsia="zh-CN"/>
        </w:rPr>
        <w:t>气化炉大修</w:t>
      </w:r>
      <w:r>
        <w:rPr>
          <w:rFonts w:hint="eastAsia" w:ascii="宋体" w:hAnsi="宋体" w:eastAsia="宋体"/>
          <w:sz w:val="24"/>
          <w:szCs w:val="24"/>
          <w:highlight w:val="none"/>
          <w:lang w:val="en-US" w:eastAsia="zh-CN"/>
        </w:rPr>
        <w:t>具体清单如下：</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75"/>
        <w:gridCol w:w="951"/>
        <w:gridCol w:w="7226"/>
        <w:gridCol w:w="718"/>
      </w:tblGrid>
      <w:tr w14:paraId="494315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675" w:type="dxa"/>
            <w:vAlign w:val="center"/>
          </w:tcPr>
          <w:p w14:paraId="34091F68">
            <w:pPr>
              <w:pStyle w:val="74"/>
              <w:widowControl w:val="0"/>
              <w:spacing w:line="360" w:lineRule="auto"/>
              <w:ind w:firstLine="0" w:firstLineChars="0"/>
              <w:jc w:val="center"/>
              <w:rPr>
                <w:rFonts w:hAnsi="宋体"/>
                <w:szCs w:val="21"/>
                <w:highlight w:val="none"/>
              </w:rPr>
            </w:pPr>
            <w:r>
              <w:rPr>
                <w:rFonts w:hint="eastAsia" w:hAnsi="宋体"/>
                <w:szCs w:val="21"/>
                <w:highlight w:val="none"/>
              </w:rPr>
              <w:t>序号</w:t>
            </w:r>
          </w:p>
        </w:tc>
        <w:tc>
          <w:tcPr>
            <w:tcW w:w="951" w:type="dxa"/>
            <w:vAlign w:val="center"/>
          </w:tcPr>
          <w:p w14:paraId="18E07802">
            <w:pPr>
              <w:pStyle w:val="74"/>
              <w:widowControl w:val="0"/>
              <w:spacing w:line="360" w:lineRule="auto"/>
              <w:ind w:firstLine="0" w:firstLineChars="0"/>
              <w:jc w:val="center"/>
              <w:rPr>
                <w:rFonts w:hAnsi="宋体"/>
                <w:szCs w:val="21"/>
                <w:highlight w:val="none"/>
              </w:rPr>
            </w:pPr>
            <w:r>
              <w:rPr>
                <w:rFonts w:hint="eastAsia" w:hAnsi="宋体"/>
                <w:szCs w:val="21"/>
                <w:highlight w:val="none"/>
              </w:rPr>
              <w:t>项目</w:t>
            </w:r>
          </w:p>
        </w:tc>
        <w:tc>
          <w:tcPr>
            <w:tcW w:w="7226" w:type="dxa"/>
            <w:vAlign w:val="center"/>
          </w:tcPr>
          <w:p w14:paraId="76DB0824">
            <w:pPr>
              <w:pStyle w:val="74"/>
              <w:widowControl w:val="0"/>
              <w:spacing w:line="360" w:lineRule="auto"/>
              <w:ind w:firstLine="0" w:firstLineChars="0"/>
              <w:jc w:val="center"/>
              <w:rPr>
                <w:rFonts w:hAnsi="宋体"/>
                <w:szCs w:val="21"/>
                <w:highlight w:val="none"/>
              </w:rPr>
            </w:pPr>
            <w:r>
              <w:rPr>
                <w:rFonts w:hint="eastAsia" w:hAnsi="宋体"/>
                <w:szCs w:val="21"/>
                <w:highlight w:val="none"/>
              </w:rPr>
              <w:t>工作内容</w:t>
            </w:r>
          </w:p>
        </w:tc>
        <w:tc>
          <w:tcPr>
            <w:tcW w:w="718" w:type="dxa"/>
            <w:vAlign w:val="center"/>
          </w:tcPr>
          <w:p w14:paraId="72E6769A">
            <w:pPr>
              <w:pStyle w:val="74"/>
              <w:widowControl w:val="0"/>
              <w:spacing w:line="240" w:lineRule="auto"/>
              <w:ind w:firstLine="0" w:firstLineChars="0"/>
              <w:jc w:val="center"/>
              <w:rPr>
                <w:rFonts w:hAnsi="宋体"/>
                <w:szCs w:val="21"/>
                <w:highlight w:val="none"/>
              </w:rPr>
            </w:pPr>
            <w:r>
              <w:rPr>
                <w:rFonts w:hint="eastAsia" w:hAnsi="宋体"/>
                <w:szCs w:val="21"/>
                <w:highlight w:val="none"/>
              </w:rPr>
              <w:t>合计</w:t>
            </w:r>
            <w:r>
              <w:rPr>
                <w:rFonts w:hint="eastAsia" w:hAnsi="宋体"/>
                <w:szCs w:val="21"/>
                <w:highlight w:val="none"/>
                <w:lang w:val="en-US" w:eastAsia="zh-CN"/>
              </w:rPr>
              <w:t xml:space="preserve"> </w:t>
            </w:r>
            <w:r>
              <w:rPr>
                <w:rFonts w:hint="eastAsia" w:hAnsi="宋体"/>
                <w:szCs w:val="21"/>
                <w:highlight w:val="none"/>
              </w:rPr>
              <w:t>工日</w:t>
            </w:r>
          </w:p>
        </w:tc>
      </w:tr>
      <w:tr w14:paraId="186A3D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43" w:hRule="atLeast"/>
        </w:trPr>
        <w:tc>
          <w:tcPr>
            <w:tcW w:w="675" w:type="dxa"/>
            <w:vMerge w:val="restart"/>
            <w:vAlign w:val="center"/>
          </w:tcPr>
          <w:p w14:paraId="482829D0">
            <w:pPr>
              <w:pStyle w:val="74"/>
              <w:widowControl w:val="0"/>
              <w:spacing w:line="360" w:lineRule="auto"/>
              <w:ind w:firstLine="0" w:firstLineChars="0"/>
              <w:jc w:val="center"/>
              <w:rPr>
                <w:rFonts w:hAnsi="宋体"/>
                <w:szCs w:val="21"/>
                <w:highlight w:val="none"/>
              </w:rPr>
            </w:pPr>
            <w:r>
              <w:rPr>
                <w:rFonts w:hint="eastAsia" w:hAnsi="宋体"/>
                <w:szCs w:val="21"/>
                <w:highlight w:val="none"/>
              </w:rPr>
              <w:t>1</w:t>
            </w:r>
          </w:p>
        </w:tc>
        <w:tc>
          <w:tcPr>
            <w:tcW w:w="951" w:type="dxa"/>
            <w:vMerge w:val="restart"/>
            <w:vAlign w:val="center"/>
          </w:tcPr>
          <w:p w14:paraId="0D7EFB07">
            <w:pPr>
              <w:pStyle w:val="74"/>
              <w:widowControl w:val="0"/>
              <w:spacing w:line="240" w:lineRule="auto"/>
              <w:ind w:firstLine="0" w:firstLineChars="0"/>
              <w:jc w:val="center"/>
              <w:rPr>
                <w:rFonts w:hint="eastAsia" w:ascii="宋体" w:hAnsi="宋体" w:eastAsia="宋体" w:cs="宋体"/>
                <w:szCs w:val="21"/>
                <w:highlight w:val="none"/>
              </w:rPr>
            </w:pPr>
            <w:r>
              <w:rPr>
                <w:rFonts w:hint="eastAsia" w:hAnsi="宋体"/>
                <w:szCs w:val="21"/>
                <w:highlight w:val="none"/>
              </w:rPr>
              <w:t>气化炉</w:t>
            </w:r>
            <w:r>
              <w:rPr>
                <w:rFonts w:hint="eastAsia" w:hAnsi="宋体"/>
                <w:szCs w:val="21"/>
                <w:highlight w:val="none"/>
                <w:lang w:val="en-US" w:eastAsia="zh-CN"/>
              </w:rPr>
              <w:t xml:space="preserve">   </w:t>
            </w:r>
            <w:r>
              <w:rPr>
                <w:rFonts w:hint="eastAsia" w:hAnsi="宋体"/>
                <w:szCs w:val="21"/>
                <w:highlight w:val="none"/>
              </w:rPr>
              <w:t>体大修</w:t>
            </w:r>
          </w:p>
        </w:tc>
        <w:tc>
          <w:tcPr>
            <w:tcW w:w="7226" w:type="dxa"/>
            <w:vAlign w:val="center"/>
          </w:tcPr>
          <w:p w14:paraId="3E800191">
            <w:pPr>
              <w:jc w:val="lef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1.按工艺处置要求，导盲单台气化炉入炉检修所需的所有盲板</w:t>
            </w:r>
            <w:r>
              <w:rPr>
                <w:rFonts w:hint="eastAsia" w:ascii="宋体" w:hAnsi="宋体" w:eastAsia="宋体" w:cs="宋体"/>
                <w:sz w:val="21"/>
                <w:szCs w:val="21"/>
                <w:highlight w:val="none"/>
                <w:lang w:eastAsia="zh-CN"/>
              </w:rPr>
              <w:t>。</w:t>
            </w:r>
          </w:p>
        </w:tc>
        <w:tc>
          <w:tcPr>
            <w:tcW w:w="718" w:type="dxa"/>
            <w:vAlign w:val="center"/>
          </w:tcPr>
          <w:p w14:paraId="2A5444A2">
            <w:pPr>
              <w:jc w:val="center"/>
              <w:rPr>
                <w:rFonts w:ascii="宋体" w:hAnsi="宋体"/>
                <w:color w:val="000000"/>
                <w:sz w:val="21"/>
                <w:szCs w:val="21"/>
                <w:highlight w:val="none"/>
              </w:rPr>
            </w:pPr>
            <w:r>
              <w:rPr>
                <w:rFonts w:hint="eastAsia" w:ascii="宋体" w:hAnsi="宋体"/>
                <w:color w:val="000000"/>
                <w:sz w:val="21"/>
                <w:szCs w:val="21"/>
                <w:highlight w:val="none"/>
              </w:rPr>
              <w:t>18</w:t>
            </w:r>
          </w:p>
        </w:tc>
      </w:tr>
      <w:tr w14:paraId="76DC5F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0" w:hRule="atLeast"/>
        </w:trPr>
        <w:tc>
          <w:tcPr>
            <w:tcW w:w="675" w:type="dxa"/>
            <w:vMerge w:val="continue"/>
            <w:vAlign w:val="center"/>
          </w:tcPr>
          <w:p w14:paraId="6498C30E">
            <w:pPr>
              <w:pStyle w:val="74"/>
              <w:widowControl w:val="0"/>
              <w:spacing w:line="360" w:lineRule="auto"/>
              <w:ind w:firstLine="0" w:firstLineChars="0"/>
              <w:jc w:val="center"/>
              <w:rPr>
                <w:rFonts w:hAnsi="宋体"/>
                <w:szCs w:val="21"/>
                <w:highlight w:val="none"/>
              </w:rPr>
            </w:pPr>
          </w:p>
        </w:tc>
        <w:tc>
          <w:tcPr>
            <w:tcW w:w="951" w:type="dxa"/>
            <w:vMerge w:val="continue"/>
            <w:vAlign w:val="center"/>
          </w:tcPr>
          <w:p w14:paraId="3BC7B5FC">
            <w:pPr>
              <w:pStyle w:val="74"/>
              <w:widowControl w:val="0"/>
              <w:spacing w:line="240" w:lineRule="auto"/>
              <w:ind w:firstLine="0" w:firstLineChars="0"/>
              <w:jc w:val="center"/>
              <w:rPr>
                <w:rFonts w:hint="eastAsia" w:ascii="宋体" w:hAnsi="宋体" w:eastAsia="宋体" w:cs="宋体"/>
                <w:szCs w:val="21"/>
                <w:highlight w:val="none"/>
              </w:rPr>
            </w:pPr>
          </w:p>
        </w:tc>
        <w:tc>
          <w:tcPr>
            <w:tcW w:w="7226" w:type="dxa"/>
            <w:vAlign w:val="center"/>
          </w:tcPr>
          <w:p w14:paraId="251185F7">
            <w:pPr>
              <w:jc w:val="lef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2.拆除煤锁加料溜槽、煤锁及与之相连接的阀门和管道</w:t>
            </w:r>
            <w:r>
              <w:rPr>
                <w:rFonts w:hint="eastAsia" w:ascii="宋体" w:hAnsi="宋体" w:eastAsia="宋体" w:cs="宋体"/>
                <w:sz w:val="21"/>
                <w:szCs w:val="21"/>
                <w:highlight w:val="none"/>
                <w:lang w:eastAsia="zh-CN"/>
              </w:rPr>
              <w:t>。</w:t>
            </w:r>
          </w:p>
        </w:tc>
        <w:tc>
          <w:tcPr>
            <w:tcW w:w="718" w:type="dxa"/>
            <w:vAlign w:val="center"/>
          </w:tcPr>
          <w:p w14:paraId="461AD5B4">
            <w:pPr>
              <w:jc w:val="center"/>
              <w:rPr>
                <w:rFonts w:ascii="宋体" w:hAnsi="宋体"/>
                <w:color w:val="000000"/>
                <w:sz w:val="21"/>
                <w:szCs w:val="21"/>
                <w:highlight w:val="none"/>
              </w:rPr>
            </w:pPr>
            <w:r>
              <w:rPr>
                <w:rFonts w:hint="eastAsia" w:ascii="宋体" w:hAnsi="宋体"/>
                <w:color w:val="000000"/>
                <w:sz w:val="21"/>
                <w:szCs w:val="21"/>
                <w:highlight w:val="none"/>
                <w:lang w:val="en-US" w:eastAsia="zh-CN"/>
              </w:rPr>
              <w:t>6</w:t>
            </w:r>
          </w:p>
        </w:tc>
      </w:tr>
      <w:tr w14:paraId="549F94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36" w:hRule="atLeast"/>
        </w:trPr>
        <w:tc>
          <w:tcPr>
            <w:tcW w:w="675" w:type="dxa"/>
            <w:vMerge w:val="continue"/>
            <w:vAlign w:val="center"/>
          </w:tcPr>
          <w:p w14:paraId="2F78BE13">
            <w:pPr>
              <w:pStyle w:val="74"/>
              <w:widowControl w:val="0"/>
              <w:spacing w:line="360" w:lineRule="auto"/>
              <w:ind w:firstLine="0" w:firstLineChars="0"/>
              <w:jc w:val="center"/>
              <w:rPr>
                <w:rFonts w:hAnsi="宋体"/>
                <w:szCs w:val="21"/>
                <w:highlight w:val="none"/>
              </w:rPr>
            </w:pPr>
          </w:p>
        </w:tc>
        <w:tc>
          <w:tcPr>
            <w:tcW w:w="951" w:type="dxa"/>
            <w:vMerge w:val="continue"/>
            <w:vAlign w:val="center"/>
          </w:tcPr>
          <w:p w14:paraId="7901D8FB">
            <w:pPr>
              <w:pStyle w:val="74"/>
              <w:widowControl w:val="0"/>
              <w:spacing w:line="240" w:lineRule="auto"/>
              <w:ind w:firstLine="0" w:firstLineChars="0"/>
              <w:jc w:val="center"/>
              <w:rPr>
                <w:rFonts w:hint="eastAsia" w:ascii="宋体" w:hAnsi="宋体" w:eastAsia="宋体" w:cs="宋体"/>
                <w:szCs w:val="21"/>
                <w:highlight w:val="none"/>
              </w:rPr>
            </w:pPr>
          </w:p>
        </w:tc>
        <w:tc>
          <w:tcPr>
            <w:tcW w:w="7226" w:type="dxa"/>
            <w:vAlign w:val="center"/>
          </w:tcPr>
          <w:p w14:paraId="7B194831">
            <w:pPr>
              <w:jc w:val="lef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.拆除灰锁及膨胀冷凝器及与之相连接的阀门和管道</w:t>
            </w:r>
            <w:r>
              <w:rPr>
                <w:rFonts w:hint="eastAsia" w:ascii="宋体" w:hAnsi="宋体" w:eastAsia="宋体" w:cs="宋体"/>
                <w:sz w:val="21"/>
                <w:szCs w:val="21"/>
                <w:highlight w:val="none"/>
                <w:lang w:eastAsia="zh-CN"/>
              </w:rPr>
              <w:t>。</w:t>
            </w:r>
          </w:p>
        </w:tc>
        <w:tc>
          <w:tcPr>
            <w:tcW w:w="718" w:type="dxa"/>
            <w:vAlign w:val="center"/>
          </w:tcPr>
          <w:p w14:paraId="5DFDFA32">
            <w:pPr>
              <w:jc w:val="center"/>
              <w:rPr>
                <w:rFonts w:ascii="宋体" w:hAnsi="宋体"/>
                <w:color w:val="000000"/>
                <w:sz w:val="21"/>
                <w:szCs w:val="21"/>
                <w:highlight w:val="none"/>
              </w:rPr>
            </w:pPr>
            <w:r>
              <w:rPr>
                <w:rFonts w:hint="eastAsia" w:ascii="宋体" w:hAnsi="宋体"/>
                <w:color w:val="000000"/>
                <w:sz w:val="21"/>
                <w:szCs w:val="21"/>
                <w:highlight w:val="none"/>
                <w:lang w:val="en-US" w:eastAsia="zh-CN"/>
              </w:rPr>
              <w:t>8</w:t>
            </w:r>
          </w:p>
        </w:tc>
      </w:tr>
      <w:tr w14:paraId="0DCC53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02" w:hRule="atLeast"/>
        </w:trPr>
        <w:tc>
          <w:tcPr>
            <w:tcW w:w="675" w:type="dxa"/>
            <w:vMerge w:val="continue"/>
            <w:vAlign w:val="center"/>
          </w:tcPr>
          <w:p w14:paraId="75900F80">
            <w:pPr>
              <w:pStyle w:val="74"/>
              <w:widowControl w:val="0"/>
              <w:spacing w:line="360" w:lineRule="auto"/>
              <w:ind w:firstLine="0" w:firstLineChars="0"/>
              <w:jc w:val="center"/>
              <w:rPr>
                <w:rFonts w:hAnsi="宋体"/>
                <w:szCs w:val="21"/>
                <w:highlight w:val="none"/>
              </w:rPr>
            </w:pPr>
          </w:p>
        </w:tc>
        <w:tc>
          <w:tcPr>
            <w:tcW w:w="951" w:type="dxa"/>
            <w:vMerge w:val="continue"/>
            <w:vAlign w:val="center"/>
          </w:tcPr>
          <w:p w14:paraId="45D0FD34">
            <w:pPr>
              <w:pStyle w:val="74"/>
              <w:widowControl w:val="0"/>
              <w:spacing w:line="240" w:lineRule="auto"/>
              <w:ind w:firstLine="0" w:firstLineChars="0"/>
              <w:jc w:val="center"/>
              <w:rPr>
                <w:rFonts w:hint="eastAsia" w:ascii="宋体" w:hAnsi="宋体" w:eastAsia="宋体" w:cs="宋体"/>
                <w:szCs w:val="21"/>
                <w:highlight w:val="none"/>
              </w:rPr>
            </w:pPr>
          </w:p>
        </w:tc>
        <w:tc>
          <w:tcPr>
            <w:tcW w:w="7226" w:type="dxa"/>
            <w:vAlign w:val="center"/>
          </w:tcPr>
          <w:p w14:paraId="38E77580">
            <w:pPr>
              <w:jc w:val="lef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.炉篦系统解体检修</w:t>
            </w:r>
            <w:r>
              <w:rPr>
                <w:rFonts w:hint="eastAsia" w:ascii="宋体" w:hAnsi="宋体" w:eastAsia="宋体" w:cs="宋体"/>
                <w:sz w:val="21"/>
                <w:szCs w:val="21"/>
                <w:highlight w:val="none"/>
                <w:lang w:eastAsia="zh-CN"/>
              </w:rPr>
              <w:t>。</w:t>
            </w:r>
          </w:p>
        </w:tc>
        <w:tc>
          <w:tcPr>
            <w:tcW w:w="718" w:type="dxa"/>
            <w:vAlign w:val="center"/>
          </w:tcPr>
          <w:p w14:paraId="391977AF">
            <w:pPr>
              <w:jc w:val="center"/>
              <w:rPr>
                <w:rFonts w:ascii="宋体" w:hAnsi="宋体"/>
                <w:color w:val="000000"/>
                <w:sz w:val="21"/>
                <w:szCs w:val="21"/>
                <w:highlight w:val="none"/>
              </w:rPr>
            </w:pPr>
            <w:r>
              <w:rPr>
                <w:rFonts w:hint="eastAsia" w:ascii="宋体" w:hAnsi="宋体"/>
                <w:color w:val="000000"/>
                <w:sz w:val="21"/>
                <w:szCs w:val="21"/>
                <w:highlight w:val="none"/>
              </w:rPr>
              <w:t>74</w:t>
            </w:r>
          </w:p>
        </w:tc>
      </w:tr>
      <w:tr w14:paraId="544C30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2" w:hRule="atLeast"/>
        </w:trPr>
        <w:tc>
          <w:tcPr>
            <w:tcW w:w="675" w:type="dxa"/>
            <w:vMerge w:val="restart"/>
            <w:vAlign w:val="center"/>
          </w:tcPr>
          <w:p w14:paraId="5424BDC8">
            <w:pPr>
              <w:pStyle w:val="74"/>
              <w:widowControl w:val="0"/>
              <w:spacing w:line="360" w:lineRule="auto"/>
              <w:ind w:firstLine="0" w:firstLineChars="0"/>
              <w:jc w:val="center"/>
              <w:rPr>
                <w:rFonts w:hAnsi="宋体"/>
                <w:szCs w:val="21"/>
                <w:highlight w:val="none"/>
              </w:rPr>
            </w:pPr>
            <w:r>
              <w:rPr>
                <w:rFonts w:hint="eastAsia" w:hAnsi="宋体"/>
                <w:szCs w:val="21"/>
                <w:highlight w:val="none"/>
              </w:rPr>
              <w:t>2</w:t>
            </w:r>
          </w:p>
        </w:tc>
        <w:tc>
          <w:tcPr>
            <w:tcW w:w="951" w:type="dxa"/>
            <w:vMerge w:val="restart"/>
            <w:vAlign w:val="center"/>
          </w:tcPr>
          <w:p w14:paraId="40F58C8D">
            <w:pPr>
              <w:pStyle w:val="74"/>
              <w:widowControl w:val="0"/>
              <w:spacing w:line="240" w:lineRule="auto"/>
              <w:ind w:firstLine="0" w:firstLineChars="0"/>
              <w:jc w:val="center"/>
              <w:rPr>
                <w:rFonts w:hint="eastAsia" w:ascii="宋体" w:hAnsi="宋体" w:eastAsia="宋体" w:cs="宋体"/>
                <w:szCs w:val="21"/>
                <w:highlight w:val="none"/>
              </w:rPr>
            </w:pPr>
            <w:r>
              <w:rPr>
                <w:rFonts w:hint="eastAsia" w:hAnsi="宋体"/>
                <w:szCs w:val="21"/>
                <w:highlight w:val="none"/>
              </w:rPr>
              <w:t>煤锁解</w:t>
            </w:r>
            <w:r>
              <w:rPr>
                <w:rFonts w:hint="eastAsia" w:hAnsi="宋体"/>
                <w:szCs w:val="21"/>
                <w:highlight w:val="none"/>
                <w:lang w:val="en-US" w:eastAsia="zh-CN"/>
              </w:rPr>
              <w:t xml:space="preserve">   </w:t>
            </w:r>
            <w:r>
              <w:rPr>
                <w:rFonts w:hint="eastAsia" w:hAnsi="宋体"/>
                <w:szCs w:val="21"/>
                <w:highlight w:val="none"/>
              </w:rPr>
              <w:t>体大修</w:t>
            </w:r>
          </w:p>
        </w:tc>
        <w:tc>
          <w:tcPr>
            <w:tcW w:w="7226" w:type="dxa"/>
            <w:vAlign w:val="center"/>
          </w:tcPr>
          <w:p w14:paraId="5568AD8E">
            <w:pPr>
              <w:jc w:val="lef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1.拆六层煤锁周围的篦子板、钢梁，将煤锁吊装至一层地面的检修架上。</w:t>
            </w:r>
          </w:p>
        </w:tc>
        <w:tc>
          <w:tcPr>
            <w:tcW w:w="718" w:type="dxa"/>
            <w:vAlign w:val="center"/>
          </w:tcPr>
          <w:p w14:paraId="2286076D">
            <w:pPr>
              <w:jc w:val="center"/>
              <w:rPr>
                <w:rFonts w:ascii="宋体" w:hAnsi="宋体"/>
                <w:color w:val="000000"/>
                <w:sz w:val="21"/>
                <w:szCs w:val="21"/>
                <w:highlight w:val="none"/>
              </w:rPr>
            </w:pPr>
            <w:r>
              <w:rPr>
                <w:rFonts w:hint="eastAsia" w:ascii="宋体" w:hAnsi="宋体"/>
                <w:color w:val="000000"/>
                <w:sz w:val="21"/>
                <w:szCs w:val="21"/>
                <w:highlight w:val="none"/>
              </w:rPr>
              <w:t>18</w:t>
            </w:r>
          </w:p>
        </w:tc>
      </w:tr>
      <w:tr w14:paraId="7418B0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2" w:hRule="atLeast"/>
        </w:trPr>
        <w:tc>
          <w:tcPr>
            <w:tcW w:w="675" w:type="dxa"/>
            <w:vMerge w:val="continue"/>
            <w:vAlign w:val="center"/>
          </w:tcPr>
          <w:p w14:paraId="4C4759E5">
            <w:pPr>
              <w:pStyle w:val="74"/>
              <w:widowControl w:val="0"/>
              <w:spacing w:line="360" w:lineRule="auto"/>
              <w:ind w:firstLine="420" w:firstLineChars="200"/>
              <w:jc w:val="center"/>
              <w:rPr>
                <w:rFonts w:hAnsi="宋体"/>
                <w:szCs w:val="21"/>
                <w:highlight w:val="none"/>
              </w:rPr>
            </w:pPr>
          </w:p>
        </w:tc>
        <w:tc>
          <w:tcPr>
            <w:tcW w:w="951" w:type="dxa"/>
            <w:vMerge w:val="continue"/>
            <w:vAlign w:val="center"/>
          </w:tcPr>
          <w:p w14:paraId="02042E28">
            <w:pPr>
              <w:pStyle w:val="74"/>
              <w:widowControl w:val="0"/>
              <w:spacing w:line="240" w:lineRule="auto"/>
              <w:ind w:firstLine="0" w:firstLineChars="0"/>
              <w:jc w:val="center"/>
              <w:rPr>
                <w:rFonts w:hint="eastAsia" w:ascii="宋体" w:hAnsi="宋体" w:eastAsia="宋体" w:cs="宋体"/>
                <w:szCs w:val="21"/>
                <w:highlight w:val="none"/>
              </w:rPr>
            </w:pPr>
          </w:p>
        </w:tc>
        <w:tc>
          <w:tcPr>
            <w:tcW w:w="7226" w:type="dxa"/>
            <w:vAlign w:val="center"/>
          </w:tcPr>
          <w:p w14:paraId="47129082">
            <w:pPr>
              <w:jc w:val="lef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2.检查液压润滑系统排查，消缺。</w:t>
            </w:r>
          </w:p>
        </w:tc>
        <w:tc>
          <w:tcPr>
            <w:tcW w:w="718" w:type="dxa"/>
            <w:vAlign w:val="center"/>
          </w:tcPr>
          <w:p w14:paraId="639974B3">
            <w:pPr>
              <w:jc w:val="center"/>
              <w:rPr>
                <w:rFonts w:ascii="宋体" w:hAnsi="宋体"/>
                <w:color w:val="000000"/>
                <w:sz w:val="21"/>
                <w:szCs w:val="21"/>
                <w:highlight w:val="none"/>
              </w:rPr>
            </w:pPr>
            <w:r>
              <w:rPr>
                <w:rFonts w:hint="eastAsia" w:ascii="宋体" w:hAnsi="宋体"/>
                <w:color w:val="000000"/>
                <w:sz w:val="21"/>
                <w:szCs w:val="21"/>
                <w:highlight w:val="none"/>
                <w:lang w:val="en-US" w:eastAsia="zh-CN"/>
              </w:rPr>
              <w:t>6</w:t>
            </w:r>
          </w:p>
        </w:tc>
      </w:tr>
      <w:tr w14:paraId="1C9E29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2" w:hRule="atLeast"/>
        </w:trPr>
        <w:tc>
          <w:tcPr>
            <w:tcW w:w="675" w:type="dxa"/>
            <w:vMerge w:val="continue"/>
            <w:vAlign w:val="center"/>
          </w:tcPr>
          <w:p w14:paraId="795FD15E">
            <w:pPr>
              <w:pStyle w:val="74"/>
              <w:widowControl w:val="0"/>
              <w:spacing w:line="360" w:lineRule="auto"/>
              <w:ind w:firstLine="420" w:firstLineChars="200"/>
              <w:jc w:val="center"/>
              <w:rPr>
                <w:rFonts w:hAnsi="宋体"/>
                <w:szCs w:val="21"/>
                <w:highlight w:val="none"/>
              </w:rPr>
            </w:pPr>
          </w:p>
        </w:tc>
        <w:tc>
          <w:tcPr>
            <w:tcW w:w="951" w:type="dxa"/>
            <w:vMerge w:val="continue"/>
            <w:vAlign w:val="center"/>
          </w:tcPr>
          <w:p w14:paraId="04C058C0">
            <w:pPr>
              <w:pStyle w:val="74"/>
              <w:widowControl w:val="0"/>
              <w:spacing w:line="240" w:lineRule="auto"/>
              <w:ind w:firstLine="0" w:firstLineChars="0"/>
              <w:jc w:val="center"/>
              <w:rPr>
                <w:rFonts w:hint="eastAsia" w:ascii="宋体" w:hAnsi="宋体" w:eastAsia="宋体" w:cs="宋体"/>
                <w:szCs w:val="21"/>
                <w:highlight w:val="none"/>
              </w:rPr>
            </w:pPr>
          </w:p>
        </w:tc>
        <w:tc>
          <w:tcPr>
            <w:tcW w:w="7226" w:type="dxa"/>
            <w:vAlign w:val="center"/>
          </w:tcPr>
          <w:p w14:paraId="1E7480EC">
            <w:pPr>
              <w:jc w:val="lef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3.内部拆卸检查各零部件情况，预更换煤锁上、下阀各1套。</w:t>
            </w:r>
          </w:p>
        </w:tc>
        <w:tc>
          <w:tcPr>
            <w:tcW w:w="718" w:type="dxa"/>
            <w:vAlign w:val="center"/>
          </w:tcPr>
          <w:p w14:paraId="5BEF4574">
            <w:pPr>
              <w:jc w:val="center"/>
              <w:rPr>
                <w:rFonts w:ascii="宋体" w:hAnsi="宋体"/>
                <w:color w:val="000000"/>
                <w:sz w:val="21"/>
                <w:szCs w:val="21"/>
                <w:highlight w:val="none"/>
              </w:rPr>
            </w:pPr>
            <w:r>
              <w:rPr>
                <w:rFonts w:hint="eastAsia" w:ascii="宋体" w:hAnsi="宋体"/>
                <w:color w:val="000000"/>
                <w:sz w:val="21"/>
                <w:szCs w:val="21"/>
                <w:highlight w:val="none"/>
              </w:rPr>
              <w:t>18</w:t>
            </w:r>
          </w:p>
        </w:tc>
      </w:tr>
      <w:tr w14:paraId="77A7A2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5" w:hRule="atLeast"/>
        </w:trPr>
        <w:tc>
          <w:tcPr>
            <w:tcW w:w="675" w:type="dxa"/>
            <w:vMerge w:val="continue"/>
            <w:vAlign w:val="center"/>
          </w:tcPr>
          <w:p w14:paraId="58AC462C">
            <w:pPr>
              <w:pStyle w:val="74"/>
              <w:widowControl w:val="0"/>
              <w:spacing w:line="360" w:lineRule="auto"/>
              <w:ind w:firstLine="420" w:firstLineChars="200"/>
              <w:jc w:val="center"/>
              <w:rPr>
                <w:rFonts w:hAnsi="宋体"/>
                <w:szCs w:val="21"/>
                <w:highlight w:val="none"/>
              </w:rPr>
            </w:pPr>
          </w:p>
        </w:tc>
        <w:tc>
          <w:tcPr>
            <w:tcW w:w="951" w:type="dxa"/>
            <w:vMerge w:val="continue"/>
            <w:vAlign w:val="center"/>
          </w:tcPr>
          <w:p w14:paraId="54802C17">
            <w:pPr>
              <w:pStyle w:val="74"/>
              <w:widowControl w:val="0"/>
              <w:spacing w:line="240" w:lineRule="auto"/>
              <w:ind w:firstLine="0" w:firstLineChars="0"/>
              <w:jc w:val="center"/>
              <w:rPr>
                <w:rFonts w:hint="eastAsia" w:ascii="宋体" w:hAnsi="宋体" w:eastAsia="宋体" w:cs="宋体"/>
                <w:szCs w:val="21"/>
                <w:highlight w:val="none"/>
              </w:rPr>
            </w:pPr>
          </w:p>
        </w:tc>
        <w:tc>
          <w:tcPr>
            <w:tcW w:w="7226" w:type="dxa"/>
            <w:vAlign w:val="center"/>
          </w:tcPr>
          <w:p w14:paraId="2C38E873">
            <w:pPr>
              <w:jc w:val="lef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4.对内支撑架进行检查，校正。</w:t>
            </w:r>
          </w:p>
        </w:tc>
        <w:tc>
          <w:tcPr>
            <w:tcW w:w="718" w:type="dxa"/>
            <w:vAlign w:val="center"/>
          </w:tcPr>
          <w:p w14:paraId="21896681">
            <w:pPr>
              <w:jc w:val="center"/>
              <w:rPr>
                <w:rFonts w:ascii="宋体" w:hAnsi="宋体"/>
                <w:color w:val="000000"/>
                <w:sz w:val="21"/>
                <w:szCs w:val="21"/>
                <w:highlight w:val="none"/>
              </w:rPr>
            </w:pPr>
            <w:r>
              <w:rPr>
                <w:rFonts w:hint="eastAsia" w:ascii="宋体" w:hAnsi="宋体"/>
                <w:color w:val="000000"/>
                <w:sz w:val="21"/>
                <w:szCs w:val="21"/>
                <w:highlight w:val="none"/>
              </w:rPr>
              <w:t>9</w:t>
            </w:r>
          </w:p>
        </w:tc>
      </w:tr>
      <w:tr w14:paraId="6BF20C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29" w:hRule="atLeast"/>
        </w:trPr>
        <w:tc>
          <w:tcPr>
            <w:tcW w:w="675" w:type="dxa"/>
            <w:vMerge w:val="continue"/>
            <w:vAlign w:val="center"/>
          </w:tcPr>
          <w:p w14:paraId="5F14A4FB">
            <w:pPr>
              <w:pStyle w:val="74"/>
              <w:widowControl w:val="0"/>
              <w:spacing w:line="360" w:lineRule="auto"/>
              <w:ind w:firstLine="420" w:firstLineChars="200"/>
              <w:jc w:val="center"/>
              <w:rPr>
                <w:rFonts w:hAnsi="宋体"/>
                <w:szCs w:val="21"/>
                <w:highlight w:val="none"/>
              </w:rPr>
            </w:pPr>
          </w:p>
        </w:tc>
        <w:tc>
          <w:tcPr>
            <w:tcW w:w="951" w:type="dxa"/>
            <w:vMerge w:val="continue"/>
            <w:vAlign w:val="center"/>
          </w:tcPr>
          <w:p w14:paraId="0DDF2636">
            <w:pPr>
              <w:pStyle w:val="74"/>
              <w:widowControl w:val="0"/>
              <w:spacing w:line="240" w:lineRule="auto"/>
              <w:ind w:firstLine="0" w:firstLineChars="0"/>
              <w:jc w:val="center"/>
              <w:rPr>
                <w:rFonts w:hint="eastAsia" w:ascii="宋体" w:hAnsi="宋体" w:eastAsia="宋体" w:cs="宋体"/>
                <w:szCs w:val="21"/>
                <w:highlight w:val="none"/>
              </w:rPr>
            </w:pPr>
          </w:p>
        </w:tc>
        <w:tc>
          <w:tcPr>
            <w:tcW w:w="7226" w:type="dxa"/>
            <w:vAlign w:val="center"/>
          </w:tcPr>
          <w:p w14:paraId="50C24BE6">
            <w:pPr>
              <w:jc w:val="lef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5.煤锁检查并测厚，缺陷修补。</w:t>
            </w:r>
          </w:p>
        </w:tc>
        <w:tc>
          <w:tcPr>
            <w:tcW w:w="718" w:type="dxa"/>
            <w:vAlign w:val="center"/>
          </w:tcPr>
          <w:p w14:paraId="2DF3A58E">
            <w:pPr>
              <w:jc w:val="center"/>
              <w:rPr>
                <w:rFonts w:ascii="宋体" w:hAnsi="宋体"/>
                <w:color w:val="000000"/>
                <w:sz w:val="21"/>
                <w:szCs w:val="21"/>
                <w:highlight w:val="none"/>
              </w:rPr>
            </w:pPr>
            <w:r>
              <w:rPr>
                <w:rFonts w:hint="eastAsia" w:ascii="宋体" w:hAnsi="宋体"/>
                <w:color w:val="000000"/>
                <w:sz w:val="21"/>
                <w:szCs w:val="21"/>
                <w:highlight w:val="none"/>
              </w:rPr>
              <w:t>3</w:t>
            </w:r>
          </w:p>
        </w:tc>
      </w:tr>
      <w:tr w14:paraId="2611EE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3" w:hRule="atLeast"/>
        </w:trPr>
        <w:tc>
          <w:tcPr>
            <w:tcW w:w="675" w:type="dxa"/>
            <w:vMerge w:val="continue"/>
            <w:vAlign w:val="center"/>
          </w:tcPr>
          <w:p w14:paraId="58B44FB0">
            <w:pPr>
              <w:pStyle w:val="74"/>
              <w:widowControl w:val="0"/>
              <w:spacing w:line="360" w:lineRule="auto"/>
              <w:ind w:firstLine="0" w:firstLineChars="0"/>
              <w:jc w:val="center"/>
              <w:rPr>
                <w:rFonts w:hAnsi="宋体"/>
                <w:szCs w:val="21"/>
                <w:highlight w:val="none"/>
              </w:rPr>
            </w:pPr>
          </w:p>
        </w:tc>
        <w:tc>
          <w:tcPr>
            <w:tcW w:w="951" w:type="dxa"/>
            <w:vMerge w:val="continue"/>
            <w:vAlign w:val="center"/>
          </w:tcPr>
          <w:p w14:paraId="5C2EE65F">
            <w:pPr>
              <w:pStyle w:val="74"/>
              <w:widowControl w:val="0"/>
              <w:spacing w:line="240" w:lineRule="auto"/>
              <w:ind w:firstLine="0" w:firstLineChars="0"/>
              <w:jc w:val="center"/>
              <w:rPr>
                <w:rFonts w:hint="eastAsia" w:ascii="宋体" w:hAnsi="宋体" w:eastAsia="宋体" w:cs="宋体"/>
                <w:szCs w:val="21"/>
                <w:highlight w:val="none"/>
              </w:rPr>
            </w:pPr>
          </w:p>
        </w:tc>
        <w:tc>
          <w:tcPr>
            <w:tcW w:w="7226" w:type="dxa"/>
            <w:vAlign w:val="center"/>
          </w:tcPr>
          <w:p w14:paraId="3E9169CE">
            <w:pPr>
              <w:jc w:val="left"/>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6.解体内件，更换内摆杆1件、摇臂轴1件、填料轴承、垫环等各1件。</w:t>
            </w:r>
          </w:p>
        </w:tc>
        <w:tc>
          <w:tcPr>
            <w:tcW w:w="718" w:type="dxa"/>
            <w:vAlign w:val="center"/>
          </w:tcPr>
          <w:p w14:paraId="213A5071">
            <w:pPr>
              <w:jc w:val="center"/>
              <w:rPr>
                <w:rFonts w:ascii="宋体" w:hAnsi="宋体"/>
                <w:color w:val="000000"/>
                <w:sz w:val="21"/>
                <w:szCs w:val="21"/>
                <w:highlight w:val="none"/>
              </w:rPr>
            </w:pPr>
            <w:r>
              <w:rPr>
                <w:rFonts w:hint="eastAsia" w:ascii="宋体" w:hAnsi="宋体"/>
                <w:color w:val="000000"/>
                <w:sz w:val="21"/>
                <w:szCs w:val="21"/>
                <w:highlight w:val="none"/>
                <w:lang w:val="en-US" w:eastAsia="zh-CN"/>
              </w:rPr>
              <w:t>10</w:t>
            </w:r>
          </w:p>
        </w:tc>
      </w:tr>
      <w:tr w14:paraId="180C19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3" w:hRule="atLeast"/>
        </w:trPr>
        <w:tc>
          <w:tcPr>
            <w:tcW w:w="675" w:type="dxa"/>
            <w:vMerge w:val="restart"/>
            <w:vAlign w:val="center"/>
          </w:tcPr>
          <w:p w14:paraId="073AB526">
            <w:pPr>
              <w:pStyle w:val="74"/>
              <w:widowControl w:val="0"/>
              <w:spacing w:line="360" w:lineRule="auto"/>
              <w:ind w:firstLine="0" w:firstLineChars="0"/>
              <w:jc w:val="center"/>
              <w:rPr>
                <w:rFonts w:hAnsi="宋体"/>
                <w:szCs w:val="21"/>
                <w:highlight w:val="none"/>
              </w:rPr>
            </w:pPr>
            <w:r>
              <w:rPr>
                <w:rFonts w:hint="eastAsia" w:hAnsi="宋体"/>
                <w:szCs w:val="21"/>
                <w:highlight w:val="none"/>
              </w:rPr>
              <w:t>3</w:t>
            </w:r>
          </w:p>
        </w:tc>
        <w:tc>
          <w:tcPr>
            <w:tcW w:w="951" w:type="dxa"/>
            <w:vMerge w:val="restart"/>
            <w:vAlign w:val="center"/>
          </w:tcPr>
          <w:p w14:paraId="52B83589">
            <w:pPr>
              <w:pStyle w:val="74"/>
              <w:widowControl w:val="0"/>
              <w:spacing w:line="240" w:lineRule="auto"/>
              <w:ind w:firstLine="0" w:firstLineChars="0"/>
              <w:jc w:val="center"/>
              <w:rPr>
                <w:rFonts w:hint="eastAsia" w:ascii="宋体" w:hAnsi="宋体" w:eastAsia="宋体" w:cs="宋体"/>
                <w:szCs w:val="21"/>
                <w:highlight w:val="none"/>
              </w:rPr>
            </w:pPr>
            <w:r>
              <w:rPr>
                <w:rFonts w:hint="eastAsia" w:hAnsi="宋体"/>
                <w:szCs w:val="21"/>
                <w:highlight w:val="none"/>
              </w:rPr>
              <w:t>灰锁解</w:t>
            </w:r>
            <w:r>
              <w:rPr>
                <w:rFonts w:hint="eastAsia" w:hAnsi="宋体"/>
                <w:szCs w:val="21"/>
                <w:highlight w:val="none"/>
                <w:lang w:val="en-US" w:eastAsia="zh-CN"/>
              </w:rPr>
              <w:t xml:space="preserve">   </w:t>
            </w:r>
            <w:r>
              <w:rPr>
                <w:rFonts w:hint="eastAsia" w:hAnsi="宋体"/>
                <w:szCs w:val="21"/>
                <w:highlight w:val="none"/>
              </w:rPr>
              <w:t>体大修</w:t>
            </w:r>
          </w:p>
        </w:tc>
        <w:tc>
          <w:tcPr>
            <w:tcW w:w="7226" w:type="dxa"/>
            <w:vAlign w:val="center"/>
          </w:tcPr>
          <w:p w14:paraId="70B3468B">
            <w:pPr>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1.拆三层灰锁周围的篦子板、钢梁，将灰锁吊装至二层的检修架上。</w:t>
            </w:r>
          </w:p>
        </w:tc>
        <w:tc>
          <w:tcPr>
            <w:tcW w:w="718" w:type="dxa"/>
            <w:vAlign w:val="center"/>
          </w:tcPr>
          <w:p w14:paraId="491CA86F">
            <w:pPr>
              <w:jc w:val="center"/>
              <w:rPr>
                <w:rFonts w:ascii="宋体" w:hAnsi="宋体"/>
                <w:color w:val="000000"/>
                <w:sz w:val="21"/>
                <w:szCs w:val="21"/>
                <w:highlight w:val="none"/>
              </w:rPr>
            </w:pPr>
            <w:r>
              <w:rPr>
                <w:rFonts w:hint="eastAsia" w:ascii="宋体" w:hAnsi="宋体"/>
                <w:color w:val="000000"/>
                <w:sz w:val="21"/>
                <w:szCs w:val="21"/>
                <w:highlight w:val="none"/>
                <w:lang w:val="en-US" w:eastAsia="zh-CN"/>
              </w:rPr>
              <w:t>18</w:t>
            </w:r>
          </w:p>
        </w:tc>
      </w:tr>
      <w:tr w14:paraId="769702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1" w:hRule="atLeast"/>
        </w:trPr>
        <w:tc>
          <w:tcPr>
            <w:tcW w:w="675" w:type="dxa"/>
            <w:vMerge w:val="continue"/>
            <w:vAlign w:val="center"/>
          </w:tcPr>
          <w:p w14:paraId="2BEE4726">
            <w:pPr>
              <w:pStyle w:val="74"/>
              <w:widowControl w:val="0"/>
              <w:spacing w:line="360" w:lineRule="auto"/>
              <w:ind w:firstLine="0" w:firstLineChars="0"/>
              <w:jc w:val="center"/>
              <w:rPr>
                <w:rFonts w:hAnsi="宋体"/>
                <w:szCs w:val="21"/>
                <w:highlight w:val="none"/>
              </w:rPr>
            </w:pPr>
          </w:p>
        </w:tc>
        <w:tc>
          <w:tcPr>
            <w:tcW w:w="951" w:type="dxa"/>
            <w:vMerge w:val="continue"/>
            <w:vAlign w:val="center"/>
          </w:tcPr>
          <w:p w14:paraId="4986F462">
            <w:pPr>
              <w:pStyle w:val="74"/>
              <w:widowControl w:val="0"/>
              <w:spacing w:line="360" w:lineRule="auto"/>
              <w:ind w:firstLine="0" w:firstLineChars="0"/>
              <w:rPr>
                <w:rFonts w:hint="eastAsia" w:ascii="宋体" w:hAnsi="宋体" w:eastAsia="宋体" w:cs="宋体"/>
                <w:szCs w:val="21"/>
                <w:highlight w:val="none"/>
              </w:rPr>
            </w:pPr>
          </w:p>
        </w:tc>
        <w:tc>
          <w:tcPr>
            <w:tcW w:w="7226" w:type="dxa"/>
            <w:vAlign w:val="center"/>
          </w:tcPr>
          <w:p w14:paraId="6B522E00">
            <w:pPr>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2检查液压润滑系统排查，消缺。</w:t>
            </w:r>
          </w:p>
        </w:tc>
        <w:tc>
          <w:tcPr>
            <w:tcW w:w="718" w:type="dxa"/>
            <w:vAlign w:val="center"/>
          </w:tcPr>
          <w:p w14:paraId="12DA3A70">
            <w:pPr>
              <w:jc w:val="center"/>
              <w:rPr>
                <w:rFonts w:ascii="宋体" w:hAnsi="宋体"/>
                <w:color w:val="000000"/>
                <w:sz w:val="21"/>
                <w:szCs w:val="21"/>
                <w:highlight w:val="none"/>
              </w:rPr>
            </w:pPr>
            <w:r>
              <w:rPr>
                <w:rFonts w:hint="eastAsia" w:ascii="宋体" w:hAnsi="宋体"/>
                <w:color w:val="000000"/>
                <w:sz w:val="21"/>
                <w:szCs w:val="21"/>
                <w:highlight w:val="none"/>
              </w:rPr>
              <w:t>9</w:t>
            </w:r>
          </w:p>
        </w:tc>
      </w:tr>
      <w:tr w14:paraId="27D688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86" w:hRule="atLeast"/>
        </w:trPr>
        <w:tc>
          <w:tcPr>
            <w:tcW w:w="675" w:type="dxa"/>
            <w:vMerge w:val="continue"/>
            <w:vAlign w:val="center"/>
          </w:tcPr>
          <w:p w14:paraId="370BCDF5">
            <w:pPr>
              <w:pStyle w:val="74"/>
              <w:widowControl w:val="0"/>
              <w:spacing w:line="360" w:lineRule="auto"/>
              <w:ind w:firstLine="0" w:firstLineChars="0"/>
              <w:jc w:val="center"/>
              <w:rPr>
                <w:rFonts w:hAnsi="宋体"/>
                <w:szCs w:val="21"/>
                <w:highlight w:val="none"/>
              </w:rPr>
            </w:pPr>
          </w:p>
        </w:tc>
        <w:tc>
          <w:tcPr>
            <w:tcW w:w="951" w:type="dxa"/>
            <w:vMerge w:val="continue"/>
            <w:vAlign w:val="center"/>
          </w:tcPr>
          <w:p w14:paraId="21A13CBE">
            <w:pPr>
              <w:pStyle w:val="74"/>
              <w:widowControl w:val="0"/>
              <w:spacing w:line="360" w:lineRule="auto"/>
              <w:ind w:firstLine="0" w:firstLineChars="0"/>
              <w:rPr>
                <w:rFonts w:hint="eastAsia" w:ascii="宋体" w:hAnsi="宋体" w:eastAsia="宋体" w:cs="宋体"/>
                <w:szCs w:val="21"/>
                <w:highlight w:val="none"/>
              </w:rPr>
            </w:pPr>
          </w:p>
        </w:tc>
        <w:tc>
          <w:tcPr>
            <w:tcW w:w="7226" w:type="dxa"/>
            <w:vAlign w:val="center"/>
          </w:tcPr>
          <w:p w14:paraId="1F23D0AE">
            <w:pPr>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3.内部拆卸检查各零部件情况，预更换灰锁上、下阀各1套。</w:t>
            </w:r>
          </w:p>
        </w:tc>
        <w:tc>
          <w:tcPr>
            <w:tcW w:w="718" w:type="dxa"/>
            <w:vAlign w:val="center"/>
          </w:tcPr>
          <w:p w14:paraId="70579590">
            <w:pPr>
              <w:jc w:val="center"/>
              <w:rPr>
                <w:rFonts w:ascii="宋体" w:hAnsi="宋体"/>
                <w:color w:val="000000"/>
                <w:sz w:val="21"/>
                <w:szCs w:val="21"/>
                <w:highlight w:val="none"/>
              </w:rPr>
            </w:pPr>
            <w:r>
              <w:rPr>
                <w:rFonts w:hint="eastAsia" w:ascii="宋体" w:hAnsi="宋体"/>
                <w:color w:val="000000"/>
                <w:sz w:val="21"/>
                <w:szCs w:val="21"/>
                <w:highlight w:val="none"/>
              </w:rPr>
              <w:t>18</w:t>
            </w:r>
          </w:p>
        </w:tc>
      </w:tr>
      <w:tr w14:paraId="0FDB4E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675" w:type="dxa"/>
            <w:vMerge w:val="continue"/>
            <w:vAlign w:val="center"/>
          </w:tcPr>
          <w:p w14:paraId="405E688E">
            <w:pPr>
              <w:pStyle w:val="74"/>
              <w:widowControl w:val="0"/>
              <w:spacing w:line="360" w:lineRule="auto"/>
              <w:ind w:firstLine="0" w:firstLineChars="0"/>
              <w:jc w:val="center"/>
              <w:rPr>
                <w:rFonts w:hAnsi="宋体"/>
                <w:szCs w:val="21"/>
                <w:highlight w:val="yellow"/>
              </w:rPr>
            </w:pPr>
          </w:p>
        </w:tc>
        <w:tc>
          <w:tcPr>
            <w:tcW w:w="951" w:type="dxa"/>
            <w:vMerge w:val="continue"/>
            <w:vAlign w:val="center"/>
          </w:tcPr>
          <w:p w14:paraId="53A566D4">
            <w:pPr>
              <w:pStyle w:val="74"/>
              <w:widowControl w:val="0"/>
              <w:spacing w:line="360" w:lineRule="auto"/>
              <w:ind w:firstLine="0" w:firstLineChars="0"/>
              <w:rPr>
                <w:rFonts w:hint="eastAsia" w:ascii="宋体" w:hAnsi="宋体" w:eastAsia="宋体" w:cs="宋体"/>
                <w:szCs w:val="21"/>
                <w:highlight w:val="yellow"/>
              </w:rPr>
            </w:pPr>
          </w:p>
        </w:tc>
        <w:tc>
          <w:tcPr>
            <w:tcW w:w="7226" w:type="dxa"/>
            <w:vAlign w:val="center"/>
          </w:tcPr>
          <w:p w14:paraId="32612884">
            <w:pPr>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4.对内支撑架进行检查，校正。</w:t>
            </w:r>
          </w:p>
        </w:tc>
        <w:tc>
          <w:tcPr>
            <w:tcW w:w="718" w:type="dxa"/>
            <w:vAlign w:val="center"/>
          </w:tcPr>
          <w:p w14:paraId="5DECED43">
            <w:pPr>
              <w:jc w:val="center"/>
              <w:rPr>
                <w:rFonts w:ascii="宋体" w:hAnsi="宋体"/>
                <w:color w:val="000000"/>
                <w:sz w:val="21"/>
                <w:szCs w:val="21"/>
                <w:highlight w:val="none"/>
              </w:rPr>
            </w:pPr>
            <w:r>
              <w:rPr>
                <w:rFonts w:hint="eastAsia" w:ascii="宋体" w:hAnsi="宋体"/>
                <w:color w:val="000000"/>
                <w:sz w:val="21"/>
                <w:szCs w:val="21"/>
                <w:highlight w:val="none"/>
              </w:rPr>
              <w:t>9</w:t>
            </w:r>
          </w:p>
        </w:tc>
      </w:tr>
      <w:tr w14:paraId="588824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8" w:hRule="atLeast"/>
        </w:trPr>
        <w:tc>
          <w:tcPr>
            <w:tcW w:w="675" w:type="dxa"/>
            <w:vMerge w:val="continue"/>
            <w:vAlign w:val="center"/>
          </w:tcPr>
          <w:p w14:paraId="6656254D">
            <w:pPr>
              <w:pStyle w:val="74"/>
              <w:widowControl w:val="0"/>
              <w:spacing w:line="360" w:lineRule="auto"/>
              <w:ind w:firstLine="0" w:firstLineChars="0"/>
              <w:jc w:val="center"/>
              <w:rPr>
                <w:rFonts w:hAnsi="宋体"/>
                <w:szCs w:val="21"/>
                <w:highlight w:val="yellow"/>
              </w:rPr>
            </w:pPr>
          </w:p>
        </w:tc>
        <w:tc>
          <w:tcPr>
            <w:tcW w:w="951" w:type="dxa"/>
            <w:vMerge w:val="continue"/>
            <w:vAlign w:val="center"/>
          </w:tcPr>
          <w:p w14:paraId="11526511">
            <w:pPr>
              <w:pStyle w:val="74"/>
              <w:widowControl w:val="0"/>
              <w:spacing w:line="360" w:lineRule="auto"/>
              <w:ind w:firstLine="0" w:firstLineChars="0"/>
              <w:rPr>
                <w:rFonts w:hint="eastAsia" w:ascii="宋体" w:hAnsi="宋体" w:eastAsia="宋体" w:cs="宋体"/>
                <w:szCs w:val="21"/>
                <w:highlight w:val="yellow"/>
              </w:rPr>
            </w:pPr>
          </w:p>
        </w:tc>
        <w:tc>
          <w:tcPr>
            <w:tcW w:w="7226" w:type="dxa"/>
            <w:vAlign w:val="center"/>
          </w:tcPr>
          <w:p w14:paraId="5F75CB1E">
            <w:pPr>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5.检查并测厚，缺陷修补。</w:t>
            </w:r>
          </w:p>
        </w:tc>
        <w:tc>
          <w:tcPr>
            <w:tcW w:w="718" w:type="dxa"/>
            <w:vAlign w:val="center"/>
          </w:tcPr>
          <w:p w14:paraId="2E3E5ADB">
            <w:pPr>
              <w:jc w:val="center"/>
              <w:rPr>
                <w:rFonts w:hint="eastAsia" w:ascii="宋体" w:hAnsi="宋体" w:eastAsia="宋体" w:cs="Times New Roman"/>
                <w:color w:val="000000"/>
                <w:kern w:val="2"/>
                <w:sz w:val="21"/>
                <w:szCs w:val="21"/>
                <w:highlight w:val="none"/>
                <w:lang w:val="en-US" w:eastAsia="zh-CN" w:bidi="ar-SA"/>
              </w:rPr>
            </w:pPr>
            <w:r>
              <w:rPr>
                <w:rFonts w:hint="eastAsia" w:ascii="宋体" w:hAnsi="宋体"/>
                <w:color w:val="000000"/>
                <w:sz w:val="21"/>
                <w:szCs w:val="21"/>
                <w:highlight w:val="none"/>
              </w:rPr>
              <w:t>3</w:t>
            </w:r>
          </w:p>
        </w:tc>
      </w:tr>
      <w:tr w14:paraId="58D45D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85" w:hRule="atLeast"/>
        </w:trPr>
        <w:tc>
          <w:tcPr>
            <w:tcW w:w="675" w:type="dxa"/>
            <w:vMerge w:val="continue"/>
            <w:vAlign w:val="center"/>
          </w:tcPr>
          <w:p w14:paraId="70DF636E">
            <w:pPr>
              <w:pStyle w:val="74"/>
              <w:widowControl w:val="0"/>
              <w:spacing w:line="360" w:lineRule="auto"/>
              <w:ind w:firstLine="0" w:firstLineChars="0"/>
              <w:jc w:val="center"/>
              <w:rPr>
                <w:rFonts w:hAnsi="宋体"/>
                <w:szCs w:val="21"/>
                <w:highlight w:val="yellow"/>
              </w:rPr>
            </w:pPr>
          </w:p>
        </w:tc>
        <w:tc>
          <w:tcPr>
            <w:tcW w:w="951" w:type="dxa"/>
            <w:vMerge w:val="continue"/>
            <w:vAlign w:val="center"/>
          </w:tcPr>
          <w:p w14:paraId="241437F9">
            <w:pPr>
              <w:pStyle w:val="74"/>
              <w:widowControl w:val="0"/>
              <w:spacing w:line="360" w:lineRule="auto"/>
              <w:ind w:firstLine="0" w:firstLineChars="0"/>
              <w:rPr>
                <w:rFonts w:hint="eastAsia" w:ascii="宋体" w:hAnsi="宋体" w:eastAsia="宋体" w:cs="宋体"/>
                <w:szCs w:val="21"/>
                <w:highlight w:val="yellow"/>
              </w:rPr>
            </w:pPr>
          </w:p>
        </w:tc>
        <w:tc>
          <w:tcPr>
            <w:tcW w:w="7226" w:type="dxa"/>
            <w:vAlign w:val="center"/>
          </w:tcPr>
          <w:p w14:paraId="103F0DB0">
            <w:pPr>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6.解体内件检修更换內摆杆2件、摇臂轴2件、填料轴承、垫环等各2件。</w:t>
            </w:r>
          </w:p>
        </w:tc>
        <w:tc>
          <w:tcPr>
            <w:tcW w:w="718" w:type="dxa"/>
            <w:vAlign w:val="center"/>
          </w:tcPr>
          <w:p w14:paraId="7EC82A3F">
            <w:pPr>
              <w:jc w:val="center"/>
              <w:rPr>
                <w:rFonts w:ascii="宋体" w:hAnsi="宋体" w:eastAsia="宋体" w:cs="Times New Roman"/>
                <w:color w:val="000000"/>
                <w:kern w:val="2"/>
                <w:sz w:val="21"/>
                <w:szCs w:val="21"/>
                <w:highlight w:val="none"/>
                <w:lang w:val="en-US" w:eastAsia="zh-CN" w:bidi="ar-SA"/>
              </w:rPr>
            </w:pPr>
            <w:r>
              <w:rPr>
                <w:rFonts w:hint="eastAsia" w:ascii="宋体" w:hAnsi="宋体"/>
                <w:color w:val="000000"/>
                <w:sz w:val="21"/>
                <w:szCs w:val="21"/>
                <w:highlight w:val="none"/>
              </w:rPr>
              <w:t>18</w:t>
            </w:r>
          </w:p>
        </w:tc>
      </w:tr>
      <w:tr w14:paraId="28ACF9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61" w:hRule="atLeast"/>
        </w:trPr>
        <w:tc>
          <w:tcPr>
            <w:tcW w:w="675" w:type="dxa"/>
            <w:vMerge w:val="restart"/>
            <w:vAlign w:val="center"/>
          </w:tcPr>
          <w:p w14:paraId="70AAAFCA">
            <w:pPr>
              <w:pStyle w:val="74"/>
              <w:widowControl w:val="0"/>
              <w:spacing w:line="360" w:lineRule="auto"/>
              <w:ind w:firstLine="0" w:firstLineChars="0"/>
              <w:jc w:val="center"/>
              <w:rPr>
                <w:rFonts w:hAnsi="宋体"/>
                <w:szCs w:val="21"/>
                <w:highlight w:val="none"/>
              </w:rPr>
            </w:pPr>
            <w:r>
              <w:rPr>
                <w:rFonts w:hint="eastAsia" w:hAnsi="宋体"/>
                <w:szCs w:val="21"/>
                <w:highlight w:val="none"/>
              </w:rPr>
              <w:t>4</w:t>
            </w:r>
          </w:p>
        </w:tc>
        <w:tc>
          <w:tcPr>
            <w:tcW w:w="951" w:type="dxa"/>
            <w:vMerge w:val="restart"/>
            <w:vAlign w:val="center"/>
          </w:tcPr>
          <w:p w14:paraId="67C8A21B">
            <w:pPr>
              <w:pStyle w:val="74"/>
              <w:widowControl w:val="0"/>
              <w:spacing w:line="240" w:lineRule="auto"/>
              <w:ind w:firstLine="0" w:firstLineChars="0"/>
              <w:jc w:val="center"/>
              <w:rPr>
                <w:rFonts w:hAnsi="宋体"/>
                <w:szCs w:val="21"/>
                <w:highlight w:val="none"/>
              </w:rPr>
            </w:pPr>
            <w:r>
              <w:rPr>
                <w:rFonts w:hint="eastAsia" w:hAnsi="宋体"/>
                <w:szCs w:val="21"/>
                <w:highlight w:val="none"/>
              </w:rPr>
              <w:t>洗涤冷却器大修</w:t>
            </w:r>
          </w:p>
        </w:tc>
        <w:tc>
          <w:tcPr>
            <w:tcW w:w="7226" w:type="dxa"/>
            <w:vAlign w:val="center"/>
          </w:tcPr>
          <w:p w14:paraId="2E324B8E">
            <w:pPr>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1.拆除洗涤冷却器的盲法兰盖及喷水环（或洗涤冷却器刮刀）以及与之相接的煤气水管线或液压油管线。</w:t>
            </w:r>
          </w:p>
        </w:tc>
        <w:tc>
          <w:tcPr>
            <w:tcW w:w="718" w:type="dxa"/>
            <w:vAlign w:val="center"/>
          </w:tcPr>
          <w:p w14:paraId="48FBB630">
            <w:pPr>
              <w:jc w:val="center"/>
              <w:rPr>
                <w:rFonts w:hint="default" w:ascii="宋体" w:hAnsi="宋体" w:eastAsia="宋体"/>
                <w:color w:val="000000"/>
                <w:sz w:val="21"/>
                <w:szCs w:val="21"/>
                <w:highlight w:val="none"/>
                <w:lang w:val="en-US" w:eastAsia="zh-CN"/>
              </w:rPr>
            </w:pPr>
            <w:r>
              <w:rPr>
                <w:rFonts w:hint="eastAsia" w:ascii="宋体" w:hAnsi="宋体"/>
                <w:color w:val="000000"/>
                <w:sz w:val="21"/>
                <w:szCs w:val="21"/>
                <w:highlight w:val="none"/>
                <w:lang w:val="en-US" w:eastAsia="zh-CN"/>
              </w:rPr>
              <w:t>10</w:t>
            </w:r>
          </w:p>
        </w:tc>
      </w:tr>
      <w:tr w14:paraId="40518B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26" w:hRule="atLeast"/>
        </w:trPr>
        <w:tc>
          <w:tcPr>
            <w:tcW w:w="675" w:type="dxa"/>
            <w:vMerge w:val="continue"/>
            <w:vAlign w:val="center"/>
          </w:tcPr>
          <w:p w14:paraId="3D0C251D">
            <w:pPr>
              <w:pStyle w:val="74"/>
              <w:widowControl w:val="0"/>
              <w:spacing w:line="360" w:lineRule="auto"/>
              <w:ind w:firstLine="0" w:firstLineChars="0"/>
              <w:jc w:val="center"/>
              <w:rPr>
                <w:rFonts w:hAnsi="宋体"/>
                <w:szCs w:val="21"/>
                <w:highlight w:val="none"/>
              </w:rPr>
            </w:pPr>
          </w:p>
        </w:tc>
        <w:tc>
          <w:tcPr>
            <w:tcW w:w="951" w:type="dxa"/>
            <w:vMerge w:val="continue"/>
            <w:vAlign w:val="center"/>
          </w:tcPr>
          <w:p w14:paraId="4F436FC7">
            <w:pPr>
              <w:pStyle w:val="74"/>
              <w:widowControl w:val="0"/>
              <w:spacing w:line="240" w:lineRule="auto"/>
              <w:ind w:firstLine="0" w:firstLineChars="0"/>
              <w:jc w:val="center"/>
              <w:rPr>
                <w:rFonts w:hAnsi="宋体"/>
                <w:szCs w:val="21"/>
                <w:highlight w:val="none"/>
              </w:rPr>
            </w:pPr>
          </w:p>
        </w:tc>
        <w:tc>
          <w:tcPr>
            <w:tcW w:w="7226" w:type="dxa"/>
            <w:vAlign w:val="center"/>
          </w:tcPr>
          <w:p w14:paraId="2B46204E">
            <w:pPr>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2.清理洗涤冷却器内部结焦并清理至渣池。</w:t>
            </w:r>
          </w:p>
        </w:tc>
        <w:tc>
          <w:tcPr>
            <w:tcW w:w="718" w:type="dxa"/>
            <w:vAlign w:val="center"/>
          </w:tcPr>
          <w:p w14:paraId="7DCBD5F1">
            <w:pPr>
              <w:jc w:val="center"/>
              <w:rPr>
                <w:rFonts w:hint="default" w:ascii="宋体" w:hAnsi="宋体" w:eastAsia="宋体"/>
                <w:color w:val="000000"/>
                <w:sz w:val="21"/>
                <w:szCs w:val="21"/>
                <w:highlight w:val="none"/>
                <w:lang w:val="en-US" w:eastAsia="zh-CN"/>
              </w:rPr>
            </w:pPr>
            <w:r>
              <w:rPr>
                <w:rFonts w:hint="eastAsia" w:ascii="宋体" w:hAnsi="宋体"/>
                <w:color w:val="000000"/>
                <w:sz w:val="21"/>
                <w:szCs w:val="21"/>
                <w:highlight w:val="none"/>
                <w:lang w:val="en-US" w:eastAsia="zh-CN"/>
              </w:rPr>
              <w:t>10</w:t>
            </w:r>
          </w:p>
        </w:tc>
      </w:tr>
      <w:tr w14:paraId="2FF0CC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25" w:hRule="atLeast"/>
        </w:trPr>
        <w:tc>
          <w:tcPr>
            <w:tcW w:w="675" w:type="dxa"/>
            <w:vMerge w:val="continue"/>
            <w:vAlign w:val="center"/>
          </w:tcPr>
          <w:p w14:paraId="3BF6C0BC">
            <w:pPr>
              <w:pStyle w:val="74"/>
              <w:widowControl w:val="0"/>
              <w:spacing w:line="360" w:lineRule="auto"/>
              <w:ind w:firstLine="0" w:firstLineChars="0"/>
              <w:jc w:val="center"/>
              <w:rPr>
                <w:rFonts w:hAnsi="宋体"/>
                <w:szCs w:val="21"/>
                <w:highlight w:val="none"/>
              </w:rPr>
            </w:pPr>
          </w:p>
        </w:tc>
        <w:tc>
          <w:tcPr>
            <w:tcW w:w="951" w:type="dxa"/>
            <w:vMerge w:val="continue"/>
            <w:vAlign w:val="center"/>
          </w:tcPr>
          <w:p w14:paraId="3B60EF18">
            <w:pPr>
              <w:pStyle w:val="74"/>
              <w:widowControl w:val="0"/>
              <w:spacing w:line="240" w:lineRule="auto"/>
              <w:ind w:firstLine="0" w:firstLineChars="0"/>
              <w:jc w:val="center"/>
              <w:rPr>
                <w:rFonts w:hAnsi="宋体"/>
                <w:szCs w:val="21"/>
                <w:highlight w:val="none"/>
              </w:rPr>
            </w:pPr>
          </w:p>
        </w:tc>
        <w:tc>
          <w:tcPr>
            <w:tcW w:w="7226" w:type="dxa"/>
            <w:vAlign w:val="center"/>
          </w:tcPr>
          <w:p w14:paraId="251D399A">
            <w:pPr>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3.检查洗涤冷却器刮刀的所有零部件，并更换磨损、损坏的零部件。</w:t>
            </w:r>
          </w:p>
        </w:tc>
        <w:tc>
          <w:tcPr>
            <w:tcW w:w="718" w:type="dxa"/>
            <w:vAlign w:val="center"/>
          </w:tcPr>
          <w:p w14:paraId="4C0F4A1D">
            <w:pPr>
              <w:jc w:val="center"/>
              <w:rPr>
                <w:rFonts w:hint="eastAsia" w:ascii="宋体" w:hAnsi="宋体" w:eastAsia="宋体"/>
                <w:color w:val="000000"/>
                <w:sz w:val="21"/>
                <w:szCs w:val="21"/>
                <w:highlight w:val="none"/>
                <w:lang w:eastAsia="zh-CN"/>
              </w:rPr>
            </w:pPr>
            <w:r>
              <w:rPr>
                <w:rFonts w:hint="eastAsia" w:ascii="宋体" w:hAnsi="宋体"/>
                <w:color w:val="000000"/>
                <w:sz w:val="21"/>
                <w:szCs w:val="21"/>
                <w:highlight w:val="none"/>
                <w:lang w:val="en-US" w:eastAsia="zh-CN"/>
              </w:rPr>
              <w:t>9</w:t>
            </w:r>
          </w:p>
        </w:tc>
      </w:tr>
      <w:tr w14:paraId="40DD16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0" w:hRule="atLeast"/>
        </w:trPr>
        <w:tc>
          <w:tcPr>
            <w:tcW w:w="675" w:type="dxa"/>
            <w:vMerge w:val="continue"/>
            <w:vAlign w:val="center"/>
          </w:tcPr>
          <w:p w14:paraId="782A9EAB">
            <w:pPr>
              <w:pStyle w:val="74"/>
              <w:widowControl w:val="0"/>
              <w:spacing w:line="360" w:lineRule="auto"/>
              <w:ind w:firstLine="0" w:firstLineChars="0"/>
              <w:jc w:val="center"/>
              <w:rPr>
                <w:rFonts w:hAnsi="宋体"/>
                <w:szCs w:val="21"/>
                <w:highlight w:val="none"/>
              </w:rPr>
            </w:pPr>
          </w:p>
        </w:tc>
        <w:tc>
          <w:tcPr>
            <w:tcW w:w="951" w:type="dxa"/>
            <w:vMerge w:val="continue"/>
            <w:vAlign w:val="center"/>
          </w:tcPr>
          <w:p w14:paraId="0066B327">
            <w:pPr>
              <w:pStyle w:val="74"/>
              <w:widowControl w:val="0"/>
              <w:spacing w:line="240" w:lineRule="auto"/>
              <w:ind w:firstLine="0" w:firstLineChars="0"/>
              <w:jc w:val="center"/>
              <w:rPr>
                <w:rFonts w:hAnsi="宋体"/>
                <w:szCs w:val="21"/>
                <w:highlight w:val="none"/>
              </w:rPr>
            </w:pPr>
          </w:p>
        </w:tc>
        <w:tc>
          <w:tcPr>
            <w:tcW w:w="7226" w:type="dxa"/>
            <w:vAlign w:val="center"/>
          </w:tcPr>
          <w:p w14:paraId="72F06BA6">
            <w:pPr>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4.拆开洗涤冷却器去废热锅炉集水槽的DN250的煤气水管线，清理管道中积存的焦油和煤粉，清理完成后恢复煤气水管线。</w:t>
            </w:r>
          </w:p>
        </w:tc>
        <w:tc>
          <w:tcPr>
            <w:tcW w:w="718" w:type="dxa"/>
            <w:vAlign w:val="center"/>
          </w:tcPr>
          <w:p w14:paraId="1F84BAF8">
            <w:pPr>
              <w:jc w:val="center"/>
              <w:rPr>
                <w:rFonts w:hint="default" w:ascii="宋体" w:hAnsi="宋体" w:eastAsia="宋体"/>
                <w:color w:val="000000"/>
                <w:sz w:val="21"/>
                <w:szCs w:val="21"/>
                <w:highlight w:val="none"/>
                <w:lang w:val="en-US" w:eastAsia="zh-CN"/>
              </w:rPr>
            </w:pPr>
            <w:r>
              <w:rPr>
                <w:rFonts w:hint="eastAsia" w:ascii="宋体" w:hAnsi="宋体"/>
                <w:color w:val="000000"/>
                <w:sz w:val="21"/>
                <w:szCs w:val="21"/>
                <w:highlight w:val="none"/>
                <w:lang w:val="en-US" w:eastAsia="zh-CN"/>
              </w:rPr>
              <w:t>18</w:t>
            </w:r>
          </w:p>
        </w:tc>
      </w:tr>
      <w:tr w14:paraId="162B99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92" w:hRule="atLeast"/>
        </w:trPr>
        <w:tc>
          <w:tcPr>
            <w:tcW w:w="675" w:type="dxa"/>
            <w:vMerge w:val="restart"/>
            <w:vAlign w:val="center"/>
          </w:tcPr>
          <w:p w14:paraId="4B4EBE63">
            <w:pPr>
              <w:pStyle w:val="74"/>
              <w:widowControl w:val="0"/>
              <w:spacing w:line="360" w:lineRule="auto"/>
              <w:ind w:firstLine="0" w:firstLineChars="0"/>
              <w:jc w:val="center"/>
              <w:rPr>
                <w:rFonts w:hAnsi="宋体"/>
                <w:szCs w:val="21"/>
                <w:highlight w:val="none"/>
              </w:rPr>
            </w:pPr>
            <w:r>
              <w:rPr>
                <w:rFonts w:hint="eastAsia" w:hAnsi="宋体"/>
                <w:szCs w:val="21"/>
                <w:highlight w:val="none"/>
              </w:rPr>
              <w:t>5</w:t>
            </w:r>
          </w:p>
        </w:tc>
        <w:tc>
          <w:tcPr>
            <w:tcW w:w="951" w:type="dxa"/>
            <w:vMerge w:val="restart"/>
            <w:vAlign w:val="center"/>
          </w:tcPr>
          <w:p w14:paraId="06584479">
            <w:pPr>
              <w:pStyle w:val="74"/>
              <w:widowControl w:val="0"/>
              <w:spacing w:line="240" w:lineRule="auto"/>
              <w:ind w:firstLine="0" w:firstLineChars="0"/>
              <w:jc w:val="center"/>
              <w:rPr>
                <w:rFonts w:hAnsi="宋体"/>
                <w:szCs w:val="21"/>
                <w:highlight w:val="none"/>
              </w:rPr>
            </w:pPr>
            <w:r>
              <w:rPr>
                <w:rFonts w:hint="eastAsia" w:hAnsi="宋体"/>
                <w:szCs w:val="21"/>
                <w:highlight w:val="none"/>
              </w:rPr>
              <w:t>偏心套组件的检修</w:t>
            </w:r>
          </w:p>
        </w:tc>
        <w:tc>
          <w:tcPr>
            <w:tcW w:w="7226" w:type="dxa"/>
            <w:vAlign w:val="center"/>
          </w:tcPr>
          <w:p w14:paraId="7C0999FA">
            <w:pPr>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1.拆除气化炉两侧的2套偏心套组件，将其拉运至固定检修点处。</w:t>
            </w:r>
          </w:p>
        </w:tc>
        <w:tc>
          <w:tcPr>
            <w:tcW w:w="718" w:type="dxa"/>
            <w:vAlign w:val="center"/>
          </w:tcPr>
          <w:p w14:paraId="621EFBF8">
            <w:pPr>
              <w:jc w:val="center"/>
              <w:rPr>
                <w:rFonts w:hint="default" w:ascii="宋体" w:hAnsi="宋体" w:eastAsia="宋体" w:cs="Times New Roman"/>
                <w:color w:val="000000"/>
                <w:kern w:val="2"/>
                <w:sz w:val="21"/>
                <w:szCs w:val="21"/>
                <w:highlight w:val="none"/>
                <w:lang w:val="en-US" w:eastAsia="zh-CN" w:bidi="ar-SA"/>
              </w:rPr>
            </w:pPr>
            <w:r>
              <w:rPr>
                <w:rFonts w:hint="eastAsia" w:ascii="宋体" w:hAnsi="宋体"/>
                <w:color w:val="000000"/>
                <w:sz w:val="21"/>
                <w:szCs w:val="21"/>
                <w:highlight w:val="none"/>
                <w:lang w:val="en-US" w:eastAsia="zh-CN"/>
              </w:rPr>
              <w:t>20</w:t>
            </w:r>
          </w:p>
        </w:tc>
      </w:tr>
      <w:tr w14:paraId="26B46A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26" w:hRule="atLeast"/>
        </w:trPr>
        <w:tc>
          <w:tcPr>
            <w:tcW w:w="675" w:type="dxa"/>
            <w:vMerge w:val="continue"/>
            <w:vAlign w:val="center"/>
          </w:tcPr>
          <w:p w14:paraId="42D5E2B1">
            <w:pPr>
              <w:pStyle w:val="74"/>
              <w:widowControl w:val="0"/>
              <w:spacing w:line="360" w:lineRule="auto"/>
              <w:ind w:firstLine="0" w:firstLineChars="0"/>
              <w:jc w:val="center"/>
              <w:rPr>
                <w:rFonts w:hAnsi="宋体"/>
                <w:szCs w:val="21"/>
                <w:highlight w:val="none"/>
              </w:rPr>
            </w:pPr>
          </w:p>
        </w:tc>
        <w:tc>
          <w:tcPr>
            <w:tcW w:w="951" w:type="dxa"/>
            <w:vMerge w:val="continue"/>
            <w:vAlign w:val="center"/>
          </w:tcPr>
          <w:p w14:paraId="427E5F7D">
            <w:pPr>
              <w:pStyle w:val="74"/>
              <w:widowControl w:val="0"/>
              <w:spacing w:line="240" w:lineRule="auto"/>
              <w:ind w:firstLine="0" w:firstLineChars="0"/>
              <w:jc w:val="center"/>
              <w:rPr>
                <w:rFonts w:hAnsi="宋体"/>
                <w:szCs w:val="21"/>
                <w:highlight w:val="none"/>
              </w:rPr>
            </w:pPr>
          </w:p>
        </w:tc>
        <w:tc>
          <w:tcPr>
            <w:tcW w:w="7226" w:type="dxa"/>
            <w:vAlign w:val="center"/>
          </w:tcPr>
          <w:p w14:paraId="1FE959EA">
            <w:pPr>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2.将偏心套组件中的输出轴抽出，清理、清洗偏心套、输出轴。</w:t>
            </w:r>
          </w:p>
        </w:tc>
        <w:tc>
          <w:tcPr>
            <w:tcW w:w="718" w:type="dxa"/>
            <w:vAlign w:val="center"/>
          </w:tcPr>
          <w:p w14:paraId="5917EE4B">
            <w:pPr>
              <w:jc w:val="center"/>
              <w:rPr>
                <w:rFonts w:ascii="宋体" w:hAnsi="宋体" w:eastAsia="宋体" w:cs="Times New Roman"/>
                <w:color w:val="000000"/>
                <w:kern w:val="2"/>
                <w:sz w:val="21"/>
                <w:szCs w:val="21"/>
                <w:highlight w:val="none"/>
                <w:lang w:val="en-US" w:eastAsia="zh-CN" w:bidi="ar-SA"/>
              </w:rPr>
            </w:pPr>
            <w:r>
              <w:rPr>
                <w:rFonts w:hint="eastAsia" w:ascii="宋体" w:hAnsi="宋体"/>
                <w:color w:val="000000"/>
                <w:sz w:val="21"/>
                <w:szCs w:val="21"/>
                <w:highlight w:val="none"/>
              </w:rPr>
              <w:t>12</w:t>
            </w:r>
          </w:p>
        </w:tc>
      </w:tr>
      <w:tr w14:paraId="61114F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9" w:hRule="atLeast"/>
        </w:trPr>
        <w:tc>
          <w:tcPr>
            <w:tcW w:w="675" w:type="dxa"/>
            <w:vMerge w:val="continue"/>
            <w:vAlign w:val="center"/>
          </w:tcPr>
          <w:p w14:paraId="100D880F">
            <w:pPr>
              <w:pStyle w:val="74"/>
              <w:widowControl w:val="0"/>
              <w:spacing w:line="360" w:lineRule="auto"/>
              <w:ind w:firstLine="0" w:firstLineChars="0"/>
              <w:jc w:val="center"/>
              <w:rPr>
                <w:rFonts w:hAnsi="宋体"/>
                <w:szCs w:val="21"/>
                <w:highlight w:val="none"/>
              </w:rPr>
            </w:pPr>
          </w:p>
        </w:tc>
        <w:tc>
          <w:tcPr>
            <w:tcW w:w="951" w:type="dxa"/>
            <w:vMerge w:val="continue"/>
            <w:vAlign w:val="center"/>
          </w:tcPr>
          <w:p w14:paraId="48E7BE7B">
            <w:pPr>
              <w:pStyle w:val="74"/>
              <w:widowControl w:val="0"/>
              <w:spacing w:line="240" w:lineRule="auto"/>
              <w:ind w:firstLine="0" w:firstLineChars="0"/>
              <w:jc w:val="center"/>
              <w:rPr>
                <w:rFonts w:hAnsi="宋体"/>
                <w:szCs w:val="21"/>
                <w:highlight w:val="none"/>
              </w:rPr>
            </w:pPr>
          </w:p>
        </w:tc>
        <w:tc>
          <w:tcPr>
            <w:tcW w:w="7226" w:type="dxa"/>
            <w:vAlign w:val="center"/>
          </w:tcPr>
          <w:p w14:paraId="767AE439">
            <w:pPr>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3.拆除偏心套中轴套，将新的输出轴装入偏心套。</w:t>
            </w:r>
          </w:p>
        </w:tc>
        <w:tc>
          <w:tcPr>
            <w:tcW w:w="718" w:type="dxa"/>
            <w:vAlign w:val="center"/>
          </w:tcPr>
          <w:p w14:paraId="23CA5C02">
            <w:pPr>
              <w:jc w:val="center"/>
              <w:rPr>
                <w:rFonts w:hint="eastAsia" w:ascii="宋体" w:hAnsi="宋体" w:eastAsia="宋体" w:cs="Times New Roman"/>
                <w:color w:val="000000"/>
                <w:kern w:val="2"/>
                <w:sz w:val="21"/>
                <w:szCs w:val="21"/>
                <w:highlight w:val="none"/>
                <w:lang w:val="en-US" w:eastAsia="zh-CN" w:bidi="ar-SA"/>
              </w:rPr>
            </w:pPr>
            <w:r>
              <w:rPr>
                <w:rFonts w:hint="eastAsia" w:ascii="宋体" w:hAnsi="宋体"/>
                <w:color w:val="000000"/>
                <w:sz w:val="21"/>
                <w:szCs w:val="21"/>
                <w:highlight w:val="none"/>
                <w:lang w:val="en-US" w:eastAsia="zh-CN"/>
              </w:rPr>
              <w:t>9</w:t>
            </w:r>
          </w:p>
        </w:tc>
      </w:tr>
      <w:tr w14:paraId="5FFFEE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54" w:hRule="atLeast"/>
        </w:trPr>
        <w:tc>
          <w:tcPr>
            <w:tcW w:w="675" w:type="dxa"/>
            <w:vMerge w:val="continue"/>
            <w:vAlign w:val="center"/>
          </w:tcPr>
          <w:p w14:paraId="5B3ABCC4">
            <w:pPr>
              <w:pStyle w:val="74"/>
              <w:widowControl w:val="0"/>
              <w:spacing w:line="360" w:lineRule="auto"/>
              <w:ind w:firstLine="0" w:firstLineChars="0"/>
              <w:jc w:val="center"/>
              <w:rPr>
                <w:rFonts w:hAnsi="宋体"/>
                <w:szCs w:val="21"/>
                <w:highlight w:val="none"/>
              </w:rPr>
            </w:pPr>
          </w:p>
        </w:tc>
        <w:tc>
          <w:tcPr>
            <w:tcW w:w="951" w:type="dxa"/>
            <w:vMerge w:val="continue"/>
            <w:vAlign w:val="center"/>
          </w:tcPr>
          <w:p w14:paraId="496926E5">
            <w:pPr>
              <w:pStyle w:val="74"/>
              <w:widowControl w:val="0"/>
              <w:spacing w:line="240" w:lineRule="auto"/>
              <w:ind w:firstLine="0" w:firstLineChars="0"/>
              <w:jc w:val="center"/>
              <w:rPr>
                <w:rFonts w:hAnsi="宋体"/>
                <w:szCs w:val="21"/>
                <w:highlight w:val="none"/>
              </w:rPr>
            </w:pPr>
          </w:p>
        </w:tc>
        <w:tc>
          <w:tcPr>
            <w:tcW w:w="7226" w:type="dxa"/>
            <w:vAlign w:val="center"/>
          </w:tcPr>
          <w:p w14:paraId="54A8A12F">
            <w:pPr>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4.将偏心套及输出轴回装。</w:t>
            </w:r>
          </w:p>
        </w:tc>
        <w:tc>
          <w:tcPr>
            <w:tcW w:w="718" w:type="dxa"/>
            <w:vAlign w:val="center"/>
          </w:tcPr>
          <w:p w14:paraId="6B09750E">
            <w:pPr>
              <w:jc w:val="center"/>
              <w:rPr>
                <w:rFonts w:ascii="宋体" w:hAnsi="宋体" w:eastAsia="宋体" w:cs="Times New Roman"/>
                <w:color w:val="000000"/>
                <w:kern w:val="2"/>
                <w:sz w:val="21"/>
                <w:szCs w:val="21"/>
                <w:highlight w:val="none"/>
                <w:lang w:val="en-US" w:eastAsia="zh-CN" w:bidi="ar-SA"/>
              </w:rPr>
            </w:pPr>
            <w:r>
              <w:rPr>
                <w:rFonts w:hint="eastAsia" w:ascii="宋体" w:hAnsi="宋体"/>
                <w:color w:val="000000"/>
                <w:sz w:val="21"/>
                <w:szCs w:val="21"/>
                <w:highlight w:val="none"/>
              </w:rPr>
              <w:t>18</w:t>
            </w:r>
          </w:p>
        </w:tc>
      </w:tr>
      <w:tr w14:paraId="0F7FDC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28" w:hRule="atLeast"/>
        </w:trPr>
        <w:tc>
          <w:tcPr>
            <w:tcW w:w="675" w:type="dxa"/>
            <w:vMerge w:val="restart"/>
            <w:vAlign w:val="center"/>
          </w:tcPr>
          <w:p w14:paraId="28859ADD">
            <w:pPr>
              <w:pStyle w:val="74"/>
              <w:widowControl w:val="0"/>
              <w:spacing w:line="360" w:lineRule="auto"/>
              <w:ind w:firstLine="0" w:firstLineChars="0"/>
              <w:jc w:val="center"/>
              <w:rPr>
                <w:rFonts w:hAnsi="宋体"/>
                <w:szCs w:val="21"/>
                <w:highlight w:val="none"/>
              </w:rPr>
            </w:pPr>
            <w:r>
              <w:rPr>
                <w:rFonts w:hint="eastAsia" w:hAnsi="宋体"/>
                <w:szCs w:val="21"/>
                <w:highlight w:val="none"/>
              </w:rPr>
              <w:t>6</w:t>
            </w:r>
          </w:p>
        </w:tc>
        <w:tc>
          <w:tcPr>
            <w:tcW w:w="951" w:type="dxa"/>
            <w:vMerge w:val="restart"/>
            <w:vAlign w:val="center"/>
          </w:tcPr>
          <w:p w14:paraId="22D65983">
            <w:pPr>
              <w:pStyle w:val="74"/>
              <w:widowControl w:val="0"/>
              <w:spacing w:line="240" w:lineRule="auto"/>
              <w:ind w:firstLine="0" w:firstLineChars="0"/>
              <w:jc w:val="center"/>
              <w:rPr>
                <w:rFonts w:hAnsi="宋体"/>
                <w:szCs w:val="21"/>
                <w:highlight w:val="none"/>
              </w:rPr>
            </w:pPr>
            <w:r>
              <w:rPr>
                <w:rFonts w:hint="eastAsia" w:hAnsi="宋体"/>
                <w:szCs w:val="21"/>
                <w:highlight w:val="none"/>
              </w:rPr>
              <w:t>炉篦减速机的</w:t>
            </w:r>
            <w:r>
              <w:rPr>
                <w:rFonts w:hint="eastAsia" w:hAnsi="宋体"/>
                <w:szCs w:val="21"/>
                <w:highlight w:val="none"/>
                <w:lang w:val="en-US" w:eastAsia="zh-CN"/>
              </w:rPr>
              <w:t>拆装</w:t>
            </w:r>
          </w:p>
        </w:tc>
        <w:tc>
          <w:tcPr>
            <w:tcW w:w="7226" w:type="dxa"/>
            <w:vAlign w:val="center"/>
          </w:tcPr>
          <w:p w14:paraId="2D576A74">
            <w:pPr>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1.拆除炉篦减速机，并拉运至固定检修点</w:t>
            </w:r>
          </w:p>
        </w:tc>
        <w:tc>
          <w:tcPr>
            <w:tcW w:w="718" w:type="dxa"/>
            <w:vAlign w:val="center"/>
          </w:tcPr>
          <w:p w14:paraId="08FAD0BA">
            <w:pPr>
              <w:jc w:val="center"/>
              <w:rPr>
                <w:rFonts w:ascii="宋体" w:hAnsi="宋体" w:eastAsia="宋体" w:cs="Times New Roman"/>
                <w:color w:val="000000"/>
                <w:kern w:val="2"/>
                <w:sz w:val="21"/>
                <w:szCs w:val="21"/>
                <w:highlight w:val="none"/>
                <w:lang w:val="en-US" w:eastAsia="zh-CN" w:bidi="ar-SA"/>
              </w:rPr>
            </w:pPr>
            <w:r>
              <w:rPr>
                <w:rFonts w:hint="eastAsia" w:ascii="宋体" w:hAnsi="宋体"/>
                <w:color w:val="000000"/>
                <w:sz w:val="21"/>
                <w:szCs w:val="21"/>
                <w:highlight w:val="none"/>
              </w:rPr>
              <w:t>12</w:t>
            </w:r>
          </w:p>
        </w:tc>
      </w:tr>
      <w:tr w14:paraId="40EA4C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10" w:hRule="atLeast"/>
        </w:trPr>
        <w:tc>
          <w:tcPr>
            <w:tcW w:w="675" w:type="dxa"/>
            <w:vMerge w:val="continue"/>
            <w:vAlign w:val="center"/>
          </w:tcPr>
          <w:p w14:paraId="3E0F6BF8">
            <w:pPr>
              <w:pStyle w:val="74"/>
              <w:widowControl w:val="0"/>
              <w:spacing w:line="360" w:lineRule="auto"/>
              <w:ind w:firstLine="0" w:firstLineChars="0"/>
              <w:jc w:val="center"/>
              <w:rPr>
                <w:rFonts w:hAnsi="宋体"/>
                <w:szCs w:val="21"/>
                <w:highlight w:val="none"/>
              </w:rPr>
            </w:pPr>
          </w:p>
        </w:tc>
        <w:tc>
          <w:tcPr>
            <w:tcW w:w="951" w:type="dxa"/>
            <w:vMerge w:val="continue"/>
            <w:vAlign w:val="center"/>
          </w:tcPr>
          <w:p w14:paraId="25FC547B">
            <w:pPr>
              <w:pStyle w:val="74"/>
              <w:widowControl w:val="0"/>
              <w:spacing w:line="240" w:lineRule="auto"/>
              <w:ind w:firstLine="0" w:firstLineChars="0"/>
              <w:jc w:val="center"/>
              <w:rPr>
                <w:rFonts w:hAnsi="宋体"/>
                <w:szCs w:val="21"/>
                <w:highlight w:val="none"/>
              </w:rPr>
            </w:pPr>
          </w:p>
        </w:tc>
        <w:tc>
          <w:tcPr>
            <w:tcW w:w="7226" w:type="dxa"/>
            <w:vAlign w:val="center"/>
          </w:tcPr>
          <w:p w14:paraId="042E684A">
            <w:pPr>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2.排出炉篦减速机中的润滑油，回装炉篦减速机，重新加注润滑油</w:t>
            </w:r>
          </w:p>
        </w:tc>
        <w:tc>
          <w:tcPr>
            <w:tcW w:w="718" w:type="dxa"/>
            <w:vAlign w:val="center"/>
          </w:tcPr>
          <w:p w14:paraId="735717E1">
            <w:pPr>
              <w:jc w:val="center"/>
              <w:rPr>
                <w:rFonts w:hint="default" w:ascii="宋体" w:hAnsi="宋体" w:eastAsia="宋体" w:cs="Times New Roman"/>
                <w:color w:val="000000"/>
                <w:kern w:val="2"/>
                <w:sz w:val="21"/>
                <w:szCs w:val="21"/>
                <w:highlight w:val="none"/>
                <w:lang w:val="en-US" w:eastAsia="zh-CN" w:bidi="ar-SA"/>
              </w:rPr>
            </w:pPr>
            <w:r>
              <w:rPr>
                <w:rFonts w:hint="eastAsia" w:ascii="宋体" w:hAnsi="宋体"/>
                <w:color w:val="000000"/>
                <w:sz w:val="21"/>
                <w:szCs w:val="21"/>
                <w:highlight w:val="none"/>
                <w:lang w:val="en-US" w:eastAsia="zh-CN"/>
              </w:rPr>
              <w:t>18</w:t>
            </w:r>
          </w:p>
        </w:tc>
      </w:tr>
      <w:tr w14:paraId="0C170A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80" w:hRule="atLeast"/>
        </w:trPr>
        <w:tc>
          <w:tcPr>
            <w:tcW w:w="675" w:type="dxa"/>
            <w:vAlign w:val="center"/>
          </w:tcPr>
          <w:p w14:paraId="22E18834">
            <w:pPr>
              <w:pStyle w:val="74"/>
              <w:widowControl w:val="0"/>
              <w:spacing w:line="360" w:lineRule="auto"/>
              <w:ind w:firstLine="0" w:firstLineChars="0"/>
              <w:jc w:val="center"/>
              <w:rPr>
                <w:rFonts w:hint="eastAsia" w:hAnsi="宋体" w:eastAsia="宋体"/>
                <w:szCs w:val="21"/>
                <w:highlight w:val="none"/>
                <w:lang w:val="en-US" w:eastAsia="zh-CN"/>
              </w:rPr>
            </w:pPr>
            <w:r>
              <w:rPr>
                <w:rFonts w:hint="eastAsia" w:hAnsi="宋体"/>
                <w:szCs w:val="21"/>
                <w:highlight w:val="none"/>
                <w:lang w:val="en-US" w:eastAsia="zh-CN"/>
              </w:rPr>
              <w:t>7</w:t>
            </w:r>
          </w:p>
        </w:tc>
        <w:tc>
          <w:tcPr>
            <w:tcW w:w="951" w:type="dxa"/>
            <w:vAlign w:val="center"/>
          </w:tcPr>
          <w:p w14:paraId="732A7684">
            <w:pPr>
              <w:pStyle w:val="74"/>
              <w:widowControl w:val="0"/>
              <w:spacing w:line="240" w:lineRule="auto"/>
              <w:ind w:firstLine="0" w:firstLineChars="0"/>
              <w:jc w:val="center"/>
              <w:rPr>
                <w:rFonts w:hint="eastAsia" w:hAnsi="宋体"/>
                <w:szCs w:val="21"/>
                <w:highlight w:val="none"/>
              </w:rPr>
            </w:pPr>
            <w:r>
              <w:rPr>
                <w:rFonts w:hint="eastAsia" w:hAnsi="宋体"/>
                <w:szCs w:val="21"/>
                <w:highlight w:val="none"/>
              </w:rPr>
              <w:t>下灰室</w:t>
            </w:r>
          </w:p>
          <w:p w14:paraId="77817A93">
            <w:pPr>
              <w:pStyle w:val="74"/>
              <w:widowControl w:val="0"/>
              <w:spacing w:line="240" w:lineRule="auto"/>
              <w:ind w:firstLine="0" w:firstLineChars="0"/>
              <w:jc w:val="center"/>
              <w:rPr>
                <w:rFonts w:hint="default" w:ascii="宋体" w:hAnsi="宋体" w:eastAsia="宋体" w:cs="Times New Roman"/>
                <w:sz w:val="21"/>
                <w:szCs w:val="21"/>
                <w:highlight w:val="none"/>
                <w:lang w:val="en-US" w:eastAsia="zh-CN" w:bidi="ar-SA"/>
              </w:rPr>
            </w:pPr>
            <w:r>
              <w:rPr>
                <w:rFonts w:hint="eastAsia" w:hAnsi="宋体" w:cs="Times New Roman"/>
                <w:sz w:val="21"/>
                <w:szCs w:val="21"/>
                <w:highlight w:val="none"/>
                <w:lang w:val="en-US" w:eastAsia="zh-CN" w:bidi="ar-SA"/>
              </w:rPr>
              <w:t>拆装</w:t>
            </w:r>
          </w:p>
        </w:tc>
        <w:tc>
          <w:tcPr>
            <w:tcW w:w="7226" w:type="dxa"/>
            <w:vAlign w:val="center"/>
          </w:tcPr>
          <w:p w14:paraId="3AE2C68B">
            <w:pPr>
              <w:jc w:val="left"/>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1.拆</w:t>
            </w:r>
            <w:r>
              <w:rPr>
                <w:rFonts w:hint="eastAsia" w:ascii="宋体" w:hAnsi="宋体" w:cs="宋体"/>
                <w:sz w:val="21"/>
                <w:szCs w:val="21"/>
                <w:highlight w:val="none"/>
                <w:lang w:val="en-US" w:eastAsia="zh-CN"/>
              </w:rPr>
              <w:t>装</w:t>
            </w:r>
            <w:r>
              <w:rPr>
                <w:rFonts w:hint="eastAsia" w:ascii="宋体" w:hAnsi="宋体" w:eastAsia="宋体" w:cs="宋体"/>
                <w:sz w:val="21"/>
                <w:szCs w:val="21"/>
                <w:highlight w:val="none"/>
                <w:lang w:val="en-US" w:eastAsia="zh-CN"/>
              </w:rPr>
              <w:t>下灰室锥体部分护板。</w:t>
            </w:r>
          </w:p>
        </w:tc>
        <w:tc>
          <w:tcPr>
            <w:tcW w:w="718" w:type="dxa"/>
            <w:vAlign w:val="center"/>
          </w:tcPr>
          <w:p w14:paraId="46524914">
            <w:pPr>
              <w:jc w:val="center"/>
              <w:rPr>
                <w:rFonts w:hint="eastAsia" w:ascii="宋体" w:hAnsi="宋体" w:eastAsia="宋体" w:cs="Times New Roman"/>
                <w:color w:val="000000"/>
                <w:kern w:val="2"/>
                <w:sz w:val="21"/>
                <w:szCs w:val="21"/>
                <w:highlight w:val="none"/>
                <w:lang w:val="en-US" w:eastAsia="zh-CN" w:bidi="ar-SA"/>
              </w:rPr>
            </w:pPr>
            <w:r>
              <w:rPr>
                <w:rFonts w:hint="eastAsia" w:ascii="宋体" w:hAnsi="宋体"/>
                <w:color w:val="000000"/>
                <w:sz w:val="21"/>
                <w:szCs w:val="21"/>
                <w:highlight w:val="none"/>
                <w:lang w:val="en-US" w:eastAsia="zh-CN"/>
              </w:rPr>
              <w:t>28</w:t>
            </w:r>
          </w:p>
        </w:tc>
      </w:tr>
      <w:tr w14:paraId="14DA24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3" w:hRule="atLeast"/>
        </w:trPr>
        <w:tc>
          <w:tcPr>
            <w:tcW w:w="675" w:type="dxa"/>
            <w:vAlign w:val="center"/>
          </w:tcPr>
          <w:p w14:paraId="59048DE7">
            <w:pPr>
              <w:pStyle w:val="74"/>
              <w:widowControl w:val="0"/>
              <w:spacing w:line="360" w:lineRule="auto"/>
              <w:ind w:firstLine="0" w:firstLineChars="0"/>
              <w:jc w:val="center"/>
              <w:rPr>
                <w:rFonts w:hint="default" w:hAnsi="宋体" w:eastAsia="宋体"/>
                <w:szCs w:val="21"/>
                <w:highlight w:val="none"/>
                <w:lang w:val="en-US" w:eastAsia="zh-CN"/>
              </w:rPr>
            </w:pPr>
            <w:r>
              <w:rPr>
                <w:rFonts w:hint="eastAsia" w:hAnsi="宋体"/>
                <w:szCs w:val="21"/>
                <w:highlight w:val="none"/>
                <w:lang w:val="en-US" w:eastAsia="zh-CN"/>
              </w:rPr>
              <w:t>8</w:t>
            </w:r>
          </w:p>
        </w:tc>
        <w:tc>
          <w:tcPr>
            <w:tcW w:w="951" w:type="dxa"/>
            <w:vAlign w:val="center"/>
          </w:tcPr>
          <w:p w14:paraId="406F3AF1">
            <w:pPr>
              <w:pStyle w:val="74"/>
              <w:widowControl w:val="0"/>
              <w:spacing w:line="240" w:lineRule="auto"/>
              <w:ind w:firstLine="0" w:firstLineChars="0"/>
              <w:jc w:val="center"/>
              <w:rPr>
                <w:rFonts w:hAnsi="宋体"/>
                <w:szCs w:val="21"/>
                <w:highlight w:val="none"/>
              </w:rPr>
            </w:pPr>
            <w:r>
              <w:rPr>
                <w:rFonts w:hint="eastAsia" w:hAnsi="宋体"/>
                <w:szCs w:val="21"/>
                <w:highlight w:val="none"/>
              </w:rPr>
              <w:t>回装</w:t>
            </w:r>
          </w:p>
        </w:tc>
        <w:tc>
          <w:tcPr>
            <w:tcW w:w="7226" w:type="dxa"/>
            <w:vAlign w:val="center"/>
          </w:tcPr>
          <w:p w14:paraId="4588082A">
            <w:pPr>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按拆检的逆顺序将所有设备回装，调试</w:t>
            </w:r>
          </w:p>
        </w:tc>
        <w:tc>
          <w:tcPr>
            <w:tcW w:w="718" w:type="dxa"/>
            <w:vAlign w:val="center"/>
          </w:tcPr>
          <w:p w14:paraId="26BDDDF3">
            <w:pPr>
              <w:jc w:val="center"/>
              <w:rPr>
                <w:rFonts w:ascii="宋体" w:hAnsi="宋体"/>
                <w:color w:val="000000"/>
                <w:sz w:val="21"/>
                <w:szCs w:val="21"/>
                <w:highlight w:val="none"/>
              </w:rPr>
            </w:pPr>
            <w:r>
              <w:rPr>
                <w:rFonts w:hint="eastAsia" w:ascii="宋体" w:hAnsi="宋体"/>
                <w:color w:val="000000"/>
                <w:sz w:val="21"/>
                <w:szCs w:val="21"/>
                <w:highlight w:val="none"/>
              </w:rPr>
              <w:t>132</w:t>
            </w:r>
          </w:p>
        </w:tc>
      </w:tr>
      <w:tr w14:paraId="20F712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6" w:hRule="atLeast"/>
        </w:trPr>
        <w:tc>
          <w:tcPr>
            <w:tcW w:w="675" w:type="dxa"/>
            <w:vAlign w:val="center"/>
          </w:tcPr>
          <w:p w14:paraId="7F8FCA57">
            <w:pPr>
              <w:pStyle w:val="74"/>
              <w:widowControl w:val="0"/>
              <w:spacing w:line="360" w:lineRule="auto"/>
              <w:ind w:firstLine="0" w:firstLineChars="0"/>
              <w:jc w:val="center"/>
              <w:rPr>
                <w:rFonts w:hint="default" w:hAnsi="宋体" w:eastAsia="宋体"/>
                <w:szCs w:val="21"/>
                <w:highlight w:val="none"/>
                <w:lang w:val="en-US" w:eastAsia="zh-CN"/>
              </w:rPr>
            </w:pPr>
            <w:r>
              <w:rPr>
                <w:rFonts w:hint="eastAsia" w:hAnsi="宋体"/>
                <w:szCs w:val="21"/>
                <w:highlight w:val="none"/>
                <w:lang w:val="en-US" w:eastAsia="zh-CN"/>
              </w:rPr>
              <w:t>9</w:t>
            </w:r>
          </w:p>
        </w:tc>
        <w:tc>
          <w:tcPr>
            <w:tcW w:w="951" w:type="dxa"/>
            <w:vAlign w:val="center"/>
          </w:tcPr>
          <w:p w14:paraId="67D14407">
            <w:pPr>
              <w:pStyle w:val="74"/>
              <w:widowControl w:val="0"/>
              <w:spacing w:line="240" w:lineRule="auto"/>
              <w:ind w:firstLine="0" w:firstLineChars="0"/>
              <w:jc w:val="center"/>
              <w:rPr>
                <w:rFonts w:hAnsi="宋体"/>
                <w:szCs w:val="21"/>
                <w:highlight w:val="none"/>
              </w:rPr>
            </w:pPr>
            <w:r>
              <w:rPr>
                <w:rFonts w:hint="eastAsia" w:hAnsi="宋体"/>
                <w:szCs w:val="21"/>
                <w:highlight w:val="none"/>
              </w:rPr>
              <w:t>导通</w:t>
            </w:r>
            <w:r>
              <w:rPr>
                <w:rFonts w:hint="eastAsia" w:hAnsi="宋体"/>
                <w:szCs w:val="21"/>
                <w:highlight w:val="none"/>
                <w:lang w:val="en-US" w:eastAsia="zh-CN"/>
              </w:rPr>
              <w:t xml:space="preserve">  </w:t>
            </w:r>
            <w:r>
              <w:rPr>
                <w:rFonts w:hint="eastAsia" w:hAnsi="宋体"/>
                <w:szCs w:val="21"/>
                <w:highlight w:val="none"/>
              </w:rPr>
              <w:t>盲板</w:t>
            </w:r>
          </w:p>
        </w:tc>
        <w:tc>
          <w:tcPr>
            <w:tcW w:w="7226" w:type="dxa"/>
            <w:vAlign w:val="center"/>
          </w:tcPr>
          <w:p w14:paraId="2B980CE5">
            <w:pPr>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导通气化炉开车所需的所有盲板</w:t>
            </w:r>
          </w:p>
        </w:tc>
        <w:tc>
          <w:tcPr>
            <w:tcW w:w="718" w:type="dxa"/>
            <w:vAlign w:val="center"/>
          </w:tcPr>
          <w:p w14:paraId="14C771D8">
            <w:pPr>
              <w:jc w:val="center"/>
              <w:rPr>
                <w:rFonts w:ascii="宋体" w:hAnsi="宋体"/>
                <w:color w:val="000000"/>
                <w:sz w:val="21"/>
                <w:szCs w:val="21"/>
                <w:highlight w:val="none"/>
              </w:rPr>
            </w:pPr>
            <w:r>
              <w:rPr>
                <w:rFonts w:hint="eastAsia" w:ascii="宋体" w:hAnsi="宋体"/>
                <w:color w:val="000000"/>
                <w:sz w:val="21"/>
                <w:szCs w:val="21"/>
                <w:highlight w:val="none"/>
              </w:rPr>
              <w:t>18</w:t>
            </w:r>
          </w:p>
        </w:tc>
      </w:tr>
      <w:tr w14:paraId="0E0234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675" w:type="dxa"/>
            <w:vAlign w:val="center"/>
          </w:tcPr>
          <w:p w14:paraId="4A7F5CCB">
            <w:pPr>
              <w:pStyle w:val="74"/>
              <w:widowControl w:val="0"/>
              <w:spacing w:line="360" w:lineRule="auto"/>
              <w:ind w:firstLine="0" w:firstLineChars="0"/>
              <w:jc w:val="center"/>
              <w:rPr>
                <w:rFonts w:hint="eastAsia" w:hAnsi="宋体"/>
                <w:szCs w:val="21"/>
                <w:highlight w:val="none"/>
                <w:lang w:val="en-US" w:eastAsia="zh-CN"/>
              </w:rPr>
            </w:pPr>
          </w:p>
        </w:tc>
        <w:tc>
          <w:tcPr>
            <w:tcW w:w="951" w:type="dxa"/>
            <w:vAlign w:val="center"/>
          </w:tcPr>
          <w:p w14:paraId="3DD56477">
            <w:pPr>
              <w:pStyle w:val="74"/>
              <w:widowControl w:val="0"/>
              <w:spacing w:line="240" w:lineRule="auto"/>
              <w:ind w:firstLine="0" w:firstLineChars="0"/>
              <w:jc w:val="center"/>
              <w:rPr>
                <w:rFonts w:hint="eastAsia" w:hAnsi="宋体" w:eastAsia="宋体"/>
                <w:szCs w:val="21"/>
                <w:highlight w:val="none"/>
                <w:lang w:val="en-US" w:eastAsia="zh-CN"/>
              </w:rPr>
            </w:pPr>
            <w:r>
              <w:rPr>
                <w:rFonts w:hint="eastAsia" w:hAnsi="宋体"/>
                <w:szCs w:val="21"/>
                <w:highlight w:val="none"/>
                <w:lang w:val="en-US" w:eastAsia="zh-CN"/>
              </w:rPr>
              <w:t>合计</w:t>
            </w:r>
          </w:p>
        </w:tc>
        <w:tc>
          <w:tcPr>
            <w:tcW w:w="7226" w:type="dxa"/>
            <w:vAlign w:val="center"/>
          </w:tcPr>
          <w:p w14:paraId="3F6C76BC">
            <w:pPr>
              <w:jc w:val="both"/>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单台气化炉大修工日</w:t>
            </w:r>
          </w:p>
        </w:tc>
        <w:tc>
          <w:tcPr>
            <w:tcW w:w="718" w:type="dxa"/>
            <w:vAlign w:val="center"/>
          </w:tcPr>
          <w:p w14:paraId="53CC1B8A">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559</w:t>
            </w:r>
          </w:p>
        </w:tc>
      </w:tr>
      <w:tr w14:paraId="612849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0" w:hRule="atLeast"/>
        </w:trPr>
        <w:tc>
          <w:tcPr>
            <w:tcW w:w="675" w:type="dxa"/>
            <w:vAlign w:val="center"/>
          </w:tcPr>
          <w:p w14:paraId="1B90078A">
            <w:pPr>
              <w:pStyle w:val="74"/>
              <w:widowControl w:val="0"/>
              <w:spacing w:line="360" w:lineRule="auto"/>
              <w:ind w:firstLine="0" w:firstLineChars="0"/>
              <w:jc w:val="center"/>
              <w:rPr>
                <w:rFonts w:hint="eastAsia" w:hAnsi="宋体"/>
                <w:szCs w:val="21"/>
                <w:highlight w:val="none"/>
                <w:lang w:val="en-US" w:eastAsia="zh-CN"/>
              </w:rPr>
            </w:pPr>
          </w:p>
        </w:tc>
        <w:tc>
          <w:tcPr>
            <w:tcW w:w="951" w:type="dxa"/>
            <w:vAlign w:val="center"/>
          </w:tcPr>
          <w:p w14:paraId="251EBC7F">
            <w:pPr>
              <w:pStyle w:val="74"/>
              <w:widowControl w:val="0"/>
              <w:spacing w:line="240" w:lineRule="auto"/>
              <w:ind w:firstLine="0" w:firstLineChars="0"/>
              <w:jc w:val="center"/>
              <w:rPr>
                <w:rFonts w:hint="default" w:hAnsi="宋体" w:eastAsia="宋体"/>
                <w:szCs w:val="21"/>
                <w:highlight w:val="none"/>
                <w:lang w:val="en-US" w:eastAsia="zh-CN"/>
              </w:rPr>
            </w:pPr>
            <w:r>
              <w:rPr>
                <w:rFonts w:hint="eastAsia" w:hAnsi="宋体"/>
                <w:szCs w:val="21"/>
                <w:highlight w:val="none"/>
                <w:lang w:val="en-US" w:eastAsia="zh-CN"/>
              </w:rPr>
              <w:t>合计1</w:t>
            </w:r>
          </w:p>
        </w:tc>
        <w:tc>
          <w:tcPr>
            <w:tcW w:w="7226" w:type="dxa"/>
            <w:vAlign w:val="center"/>
          </w:tcPr>
          <w:p w14:paraId="31E19820">
            <w:pPr>
              <w:jc w:val="both"/>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14台气化炉大修总工日</w:t>
            </w:r>
          </w:p>
        </w:tc>
        <w:tc>
          <w:tcPr>
            <w:tcW w:w="718" w:type="dxa"/>
            <w:vAlign w:val="center"/>
          </w:tcPr>
          <w:p w14:paraId="65A79CED">
            <w:pPr>
              <w:keepNext w:val="0"/>
              <w:keepLines w:val="0"/>
              <w:widowControl/>
              <w:suppressLineNumbers w:val="0"/>
              <w:jc w:val="right"/>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7826</w:t>
            </w:r>
          </w:p>
        </w:tc>
      </w:tr>
    </w:tbl>
    <w:p w14:paraId="2DEFE707">
      <w:pPr>
        <w:pStyle w:val="74"/>
        <w:spacing w:line="360" w:lineRule="auto"/>
        <w:ind w:firstLine="0" w:firstLineChars="0"/>
        <w:rPr>
          <w:rFonts w:hint="eastAsia" w:hAnsi="宋体"/>
          <w:sz w:val="24"/>
          <w:szCs w:val="24"/>
          <w:highlight w:val="yellow"/>
        </w:rPr>
      </w:pPr>
    </w:p>
    <w:p w14:paraId="1B698E19">
      <w:pPr>
        <w:pStyle w:val="74"/>
        <w:spacing w:line="360" w:lineRule="auto"/>
        <w:ind w:firstLine="0" w:firstLineChars="0"/>
        <w:rPr>
          <w:rFonts w:hint="eastAsia" w:hAnsi="宋体"/>
          <w:sz w:val="24"/>
          <w:szCs w:val="24"/>
          <w:highlight w:val="yellow"/>
        </w:rPr>
        <w:sectPr>
          <w:endnotePr>
            <w:numFmt w:val="decimal"/>
          </w:endnotePr>
          <w:pgSz w:w="11906" w:h="16838"/>
          <w:pgMar w:top="1418" w:right="1134" w:bottom="1134" w:left="1418" w:header="851" w:footer="641" w:gutter="0"/>
          <w:cols w:space="720" w:num="1"/>
          <w:docGrid w:linePitch="312" w:charSpace="0"/>
        </w:sectPr>
      </w:pPr>
    </w:p>
    <w:p w14:paraId="6D6587BE">
      <w:pPr>
        <w:pStyle w:val="67"/>
        <w:numPr>
          <w:ilvl w:val="4"/>
          <w:numId w:val="0"/>
        </w:numPr>
        <w:spacing w:line="360" w:lineRule="auto"/>
        <w:jc w:val="left"/>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4.5.2</w:t>
      </w:r>
      <w:r>
        <w:rPr>
          <w:rFonts w:hint="eastAsia" w:ascii="宋体" w:hAnsi="宋体" w:eastAsia="宋体"/>
          <w:b/>
          <w:bCs/>
          <w:sz w:val="24"/>
          <w:szCs w:val="24"/>
          <w:highlight w:val="none"/>
          <w:lang w:val="en-US" w:eastAsia="zh-CN"/>
        </w:rPr>
        <w:t>气化炉内筒体及下灰室锥体部分堆焊</w:t>
      </w:r>
      <w:r>
        <w:rPr>
          <w:rFonts w:hint="eastAsia" w:ascii="宋体" w:hAnsi="宋体" w:eastAsia="宋体"/>
          <w:sz w:val="24"/>
          <w:szCs w:val="24"/>
          <w:highlight w:val="none"/>
          <w:lang w:val="en-US" w:eastAsia="zh-CN"/>
        </w:rPr>
        <w:t>统计具体清单如下：</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73"/>
        <w:gridCol w:w="947"/>
        <w:gridCol w:w="7183"/>
        <w:gridCol w:w="767"/>
      </w:tblGrid>
      <w:tr w14:paraId="4E876B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3" w:type="dxa"/>
            <w:vAlign w:val="center"/>
          </w:tcPr>
          <w:p w14:paraId="267DF4F2">
            <w:pPr>
              <w:pStyle w:val="74"/>
              <w:widowControl w:val="0"/>
              <w:spacing w:line="360" w:lineRule="auto"/>
              <w:ind w:firstLine="0" w:firstLineChars="0"/>
              <w:jc w:val="center"/>
              <w:rPr>
                <w:rFonts w:hAnsi="宋体"/>
                <w:szCs w:val="21"/>
                <w:highlight w:val="none"/>
              </w:rPr>
            </w:pPr>
            <w:r>
              <w:rPr>
                <w:rFonts w:hint="eastAsia" w:hAnsi="宋体"/>
                <w:szCs w:val="21"/>
                <w:highlight w:val="none"/>
              </w:rPr>
              <w:t>序号</w:t>
            </w:r>
          </w:p>
        </w:tc>
        <w:tc>
          <w:tcPr>
            <w:tcW w:w="947" w:type="dxa"/>
            <w:vAlign w:val="center"/>
          </w:tcPr>
          <w:p w14:paraId="48F78ED6">
            <w:pPr>
              <w:pStyle w:val="74"/>
              <w:widowControl w:val="0"/>
              <w:spacing w:line="360" w:lineRule="auto"/>
              <w:ind w:firstLine="0" w:firstLineChars="0"/>
              <w:jc w:val="center"/>
              <w:rPr>
                <w:rFonts w:hAnsi="宋体"/>
                <w:szCs w:val="21"/>
                <w:highlight w:val="none"/>
              </w:rPr>
            </w:pPr>
            <w:r>
              <w:rPr>
                <w:rFonts w:hint="eastAsia" w:hAnsi="宋体"/>
                <w:szCs w:val="21"/>
                <w:highlight w:val="none"/>
              </w:rPr>
              <w:t>项目</w:t>
            </w:r>
          </w:p>
        </w:tc>
        <w:tc>
          <w:tcPr>
            <w:tcW w:w="7183" w:type="dxa"/>
            <w:vAlign w:val="center"/>
          </w:tcPr>
          <w:p w14:paraId="494F8DB1">
            <w:pPr>
              <w:pStyle w:val="74"/>
              <w:widowControl w:val="0"/>
              <w:spacing w:line="360" w:lineRule="auto"/>
              <w:ind w:firstLine="0" w:firstLineChars="0"/>
              <w:jc w:val="center"/>
              <w:rPr>
                <w:rFonts w:hAnsi="宋体"/>
                <w:szCs w:val="21"/>
                <w:highlight w:val="none"/>
              </w:rPr>
            </w:pPr>
            <w:r>
              <w:rPr>
                <w:rFonts w:hint="eastAsia" w:hAnsi="宋体"/>
                <w:szCs w:val="21"/>
                <w:highlight w:val="none"/>
              </w:rPr>
              <w:t>工作内容</w:t>
            </w:r>
          </w:p>
        </w:tc>
        <w:tc>
          <w:tcPr>
            <w:tcW w:w="767" w:type="dxa"/>
            <w:vAlign w:val="center"/>
          </w:tcPr>
          <w:p w14:paraId="4D4631CE">
            <w:pPr>
              <w:pStyle w:val="74"/>
              <w:widowControl w:val="0"/>
              <w:spacing w:line="240" w:lineRule="auto"/>
              <w:ind w:firstLine="0" w:firstLineChars="0"/>
              <w:jc w:val="center"/>
              <w:rPr>
                <w:rFonts w:hAnsi="宋体"/>
                <w:szCs w:val="21"/>
                <w:highlight w:val="none"/>
              </w:rPr>
            </w:pPr>
            <w:r>
              <w:rPr>
                <w:rFonts w:hint="eastAsia" w:hAnsi="宋体"/>
                <w:szCs w:val="21"/>
                <w:highlight w:val="none"/>
              </w:rPr>
              <w:t>合计</w:t>
            </w:r>
            <w:r>
              <w:rPr>
                <w:rFonts w:hint="eastAsia" w:hAnsi="宋体"/>
                <w:szCs w:val="21"/>
                <w:highlight w:val="none"/>
                <w:lang w:val="en-US" w:eastAsia="zh-CN"/>
              </w:rPr>
              <w:t xml:space="preserve"> </w:t>
            </w:r>
            <w:r>
              <w:rPr>
                <w:rFonts w:hint="eastAsia" w:hAnsi="宋体"/>
                <w:szCs w:val="21"/>
                <w:highlight w:val="none"/>
              </w:rPr>
              <w:t>工日</w:t>
            </w:r>
          </w:p>
        </w:tc>
      </w:tr>
      <w:tr w14:paraId="73ED2C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44" w:hRule="atLeast"/>
        </w:trPr>
        <w:tc>
          <w:tcPr>
            <w:tcW w:w="673" w:type="dxa"/>
            <w:vMerge w:val="restart"/>
            <w:vAlign w:val="center"/>
          </w:tcPr>
          <w:p w14:paraId="1708B53F">
            <w:pPr>
              <w:pStyle w:val="74"/>
              <w:widowControl w:val="0"/>
              <w:spacing w:line="360" w:lineRule="auto"/>
              <w:ind w:firstLine="0" w:firstLineChars="0"/>
              <w:jc w:val="center"/>
              <w:rPr>
                <w:rFonts w:hint="eastAsia" w:hAnsi="宋体" w:eastAsia="宋体"/>
                <w:szCs w:val="21"/>
                <w:highlight w:val="none"/>
                <w:lang w:eastAsia="zh-CN"/>
              </w:rPr>
            </w:pPr>
            <w:r>
              <w:rPr>
                <w:rFonts w:hint="eastAsia" w:hAnsi="宋体"/>
                <w:szCs w:val="21"/>
                <w:highlight w:val="none"/>
                <w:lang w:val="en-US" w:eastAsia="zh-CN"/>
              </w:rPr>
              <w:t>1</w:t>
            </w:r>
          </w:p>
        </w:tc>
        <w:tc>
          <w:tcPr>
            <w:tcW w:w="947" w:type="dxa"/>
            <w:vMerge w:val="restart"/>
            <w:vAlign w:val="center"/>
          </w:tcPr>
          <w:p w14:paraId="51F90E1B">
            <w:pPr>
              <w:pStyle w:val="74"/>
              <w:widowControl w:val="0"/>
              <w:spacing w:line="240" w:lineRule="auto"/>
              <w:ind w:firstLine="0" w:firstLineChars="0"/>
              <w:jc w:val="center"/>
              <w:rPr>
                <w:rFonts w:hAnsi="宋体"/>
                <w:szCs w:val="21"/>
                <w:highlight w:val="none"/>
              </w:rPr>
            </w:pPr>
            <w:r>
              <w:rPr>
                <w:rFonts w:hint="eastAsia" w:hAnsi="宋体"/>
                <w:szCs w:val="21"/>
                <w:highlight w:val="none"/>
              </w:rPr>
              <w:t>内夹套</w:t>
            </w:r>
            <w:r>
              <w:rPr>
                <w:rFonts w:hint="eastAsia" w:hAnsi="宋体"/>
                <w:szCs w:val="21"/>
                <w:highlight w:val="none"/>
                <w:lang w:val="en-US" w:eastAsia="zh-CN"/>
              </w:rPr>
              <w:t>筒体部分</w:t>
            </w:r>
            <w:r>
              <w:rPr>
                <w:rFonts w:hint="eastAsia" w:hAnsi="宋体"/>
                <w:szCs w:val="21"/>
                <w:highlight w:val="none"/>
              </w:rPr>
              <w:t>堆焊</w:t>
            </w:r>
          </w:p>
        </w:tc>
        <w:tc>
          <w:tcPr>
            <w:tcW w:w="7183" w:type="dxa"/>
            <w:vAlign w:val="center"/>
          </w:tcPr>
          <w:p w14:paraId="5E6F8938">
            <w:pPr>
              <w:jc w:val="left"/>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1.用碳弧气刨清除原堆焊层，单台气化炉内夹套筒体部分清除原堆焊层面积</w:t>
            </w:r>
            <w:r>
              <w:rPr>
                <w:rFonts w:hint="eastAsia" w:ascii="宋体" w:hAnsi="宋体"/>
                <w:sz w:val="24"/>
                <w:szCs w:val="24"/>
                <w:highlight w:val="none"/>
                <w:lang w:val="en-US" w:eastAsia="zh-CN"/>
              </w:rPr>
              <w:t>18.12</w:t>
            </w:r>
            <w:r>
              <w:rPr>
                <w:rFonts w:hint="eastAsia" w:ascii="宋体" w:hAnsi="宋体" w:eastAsia="宋体" w:cs="宋体"/>
                <w:sz w:val="21"/>
                <w:szCs w:val="21"/>
                <w:highlight w:val="none"/>
                <w:lang w:val="en-US" w:eastAsia="zh-CN"/>
              </w:rPr>
              <w:t>m</w:t>
            </w:r>
            <w:r>
              <w:rPr>
                <w:rFonts w:hint="eastAsia" w:ascii="宋体" w:hAnsi="宋体" w:eastAsia="宋体" w:cs="宋体"/>
                <w:sz w:val="21"/>
                <w:szCs w:val="21"/>
                <w:highlight w:val="none"/>
                <w:vertAlign w:val="superscript"/>
                <w:lang w:val="en-US" w:eastAsia="zh-CN"/>
              </w:rPr>
              <w:t>2</w:t>
            </w:r>
            <w:r>
              <w:rPr>
                <w:rFonts w:hint="eastAsia" w:ascii="宋体" w:hAnsi="宋体" w:eastAsia="宋体" w:cs="宋体"/>
                <w:sz w:val="21"/>
                <w:szCs w:val="21"/>
                <w:highlight w:val="none"/>
                <w:lang w:val="en-US" w:eastAsia="zh-CN"/>
              </w:rPr>
              <w:t>。高度约1</w:t>
            </w:r>
            <w:r>
              <w:rPr>
                <w:rFonts w:hint="eastAsia" w:ascii="宋体" w:hAnsi="宋体" w:cs="宋体"/>
                <w:sz w:val="21"/>
                <w:szCs w:val="21"/>
                <w:highlight w:val="none"/>
                <w:lang w:val="en-US" w:eastAsia="zh-CN"/>
              </w:rPr>
              <w:t>5</w:t>
            </w:r>
            <w:r>
              <w:rPr>
                <w:rFonts w:hint="eastAsia" w:ascii="宋体" w:hAnsi="宋体" w:eastAsia="宋体" w:cs="宋体"/>
                <w:sz w:val="21"/>
                <w:szCs w:val="21"/>
                <w:highlight w:val="none"/>
                <w:lang w:val="en-US" w:eastAsia="zh-CN"/>
              </w:rPr>
              <w:t>00mm，直径3848mm。</w:t>
            </w:r>
          </w:p>
        </w:tc>
        <w:tc>
          <w:tcPr>
            <w:tcW w:w="767" w:type="dxa"/>
            <w:vAlign w:val="center"/>
          </w:tcPr>
          <w:p w14:paraId="6E251F18">
            <w:pPr>
              <w:jc w:val="center"/>
              <w:rPr>
                <w:rFonts w:hint="default" w:ascii="宋体" w:hAnsi="宋体" w:eastAsia="宋体" w:cs="Times New Roman"/>
                <w:color w:val="000000"/>
                <w:kern w:val="2"/>
                <w:sz w:val="21"/>
                <w:szCs w:val="21"/>
                <w:highlight w:val="none"/>
                <w:lang w:val="en-US" w:eastAsia="zh-CN" w:bidi="ar-SA"/>
              </w:rPr>
            </w:pPr>
            <w:r>
              <w:rPr>
                <w:rFonts w:hint="eastAsia" w:ascii="宋体" w:hAnsi="宋体" w:cs="Times New Roman"/>
                <w:color w:val="000000"/>
                <w:kern w:val="2"/>
                <w:sz w:val="21"/>
                <w:szCs w:val="21"/>
                <w:highlight w:val="none"/>
                <w:lang w:val="en-US" w:eastAsia="zh-CN" w:bidi="ar-SA"/>
              </w:rPr>
              <w:t>135</w:t>
            </w:r>
          </w:p>
        </w:tc>
      </w:tr>
      <w:tr w14:paraId="2DC33D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59" w:hRule="atLeast"/>
        </w:trPr>
        <w:tc>
          <w:tcPr>
            <w:tcW w:w="673" w:type="dxa"/>
            <w:vMerge w:val="continue"/>
            <w:vAlign w:val="center"/>
          </w:tcPr>
          <w:p w14:paraId="1CFDF7B4">
            <w:pPr>
              <w:pStyle w:val="74"/>
              <w:widowControl w:val="0"/>
              <w:spacing w:line="360" w:lineRule="auto"/>
              <w:ind w:firstLine="0" w:firstLineChars="0"/>
              <w:jc w:val="center"/>
              <w:rPr>
                <w:rFonts w:hint="eastAsia" w:hAnsi="宋体"/>
                <w:szCs w:val="21"/>
                <w:highlight w:val="none"/>
              </w:rPr>
            </w:pPr>
          </w:p>
        </w:tc>
        <w:tc>
          <w:tcPr>
            <w:tcW w:w="947" w:type="dxa"/>
            <w:vMerge w:val="continue"/>
            <w:vAlign w:val="center"/>
          </w:tcPr>
          <w:p w14:paraId="7BBB6974">
            <w:pPr>
              <w:pStyle w:val="74"/>
              <w:widowControl w:val="0"/>
              <w:spacing w:line="360" w:lineRule="auto"/>
              <w:ind w:firstLine="0" w:firstLineChars="0"/>
              <w:jc w:val="center"/>
              <w:rPr>
                <w:rFonts w:hint="eastAsia" w:hAnsi="宋体"/>
                <w:szCs w:val="21"/>
                <w:highlight w:val="none"/>
              </w:rPr>
            </w:pPr>
          </w:p>
        </w:tc>
        <w:tc>
          <w:tcPr>
            <w:tcW w:w="7183" w:type="dxa"/>
            <w:vAlign w:val="center"/>
          </w:tcPr>
          <w:p w14:paraId="4758BD94">
            <w:pPr>
              <w:jc w:val="left"/>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2.对气化炉内夹套筒体部分进行打磨，露出金属光泽。</w:t>
            </w:r>
          </w:p>
        </w:tc>
        <w:tc>
          <w:tcPr>
            <w:tcW w:w="767" w:type="dxa"/>
            <w:vAlign w:val="center"/>
          </w:tcPr>
          <w:p w14:paraId="22D53562">
            <w:pPr>
              <w:jc w:val="center"/>
              <w:rPr>
                <w:rFonts w:hint="default" w:ascii="宋体" w:hAnsi="宋体" w:eastAsia="宋体" w:cs="Times New Roman"/>
                <w:color w:val="000000"/>
                <w:kern w:val="2"/>
                <w:sz w:val="21"/>
                <w:szCs w:val="21"/>
                <w:highlight w:val="none"/>
                <w:lang w:val="en-US" w:eastAsia="zh-CN" w:bidi="ar-SA"/>
              </w:rPr>
            </w:pPr>
            <w:r>
              <w:rPr>
                <w:rFonts w:hint="eastAsia" w:ascii="宋体" w:hAnsi="宋体" w:cs="Times New Roman"/>
                <w:color w:val="000000"/>
                <w:kern w:val="2"/>
                <w:sz w:val="21"/>
                <w:szCs w:val="21"/>
                <w:highlight w:val="none"/>
                <w:lang w:val="en-US" w:eastAsia="zh-CN" w:bidi="ar-SA"/>
              </w:rPr>
              <w:t>168</w:t>
            </w:r>
          </w:p>
        </w:tc>
      </w:tr>
      <w:tr w14:paraId="01279D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76" w:hRule="atLeast"/>
        </w:trPr>
        <w:tc>
          <w:tcPr>
            <w:tcW w:w="673" w:type="dxa"/>
            <w:vMerge w:val="continue"/>
            <w:vAlign w:val="center"/>
          </w:tcPr>
          <w:p w14:paraId="38AF858B">
            <w:pPr>
              <w:pStyle w:val="74"/>
              <w:widowControl w:val="0"/>
              <w:spacing w:line="360" w:lineRule="auto"/>
              <w:ind w:firstLine="0" w:firstLineChars="0"/>
              <w:jc w:val="center"/>
              <w:rPr>
                <w:rFonts w:hint="eastAsia" w:hAnsi="宋体"/>
                <w:szCs w:val="21"/>
                <w:highlight w:val="none"/>
              </w:rPr>
            </w:pPr>
          </w:p>
        </w:tc>
        <w:tc>
          <w:tcPr>
            <w:tcW w:w="947" w:type="dxa"/>
            <w:vMerge w:val="continue"/>
            <w:vAlign w:val="center"/>
          </w:tcPr>
          <w:p w14:paraId="17B2FBCC">
            <w:pPr>
              <w:pStyle w:val="74"/>
              <w:widowControl w:val="0"/>
              <w:spacing w:line="360" w:lineRule="auto"/>
              <w:ind w:firstLine="0" w:firstLineChars="0"/>
              <w:jc w:val="center"/>
              <w:rPr>
                <w:rFonts w:hint="eastAsia" w:hAnsi="宋体"/>
                <w:szCs w:val="21"/>
                <w:highlight w:val="none"/>
              </w:rPr>
            </w:pPr>
          </w:p>
        </w:tc>
        <w:tc>
          <w:tcPr>
            <w:tcW w:w="7183" w:type="dxa"/>
            <w:vAlign w:val="center"/>
          </w:tcPr>
          <w:p w14:paraId="1AB1E2B3">
            <w:pPr>
              <w:jc w:val="left"/>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3.对气化炉内夹套筒体部分凹坑进行修补。</w:t>
            </w:r>
          </w:p>
        </w:tc>
        <w:tc>
          <w:tcPr>
            <w:tcW w:w="767" w:type="dxa"/>
            <w:vAlign w:val="center"/>
          </w:tcPr>
          <w:p w14:paraId="25089208">
            <w:pPr>
              <w:jc w:val="center"/>
              <w:rPr>
                <w:rFonts w:hint="default" w:ascii="宋体" w:hAnsi="宋体" w:cs="Times New Roman"/>
                <w:color w:val="000000"/>
                <w:kern w:val="2"/>
                <w:sz w:val="21"/>
                <w:szCs w:val="21"/>
                <w:highlight w:val="none"/>
                <w:lang w:val="en-US" w:eastAsia="zh-CN" w:bidi="ar-SA"/>
              </w:rPr>
            </w:pPr>
            <w:r>
              <w:rPr>
                <w:rFonts w:hint="eastAsia" w:ascii="宋体" w:hAnsi="宋体" w:cs="Times New Roman"/>
                <w:color w:val="000000"/>
                <w:kern w:val="2"/>
                <w:sz w:val="21"/>
                <w:szCs w:val="21"/>
                <w:highlight w:val="none"/>
                <w:lang w:val="en-US" w:eastAsia="zh-CN" w:bidi="ar-SA"/>
              </w:rPr>
              <w:t>88</w:t>
            </w:r>
          </w:p>
        </w:tc>
      </w:tr>
      <w:tr w14:paraId="7DDDBB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25" w:hRule="atLeast"/>
        </w:trPr>
        <w:tc>
          <w:tcPr>
            <w:tcW w:w="673" w:type="dxa"/>
            <w:vMerge w:val="continue"/>
            <w:vAlign w:val="center"/>
          </w:tcPr>
          <w:p w14:paraId="1D901196">
            <w:pPr>
              <w:pStyle w:val="74"/>
              <w:widowControl w:val="0"/>
              <w:spacing w:line="360" w:lineRule="auto"/>
              <w:ind w:firstLine="0" w:firstLineChars="0"/>
              <w:jc w:val="center"/>
              <w:rPr>
                <w:rFonts w:hint="eastAsia" w:hAnsi="宋体"/>
                <w:szCs w:val="21"/>
                <w:highlight w:val="none"/>
              </w:rPr>
            </w:pPr>
          </w:p>
        </w:tc>
        <w:tc>
          <w:tcPr>
            <w:tcW w:w="947" w:type="dxa"/>
            <w:vMerge w:val="continue"/>
            <w:vAlign w:val="center"/>
          </w:tcPr>
          <w:p w14:paraId="38101DA1">
            <w:pPr>
              <w:pStyle w:val="74"/>
              <w:widowControl w:val="0"/>
              <w:spacing w:line="360" w:lineRule="auto"/>
              <w:ind w:firstLine="0" w:firstLineChars="0"/>
              <w:jc w:val="center"/>
              <w:rPr>
                <w:rFonts w:hint="eastAsia" w:hAnsi="宋体"/>
                <w:szCs w:val="21"/>
                <w:highlight w:val="none"/>
              </w:rPr>
            </w:pPr>
          </w:p>
        </w:tc>
        <w:tc>
          <w:tcPr>
            <w:tcW w:w="7183" w:type="dxa"/>
            <w:vAlign w:val="center"/>
          </w:tcPr>
          <w:p w14:paraId="128C1FF7">
            <w:pPr>
              <w:jc w:val="left"/>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4.对气化炉内夹套筒体部分堆焊2层，2层总厚度为5mm以上。</w:t>
            </w:r>
          </w:p>
        </w:tc>
        <w:tc>
          <w:tcPr>
            <w:tcW w:w="767" w:type="dxa"/>
            <w:vAlign w:val="center"/>
          </w:tcPr>
          <w:p w14:paraId="52179813">
            <w:pPr>
              <w:jc w:val="center"/>
              <w:rPr>
                <w:rFonts w:hint="default" w:ascii="宋体" w:hAnsi="宋体" w:cs="Times New Roman"/>
                <w:color w:val="000000"/>
                <w:kern w:val="2"/>
                <w:sz w:val="21"/>
                <w:szCs w:val="21"/>
                <w:highlight w:val="none"/>
                <w:lang w:val="en-US" w:eastAsia="zh-CN" w:bidi="ar-SA"/>
              </w:rPr>
            </w:pPr>
            <w:r>
              <w:rPr>
                <w:rFonts w:hint="eastAsia" w:ascii="宋体" w:hAnsi="宋体" w:cs="Times New Roman"/>
                <w:color w:val="000000"/>
                <w:kern w:val="2"/>
                <w:sz w:val="21"/>
                <w:szCs w:val="21"/>
                <w:highlight w:val="none"/>
                <w:lang w:val="en-US" w:eastAsia="zh-CN" w:bidi="ar-SA"/>
              </w:rPr>
              <w:t>194</w:t>
            </w:r>
          </w:p>
        </w:tc>
      </w:tr>
      <w:tr w14:paraId="6B0E2B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9" w:hRule="atLeast"/>
        </w:trPr>
        <w:tc>
          <w:tcPr>
            <w:tcW w:w="673" w:type="dxa"/>
            <w:vMerge w:val="continue"/>
            <w:vAlign w:val="center"/>
          </w:tcPr>
          <w:p w14:paraId="3DFCDD43">
            <w:pPr>
              <w:pStyle w:val="74"/>
              <w:widowControl w:val="0"/>
              <w:spacing w:line="360" w:lineRule="auto"/>
              <w:ind w:firstLine="0" w:firstLineChars="0"/>
              <w:jc w:val="center"/>
              <w:rPr>
                <w:rFonts w:hint="eastAsia" w:hAnsi="宋体"/>
                <w:szCs w:val="21"/>
                <w:highlight w:val="none"/>
              </w:rPr>
            </w:pPr>
          </w:p>
        </w:tc>
        <w:tc>
          <w:tcPr>
            <w:tcW w:w="947" w:type="dxa"/>
            <w:vMerge w:val="continue"/>
            <w:vAlign w:val="center"/>
          </w:tcPr>
          <w:p w14:paraId="2F6E96B3">
            <w:pPr>
              <w:pStyle w:val="74"/>
              <w:widowControl w:val="0"/>
              <w:spacing w:line="360" w:lineRule="auto"/>
              <w:ind w:firstLine="0" w:firstLineChars="0"/>
              <w:jc w:val="center"/>
              <w:rPr>
                <w:rFonts w:hint="eastAsia" w:hAnsi="宋体"/>
                <w:szCs w:val="21"/>
                <w:highlight w:val="none"/>
              </w:rPr>
            </w:pPr>
          </w:p>
        </w:tc>
        <w:tc>
          <w:tcPr>
            <w:tcW w:w="7183" w:type="dxa"/>
            <w:vAlign w:val="center"/>
          </w:tcPr>
          <w:p w14:paraId="552F84A7">
            <w:pPr>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5.堆焊层表面进行光谱检测。检测不合格区域修复。</w:t>
            </w:r>
          </w:p>
        </w:tc>
        <w:tc>
          <w:tcPr>
            <w:tcW w:w="767" w:type="dxa"/>
            <w:vAlign w:val="center"/>
          </w:tcPr>
          <w:p w14:paraId="3E9558C7">
            <w:pPr>
              <w:jc w:val="center"/>
              <w:rPr>
                <w:rFonts w:hint="default" w:ascii="宋体" w:hAnsi="宋体" w:cs="Times New Roman"/>
                <w:color w:val="000000"/>
                <w:kern w:val="2"/>
                <w:sz w:val="21"/>
                <w:szCs w:val="21"/>
                <w:highlight w:val="none"/>
                <w:lang w:val="en-US" w:eastAsia="zh-CN" w:bidi="ar-SA"/>
              </w:rPr>
            </w:pPr>
            <w:r>
              <w:rPr>
                <w:rFonts w:hint="eastAsia" w:ascii="宋体" w:hAnsi="宋体" w:cs="Times New Roman"/>
                <w:color w:val="000000"/>
                <w:kern w:val="2"/>
                <w:sz w:val="21"/>
                <w:szCs w:val="21"/>
                <w:highlight w:val="none"/>
                <w:lang w:val="en-US" w:eastAsia="zh-CN" w:bidi="ar-SA"/>
              </w:rPr>
              <w:t>72</w:t>
            </w:r>
          </w:p>
        </w:tc>
      </w:tr>
      <w:tr w14:paraId="0B7930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76" w:hRule="atLeast"/>
        </w:trPr>
        <w:tc>
          <w:tcPr>
            <w:tcW w:w="673" w:type="dxa"/>
            <w:vMerge w:val="restart"/>
            <w:vAlign w:val="center"/>
          </w:tcPr>
          <w:p w14:paraId="22AE02E5">
            <w:pPr>
              <w:pStyle w:val="74"/>
              <w:widowControl w:val="0"/>
              <w:spacing w:line="360" w:lineRule="auto"/>
              <w:ind w:firstLine="0" w:firstLineChars="0"/>
              <w:jc w:val="center"/>
              <w:rPr>
                <w:rFonts w:hint="eastAsia" w:hAnsi="宋体" w:eastAsia="宋体"/>
                <w:szCs w:val="21"/>
                <w:highlight w:val="none"/>
                <w:lang w:val="en-US" w:eastAsia="zh-CN"/>
              </w:rPr>
            </w:pPr>
            <w:r>
              <w:rPr>
                <w:rFonts w:hint="eastAsia" w:hAnsi="宋体"/>
                <w:szCs w:val="21"/>
                <w:highlight w:val="none"/>
                <w:lang w:val="en-US" w:eastAsia="zh-CN"/>
              </w:rPr>
              <w:t>2</w:t>
            </w:r>
          </w:p>
        </w:tc>
        <w:tc>
          <w:tcPr>
            <w:tcW w:w="947" w:type="dxa"/>
            <w:vMerge w:val="restart"/>
            <w:vAlign w:val="center"/>
          </w:tcPr>
          <w:p w14:paraId="414D497C">
            <w:pPr>
              <w:pStyle w:val="74"/>
              <w:widowControl w:val="0"/>
              <w:spacing w:line="240" w:lineRule="auto"/>
              <w:ind w:firstLine="0" w:firstLineChars="0"/>
              <w:jc w:val="center"/>
              <w:rPr>
                <w:rFonts w:hint="eastAsia" w:hAnsi="宋体"/>
                <w:szCs w:val="21"/>
                <w:highlight w:val="none"/>
              </w:rPr>
            </w:pPr>
            <w:r>
              <w:rPr>
                <w:rFonts w:hint="eastAsia" w:hAnsi="宋体"/>
                <w:szCs w:val="21"/>
                <w:highlight w:val="none"/>
              </w:rPr>
              <w:t>下灰室</w:t>
            </w:r>
          </w:p>
          <w:p w14:paraId="6B36F900">
            <w:pPr>
              <w:pStyle w:val="74"/>
              <w:widowControl w:val="0"/>
              <w:spacing w:line="240" w:lineRule="auto"/>
              <w:ind w:firstLine="0" w:firstLineChars="0"/>
              <w:jc w:val="center"/>
              <w:rPr>
                <w:rFonts w:hint="eastAsia" w:hAnsi="宋体"/>
                <w:szCs w:val="21"/>
                <w:highlight w:val="none"/>
              </w:rPr>
            </w:pPr>
            <w:r>
              <w:rPr>
                <w:rFonts w:hint="eastAsia" w:hAnsi="宋体"/>
                <w:szCs w:val="21"/>
                <w:highlight w:val="none"/>
              </w:rPr>
              <w:t>锥体部</w:t>
            </w:r>
          </w:p>
          <w:p w14:paraId="1C3D4850">
            <w:pPr>
              <w:pStyle w:val="74"/>
              <w:widowControl w:val="0"/>
              <w:spacing w:line="240" w:lineRule="auto"/>
              <w:ind w:firstLine="0" w:firstLineChars="0"/>
              <w:jc w:val="center"/>
              <w:rPr>
                <w:rFonts w:hAnsi="宋体"/>
                <w:szCs w:val="21"/>
                <w:highlight w:val="none"/>
              </w:rPr>
            </w:pPr>
            <w:r>
              <w:rPr>
                <w:rFonts w:hint="eastAsia" w:hAnsi="宋体"/>
                <w:szCs w:val="21"/>
                <w:highlight w:val="none"/>
              </w:rPr>
              <w:t>分堆焊</w:t>
            </w:r>
          </w:p>
        </w:tc>
        <w:tc>
          <w:tcPr>
            <w:tcW w:w="7183" w:type="dxa"/>
            <w:vAlign w:val="center"/>
          </w:tcPr>
          <w:p w14:paraId="6BAE2EDA">
            <w:pPr>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1.拆除下灰室锥体部分护板。</w:t>
            </w:r>
          </w:p>
        </w:tc>
        <w:tc>
          <w:tcPr>
            <w:tcW w:w="767" w:type="dxa"/>
            <w:vAlign w:val="center"/>
          </w:tcPr>
          <w:p w14:paraId="23E9C4C8">
            <w:pPr>
              <w:jc w:val="center"/>
              <w:rPr>
                <w:rFonts w:hint="default" w:ascii="宋体" w:hAnsi="宋体" w:eastAsia="宋体"/>
                <w:color w:val="000000"/>
                <w:sz w:val="21"/>
                <w:szCs w:val="21"/>
                <w:highlight w:val="none"/>
                <w:lang w:val="en-US" w:eastAsia="zh-CN"/>
              </w:rPr>
            </w:pPr>
            <w:r>
              <w:rPr>
                <w:rFonts w:hint="eastAsia" w:ascii="宋体" w:hAnsi="宋体"/>
                <w:color w:val="000000"/>
                <w:sz w:val="21"/>
                <w:szCs w:val="21"/>
                <w:highlight w:val="none"/>
                <w:lang w:val="en-US" w:eastAsia="zh-CN"/>
              </w:rPr>
              <w:t>28</w:t>
            </w:r>
          </w:p>
        </w:tc>
      </w:tr>
      <w:tr w14:paraId="554E93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12" w:hRule="atLeast"/>
        </w:trPr>
        <w:tc>
          <w:tcPr>
            <w:tcW w:w="673" w:type="dxa"/>
            <w:vMerge w:val="continue"/>
            <w:vAlign w:val="center"/>
          </w:tcPr>
          <w:p w14:paraId="71325B9D">
            <w:pPr>
              <w:pStyle w:val="74"/>
              <w:widowControl w:val="0"/>
              <w:spacing w:line="360" w:lineRule="auto"/>
              <w:ind w:firstLine="0" w:firstLineChars="0"/>
              <w:jc w:val="center"/>
              <w:rPr>
                <w:rFonts w:hAnsi="宋体"/>
                <w:szCs w:val="21"/>
                <w:highlight w:val="none"/>
              </w:rPr>
            </w:pPr>
          </w:p>
        </w:tc>
        <w:tc>
          <w:tcPr>
            <w:tcW w:w="947" w:type="dxa"/>
            <w:vMerge w:val="continue"/>
            <w:vAlign w:val="center"/>
          </w:tcPr>
          <w:p w14:paraId="6F5225AB">
            <w:pPr>
              <w:pStyle w:val="74"/>
              <w:widowControl w:val="0"/>
              <w:spacing w:line="240" w:lineRule="auto"/>
              <w:ind w:firstLine="0" w:firstLineChars="0"/>
              <w:jc w:val="center"/>
              <w:rPr>
                <w:rFonts w:hAnsi="宋体"/>
                <w:szCs w:val="21"/>
                <w:highlight w:val="none"/>
              </w:rPr>
            </w:pPr>
          </w:p>
        </w:tc>
        <w:tc>
          <w:tcPr>
            <w:tcW w:w="7183" w:type="dxa"/>
            <w:vAlign w:val="center"/>
          </w:tcPr>
          <w:p w14:paraId="2DB21A3C">
            <w:pPr>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2.清理下灰室锥体部分表面的灰渣，铲除铁锈，并利用砂轮或其他打磨工具将锥体表面打磨出金属光泽，下灰室锥体部分需打磨的面积约</w:t>
            </w:r>
            <w:r>
              <w:rPr>
                <w:rFonts w:hint="eastAsia" w:ascii="宋体" w:hAnsi="宋体"/>
                <w:sz w:val="24"/>
                <w:szCs w:val="24"/>
                <w:highlight w:val="none"/>
                <w:lang w:val="en-US" w:eastAsia="zh-CN"/>
              </w:rPr>
              <w:t>10.26m</w:t>
            </w:r>
            <w:r>
              <w:rPr>
                <w:rFonts w:hint="eastAsia" w:ascii="宋体" w:hAnsi="宋体"/>
                <w:sz w:val="24"/>
                <w:szCs w:val="24"/>
                <w:highlight w:val="none"/>
                <w:vertAlign w:val="superscript"/>
                <w:lang w:val="en-US" w:eastAsia="zh-CN"/>
              </w:rPr>
              <w:t>2</w:t>
            </w:r>
            <w:r>
              <w:rPr>
                <w:rFonts w:hint="eastAsia" w:ascii="宋体" w:hAnsi="宋体" w:eastAsia="宋体" w:cs="宋体"/>
                <w:sz w:val="21"/>
                <w:szCs w:val="21"/>
                <w:highlight w:val="none"/>
                <w:lang w:val="en-US" w:eastAsia="zh-CN"/>
              </w:rPr>
              <w:t>。</w:t>
            </w:r>
          </w:p>
        </w:tc>
        <w:tc>
          <w:tcPr>
            <w:tcW w:w="767" w:type="dxa"/>
            <w:vAlign w:val="center"/>
          </w:tcPr>
          <w:p w14:paraId="32235846">
            <w:pPr>
              <w:jc w:val="center"/>
              <w:rPr>
                <w:rFonts w:hint="default" w:ascii="宋体" w:hAnsi="宋体" w:eastAsia="宋体"/>
                <w:color w:val="000000"/>
                <w:sz w:val="21"/>
                <w:szCs w:val="21"/>
                <w:highlight w:val="none"/>
                <w:lang w:val="en-US" w:eastAsia="zh-CN"/>
              </w:rPr>
            </w:pPr>
            <w:r>
              <w:rPr>
                <w:rFonts w:hint="eastAsia" w:ascii="宋体" w:hAnsi="宋体"/>
                <w:color w:val="000000"/>
                <w:sz w:val="21"/>
                <w:szCs w:val="21"/>
                <w:highlight w:val="none"/>
                <w:lang w:val="en-US" w:eastAsia="zh-CN"/>
              </w:rPr>
              <w:t>118</w:t>
            </w:r>
          </w:p>
        </w:tc>
      </w:tr>
      <w:tr w14:paraId="3527F5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4" w:hRule="atLeast"/>
        </w:trPr>
        <w:tc>
          <w:tcPr>
            <w:tcW w:w="673" w:type="dxa"/>
            <w:vMerge w:val="continue"/>
            <w:vAlign w:val="center"/>
          </w:tcPr>
          <w:p w14:paraId="62CBF4A2">
            <w:pPr>
              <w:pStyle w:val="74"/>
              <w:widowControl w:val="0"/>
              <w:spacing w:line="360" w:lineRule="auto"/>
              <w:ind w:firstLine="0" w:firstLineChars="0"/>
              <w:jc w:val="center"/>
              <w:rPr>
                <w:rFonts w:hAnsi="宋体"/>
                <w:szCs w:val="21"/>
                <w:highlight w:val="none"/>
              </w:rPr>
            </w:pPr>
          </w:p>
        </w:tc>
        <w:tc>
          <w:tcPr>
            <w:tcW w:w="947" w:type="dxa"/>
            <w:vMerge w:val="continue"/>
            <w:vAlign w:val="center"/>
          </w:tcPr>
          <w:p w14:paraId="59A96CE2">
            <w:pPr>
              <w:pStyle w:val="74"/>
              <w:widowControl w:val="0"/>
              <w:spacing w:line="240" w:lineRule="auto"/>
              <w:ind w:firstLine="0" w:firstLineChars="0"/>
              <w:jc w:val="center"/>
              <w:rPr>
                <w:rFonts w:hAnsi="宋体"/>
                <w:szCs w:val="21"/>
                <w:highlight w:val="none"/>
              </w:rPr>
            </w:pPr>
          </w:p>
        </w:tc>
        <w:tc>
          <w:tcPr>
            <w:tcW w:w="7183" w:type="dxa"/>
            <w:vAlign w:val="center"/>
          </w:tcPr>
          <w:p w14:paraId="7E0179F0">
            <w:pPr>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3.下灰室锥体部分下灰室锥体部分打磨完成后对凹陷处进行补平堆焊，堆焊面积</w:t>
            </w:r>
            <w:r>
              <w:rPr>
                <w:rFonts w:hint="eastAsia" w:ascii="宋体" w:hAnsi="宋体"/>
                <w:sz w:val="24"/>
                <w:szCs w:val="24"/>
                <w:highlight w:val="none"/>
                <w:lang w:val="en-US" w:eastAsia="zh-CN"/>
              </w:rPr>
              <w:t>10.26m</w:t>
            </w:r>
            <w:r>
              <w:rPr>
                <w:rFonts w:hint="eastAsia" w:ascii="宋体" w:hAnsi="宋体"/>
                <w:sz w:val="24"/>
                <w:szCs w:val="24"/>
                <w:highlight w:val="none"/>
                <w:vertAlign w:val="superscript"/>
                <w:lang w:val="en-US" w:eastAsia="zh-CN"/>
              </w:rPr>
              <w:t>2</w:t>
            </w:r>
            <w:r>
              <w:rPr>
                <w:rFonts w:hint="eastAsia" w:ascii="宋体" w:hAnsi="宋体" w:eastAsia="宋体" w:cs="宋体"/>
                <w:sz w:val="21"/>
                <w:szCs w:val="21"/>
                <w:highlight w:val="none"/>
                <w:lang w:val="en-US" w:eastAsia="zh-CN"/>
              </w:rPr>
              <w:t>。</w:t>
            </w:r>
          </w:p>
        </w:tc>
        <w:tc>
          <w:tcPr>
            <w:tcW w:w="767" w:type="dxa"/>
            <w:vAlign w:val="center"/>
          </w:tcPr>
          <w:p w14:paraId="41803AEF">
            <w:pPr>
              <w:jc w:val="center"/>
              <w:rPr>
                <w:rFonts w:hint="default" w:ascii="宋体" w:hAnsi="宋体" w:eastAsia="宋体"/>
                <w:color w:val="000000"/>
                <w:sz w:val="21"/>
                <w:szCs w:val="21"/>
                <w:highlight w:val="none"/>
                <w:lang w:val="en-US" w:eastAsia="zh-CN"/>
              </w:rPr>
            </w:pPr>
            <w:r>
              <w:rPr>
                <w:rFonts w:hint="eastAsia" w:ascii="宋体" w:hAnsi="宋体"/>
                <w:color w:val="000000"/>
                <w:sz w:val="21"/>
                <w:szCs w:val="21"/>
                <w:highlight w:val="none"/>
                <w:lang w:val="en-US" w:eastAsia="zh-CN"/>
              </w:rPr>
              <w:t>19</w:t>
            </w:r>
          </w:p>
        </w:tc>
      </w:tr>
      <w:tr w14:paraId="31BFE9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2" w:hRule="atLeast"/>
        </w:trPr>
        <w:tc>
          <w:tcPr>
            <w:tcW w:w="673" w:type="dxa"/>
            <w:vMerge w:val="continue"/>
            <w:vAlign w:val="center"/>
          </w:tcPr>
          <w:p w14:paraId="501B7622">
            <w:pPr>
              <w:pStyle w:val="74"/>
              <w:widowControl w:val="0"/>
              <w:spacing w:line="360" w:lineRule="auto"/>
              <w:ind w:firstLine="0" w:firstLineChars="0"/>
              <w:jc w:val="center"/>
              <w:rPr>
                <w:rFonts w:hAnsi="宋体"/>
                <w:szCs w:val="21"/>
                <w:highlight w:val="none"/>
              </w:rPr>
            </w:pPr>
          </w:p>
        </w:tc>
        <w:tc>
          <w:tcPr>
            <w:tcW w:w="947" w:type="dxa"/>
            <w:vMerge w:val="continue"/>
            <w:vAlign w:val="center"/>
          </w:tcPr>
          <w:p w14:paraId="31E49066">
            <w:pPr>
              <w:pStyle w:val="74"/>
              <w:widowControl w:val="0"/>
              <w:spacing w:line="240" w:lineRule="auto"/>
              <w:ind w:firstLine="0" w:firstLineChars="0"/>
              <w:jc w:val="center"/>
              <w:rPr>
                <w:rFonts w:hAnsi="宋体"/>
                <w:szCs w:val="21"/>
                <w:highlight w:val="none"/>
              </w:rPr>
            </w:pPr>
          </w:p>
        </w:tc>
        <w:tc>
          <w:tcPr>
            <w:tcW w:w="7183" w:type="dxa"/>
            <w:vAlign w:val="center"/>
          </w:tcPr>
          <w:p w14:paraId="553EA1C0">
            <w:pPr>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4.下灰室锥体部分堆焊，堆焊面积</w:t>
            </w:r>
            <w:r>
              <w:rPr>
                <w:rFonts w:hint="eastAsia" w:ascii="宋体" w:hAnsi="宋体"/>
                <w:sz w:val="24"/>
                <w:szCs w:val="24"/>
                <w:highlight w:val="none"/>
                <w:lang w:val="en-US" w:eastAsia="zh-CN"/>
              </w:rPr>
              <w:t>10.26m</w:t>
            </w:r>
            <w:r>
              <w:rPr>
                <w:rFonts w:hint="eastAsia" w:ascii="宋体" w:hAnsi="宋体"/>
                <w:sz w:val="24"/>
                <w:szCs w:val="24"/>
                <w:highlight w:val="none"/>
                <w:vertAlign w:val="superscript"/>
                <w:lang w:val="en-US" w:eastAsia="zh-CN"/>
              </w:rPr>
              <w:t>2</w:t>
            </w:r>
            <w:r>
              <w:rPr>
                <w:rFonts w:hint="eastAsia" w:ascii="宋体" w:hAnsi="宋体" w:eastAsia="宋体" w:cs="宋体"/>
                <w:sz w:val="21"/>
                <w:szCs w:val="21"/>
                <w:highlight w:val="none"/>
                <w:lang w:val="en-US" w:eastAsia="zh-CN"/>
              </w:rPr>
              <w:t>。</w:t>
            </w:r>
          </w:p>
        </w:tc>
        <w:tc>
          <w:tcPr>
            <w:tcW w:w="767" w:type="dxa"/>
            <w:vAlign w:val="center"/>
          </w:tcPr>
          <w:p w14:paraId="1BEF2367">
            <w:pPr>
              <w:jc w:val="center"/>
              <w:rPr>
                <w:rFonts w:hint="default" w:ascii="宋体" w:hAnsi="宋体" w:eastAsia="宋体"/>
                <w:color w:val="000000"/>
                <w:sz w:val="21"/>
                <w:szCs w:val="21"/>
                <w:highlight w:val="none"/>
                <w:lang w:val="en-US" w:eastAsia="zh-CN"/>
              </w:rPr>
            </w:pPr>
            <w:r>
              <w:rPr>
                <w:rFonts w:hint="eastAsia" w:ascii="宋体" w:hAnsi="宋体"/>
                <w:color w:val="000000"/>
                <w:sz w:val="21"/>
                <w:szCs w:val="21"/>
                <w:highlight w:val="none"/>
                <w:lang w:val="en-US" w:eastAsia="zh-CN"/>
              </w:rPr>
              <w:t>162</w:t>
            </w:r>
          </w:p>
        </w:tc>
      </w:tr>
      <w:tr w14:paraId="2B9B14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42" w:hRule="atLeast"/>
        </w:trPr>
        <w:tc>
          <w:tcPr>
            <w:tcW w:w="673" w:type="dxa"/>
            <w:vMerge w:val="continue"/>
            <w:vAlign w:val="center"/>
          </w:tcPr>
          <w:p w14:paraId="205D2BF4">
            <w:pPr>
              <w:pStyle w:val="74"/>
              <w:widowControl w:val="0"/>
              <w:spacing w:line="360" w:lineRule="auto"/>
              <w:ind w:firstLine="0" w:firstLineChars="0"/>
              <w:jc w:val="center"/>
              <w:rPr>
                <w:rFonts w:hAnsi="宋体"/>
                <w:szCs w:val="21"/>
                <w:highlight w:val="none"/>
              </w:rPr>
            </w:pPr>
          </w:p>
        </w:tc>
        <w:tc>
          <w:tcPr>
            <w:tcW w:w="947" w:type="dxa"/>
            <w:vMerge w:val="continue"/>
            <w:vAlign w:val="center"/>
          </w:tcPr>
          <w:p w14:paraId="59A17FB1">
            <w:pPr>
              <w:pStyle w:val="74"/>
              <w:widowControl w:val="0"/>
              <w:spacing w:line="240" w:lineRule="auto"/>
              <w:ind w:firstLine="0" w:firstLineChars="0"/>
              <w:jc w:val="center"/>
              <w:rPr>
                <w:rFonts w:hAnsi="宋体"/>
                <w:szCs w:val="21"/>
                <w:highlight w:val="none"/>
              </w:rPr>
            </w:pPr>
          </w:p>
        </w:tc>
        <w:tc>
          <w:tcPr>
            <w:tcW w:w="7183" w:type="dxa"/>
            <w:vAlign w:val="center"/>
          </w:tcPr>
          <w:p w14:paraId="063FBACC">
            <w:pPr>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5.堆焊层表面进行光谱检测。检测不合格区域修复。</w:t>
            </w:r>
          </w:p>
        </w:tc>
        <w:tc>
          <w:tcPr>
            <w:tcW w:w="767" w:type="dxa"/>
            <w:vAlign w:val="center"/>
          </w:tcPr>
          <w:p w14:paraId="15DF8E73">
            <w:pPr>
              <w:jc w:val="center"/>
              <w:rPr>
                <w:rFonts w:hint="default" w:ascii="宋体" w:hAnsi="宋体" w:eastAsia="宋体"/>
                <w:color w:val="000000"/>
                <w:sz w:val="21"/>
                <w:szCs w:val="21"/>
                <w:highlight w:val="none"/>
                <w:lang w:val="en-US" w:eastAsia="zh-CN"/>
              </w:rPr>
            </w:pPr>
            <w:r>
              <w:rPr>
                <w:rFonts w:hint="eastAsia" w:ascii="宋体" w:hAnsi="宋体"/>
                <w:color w:val="000000"/>
                <w:sz w:val="21"/>
                <w:szCs w:val="21"/>
                <w:highlight w:val="none"/>
                <w:lang w:val="en-US" w:eastAsia="zh-CN"/>
              </w:rPr>
              <w:t>27</w:t>
            </w:r>
          </w:p>
        </w:tc>
      </w:tr>
      <w:tr w14:paraId="25293D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5" w:hRule="atLeast"/>
        </w:trPr>
        <w:tc>
          <w:tcPr>
            <w:tcW w:w="673" w:type="dxa"/>
            <w:vMerge w:val="restart"/>
            <w:vAlign w:val="center"/>
          </w:tcPr>
          <w:p w14:paraId="2EC75848">
            <w:pPr>
              <w:pStyle w:val="74"/>
              <w:widowControl w:val="0"/>
              <w:spacing w:line="360" w:lineRule="auto"/>
              <w:ind w:firstLine="0" w:firstLineChars="0"/>
              <w:jc w:val="center"/>
              <w:rPr>
                <w:rFonts w:hint="eastAsia" w:hAnsi="宋体" w:eastAsia="宋体"/>
                <w:szCs w:val="21"/>
                <w:highlight w:val="none"/>
                <w:lang w:val="en-US" w:eastAsia="zh-CN"/>
              </w:rPr>
            </w:pPr>
            <w:r>
              <w:rPr>
                <w:rFonts w:hint="eastAsia" w:hAnsi="宋体"/>
                <w:szCs w:val="21"/>
                <w:highlight w:val="none"/>
                <w:lang w:val="en-US" w:eastAsia="zh-CN"/>
              </w:rPr>
              <w:t>3</w:t>
            </w:r>
          </w:p>
        </w:tc>
        <w:tc>
          <w:tcPr>
            <w:tcW w:w="947" w:type="dxa"/>
            <w:vMerge w:val="restart"/>
            <w:vAlign w:val="center"/>
          </w:tcPr>
          <w:p w14:paraId="3B2EFA6E">
            <w:pPr>
              <w:pStyle w:val="74"/>
              <w:widowControl w:val="0"/>
              <w:spacing w:line="240" w:lineRule="auto"/>
              <w:ind w:firstLine="0" w:firstLineChars="0"/>
              <w:jc w:val="center"/>
              <w:rPr>
                <w:rFonts w:hint="eastAsia" w:hAnsi="宋体"/>
                <w:szCs w:val="21"/>
                <w:highlight w:val="none"/>
              </w:rPr>
            </w:pPr>
            <w:r>
              <w:rPr>
                <w:rFonts w:hint="eastAsia" w:hAnsi="宋体"/>
                <w:szCs w:val="21"/>
                <w:highlight w:val="none"/>
              </w:rPr>
              <w:t>下灰室4</w:t>
            </w:r>
          </w:p>
          <w:p w14:paraId="49A1A0EE">
            <w:pPr>
              <w:pStyle w:val="74"/>
              <w:widowControl w:val="0"/>
              <w:spacing w:line="240" w:lineRule="auto"/>
              <w:ind w:firstLine="0" w:firstLineChars="0"/>
              <w:jc w:val="center"/>
              <w:rPr>
                <w:rFonts w:hint="eastAsia" w:hAnsi="宋体"/>
                <w:szCs w:val="21"/>
                <w:highlight w:val="none"/>
              </w:rPr>
            </w:pPr>
            <w:r>
              <w:rPr>
                <w:rFonts w:hint="eastAsia" w:hAnsi="宋体"/>
                <w:szCs w:val="21"/>
                <w:highlight w:val="none"/>
              </w:rPr>
              <w:t>根立柱</w:t>
            </w:r>
          </w:p>
          <w:p w14:paraId="54F49BD2">
            <w:pPr>
              <w:pStyle w:val="74"/>
              <w:widowControl w:val="0"/>
              <w:spacing w:line="240" w:lineRule="auto"/>
              <w:ind w:firstLine="0" w:firstLineChars="0"/>
              <w:jc w:val="center"/>
              <w:rPr>
                <w:rFonts w:hAnsi="宋体"/>
                <w:szCs w:val="21"/>
                <w:highlight w:val="none"/>
              </w:rPr>
            </w:pPr>
            <w:r>
              <w:rPr>
                <w:rFonts w:hint="eastAsia" w:hAnsi="宋体"/>
                <w:szCs w:val="21"/>
                <w:highlight w:val="none"/>
              </w:rPr>
              <w:t>部分</w:t>
            </w:r>
          </w:p>
        </w:tc>
        <w:tc>
          <w:tcPr>
            <w:tcW w:w="7183" w:type="dxa"/>
            <w:vAlign w:val="center"/>
          </w:tcPr>
          <w:p w14:paraId="655A8640">
            <w:pPr>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1.用碳弧气刨清除原堆焊层，下灰室4根立柱部分清除原堆焊层面积8m</w:t>
            </w:r>
            <w:r>
              <w:rPr>
                <w:rFonts w:hint="eastAsia" w:ascii="宋体" w:hAnsi="宋体" w:eastAsia="宋体" w:cs="宋体"/>
                <w:sz w:val="21"/>
                <w:szCs w:val="21"/>
                <w:highlight w:val="none"/>
                <w:vertAlign w:val="superscript"/>
              </w:rPr>
              <w:t>2</w:t>
            </w:r>
            <w:r>
              <w:rPr>
                <w:rFonts w:hint="eastAsia" w:ascii="宋体" w:hAnsi="宋体" w:eastAsia="宋体" w:cs="宋体"/>
                <w:sz w:val="21"/>
                <w:szCs w:val="21"/>
                <w:highlight w:val="none"/>
              </w:rPr>
              <w:t>。</w:t>
            </w:r>
          </w:p>
        </w:tc>
        <w:tc>
          <w:tcPr>
            <w:tcW w:w="767" w:type="dxa"/>
            <w:vAlign w:val="center"/>
          </w:tcPr>
          <w:p w14:paraId="51D742AF">
            <w:pPr>
              <w:jc w:val="center"/>
              <w:rPr>
                <w:rFonts w:hint="default" w:ascii="宋体" w:hAnsi="宋体" w:eastAsia="宋体"/>
                <w:color w:val="000000"/>
                <w:sz w:val="21"/>
                <w:szCs w:val="21"/>
                <w:highlight w:val="none"/>
                <w:lang w:val="en-US" w:eastAsia="zh-CN"/>
              </w:rPr>
            </w:pPr>
            <w:r>
              <w:rPr>
                <w:rFonts w:hint="eastAsia" w:ascii="宋体" w:hAnsi="宋体"/>
                <w:color w:val="000000"/>
                <w:sz w:val="21"/>
                <w:szCs w:val="21"/>
                <w:highlight w:val="none"/>
                <w:lang w:val="en-US" w:eastAsia="zh-CN"/>
              </w:rPr>
              <w:t>54</w:t>
            </w:r>
          </w:p>
        </w:tc>
      </w:tr>
      <w:tr w14:paraId="52D8F4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76" w:hRule="atLeast"/>
        </w:trPr>
        <w:tc>
          <w:tcPr>
            <w:tcW w:w="673" w:type="dxa"/>
            <w:vMerge w:val="continue"/>
            <w:vAlign w:val="center"/>
          </w:tcPr>
          <w:p w14:paraId="09DD7CCA">
            <w:pPr>
              <w:pStyle w:val="74"/>
              <w:widowControl w:val="0"/>
              <w:spacing w:line="360" w:lineRule="auto"/>
              <w:ind w:firstLine="0" w:firstLineChars="0"/>
              <w:jc w:val="center"/>
              <w:rPr>
                <w:rFonts w:hint="eastAsia" w:hAnsi="宋体"/>
                <w:szCs w:val="21"/>
                <w:highlight w:val="none"/>
                <w:lang w:val="en-US" w:eastAsia="zh-CN"/>
              </w:rPr>
            </w:pPr>
          </w:p>
        </w:tc>
        <w:tc>
          <w:tcPr>
            <w:tcW w:w="947" w:type="dxa"/>
            <w:vMerge w:val="continue"/>
            <w:vAlign w:val="center"/>
          </w:tcPr>
          <w:p w14:paraId="0514EC84">
            <w:pPr>
              <w:pStyle w:val="74"/>
              <w:widowControl w:val="0"/>
              <w:spacing w:line="360" w:lineRule="auto"/>
              <w:ind w:firstLine="0" w:firstLineChars="0"/>
              <w:jc w:val="center"/>
              <w:rPr>
                <w:rFonts w:hint="eastAsia" w:hAnsi="宋体"/>
                <w:szCs w:val="21"/>
                <w:highlight w:val="none"/>
              </w:rPr>
            </w:pPr>
          </w:p>
        </w:tc>
        <w:tc>
          <w:tcPr>
            <w:tcW w:w="7183" w:type="dxa"/>
            <w:vAlign w:val="center"/>
          </w:tcPr>
          <w:p w14:paraId="50D1C4DD">
            <w:pPr>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2.对下灰室4根立柱部分打磨，露出金属光泽。</w:t>
            </w:r>
          </w:p>
        </w:tc>
        <w:tc>
          <w:tcPr>
            <w:tcW w:w="767" w:type="dxa"/>
            <w:vAlign w:val="center"/>
          </w:tcPr>
          <w:p w14:paraId="11287F8B">
            <w:pPr>
              <w:jc w:val="center"/>
              <w:rPr>
                <w:rFonts w:hint="default" w:ascii="宋体" w:hAnsi="宋体" w:eastAsia="宋体"/>
                <w:color w:val="000000"/>
                <w:sz w:val="21"/>
                <w:szCs w:val="21"/>
                <w:highlight w:val="none"/>
                <w:lang w:val="en-US" w:eastAsia="zh-CN"/>
              </w:rPr>
            </w:pPr>
            <w:r>
              <w:rPr>
                <w:rFonts w:hint="eastAsia" w:ascii="宋体" w:hAnsi="宋体"/>
                <w:color w:val="000000"/>
                <w:sz w:val="21"/>
                <w:szCs w:val="21"/>
                <w:highlight w:val="none"/>
                <w:lang w:val="en-US" w:eastAsia="zh-CN"/>
              </w:rPr>
              <w:t>102</w:t>
            </w:r>
          </w:p>
        </w:tc>
      </w:tr>
      <w:tr w14:paraId="304515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3" w:hRule="atLeast"/>
        </w:trPr>
        <w:tc>
          <w:tcPr>
            <w:tcW w:w="673" w:type="dxa"/>
            <w:vMerge w:val="continue"/>
            <w:vAlign w:val="center"/>
          </w:tcPr>
          <w:p w14:paraId="7EEBD1FD">
            <w:pPr>
              <w:pStyle w:val="74"/>
              <w:widowControl w:val="0"/>
              <w:spacing w:line="360" w:lineRule="auto"/>
              <w:ind w:firstLine="0" w:firstLineChars="0"/>
              <w:jc w:val="center"/>
              <w:rPr>
                <w:rFonts w:hint="eastAsia" w:hAnsi="宋体"/>
                <w:szCs w:val="21"/>
                <w:highlight w:val="none"/>
                <w:lang w:val="en-US" w:eastAsia="zh-CN"/>
              </w:rPr>
            </w:pPr>
          </w:p>
        </w:tc>
        <w:tc>
          <w:tcPr>
            <w:tcW w:w="947" w:type="dxa"/>
            <w:vMerge w:val="continue"/>
            <w:vAlign w:val="center"/>
          </w:tcPr>
          <w:p w14:paraId="32F0FF74">
            <w:pPr>
              <w:pStyle w:val="74"/>
              <w:widowControl w:val="0"/>
              <w:spacing w:line="360" w:lineRule="auto"/>
              <w:ind w:firstLine="0" w:firstLineChars="0"/>
              <w:jc w:val="center"/>
              <w:rPr>
                <w:rFonts w:hint="eastAsia" w:hAnsi="宋体"/>
                <w:szCs w:val="21"/>
                <w:highlight w:val="none"/>
              </w:rPr>
            </w:pPr>
          </w:p>
        </w:tc>
        <w:tc>
          <w:tcPr>
            <w:tcW w:w="7183" w:type="dxa"/>
            <w:vAlign w:val="center"/>
          </w:tcPr>
          <w:p w14:paraId="63DB0A86">
            <w:pPr>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3.对下灰室4根立柱部分凹坑进行修补。</w:t>
            </w:r>
          </w:p>
        </w:tc>
        <w:tc>
          <w:tcPr>
            <w:tcW w:w="767" w:type="dxa"/>
            <w:vAlign w:val="center"/>
          </w:tcPr>
          <w:p w14:paraId="55306FB4">
            <w:pPr>
              <w:jc w:val="center"/>
              <w:rPr>
                <w:rFonts w:hint="default" w:ascii="宋体" w:hAnsi="宋体" w:eastAsia="宋体"/>
                <w:color w:val="000000"/>
                <w:sz w:val="21"/>
                <w:szCs w:val="21"/>
                <w:highlight w:val="none"/>
                <w:lang w:val="en-US" w:eastAsia="zh-CN"/>
              </w:rPr>
            </w:pPr>
            <w:r>
              <w:rPr>
                <w:rFonts w:hint="eastAsia" w:ascii="宋体" w:hAnsi="宋体"/>
                <w:color w:val="000000"/>
                <w:sz w:val="21"/>
                <w:szCs w:val="21"/>
                <w:highlight w:val="none"/>
                <w:lang w:val="en-US" w:eastAsia="zh-CN"/>
              </w:rPr>
              <w:t>18</w:t>
            </w:r>
          </w:p>
        </w:tc>
      </w:tr>
      <w:tr w14:paraId="115CAD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09" w:hRule="atLeast"/>
        </w:trPr>
        <w:tc>
          <w:tcPr>
            <w:tcW w:w="673" w:type="dxa"/>
            <w:vMerge w:val="continue"/>
            <w:vAlign w:val="center"/>
          </w:tcPr>
          <w:p w14:paraId="3D194124">
            <w:pPr>
              <w:pStyle w:val="74"/>
              <w:widowControl w:val="0"/>
              <w:spacing w:line="360" w:lineRule="auto"/>
              <w:ind w:firstLine="0" w:firstLineChars="0"/>
              <w:jc w:val="center"/>
              <w:rPr>
                <w:rFonts w:hint="eastAsia" w:hAnsi="宋体"/>
                <w:szCs w:val="21"/>
                <w:highlight w:val="none"/>
                <w:lang w:val="en-US" w:eastAsia="zh-CN"/>
              </w:rPr>
            </w:pPr>
          </w:p>
        </w:tc>
        <w:tc>
          <w:tcPr>
            <w:tcW w:w="947" w:type="dxa"/>
            <w:vMerge w:val="continue"/>
            <w:vAlign w:val="center"/>
          </w:tcPr>
          <w:p w14:paraId="4B1C5F9F">
            <w:pPr>
              <w:pStyle w:val="74"/>
              <w:widowControl w:val="0"/>
              <w:spacing w:line="360" w:lineRule="auto"/>
              <w:ind w:firstLine="0" w:firstLineChars="0"/>
              <w:jc w:val="center"/>
              <w:rPr>
                <w:rFonts w:hint="eastAsia" w:hAnsi="宋体"/>
                <w:szCs w:val="21"/>
                <w:highlight w:val="none"/>
              </w:rPr>
            </w:pPr>
          </w:p>
        </w:tc>
        <w:tc>
          <w:tcPr>
            <w:tcW w:w="7183" w:type="dxa"/>
            <w:vAlign w:val="center"/>
          </w:tcPr>
          <w:p w14:paraId="32E412F7">
            <w:pPr>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4. 对下灰室4根立柱部分进行堆焊。</w:t>
            </w:r>
          </w:p>
        </w:tc>
        <w:tc>
          <w:tcPr>
            <w:tcW w:w="767" w:type="dxa"/>
            <w:vAlign w:val="center"/>
          </w:tcPr>
          <w:p w14:paraId="6575735C">
            <w:pPr>
              <w:jc w:val="center"/>
              <w:rPr>
                <w:rFonts w:hint="default" w:ascii="宋体" w:hAnsi="宋体" w:eastAsia="宋体"/>
                <w:color w:val="000000"/>
                <w:sz w:val="21"/>
                <w:szCs w:val="21"/>
                <w:highlight w:val="none"/>
                <w:lang w:val="en-US" w:eastAsia="zh-CN"/>
              </w:rPr>
            </w:pPr>
            <w:r>
              <w:rPr>
                <w:rFonts w:hint="eastAsia" w:ascii="宋体" w:hAnsi="宋体"/>
                <w:color w:val="000000"/>
                <w:sz w:val="21"/>
                <w:szCs w:val="21"/>
                <w:highlight w:val="none"/>
                <w:lang w:val="en-US" w:eastAsia="zh-CN"/>
              </w:rPr>
              <w:t>150</w:t>
            </w:r>
          </w:p>
        </w:tc>
      </w:tr>
      <w:tr w14:paraId="2DF91E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25" w:hRule="atLeast"/>
        </w:trPr>
        <w:tc>
          <w:tcPr>
            <w:tcW w:w="673" w:type="dxa"/>
            <w:vMerge w:val="continue"/>
            <w:vAlign w:val="center"/>
          </w:tcPr>
          <w:p w14:paraId="6C3E9CC9">
            <w:pPr>
              <w:pStyle w:val="74"/>
              <w:widowControl w:val="0"/>
              <w:spacing w:line="360" w:lineRule="auto"/>
              <w:ind w:firstLine="0" w:firstLineChars="0"/>
              <w:jc w:val="center"/>
              <w:rPr>
                <w:rFonts w:hint="eastAsia" w:hAnsi="宋体"/>
                <w:szCs w:val="21"/>
                <w:highlight w:val="none"/>
                <w:lang w:val="en-US" w:eastAsia="zh-CN"/>
              </w:rPr>
            </w:pPr>
          </w:p>
        </w:tc>
        <w:tc>
          <w:tcPr>
            <w:tcW w:w="947" w:type="dxa"/>
            <w:vMerge w:val="continue"/>
            <w:vAlign w:val="center"/>
          </w:tcPr>
          <w:p w14:paraId="3AA0C51D">
            <w:pPr>
              <w:pStyle w:val="74"/>
              <w:widowControl w:val="0"/>
              <w:spacing w:line="360" w:lineRule="auto"/>
              <w:ind w:firstLine="0" w:firstLineChars="0"/>
              <w:jc w:val="center"/>
              <w:rPr>
                <w:rFonts w:hint="eastAsia" w:hAnsi="宋体"/>
                <w:szCs w:val="21"/>
                <w:highlight w:val="none"/>
              </w:rPr>
            </w:pPr>
          </w:p>
        </w:tc>
        <w:tc>
          <w:tcPr>
            <w:tcW w:w="7183" w:type="dxa"/>
            <w:vAlign w:val="center"/>
          </w:tcPr>
          <w:p w14:paraId="39606484">
            <w:pPr>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5. 堆焊层表面进行光谱检测。检测不合格区域修复。</w:t>
            </w:r>
          </w:p>
        </w:tc>
        <w:tc>
          <w:tcPr>
            <w:tcW w:w="767" w:type="dxa"/>
            <w:vAlign w:val="center"/>
          </w:tcPr>
          <w:p w14:paraId="72C57B52">
            <w:pPr>
              <w:jc w:val="center"/>
              <w:rPr>
                <w:rFonts w:hint="eastAsia" w:ascii="宋体" w:hAnsi="宋体" w:eastAsia="宋体"/>
                <w:color w:val="000000"/>
                <w:sz w:val="21"/>
                <w:szCs w:val="21"/>
                <w:highlight w:val="none"/>
                <w:lang w:val="en-US" w:eastAsia="zh-CN"/>
              </w:rPr>
            </w:pPr>
            <w:r>
              <w:rPr>
                <w:rFonts w:hint="eastAsia" w:ascii="宋体" w:hAnsi="宋体"/>
                <w:color w:val="000000"/>
                <w:sz w:val="21"/>
                <w:szCs w:val="21"/>
                <w:highlight w:val="none"/>
                <w:lang w:val="en-US" w:eastAsia="zh-CN"/>
              </w:rPr>
              <w:t>9</w:t>
            </w:r>
          </w:p>
        </w:tc>
      </w:tr>
      <w:tr w14:paraId="17F70C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15" w:hRule="atLeast"/>
        </w:trPr>
        <w:tc>
          <w:tcPr>
            <w:tcW w:w="673" w:type="dxa"/>
            <w:vMerge w:val="restart"/>
            <w:vAlign w:val="center"/>
          </w:tcPr>
          <w:p w14:paraId="3C793A97">
            <w:pPr>
              <w:pStyle w:val="74"/>
              <w:widowControl w:val="0"/>
              <w:spacing w:line="360" w:lineRule="auto"/>
              <w:ind w:firstLine="0" w:firstLineChars="0"/>
              <w:jc w:val="center"/>
              <w:rPr>
                <w:rFonts w:hint="default" w:hAnsi="宋体" w:eastAsia="宋体"/>
                <w:szCs w:val="21"/>
                <w:highlight w:val="none"/>
                <w:lang w:val="en-US" w:eastAsia="zh-CN"/>
              </w:rPr>
            </w:pPr>
            <w:r>
              <w:rPr>
                <w:rFonts w:hint="eastAsia" w:hAnsi="宋体"/>
                <w:szCs w:val="21"/>
                <w:highlight w:val="none"/>
                <w:lang w:val="en-US" w:eastAsia="zh-CN"/>
              </w:rPr>
              <w:t>4</w:t>
            </w:r>
          </w:p>
        </w:tc>
        <w:tc>
          <w:tcPr>
            <w:tcW w:w="947" w:type="dxa"/>
            <w:vMerge w:val="restart"/>
            <w:vAlign w:val="center"/>
          </w:tcPr>
          <w:p w14:paraId="4F7E94F5">
            <w:pPr>
              <w:pStyle w:val="74"/>
              <w:widowControl w:val="0"/>
              <w:spacing w:line="240" w:lineRule="auto"/>
              <w:ind w:firstLine="0" w:firstLineChars="0"/>
              <w:jc w:val="center"/>
              <w:rPr>
                <w:rFonts w:hint="eastAsia" w:hAnsi="宋体"/>
                <w:szCs w:val="21"/>
                <w:highlight w:val="none"/>
              </w:rPr>
            </w:pPr>
            <w:r>
              <w:rPr>
                <w:rFonts w:hint="eastAsia" w:hAnsi="宋体"/>
                <w:szCs w:val="21"/>
                <w:highlight w:val="none"/>
              </w:rPr>
              <w:t>下灰室</w:t>
            </w:r>
          </w:p>
          <w:p w14:paraId="3F36BCE2">
            <w:pPr>
              <w:pStyle w:val="74"/>
              <w:widowControl w:val="0"/>
              <w:spacing w:line="240" w:lineRule="auto"/>
              <w:ind w:firstLine="0" w:firstLineChars="0"/>
              <w:jc w:val="center"/>
              <w:rPr>
                <w:rFonts w:hint="eastAsia" w:hAnsi="宋体"/>
                <w:szCs w:val="21"/>
                <w:highlight w:val="none"/>
              </w:rPr>
            </w:pPr>
            <w:r>
              <w:rPr>
                <w:rFonts w:hint="eastAsia" w:hAnsi="宋体"/>
                <w:szCs w:val="21"/>
                <w:highlight w:val="none"/>
              </w:rPr>
              <w:t>膨胀弯</w:t>
            </w:r>
          </w:p>
          <w:p w14:paraId="2CC4F531">
            <w:pPr>
              <w:pStyle w:val="74"/>
              <w:widowControl w:val="0"/>
              <w:spacing w:line="240" w:lineRule="auto"/>
              <w:ind w:firstLine="0" w:firstLineChars="0"/>
              <w:jc w:val="center"/>
              <w:rPr>
                <w:rFonts w:hAnsi="宋体"/>
                <w:szCs w:val="21"/>
                <w:highlight w:val="none"/>
              </w:rPr>
            </w:pPr>
            <w:r>
              <w:rPr>
                <w:rFonts w:hint="eastAsia" w:hAnsi="宋体"/>
                <w:szCs w:val="21"/>
                <w:highlight w:val="none"/>
              </w:rPr>
              <w:t>堆焊</w:t>
            </w:r>
          </w:p>
        </w:tc>
        <w:tc>
          <w:tcPr>
            <w:tcW w:w="7183" w:type="dxa"/>
            <w:vAlign w:val="center"/>
          </w:tcPr>
          <w:p w14:paraId="696491ED">
            <w:pPr>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1.用碳弧气刨清除原堆焊层，下灰室膨胀弯部分清除原堆焊层面积10.74m</w:t>
            </w:r>
            <w:r>
              <w:rPr>
                <w:rFonts w:hint="eastAsia" w:ascii="宋体" w:hAnsi="宋体" w:eastAsia="宋体" w:cs="宋体"/>
                <w:sz w:val="21"/>
                <w:szCs w:val="21"/>
                <w:highlight w:val="none"/>
                <w:vertAlign w:val="superscript"/>
              </w:rPr>
              <w:t>2</w:t>
            </w:r>
            <w:r>
              <w:rPr>
                <w:rFonts w:hint="eastAsia" w:ascii="宋体" w:hAnsi="宋体" w:eastAsia="宋体" w:cs="宋体"/>
                <w:sz w:val="21"/>
                <w:szCs w:val="21"/>
                <w:highlight w:val="none"/>
              </w:rPr>
              <w:t>。</w:t>
            </w:r>
          </w:p>
        </w:tc>
        <w:tc>
          <w:tcPr>
            <w:tcW w:w="767" w:type="dxa"/>
            <w:vAlign w:val="center"/>
          </w:tcPr>
          <w:p w14:paraId="2178A519">
            <w:pPr>
              <w:jc w:val="center"/>
              <w:rPr>
                <w:rFonts w:hint="default" w:ascii="宋体" w:hAnsi="宋体" w:eastAsia="宋体"/>
                <w:color w:val="000000"/>
                <w:sz w:val="21"/>
                <w:szCs w:val="21"/>
                <w:highlight w:val="none"/>
                <w:lang w:val="en-US" w:eastAsia="zh-CN"/>
              </w:rPr>
            </w:pPr>
            <w:r>
              <w:rPr>
                <w:rFonts w:hint="eastAsia" w:ascii="宋体" w:hAnsi="宋体"/>
                <w:color w:val="000000"/>
                <w:sz w:val="21"/>
                <w:szCs w:val="21"/>
                <w:highlight w:val="none"/>
                <w:lang w:val="en-US" w:eastAsia="zh-CN"/>
              </w:rPr>
              <w:t>92</w:t>
            </w:r>
          </w:p>
        </w:tc>
      </w:tr>
      <w:tr w14:paraId="65F39C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6" w:hRule="atLeast"/>
        </w:trPr>
        <w:tc>
          <w:tcPr>
            <w:tcW w:w="673" w:type="dxa"/>
            <w:vMerge w:val="continue"/>
            <w:vAlign w:val="center"/>
          </w:tcPr>
          <w:p w14:paraId="698ABDF8">
            <w:pPr>
              <w:pStyle w:val="74"/>
              <w:widowControl w:val="0"/>
              <w:spacing w:line="360" w:lineRule="auto"/>
              <w:ind w:firstLine="0" w:firstLineChars="0"/>
              <w:jc w:val="center"/>
              <w:rPr>
                <w:rFonts w:hint="eastAsia" w:hAnsi="宋体"/>
                <w:szCs w:val="21"/>
                <w:highlight w:val="none"/>
                <w:lang w:val="en-US" w:eastAsia="zh-CN"/>
              </w:rPr>
            </w:pPr>
          </w:p>
        </w:tc>
        <w:tc>
          <w:tcPr>
            <w:tcW w:w="947" w:type="dxa"/>
            <w:vMerge w:val="continue"/>
            <w:vAlign w:val="center"/>
          </w:tcPr>
          <w:p w14:paraId="26917D07">
            <w:pPr>
              <w:pStyle w:val="74"/>
              <w:widowControl w:val="0"/>
              <w:spacing w:line="240" w:lineRule="auto"/>
              <w:ind w:firstLine="0" w:firstLineChars="0"/>
              <w:jc w:val="center"/>
              <w:rPr>
                <w:rFonts w:hint="eastAsia" w:hAnsi="宋体"/>
                <w:szCs w:val="21"/>
                <w:highlight w:val="none"/>
              </w:rPr>
            </w:pPr>
          </w:p>
        </w:tc>
        <w:tc>
          <w:tcPr>
            <w:tcW w:w="7183" w:type="dxa"/>
            <w:vAlign w:val="center"/>
          </w:tcPr>
          <w:p w14:paraId="4C2240D2">
            <w:pPr>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2.对下灰室膨胀弯部分打磨，露出金属光泽。</w:t>
            </w:r>
          </w:p>
        </w:tc>
        <w:tc>
          <w:tcPr>
            <w:tcW w:w="767" w:type="dxa"/>
            <w:vAlign w:val="center"/>
          </w:tcPr>
          <w:p w14:paraId="0FD0A70A">
            <w:pPr>
              <w:jc w:val="center"/>
              <w:rPr>
                <w:rFonts w:hint="default" w:ascii="宋体" w:hAnsi="宋体" w:eastAsia="宋体"/>
                <w:color w:val="000000"/>
                <w:sz w:val="21"/>
                <w:szCs w:val="21"/>
                <w:highlight w:val="none"/>
                <w:lang w:val="en-US" w:eastAsia="zh-CN"/>
              </w:rPr>
            </w:pPr>
            <w:r>
              <w:rPr>
                <w:rFonts w:hint="eastAsia" w:ascii="宋体" w:hAnsi="宋体"/>
                <w:color w:val="000000"/>
                <w:sz w:val="21"/>
                <w:szCs w:val="21"/>
                <w:highlight w:val="none"/>
                <w:lang w:val="en-US" w:eastAsia="zh-CN"/>
              </w:rPr>
              <w:t>162</w:t>
            </w:r>
          </w:p>
        </w:tc>
      </w:tr>
      <w:tr w14:paraId="62C625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25" w:hRule="atLeast"/>
        </w:trPr>
        <w:tc>
          <w:tcPr>
            <w:tcW w:w="673" w:type="dxa"/>
            <w:vMerge w:val="continue"/>
            <w:vAlign w:val="center"/>
          </w:tcPr>
          <w:p w14:paraId="6EF1D0B0">
            <w:pPr>
              <w:pStyle w:val="74"/>
              <w:widowControl w:val="0"/>
              <w:spacing w:line="360" w:lineRule="auto"/>
              <w:ind w:firstLine="0" w:firstLineChars="0"/>
              <w:jc w:val="center"/>
              <w:rPr>
                <w:rFonts w:hint="eastAsia" w:hAnsi="宋体"/>
                <w:szCs w:val="21"/>
                <w:highlight w:val="none"/>
                <w:lang w:val="en-US" w:eastAsia="zh-CN"/>
              </w:rPr>
            </w:pPr>
          </w:p>
        </w:tc>
        <w:tc>
          <w:tcPr>
            <w:tcW w:w="947" w:type="dxa"/>
            <w:vMerge w:val="continue"/>
            <w:vAlign w:val="center"/>
          </w:tcPr>
          <w:p w14:paraId="552FCA11">
            <w:pPr>
              <w:pStyle w:val="74"/>
              <w:widowControl w:val="0"/>
              <w:spacing w:line="240" w:lineRule="auto"/>
              <w:ind w:firstLine="0" w:firstLineChars="0"/>
              <w:jc w:val="center"/>
              <w:rPr>
                <w:rFonts w:hint="eastAsia" w:hAnsi="宋体"/>
                <w:szCs w:val="21"/>
                <w:highlight w:val="none"/>
              </w:rPr>
            </w:pPr>
          </w:p>
        </w:tc>
        <w:tc>
          <w:tcPr>
            <w:tcW w:w="7183" w:type="dxa"/>
            <w:vAlign w:val="center"/>
          </w:tcPr>
          <w:p w14:paraId="3CD08596">
            <w:pPr>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3.对下灰室膨胀弯部分凹坑进行修补。</w:t>
            </w:r>
          </w:p>
        </w:tc>
        <w:tc>
          <w:tcPr>
            <w:tcW w:w="767" w:type="dxa"/>
            <w:vAlign w:val="center"/>
          </w:tcPr>
          <w:p w14:paraId="0F76AA07">
            <w:pPr>
              <w:jc w:val="center"/>
              <w:rPr>
                <w:rFonts w:hint="default" w:ascii="宋体" w:hAnsi="宋体" w:eastAsia="宋体"/>
                <w:color w:val="000000"/>
                <w:sz w:val="21"/>
                <w:szCs w:val="21"/>
                <w:highlight w:val="none"/>
                <w:lang w:val="en-US" w:eastAsia="zh-CN"/>
              </w:rPr>
            </w:pPr>
            <w:r>
              <w:rPr>
                <w:rFonts w:hint="eastAsia" w:ascii="宋体" w:hAnsi="宋体"/>
                <w:color w:val="000000"/>
                <w:sz w:val="21"/>
                <w:szCs w:val="21"/>
                <w:highlight w:val="none"/>
                <w:lang w:val="en-US" w:eastAsia="zh-CN"/>
              </w:rPr>
              <w:t>50</w:t>
            </w:r>
          </w:p>
        </w:tc>
      </w:tr>
      <w:tr w14:paraId="5951E2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9" w:hRule="atLeast"/>
        </w:trPr>
        <w:tc>
          <w:tcPr>
            <w:tcW w:w="673" w:type="dxa"/>
            <w:vMerge w:val="continue"/>
            <w:vAlign w:val="center"/>
          </w:tcPr>
          <w:p w14:paraId="2FE8D36A">
            <w:pPr>
              <w:pStyle w:val="74"/>
              <w:widowControl w:val="0"/>
              <w:spacing w:line="360" w:lineRule="auto"/>
              <w:ind w:firstLine="0" w:firstLineChars="0"/>
              <w:jc w:val="center"/>
              <w:rPr>
                <w:rFonts w:hint="eastAsia" w:hAnsi="宋体"/>
                <w:szCs w:val="21"/>
                <w:highlight w:val="none"/>
                <w:lang w:val="en-US" w:eastAsia="zh-CN"/>
              </w:rPr>
            </w:pPr>
          </w:p>
        </w:tc>
        <w:tc>
          <w:tcPr>
            <w:tcW w:w="947" w:type="dxa"/>
            <w:vMerge w:val="continue"/>
            <w:vAlign w:val="center"/>
          </w:tcPr>
          <w:p w14:paraId="576C936F">
            <w:pPr>
              <w:pStyle w:val="74"/>
              <w:widowControl w:val="0"/>
              <w:spacing w:line="240" w:lineRule="auto"/>
              <w:ind w:firstLine="0" w:firstLineChars="0"/>
              <w:jc w:val="center"/>
              <w:rPr>
                <w:rFonts w:hint="eastAsia" w:hAnsi="宋体"/>
                <w:szCs w:val="21"/>
                <w:highlight w:val="none"/>
              </w:rPr>
            </w:pPr>
          </w:p>
        </w:tc>
        <w:tc>
          <w:tcPr>
            <w:tcW w:w="7183" w:type="dxa"/>
            <w:vAlign w:val="center"/>
          </w:tcPr>
          <w:p w14:paraId="4914A943">
            <w:pPr>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4.对下灰室膨胀弯部分进行堆焊，堆焊面积12m</w:t>
            </w:r>
            <w:r>
              <w:rPr>
                <w:rFonts w:hint="eastAsia" w:ascii="宋体" w:hAnsi="宋体" w:eastAsia="宋体" w:cs="宋体"/>
                <w:sz w:val="21"/>
                <w:szCs w:val="21"/>
                <w:highlight w:val="none"/>
                <w:vertAlign w:val="superscript"/>
              </w:rPr>
              <w:t>2</w:t>
            </w:r>
            <w:r>
              <w:rPr>
                <w:rFonts w:hint="eastAsia" w:ascii="宋体" w:hAnsi="宋体" w:eastAsia="宋体" w:cs="宋体"/>
                <w:sz w:val="21"/>
                <w:szCs w:val="21"/>
                <w:highlight w:val="none"/>
              </w:rPr>
              <w:t>。</w:t>
            </w:r>
          </w:p>
        </w:tc>
        <w:tc>
          <w:tcPr>
            <w:tcW w:w="767" w:type="dxa"/>
            <w:vAlign w:val="center"/>
          </w:tcPr>
          <w:p w14:paraId="4CFD38EC">
            <w:pPr>
              <w:jc w:val="center"/>
              <w:rPr>
                <w:rFonts w:hint="default" w:ascii="宋体" w:hAnsi="宋体" w:eastAsia="宋体"/>
                <w:color w:val="000000"/>
                <w:sz w:val="21"/>
                <w:szCs w:val="21"/>
                <w:highlight w:val="none"/>
                <w:lang w:val="en-US" w:eastAsia="zh-CN"/>
              </w:rPr>
            </w:pPr>
            <w:r>
              <w:rPr>
                <w:rFonts w:hint="eastAsia" w:ascii="宋体" w:hAnsi="宋体"/>
                <w:color w:val="000000"/>
                <w:sz w:val="21"/>
                <w:szCs w:val="21"/>
                <w:highlight w:val="none"/>
                <w:lang w:val="en-US" w:eastAsia="zh-CN"/>
              </w:rPr>
              <w:t>174</w:t>
            </w:r>
          </w:p>
        </w:tc>
      </w:tr>
      <w:tr w14:paraId="059B98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00" w:hRule="atLeast"/>
        </w:trPr>
        <w:tc>
          <w:tcPr>
            <w:tcW w:w="673" w:type="dxa"/>
            <w:vMerge w:val="continue"/>
            <w:vAlign w:val="center"/>
          </w:tcPr>
          <w:p w14:paraId="188C0709">
            <w:pPr>
              <w:pStyle w:val="74"/>
              <w:widowControl w:val="0"/>
              <w:spacing w:line="360" w:lineRule="auto"/>
              <w:ind w:firstLine="0" w:firstLineChars="0"/>
              <w:jc w:val="center"/>
              <w:rPr>
                <w:rFonts w:hint="eastAsia" w:hAnsi="宋体"/>
                <w:szCs w:val="21"/>
                <w:highlight w:val="none"/>
                <w:lang w:val="en-US" w:eastAsia="zh-CN"/>
              </w:rPr>
            </w:pPr>
          </w:p>
        </w:tc>
        <w:tc>
          <w:tcPr>
            <w:tcW w:w="947" w:type="dxa"/>
            <w:vMerge w:val="continue"/>
            <w:vAlign w:val="center"/>
          </w:tcPr>
          <w:p w14:paraId="47930A44">
            <w:pPr>
              <w:pStyle w:val="74"/>
              <w:widowControl w:val="0"/>
              <w:spacing w:line="240" w:lineRule="auto"/>
              <w:ind w:firstLine="0" w:firstLineChars="0"/>
              <w:jc w:val="center"/>
              <w:rPr>
                <w:rFonts w:hint="eastAsia" w:hAnsi="宋体"/>
                <w:szCs w:val="21"/>
                <w:highlight w:val="none"/>
              </w:rPr>
            </w:pPr>
          </w:p>
        </w:tc>
        <w:tc>
          <w:tcPr>
            <w:tcW w:w="7183" w:type="dxa"/>
            <w:vAlign w:val="center"/>
          </w:tcPr>
          <w:p w14:paraId="5F3FF30D">
            <w:pPr>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5.堆焊层表面进行光谱检测。检测不合格区域修复。</w:t>
            </w:r>
          </w:p>
        </w:tc>
        <w:tc>
          <w:tcPr>
            <w:tcW w:w="767" w:type="dxa"/>
            <w:vAlign w:val="center"/>
          </w:tcPr>
          <w:p w14:paraId="36C4BB8B">
            <w:pPr>
              <w:jc w:val="center"/>
              <w:rPr>
                <w:rFonts w:hint="default" w:ascii="宋体" w:hAnsi="宋体" w:eastAsia="宋体"/>
                <w:color w:val="000000"/>
                <w:sz w:val="21"/>
                <w:szCs w:val="21"/>
                <w:highlight w:val="none"/>
                <w:lang w:val="en-US" w:eastAsia="zh-CN"/>
              </w:rPr>
            </w:pPr>
            <w:r>
              <w:rPr>
                <w:rFonts w:hint="eastAsia" w:ascii="宋体" w:hAnsi="宋体"/>
                <w:color w:val="000000"/>
                <w:sz w:val="21"/>
                <w:szCs w:val="21"/>
                <w:highlight w:val="none"/>
                <w:lang w:val="en-US" w:eastAsia="zh-CN"/>
              </w:rPr>
              <w:t>36</w:t>
            </w:r>
          </w:p>
        </w:tc>
      </w:tr>
      <w:tr w14:paraId="1BF2BD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2" w:hRule="atLeast"/>
        </w:trPr>
        <w:tc>
          <w:tcPr>
            <w:tcW w:w="673" w:type="dxa"/>
            <w:vMerge w:val="restart"/>
            <w:vAlign w:val="center"/>
          </w:tcPr>
          <w:p w14:paraId="0E3FDB53">
            <w:pPr>
              <w:pStyle w:val="74"/>
              <w:widowControl w:val="0"/>
              <w:spacing w:line="360" w:lineRule="auto"/>
              <w:ind w:firstLine="0" w:firstLineChars="0"/>
              <w:jc w:val="center"/>
              <w:rPr>
                <w:rFonts w:hint="default" w:hAnsi="宋体"/>
                <w:szCs w:val="21"/>
                <w:highlight w:val="none"/>
                <w:lang w:val="en-US" w:eastAsia="zh-CN"/>
              </w:rPr>
            </w:pPr>
            <w:r>
              <w:rPr>
                <w:rFonts w:hint="eastAsia" w:hAnsi="宋体"/>
                <w:szCs w:val="21"/>
                <w:highlight w:val="none"/>
                <w:lang w:val="en-US" w:eastAsia="zh-CN"/>
              </w:rPr>
              <w:t>5</w:t>
            </w:r>
          </w:p>
        </w:tc>
        <w:tc>
          <w:tcPr>
            <w:tcW w:w="947" w:type="dxa"/>
            <w:vMerge w:val="restart"/>
            <w:vAlign w:val="center"/>
          </w:tcPr>
          <w:p w14:paraId="75CD8564">
            <w:pPr>
              <w:pStyle w:val="74"/>
              <w:widowControl w:val="0"/>
              <w:spacing w:line="240" w:lineRule="auto"/>
              <w:ind w:firstLine="0" w:firstLineChars="0"/>
              <w:jc w:val="center"/>
              <w:rPr>
                <w:rFonts w:hint="eastAsia" w:hAnsi="宋体"/>
                <w:szCs w:val="21"/>
                <w:highlight w:val="none"/>
              </w:rPr>
            </w:pPr>
            <w:r>
              <w:rPr>
                <w:rFonts w:hint="eastAsia" w:hAnsi="宋体"/>
                <w:szCs w:val="21"/>
                <w:highlight w:val="none"/>
              </w:rPr>
              <w:t>下灰室</w:t>
            </w:r>
          </w:p>
          <w:p w14:paraId="359A52DE">
            <w:pPr>
              <w:pStyle w:val="74"/>
              <w:widowControl w:val="0"/>
              <w:spacing w:line="240" w:lineRule="auto"/>
              <w:ind w:firstLine="0" w:firstLineChars="0"/>
              <w:jc w:val="center"/>
              <w:rPr>
                <w:rFonts w:hint="eastAsia" w:hAnsi="宋体"/>
                <w:szCs w:val="21"/>
                <w:highlight w:val="none"/>
              </w:rPr>
            </w:pPr>
            <w:r>
              <w:rPr>
                <w:rFonts w:hint="eastAsia" w:hAnsi="宋体"/>
                <w:szCs w:val="21"/>
                <w:highlight w:val="none"/>
              </w:rPr>
              <w:t>小锥体</w:t>
            </w:r>
          </w:p>
          <w:p w14:paraId="11B8986B">
            <w:pPr>
              <w:pStyle w:val="74"/>
              <w:widowControl w:val="0"/>
              <w:spacing w:line="240" w:lineRule="auto"/>
              <w:ind w:firstLine="0" w:firstLineChars="0"/>
              <w:jc w:val="center"/>
              <w:rPr>
                <w:rFonts w:hint="eastAsia" w:hAnsi="宋体"/>
                <w:szCs w:val="21"/>
                <w:highlight w:val="none"/>
              </w:rPr>
            </w:pPr>
            <w:r>
              <w:rPr>
                <w:rFonts w:hint="eastAsia" w:hAnsi="宋体"/>
                <w:szCs w:val="21"/>
                <w:highlight w:val="none"/>
              </w:rPr>
              <w:t>堆焊</w:t>
            </w:r>
          </w:p>
        </w:tc>
        <w:tc>
          <w:tcPr>
            <w:tcW w:w="7183" w:type="dxa"/>
            <w:vAlign w:val="center"/>
          </w:tcPr>
          <w:p w14:paraId="0B5115C3">
            <w:pPr>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1.用碳弧气刨清除原堆焊层，下灰室小锥体部分清除原堆焊层面积4.5m</w:t>
            </w:r>
            <w:r>
              <w:rPr>
                <w:rFonts w:hint="eastAsia" w:ascii="宋体" w:hAnsi="宋体" w:eastAsia="宋体" w:cs="宋体"/>
                <w:sz w:val="21"/>
                <w:szCs w:val="21"/>
                <w:highlight w:val="none"/>
                <w:vertAlign w:val="superscript"/>
              </w:rPr>
              <w:t>2</w:t>
            </w:r>
            <w:r>
              <w:rPr>
                <w:rFonts w:hint="eastAsia" w:ascii="宋体" w:hAnsi="宋体" w:eastAsia="宋体" w:cs="宋体"/>
                <w:sz w:val="21"/>
                <w:szCs w:val="21"/>
                <w:highlight w:val="none"/>
              </w:rPr>
              <w:t>。</w:t>
            </w:r>
          </w:p>
        </w:tc>
        <w:tc>
          <w:tcPr>
            <w:tcW w:w="767" w:type="dxa"/>
            <w:vAlign w:val="center"/>
          </w:tcPr>
          <w:p w14:paraId="582D4D6D">
            <w:pPr>
              <w:jc w:val="center"/>
              <w:rPr>
                <w:rFonts w:hint="default" w:ascii="宋体" w:hAnsi="宋体" w:eastAsia="宋体"/>
                <w:color w:val="000000"/>
                <w:sz w:val="21"/>
                <w:szCs w:val="21"/>
                <w:highlight w:val="none"/>
                <w:lang w:val="en-US" w:eastAsia="zh-CN"/>
              </w:rPr>
            </w:pPr>
            <w:r>
              <w:rPr>
                <w:rFonts w:hint="eastAsia" w:ascii="宋体" w:hAnsi="宋体"/>
                <w:color w:val="000000"/>
                <w:sz w:val="21"/>
                <w:szCs w:val="21"/>
                <w:highlight w:val="none"/>
                <w:lang w:val="en-US" w:eastAsia="zh-CN"/>
              </w:rPr>
              <w:t>36</w:t>
            </w:r>
          </w:p>
        </w:tc>
      </w:tr>
      <w:tr w14:paraId="07AE18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36" w:hRule="atLeast"/>
        </w:trPr>
        <w:tc>
          <w:tcPr>
            <w:tcW w:w="673" w:type="dxa"/>
            <w:vMerge w:val="continue"/>
            <w:vAlign w:val="center"/>
          </w:tcPr>
          <w:p w14:paraId="47FD5A3E">
            <w:pPr>
              <w:pStyle w:val="74"/>
              <w:widowControl w:val="0"/>
              <w:spacing w:line="360" w:lineRule="auto"/>
              <w:ind w:firstLine="0" w:firstLineChars="0"/>
              <w:jc w:val="center"/>
              <w:rPr>
                <w:rFonts w:hint="eastAsia" w:hAnsi="宋体"/>
                <w:szCs w:val="21"/>
                <w:highlight w:val="none"/>
                <w:lang w:val="en-US" w:eastAsia="zh-CN"/>
              </w:rPr>
            </w:pPr>
          </w:p>
        </w:tc>
        <w:tc>
          <w:tcPr>
            <w:tcW w:w="947" w:type="dxa"/>
            <w:vMerge w:val="continue"/>
            <w:vAlign w:val="center"/>
          </w:tcPr>
          <w:p w14:paraId="401FD3E3">
            <w:pPr>
              <w:pStyle w:val="74"/>
              <w:widowControl w:val="0"/>
              <w:spacing w:line="240" w:lineRule="auto"/>
              <w:ind w:firstLine="0" w:firstLineChars="0"/>
              <w:jc w:val="center"/>
              <w:rPr>
                <w:rFonts w:hint="eastAsia" w:hAnsi="宋体"/>
                <w:szCs w:val="21"/>
                <w:highlight w:val="none"/>
              </w:rPr>
            </w:pPr>
          </w:p>
        </w:tc>
        <w:tc>
          <w:tcPr>
            <w:tcW w:w="7183" w:type="dxa"/>
            <w:vAlign w:val="center"/>
          </w:tcPr>
          <w:p w14:paraId="307524D9">
            <w:pPr>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2.对下灰室小锥体部分打磨，露出金属光泽。</w:t>
            </w:r>
          </w:p>
        </w:tc>
        <w:tc>
          <w:tcPr>
            <w:tcW w:w="767" w:type="dxa"/>
            <w:vAlign w:val="center"/>
          </w:tcPr>
          <w:p w14:paraId="300FE66B">
            <w:pPr>
              <w:jc w:val="center"/>
              <w:rPr>
                <w:rFonts w:hint="default" w:ascii="宋体" w:hAnsi="宋体" w:eastAsia="宋体"/>
                <w:color w:val="000000"/>
                <w:sz w:val="21"/>
                <w:szCs w:val="21"/>
                <w:highlight w:val="none"/>
                <w:lang w:val="en-US" w:eastAsia="zh-CN"/>
              </w:rPr>
            </w:pPr>
            <w:r>
              <w:rPr>
                <w:rFonts w:hint="eastAsia" w:ascii="宋体" w:hAnsi="宋体"/>
                <w:color w:val="000000"/>
                <w:sz w:val="21"/>
                <w:szCs w:val="21"/>
                <w:highlight w:val="none"/>
                <w:lang w:val="en-US" w:eastAsia="zh-CN"/>
              </w:rPr>
              <w:t>56</w:t>
            </w:r>
          </w:p>
        </w:tc>
      </w:tr>
      <w:tr w14:paraId="643B40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85" w:hRule="atLeast"/>
        </w:trPr>
        <w:tc>
          <w:tcPr>
            <w:tcW w:w="673" w:type="dxa"/>
            <w:vMerge w:val="continue"/>
            <w:vAlign w:val="center"/>
          </w:tcPr>
          <w:p w14:paraId="22AF6CB4">
            <w:pPr>
              <w:pStyle w:val="74"/>
              <w:widowControl w:val="0"/>
              <w:spacing w:line="360" w:lineRule="auto"/>
              <w:ind w:firstLine="0" w:firstLineChars="0"/>
              <w:jc w:val="center"/>
              <w:rPr>
                <w:rFonts w:hint="eastAsia" w:hAnsi="宋体"/>
                <w:szCs w:val="21"/>
                <w:highlight w:val="none"/>
                <w:lang w:val="en-US" w:eastAsia="zh-CN"/>
              </w:rPr>
            </w:pPr>
          </w:p>
        </w:tc>
        <w:tc>
          <w:tcPr>
            <w:tcW w:w="947" w:type="dxa"/>
            <w:vMerge w:val="continue"/>
            <w:vAlign w:val="center"/>
          </w:tcPr>
          <w:p w14:paraId="50E0DD57">
            <w:pPr>
              <w:pStyle w:val="74"/>
              <w:widowControl w:val="0"/>
              <w:spacing w:line="240" w:lineRule="auto"/>
              <w:ind w:firstLine="0" w:firstLineChars="0"/>
              <w:jc w:val="center"/>
              <w:rPr>
                <w:rFonts w:hint="eastAsia" w:hAnsi="宋体"/>
                <w:szCs w:val="21"/>
                <w:highlight w:val="none"/>
              </w:rPr>
            </w:pPr>
          </w:p>
        </w:tc>
        <w:tc>
          <w:tcPr>
            <w:tcW w:w="7183" w:type="dxa"/>
            <w:vAlign w:val="center"/>
          </w:tcPr>
          <w:p w14:paraId="56460EB9">
            <w:pPr>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3.对下灰室小锥体部分凹坑进行修补。</w:t>
            </w:r>
          </w:p>
        </w:tc>
        <w:tc>
          <w:tcPr>
            <w:tcW w:w="767" w:type="dxa"/>
            <w:vAlign w:val="center"/>
          </w:tcPr>
          <w:p w14:paraId="6A84C430">
            <w:pPr>
              <w:jc w:val="center"/>
              <w:rPr>
                <w:rFonts w:hint="default" w:ascii="宋体" w:hAnsi="宋体" w:eastAsia="宋体"/>
                <w:color w:val="000000"/>
                <w:sz w:val="21"/>
                <w:szCs w:val="21"/>
                <w:highlight w:val="none"/>
                <w:lang w:val="en-US" w:eastAsia="zh-CN"/>
              </w:rPr>
            </w:pPr>
            <w:r>
              <w:rPr>
                <w:rFonts w:hint="eastAsia" w:ascii="宋体" w:hAnsi="宋体"/>
                <w:color w:val="000000"/>
                <w:sz w:val="21"/>
                <w:szCs w:val="21"/>
                <w:highlight w:val="none"/>
                <w:lang w:val="en-US" w:eastAsia="zh-CN"/>
              </w:rPr>
              <w:t>30</w:t>
            </w:r>
          </w:p>
        </w:tc>
      </w:tr>
      <w:tr w14:paraId="5C0DCD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8" w:hRule="atLeast"/>
        </w:trPr>
        <w:tc>
          <w:tcPr>
            <w:tcW w:w="673" w:type="dxa"/>
            <w:vMerge w:val="continue"/>
            <w:vAlign w:val="center"/>
          </w:tcPr>
          <w:p w14:paraId="01408964">
            <w:pPr>
              <w:pStyle w:val="74"/>
              <w:widowControl w:val="0"/>
              <w:spacing w:line="360" w:lineRule="auto"/>
              <w:ind w:firstLine="0" w:firstLineChars="0"/>
              <w:jc w:val="center"/>
              <w:rPr>
                <w:rFonts w:hint="eastAsia" w:hAnsi="宋体"/>
                <w:szCs w:val="21"/>
                <w:highlight w:val="none"/>
                <w:lang w:val="en-US" w:eastAsia="zh-CN"/>
              </w:rPr>
            </w:pPr>
          </w:p>
        </w:tc>
        <w:tc>
          <w:tcPr>
            <w:tcW w:w="947" w:type="dxa"/>
            <w:vMerge w:val="continue"/>
            <w:vAlign w:val="center"/>
          </w:tcPr>
          <w:p w14:paraId="6A9E821D">
            <w:pPr>
              <w:pStyle w:val="74"/>
              <w:widowControl w:val="0"/>
              <w:spacing w:line="240" w:lineRule="auto"/>
              <w:ind w:firstLine="0" w:firstLineChars="0"/>
              <w:jc w:val="center"/>
              <w:rPr>
                <w:rFonts w:hint="eastAsia" w:hAnsi="宋体"/>
                <w:szCs w:val="21"/>
                <w:highlight w:val="none"/>
              </w:rPr>
            </w:pPr>
          </w:p>
        </w:tc>
        <w:tc>
          <w:tcPr>
            <w:tcW w:w="7183" w:type="dxa"/>
            <w:vAlign w:val="center"/>
          </w:tcPr>
          <w:p w14:paraId="697678CD">
            <w:pPr>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4.下灰室小锥体部分进行堆焊。</w:t>
            </w:r>
          </w:p>
        </w:tc>
        <w:tc>
          <w:tcPr>
            <w:tcW w:w="767" w:type="dxa"/>
            <w:vAlign w:val="center"/>
          </w:tcPr>
          <w:p w14:paraId="4411A7AB">
            <w:pPr>
              <w:jc w:val="center"/>
              <w:rPr>
                <w:rFonts w:hint="default" w:ascii="宋体" w:hAnsi="宋体" w:eastAsia="宋体"/>
                <w:color w:val="000000"/>
                <w:sz w:val="21"/>
                <w:szCs w:val="21"/>
                <w:highlight w:val="none"/>
                <w:lang w:val="en-US" w:eastAsia="zh-CN"/>
              </w:rPr>
            </w:pPr>
            <w:r>
              <w:rPr>
                <w:rFonts w:hint="eastAsia" w:ascii="宋体" w:hAnsi="宋体"/>
                <w:color w:val="000000"/>
                <w:sz w:val="21"/>
                <w:szCs w:val="21"/>
                <w:highlight w:val="none"/>
                <w:lang w:val="en-US" w:eastAsia="zh-CN"/>
              </w:rPr>
              <w:t>60</w:t>
            </w:r>
          </w:p>
        </w:tc>
      </w:tr>
      <w:tr w14:paraId="6A6E33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9" w:hRule="atLeast"/>
        </w:trPr>
        <w:tc>
          <w:tcPr>
            <w:tcW w:w="673" w:type="dxa"/>
            <w:vMerge w:val="continue"/>
            <w:vAlign w:val="center"/>
          </w:tcPr>
          <w:p w14:paraId="16C30D18">
            <w:pPr>
              <w:pStyle w:val="74"/>
              <w:widowControl w:val="0"/>
              <w:spacing w:line="360" w:lineRule="auto"/>
              <w:ind w:firstLine="0" w:firstLineChars="0"/>
              <w:jc w:val="center"/>
              <w:rPr>
                <w:rFonts w:hint="eastAsia" w:hAnsi="宋体"/>
                <w:szCs w:val="21"/>
                <w:highlight w:val="none"/>
                <w:lang w:val="en-US" w:eastAsia="zh-CN"/>
              </w:rPr>
            </w:pPr>
          </w:p>
        </w:tc>
        <w:tc>
          <w:tcPr>
            <w:tcW w:w="947" w:type="dxa"/>
            <w:vMerge w:val="continue"/>
            <w:vAlign w:val="center"/>
          </w:tcPr>
          <w:p w14:paraId="6B3CC5B0">
            <w:pPr>
              <w:pStyle w:val="74"/>
              <w:widowControl w:val="0"/>
              <w:spacing w:line="240" w:lineRule="auto"/>
              <w:ind w:firstLine="0" w:firstLineChars="0"/>
              <w:jc w:val="center"/>
              <w:rPr>
                <w:rFonts w:hint="eastAsia" w:hAnsi="宋体"/>
                <w:szCs w:val="21"/>
                <w:highlight w:val="none"/>
              </w:rPr>
            </w:pPr>
          </w:p>
        </w:tc>
        <w:tc>
          <w:tcPr>
            <w:tcW w:w="7183" w:type="dxa"/>
            <w:vAlign w:val="center"/>
          </w:tcPr>
          <w:p w14:paraId="565C5915">
            <w:pPr>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5.堆焊层表面进行光谱检测。检测不合格区域修复。</w:t>
            </w:r>
          </w:p>
        </w:tc>
        <w:tc>
          <w:tcPr>
            <w:tcW w:w="767" w:type="dxa"/>
            <w:vAlign w:val="center"/>
          </w:tcPr>
          <w:p w14:paraId="55EAF1A1">
            <w:pPr>
              <w:jc w:val="center"/>
              <w:rPr>
                <w:rFonts w:hint="default" w:ascii="宋体" w:hAnsi="宋体" w:eastAsia="宋体"/>
                <w:color w:val="000000"/>
                <w:sz w:val="21"/>
                <w:szCs w:val="21"/>
                <w:highlight w:val="none"/>
                <w:lang w:val="en-US" w:eastAsia="zh-CN"/>
              </w:rPr>
            </w:pPr>
            <w:r>
              <w:rPr>
                <w:rFonts w:hint="eastAsia" w:ascii="宋体" w:hAnsi="宋体"/>
                <w:color w:val="000000"/>
                <w:sz w:val="21"/>
                <w:szCs w:val="21"/>
                <w:highlight w:val="none"/>
                <w:lang w:val="en-US" w:eastAsia="zh-CN"/>
              </w:rPr>
              <w:t>14</w:t>
            </w:r>
          </w:p>
        </w:tc>
      </w:tr>
      <w:tr w14:paraId="717F87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7" w:hRule="atLeast"/>
        </w:trPr>
        <w:tc>
          <w:tcPr>
            <w:tcW w:w="673" w:type="dxa"/>
            <w:vAlign w:val="center"/>
          </w:tcPr>
          <w:p w14:paraId="1C52A617">
            <w:pPr>
              <w:pStyle w:val="74"/>
              <w:widowControl w:val="0"/>
              <w:spacing w:line="360" w:lineRule="auto"/>
              <w:ind w:firstLine="0" w:firstLineChars="0"/>
              <w:jc w:val="center"/>
              <w:rPr>
                <w:rFonts w:hint="eastAsia" w:hAnsi="宋体"/>
                <w:szCs w:val="21"/>
                <w:highlight w:val="none"/>
                <w:lang w:val="en-US" w:eastAsia="zh-CN"/>
              </w:rPr>
            </w:pPr>
          </w:p>
        </w:tc>
        <w:tc>
          <w:tcPr>
            <w:tcW w:w="947" w:type="dxa"/>
            <w:vAlign w:val="center"/>
          </w:tcPr>
          <w:p w14:paraId="066C2F53">
            <w:pPr>
              <w:pStyle w:val="74"/>
              <w:widowControl w:val="0"/>
              <w:spacing w:line="240" w:lineRule="auto"/>
              <w:ind w:firstLine="0" w:firstLineChars="0"/>
              <w:jc w:val="center"/>
              <w:rPr>
                <w:rFonts w:hint="eastAsia" w:ascii="宋体" w:hAnsi="宋体" w:eastAsia="宋体" w:cs="Times New Roman"/>
                <w:sz w:val="21"/>
                <w:szCs w:val="21"/>
                <w:highlight w:val="none"/>
                <w:lang w:val="en-US" w:eastAsia="zh-CN" w:bidi="ar-SA"/>
              </w:rPr>
            </w:pPr>
            <w:r>
              <w:rPr>
                <w:rFonts w:hint="eastAsia" w:hAnsi="宋体"/>
                <w:szCs w:val="21"/>
                <w:highlight w:val="none"/>
                <w:lang w:val="en-US" w:eastAsia="zh-CN"/>
              </w:rPr>
              <w:t>合计</w:t>
            </w:r>
          </w:p>
        </w:tc>
        <w:tc>
          <w:tcPr>
            <w:tcW w:w="7183" w:type="dxa"/>
            <w:vAlign w:val="center"/>
          </w:tcPr>
          <w:p w14:paraId="38DF4419">
            <w:pPr>
              <w:jc w:val="both"/>
              <w:rPr>
                <w:rFonts w:hint="eastAsia" w:ascii="宋体" w:hAnsi="宋体" w:eastAsia="宋体" w:cs="宋体"/>
                <w:kern w:val="2"/>
                <w:sz w:val="21"/>
                <w:szCs w:val="21"/>
                <w:highlight w:val="none"/>
                <w:lang w:val="en-US" w:eastAsia="zh-CN" w:bidi="ar-SA"/>
              </w:rPr>
            </w:pPr>
            <w:r>
              <w:rPr>
                <w:rFonts w:hint="eastAsia" w:ascii="宋体" w:hAnsi="宋体" w:cs="宋体"/>
                <w:sz w:val="21"/>
                <w:szCs w:val="21"/>
                <w:highlight w:val="none"/>
                <w:lang w:val="en-US" w:eastAsia="zh-CN"/>
              </w:rPr>
              <w:t>单台气化炉内筒体及下灰室锥体部分堆焊工日</w:t>
            </w:r>
          </w:p>
        </w:tc>
        <w:tc>
          <w:tcPr>
            <w:tcW w:w="767" w:type="dxa"/>
            <w:vAlign w:val="center"/>
          </w:tcPr>
          <w:p w14:paraId="17F13F92">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2054</w:t>
            </w:r>
          </w:p>
        </w:tc>
      </w:tr>
      <w:tr w14:paraId="72CA63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0" w:hRule="atLeast"/>
        </w:trPr>
        <w:tc>
          <w:tcPr>
            <w:tcW w:w="673" w:type="dxa"/>
            <w:vAlign w:val="center"/>
          </w:tcPr>
          <w:p w14:paraId="0FE97394">
            <w:pPr>
              <w:pStyle w:val="74"/>
              <w:widowControl w:val="0"/>
              <w:spacing w:line="360" w:lineRule="auto"/>
              <w:ind w:firstLine="0" w:firstLineChars="0"/>
              <w:jc w:val="center"/>
              <w:rPr>
                <w:rFonts w:hint="eastAsia" w:hAnsi="宋体"/>
                <w:szCs w:val="21"/>
                <w:highlight w:val="none"/>
                <w:lang w:val="en-US" w:eastAsia="zh-CN"/>
              </w:rPr>
            </w:pPr>
          </w:p>
        </w:tc>
        <w:tc>
          <w:tcPr>
            <w:tcW w:w="947" w:type="dxa"/>
            <w:vAlign w:val="center"/>
          </w:tcPr>
          <w:p w14:paraId="718819FF">
            <w:pPr>
              <w:pStyle w:val="74"/>
              <w:widowControl w:val="0"/>
              <w:spacing w:line="240" w:lineRule="auto"/>
              <w:ind w:firstLine="0" w:firstLineChars="0"/>
              <w:jc w:val="center"/>
              <w:rPr>
                <w:rFonts w:hint="eastAsia" w:ascii="宋体" w:hAnsi="宋体" w:eastAsia="宋体" w:cs="Times New Roman"/>
                <w:sz w:val="21"/>
                <w:szCs w:val="21"/>
                <w:highlight w:val="none"/>
                <w:lang w:val="en-US" w:eastAsia="zh-CN" w:bidi="ar-SA"/>
              </w:rPr>
            </w:pPr>
            <w:r>
              <w:rPr>
                <w:rFonts w:hint="eastAsia" w:hAnsi="宋体"/>
                <w:szCs w:val="21"/>
                <w:highlight w:val="none"/>
                <w:lang w:val="en-US" w:eastAsia="zh-CN"/>
              </w:rPr>
              <w:t>合计1</w:t>
            </w:r>
          </w:p>
        </w:tc>
        <w:tc>
          <w:tcPr>
            <w:tcW w:w="7183" w:type="dxa"/>
            <w:vAlign w:val="center"/>
          </w:tcPr>
          <w:p w14:paraId="085315F8">
            <w:pPr>
              <w:jc w:val="both"/>
              <w:rPr>
                <w:rFonts w:hint="eastAsia" w:ascii="宋体" w:hAnsi="宋体" w:eastAsia="宋体" w:cs="宋体"/>
                <w:kern w:val="2"/>
                <w:sz w:val="21"/>
                <w:szCs w:val="21"/>
                <w:highlight w:val="none"/>
                <w:lang w:val="en-US" w:eastAsia="zh-CN" w:bidi="ar-SA"/>
              </w:rPr>
            </w:pPr>
            <w:r>
              <w:rPr>
                <w:rFonts w:hint="eastAsia" w:ascii="宋体" w:hAnsi="宋体" w:cs="宋体"/>
                <w:sz w:val="21"/>
                <w:szCs w:val="21"/>
                <w:highlight w:val="none"/>
                <w:lang w:val="en-US" w:eastAsia="zh-CN"/>
              </w:rPr>
              <w:t>6台气化炉大修总工日</w:t>
            </w:r>
          </w:p>
        </w:tc>
        <w:tc>
          <w:tcPr>
            <w:tcW w:w="767" w:type="dxa"/>
            <w:vAlign w:val="center"/>
          </w:tcPr>
          <w:p w14:paraId="2A66BA6B">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12324</w:t>
            </w:r>
          </w:p>
        </w:tc>
      </w:tr>
    </w:tbl>
    <w:p w14:paraId="45696A1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Times New Roman"/>
          <w:sz w:val="24"/>
          <w:szCs w:val="24"/>
          <w:highlight w:val="none"/>
          <w:lang w:val="en-US" w:eastAsia="zh-CN"/>
        </w:rPr>
      </w:pPr>
      <w:r>
        <w:rPr>
          <w:rFonts w:hint="eastAsia" w:ascii="宋体" w:hAnsi="宋体" w:cs="Times New Roman"/>
          <w:sz w:val="24"/>
          <w:szCs w:val="24"/>
          <w:highlight w:val="none"/>
          <w:lang w:val="en-US" w:eastAsia="zh-CN"/>
        </w:rPr>
        <w:t>4.5.2 本项目中不包括气化炉夹套换板、下椎体更换工作。</w:t>
      </w:r>
    </w:p>
    <w:p w14:paraId="6E4F657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sz w:val="24"/>
          <w:szCs w:val="24"/>
          <w:highlight w:val="none"/>
          <w:lang w:val="en-US" w:eastAsia="zh-CN"/>
        </w:rPr>
      </w:pPr>
      <w:bookmarkStart w:id="16" w:name="_Toc80271047"/>
      <w:bookmarkEnd w:id="16"/>
      <w:bookmarkStart w:id="17" w:name="_Toc80271046"/>
      <w:bookmarkEnd w:id="17"/>
      <w:r>
        <w:rPr>
          <w:rFonts w:hint="eastAsia" w:ascii="宋体" w:hAnsi="宋体" w:cs="Times New Roman"/>
          <w:sz w:val="24"/>
          <w:szCs w:val="24"/>
          <w:highlight w:val="none"/>
          <w:lang w:val="en-US" w:eastAsia="zh-CN"/>
        </w:rPr>
        <w:t>4.6项目技术要求</w:t>
      </w:r>
    </w:p>
    <w:p w14:paraId="7F4166B2">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ascii="宋体" w:hAnsi="宋体"/>
          <w:sz w:val="24"/>
          <w:szCs w:val="24"/>
          <w:highlight w:val="none"/>
        </w:rPr>
      </w:pPr>
      <w:r>
        <w:rPr>
          <w:rFonts w:hint="eastAsia" w:ascii="宋体" w:hAnsi="宋体"/>
          <w:sz w:val="24"/>
          <w:szCs w:val="24"/>
          <w:highlight w:val="none"/>
          <w:lang w:val="en-US" w:eastAsia="zh-CN"/>
        </w:rPr>
        <w:t xml:space="preserve">4.6.1 </w:t>
      </w:r>
      <w:r>
        <w:rPr>
          <w:rFonts w:hint="eastAsia" w:ascii="宋体" w:hAnsi="宋体"/>
          <w:sz w:val="24"/>
          <w:szCs w:val="24"/>
          <w:highlight w:val="none"/>
        </w:rPr>
        <w:t>材料供应</w:t>
      </w:r>
    </w:p>
    <w:p w14:paraId="37C2999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ascii="宋体" w:hAnsi="宋体"/>
          <w:sz w:val="24"/>
          <w:szCs w:val="24"/>
          <w:highlight w:val="none"/>
        </w:rPr>
      </w:pPr>
      <w:r>
        <w:rPr>
          <w:rFonts w:hint="eastAsia" w:ascii="宋体" w:hAnsi="宋体"/>
          <w:sz w:val="24"/>
          <w:szCs w:val="24"/>
          <w:highlight w:val="none"/>
          <w:lang w:val="en-US" w:eastAsia="zh-CN"/>
        </w:rPr>
        <w:t>4.6.1</w:t>
      </w:r>
      <w:r>
        <w:rPr>
          <w:rFonts w:hint="eastAsia" w:ascii="宋体" w:hAnsi="宋体"/>
          <w:sz w:val="24"/>
          <w:szCs w:val="24"/>
          <w:highlight w:val="none"/>
        </w:rPr>
        <w:t>.1由招标人供应的材料</w:t>
      </w:r>
      <w:bookmarkStart w:id="18" w:name="_Toc417761709"/>
      <w:r>
        <w:rPr>
          <w:rFonts w:hint="eastAsia" w:ascii="宋体" w:hAnsi="宋体"/>
          <w:sz w:val="24"/>
          <w:szCs w:val="24"/>
          <w:highlight w:val="none"/>
          <w:lang w:eastAsia="zh-CN"/>
        </w:rPr>
        <w:t>，</w:t>
      </w:r>
      <w:r>
        <w:rPr>
          <w:rFonts w:hint="eastAsia" w:ascii="宋体" w:hAnsi="宋体"/>
          <w:sz w:val="24"/>
          <w:szCs w:val="24"/>
          <w:highlight w:val="none"/>
          <w:lang w:val="en-US" w:eastAsia="zh-CN"/>
        </w:rPr>
        <w:t>包含I</w:t>
      </w:r>
      <w:r>
        <w:rPr>
          <w:rFonts w:hint="eastAsia" w:ascii="宋体" w:hAnsi="宋体"/>
          <w:sz w:val="24"/>
          <w:szCs w:val="24"/>
          <w:highlight w:val="none"/>
        </w:rPr>
        <w:t>nconel625焊条</w:t>
      </w:r>
      <w:r>
        <w:rPr>
          <w:rFonts w:hint="eastAsia" w:ascii="宋体" w:hAnsi="宋体"/>
          <w:sz w:val="24"/>
          <w:szCs w:val="24"/>
          <w:highlight w:val="none"/>
          <w:lang w:eastAsia="zh-CN"/>
        </w:rPr>
        <w:t>、</w:t>
      </w:r>
      <w:r>
        <w:rPr>
          <w:rFonts w:hint="eastAsia" w:ascii="宋体" w:hAnsi="宋体"/>
          <w:sz w:val="24"/>
          <w:szCs w:val="24"/>
          <w:highlight w:val="none"/>
        </w:rPr>
        <w:t>各设备检修所需的备品备件</w:t>
      </w:r>
      <w:r>
        <w:rPr>
          <w:rFonts w:hint="eastAsia" w:ascii="宋体" w:hAnsi="宋体"/>
          <w:sz w:val="24"/>
          <w:szCs w:val="24"/>
          <w:highlight w:val="none"/>
          <w:lang w:eastAsia="zh-CN"/>
        </w:rPr>
        <w:t>、</w:t>
      </w:r>
      <w:r>
        <w:rPr>
          <w:rFonts w:hint="eastAsia" w:ascii="宋体" w:hAnsi="宋体"/>
          <w:sz w:val="24"/>
          <w:szCs w:val="24"/>
          <w:highlight w:val="none"/>
        </w:rPr>
        <w:t>各类</w:t>
      </w:r>
      <w:r>
        <w:rPr>
          <w:rFonts w:hint="eastAsia" w:ascii="宋体" w:hAnsi="宋体"/>
          <w:sz w:val="24"/>
          <w:szCs w:val="24"/>
          <w:highlight w:val="none"/>
          <w:lang w:val="en-US" w:eastAsia="zh-CN"/>
        </w:rPr>
        <w:t>焊接材料（</w:t>
      </w:r>
      <w:r>
        <w:rPr>
          <w:rFonts w:hint="eastAsia" w:ascii="宋体" w:hAnsi="宋体"/>
          <w:sz w:val="24"/>
          <w:szCs w:val="24"/>
          <w:highlight w:val="none"/>
        </w:rPr>
        <w:t>电焊条、焊丝、氧气、乙炔、氩气、焊锡、碳弧气爆棒、不锈钢磨片等</w:t>
      </w:r>
      <w:r>
        <w:rPr>
          <w:rFonts w:hint="eastAsia" w:ascii="宋体" w:hAnsi="宋体"/>
          <w:sz w:val="24"/>
          <w:szCs w:val="24"/>
          <w:highlight w:val="none"/>
          <w:lang w:eastAsia="zh-CN"/>
        </w:rPr>
        <w:t>）</w:t>
      </w:r>
      <w:r>
        <w:rPr>
          <w:rFonts w:hint="eastAsia" w:ascii="宋体" w:hAnsi="宋体"/>
          <w:sz w:val="24"/>
          <w:szCs w:val="24"/>
          <w:highlight w:val="none"/>
        </w:rPr>
        <w:t>、密封件、紧固件</w:t>
      </w:r>
      <w:r>
        <w:rPr>
          <w:rFonts w:hint="eastAsia" w:ascii="宋体" w:hAnsi="宋体"/>
          <w:sz w:val="24"/>
          <w:szCs w:val="24"/>
          <w:highlight w:val="none"/>
          <w:lang w:eastAsia="zh-CN"/>
        </w:rPr>
        <w:t>、</w:t>
      </w:r>
      <w:r>
        <w:rPr>
          <w:rFonts w:hint="eastAsia" w:ascii="宋体" w:hAnsi="宋体"/>
          <w:sz w:val="24"/>
          <w:szCs w:val="24"/>
          <w:highlight w:val="none"/>
          <w:lang w:val="en-US" w:eastAsia="zh-CN"/>
        </w:rPr>
        <w:t>检测的物资和设备（</w:t>
      </w:r>
      <w:r>
        <w:rPr>
          <w:rFonts w:hint="eastAsia" w:ascii="宋体" w:hAnsi="宋体"/>
          <w:sz w:val="24"/>
          <w:szCs w:val="24"/>
          <w:highlight w:val="none"/>
        </w:rPr>
        <w:t>过程PT检测</w:t>
      </w:r>
      <w:r>
        <w:rPr>
          <w:rFonts w:hint="eastAsia" w:ascii="宋体" w:hAnsi="宋体"/>
          <w:sz w:val="24"/>
          <w:szCs w:val="24"/>
          <w:highlight w:val="none"/>
          <w:lang w:eastAsia="zh-CN"/>
        </w:rPr>
        <w:t>、</w:t>
      </w:r>
      <w:r>
        <w:rPr>
          <w:rFonts w:hint="eastAsia" w:ascii="宋体" w:hAnsi="宋体"/>
          <w:sz w:val="24"/>
          <w:szCs w:val="24"/>
          <w:highlight w:val="none"/>
        </w:rPr>
        <w:t>最终PT检测</w:t>
      </w:r>
      <w:r>
        <w:rPr>
          <w:rFonts w:hint="eastAsia" w:ascii="宋体" w:hAnsi="宋体"/>
          <w:sz w:val="24"/>
          <w:szCs w:val="24"/>
          <w:highlight w:val="none"/>
          <w:lang w:eastAsia="zh-CN"/>
        </w:rPr>
        <w:t>、</w:t>
      </w:r>
      <w:r>
        <w:rPr>
          <w:rFonts w:hint="eastAsia" w:ascii="宋体" w:hAnsi="宋体"/>
          <w:sz w:val="24"/>
          <w:szCs w:val="24"/>
          <w:highlight w:val="none"/>
        </w:rPr>
        <w:t>其它检测</w:t>
      </w:r>
      <w:r>
        <w:rPr>
          <w:rFonts w:hint="eastAsia" w:ascii="宋体" w:hAnsi="宋体"/>
          <w:sz w:val="24"/>
          <w:szCs w:val="24"/>
          <w:highlight w:val="none"/>
          <w:lang w:eastAsia="zh-CN"/>
        </w:rPr>
        <w:t>）</w:t>
      </w:r>
      <w:r>
        <w:rPr>
          <w:rFonts w:hint="eastAsia" w:ascii="宋体" w:hAnsi="宋体"/>
          <w:sz w:val="24"/>
          <w:szCs w:val="24"/>
          <w:highlight w:val="none"/>
        </w:rPr>
        <w:t>；</w:t>
      </w:r>
    </w:p>
    <w:p w14:paraId="22655E5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ascii="宋体" w:hAnsi="宋体"/>
          <w:sz w:val="24"/>
          <w:szCs w:val="24"/>
          <w:highlight w:val="none"/>
        </w:rPr>
      </w:pPr>
      <w:r>
        <w:rPr>
          <w:rFonts w:hint="eastAsia" w:ascii="宋体" w:hAnsi="宋体"/>
          <w:sz w:val="24"/>
          <w:szCs w:val="24"/>
          <w:highlight w:val="none"/>
          <w:lang w:val="en-US" w:eastAsia="zh-CN"/>
        </w:rPr>
        <w:t xml:space="preserve">4.6.1.2 </w:t>
      </w:r>
      <w:r>
        <w:rPr>
          <w:rFonts w:hint="eastAsia" w:ascii="宋体" w:hAnsi="宋体"/>
          <w:sz w:val="24"/>
          <w:szCs w:val="24"/>
          <w:highlight w:val="none"/>
        </w:rPr>
        <w:t>由投标人供应的材料</w:t>
      </w:r>
      <w:r>
        <w:rPr>
          <w:rFonts w:hint="eastAsia" w:ascii="宋体" w:hAnsi="宋体"/>
          <w:sz w:val="24"/>
          <w:szCs w:val="24"/>
          <w:highlight w:val="none"/>
          <w:lang w:eastAsia="zh-CN"/>
        </w:rPr>
        <w:t>，</w:t>
      </w:r>
      <w:r>
        <w:rPr>
          <w:rFonts w:hint="eastAsia" w:ascii="宋体" w:hAnsi="宋体"/>
          <w:sz w:val="24"/>
          <w:szCs w:val="24"/>
          <w:highlight w:val="none"/>
          <w:lang w:val="en-US" w:eastAsia="zh-CN"/>
        </w:rPr>
        <w:t>包含但</w:t>
      </w:r>
      <w:r>
        <w:rPr>
          <w:rFonts w:hint="eastAsia" w:ascii="宋体" w:hAnsi="宋体"/>
          <w:sz w:val="24"/>
          <w:szCs w:val="24"/>
          <w:highlight w:val="none"/>
        </w:rPr>
        <w:t>不限于</w:t>
      </w:r>
      <w:bookmarkEnd w:id="18"/>
      <w:r>
        <w:rPr>
          <w:rFonts w:hint="eastAsia" w:ascii="宋体" w:hAnsi="宋体"/>
          <w:sz w:val="24"/>
          <w:szCs w:val="24"/>
          <w:highlight w:val="none"/>
        </w:rPr>
        <w:t>油脂类</w:t>
      </w:r>
      <w:r>
        <w:rPr>
          <w:rFonts w:hint="eastAsia" w:ascii="宋体" w:hAnsi="宋体"/>
          <w:sz w:val="24"/>
          <w:szCs w:val="24"/>
          <w:highlight w:val="none"/>
          <w:lang w:eastAsia="zh-CN"/>
        </w:rPr>
        <w:t>（</w:t>
      </w:r>
      <w:r>
        <w:rPr>
          <w:rFonts w:hint="eastAsia" w:ascii="宋体" w:hAnsi="宋体"/>
          <w:sz w:val="24"/>
          <w:szCs w:val="24"/>
          <w:highlight w:val="none"/>
        </w:rPr>
        <w:t>煤油、汽油、清洗油、螺栓松动剂等</w:t>
      </w:r>
      <w:r>
        <w:rPr>
          <w:rFonts w:hint="eastAsia" w:ascii="宋体" w:hAnsi="宋体"/>
          <w:sz w:val="24"/>
          <w:szCs w:val="24"/>
          <w:highlight w:val="none"/>
          <w:lang w:eastAsia="zh-CN"/>
        </w:rPr>
        <w:t>）、</w:t>
      </w:r>
      <w:r>
        <w:rPr>
          <w:rFonts w:hint="eastAsia" w:ascii="宋体" w:hAnsi="宋体"/>
          <w:sz w:val="24"/>
          <w:szCs w:val="24"/>
          <w:highlight w:val="none"/>
        </w:rPr>
        <w:t>粘接类</w:t>
      </w:r>
      <w:r>
        <w:rPr>
          <w:rFonts w:hint="eastAsia" w:ascii="宋体" w:hAnsi="宋体"/>
          <w:sz w:val="24"/>
          <w:szCs w:val="24"/>
          <w:highlight w:val="none"/>
          <w:lang w:eastAsia="zh-CN"/>
        </w:rPr>
        <w:t>（</w:t>
      </w:r>
      <w:r>
        <w:rPr>
          <w:rFonts w:hint="eastAsia" w:ascii="宋体" w:hAnsi="宋体"/>
          <w:sz w:val="24"/>
          <w:szCs w:val="24"/>
          <w:highlight w:val="none"/>
        </w:rPr>
        <w:t>各种胶水</w:t>
      </w:r>
      <w:r>
        <w:rPr>
          <w:rFonts w:hint="eastAsia" w:ascii="宋体" w:hAnsi="宋体"/>
          <w:sz w:val="24"/>
          <w:szCs w:val="24"/>
          <w:highlight w:val="none"/>
          <w:lang w:val="en-US" w:eastAsia="zh-CN"/>
        </w:rPr>
        <w:t>如</w:t>
      </w:r>
      <w:r>
        <w:rPr>
          <w:rFonts w:hint="eastAsia" w:ascii="宋体" w:hAnsi="宋体"/>
          <w:sz w:val="24"/>
          <w:szCs w:val="24"/>
          <w:highlight w:val="none"/>
        </w:rPr>
        <w:t>AB胶、密封胶等）</w:t>
      </w:r>
      <w:r>
        <w:rPr>
          <w:rFonts w:hint="eastAsia" w:ascii="宋体" w:hAnsi="宋体"/>
          <w:sz w:val="24"/>
          <w:szCs w:val="24"/>
          <w:highlight w:val="none"/>
          <w:lang w:eastAsia="zh-CN"/>
        </w:rPr>
        <w:t>、</w:t>
      </w:r>
      <w:r>
        <w:rPr>
          <w:rFonts w:hint="eastAsia" w:ascii="宋体" w:hAnsi="宋体"/>
          <w:sz w:val="24"/>
          <w:szCs w:val="24"/>
          <w:highlight w:val="none"/>
        </w:rPr>
        <w:t>稀释剂</w:t>
      </w:r>
      <w:r>
        <w:rPr>
          <w:rFonts w:hint="eastAsia" w:ascii="宋体" w:hAnsi="宋体"/>
          <w:sz w:val="24"/>
          <w:szCs w:val="24"/>
          <w:highlight w:val="none"/>
          <w:lang w:eastAsia="zh-CN"/>
        </w:rPr>
        <w:t>（</w:t>
      </w:r>
      <w:r>
        <w:rPr>
          <w:rFonts w:hint="eastAsia" w:ascii="宋体" w:hAnsi="宋体"/>
          <w:sz w:val="24"/>
          <w:szCs w:val="24"/>
          <w:highlight w:val="none"/>
        </w:rPr>
        <w:t>酒精、丙酮、稀料等各类稀释材料等</w:t>
      </w:r>
      <w:r>
        <w:rPr>
          <w:rFonts w:hint="eastAsia" w:ascii="宋体" w:hAnsi="宋体"/>
          <w:sz w:val="24"/>
          <w:szCs w:val="24"/>
          <w:highlight w:val="none"/>
          <w:lang w:eastAsia="zh-CN"/>
        </w:rPr>
        <w:t>）、</w:t>
      </w:r>
      <w:r>
        <w:rPr>
          <w:rFonts w:hint="eastAsia" w:ascii="宋体" w:hAnsi="宋体"/>
          <w:sz w:val="24"/>
          <w:szCs w:val="24"/>
          <w:highlight w:val="none"/>
        </w:rPr>
        <w:t>电器类</w:t>
      </w:r>
      <w:r>
        <w:rPr>
          <w:rFonts w:hint="eastAsia" w:ascii="宋体" w:hAnsi="宋体"/>
          <w:sz w:val="24"/>
          <w:szCs w:val="24"/>
          <w:highlight w:val="none"/>
          <w:lang w:eastAsia="zh-CN"/>
        </w:rPr>
        <w:t>（</w:t>
      </w:r>
      <w:r>
        <w:rPr>
          <w:rFonts w:hint="eastAsia" w:ascii="宋体" w:hAnsi="宋体"/>
          <w:sz w:val="24"/>
          <w:szCs w:val="24"/>
          <w:highlight w:val="none"/>
        </w:rPr>
        <w:t>锁具、100W以下普通灯泡灯管及检修用照明、灯具，检修用的电线、保险丝、电炉丝、电源插头、电源插座、线轴等</w:t>
      </w:r>
      <w:r>
        <w:rPr>
          <w:rFonts w:hint="eastAsia" w:ascii="宋体" w:hAnsi="宋体"/>
          <w:sz w:val="24"/>
          <w:szCs w:val="24"/>
          <w:highlight w:val="none"/>
          <w:lang w:eastAsia="zh-CN"/>
        </w:rPr>
        <w:t>）、</w:t>
      </w:r>
      <w:r>
        <w:rPr>
          <w:rFonts w:hint="eastAsia" w:ascii="宋体" w:hAnsi="宋体"/>
          <w:sz w:val="24"/>
          <w:szCs w:val="24"/>
          <w:highlight w:val="none"/>
        </w:rPr>
        <w:t>橡胶类</w:t>
      </w:r>
      <w:r>
        <w:rPr>
          <w:rFonts w:hint="eastAsia" w:ascii="宋体" w:hAnsi="宋体"/>
          <w:sz w:val="24"/>
          <w:szCs w:val="24"/>
          <w:highlight w:val="none"/>
          <w:lang w:eastAsia="zh-CN"/>
        </w:rPr>
        <w:t>（</w:t>
      </w:r>
      <w:r>
        <w:rPr>
          <w:rFonts w:hint="eastAsia" w:ascii="宋体" w:hAnsi="宋体"/>
          <w:sz w:val="24"/>
          <w:szCs w:val="24"/>
          <w:highlight w:val="none"/>
        </w:rPr>
        <w:t>普通橡胶管道等</w:t>
      </w:r>
      <w:r>
        <w:rPr>
          <w:rFonts w:hint="eastAsia" w:ascii="宋体" w:hAnsi="宋体"/>
          <w:sz w:val="24"/>
          <w:szCs w:val="24"/>
          <w:highlight w:val="none"/>
          <w:lang w:eastAsia="zh-CN"/>
        </w:rPr>
        <w:t>）、</w:t>
      </w:r>
      <w:r>
        <w:rPr>
          <w:rFonts w:hint="eastAsia" w:ascii="宋体" w:hAnsi="宋体"/>
          <w:sz w:val="24"/>
          <w:szCs w:val="24"/>
          <w:highlight w:val="none"/>
        </w:rPr>
        <w:t>研磨类</w:t>
      </w:r>
      <w:r>
        <w:rPr>
          <w:rFonts w:hint="eastAsia" w:ascii="宋体" w:hAnsi="宋体"/>
          <w:sz w:val="24"/>
          <w:szCs w:val="24"/>
          <w:highlight w:val="none"/>
          <w:lang w:eastAsia="zh-CN"/>
        </w:rPr>
        <w:t>（</w:t>
      </w:r>
      <w:r>
        <w:rPr>
          <w:rFonts w:hint="eastAsia" w:ascii="宋体" w:hAnsi="宋体"/>
          <w:sz w:val="24"/>
          <w:szCs w:val="24"/>
          <w:highlight w:val="none"/>
        </w:rPr>
        <w:t>砂轮片、角向磨片、切割机专用片；各类砂布、各类砂纸</w:t>
      </w:r>
      <w:r>
        <w:rPr>
          <w:rFonts w:hint="eastAsia" w:ascii="宋体" w:hAnsi="宋体"/>
          <w:sz w:val="24"/>
          <w:szCs w:val="24"/>
          <w:highlight w:val="none"/>
          <w:lang w:eastAsia="zh-CN"/>
        </w:rPr>
        <w:t>）、</w:t>
      </w:r>
      <w:r>
        <w:rPr>
          <w:rFonts w:hint="eastAsia" w:ascii="宋体" w:hAnsi="宋体"/>
          <w:sz w:val="24"/>
          <w:szCs w:val="24"/>
          <w:highlight w:val="none"/>
        </w:rPr>
        <w:t>绳索类</w:t>
      </w:r>
      <w:r>
        <w:rPr>
          <w:rFonts w:hint="eastAsia" w:ascii="宋体" w:hAnsi="宋体"/>
          <w:sz w:val="24"/>
          <w:szCs w:val="24"/>
          <w:highlight w:val="none"/>
          <w:lang w:eastAsia="zh-CN"/>
        </w:rPr>
        <w:t>（</w:t>
      </w:r>
      <w:r>
        <w:rPr>
          <w:rFonts w:hint="eastAsia" w:ascii="宋体" w:hAnsi="宋体"/>
          <w:sz w:val="24"/>
          <w:szCs w:val="24"/>
          <w:highlight w:val="none"/>
        </w:rPr>
        <w:t>麻绳、尼龙绳、钢丝绳、手拉葫芦等</w:t>
      </w:r>
      <w:r>
        <w:rPr>
          <w:rFonts w:hint="eastAsia" w:ascii="宋体" w:hAnsi="宋体"/>
          <w:sz w:val="24"/>
          <w:szCs w:val="24"/>
          <w:highlight w:val="none"/>
          <w:lang w:eastAsia="zh-CN"/>
        </w:rPr>
        <w:t>）、</w:t>
      </w:r>
      <w:r>
        <w:rPr>
          <w:rFonts w:hint="eastAsia" w:ascii="宋体" w:hAnsi="宋体"/>
          <w:sz w:val="24"/>
          <w:szCs w:val="24"/>
          <w:highlight w:val="none"/>
        </w:rPr>
        <w:t>消耗品</w:t>
      </w:r>
      <w:r>
        <w:rPr>
          <w:rFonts w:hint="eastAsia" w:ascii="宋体" w:hAnsi="宋体"/>
          <w:sz w:val="24"/>
          <w:szCs w:val="24"/>
          <w:highlight w:val="none"/>
          <w:lang w:eastAsia="zh-CN"/>
        </w:rPr>
        <w:t>（</w:t>
      </w:r>
      <w:r>
        <w:rPr>
          <w:rFonts w:hint="eastAsia" w:ascii="宋体" w:hAnsi="宋体"/>
          <w:sz w:val="24"/>
          <w:szCs w:val="24"/>
          <w:highlight w:val="none"/>
        </w:rPr>
        <w:t>胶布、白布、白布带、毛刷、钢丝刷、绝缘带、防水胶带、玻璃丝带、黄蜡带、生料带、扎带、热缩管、线鼻子、绑线、塑料布、记号笔、电池以及未提到的低值易耗品等</w:t>
      </w:r>
      <w:r>
        <w:rPr>
          <w:rFonts w:hint="eastAsia" w:ascii="宋体" w:hAnsi="宋体"/>
          <w:sz w:val="24"/>
          <w:szCs w:val="24"/>
          <w:highlight w:val="none"/>
          <w:lang w:eastAsia="zh-CN"/>
        </w:rPr>
        <w:t>）、</w:t>
      </w:r>
      <w:r>
        <w:rPr>
          <w:rFonts w:ascii="宋体" w:hAnsi="宋体"/>
          <w:sz w:val="24"/>
          <w:szCs w:val="24"/>
          <w:highlight w:val="none"/>
        </w:rPr>
        <w:t>消耗性工具</w:t>
      </w:r>
      <w:r>
        <w:rPr>
          <w:rFonts w:hint="eastAsia" w:ascii="宋体" w:hAnsi="宋体"/>
          <w:sz w:val="24"/>
          <w:szCs w:val="24"/>
          <w:highlight w:val="none"/>
          <w:lang w:eastAsia="zh-CN"/>
        </w:rPr>
        <w:t>（</w:t>
      </w:r>
      <w:r>
        <w:rPr>
          <w:rFonts w:ascii="宋体" w:hAnsi="宋体"/>
          <w:sz w:val="24"/>
          <w:szCs w:val="24"/>
          <w:highlight w:val="none"/>
        </w:rPr>
        <w:t>铁锹、錾子、样冲等</w:t>
      </w:r>
      <w:r>
        <w:rPr>
          <w:rFonts w:hint="eastAsia" w:ascii="宋体" w:hAnsi="宋体"/>
          <w:sz w:val="24"/>
          <w:szCs w:val="24"/>
          <w:highlight w:val="none"/>
          <w:lang w:eastAsia="zh-CN"/>
        </w:rPr>
        <w:t>）、</w:t>
      </w:r>
      <w:r>
        <w:rPr>
          <w:rFonts w:ascii="宋体" w:hAnsi="宋体"/>
          <w:sz w:val="24"/>
          <w:szCs w:val="24"/>
          <w:highlight w:val="none"/>
        </w:rPr>
        <w:t>其它类</w:t>
      </w:r>
      <w:r>
        <w:rPr>
          <w:rFonts w:hint="eastAsia" w:ascii="宋体" w:hAnsi="宋体"/>
          <w:sz w:val="24"/>
          <w:szCs w:val="24"/>
          <w:highlight w:val="none"/>
          <w:lang w:eastAsia="zh-CN"/>
        </w:rPr>
        <w:t>（</w:t>
      </w:r>
      <w:r>
        <w:rPr>
          <w:rFonts w:ascii="宋体" w:hAnsi="宋体"/>
          <w:sz w:val="24"/>
          <w:szCs w:val="24"/>
          <w:highlight w:val="none"/>
        </w:rPr>
        <w:t>棉纱、</w:t>
      </w:r>
      <w:r>
        <w:rPr>
          <w:rFonts w:hint="eastAsia" w:ascii="宋体" w:hAnsi="宋体"/>
          <w:sz w:val="24"/>
          <w:szCs w:val="24"/>
          <w:highlight w:val="none"/>
        </w:rPr>
        <w:t>擦机</w:t>
      </w:r>
      <w:r>
        <w:rPr>
          <w:rFonts w:ascii="宋体" w:hAnsi="宋体"/>
          <w:sz w:val="24"/>
          <w:szCs w:val="24"/>
          <w:highlight w:val="none"/>
        </w:rPr>
        <w:t>布、现场卫生清扫工具等</w:t>
      </w:r>
      <w:r>
        <w:rPr>
          <w:rFonts w:hint="eastAsia" w:ascii="宋体" w:hAnsi="宋体"/>
          <w:sz w:val="24"/>
          <w:szCs w:val="24"/>
          <w:highlight w:val="none"/>
          <w:lang w:eastAsia="zh-CN"/>
        </w:rPr>
        <w:t>）</w:t>
      </w:r>
      <w:r>
        <w:rPr>
          <w:rFonts w:ascii="宋体" w:hAnsi="宋体"/>
          <w:sz w:val="24"/>
          <w:szCs w:val="24"/>
          <w:highlight w:val="none"/>
        </w:rPr>
        <w:t>。</w:t>
      </w:r>
    </w:p>
    <w:p w14:paraId="656D3C6B">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ascii="宋体" w:hAnsi="宋体"/>
          <w:sz w:val="24"/>
          <w:szCs w:val="24"/>
          <w:highlight w:val="none"/>
        </w:rPr>
      </w:pPr>
      <w:r>
        <w:rPr>
          <w:rFonts w:hint="eastAsia" w:ascii="宋体" w:hAnsi="宋体"/>
          <w:sz w:val="24"/>
          <w:szCs w:val="24"/>
          <w:highlight w:val="none"/>
          <w:lang w:val="en-US" w:eastAsia="zh-CN"/>
        </w:rPr>
        <w:t xml:space="preserve">4.6.1.3 </w:t>
      </w:r>
      <w:r>
        <w:rPr>
          <w:rFonts w:hint="eastAsia" w:ascii="宋体" w:hAnsi="宋体"/>
          <w:sz w:val="24"/>
          <w:szCs w:val="24"/>
          <w:highlight w:val="none"/>
        </w:rPr>
        <w:t>下灰室锥体部分堆焊的过程检测和最终检测由投标人和招标人共同检测。招标人需要检测时，投标人不得以任何借口阻拦。</w:t>
      </w:r>
    </w:p>
    <w:p w14:paraId="4E16FC11">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sz w:val="24"/>
          <w:szCs w:val="24"/>
          <w:highlight w:val="none"/>
          <w:lang w:val="en-US" w:eastAsia="zh-CN"/>
        </w:rPr>
        <w:t xml:space="preserve">4.6.1.4 </w:t>
      </w:r>
      <w:r>
        <w:rPr>
          <w:rFonts w:hint="eastAsia" w:ascii="宋体" w:hAnsi="宋体" w:eastAsia="宋体" w:cs="宋体"/>
          <w:sz w:val="24"/>
          <w:szCs w:val="24"/>
          <w:highlight w:val="none"/>
        </w:rPr>
        <w:t>其他施工必需材料及设备设施，本规范书未明确说明的，均由投标人提供。</w:t>
      </w:r>
    </w:p>
    <w:p w14:paraId="37ABB55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 xml:space="preserve">4.6.2 </w:t>
      </w:r>
      <w:r>
        <w:rPr>
          <w:rFonts w:hint="eastAsia" w:ascii="宋体" w:hAnsi="宋体" w:eastAsia="宋体" w:cs="宋体"/>
          <w:sz w:val="24"/>
          <w:szCs w:val="24"/>
          <w:highlight w:val="none"/>
        </w:rPr>
        <w:t>施工要求</w:t>
      </w:r>
    </w:p>
    <w:p w14:paraId="105FEDF9">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 xml:space="preserve">4.6.2.1 </w:t>
      </w:r>
      <w:r>
        <w:rPr>
          <w:rFonts w:hint="eastAsia" w:ascii="宋体" w:hAnsi="宋体" w:eastAsia="宋体" w:cs="宋体"/>
          <w:sz w:val="24"/>
          <w:szCs w:val="24"/>
          <w:highlight w:val="none"/>
        </w:rPr>
        <w:t>负责检修区域内的设备、地面、门窗、钢梁、平台等的卫生保洁清扫，对施工产生的废料和垃圾进行处理，其中报废的备件类物资返回招标人的物资库，其它垃圾由投标人负责运送到</w:t>
      </w:r>
      <w:r>
        <w:rPr>
          <w:rFonts w:hint="eastAsia" w:ascii="宋体" w:hAnsi="宋体" w:cs="宋体"/>
          <w:sz w:val="24"/>
          <w:szCs w:val="24"/>
          <w:highlight w:val="none"/>
          <w:lang w:val="en-US" w:eastAsia="zh-CN"/>
        </w:rPr>
        <w:t>招标方</w:t>
      </w:r>
      <w:r>
        <w:rPr>
          <w:rFonts w:hint="eastAsia" w:ascii="宋体" w:hAnsi="宋体" w:eastAsia="宋体" w:cs="宋体"/>
          <w:sz w:val="24"/>
          <w:szCs w:val="24"/>
          <w:highlight w:val="none"/>
        </w:rPr>
        <w:t>指定的垃圾场。</w:t>
      </w:r>
    </w:p>
    <w:p w14:paraId="2849F3D7">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 xml:space="preserve">4.6.2.2 </w:t>
      </w:r>
      <w:r>
        <w:rPr>
          <w:rFonts w:hint="eastAsia" w:ascii="宋体" w:hAnsi="宋体" w:eastAsia="宋体" w:cs="宋体"/>
          <w:sz w:val="24"/>
          <w:szCs w:val="24"/>
          <w:highlight w:val="none"/>
        </w:rPr>
        <w:t>配合完成检修中和检修结束后需进行的各种试验和调试。</w:t>
      </w:r>
    </w:p>
    <w:p w14:paraId="4FE8F8B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 xml:space="preserve">4.6.2.3 </w:t>
      </w:r>
      <w:r>
        <w:rPr>
          <w:rFonts w:hint="eastAsia" w:ascii="宋体" w:hAnsi="宋体" w:eastAsia="宋体" w:cs="宋体"/>
          <w:sz w:val="24"/>
          <w:szCs w:val="24"/>
          <w:highlight w:val="none"/>
        </w:rPr>
        <w:t>投标人针对上述项目检修的所有技术资料、检修记录在竣工验收后应移交招标人。</w:t>
      </w:r>
    </w:p>
    <w:p w14:paraId="07D018B6">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 xml:space="preserve">4.6.2.4 </w:t>
      </w:r>
      <w:r>
        <w:rPr>
          <w:rFonts w:hint="eastAsia" w:ascii="宋体" w:hAnsi="宋体" w:eastAsia="宋体" w:cs="宋体"/>
          <w:sz w:val="24"/>
          <w:szCs w:val="24"/>
          <w:highlight w:val="none"/>
        </w:rPr>
        <w:t>无明确注明要求和未提到的任何细节，或在涉及技术要求的叙述中没有特殊规定的，都应被认为指的是采用国家颁布的有关规范、标准。</w:t>
      </w:r>
    </w:p>
    <w:p w14:paraId="20F54568">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 xml:space="preserve">4.6.2.5 </w:t>
      </w:r>
      <w:r>
        <w:rPr>
          <w:rFonts w:hint="eastAsia" w:ascii="宋体" w:hAnsi="宋体" w:eastAsia="宋体" w:cs="宋体"/>
          <w:sz w:val="24"/>
          <w:szCs w:val="24"/>
          <w:highlight w:val="none"/>
        </w:rPr>
        <w:t>堆焊前应采用碳弧气刨的方法清除原堆焊层，采用机械和手工结合的方法对要堆焊的区域除锈、除氧化皮，直至露出金属光泽，经检验合格后方可继续下一步作业。</w:t>
      </w:r>
    </w:p>
    <w:p w14:paraId="2C0B1C6F">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sz w:val="24"/>
          <w:szCs w:val="24"/>
          <w:highlight w:val="none"/>
        </w:rPr>
      </w:pPr>
      <w:r>
        <w:rPr>
          <w:rFonts w:hint="eastAsia" w:ascii="宋体" w:hAnsi="宋体" w:cs="宋体"/>
          <w:sz w:val="24"/>
          <w:szCs w:val="24"/>
          <w:highlight w:val="none"/>
          <w:lang w:val="en-US" w:eastAsia="zh-CN"/>
        </w:rPr>
        <w:t xml:space="preserve">4.6.2.6 </w:t>
      </w:r>
      <w:r>
        <w:rPr>
          <w:rFonts w:hint="eastAsia" w:ascii="宋体" w:hAnsi="宋体" w:eastAsia="宋体" w:cs="Times New Roman"/>
          <w:sz w:val="24"/>
          <w:szCs w:val="24"/>
          <w:highlight w:val="none"/>
        </w:rPr>
        <w:t>打磨完毕后，对作业区域内的缺陷，用R307修复、补平，打磨平整，并经超声测厚，检测结果须</w:t>
      </w:r>
      <w:r>
        <w:rPr>
          <w:rFonts w:hint="eastAsia" w:ascii="宋体" w:hAnsi="宋体" w:cs="Times New Roman"/>
          <w:sz w:val="24"/>
          <w:szCs w:val="24"/>
          <w:highlight w:val="none"/>
          <w:lang w:val="en-US" w:eastAsia="zh-CN"/>
        </w:rPr>
        <w:t>≥</w:t>
      </w:r>
      <w:r>
        <w:rPr>
          <w:rFonts w:hint="eastAsia" w:ascii="宋体" w:hAnsi="宋体" w:eastAsia="宋体" w:cs="Times New Roman"/>
          <w:sz w:val="24"/>
          <w:szCs w:val="24"/>
          <w:highlight w:val="none"/>
        </w:rPr>
        <w:t>22mm。</w:t>
      </w:r>
    </w:p>
    <w:p w14:paraId="20D096F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sz w:val="24"/>
          <w:szCs w:val="24"/>
          <w:highlight w:val="none"/>
        </w:rPr>
      </w:pPr>
      <w:r>
        <w:rPr>
          <w:rFonts w:hint="eastAsia" w:ascii="宋体" w:hAnsi="宋体" w:cs="宋体"/>
          <w:sz w:val="24"/>
          <w:szCs w:val="24"/>
          <w:highlight w:val="none"/>
          <w:lang w:val="en-US" w:eastAsia="zh-CN"/>
        </w:rPr>
        <w:t xml:space="preserve">4.6.2.7 </w:t>
      </w:r>
      <w:r>
        <w:rPr>
          <w:rFonts w:hint="eastAsia" w:ascii="宋体" w:hAnsi="宋体" w:eastAsia="宋体" w:cs="Times New Roman"/>
          <w:sz w:val="24"/>
          <w:szCs w:val="24"/>
          <w:highlight w:val="none"/>
        </w:rPr>
        <w:t>堆焊前保持</w:t>
      </w:r>
      <w:r>
        <w:rPr>
          <w:rFonts w:hint="eastAsia" w:ascii="宋体" w:hAnsi="宋体" w:cs="Times New Roman"/>
          <w:sz w:val="24"/>
          <w:szCs w:val="24"/>
          <w:highlight w:val="none"/>
          <w:lang w:val="en-US" w:eastAsia="zh-CN"/>
        </w:rPr>
        <w:t>I</w:t>
      </w:r>
      <w:r>
        <w:rPr>
          <w:rFonts w:hint="eastAsia" w:ascii="宋体" w:hAnsi="宋体" w:eastAsia="宋体" w:cs="Times New Roman"/>
          <w:sz w:val="24"/>
          <w:szCs w:val="24"/>
          <w:highlight w:val="none"/>
        </w:rPr>
        <w:t>ncone</w:t>
      </w:r>
      <w:r>
        <w:rPr>
          <w:rFonts w:hint="eastAsia" w:ascii="宋体" w:hAnsi="宋体" w:cs="Times New Roman"/>
          <w:sz w:val="24"/>
          <w:szCs w:val="24"/>
          <w:highlight w:val="none"/>
          <w:lang w:val="en-US" w:eastAsia="zh-CN"/>
        </w:rPr>
        <w:t>l</w:t>
      </w:r>
      <w:r>
        <w:rPr>
          <w:rFonts w:hint="eastAsia" w:ascii="宋体" w:hAnsi="宋体" w:eastAsia="宋体" w:cs="Times New Roman"/>
          <w:sz w:val="24"/>
          <w:szCs w:val="24"/>
          <w:highlight w:val="none"/>
        </w:rPr>
        <w:t>625焊材干燥，以避免气孔和不稳定的电弧，存放于保温在100℃的烘干炉里。如果已经受潮，首先在100℃保温两小时，再在320℃保温1小时。</w:t>
      </w:r>
    </w:p>
    <w:p w14:paraId="75B7A245">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sz w:val="24"/>
          <w:szCs w:val="24"/>
          <w:highlight w:val="none"/>
        </w:rPr>
      </w:pPr>
      <w:r>
        <w:rPr>
          <w:rFonts w:hint="eastAsia" w:ascii="宋体" w:hAnsi="宋体" w:cs="宋体"/>
          <w:sz w:val="24"/>
          <w:szCs w:val="24"/>
          <w:highlight w:val="none"/>
          <w:lang w:val="en-US" w:eastAsia="zh-CN"/>
        </w:rPr>
        <w:t xml:space="preserve">4.6.2.8 </w:t>
      </w:r>
      <w:r>
        <w:rPr>
          <w:rFonts w:hint="eastAsia" w:ascii="宋体" w:hAnsi="宋体" w:eastAsia="宋体" w:cs="Times New Roman"/>
          <w:sz w:val="24"/>
          <w:szCs w:val="24"/>
          <w:highlight w:val="none"/>
        </w:rPr>
        <w:t>采用</w:t>
      </w:r>
      <w:r>
        <w:rPr>
          <w:rFonts w:hint="eastAsia" w:ascii="宋体" w:hAnsi="宋体" w:cs="Times New Roman"/>
          <w:sz w:val="24"/>
          <w:szCs w:val="24"/>
          <w:highlight w:val="none"/>
          <w:lang w:val="en-US" w:eastAsia="zh-CN"/>
        </w:rPr>
        <w:t>I</w:t>
      </w:r>
      <w:r>
        <w:rPr>
          <w:rFonts w:hint="eastAsia" w:ascii="宋体" w:hAnsi="宋体" w:eastAsia="宋体" w:cs="Times New Roman"/>
          <w:sz w:val="24"/>
          <w:szCs w:val="24"/>
          <w:highlight w:val="none"/>
        </w:rPr>
        <w:t>ncone</w:t>
      </w:r>
      <w:r>
        <w:rPr>
          <w:rFonts w:hint="eastAsia" w:ascii="宋体" w:hAnsi="宋体" w:cs="Times New Roman"/>
          <w:sz w:val="24"/>
          <w:szCs w:val="24"/>
          <w:highlight w:val="none"/>
          <w:lang w:val="en-US" w:eastAsia="zh-CN"/>
        </w:rPr>
        <w:t>l</w:t>
      </w:r>
      <w:r>
        <w:rPr>
          <w:rFonts w:hint="eastAsia" w:ascii="宋体" w:hAnsi="宋体" w:eastAsia="宋体" w:cs="Times New Roman"/>
          <w:sz w:val="24"/>
          <w:szCs w:val="24"/>
          <w:highlight w:val="none"/>
        </w:rPr>
        <w:t>625焊材对气化炉内夹套进行手工堆焊，焊接顺序自下向上，防止焊溜覆盖形成虚焊。</w:t>
      </w:r>
    </w:p>
    <w:p w14:paraId="5CD181D0">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sz w:val="24"/>
          <w:szCs w:val="24"/>
          <w:highlight w:val="none"/>
        </w:rPr>
      </w:pPr>
      <w:r>
        <w:rPr>
          <w:rFonts w:hint="eastAsia" w:ascii="宋体" w:hAnsi="宋体" w:cs="宋体"/>
          <w:sz w:val="24"/>
          <w:szCs w:val="24"/>
          <w:highlight w:val="none"/>
          <w:lang w:val="en-US" w:eastAsia="zh-CN"/>
        </w:rPr>
        <w:t xml:space="preserve">4.6.2.9 </w:t>
      </w:r>
      <w:r>
        <w:rPr>
          <w:rFonts w:hint="eastAsia" w:ascii="宋体" w:hAnsi="宋体" w:eastAsia="宋体" w:cs="Times New Roman"/>
          <w:sz w:val="24"/>
          <w:szCs w:val="24"/>
          <w:highlight w:val="none"/>
        </w:rPr>
        <w:t>焊接时必须保证焊缝和熔合性，保证焊道质量，为了减少热裂纹，</w:t>
      </w:r>
      <w:r>
        <w:rPr>
          <w:rFonts w:hint="eastAsia" w:ascii="宋体" w:hAnsi="宋体" w:eastAsia="宋体" w:cs="Times New Roman"/>
          <w:sz w:val="24"/>
          <w:szCs w:val="24"/>
          <w:highlight w:val="none"/>
          <w:lang w:val="zh-CN"/>
        </w:rPr>
        <w:t xml:space="preserve">在保证熔透的前提下，尽量采用小的线能量、短电弧的操作方法。 </w:t>
      </w:r>
    </w:p>
    <w:p w14:paraId="2FBD510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sz w:val="24"/>
          <w:szCs w:val="24"/>
          <w:highlight w:val="none"/>
        </w:rPr>
      </w:pPr>
      <w:r>
        <w:rPr>
          <w:rFonts w:hint="eastAsia" w:ascii="宋体" w:hAnsi="宋体" w:cs="宋体"/>
          <w:sz w:val="24"/>
          <w:szCs w:val="24"/>
          <w:highlight w:val="none"/>
          <w:lang w:val="en-US" w:eastAsia="zh-CN"/>
        </w:rPr>
        <w:t xml:space="preserve">4.6.2.10 </w:t>
      </w:r>
      <w:r>
        <w:rPr>
          <w:rFonts w:hint="eastAsia" w:ascii="宋体" w:hAnsi="宋体" w:eastAsia="宋体" w:cs="Times New Roman"/>
          <w:sz w:val="24"/>
          <w:szCs w:val="24"/>
          <w:highlight w:val="none"/>
        </w:rPr>
        <w:t>堆焊层厚度均匀一致，外观平整，成形良好，宏观上无明显弧坑、缩孔、裂纹、缺肉等缺陷，表面平整度</w:t>
      </w:r>
      <w:r>
        <w:rPr>
          <w:rFonts w:hint="eastAsia" w:ascii="宋体" w:hAnsi="宋体" w:cs="Times New Roman"/>
          <w:sz w:val="24"/>
          <w:szCs w:val="24"/>
          <w:highlight w:val="none"/>
          <w:lang w:val="en-US" w:eastAsia="zh-CN"/>
        </w:rPr>
        <w:t>≤</w:t>
      </w:r>
      <w:r>
        <w:rPr>
          <w:rFonts w:hint="eastAsia" w:ascii="宋体" w:hAnsi="宋体" w:eastAsia="宋体" w:cs="Times New Roman"/>
          <w:sz w:val="24"/>
          <w:szCs w:val="24"/>
          <w:highlight w:val="none"/>
        </w:rPr>
        <w:t>1mm，最大凹下量</w:t>
      </w:r>
      <w:r>
        <w:rPr>
          <w:rFonts w:hint="eastAsia" w:ascii="宋体" w:hAnsi="宋体" w:cs="Times New Roman"/>
          <w:sz w:val="24"/>
          <w:szCs w:val="24"/>
          <w:highlight w:val="none"/>
          <w:lang w:val="en-US" w:eastAsia="zh-CN"/>
        </w:rPr>
        <w:t>≤</w:t>
      </w:r>
      <w:r>
        <w:rPr>
          <w:rFonts w:hint="eastAsia" w:ascii="宋体" w:hAnsi="宋体" w:eastAsia="宋体" w:cs="Times New Roman"/>
          <w:sz w:val="24"/>
          <w:szCs w:val="24"/>
          <w:highlight w:val="none"/>
        </w:rPr>
        <w:t>2mm。</w:t>
      </w:r>
    </w:p>
    <w:p w14:paraId="10167EAC">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sz w:val="24"/>
          <w:szCs w:val="24"/>
          <w:highlight w:val="none"/>
        </w:rPr>
      </w:pPr>
      <w:r>
        <w:rPr>
          <w:rFonts w:hint="eastAsia" w:ascii="宋体" w:hAnsi="宋体" w:cs="宋体"/>
          <w:sz w:val="24"/>
          <w:szCs w:val="24"/>
          <w:highlight w:val="none"/>
          <w:lang w:val="en-US" w:eastAsia="zh-CN"/>
        </w:rPr>
        <w:t xml:space="preserve">4.6.2.11 </w:t>
      </w:r>
      <w:r>
        <w:rPr>
          <w:rFonts w:hint="eastAsia" w:ascii="宋体" w:hAnsi="宋体" w:eastAsia="宋体" w:cs="Times New Roman"/>
          <w:sz w:val="24"/>
          <w:szCs w:val="24"/>
          <w:highlight w:val="none"/>
        </w:rPr>
        <w:t>堆焊层表面进行光谱检测；按照10点/㎡进行光谱检测。堆焊2层的区域铁的含量＜7%，堆焊1层的区域铁含量＜25%。</w:t>
      </w:r>
    </w:p>
    <w:p w14:paraId="4C6EE04B">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sz w:val="24"/>
          <w:szCs w:val="24"/>
          <w:highlight w:val="none"/>
        </w:rPr>
      </w:pPr>
      <w:r>
        <w:rPr>
          <w:rFonts w:hint="eastAsia" w:ascii="宋体" w:hAnsi="宋体" w:cs="宋体"/>
          <w:sz w:val="24"/>
          <w:szCs w:val="24"/>
          <w:highlight w:val="none"/>
          <w:lang w:val="en-US" w:eastAsia="zh-CN"/>
        </w:rPr>
        <w:t xml:space="preserve">4.6.2.12 </w:t>
      </w:r>
      <w:r>
        <w:rPr>
          <w:rFonts w:hint="eastAsia" w:ascii="宋体" w:hAnsi="宋体" w:eastAsia="宋体" w:cs="Times New Roman"/>
          <w:sz w:val="24"/>
          <w:szCs w:val="24"/>
          <w:highlight w:val="none"/>
        </w:rPr>
        <w:t>返修堆焊层缺陷的清理，采用角向磨光机和磨头+不锈钢专用磨具打磨，并修整成适合的形状，确认缺陷已消除后方可补熔；返修时按照已经评定合格的工艺参数，返修部位应按原检测方法进行检验，其质量要求与原熔敷工艺要求相同。</w:t>
      </w:r>
    </w:p>
    <w:p w14:paraId="5DD7F11A">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sz w:val="24"/>
          <w:szCs w:val="24"/>
          <w:highlight w:val="none"/>
        </w:rPr>
      </w:pPr>
      <w:r>
        <w:rPr>
          <w:rFonts w:hint="eastAsia" w:ascii="宋体" w:hAnsi="宋体" w:cs="宋体"/>
          <w:sz w:val="24"/>
          <w:szCs w:val="24"/>
          <w:highlight w:val="none"/>
          <w:lang w:val="en-US" w:eastAsia="zh-CN"/>
        </w:rPr>
        <w:t>4.6.2.13</w:t>
      </w:r>
      <w:r>
        <w:rPr>
          <w:rFonts w:hint="eastAsia" w:ascii="宋体" w:hAnsi="宋体" w:eastAsia="宋体" w:cs="Times New Roman"/>
          <w:sz w:val="24"/>
          <w:szCs w:val="24"/>
          <w:highlight w:val="none"/>
        </w:rPr>
        <w:t xml:space="preserve"> 堆焊后做100% PT探伤，堆焊层内部的气孔、夹渣、裂纹、未焊透等缺陷，按HG/T20584-2011验收。</w:t>
      </w:r>
    </w:p>
    <w:p w14:paraId="1FB7D58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sz w:val="24"/>
          <w:szCs w:val="24"/>
          <w:highlight w:val="none"/>
        </w:rPr>
      </w:pPr>
      <w:r>
        <w:rPr>
          <w:rFonts w:hint="eastAsia" w:ascii="宋体" w:hAnsi="宋体" w:cs="宋体"/>
          <w:sz w:val="24"/>
          <w:szCs w:val="24"/>
          <w:highlight w:val="none"/>
          <w:lang w:val="en-US" w:eastAsia="zh-CN"/>
        </w:rPr>
        <w:t>4.6.2.14</w:t>
      </w:r>
      <w:r>
        <w:rPr>
          <w:rFonts w:hint="eastAsia" w:ascii="宋体" w:hAnsi="宋体" w:eastAsia="宋体" w:cs="Times New Roman"/>
          <w:sz w:val="24"/>
          <w:szCs w:val="24"/>
          <w:highlight w:val="none"/>
        </w:rPr>
        <w:t xml:space="preserve"> 投标方施工过程，必须将剩余焊丝头、检修垃圾清除出炉，不得将焊丝头、检修垃圾留在炉内，否则造成灰锁上下阀堵塞卡死所产生的检修费用，由投标方负责。</w:t>
      </w:r>
    </w:p>
    <w:p w14:paraId="3F3C9F32">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sz w:val="24"/>
          <w:szCs w:val="24"/>
        </w:rPr>
      </w:pPr>
      <w:r>
        <w:rPr>
          <w:rFonts w:hint="eastAsia" w:ascii="宋体" w:hAnsi="宋体" w:cs="宋体"/>
          <w:sz w:val="24"/>
          <w:szCs w:val="24"/>
          <w:highlight w:val="none"/>
          <w:lang w:val="en-US" w:eastAsia="zh-CN"/>
        </w:rPr>
        <w:t xml:space="preserve">4.6.2.15 </w:t>
      </w:r>
      <w:r>
        <w:rPr>
          <w:rFonts w:hint="eastAsia" w:ascii="宋体" w:hAnsi="宋体" w:eastAsia="宋体" w:cs="Times New Roman"/>
          <w:sz w:val="24"/>
          <w:szCs w:val="24"/>
          <w:highlight w:val="none"/>
        </w:rPr>
        <w:t>投标方应对本技术规范书提出的技术</w:t>
      </w:r>
      <w:r>
        <w:rPr>
          <w:rFonts w:hint="eastAsia" w:ascii="宋体" w:hAnsi="宋体" w:eastAsia="宋体" w:cs="Times New Roman"/>
          <w:sz w:val="24"/>
          <w:szCs w:val="24"/>
        </w:rPr>
        <w:t>要求逐条进行响应，对技术规范书的偏差必须反应在差异表中。</w:t>
      </w:r>
    </w:p>
    <w:p w14:paraId="36D7C0FB">
      <w:pPr>
        <w:pStyle w:val="3"/>
        <w:keepNext/>
        <w:keepLines/>
        <w:pageBreakBefore w:val="0"/>
        <w:widowControl w:val="0"/>
        <w:kinsoku w:val="0"/>
        <w:wordWrap/>
        <w:overflowPunct/>
        <w:topLinePunct w:val="0"/>
        <w:autoSpaceDE/>
        <w:autoSpaceDN/>
        <w:bidi w:val="0"/>
        <w:adjustRightInd w:val="0"/>
        <w:snapToGrid w:val="0"/>
        <w:ind w:firstLine="562" w:firstLineChars="200"/>
        <w:jc w:val="left"/>
        <w:textAlignment w:val="auto"/>
        <w:rPr>
          <w:rFonts w:hint="eastAsia"/>
          <w:sz w:val="28"/>
          <w:szCs w:val="13"/>
        </w:rPr>
      </w:pPr>
      <w:bookmarkStart w:id="19" w:name="_Toc16893"/>
      <w:r>
        <w:rPr>
          <w:rFonts w:hint="eastAsia"/>
          <w:sz w:val="28"/>
          <w:szCs w:val="13"/>
        </w:rPr>
        <w:t>5</w:t>
      </w:r>
      <w:r>
        <w:rPr>
          <w:rFonts w:hint="eastAsia"/>
          <w:sz w:val="28"/>
          <w:szCs w:val="13"/>
          <w:lang w:val="en-US" w:eastAsia="zh-CN"/>
        </w:rPr>
        <w:t xml:space="preserve"> 投标方应达到的目标</w:t>
      </w:r>
      <w:bookmarkEnd w:id="19"/>
    </w:p>
    <w:p w14:paraId="6E73504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5.1安全性指标</w:t>
      </w:r>
    </w:p>
    <w:p w14:paraId="6FCFA232">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（1）不发生本项目部员工轻伤以上、急性中毒等各类人身事故。</w:t>
      </w:r>
    </w:p>
    <w:p w14:paraId="21D39E4B">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（2）不发生外包人员轻伤以上、急性中毒等各类人身事故。</w:t>
      </w:r>
    </w:p>
    <w:p w14:paraId="5C65CD1B">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（3）不发生负主责以上有人员受伤构成的交通事故。</w:t>
      </w:r>
    </w:p>
    <w:p w14:paraId="159E8ED3">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（4）不发生本项目部责任造成的火险事件。</w:t>
      </w:r>
    </w:p>
    <w:p w14:paraId="2B22DB25">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（5）设备考核障碍及可靠性指标控制在以下范围（指非人为原因造成）：不发生考核障碍、一类障碍、二类障碍。</w:t>
      </w:r>
    </w:p>
    <w:p w14:paraId="2A5153E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（6）不发生误操作事件。</w:t>
      </w:r>
    </w:p>
    <w:p w14:paraId="7F184916">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5.2 环保指标：</w:t>
      </w:r>
    </w:p>
    <w:p w14:paraId="64FD351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（1）不发生一般以上环境污染事件。</w:t>
      </w:r>
    </w:p>
    <w:p w14:paraId="60632550">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（2）不发生本项目部责任造成的“三废”排放超标事件。</w:t>
      </w:r>
    </w:p>
    <w:p w14:paraId="0C0428C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（3）不发生本项目部责任造成的危废处置不合规、不合法事件。</w:t>
      </w:r>
    </w:p>
    <w:p w14:paraId="4FB9B709">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（4）不发生本项目部责任造成的公司被上级单位、政府部门通报批评或罚款的环保事件。</w:t>
      </w:r>
    </w:p>
    <w:p w14:paraId="7A2EE3FA">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5.3不发生造成后果的危险化学品泄漏事件。</w:t>
      </w:r>
    </w:p>
    <w:p w14:paraId="03A80DBB">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5.4 职业卫生：</w:t>
      </w:r>
    </w:p>
    <w:p w14:paraId="03E92663">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（1）不发生新增职业病病例。</w:t>
      </w:r>
    </w:p>
    <w:p w14:paraId="53D9B44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（2）职业病危害年度体检率100%。</w:t>
      </w:r>
    </w:p>
    <w:p w14:paraId="2D18672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5.5 不发生本项目部责任造成的公司被上级单位及政府部门下发的安全环保挂牌督办通知书、安全生产督（稽）查通知书要求整改的问题未及时整改的情况和上级单位及政府部门通报批评的事件。</w:t>
      </w:r>
    </w:p>
    <w:p w14:paraId="410D5EB9">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5.6 治安保卫：</w:t>
      </w:r>
    </w:p>
    <w:p w14:paraId="066FA437">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（1）不发生本项目部责任造成的生产物资被盗抢案件。</w:t>
      </w:r>
    </w:p>
    <w:p w14:paraId="129F15BF">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（2）不发生危险物品（包括易制毒、放射品）被盗、丢失或被非法转让案件。</w:t>
      </w:r>
    </w:p>
    <w:p w14:paraId="7E77C3EC">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（3）公司区域内不发生有本项目部人员参与的群殴、群架事件。</w:t>
      </w:r>
    </w:p>
    <w:p w14:paraId="4E9CB7D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5.7 其他指标：</w:t>
      </w:r>
    </w:p>
    <w:p w14:paraId="3F1A6D8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（1）隐患整改率不低于95%。</w:t>
      </w:r>
    </w:p>
    <w:p w14:paraId="4495896F">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（2）不发生本项目部员工个人负主责的其他不安全事件。</w:t>
      </w:r>
    </w:p>
    <w:p w14:paraId="3B563F69">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（3）员工三级安全培训率100%。</w:t>
      </w:r>
    </w:p>
    <w:p w14:paraId="5F6FCCD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 xml:space="preserve"> (4) 特种作业人员持证上岗率100%。</w:t>
      </w:r>
    </w:p>
    <w:p w14:paraId="161CBD7A">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5.8 经济性指标</w:t>
      </w:r>
    </w:p>
    <w:p w14:paraId="40872244">
      <w:pPr>
        <w:snapToGrid w:val="0"/>
        <w:spacing w:line="360" w:lineRule="auto"/>
        <w:ind w:firstLine="480" w:firstLineChars="200"/>
        <w:jc w:val="left"/>
        <w:rPr>
          <w:rStyle w:val="87"/>
          <w:rFonts w:ascii="宋体" w:hAnsi="宋体" w:cs="宋体"/>
          <w:bCs/>
        </w:rPr>
      </w:pPr>
      <w:r>
        <w:rPr>
          <w:rStyle w:val="87"/>
          <w:rFonts w:hint="eastAsia" w:ascii="宋体" w:hAnsi="宋体" w:cs="宋体"/>
          <w:bCs/>
        </w:rPr>
        <w:t>机组、设备达到铭牌出力；能耗、物耗达到招标方制定的当年计划指标。</w:t>
      </w:r>
    </w:p>
    <w:p w14:paraId="3FD9F6C9">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5.9 可靠性指标</w:t>
      </w:r>
    </w:p>
    <w:p w14:paraId="38915814">
      <w:pPr>
        <w:snapToGrid w:val="0"/>
        <w:spacing w:line="360" w:lineRule="auto"/>
        <w:ind w:firstLine="240" w:firstLineChars="100"/>
        <w:jc w:val="left"/>
        <w:rPr>
          <w:rStyle w:val="87"/>
          <w:rFonts w:ascii="宋体" w:hAnsi="宋体" w:cs="宋体"/>
          <w:bCs/>
        </w:rPr>
      </w:pPr>
      <w:r>
        <w:rPr>
          <w:rStyle w:val="87"/>
          <w:rFonts w:hint="eastAsia" w:ascii="宋体" w:hAnsi="宋体" w:cs="宋体"/>
          <w:bCs/>
        </w:rPr>
        <w:t>（1）非计划停运次数投标方责任0次/每年。</w:t>
      </w:r>
    </w:p>
    <w:p w14:paraId="3364F11A">
      <w:pPr>
        <w:snapToGrid w:val="0"/>
        <w:spacing w:line="360" w:lineRule="auto"/>
        <w:ind w:firstLine="240" w:firstLineChars="100"/>
        <w:jc w:val="left"/>
        <w:rPr>
          <w:rStyle w:val="87"/>
          <w:rFonts w:ascii="宋体" w:hAnsi="宋体" w:cs="宋体"/>
          <w:bCs/>
        </w:rPr>
      </w:pPr>
      <w:r>
        <w:rPr>
          <w:rStyle w:val="87"/>
          <w:rFonts w:hint="eastAsia" w:ascii="宋体" w:hAnsi="宋体" w:cs="宋体"/>
          <w:bCs/>
        </w:rPr>
        <w:t>（2）不发生考核障碍、一类障碍和二类障碍。</w:t>
      </w:r>
    </w:p>
    <w:p w14:paraId="3058AF01">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5.10 环保指标</w:t>
      </w:r>
    </w:p>
    <w:p w14:paraId="22B6CCCC">
      <w:pPr>
        <w:snapToGrid w:val="0"/>
        <w:spacing w:line="360" w:lineRule="auto"/>
        <w:ind w:firstLine="480" w:firstLineChars="200"/>
        <w:jc w:val="left"/>
        <w:rPr>
          <w:rStyle w:val="87"/>
          <w:rFonts w:ascii="宋体" w:hAnsi="宋体" w:cs="宋体"/>
          <w:bCs/>
        </w:rPr>
      </w:pPr>
      <w:r>
        <w:rPr>
          <w:rStyle w:val="87"/>
          <w:rFonts w:hint="eastAsia" w:ascii="宋体" w:hAnsi="宋体" w:cs="宋体"/>
          <w:bCs/>
        </w:rPr>
        <w:t>现场作业过程要符合国家有关环保管理标准、技术规范及公司环保管理制度。</w:t>
      </w:r>
    </w:p>
    <w:p w14:paraId="428D8811">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5.11 生产管理目标:</w:t>
      </w:r>
    </w:p>
    <w:p w14:paraId="61CFDE38">
      <w:pPr>
        <w:snapToGrid w:val="0"/>
        <w:spacing w:line="360" w:lineRule="auto"/>
        <w:ind w:firstLine="240" w:firstLineChars="100"/>
        <w:jc w:val="left"/>
        <w:rPr>
          <w:rStyle w:val="87"/>
          <w:rFonts w:ascii="宋体" w:hAnsi="宋体" w:cs="宋体"/>
          <w:bCs/>
        </w:rPr>
      </w:pPr>
      <w:r>
        <w:rPr>
          <w:rStyle w:val="87"/>
          <w:rFonts w:hint="eastAsia" w:ascii="宋体" w:hAnsi="宋体" w:cs="宋体"/>
          <w:bCs/>
        </w:rPr>
        <w:t>（1）机组、设备要达到一流煤化工企业管理水平，设备管理达到无渗漏标准。</w:t>
      </w:r>
    </w:p>
    <w:p w14:paraId="7DE587A5">
      <w:pPr>
        <w:snapToGrid w:val="0"/>
        <w:spacing w:line="360" w:lineRule="auto"/>
        <w:ind w:firstLine="240" w:firstLineChars="100"/>
        <w:jc w:val="left"/>
        <w:rPr>
          <w:rStyle w:val="87"/>
          <w:rFonts w:ascii="宋体" w:hAnsi="宋体" w:cs="宋体"/>
          <w:bCs/>
        </w:rPr>
      </w:pPr>
      <w:r>
        <w:rPr>
          <w:rStyle w:val="87"/>
          <w:rFonts w:hint="eastAsia" w:ascii="宋体" w:hAnsi="宋体" w:cs="宋体"/>
          <w:bCs/>
        </w:rPr>
        <w:t>（2）设备大修后，连续运行时间在2</w:t>
      </w:r>
      <w:r>
        <w:rPr>
          <w:rStyle w:val="87"/>
          <w:rFonts w:ascii="宋体" w:hAnsi="宋体" w:cs="宋体"/>
          <w:bCs/>
        </w:rPr>
        <w:t>00</w:t>
      </w:r>
      <w:r>
        <w:rPr>
          <w:rStyle w:val="87"/>
          <w:rFonts w:hint="eastAsia" w:ascii="宋体" w:hAnsi="宋体" w:cs="宋体"/>
          <w:bCs/>
        </w:rPr>
        <w:t>天以上。</w:t>
      </w:r>
    </w:p>
    <w:p w14:paraId="19F5237A">
      <w:pPr>
        <w:snapToGrid w:val="0"/>
        <w:spacing w:line="360" w:lineRule="auto"/>
        <w:ind w:firstLine="240" w:firstLineChars="100"/>
        <w:jc w:val="left"/>
        <w:rPr>
          <w:rStyle w:val="87"/>
          <w:rFonts w:ascii="宋体" w:hAnsi="宋体" w:cs="宋体"/>
          <w:bCs/>
        </w:rPr>
      </w:pPr>
      <w:r>
        <w:rPr>
          <w:rStyle w:val="87"/>
          <w:rFonts w:hint="eastAsia" w:ascii="宋体" w:hAnsi="宋体" w:cs="宋体"/>
          <w:bCs/>
        </w:rPr>
        <w:t>（3）设备定修定检项目遗漏率为0%。</w:t>
      </w:r>
    </w:p>
    <w:p w14:paraId="68055779">
      <w:pPr>
        <w:snapToGrid w:val="0"/>
        <w:spacing w:line="360" w:lineRule="auto"/>
        <w:ind w:firstLine="240" w:firstLineChars="100"/>
        <w:jc w:val="left"/>
        <w:rPr>
          <w:rStyle w:val="87"/>
          <w:rFonts w:ascii="宋体" w:hAnsi="宋体" w:cs="宋体"/>
          <w:bCs/>
        </w:rPr>
      </w:pPr>
      <w:r>
        <w:rPr>
          <w:rStyle w:val="87"/>
          <w:rFonts w:hint="eastAsia" w:ascii="宋体" w:hAnsi="宋体" w:cs="宋体"/>
          <w:bCs/>
        </w:rPr>
        <w:t>（4）完成招标方制定的相关生产指标。</w:t>
      </w:r>
    </w:p>
    <w:p w14:paraId="6DE4F677">
      <w:pPr>
        <w:keepNext w:val="0"/>
        <w:keepLines w:val="0"/>
        <w:pageBreakBefore w:val="0"/>
        <w:widowControl w:val="0"/>
        <w:kinsoku w:val="0"/>
        <w:wordWrap/>
        <w:overflowPunct/>
        <w:topLinePunct w:val="0"/>
        <w:autoSpaceDE/>
        <w:autoSpaceDN/>
        <w:bidi w:val="0"/>
        <w:adjustRightInd w:val="0"/>
        <w:snapToGrid/>
        <w:spacing w:line="360" w:lineRule="auto"/>
        <w:ind w:firstLine="240" w:firstLineChars="100"/>
        <w:jc w:val="left"/>
        <w:textAlignment w:val="auto"/>
        <w:rPr>
          <w:rFonts w:hint="eastAsia" w:ascii="宋体" w:hAnsi="宋体" w:eastAsia="宋体" w:cs="Times New Roman"/>
          <w:sz w:val="24"/>
          <w:szCs w:val="24"/>
          <w:lang w:val="en-US" w:eastAsia="zh-CN"/>
        </w:rPr>
      </w:pPr>
      <w:r>
        <w:rPr>
          <w:rFonts w:hint="eastAsia" w:ascii="宋体" w:hAnsi="宋体" w:eastAsia="宋体" w:cs="Times New Roman"/>
          <w:sz w:val="24"/>
          <w:szCs w:val="24"/>
        </w:rPr>
        <w:t>（5）票证合格率100%</w:t>
      </w:r>
      <w:r>
        <w:rPr>
          <w:rFonts w:hint="eastAsia" w:ascii="宋体" w:hAnsi="宋体" w:cs="Times New Roman"/>
          <w:sz w:val="24"/>
          <w:szCs w:val="24"/>
          <w:lang w:eastAsia="zh-CN"/>
        </w:rPr>
        <w:t>。</w:t>
      </w:r>
    </w:p>
    <w:p w14:paraId="28FE7494">
      <w:pPr>
        <w:pStyle w:val="3"/>
        <w:keepNext/>
        <w:keepLines/>
        <w:pageBreakBefore w:val="0"/>
        <w:widowControl w:val="0"/>
        <w:kinsoku w:val="0"/>
        <w:wordWrap/>
        <w:overflowPunct/>
        <w:topLinePunct w:val="0"/>
        <w:autoSpaceDE/>
        <w:autoSpaceDN/>
        <w:bidi w:val="0"/>
        <w:adjustRightInd w:val="0"/>
        <w:snapToGrid w:val="0"/>
        <w:ind w:firstLine="562" w:firstLineChars="200"/>
        <w:jc w:val="left"/>
        <w:textAlignment w:val="auto"/>
        <w:rPr>
          <w:rFonts w:hint="eastAsia"/>
          <w:sz w:val="28"/>
          <w:szCs w:val="13"/>
        </w:rPr>
      </w:pPr>
      <w:bookmarkStart w:id="20" w:name="_Toc3743"/>
      <w:r>
        <w:rPr>
          <w:rFonts w:hint="eastAsia"/>
          <w:sz w:val="28"/>
          <w:szCs w:val="13"/>
        </w:rPr>
        <w:t>6 资质</w:t>
      </w:r>
      <w:r>
        <w:rPr>
          <w:rFonts w:hint="eastAsia"/>
          <w:sz w:val="28"/>
          <w:szCs w:val="13"/>
          <w:lang w:val="en-US" w:eastAsia="zh-CN"/>
        </w:rPr>
        <w:t>条件</w:t>
      </w:r>
      <w:r>
        <w:rPr>
          <w:rFonts w:hint="eastAsia"/>
          <w:sz w:val="28"/>
          <w:szCs w:val="13"/>
        </w:rPr>
        <w:t>及人员要求</w:t>
      </w:r>
      <w:bookmarkEnd w:id="20"/>
    </w:p>
    <w:p w14:paraId="648D4A51">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6.1</w:t>
      </w:r>
      <w:r>
        <w:rPr>
          <w:rFonts w:hint="eastAsia" w:ascii="宋体" w:hAnsi="宋体" w:cs="Times New Roman"/>
          <w:sz w:val="24"/>
          <w:szCs w:val="24"/>
          <w:highlight w:val="none"/>
          <w:lang w:val="en-US" w:eastAsia="zh-CN"/>
        </w:rPr>
        <w:t xml:space="preserve"> </w:t>
      </w:r>
      <w:r>
        <w:rPr>
          <w:rFonts w:hint="eastAsia" w:ascii="宋体" w:hAnsi="宋体" w:eastAsia="宋体" w:cs="Times New Roman"/>
          <w:sz w:val="24"/>
          <w:szCs w:val="24"/>
          <w:highlight w:val="none"/>
        </w:rPr>
        <w:t>投标方必须是在中华人民共和国境内依法注册、具有独立法人资格、具有履行合同所必需的财务、技术及相关服务等能力，且是浙能集团的合格供应商。</w:t>
      </w:r>
    </w:p>
    <w:p w14:paraId="119ACEE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6.2</w:t>
      </w:r>
      <w:r>
        <w:rPr>
          <w:rFonts w:hint="eastAsia" w:ascii="宋体" w:hAnsi="宋体" w:cs="Times New Roman"/>
          <w:sz w:val="24"/>
          <w:szCs w:val="24"/>
          <w:highlight w:val="none"/>
          <w:lang w:val="en-US" w:eastAsia="zh-CN"/>
        </w:rPr>
        <w:t xml:space="preserve"> </w:t>
      </w:r>
      <w:r>
        <w:rPr>
          <w:rFonts w:hint="eastAsia" w:ascii="宋体" w:hAnsi="宋体" w:eastAsia="宋体" w:cs="Times New Roman"/>
          <w:sz w:val="24"/>
          <w:szCs w:val="24"/>
          <w:highlight w:val="none"/>
        </w:rPr>
        <w:t>投标方必须具有GC</w:t>
      </w:r>
      <w:r>
        <w:rPr>
          <w:rFonts w:hint="eastAsia" w:ascii="宋体" w:hAnsi="宋体" w:cs="Times New Roman"/>
          <w:sz w:val="24"/>
          <w:szCs w:val="24"/>
          <w:highlight w:val="none"/>
          <w:lang w:val="en-US" w:eastAsia="zh-CN"/>
        </w:rPr>
        <w:t>2</w:t>
      </w:r>
      <w:r>
        <w:rPr>
          <w:rFonts w:hint="eastAsia" w:ascii="宋体" w:hAnsi="宋体" w:eastAsia="宋体" w:cs="Times New Roman"/>
          <w:sz w:val="24"/>
          <w:szCs w:val="24"/>
          <w:highlight w:val="none"/>
        </w:rPr>
        <w:t>工业管道安装及以上资质，化工或石化行业类似项目的维修业绩。</w:t>
      </w:r>
    </w:p>
    <w:p w14:paraId="41980DD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6.3</w:t>
      </w:r>
      <w:r>
        <w:rPr>
          <w:rFonts w:hint="eastAsia" w:ascii="宋体" w:hAnsi="宋体" w:cs="Times New Roman"/>
          <w:sz w:val="24"/>
          <w:szCs w:val="24"/>
          <w:highlight w:val="none"/>
          <w:lang w:val="en-US" w:eastAsia="zh-CN"/>
        </w:rPr>
        <w:t xml:space="preserve"> </w:t>
      </w:r>
      <w:r>
        <w:rPr>
          <w:rFonts w:hint="eastAsia" w:ascii="宋体" w:hAnsi="宋体" w:eastAsia="宋体" w:cs="Times New Roman"/>
          <w:sz w:val="24"/>
          <w:szCs w:val="24"/>
          <w:highlight w:val="none"/>
        </w:rPr>
        <w:t>参与项目的人员必须身体健康，具有从事</w:t>
      </w:r>
      <w:r>
        <w:rPr>
          <w:rFonts w:hint="eastAsia" w:ascii="宋体" w:hAnsi="宋体"/>
          <w:sz w:val="24"/>
          <w:szCs w:val="24"/>
          <w:highlight w:val="none"/>
          <w:lang w:val="en-US" w:eastAsia="zh-CN"/>
        </w:rPr>
        <w:t>化工设备</w:t>
      </w:r>
      <w:r>
        <w:rPr>
          <w:rFonts w:hint="eastAsia" w:ascii="宋体" w:hAnsi="宋体" w:eastAsia="宋体" w:cs="Times New Roman"/>
          <w:sz w:val="24"/>
          <w:szCs w:val="24"/>
          <w:highlight w:val="none"/>
        </w:rPr>
        <w:t xml:space="preserve">检修或安装工作经验3年以上。 </w:t>
      </w:r>
    </w:p>
    <w:p w14:paraId="7E4772B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eastAsia="宋体" w:cs="Times New Roman"/>
          <w:sz w:val="24"/>
          <w:szCs w:val="24"/>
          <w:highlight w:val="none"/>
          <w:lang w:val="en-US"/>
        </w:rPr>
      </w:pPr>
      <w:r>
        <w:rPr>
          <w:rFonts w:hint="eastAsia" w:ascii="宋体" w:hAnsi="宋体" w:eastAsia="宋体" w:cs="Times New Roman"/>
          <w:sz w:val="24"/>
          <w:szCs w:val="24"/>
          <w:highlight w:val="none"/>
        </w:rPr>
        <w:t>6.</w:t>
      </w:r>
      <w:r>
        <w:rPr>
          <w:rFonts w:hint="eastAsia" w:ascii="宋体" w:hAnsi="宋体" w:cs="Times New Roman"/>
          <w:sz w:val="24"/>
          <w:szCs w:val="24"/>
          <w:highlight w:val="none"/>
          <w:lang w:val="en-US" w:eastAsia="zh-CN"/>
        </w:rPr>
        <w:t>4 参加项目的主要技术人员从事化工设备检修或安装工作至少5年以上，并具有石化或化工大修类似设备的检修或安装经验。本项目所有参修人员需经过招标面试，合格后方可上岗作业。</w:t>
      </w:r>
    </w:p>
    <w:p w14:paraId="3D582EF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sz w:val="24"/>
          <w:szCs w:val="24"/>
          <w:highlight w:val="none"/>
          <w:lang w:eastAsia="zh-CN"/>
        </w:rPr>
      </w:pPr>
      <w:r>
        <w:rPr>
          <w:rFonts w:hint="eastAsia" w:ascii="宋体" w:hAnsi="宋体" w:eastAsia="宋体" w:cs="Times New Roman"/>
          <w:sz w:val="24"/>
          <w:szCs w:val="24"/>
          <w:highlight w:val="none"/>
        </w:rPr>
        <w:t>6.</w:t>
      </w:r>
      <w:r>
        <w:rPr>
          <w:rFonts w:hint="eastAsia" w:ascii="宋体" w:hAnsi="宋体" w:cs="Times New Roman"/>
          <w:sz w:val="24"/>
          <w:szCs w:val="24"/>
          <w:highlight w:val="none"/>
          <w:lang w:val="en-US" w:eastAsia="zh-CN"/>
        </w:rPr>
        <w:t xml:space="preserve">5 </w:t>
      </w:r>
      <w:r>
        <w:rPr>
          <w:rFonts w:hint="eastAsia" w:ascii="宋体" w:hAnsi="宋体" w:eastAsia="宋体" w:cs="Times New Roman"/>
          <w:sz w:val="24"/>
          <w:szCs w:val="24"/>
          <w:highlight w:val="none"/>
        </w:rPr>
        <w:t>从事特种作业（特种设备作业）的人员至少应有该工种实际操作经验3年以上，并必须持有经相关部门核发的有效证书，且从事特种作业的人员技术数量必须达到能保证24小时连续作业的要求。特殊工种中焊工、起重工、叉车工需经招标方实操考试合格后方可上岗</w:t>
      </w:r>
      <w:r>
        <w:rPr>
          <w:rFonts w:hint="eastAsia" w:ascii="宋体" w:hAnsi="宋体" w:cs="Times New Roman"/>
          <w:sz w:val="24"/>
          <w:szCs w:val="24"/>
          <w:highlight w:val="none"/>
          <w:lang w:eastAsia="zh-CN"/>
        </w:rPr>
        <w:t>。</w:t>
      </w:r>
    </w:p>
    <w:p w14:paraId="60154CB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sz w:val="24"/>
          <w:szCs w:val="24"/>
        </w:rPr>
      </w:pPr>
      <w:r>
        <w:rPr>
          <w:rFonts w:hint="eastAsia" w:ascii="宋体" w:hAnsi="宋体" w:eastAsia="宋体" w:cs="Times New Roman"/>
          <w:sz w:val="24"/>
          <w:szCs w:val="24"/>
          <w:highlight w:val="none"/>
        </w:rPr>
        <w:t>6.</w:t>
      </w:r>
      <w:r>
        <w:rPr>
          <w:rFonts w:hint="eastAsia" w:ascii="宋体" w:hAnsi="宋体" w:cs="Times New Roman"/>
          <w:sz w:val="24"/>
          <w:szCs w:val="24"/>
          <w:highlight w:val="none"/>
          <w:lang w:val="en-US" w:eastAsia="zh-CN"/>
        </w:rPr>
        <w:t xml:space="preserve">6 </w:t>
      </w:r>
      <w:r>
        <w:rPr>
          <w:rFonts w:hint="eastAsia" w:ascii="宋体" w:hAnsi="宋体"/>
          <w:sz w:val="24"/>
          <w:szCs w:val="24"/>
          <w:highlight w:val="none"/>
        </w:rPr>
        <w:t>投标人应具有完善的质量保证体系，投标人的焊工必须持有质监局发的《特种设备作业人员证》和安监局的《特种作业操作证》。</w:t>
      </w:r>
      <w:r>
        <w:rPr>
          <w:rFonts w:hint="eastAsia" w:ascii="宋体" w:hAnsi="宋体"/>
          <w:sz w:val="24"/>
          <w:szCs w:val="24"/>
          <w:highlight w:val="none"/>
          <w:lang w:val="en-US" w:eastAsia="zh-CN"/>
        </w:rPr>
        <w:t>焊工需接受招标方的入厂测试并合格后</w:t>
      </w:r>
      <w:r>
        <w:rPr>
          <w:rFonts w:hint="eastAsia" w:ascii="宋体" w:hAnsi="宋体"/>
          <w:sz w:val="24"/>
          <w:szCs w:val="24"/>
          <w:lang w:val="en-US" w:eastAsia="zh-CN"/>
        </w:rPr>
        <w:t>方可进入该项目进行焊接作业，未经招标方入厂测试的焊接严禁施工焊接。</w:t>
      </w:r>
    </w:p>
    <w:p w14:paraId="5BCD1D5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sz w:val="24"/>
          <w:szCs w:val="24"/>
        </w:rPr>
      </w:pPr>
      <w:r>
        <w:rPr>
          <w:rFonts w:hint="eastAsia" w:ascii="宋体" w:hAnsi="宋体" w:cs="Times New Roman"/>
          <w:sz w:val="24"/>
          <w:szCs w:val="24"/>
          <w:lang w:val="en-US" w:eastAsia="zh-CN"/>
        </w:rPr>
        <w:t xml:space="preserve">6.7 </w:t>
      </w:r>
      <w:r>
        <w:rPr>
          <w:rFonts w:hint="eastAsia" w:ascii="宋体" w:hAnsi="宋体" w:eastAsia="宋体" w:cs="Times New Roman"/>
          <w:sz w:val="24"/>
          <w:szCs w:val="24"/>
        </w:rPr>
        <w:t>需要进行高处作业的作业人员，需持有特种作业操作证（高处作业），且在有效期内。</w:t>
      </w:r>
    </w:p>
    <w:p w14:paraId="399192C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eastAsia="宋体"/>
          <w:sz w:val="24"/>
          <w:szCs w:val="24"/>
          <w:lang w:val="en-US" w:eastAsia="zh-CN"/>
        </w:rPr>
      </w:pPr>
      <w:r>
        <w:rPr>
          <w:rFonts w:hint="eastAsia" w:ascii="宋体" w:hAnsi="宋体" w:eastAsia="宋体" w:cs="Times New Roman"/>
          <w:sz w:val="24"/>
          <w:szCs w:val="24"/>
        </w:rPr>
        <w:t>6.8严禁使用未成年人和不适应现场安全施工要求的老、弱、病、残人员。</w:t>
      </w:r>
      <w:r>
        <w:rPr>
          <w:rFonts w:hint="eastAsia" w:ascii="宋体" w:hAnsi="宋体"/>
          <w:sz w:val="24"/>
          <w:szCs w:val="24"/>
        </w:rPr>
        <w:t xml:space="preserve"> </w:t>
      </w:r>
    </w:p>
    <w:p w14:paraId="00A9E1D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rPr>
      </w:pPr>
      <w:r>
        <w:rPr>
          <w:rFonts w:hint="eastAsia" w:ascii="宋体" w:hAnsi="宋体"/>
          <w:sz w:val="24"/>
          <w:szCs w:val="24"/>
          <w:lang w:val="en-US" w:eastAsia="zh-CN"/>
        </w:rPr>
        <w:t>6.9</w:t>
      </w:r>
      <w:r>
        <w:rPr>
          <w:rFonts w:hint="eastAsia" w:ascii="宋体" w:hAnsi="宋体"/>
          <w:sz w:val="24"/>
          <w:szCs w:val="24"/>
        </w:rPr>
        <w:t xml:space="preserve"> 投标人应严格按照合同、设计文件（图纸等）、技术规范的要求进行试验和检验。技术规范和图纸中的焊接结构及有关说明仅为原则性的，投标人应根据技术协议和图纸，制定焊接工艺评定、详细的焊接工艺、焊接结构选择，并取得招标人的同意。</w:t>
      </w:r>
    </w:p>
    <w:p w14:paraId="289F220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rPr>
      </w:pPr>
      <w:r>
        <w:rPr>
          <w:rFonts w:hint="eastAsia" w:ascii="宋体" w:hAnsi="宋体"/>
          <w:sz w:val="24"/>
          <w:szCs w:val="24"/>
          <w:lang w:val="en-US" w:eastAsia="zh-CN"/>
        </w:rPr>
        <w:t>6.10</w:t>
      </w:r>
      <w:r>
        <w:rPr>
          <w:rFonts w:hint="eastAsia" w:ascii="宋体" w:hAnsi="宋体"/>
          <w:sz w:val="24"/>
          <w:szCs w:val="24"/>
        </w:rPr>
        <w:t xml:space="preserve"> 投标人应制定详细的作业方案和计划，并在施工前发给招标人审核。</w:t>
      </w:r>
    </w:p>
    <w:p w14:paraId="660E89E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rPr>
      </w:pPr>
      <w:r>
        <w:rPr>
          <w:rFonts w:hint="eastAsia" w:ascii="宋体" w:hAnsi="宋体"/>
          <w:sz w:val="24"/>
          <w:szCs w:val="24"/>
          <w:lang w:val="en-US" w:eastAsia="zh-CN"/>
        </w:rPr>
        <w:t>6.11</w:t>
      </w:r>
      <w:r>
        <w:rPr>
          <w:rFonts w:hint="eastAsia" w:ascii="宋体" w:hAnsi="宋体"/>
          <w:sz w:val="24"/>
          <w:szCs w:val="24"/>
        </w:rPr>
        <w:t xml:space="preserve"> 投标人有专人负责本合同的施工质量，由专人负责有关质量证明的签发和管理。</w:t>
      </w:r>
    </w:p>
    <w:p w14:paraId="063D57F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rPr>
      </w:pPr>
      <w:r>
        <w:rPr>
          <w:rFonts w:hint="eastAsia" w:ascii="宋体" w:hAnsi="宋体"/>
          <w:sz w:val="24"/>
          <w:szCs w:val="24"/>
          <w:lang w:val="en-US" w:eastAsia="zh-CN"/>
        </w:rPr>
        <w:t>6.12</w:t>
      </w:r>
      <w:r>
        <w:rPr>
          <w:rFonts w:hint="eastAsia" w:ascii="宋体" w:hAnsi="宋体"/>
          <w:sz w:val="24"/>
          <w:szCs w:val="24"/>
        </w:rPr>
        <w:t xml:space="preserve"> 投标人应接受招标人以及招标人委托第三方检验机构的检验，任何因质量检验不合格而造成</w:t>
      </w:r>
      <w:r>
        <w:rPr>
          <w:rFonts w:hint="eastAsia" w:ascii="宋体" w:hAnsi="宋体"/>
          <w:sz w:val="24"/>
          <w:szCs w:val="24"/>
          <w:lang w:eastAsia="zh-CN"/>
        </w:rPr>
        <w:t>项目</w:t>
      </w:r>
      <w:r>
        <w:rPr>
          <w:rFonts w:hint="eastAsia" w:ascii="宋体" w:hAnsi="宋体"/>
          <w:sz w:val="24"/>
          <w:szCs w:val="24"/>
        </w:rPr>
        <w:t>进度的拖延，一切责任均由投标人负责。</w:t>
      </w:r>
    </w:p>
    <w:p w14:paraId="70B6CAD5">
      <w:pPr>
        <w:snapToGrid w:val="0"/>
        <w:spacing w:line="360" w:lineRule="auto"/>
        <w:jc w:val="left"/>
        <w:rPr>
          <w:rStyle w:val="87"/>
          <w:rFonts w:hint="eastAsia" w:ascii="宋体" w:hAnsi="宋体"/>
          <w:bCs/>
          <w:lang w:val="en-US" w:eastAsia="zh-CN"/>
        </w:rPr>
      </w:pPr>
      <w:r>
        <w:rPr>
          <w:rStyle w:val="87"/>
          <w:rFonts w:hint="eastAsia" w:ascii="宋体" w:hAnsi="宋体"/>
          <w:bCs/>
          <w:lang w:val="en-US" w:eastAsia="zh-CN"/>
        </w:rPr>
        <w:t>6.13 投标方检修人员的配备应在经招标方考核（笔试、面试）合格后方能上岗，且投标方的人员必须固定，并能长期住在现场，投标方在现场的维护管理和技术人员名单应与合同确定的名单相符，任何情况下的人员变动都应提前通知招标方，并需征得招标方的同意。并将人员变动情况书面抄报招标方项目责任部门、现场监管部门。</w:t>
      </w:r>
    </w:p>
    <w:p w14:paraId="6803684B">
      <w:pPr>
        <w:snapToGrid w:val="0"/>
        <w:spacing w:line="360" w:lineRule="auto"/>
        <w:jc w:val="left"/>
        <w:rPr>
          <w:rStyle w:val="87"/>
          <w:rFonts w:hint="eastAsia" w:ascii="宋体" w:hAnsi="宋体"/>
          <w:bCs/>
          <w:lang w:val="en-US" w:eastAsia="zh-CN"/>
        </w:rPr>
      </w:pPr>
      <w:r>
        <w:rPr>
          <w:rStyle w:val="87"/>
          <w:rFonts w:hint="eastAsia" w:ascii="宋体" w:hAnsi="宋体"/>
          <w:bCs/>
          <w:lang w:val="en-US" w:eastAsia="zh-CN"/>
        </w:rPr>
        <w:t>6.14 投标方人员休假原则上由投标方自行安排，但投标方主要技术人员（班组长、安全员、焊工人员）离开招标方现场三天及以上的，必须到招标方归口管理部门办理书面请假手续。</w:t>
      </w:r>
    </w:p>
    <w:p w14:paraId="1717D6EB">
      <w:pPr>
        <w:snapToGrid w:val="0"/>
        <w:spacing w:line="360" w:lineRule="auto"/>
        <w:jc w:val="left"/>
        <w:rPr>
          <w:rStyle w:val="87"/>
          <w:rFonts w:hint="eastAsia" w:ascii="宋体" w:hAnsi="宋体" w:eastAsia="宋体"/>
          <w:bCs/>
          <w:lang w:val="en-US" w:eastAsia="zh-CN"/>
        </w:rPr>
      </w:pPr>
      <w:r>
        <w:rPr>
          <w:rStyle w:val="87"/>
          <w:rFonts w:hint="eastAsia" w:ascii="宋体" w:hAnsi="宋体"/>
          <w:bCs/>
          <w:lang w:val="en-US" w:eastAsia="zh-CN"/>
        </w:rPr>
        <w:t>6.15 最低</w:t>
      </w:r>
      <w:r>
        <w:rPr>
          <w:rStyle w:val="87"/>
          <w:rFonts w:hint="eastAsia" w:ascii="宋体" w:hAnsi="宋体"/>
          <w:bCs/>
        </w:rPr>
        <w:t>人员配置</w:t>
      </w:r>
      <w:r>
        <w:rPr>
          <w:rStyle w:val="87"/>
          <w:rFonts w:hint="eastAsia" w:ascii="宋体" w:hAnsi="宋体"/>
          <w:bCs/>
          <w:lang w:eastAsia="zh-CN"/>
        </w:rPr>
        <w:t>：</w:t>
      </w:r>
      <w:r>
        <w:rPr>
          <w:rStyle w:val="87"/>
          <w:rFonts w:hint="eastAsia" w:ascii="宋体" w:hAnsi="宋体"/>
          <w:bCs/>
          <w:highlight w:val="none"/>
        </w:rPr>
        <w:t>本次投标方人员配置为：</w:t>
      </w:r>
      <w:r>
        <w:rPr>
          <w:rStyle w:val="87"/>
          <w:rFonts w:hint="eastAsia" w:ascii="宋体" w:hAnsi="宋体"/>
          <w:bCs/>
          <w:highlight w:val="none"/>
          <w:lang w:val="en-US" w:eastAsia="zh-CN"/>
        </w:rPr>
        <w:t>不少于15</w:t>
      </w:r>
      <w:r>
        <w:rPr>
          <w:rStyle w:val="87"/>
          <w:rFonts w:hint="eastAsia" w:ascii="宋体" w:hAnsi="宋体"/>
          <w:bCs/>
          <w:highlight w:val="none"/>
        </w:rPr>
        <w:t>人。具体</w:t>
      </w:r>
      <w:r>
        <w:rPr>
          <w:rStyle w:val="87"/>
          <w:rFonts w:hint="eastAsia" w:ascii="宋体" w:hAnsi="宋体"/>
          <w:bCs/>
        </w:rPr>
        <w:t>配置及人员要求</w:t>
      </w:r>
      <w:r>
        <w:rPr>
          <w:rStyle w:val="87"/>
          <w:rFonts w:hint="eastAsia" w:ascii="宋体" w:hAnsi="宋体"/>
          <w:bCs/>
          <w:lang w:eastAsia="zh-CN"/>
        </w:rPr>
        <w:t>。</w:t>
      </w:r>
    </w:p>
    <w:tbl>
      <w:tblPr>
        <w:tblStyle w:val="28"/>
        <w:tblW w:w="9369" w:type="dxa"/>
        <w:tblInd w:w="96" w:type="dxa"/>
        <w:tblLayout w:type="fixed"/>
        <w:tblCellMar>
          <w:top w:w="0" w:type="dxa"/>
          <w:left w:w="108" w:type="dxa"/>
          <w:bottom w:w="0" w:type="dxa"/>
          <w:right w:w="108" w:type="dxa"/>
        </w:tblCellMar>
      </w:tblPr>
      <w:tblGrid>
        <w:gridCol w:w="941"/>
        <w:gridCol w:w="1265"/>
        <w:gridCol w:w="729"/>
        <w:gridCol w:w="5534"/>
        <w:gridCol w:w="900"/>
      </w:tblGrid>
      <w:tr w14:paraId="52755DEC">
        <w:tblPrEx>
          <w:tblCellMar>
            <w:top w:w="0" w:type="dxa"/>
            <w:left w:w="108" w:type="dxa"/>
            <w:bottom w:w="0" w:type="dxa"/>
            <w:right w:w="108" w:type="dxa"/>
          </w:tblCellMar>
        </w:tblPrEx>
        <w:trPr>
          <w:trHeight w:val="780" w:hRule="atLeast"/>
        </w:trPr>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5E9281">
            <w:pPr>
              <w:jc w:val="center"/>
              <w:rPr>
                <w:rFonts w:ascii="宋体" w:hAnsi="宋体"/>
                <w:b/>
                <w:bCs/>
                <w:color w:val="000000"/>
                <w:kern w:val="0"/>
                <w:lang w:bidi="ar"/>
              </w:rPr>
            </w:pPr>
            <w:r>
              <w:rPr>
                <w:rFonts w:hint="eastAsia" w:ascii="宋体" w:hAnsi="宋体"/>
                <w:b/>
                <w:bCs/>
                <w:color w:val="000000"/>
                <w:kern w:val="0"/>
                <w:lang w:bidi="ar"/>
              </w:rPr>
              <w:t>班组</w:t>
            </w:r>
          </w:p>
        </w:tc>
        <w:tc>
          <w:tcPr>
            <w:tcW w:w="12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5003B0">
            <w:pPr>
              <w:jc w:val="center"/>
              <w:rPr>
                <w:rFonts w:ascii="宋体" w:hAnsi="宋体"/>
                <w:b/>
                <w:bCs/>
                <w:color w:val="000000"/>
                <w:kern w:val="0"/>
                <w:lang w:bidi="ar"/>
              </w:rPr>
            </w:pPr>
            <w:r>
              <w:rPr>
                <w:rFonts w:hint="eastAsia" w:ascii="宋体" w:hAnsi="宋体"/>
                <w:b/>
                <w:bCs/>
                <w:color w:val="000000"/>
                <w:kern w:val="0"/>
                <w:lang w:bidi="ar"/>
              </w:rPr>
              <w:t>岗位/工种</w:t>
            </w:r>
          </w:p>
        </w:tc>
        <w:tc>
          <w:tcPr>
            <w:tcW w:w="7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7C4A23">
            <w:pPr>
              <w:jc w:val="center"/>
              <w:rPr>
                <w:rFonts w:ascii="宋体" w:hAnsi="宋体"/>
                <w:b/>
                <w:bCs/>
                <w:color w:val="000000"/>
                <w:kern w:val="0"/>
                <w:lang w:bidi="ar"/>
              </w:rPr>
            </w:pPr>
            <w:r>
              <w:rPr>
                <w:rFonts w:hint="eastAsia" w:ascii="宋体" w:hAnsi="宋体"/>
                <w:b/>
                <w:bCs/>
                <w:color w:val="000000"/>
                <w:kern w:val="0"/>
                <w:lang w:bidi="ar"/>
              </w:rPr>
              <w:t>人数</w:t>
            </w:r>
          </w:p>
        </w:tc>
        <w:tc>
          <w:tcPr>
            <w:tcW w:w="553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1096E4">
            <w:pPr>
              <w:jc w:val="center"/>
              <w:rPr>
                <w:rFonts w:ascii="宋体" w:hAnsi="宋体"/>
                <w:b/>
                <w:bCs/>
                <w:color w:val="000000"/>
                <w:kern w:val="0"/>
                <w:lang w:bidi="ar"/>
              </w:rPr>
            </w:pPr>
            <w:r>
              <w:rPr>
                <w:rFonts w:hint="eastAsia" w:ascii="宋体" w:hAnsi="宋体"/>
                <w:b/>
                <w:bCs/>
                <w:color w:val="000000"/>
                <w:kern w:val="0"/>
                <w:lang w:bidi="ar"/>
              </w:rPr>
              <w:t>人员要求</w:t>
            </w:r>
          </w:p>
        </w:tc>
        <w:tc>
          <w:tcPr>
            <w:tcW w:w="9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AB879D">
            <w:pPr>
              <w:jc w:val="center"/>
              <w:rPr>
                <w:rFonts w:ascii="宋体" w:hAnsi="宋体"/>
                <w:b/>
                <w:bCs/>
                <w:color w:val="000000"/>
                <w:kern w:val="0"/>
                <w:lang w:bidi="ar"/>
              </w:rPr>
            </w:pPr>
            <w:r>
              <w:rPr>
                <w:rFonts w:hint="eastAsia" w:ascii="宋体" w:hAnsi="宋体"/>
                <w:b/>
                <w:bCs/>
                <w:color w:val="000000"/>
                <w:kern w:val="0"/>
                <w:lang w:bidi="ar"/>
              </w:rPr>
              <w:t>备注</w:t>
            </w:r>
          </w:p>
        </w:tc>
      </w:tr>
      <w:tr w14:paraId="47ED8EF0">
        <w:tblPrEx>
          <w:tblCellMar>
            <w:top w:w="0" w:type="dxa"/>
            <w:left w:w="108" w:type="dxa"/>
            <w:bottom w:w="0" w:type="dxa"/>
            <w:right w:w="108" w:type="dxa"/>
          </w:tblCellMar>
        </w:tblPrEx>
        <w:trPr>
          <w:cantSplit/>
          <w:trHeight w:val="850" w:hRule="atLeast"/>
        </w:trPr>
        <w:tc>
          <w:tcPr>
            <w:tcW w:w="941" w:type="dxa"/>
            <w:vMerge w:val="restart"/>
            <w:tcBorders>
              <w:top w:val="single" w:color="000000" w:sz="4" w:space="0"/>
              <w:left w:val="single" w:color="000000" w:sz="4" w:space="0"/>
              <w:right w:val="single" w:color="000000" w:sz="4" w:space="0"/>
            </w:tcBorders>
            <w:shd w:val="clear" w:color="auto" w:fill="FFFFFF"/>
            <w:vAlign w:val="center"/>
          </w:tcPr>
          <w:p w14:paraId="4D73FD4D">
            <w:pPr>
              <w:jc w:val="center"/>
              <w:rPr>
                <w:rFonts w:hint="eastAsia" w:ascii="宋体" w:hAnsi="宋体" w:eastAsia="宋体" w:cs="宋体"/>
              </w:rPr>
            </w:pPr>
            <w:r>
              <w:rPr>
                <w:rFonts w:hint="eastAsia" w:ascii="宋体" w:hAnsi="宋体" w:eastAsia="宋体" w:cs="宋体"/>
              </w:rPr>
              <w:t>大修  班组</w:t>
            </w:r>
          </w:p>
        </w:tc>
        <w:tc>
          <w:tcPr>
            <w:tcW w:w="12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5F2BD8">
            <w:pPr>
              <w:jc w:val="center"/>
              <w:rPr>
                <w:rFonts w:hint="default" w:ascii="宋体" w:hAnsi="宋体" w:eastAsia="宋体" w:cs="宋体"/>
                <w:lang w:val="en-US" w:eastAsia="zh-CN"/>
              </w:rPr>
            </w:pPr>
            <w:r>
              <w:rPr>
                <w:rFonts w:hint="eastAsia" w:ascii="宋体" w:hAnsi="宋体" w:cs="宋体"/>
                <w:lang w:val="en-US" w:eastAsia="zh-CN"/>
              </w:rPr>
              <w:t>项目负责人（技术）</w:t>
            </w:r>
          </w:p>
        </w:tc>
        <w:tc>
          <w:tcPr>
            <w:tcW w:w="7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0D5189">
            <w:pPr>
              <w:jc w:val="center"/>
              <w:rPr>
                <w:rFonts w:hint="eastAsia" w:ascii="宋体" w:hAnsi="宋体" w:eastAsia="宋体" w:cs="宋体"/>
                <w:lang w:val="en-US" w:eastAsia="zh-CN"/>
              </w:rPr>
            </w:pPr>
            <w:r>
              <w:rPr>
                <w:rFonts w:hint="eastAsia" w:ascii="宋体" w:hAnsi="宋体" w:cs="宋体"/>
                <w:lang w:val="en-US" w:eastAsia="zh-CN"/>
              </w:rPr>
              <w:t>1</w:t>
            </w:r>
          </w:p>
        </w:tc>
        <w:tc>
          <w:tcPr>
            <w:tcW w:w="553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FCC6C0">
            <w:pPr>
              <w:rPr>
                <w:rFonts w:hint="eastAsia" w:ascii="宋体" w:hAnsi="宋体" w:eastAsia="宋体" w:cs="宋体"/>
                <w:highlight w:val="none"/>
              </w:rPr>
            </w:pPr>
            <w:r>
              <w:rPr>
                <w:rFonts w:hint="eastAsia" w:ascii="宋体" w:hAnsi="宋体" w:eastAsia="宋体" w:cs="宋体"/>
                <w:highlight w:val="none"/>
              </w:rPr>
              <w:t>5年以上石化或化工设备维护管理经验；须持有危险化学品生产单位安全生产管理人员考核合格证；掌握</w:t>
            </w:r>
            <w:r>
              <w:rPr>
                <w:rFonts w:hint="eastAsia" w:ascii="宋体" w:hAnsi="宋体" w:cs="宋体"/>
                <w:highlight w:val="none"/>
                <w:lang w:val="en-US" w:eastAsia="zh-CN"/>
              </w:rPr>
              <w:t>设备检修</w:t>
            </w:r>
            <w:r>
              <w:rPr>
                <w:rFonts w:hint="eastAsia" w:ascii="宋体" w:hAnsi="宋体" w:eastAsia="宋体" w:cs="宋体"/>
                <w:highlight w:val="none"/>
              </w:rPr>
              <w:t>必备的业务知识和安全知识、安全环保规章制度，且熟练掌握汉语语言。</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82F4620">
            <w:pPr>
              <w:jc w:val="center"/>
              <w:rPr>
                <w:rFonts w:ascii="宋体" w:hAnsi="宋体"/>
                <w:color w:val="000000"/>
              </w:rPr>
            </w:pPr>
          </w:p>
        </w:tc>
      </w:tr>
      <w:tr w14:paraId="3EDC33ED">
        <w:tblPrEx>
          <w:tblCellMar>
            <w:top w:w="0" w:type="dxa"/>
            <w:left w:w="108" w:type="dxa"/>
            <w:bottom w:w="0" w:type="dxa"/>
            <w:right w:w="108" w:type="dxa"/>
          </w:tblCellMar>
        </w:tblPrEx>
        <w:trPr>
          <w:cantSplit/>
          <w:trHeight w:val="1265" w:hRule="atLeast"/>
        </w:trPr>
        <w:tc>
          <w:tcPr>
            <w:tcW w:w="941" w:type="dxa"/>
            <w:vMerge w:val="continue"/>
            <w:tcBorders>
              <w:left w:val="single" w:color="000000" w:sz="4" w:space="0"/>
              <w:right w:val="single" w:color="000000" w:sz="4" w:space="0"/>
            </w:tcBorders>
            <w:shd w:val="clear" w:color="auto" w:fill="FFFFFF"/>
            <w:vAlign w:val="center"/>
          </w:tcPr>
          <w:p w14:paraId="2C0D094B">
            <w:pPr>
              <w:jc w:val="center"/>
              <w:rPr>
                <w:rFonts w:hint="eastAsia" w:ascii="宋体" w:hAnsi="宋体" w:eastAsia="宋体" w:cs="宋体"/>
              </w:rPr>
            </w:pPr>
          </w:p>
        </w:tc>
        <w:tc>
          <w:tcPr>
            <w:tcW w:w="12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1DD568">
            <w:pPr>
              <w:jc w:val="center"/>
              <w:rPr>
                <w:rFonts w:hint="eastAsia" w:ascii="宋体" w:hAnsi="宋体" w:eastAsia="宋体" w:cs="宋体"/>
                <w:kern w:val="2"/>
                <w:sz w:val="24"/>
                <w:szCs w:val="24"/>
                <w:lang w:val="en-US" w:eastAsia="zh-CN" w:bidi="ar-SA"/>
              </w:rPr>
            </w:pPr>
            <w:r>
              <w:rPr>
                <w:rFonts w:hint="eastAsia" w:ascii="宋体" w:hAnsi="宋体" w:eastAsia="宋体" w:cs="宋体"/>
              </w:rPr>
              <w:t>安全员</w:t>
            </w:r>
          </w:p>
        </w:tc>
        <w:tc>
          <w:tcPr>
            <w:tcW w:w="7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07A375">
            <w:pPr>
              <w:jc w:val="center"/>
              <w:rPr>
                <w:rFonts w:hint="eastAsia" w:ascii="宋体" w:hAnsi="宋体" w:eastAsia="宋体" w:cs="宋体"/>
                <w:kern w:val="2"/>
                <w:sz w:val="24"/>
                <w:szCs w:val="24"/>
                <w:lang w:val="en-US" w:eastAsia="zh-CN" w:bidi="ar-SA"/>
              </w:rPr>
            </w:pPr>
            <w:r>
              <w:rPr>
                <w:rFonts w:hint="eastAsia" w:ascii="宋体" w:hAnsi="宋体" w:eastAsia="宋体" w:cs="宋体"/>
              </w:rPr>
              <w:t>1</w:t>
            </w:r>
          </w:p>
        </w:tc>
        <w:tc>
          <w:tcPr>
            <w:tcW w:w="553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D9DF93">
            <w:pPr>
              <w:rPr>
                <w:rFonts w:hint="eastAsia" w:ascii="宋体" w:hAnsi="宋体" w:eastAsia="宋体" w:cs="宋体"/>
                <w:kern w:val="2"/>
                <w:sz w:val="24"/>
                <w:szCs w:val="24"/>
                <w:lang w:val="en-US" w:eastAsia="zh-CN" w:bidi="ar-SA"/>
              </w:rPr>
            </w:pPr>
            <w:r>
              <w:rPr>
                <w:rFonts w:hint="eastAsia" w:ascii="宋体" w:hAnsi="宋体" w:cs="宋体"/>
                <w:lang w:val="en-US" w:eastAsia="zh-CN"/>
              </w:rPr>
              <w:t>5</w:t>
            </w:r>
            <w:r>
              <w:rPr>
                <w:rFonts w:hint="eastAsia" w:ascii="宋体" w:hAnsi="宋体" w:eastAsia="宋体" w:cs="宋体"/>
              </w:rPr>
              <w:t>年以上石化或化工设备检修维护工作经验，有较好的组织管理能力，熟悉设备检修流程、检修经验丰富，能组织人员完成大修检修项目，保障检修工作安全有序进行。</w:t>
            </w:r>
          </w:p>
        </w:tc>
        <w:tc>
          <w:tcPr>
            <w:tcW w:w="900" w:type="dxa"/>
            <w:vMerge w:val="continue"/>
            <w:tcBorders>
              <w:left w:val="single" w:color="000000" w:sz="4" w:space="0"/>
              <w:right w:val="single" w:color="000000" w:sz="4" w:space="0"/>
            </w:tcBorders>
            <w:shd w:val="clear" w:color="auto" w:fill="FFFFFF"/>
            <w:vAlign w:val="center"/>
          </w:tcPr>
          <w:p w14:paraId="2F47EE60">
            <w:pPr>
              <w:jc w:val="center"/>
              <w:rPr>
                <w:rFonts w:ascii="宋体" w:hAnsi="宋体"/>
                <w:color w:val="000000"/>
              </w:rPr>
            </w:pPr>
          </w:p>
        </w:tc>
      </w:tr>
      <w:tr w14:paraId="19FDC5F3">
        <w:tblPrEx>
          <w:tblCellMar>
            <w:top w:w="0" w:type="dxa"/>
            <w:left w:w="108" w:type="dxa"/>
            <w:bottom w:w="0" w:type="dxa"/>
            <w:right w:w="108" w:type="dxa"/>
          </w:tblCellMar>
        </w:tblPrEx>
        <w:trPr>
          <w:cantSplit/>
          <w:trHeight w:val="1076" w:hRule="atLeast"/>
        </w:trPr>
        <w:tc>
          <w:tcPr>
            <w:tcW w:w="941" w:type="dxa"/>
            <w:vMerge w:val="continue"/>
            <w:tcBorders>
              <w:left w:val="single" w:color="000000" w:sz="4" w:space="0"/>
              <w:right w:val="single" w:color="000000" w:sz="4" w:space="0"/>
            </w:tcBorders>
            <w:shd w:val="clear" w:color="auto" w:fill="FFFFFF"/>
            <w:vAlign w:val="center"/>
          </w:tcPr>
          <w:p w14:paraId="1A762E6D">
            <w:pPr>
              <w:jc w:val="center"/>
              <w:rPr>
                <w:rFonts w:hint="eastAsia" w:ascii="宋体" w:hAnsi="宋体" w:eastAsia="宋体" w:cs="宋体"/>
              </w:rPr>
            </w:pPr>
          </w:p>
        </w:tc>
        <w:tc>
          <w:tcPr>
            <w:tcW w:w="12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9C9A04">
            <w:pPr>
              <w:jc w:val="center"/>
              <w:rPr>
                <w:rFonts w:hint="default" w:ascii="宋体" w:hAnsi="宋体" w:eastAsia="宋体" w:cs="宋体"/>
                <w:kern w:val="2"/>
                <w:sz w:val="24"/>
                <w:szCs w:val="24"/>
                <w:lang w:val="en-US" w:eastAsia="zh-CN" w:bidi="ar-SA"/>
              </w:rPr>
            </w:pPr>
            <w:r>
              <w:rPr>
                <w:rFonts w:hint="eastAsia" w:ascii="宋体" w:hAnsi="宋体" w:eastAsia="宋体" w:cs="宋体"/>
              </w:rPr>
              <w:t>班长</w:t>
            </w:r>
          </w:p>
        </w:tc>
        <w:tc>
          <w:tcPr>
            <w:tcW w:w="7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13B3C6">
            <w:pPr>
              <w:jc w:val="center"/>
              <w:rPr>
                <w:rFonts w:hint="eastAsia" w:ascii="宋体" w:hAnsi="宋体" w:eastAsia="宋体" w:cs="宋体"/>
                <w:kern w:val="2"/>
                <w:sz w:val="24"/>
                <w:szCs w:val="24"/>
                <w:lang w:val="en-US" w:eastAsia="zh-CN" w:bidi="ar-SA"/>
              </w:rPr>
            </w:pPr>
            <w:r>
              <w:rPr>
                <w:rFonts w:hint="eastAsia" w:ascii="宋体" w:hAnsi="宋体" w:eastAsia="宋体" w:cs="宋体"/>
              </w:rPr>
              <w:t>1</w:t>
            </w:r>
          </w:p>
        </w:tc>
        <w:tc>
          <w:tcPr>
            <w:tcW w:w="553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23694F">
            <w:pPr>
              <w:rPr>
                <w:rFonts w:hint="eastAsia" w:ascii="宋体" w:hAnsi="宋体" w:eastAsia="宋体" w:cs="宋体"/>
                <w:kern w:val="2"/>
                <w:sz w:val="24"/>
                <w:szCs w:val="24"/>
                <w:lang w:val="en-US" w:eastAsia="zh-CN" w:bidi="ar-SA"/>
              </w:rPr>
            </w:pPr>
            <w:r>
              <w:rPr>
                <w:rFonts w:hint="eastAsia" w:ascii="宋体" w:hAnsi="宋体" w:eastAsia="宋体" w:cs="宋体"/>
              </w:rPr>
              <w:t>5年以上石化或化工</w:t>
            </w:r>
            <w:r>
              <w:rPr>
                <w:rFonts w:hint="eastAsia" w:ascii="宋体" w:hAnsi="宋体" w:eastAsia="宋体" w:cs="宋体"/>
                <w:lang w:val="en-US" w:eastAsia="zh-CN"/>
              </w:rPr>
              <w:t>气化炉</w:t>
            </w:r>
            <w:r>
              <w:rPr>
                <w:rFonts w:hint="eastAsia" w:ascii="宋体" w:hAnsi="宋体" w:eastAsia="宋体" w:cs="宋体"/>
              </w:rPr>
              <w:t>检修维护工作经验，</w:t>
            </w:r>
            <w:r>
              <w:rPr>
                <w:rFonts w:hint="eastAsia" w:ascii="宋体" w:hAnsi="宋体" w:cs="宋体"/>
                <w:lang w:val="en-US" w:eastAsia="zh-CN"/>
              </w:rPr>
              <w:t>2年</w:t>
            </w:r>
            <w:r>
              <w:rPr>
                <w:rFonts w:hint="eastAsia" w:ascii="宋体" w:hAnsi="宋体" w:eastAsia="宋体" w:cs="宋体"/>
                <w:lang w:val="en-US" w:eastAsia="zh-CN"/>
              </w:rPr>
              <w:t>气化炉</w:t>
            </w:r>
            <w:r>
              <w:rPr>
                <w:rFonts w:hint="eastAsia" w:ascii="宋体" w:hAnsi="宋体" w:eastAsia="宋体" w:cs="宋体"/>
              </w:rPr>
              <w:t>检修维护工作经验</w:t>
            </w:r>
            <w:r>
              <w:rPr>
                <w:rFonts w:hint="eastAsia" w:ascii="宋体" w:hAnsi="宋体" w:cs="宋体"/>
                <w:lang w:eastAsia="zh-CN"/>
              </w:rPr>
              <w:t>，</w:t>
            </w:r>
            <w:r>
              <w:rPr>
                <w:rFonts w:hint="eastAsia" w:ascii="宋体" w:hAnsi="宋体" w:eastAsia="宋体" w:cs="宋体"/>
              </w:rPr>
              <w:t>有较好的组织管理能力，熟悉设备检修流程、检修经验丰富，能组织人员完成每日检修项目。</w:t>
            </w:r>
          </w:p>
        </w:tc>
        <w:tc>
          <w:tcPr>
            <w:tcW w:w="900" w:type="dxa"/>
            <w:vMerge w:val="continue"/>
            <w:tcBorders>
              <w:left w:val="single" w:color="000000" w:sz="4" w:space="0"/>
              <w:right w:val="single" w:color="000000" w:sz="4" w:space="0"/>
            </w:tcBorders>
            <w:shd w:val="clear" w:color="auto" w:fill="FFFFFF"/>
            <w:vAlign w:val="center"/>
          </w:tcPr>
          <w:p w14:paraId="7A829E90">
            <w:pPr>
              <w:jc w:val="center"/>
              <w:rPr>
                <w:rFonts w:ascii="宋体" w:hAnsi="宋体"/>
                <w:color w:val="000000"/>
              </w:rPr>
            </w:pPr>
          </w:p>
        </w:tc>
      </w:tr>
      <w:tr w14:paraId="1D95334E">
        <w:tblPrEx>
          <w:tblCellMar>
            <w:top w:w="0" w:type="dxa"/>
            <w:left w:w="108" w:type="dxa"/>
            <w:bottom w:w="0" w:type="dxa"/>
            <w:right w:w="108" w:type="dxa"/>
          </w:tblCellMar>
        </w:tblPrEx>
        <w:trPr>
          <w:cantSplit/>
          <w:trHeight w:val="1086" w:hRule="atLeast"/>
        </w:trPr>
        <w:tc>
          <w:tcPr>
            <w:tcW w:w="941" w:type="dxa"/>
            <w:vMerge w:val="continue"/>
            <w:tcBorders>
              <w:left w:val="single" w:color="000000" w:sz="4" w:space="0"/>
              <w:right w:val="single" w:color="000000" w:sz="4" w:space="0"/>
            </w:tcBorders>
            <w:vAlign w:val="center"/>
          </w:tcPr>
          <w:p w14:paraId="3B9D7107">
            <w:pPr>
              <w:rPr>
                <w:rFonts w:hint="eastAsia" w:ascii="宋体" w:hAnsi="宋体" w:eastAsia="宋体" w:cs="宋体"/>
              </w:rPr>
            </w:pPr>
          </w:p>
        </w:tc>
        <w:tc>
          <w:tcPr>
            <w:tcW w:w="12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EADB4D">
            <w:pPr>
              <w:jc w:val="center"/>
              <w:rPr>
                <w:rFonts w:hint="eastAsia" w:ascii="宋体" w:hAnsi="宋体" w:eastAsia="宋体" w:cs="宋体"/>
              </w:rPr>
            </w:pPr>
            <w:r>
              <w:rPr>
                <w:rFonts w:hint="eastAsia" w:ascii="宋体" w:hAnsi="宋体" w:eastAsia="宋体" w:cs="宋体"/>
              </w:rPr>
              <w:t>焊工</w:t>
            </w:r>
          </w:p>
        </w:tc>
        <w:tc>
          <w:tcPr>
            <w:tcW w:w="7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EF19A5">
            <w:pPr>
              <w:jc w:val="center"/>
              <w:rPr>
                <w:rFonts w:hint="eastAsia" w:ascii="宋体" w:hAnsi="宋体" w:eastAsia="宋体" w:cs="宋体"/>
                <w:lang w:eastAsia="zh-CN"/>
              </w:rPr>
            </w:pPr>
            <w:r>
              <w:rPr>
                <w:rFonts w:hint="eastAsia" w:ascii="宋体" w:hAnsi="宋体" w:cs="宋体"/>
                <w:lang w:val="en-US" w:eastAsia="zh-CN"/>
              </w:rPr>
              <w:t>6</w:t>
            </w:r>
          </w:p>
        </w:tc>
        <w:tc>
          <w:tcPr>
            <w:tcW w:w="553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04C7D7">
            <w:pPr>
              <w:rPr>
                <w:rFonts w:hint="eastAsia" w:ascii="宋体" w:hAnsi="宋体" w:eastAsia="宋体" w:cs="宋体"/>
              </w:rPr>
            </w:pPr>
            <w:r>
              <w:rPr>
                <w:rFonts w:hint="eastAsia" w:ascii="宋体" w:hAnsi="宋体" w:eastAsia="宋体" w:cs="宋体"/>
              </w:rPr>
              <w:t>持应急管理局颁发的焊接与热切割作业证及市场监督管理局颁发的特种设备焊接操作证，5年以上焊接工作经验，且熟练掌握汉语语言。</w:t>
            </w:r>
          </w:p>
        </w:tc>
        <w:tc>
          <w:tcPr>
            <w:tcW w:w="900" w:type="dxa"/>
            <w:vMerge w:val="continue"/>
            <w:tcBorders>
              <w:top w:val="single" w:color="000000" w:sz="4" w:space="0"/>
              <w:left w:val="single" w:color="000000" w:sz="4" w:space="0"/>
              <w:bottom w:val="single" w:color="000000" w:sz="4" w:space="0"/>
              <w:right w:val="single" w:color="000000" w:sz="4" w:space="0"/>
            </w:tcBorders>
            <w:vAlign w:val="center"/>
          </w:tcPr>
          <w:p w14:paraId="0203805B">
            <w:pPr>
              <w:jc w:val="left"/>
              <w:rPr>
                <w:rFonts w:ascii="宋体" w:hAnsi="宋体"/>
                <w:color w:val="000000"/>
              </w:rPr>
            </w:pPr>
          </w:p>
        </w:tc>
      </w:tr>
      <w:tr w14:paraId="672ADF24">
        <w:tblPrEx>
          <w:tblCellMar>
            <w:top w:w="0" w:type="dxa"/>
            <w:left w:w="108" w:type="dxa"/>
            <w:bottom w:w="0" w:type="dxa"/>
            <w:right w:w="108" w:type="dxa"/>
          </w:tblCellMar>
        </w:tblPrEx>
        <w:trPr>
          <w:cantSplit/>
          <w:trHeight w:val="1555" w:hRule="atLeast"/>
        </w:trPr>
        <w:tc>
          <w:tcPr>
            <w:tcW w:w="941" w:type="dxa"/>
            <w:vMerge w:val="continue"/>
            <w:tcBorders>
              <w:left w:val="single" w:color="000000" w:sz="4" w:space="0"/>
              <w:bottom w:val="single" w:color="000000" w:sz="4" w:space="0"/>
              <w:right w:val="single" w:color="000000" w:sz="4" w:space="0"/>
            </w:tcBorders>
            <w:noWrap/>
            <w:vAlign w:val="center"/>
          </w:tcPr>
          <w:p w14:paraId="15CEAF0C">
            <w:pPr>
              <w:rPr>
                <w:rFonts w:hint="eastAsia" w:ascii="宋体" w:hAnsi="宋体" w:eastAsia="宋体" w:cs="宋体"/>
              </w:rPr>
            </w:pPr>
          </w:p>
        </w:tc>
        <w:tc>
          <w:tcPr>
            <w:tcW w:w="1265" w:type="dxa"/>
            <w:tcBorders>
              <w:top w:val="single" w:color="000000" w:sz="4" w:space="0"/>
              <w:left w:val="single" w:color="000000" w:sz="4" w:space="0"/>
              <w:bottom w:val="single" w:color="000000" w:sz="4" w:space="0"/>
              <w:right w:val="single" w:color="000000" w:sz="4" w:space="0"/>
            </w:tcBorders>
            <w:noWrap/>
            <w:vAlign w:val="center"/>
          </w:tcPr>
          <w:p w14:paraId="43F00FA5">
            <w:pPr>
              <w:jc w:val="center"/>
              <w:rPr>
                <w:rFonts w:hint="eastAsia" w:ascii="宋体" w:hAnsi="宋体" w:eastAsia="宋体" w:cs="宋体"/>
              </w:rPr>
            </w:pPr>
            <w:r>
              <w:rPr>
                <w:rFonts w:hint="eastAsia" w:ascii="宋体" w:hAnsi="宋体" w:eastAsia="宋体" w:cs="宋体"/>
                <w:lang w:val="en-US" w:eastAsia="zh-CN"/>
              </w:rPr>
              <w:t>作业人员</w:t>
            </w:r>
          </w:p>
        </w:tc>
        <w:tc>
          <w:tcPr>
            <w:tcW w:w="729" w:type="dxa"/>
            <w:tcBorders>
              <w:top w:val="single" w:color="000000" w:sz="4" w:space="0"/>
              <w:left w:val="single" w:color="000000" w:sz="4" w:space="0"/>
              <w:bottom w:val="single" w:color="000000" w:sz="4" w:space="0"/>
              <w:right w:val="single" w:color="000000" w:sz="4" w:space="0"/>
            </w:tcBorders>
            <w:noWrap/>
            <w:vAlign w:val="center"/>
          </w:tcPr>
          <w:p w14:paraId="358FD7CF">
            <w:pPr>
              <w:jc w:val="center"/>
              <w:rPr>
                <w:rFonts w:hint="eastAsia" w:ascii="宋体" w:hAnsi="宋体" w:eastAsia="宋体" w:cs="宋体"/>
                <w:lang w:eastAsia="zh-CN"/>
              </w:rPr>
            </w:pPr>
            <w:r>
              <w:rPr>
                <w:rFonts w:hint="eastAsia" w:ascii="宋体" w:hAnsi="宋体" w:cs="宋体"/>
                <w:lang w:val="en-US" w:eastAsia="zh-CN"/>
              </w:rPr>
              <w:t>6</w:t>
            </w:r>
          </w:p>
        </w:tc>
        <w:tc>
          <w:tcPr>
            <w:tcW w:w="5534" w:type="dxa"/>
            <w:tcBorders>
              <w:top w:val="single" w:color="000000" w:sz="4" w:space="0"/>
              <w:left w:val="single" w:color="000000" w:sz="4" w:space="0"/>
              <w:bottom w:val="single" w:color="000000" w:sz="4" w:space="0"/>
              <w:right w:val="single" w:color="000000" w:sz="4" w:space="0"/>
            </w:tcBorders>
            <w:vAlign w:val="center"/>
          </w:tcPr>
          <w:p w14:paraId="10EF8F60">
            <w:pPr>
              <w:rPr>
                <w:rFonts w:hint="eastAsia" w:ascii="宋体" w:hAnsi="宋体" w:eastAsia="宋体" w:cs="宋体"/>
                <w:lang w:val="en-US" w:eastAsia="zh-CN"/>
              </w:rPr>
            </w:pPr>
            <w:r>
              <w:rPr>
                <w:rFonts w:hint="eastAsia" w:ascii="宋体" w:hAnsi="宋体" w:cs="宋体"/>
                <w:lang w:val="en-US" w:eastAsia="zh-CN"/>
              </w:rPr>
              <w:t>3</w:t>
            </w:r>
            <w:r>
              <w:rPr>
                <w:rFonts w:hint="eastAsia" w:ascii="宋体" w:hAnsi="宋体" w:eastAsia="宋体" w:cs="宋体"/>
              </w:rPr>
              <w:t>年以上设备检修维护工作经验，不少于</w:t>
            </w:r>
            <w:r>
              <w:rPr>
                <w:rFonts w:hint="eastAsia" w:ascii="宋体" w:hAnsi="宋体" w:eastAsia="宋体" w:cs="宋体"/>
                <w:lang w:val="en-US" w:eastAsia="zh-CN"/>
              </w:rPr>
              <w:t>3</w:t>
            </w:r>
            <w:r>
              <w:rPr>
                <w:rFonts w:hint="eastAsia" w:ascii="宋体" w:hAnsi="宋体" w:eastAsia="宋体" w:cs="宋体"/>
              </w:rPr>
              <w:t>人持有中级钳工及以上技能，且全员熟练掌握汉语语言。作业人员中50%以上人员必须在石化或化工装置从业的经历</w:t>
            </w:r>
            <w:r>
              <w:rPr>
                <w:rFonts w:hint="eastAsia" w:ascii="宋体" w:hAnsi="宋体" w:eastAsia="宋体" w:cs="宋体"/>
                <w:lang w:eastAsia="zh-CN"/>
              </w:rPr>
              <w:t>。</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DE7EE1">
            <w:pPr>
              <w:jc w:val="center"/>
              <w:rPr>
                <w:rFonts w:ascii="宋体" w:hAnsi="宋体"/>
                <w:color w:val="000000"/>
                <w:kern w:val="0"/>
                <w:lang w:bidi="ar"/>
              </w:rPr>
            </w:pPr>
          </w:p>
        </w:tc>
      </w:tr>
    </w:tbl>
    <w:p w14:paraId="65FBE901">
      <w:pPr>
        <w:snapToGrid w:val="0"/>
        <w:spacing w:line="360" w:lineRule="auto"/>
        <w:jc w:val="left"/>
        <w:rPr>
          <w:rStyle w:val="87"/>
          <w:b/>
        </w:rPr>
      </w:pPr>
    </w:p>
    <w:p w14:paraId="0DE62D8D">
      <w:pPr>
        <w:pStyle w:val="3"/>
        <w:keepNext/>
        <w:keepLines/>
        <w:pageBreakBefore w:val="0"/>
        <w:widowControl w:val="0"/>
        <w:kinsoku w:val="0"/>
        <w:wordWrap/>
        <w:overflowPunct/>
        <w:topLinePunct w:val="0"/>
        <w:autoSpaceDE/>
        <w:autoSpaceDN/>
        <w:bidi w:val="0"/>
        <w:adjustRightInd w:val="0"/>
        <w:snapToGrid w:val="0"/>
        <w:ind w:firstLine="562" w:firstLineChars="200"/>
        <w:jc w:val="left"/>
        <w:textAlignment w:val="auto"/>
        <w:rPr>
          <w:rFonts w:hint="eastAsia"/>
          <w:sz w:val="28"/>
          <w:szCs w:val="13"/>
          <w:lang w:val="en-US" w:eastAsia="zh-CN"/>
        </w:rPr>
      </w:pPr>
      <w:bookmarkStart w:id="21" w:name="_Toc2356"/>
      <w:r>
        <w:rPr>
          <w:rFonts w:hint="eastAsia"/>
          <w:sz w:val="28"/>
          <w:szCs w:val="13"/>
          <w:lang w:val="en-US" w:eastAsia="zh-CN"/>
        </w:rPr>
        <w:t>7 安全要求</w:t>
      </w:r>
      <w:bookmarkEnd w:id="21"/>
    </w:p>
    <w:p w14:paraId="2AE215B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7.1入厂资料要求：</w:t>
      </w:r>
    </w:p>
    <w:p w14:paraId="49165FE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7.1.1 投标方应该建立归档资料如下：</w:t>
      </w:r>
    </w:p>
    <w:p w14:paraId="3064F48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7.1.2 投标方管理人员对作业人员的安全技术交底记录（全员覆盖，新入职人员及时进行安全技术交底，纸质版留档）。</w:t>
      </w:r>
    </w:p>
    <w:p w14:paraId="50DE2F1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7.1.3 投标方组织员工培训学习公司相关制度、管理规定、事故案例的学习记录。（电子版备查，要求有清晰的照片能证明所学内容，有清晰的扫描签到表）</w:t>
      </w:r>
    </w:p>
    <w:p w14:paraId="164F4A4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7.1.4 三级安全教育台账以及整套资料。</w:t>
      </w:r>
    </w:p>
    <w:p w14:paraId="03DBAA5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7.1.5 项目主管单位对制度、管理规定、操作规程提供的确认表。（纸质版留档）</w:t>
      </w:r>
    </w:p>
    <w:p w14:paraId="77F9968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7.1.6 项目主管单位对投标方组织进行培训学习记录。（常年维保单位每月一次）。（电子版备查，要求有清晰的照片能证明所学内容，有清晰的扫描签到表）</w:t>
      </w:r>
    </w:p>
    <w:p w14:paraId="6671A47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7.1.7 安健环协议以及交叉协议。（纸质版留档）</w:t>
      </w:r>
    </w:p>
    <w:p w14:paraId="08901AE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7.1.8 项目开工前条件确认表。（纸质版留档）</w:t>
      </w:r>
    </w:p>
    <w:p w14:paraId="6870CD1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7.1.9 安全生产责任书（层层签订）（纸质版留档）</w:t>
      </w:r>
    </w:p>
    <w:p w14:paraId="603C28C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7.1.10 合同以及附件。（纸质版留档）</w:t>
      </w:r>
    </w:p>
    <w:p w14:paraId="1C7DF8E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7.1.11 企业资质、专业外包资质。（电子版备查）</w:t>
      </w:r>
    </w:p>
    <w:p w14:paraId="3AA8C8A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7.1.12 管理人员授权书、任命书。（纸质版留档）</w:t>
      </w:r>
    </w:p>
    <w:p w14:paraId="575495C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7.1.13 投标方全员安全生产责任制。（纸质版留档）</w:t>
      </w:r>
    </w:p>
    <w:p w14:paraId="62E18F5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7.1.14 投标方应急预案。（纸质版留档）</w:t>
      </w:r>
    </w:p>
    <w:p w14:paraId="5A6C020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7.1.15 外包项目人员台账（及时更新）以及特种作业人员台账（电子版及时更新）。</w:t>
      </w:r>
    </w:p>
    <w:p w14:paraId="4F94FC4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7.1.16 所有审核审批的方案存档。（纸质版留档）</w:t>
      </w:r>
    </w:p>
    <w:p w14:paraId="57AFC08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7.1.17 安全生产费用使用台账（电子版台账，必须提供相关佐证资料例如发票等）。</w:t>
      </w:r>
    </w:p>
    <w:p w14:paraId="4F9C75D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7.1.18 外包项目所有人员的入厂健康体检、职业病体检报告（纸质版留档）,详细要求见附件16《外包单位体检要求》。</w:t>
      </w:r>
    </w:p>
    <w:p w14:paraId="4BBA7DF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7.2安全要求：</w:t>
      </w:r>
    </w:p>
    <w:p w14:paraId="2161CC1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7.2.1 检修人员进行设备检修工作时，必须办理合格的工作票及各种特殊作业票。</w:t>
      </w:r>
    </w:p>
    <w:p w14:paraId="1B1C139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7.2.2 检修人员如需在脚手架上工作，必须系安全带方能上脚手架，并将安全带挂在固定牢固部件上，高挂低用。</w:t>
      </w:r>
    </w:p>
    <w:p w14:paraId="3B99839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7.2.3 设备所有零部件，应按要求摆放在指定的地点, 妥善保管。工作中轻起轻落,不准将设备或零部件直接放在地面上，在检修现场必须垫上橡胶垫，以防工具、零件等掉在地上。</w:t>
      </w:r>
    </w:p>
    <w:p w14:paraId="4044E63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7.2.4 检修现场应尽量避免上下交叉作业，如无法避免，应在监护人的监督下，由工作负责人统一指挥，上方检修人员应系好安全带、所用工器具系好安全绳并确保防坠落安全措施已执行到位；下方检修人员，应在工作负责人确认安全措施已执行到位后，方可进入现场工作，并做好事故预想，工作时做到注意力集中，保持上下通信畅通。</w:t>
      </w:r>
    </w:p>
    <w:p w14:paraId="3371BEE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7.2.5 现场工作人员应精神状态良好、无有碍工作的疾病，并不得酒后上班。</w:t>
      </w:r>
    </w:p>
    <w:p w14:paraId="1EE496C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7.2.6 进入生产场所的所有人员包括管理人员必须戴好安全帽，禁止在生产场所吸烟。</w:t>
      </w:r>
    </w:p>
    <w:p w14:paraId="1AA7489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7.2.7 动火作业按要求办理好动火作业工作票，注意火星的控制，以及动火操作的规范。</w:t>
      </w:r>
    </w:p>
    <w:p w14:paraId="287FE23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7.2.8 容器内作业注意通风，外部设专业监护，防止中毒窒息。</w:t>
      </w:r>
    </w:p>
    <w:p w14:paraId="1FA858B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7.2.9 必须严格遵守安全监察部制定的八大特殊作业等安全管理制度要求。</w:t>
      </w:r>
    </w:p>
    <w:p w14:paraId="3161D87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7.3 安全生产七大禁令</w:t>
      </w:r>
    </w:p>
    <w:p w14:paraId="2F6C98C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Style w:val="87"/>
          <w:rFonts w:hint="eastAsia"/>
          <w:b/>
        </w:rPr>
      </w:pPr>
      <w:r>
        <w:rPr>
          <w:rFonts w:hint="eastAsia" w:ascii="宋体" w:hAnsi="宋体"/>
          <w:sz w:val="24"/>
          <w:szCs w:val="24"/>
          <w:lang w:val="en-US" w:eastAsia="zh-CN"/>
        </w:rPr>
        <w:t>7.3.1 严禁在生产装置区内吸烟。</w:t>
      </w:r>
    </w:p>
    <w:p w14:paraId="2DAF0A1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7.3.2 严禁高处作业不使用安全带。</w:t>
      </w:r>
    </w:p>
    <w:p w14:paraId="23D1E00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7.3.3 严禁违章指挥、强令他人违章冒险作业。</w:t>
      </w:r>
    </w:p>
    <w:p w14:paraId="13B42A9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7.3.4 严禁未经许可进行受限空间作业、动火作业。</w:t>
      </w:r>
    </w:p>
    <w:p w14:paraId="7A81C47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7.3.5 严禁无证进行电气、架子、叉车、电气焊作业。</w:t>
      </w:r>
    </w:p>
    <w:p w14:paraId="0B2FF94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7.3.6 严禁未经审批或许可，取消或退出安全联锁。</w:t>
      </w:r>
    </w:p>
    <w:p w14:paraId="752ACB8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7.3.7 严禁未经许可关闭、破坏直接关系生产安全的报警、防护、救生设备、设施，不得篡改、销毁其相关数据、信息。</w:t>
      </w:r>
    </w:p>
    <w:p w14:paraId="2C830C05">
      <w:pPr>
        <w:rPr>
          <w:rStyle w:val="87"/>
          <w:b/>
        </w:rPr>
      </w:pPr>
    </w:p>
    <w:p w14:paraId="209FE9C6">
      <w:pPr>
        <w:pStyle w:val="3"/>
        <w:keepNext/>
        <w:keepLines/>
        <w:pageBreakBefore w:val="0"/>
        <w:widowControl w:val="0"/>
        <w:kinsoku w:val="0"/>
        <w:wordWrap/>
        <w:overflowPunct/>
        <w:topLinePunct w:val="0"/>
        <w:autoSpaceDE/>
        <w:autoSpaceDN/>
        <w:bidi w:val="0"/>
        <w:adjustRightInd w:val="0"/>
        <w:snapToGrid w:val="0"/>
        <w:ind w:firstLine="562" w:firstLineChars="200"/>
        <w:jc w:val="left"/>
        <w:textAlignment w:val="auto"/>
        <w:rPr>
          <w:rFonts w:hint="default"/>
          <w:sz w:val="28"/>
          <w:szCs w:val="13"/>
          <w:lang w:val="en-US" w:eastAsia="zh-CN"/>
        </w:rPr>
      </w:pPr>
      <w:bookmarkStart w:id="22" w:name="_Toc21238"/>
      <w:r>
        <w:rPr>
          <w:rFonts w:hint="eastAsia"/>
          <w:sz w:val="28"/>
          <w:szCs w:val="13"/>
          <w:lang w:val="en-US" w:eastAsia="zh-CN"/>
        </w:rPr>
        <w:t>8 双方职责</w:t>
      </w:r>
      <w:bookmarkEnd w:id="22"/>
    </w:p>
    <w:p w14:paraId="38ABCAB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sz w:val="24"/>
          <w:szCs w:val="24"/>
          <w:lang w:val="en-US" w:eastAsia="zh-CN"/>
        </w:rPr>
      </w:pPr>
      <w:r>
        <w:rPr>
          <w:rFonts w:hint="eastAsia" w:ascii="宋体" w:hAnsi="宋体"/>
          <w:sz w:val="24"/>
          <w:szCs w:val="24"/>
          <w:lang w:val="en-US" w:eastAsia="zh-CN"/>
        </w:rPr>
        <w:t>8.1 招标方职责</w:t>
      </w:r>
    </w:p>
    <w:p w14:paraId="1E323AF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8.1.1 对项目安全、质量及进度实施全过程管理，安全管理实行统一牵头、统一指挥、统一管理及考核，对存在的各类安全隐患及时督促整改。</w:t>
      </w:r>
    </w:p>
    <w:p w14:paraId="4F1AA1C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8.1.2 对投标方提出的各种技术方案进行审核和批准。</w:t>
      </w:r>
    </w:p>
    <w:p w14:paraId="5125423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sz w:val="24"/>
          <w:szCs w:val="24"/>
          <w:lang w:val="en-US" w:eastAsia="zh-CN"/>
        </w:rPr>
      </w:pPr>
      <w:r>
        <w:rPr>
          <w:rFonts w:hint="eastAsia" w:ascii="宋体" w:hAnsi="宋体"/>
          <w:sz w:val="24"/>
          <w:szCs w:val="24"/>
          <w:lang w:val="en-US" w:eastAsia="zh-CN"/>
        </w:rPr>
        <w:t>8.1.3 负责</w:t>
      </w:r>
      <w:r>
        <w:rPr>
          <w:rFonts w:hint="eastAsia" w:ascii="宋体" w:hAnsi="宋体" w:eastAsia="宋体" w:cs="Times New Roman"/>
          <w:sz w:val="24"/>
          <w:szCs w:val="24"/>
        </w:rPr>
        <w:t>报废物资和退库物资手续办理，投标方运送至指定地点。</w:t>
      </w:r>
    </w:p>
    <w:p w14:paraId="39DAFD9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8.1.4 负责检修项目中涉及的光谱分析及焊缝探伤工作。</w:t>
      </w:r>
    </w:p>
    <w:p w14:paraId="50F0EAE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eastAsia="宋体" w:cs="Times New Roman"/>
          <w:sz w:val="24"/>
          <w:szCs w:val="24"/>
          <w:lang w:val="en-US" w:eastAsia="zh-CN"/>
        </w:rPr>
      </w:pPr>
      <w:r>
        <w:rPr>
          <w:rFonts w:hint="eastAsia" w:ascii="宋体" w:hAnsi="宋体" w:cs="Times New Roman"/>
          <w:sz w:val="24"/>
          <w:szCs w:val="24"/>
          <w:lang w:val="en-US" w:eastAsia="zh-CN"/>
        </w:rPr>
        <w:t>8.1.5 负责</w:t>
      </w:r>
      <w:r>
        <w:rPr>
          <w:rFonts w:hint="default" w:ascii="宋体" w:hAnsi="宋体" w:eastAsia="宋体" w:cs="Times New Roman"/>
          <w:sz w:val="24"/>
          <w:szCs w:val="24"/>
          <w:lang w:val="en-US" w:eastAsia="zh-CN"/>
        </w:rPr>
        <w:t>检修项目涉及的水、电、脚手架搭设、保温的拆装、恢复等工作。</w:t>
      </w:r>
    </w:p>
    <w:p w14:paraId="09A797D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8.1.6 根据招标方的相关事故调查规定，当发生不安全情况时,必要时组织投标方进行事故调查处理。</w:t>
      </w:r>
    </w:p>
    <w:p w14:paraId="63BDAC0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8.1.7 向投标方提供有关设备资料及有关生产、管理需要的上级文件，并及时答复投标方提出的有关生产、管理中发生的问题。</w:t>
      </w:r>
    </w:p>
    <w:p w14:paraId="46F8300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8.1.8 负责组织内部检修协调会议，并负责投标方与其它相关单位的工作协调。</w:t>
      </w:r>
    </w:p>
    <w:p w14:paraId="3BF6CB6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8.1.9 为投标方提供本承包范围范围系统设备设计、制造、安装、调试、运行、维护的图纸资料（包括设备的技术规范、竣工图纸、运行及维护手册或说明书等投标方履行本合同所需的资料）的收集和管理便利，避免影响检修进度和质量。</w:t>
      </w:r>
    </w:p>
    <w:p w14:paraId="5690424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8.1.10 按本承包合同规定，及时向投标方支付各种费用。</w:t>
      </w:r>
    </w:p>
    <w:p w14:paraId="66B51F4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8.1.11 参加检修项目的验收工作。</w:t>
      </w:r>
    </w:p>
    <w:p w14:paraId="0291649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8.1.12 检修所需的项目车辆由招标方统一负责协调。</w:t>
      </w:r>
    </w:p>
    <w:p w14:paraId="40F7AE59">
      <w:pPr>
        <w:snapToGrid w:val="0"/>
        <w:spacing w:line="360" w:lineRule="auto"/>
        <w:jc w:val="left"/>
        <w:rPr>
          <w:rStyle w:val="87"/>
          <w:rFonts w:ascii="宋体" w:hAnsi="宋体" w:cs="宋体"/>
          <w:bCs/>
        </w:rPr>
      </w:pPr>
      <w:r>
        <w:rPr>
          <w:rStyle w:val="87"/>
          <w:rFonts w:hint="eastAsia" w:ascii="宋体" w:hAnsi="宋体" w:cs="宋体"/>
          <w:bCs/>
          <w:lang w:val="en-US" w:eastAsia="zh-CN"/>
        </w:rPr>
        <w:t>8</w:t>
      </w:r>
      <w:r>
        <w:rPr>
          <w:rStyle w:val="87"/>
          <w:rFonts w:hint="eastAsia" w:ascii="宋体" w:hAnsi="宋体" w:cs="宋体"/>
          <w:bCs/>
        </w:rPr>
        <w:t>.1.1</w:t>
      </w:r>
      <w:r>
        <w:rPr>
          <w:rStyle w:val="87"/>
          <w:rFonts w:hint="eastAsia" w:ascii="宋体" w:hAnsi="宋体" w:cs="宋体"/>
          <w:bCs/>
          <w:lang w:val="en-US" w:eastAsia="zh-CN"/>
        </w:rPr>
        <w:t xml:space="preserve">3 </w:t>
      </w:r>
      <w:r>
        <w:rPr>
          <w:rStyle w:val="87"/>
          <w:rFonts w:hint="eastAsia" w:ascii="宋体" w:hAnsi="宋体" w:cs="宋体"/>
          <w:bCs/>
        </w:rPr>
        <w:t>招标方有权收取提供给承包商生活使用的电费及食堂管理费。</w:t>
      </w:r>
    </w:p>
    <w:p w14:paraId="23B056D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sz w:val="24"/>
          <w:szCs w:val="24"/>
          <w:lang w:val="en-US" w:eastAsia="zh-CN"/>
        </w:rPr>
      </w:pPr>
      <w:r>
        <w:rPr>
          <w:rFonts w:hint="eastAsia" w:ascii="宋体" w:hAnsi="宋体"/>
          <w:sz w:val="24"/>
          <w:szCs w:val="24"/>
          <w:lang w:val="en-US" w:eastAsia="zh-CN"/>
        </w:rPr>
        <w:t>8.2 投标方职责</w:t>
      </w:r>
    </w:p>
    <w:p w14:paraId="65965F5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sz w:val="24"/>
          <w:szCs w:val="24"/>
          <w:lang w:val="en-US" w:eastAsia="zh-CN"/>
        </w:rPr>
      </w:pPr>
      <w:r>
        <w:rPr>
          <w:rFonts w:hint="eastAsia" w:ascii="宋体" w:hAnsi="宋体"/>
          <w:sz w:val="24"/>
          <w:szCs w:val="24"/>
          <w:lang w:val="en-US" w:eastAsia="zh-CN"/>
        </w:rPr>
        <w:t>8.2.1投标方在接到中标通知书后1个月内，将本项目组织机构、质量措施、安全措施、组织措施等文件（不限上列内容）报招标方审核。在检修开始一周前将工作负责人及工作票签发人名单、工作人员名单、特殊工种人员名单及资质材料报招标方审核。</w:t>
      </w:r>
    </w:p>
    <w:p w14:paraId="62BC736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sz w:val="24"/>
          <w:szCs w:val="24"/>
        </w:rPr>
      </w:pPr>
      <w:r>
        <w:rPr>
          <w:rFonts w:hint="eastAsia" w:ascii="宋体" w:hAnsi="宋体" w:cs="Times New Roman"/>
          <w:sz w:val="24"/>
          <w:szCs w:val="24"/>
          <w:lang w:val="en-US" w:eastAsia="zh-CN"/>
        </w:rPr>
        <w:t>8.2.2</w:t>
      </w:r>
      <w:r>
        <w:rPr>
          <w:rFonts w:hint="eastAsia" w:ascii="宋体" w:hAnsi="宋体" w:eastAsia="宋体" w:cs="Times New Roman"/>
          <w:sz w:val="24"/>
          <w:szCs w:val="24"/>
        </w:rPr>
        <w:t xml:space="preserve"> 本项目所需要的票证办理、施工准备由投标方负责。</w:t>
      </w:r>
    </w:p>
    <w:p w14:paraId="77DF465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sz w:val="24"/>
          <w:szCs w:val="24"/>
        </w:rPr>
      </w:pPr>
      <w:r>
        <w:rPr>
          <w:rFonts w:hint="eastAsia" w:ascii="宋体" w:hAnsi="宋体" w:cs="Times New Roman"/>
          <w:sz w:val="24"/>
          <w:szCs w:val="24"/>
          <w:lang w:val="en-US" w:eastAsia="zh-CN"/>
        </w:rPr>
        <w:t>8.2</w:t>
      </w:r>
      <w:r>
        <w:rPr>
          <w:rFonts w:hint="eastAsia" w:ascii="宋体" w:hAnsi="宋体" w:eastAsia="宋体" w:cs="Times New Roman"/>
          <w:sz w:val="24"/>
          <w:szCs w:val="24"/>
        </w:rPr>
        <w:t>.3 投标人必须在开工前十天将气化炉单炉大修、堆焊用工器具、消耗性材料清单发给招标人审阅。且在开工前一周将气化炉单炉大修用工器具、消耗性材料运至招标人检修现场（由投标人自行保管）。</w:t>
      </w:r>
    </w:p>
    <w:p w14:paraId="21CD381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sz w:val="24"/>
          <w:szCs w:val="24"/>
        </w:rPr>
      </w:pPr>
      <w:r>
        <w:rPr>
          <w:rFonts w:hint="eastAsia" w:ascii="宋体" w:hAnsi="宋体" w:cs="Times New Roman"/>
          <w:sz w:val="24"/>
          <w:szCs w:val="24"/>
          <w:lang w:val="en-US" w:eastAsia="zh-CN"/>
        </w:rPr>
        <w:t>8.2</w:t>
      </w:r>
      <w:r>
        <w:rPr>
          <w:rFonts w:hint="eastAsia" w:ascii="宋体" w:hAnsi="宋体" w:eastAsia="宋体" w:cs="Times New Roman"/>
          <w:sz w:val="24"/>
          <w:szCs w:val="24"/>
        </w:rPr>
        <w:t>.4 本项目检修所用的工器具必须保证完好，且校验合格（现场使用的计量工器具，须有检验合格证及检验时间，过期未检验计量工器具严禁带入现场使用），投标人保证在施工过程中使用的工器具是安全和可靠的，不会造成事故，否则，投标人承担由此引起的相应责任。出厂前要按照清单进行清点，并由招标人签字认可，确保现场无施工遗留工具。</w:t>
      </w:r>
    </w:p>
    <w:p w14:paraId="64D0F65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sz w:val="24"/>
          <w:szCs w:val="24"/>
        </w:rPr>
      </w:pPr>
      <w:r>
        <w:rPr>
          <w:rFonts w:hint="eastAsia" w:ascii="宋体" w:hAnsi="宋体" w:cs="Times New Roman"/>
          <w:sz w:val="24"/>
          <w:szCs w:val="24"/>
          <w:lang w:val="en-US" w:eastAsia="zh-CN"/>
        </w:rPr>
        <w:t>8.2</w:t>
      </w:r>
      <w:r>
        <w:rPr>
          <w:rFonts w:hint="eastAsia" w:ascii="宋体" w:hAnsi="宋体" w:eastAsia="宋体" w:cs="Times New Roman"/>
          <w:sz w:val="24"/>
          <w:szCs w:val="24"/>
        </w:rPr>
        <w:t>.5 所有的耗材均需采购国内合格产品，凡是没有标签、生产日期的消耗性材料一律不得采用，杜绝伪劣产品使用在工作中。投标人提出新型材料的使用前必须报招标人批准后方可使用。</w:t>
      </w:r>
    </w:p>
    <w:p w14:paraId="6FB4BFD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sz w:val="24"/>
          <w:szCs w:val="24"/>
        </w:rPr>
      </w:pPr>
      <w:r>
        <w:rPr>
          <w:rFonts w:hint="eastAsia" w:ascii="宋体" w:hAnsi="宋体" w:cs="Times New Roman"/>
          <w:sz w:val="24"/>
          <w:szCs w:val="24"/>
          <w:lang w:val="en-US" w:eastAsia="zh-CN"/>
        </w:rPr>
        <w:t>8.2</w:t>
      </w:r>
      <w:r>
        <w:rPr>
          <w:rFonts w:hint="eastAsia" w:ascii="宋体" w:hAnsi="宋体" w:eastAsia="宋体" w:cs="Times New Roman"/>
          <w:sz w:val="24"/>
          <w:szCs w:val="24"/>
        </w:rPr>
        <w:t>.6 投标方负责做好承包维护设备范围内的装置性设施（如平台、栏杆、现场专用检修平台等）的维护及保养等工作, 保持设备及生产场地的清洁卫生。</w:t>
      </w:r>
    </w:p>
    <w:p w14:paraId="19FF50D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Times New Roman"/>
          <w:sz w:val="24"/>
          <w:szCs w:val="24"/>
          <w:lang w:val="en-US" w:eastAsia="zh-CN"/>
        </w:rPr>
      </w:pPr>
      <w:r>
        <w:rPr>
          <w:rFonts w:hint="eastAsia" w:ascii="宋体" w:hAnsi="宋体" w:cs="Times New Roman"/>
          <w:sz w:val="24"/>
          <w:szCs w:val="24"/>
          <w:lang w:val="en-US" w:eastAsia="zh-CN"/>
        </w:rPr>
        <w:t>8.2.7 检修过程中产生的废料和垃圾的清理、转运由投标方负责（转运地点由招标方指定）。</w:t>
      </w:r>
    </w:p>
    <w:p w14:paraId="32CDBA5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Times New Roman"/>
          <w:sz w:val="24"/>
          <w:szCs w:val="24"/>
          <w:lang w:val="en-US" w:eastAsia="zh-CN"/>
        </w:rPr>
      </w:pPr>
      <w:r>
        <w:rPr>
          <w:rFonts w:hint="eastAsia" w:ascii="宋体" w:hAnsi="宋体" w:cs="Times New Roman"/>
          <w:sz w:val="24"/>
          <w:szCs w:val="24"/>
          <w:lang w:val="en-US" w:eastAsia="zh-CN"/>
        </w:rPr>
        <w:t>8.2.8 负责完成机务专业检修中和检修结束后需进行的各种试验和调试（含电气、仪控专业需机务配合完成的项目）。</w:t>
      </w:r>
    </w:p>
    <w:p w14:paraId="4704B7F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sz w:val="24"/>
          <w:szCs w:val="24"/>
          <w:lang w:val="en-US" w:eastAsia="zh-CN"/>
        </w:rPr>
      </w:pPr>
      <w:r>
        <w:rPr>
          <w:rFonts w:hint="eastAsia" w:ascii="宋体" w:hAnsi="宋体" w:cs="Times New Roman"/>
          <w:sz w:val="24"/>
          <w:szCs w:val="24"/>
          <w:lang w:val="en-US" w:eastAsia="zh-CN"/>
        </w:rPr>
        <w:t>8.2.9 投标方应尽其最大努力减少维护人员的流动和更换，同时招标方有权建议更换任何不合适的人员。投标方在招用员工时要审查核实是否与另外单位项目用工重合。</w:t>
      </w:r>
    </w:p>
    <w:p w14:paraId="0A411A0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Times New Roman"/>
          <w:sz w:val="24"/>
          <w:szCs w:val="24"/>
          <w:lang w:val="en-US" w:eastAsia="zh-CN"/>
        </w:rPr>
      </w:pPr>
      <w:r>
        <w:rPr>
          <w:rFonts w:hint="eastAsia" w:ascii="宋体" w:hAnsi="宋体" w:cs="Times New Roman"/>
          <w:sz w:val="24"/>
          <w:szCs w:val="24"/>
          <w:lang w:val="en-US" w:eastAsia="zh-CN"/>
        </w:rPr>
        <w:t>8.2.10 投标人应根据项目内容、时间进度和招标方要求，配置足够人员，参加气化炉大修的人员数量和资格必须在开工一周前报招标方。</w:t>
      </w:r>
    </w:p>
    <w:p w14:paraId="3A8EFA6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Times New Roman"/>
          <w:sz w:val="24"/>
          <w:szCs w:val="24"/>
          <w:lang w:val="en-US" w:eastAsia="zh-CN"/>
        </w:rPr>
      </w:pPr>
      <w:r>
        <w:rPr>
          <w:rFonts w:hint="eastAsia" w:ascii="宋体" w:hAnsi="宋体" w:cs="Times New Roman"/>
          <w:sz w:val="24"/>
          <w:szCs w:val="24"/>
          <w:lang w:val="en-US" w:eastAsia="zh-CN"/>
        </w:rPr>
        <w:t>8.2.11 投标人应及时将遇到的技术问题通知招标人，并积极处理和解决。</w:t>
      </w:r>
    </w:p>
    <w:p w14:paraId="61ECB8D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Times New Roman"/>
          <w:sz w:val="24"/>
          <w:szCs w:val="24"/>
          <w:lang w:val="en-US" w:eastAsia="zh-CN"/>
        </w:rPr>
      </w:pPr>
      <w:r>
        <w:rPr>
          <w:rFonts w:hint="eastAsia" w:ascii="宋体" w:hAnsi="宋体" w:cs="Times New Roman"/>
          <w:sz w:val="24"/>
          <w:szCs w:val="24"/>
          <w:lang w:val="en-US" w:eastAsia="zh-CN"/>
        </w:rPr>
        <w:t>8.2.12 投标人应制订堆焊施工方案、焊接工艺卡和项目进度表。</w:t>
      </w:r>
    </w:p>
    <w:p w14:paraId="44F9B07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Times New Roman"/>
          <w:sz w:val="24"/>
          <w:szCs w:val="24"/>
          <w:lang w:val="en-US" w:eastAsia="zh-CN"/>
        </w:rPr>
      </w:pPr>
      <w:r>
        <w:rPr>
          <w:rFonts w:hint="eastAsia" w:ascii="宋体" w:hAnsi="宋体" w:cs="Times New Roman"/>
          <w:sz w:val="24"/>
          <w:szCs w:val="24"/>
          <w:lang w:val="en-US" w:eastAsia="zh-CN"/>
        </w:rPr>
        <w:t>8.2.13 项目服务工期内，以生产装置现场实际情况为指导，不仅要求按时按进度完成本职检修工作，同时应服从招标方协调指挥要求，主动配合完成现场其他施工作业工作。</w:t>
      </w:r>
    </w:p>
    <w:p w14:paraId="335AEF7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Times New Roman"/>
          <w:sz w:val="24"/>
          <w:szCs w:val="24"/>
          <w:lang w:val="en-US" w:eastAsia="zh-CN"/>
        </w:rPr>
      </w:pPr>
      <w:r>
        <w:rPr>
          <w:rFonts w:hint="eastAsia" w:ascii="宋体" w:hAnsi="宋体" w:cs="Times New Roman"/>
          <w:sz w:val="24"/>
          <w:szCs w:val="24"/>
          <w:lang w:val="en-US" w:eastAsia="zh-CN"/>
        </w:rPr>
        <w:t>8.2.14 投标方做好设备主体部分进行解体检查和调整工作，必要时对达到规定磨损限度的零件加以更换。此外，还要对主要零部件的磨损情况进行测量、鉴定和记录。</w:t>
      </w:r>
    </w:p>
    <w:p w14:paraId="69468B8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Times New Roman"/>
          <w:sz w:val="24"/>
          <w:szCs w:val="24"/>
          <w:lang w:val="en-US" w:eastAsia="zh-CN"/>
        </w:rPr>
      </w:pPr>
      <w:r>
        <w:rPr>
          <w:rFonts w:hint="eastAsia" w:ascii="宋体" w:hAnsi="宋体" w:cs="Times New Roman"/>
          <w:sz w:val="24"/>
          <w:szCs w:val="24"/>
          <w:lang w:val="en-US" w:eastAsia="zh-CN"/>
        </w:rPr>
        <w:t>8.2.15 投标方检修所做的各项检修技术记录、检查试验（校验）报告、安装调试文件、设计说明、测绘图纸及相关计算书等必须齐全准确、符合招标方归档要求，并及时提供给招标方。</w:t>
      </w:r>
    </w:p>
    <w:p w14:paraId="012BEBD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Times New Roman"/>
          <w:sz w:val="24"/>
          <w:szCs w:val="24"/>
          <w:lang w:val="en-US" w:eastAsia="zh-CN"/>
        </w:rPr>
      </w:pPr>
      <w:r>
        <w:rPr>
          <w:rFonts w:hint="eastAsia" w:ascii="宋体" w:hAnsi="宋体" w:cs="Times New Roman"/>
          <w:sz w:val="24"/>
          <w:szCs w:val="24"/>
          <w:lang w:val="en-US" w:eastAsia="zh-CN"/>
        </w:rPr>
        <w:t>8.2.16 招标方对投标方项目部的日常考核，投标方接到招标方的通报后，投标方应在一个月内将考核执行情况反馈给招标方。</w:t>
      </w:r>
    </w:p>
    <w:p w14:paraId="2CA019D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Times New Roman"/>
          <w:sz w:val="24"/>
          <w:szCs w:val="24"/>
          <w:lang w:val="en-US" w:eastAsia="zh-CN"/>
        </w:rPr>
      </w:pPr>
      <w:r>
        <w:rPr>
          <w:rFonts w:hint="eastAsia" w:ascii="宋体" w:hAnsi="宋体" w:cs="Times New Roman"/>
          <w:sz w:val="24"/>
          <w:szCs w:val="24"/>
          <w:lang w:val="en-US" w:eastAsia="zh-CN"/>
        </w:rPr>
        <w:t>8.2.17 投标方所有人员薪金结算必须由第三方（银行）支付到员工。</w:t>
      </w:r>
    </w:p>
    <w:p w14:paraId="049504C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Times New Roman"/>
          <w:sz w:val="24"/>
          <w:szCs w:val="24"/>
          <w:lang w:val="en-US" w:eastAsia="zh-CN"/>
        </w:rPr>
      </w:pPr>
      <w:r>
        <w:rPr>
          <w:rFonts w:hint="eastAsia" w:ascii="宋体" w:hAnsi="宋体" w:cs="Times New Roman"/>
          <w:sz w:val="24"/>
          <w:szCs w:val="24"/>
          <w:lang w:val="en-US" w:eastAsia="zh-CN"/>
        </w:rPr>
        <w:t>8.2.18 安全生产费用专款专用，必须用于安全相关费用支出。</w:t>
      </w:r>
    </w:p>
    <w:p w14:paraId="49D009E4">
      <w:pPr>
        <w:pStyle w:val="3"/>
        <w:keepNext/>
        <w:keepLines/>
        <w:pageBreakBefore w:val="0"/>
        <w:widowControl w:val="0"/>
        <w:kinsoku w:val="0"/>
        <w:wordWrap/>
        <w:overflowPunct/>
        <w:topLinePunct w:val="0"/>
        <w:autoSpaceDE/>
        <w:autoSpaceDN/>
        <w:bidi w:val="0"/>
        <w:adjustRightInd w:val="0"/>
        <w:snapToGrid w:val="0"/>
        <w:ind w:firstLine="562" w:firstLineChars="200"/>
        <w:jc w:val="left"/>
        <w:textAlignment w:val="auto"/>
        <w:rPr>
          <w:rFonts w:hint="default"/>
          <w:sz w:val="28"/>
          <w:szCs w:val="13"/>
          <w:lang w:val="en-US" w:eastAsia="zh-CN"/>
        </w:rPr>
      </w:pPr>
      <w:bookmarkStart w:id="23" w:name="_Toc30811"/>
      <w:r>
        <w:rPr>
          <w:rFonts w:hint="eastAsia"/>
          <w:sz w:val="28"/>
          <w:szCs w:val="13"/>
          <w:lang w:val="en-US" w:eastAsia="zh-CN"/>
        </w:rPr>
        <w:t xml:space="preserve">9 </w:t>
      </w:r>
      <w:r>
        <w:rPr>
          <w:rFonts w:hint="eastAsia"/>
          <w:sz w:val="28"/>
          <w:szCs w:val="13"/>
        </w:rPr>
        <w:t>安健环及文明施工、危险源（环境因素）控制要求</w:t>
      </w:r>
      <w:bookmarkEnd w:id="23"/>
    </w:p>
    <w:p w14:paraId="76B6FF1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Times New Roman"/>
          <w:sz w:val="24"/>
          <w:szCs w:val="24"/>
          <w:lang w:val="en-US" w:eastAsia="zh-CN"/>
        </w:rPr>
      </w:pPr>
      <w:r>
        <w:rPr>
          <w:rFonts w:hint="eastAsia" w:ascii="宋体" w:hAnsi="宋体" w:cs="Times New Roman"/>
          <w:sz w:val="24"/>
          <w:szCs w:val="24"/>
          <w:lang w:val="en-US" w:eastAsia="zh-CN"/>
        </w:rPr>
        <w:t>9.1 贯彻“谁施工、谁负责安全”的管理原则。</w:t>
      </w:r>
    </w:p>
    <w:p w14:paraId="16C6B77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sz w:val="24"/>
          <w:szCs w:val="24"/>
        </w:rPr>
      </w:pPr>
      <w:r>
        <w:rPr>
          <w:rFonts w:hint="eastAsia" w:ascii="宋体" w:hAnsi="宋体" w:cs="Times New Roman"/>
          <w:sz w:val="24"/>
          <w:szCs w:val="24"/>
          <w:lang w:val="en-US" w:eastAsia="zh-CN"/>
        </w:rPr>
        <w:t xml:space="preserve">9.2 </w:t>
      </w:r>
      <w:r>
        <w:rPr>
          <w:rFonts w:hint="eastAsia" w:ascii="宋体" w:hAnsi="宋体" w:eastAsia="宋体" w:cs="Times New Roman"/>
          <w:sz w:val="24"/>
          <w:szCs w:val="24"/>
        </w:rPr>
        <w:t>所有作业人员必须经过安全培训方可上岗，作业时必须严格按照相关要求穿戴劳保用品；</w:t>
      </w:r>
    </w:p>
    <w:p w14:paraId="1AAFCEB7">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sz w:val="24"/>
          <w:szCs w:val="24"/>
        </w:rPr>
      </w:pPr>
      <w:r>
        <w:rPr>
          <w:rFonts w:hint="eastAsia" w:ascii="宋体" w:hAnsi="宋体" w:cs="Times New Roman"/>
          <w:sz w:val="24"/>
          <w:szCs w:val="24"/>
          <w:lang w:val="en-US" w:eastAsia="zh-CN"/>
        </w:rPr>
        <w:t xml:space="preserve">9.3 </w:t>
      </w:r>
      <w:r>
        <w:rPr>
          <w:rFonts w:hint="eastAsia" w:ascii="宋体" w:hAnsi="宋体" w:eastAsia="宋体" w:cs="Times New Roman"/>
          <w:sz w:val="24"/>
          <w:szCs w:val="24"/>
        </w:rPr>
        <w:t>涉及到高风险作业时，必须由投标人及招标人双方共同监护的情况下方可作业；</w:t>
      </w:r>
    </w:p>
    <w:p w14:paraId="1A6A656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sz w:val="24"/>
          <w:szCs w:val="24"/>
          <w:lang w:eastAsia="zh-CN"/>
        </w:rPr>
      </w:pPr>
      <w:r>
        <w:rPr>
          <w:rFonts w:hint="eastAsia" w:ascii="宋体" w:hAnsi="宋体" w:cs="Times New Roman"/>
          <w:sz w:val="24"/>
          <w:szCs w:val="24"/>
          <w:lang w:val="en-US" w:eastAsia="zh-CN"/>
        </w:rPr>
        <w:t xml:space="preserve">9.4 </w:t>
      </w:r>
      <w:r>
        <w:rPr>
          <w:rFonts w:hint="eastAsia" w:ascii="宋体" w:hAnsi="宋体" w:eastAsia="宋体" w:cs="Times New Roman"/>
          <w:sz w:val="24"/>
          <w:szCs w:val="24"/>
        </w:rPr>
        <w:t>投标方的工作人员必须严格遵守招标方的管理要求，严格按安全规程文明施工，服从招标方生产调度，接受招标方文明生产考核。投标方必须有安全员，制定与本</w:t>
      </w:r>
      <w:r>
        <w:rPr>
          <w:rFonts w:hint="eastAsia" w:ascii="宋体" w:hAnsi="宋体" w:cs="Times New Roman"/>
          <w:sz w:val="24"/>
          <w:szCs w:val="24"/>
          <w:lang w:eastAsia="zh-CN"/>
        </w:rPr>
        <w:t>项目</w:t>
      </w:r>
      <w:r>
        <w:rPr>
          <w:rFonts w:hint="eastAsia" w:ascii="宋体" w:hAnsi="宋体" w:eastAsia="宋体" w:cs="Times New Roman"/>
          <w:sz w:val="24"/>
          <w:szCs w:val="24"/>
        </w:rPr>
        <w:t>有关的安全措施。针对有可能发生火灾、爆炸、触电、高空坠落、中毒、窒息、机械伤害、烧烫伤等危险或引起严重设备事故的施工，投标方应事先向招标方详细了解情况，并制定施工安全技术措施，经招标方确认后实施。针对高空作业、交叉、动火等特殊作业，必须制定并落实针对性的安全防范保护措施，确保人身、设备、施工机械的安全。投标方还应落实好保证消防安全的措施，施工时注意留出安全消防通道，不得妨碍交通</w:t>
      </w:r>
      <w:r>
        <w:rPr>
          <w:rFonts w:hint="eastAsia" w:ascii="宋体" w:hAnsi="宋体" w:cs="Times New Roman"/>
          <w:sz w:val="24"/>
          <w:szCs w:val="24"/>
          <w:lang w:eastAsia="zh-CN"/>
        </w:rPr>
        <w:t>、</w:t>
      </w:r>
      <w:r>
        <w:rPr>
          <w:rFonts w:hint="eastAsia" w:ascii="宋体" w:hAnsi="宋体" w:cs="Times New Roman"/>
          <w:sz w:val="24"/>
          <w:szCs w:val="24"/>
          <w:lang w:val="en-US" w:eastAsia="zh-CN"/>
        </w:rPr>
        <w:t>通行</w:t>
      </w:r>
      <w:r>
        <w:rPr>
          <w:rFonts w:hint="eastAsia" w:ascii="宋体" w:hAnsi="宋体" w:eastAsia="宋体" w:cs="Times New Roman"/>
          <w:sz w:val="24"/>
          <w:szCs w:val="24"/>
        </w:rPr>
        <w:t>。作业人员在作业区域内必须遵守招标方安全管理的有关规定和制度，佩好胸卡，戴好安全帽等个人安全器具，不准进入与作业无关的区域，并随时接受招标方的项目负责人的工作指导和安监人员现场的安全监督。</w:t>
      </w:r>
    </w:p>
    <w:p w14:paraId="3622FFB0">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sz w:val="24"/>
          <w:szCs w:val="24"/>
        </w:rPr>
      </w:pPr>
      <w:r>
        <w:rPr>
          <w:rFonts w:hint="eastAsia" w:ascii="宋体" w:hAnsi="宋体" w:cs="Times New Roman"/>
          <w:sz w:val="24"/>
          <w:szCs w:val="24"/>
          <w:lang w:val="en-US" w:eastAsia="zh-CN"/>
        </w:rPr>
        <w:t xml:space="preserve">9.5 </w:t>
      </w:r>
      <w:r>
        <w:rPr>
          <w:rFonts w:hint="eastAsia" w:ascii="宋体" w:hAnsi="宋体" w:eastAsia="宋体" w:cs="Times New Roman"/>
          <w:sz w:val="24"/>
          <w:szCs w:val="24"/>
        </w:rPr>
        <w:t>投标方</w:t>
      </w:r>
      <w:r>
        <w:rPr>
          <w:rFonts w:hint="eastAsia" w:ascii="宋体" w:hAnsi="宋体" w:cs="Times New Roman"/>
          <w:sz w:val="24"/>
          <w:szCs w:val="24"/>
          <w:lang w:eastAsia="zh-CN"/>
        </w:rPr>
        <w:t>项目负责人</w:t>
      </w:r>
      <w:r>
        <w:rPr>
          <w:rFonts w:hint="eastAsia" w:ascii="宋体" w:hAnsi="宋体" w:eastAsia="宋体" w:cs="Times New Roman"/>
          <w:sz w:val="24"/>
          <w:szCs w:val="24"/>
        </w:rPr>
        <w:t>是本</w:t>
      </w:r>
      <w:r>
        <w:rPr>
          <w:rFonts w:hint="eastAsia" w:ascii="宋体" w:hAnsi="宋体" w:cs="Times New Roman"/>
          <w:sz w:val="24"/>
          <w:szCs w:val="24"/>
          <w:lang w:val="en-US" w:eastAsia="zh-CN"/>
        </w:rPr>
        <w:t>项目</w:t>
      </w:r>
      <w:r>
        <w:rPr>
          <w:rFonts w:hint="eastAsia" w:ascii="宋体" w:hAnsi="宋体" w:eastAsia="宋体" w:cs="Times New Roman"/>
          <w:sz w:val="24"/>
          <w:szCs w:val="24"/>
        </w:rPr>
        <w:t>的安全工作的第一责任人，对本</w:t>
      </w:r>
      <w:r>
        <w:rPr>
          <w:rFonts w:hint="eastAsia" w:ascii="宋体" w:hAnsi="宋体" w:cs="Times New Roman"/>
          <w:sz w:val="24"/>
          <w:szCs w:val="24"/>
          <w:lang w:val="en-US" w:eastAsia="zh-CN"/>
        </w:rPr>
        <w:t>项目</w:t>
      </w:r>
      <w:r>
        <w:rPr>
          <w:rFonts w:hint="eastAsia" w:ascii="宋体" w:hAnsi="宋体" w:eastAsia="宋体" w:cs="Times New Roman"/>
          <w:sz w:val="24"/>
          <w:szCs w:val="24"/>
        </w:rPr>
        <w:t>工作期间所有施工项目的实施过程中涉及的安全负责，以及施工现场、施工过程中的安全负责。投标方参加施工的特种作业人员和特种设备作业人员必须具备政府主管部门（车间）颁发的有效证书或证明，提交招标方审核、备案。</w:t>
      </w:r>
    </w:p>
    <w:p w14:paraId="050A708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Times New Roman"/>
          <w:sz w:val="24"/>
          <w:szCs w:val="24"/>
          <w:lang w:val="en-US" w:eastAsia="zh-CN"/>
        </w:rPr>
      </w:pPr>
      <w:r>
        <w:rPr>
          <w:rFonts w:hint="eastAsia" w:ascii="宋体" w:hAnsi="宋体" w:cs="Times New Roman"/>
          <w:sz w:val="24"/>
          <w:szCs w:val="24"/>
          <w:lang w:val="en-US" w:eastAsia="zh-CN"/>
        </w:rPr>
        <w:t>9.6 投标方负责对本单位施工人员进行安全生产教育和安全考试，考试合格后方可参与项目相关工作。安全教育培训应形成书面记录，并由本人签名确认。未经安全生产教育以及培训考核不合格的工作人员，不得上岗作业。受教育人员的名单和考试成绩必须报招标方安全环保部备案，凡增补或调换人员，更换工种，必须及时进行安全教育和考试，考试成绩报招标方安全环保部备案。未接受安全教育和安全考试不合格者不得进入现场施工。</w:t>
      </w:r>
    </w:p>
    <w:p w14:paraId="262FAF7F">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Times New Roman"/>
          <w:sz w:val="24"/>
          <w:szCs w:val="24"/>
          <w:lang w:val="en-US" w:eastAsia="zh-CN"/>
        </w:rPr>
      </w:pPr>
      <w:r>
        <w:rPr>
          <w:rFonts w:hint="eastAsia" w:ascii="宋体" w:hAnsi="宋体" w:cs="Times New Roman"/>
          <w:sz w:val="24"/>
          <w:szCs w:val="24"/>
          <w:lang w:val="en-US" w:eastAsia="zh-CN"/>
        </w:rPr>
        <w:t>9.7 投标方应接受招标方的监督、检查和指导。对于招标方查出的隐患及问题，投标方必须限期整改。当招标方认为确实有必要暂停施工，并提出要求投标方暂停施工意见后，投标方应当按招标方要求停止施工。投标方实施处理意见后，以书面形式向招标方提出复工要求。在招标方组织验收并签字同意后，投标方重新施工。对招标方违反安全生产规定、制度的要求，投标方有权拒绝执行，有权要求招标方改进。</w:t>
      </w:r>
    </w:p>
    <w:p w14:paraId="0C89ED67">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default" w:ascii="宋体" w:hAnsi="宋体" w:cs="Times New Roman"/>
          <w:sz w:val="24"/>
          <w:szCs w:val="24"/>
          <w:lang w:val="en-US" w:eastAsia="zh-CN"/>
        </w:rPr>
      </w:pPr>
      <w:r>
        <w:rPr>
          <w:rFonts w:hint="eastAsia" w:ascii="宋体" w:hAnsi="宋体" w:cs="Times New Roman"/>
          <w:sz w:val="24"/>
          <w:szCs w:val="24"/>
          <w:lang w:val="en-US" w:eastAsia="zh-CN"/>
        </w:rPr>
        <w:t>9.8 各种安全防护设施如：遮栏、安全标志牌、警告牌、接地线、脚手架结构等不得擅自拆除、变更。如确实需要拆除、变更的，必须经招标方项目主管部门负责人和上述安全设施、标志设置单位（人员）同意，采取必要、可靠的安全措施后，方能拆除、变更现场安全防护设施。投标方因施工需要设置的安全防护设施、安全标志牌，其他人员不得擅自拆除，投方在项目完成后应及时拆除，不得无故延误。</w:t>
      </w:r>
    </w:p>
    <w:p w14:paraId="72A58A3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sz w:val="24"/>
          <w:szCs w:val="24"/>
        </w:rPr>
      </w:pPr>
      <w:r>
        <w:rPr>
          <w:rFonts w:hint="eastAsia" w:ascii="宋体" w:hAnsi="宋体" w:cs="Times New Roman"/>
          <w:sz w:val="24"/>
          <w:szCs w:val="24"/>
          <w:lang w:val="en-US" w:eastAsia="zh-CN"/>
        </w:rPr>
        <w:t xml:space="preserve">9.9 </w:t>
      </w:r>
      <w:r>
        <w:rPr>
          <w:rFonts w:hint="eastAsia" w:ascii="宋体" w:hAnsi="宋体" w:eastAsia="宋体" w:cs="Times New Roman"/>
          <w:sz w:val="24"/>
          <w:szCs w:val="24"/>
        </w:rPr>
        <w:t>招标人已经将水、电源提供到检修区就近的地方，投标人必须按照国家有关规范、安全的要求自行连接到使用地点，并负责水、电线路及装置日常维护和管理。</w:t>
      </w:r>
    </w:p>
    <w:p w14:paraId="21AD9457">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sz w:val="24"/>
          <w:szCs w:val="24"/>
        </w:rPr>
      </w:pPr>
      <w:r>
        <w:rPr>
          <w:rFonts w:hint="eastAsia" w:ascii="宋体" w:hAnsi="宋体" w:cs="Times New Roman"/>
          <w:sz w:val="24"/>
          <w:szCs w:val="24"/>
          <w:lang w:val="en-US" w:eastAsia="zh-CN"/>
        </w:rPr>
        <w:t xml:space="preserve">9.10 </w:t>
      </w:r>
      <w:r>
        <w:rPr>
          <w:rFonts w:hint="eastAsia" w:ascii="宋体" w:hAnsi="宋体" w:eastAsia="宋体" w:cs="Times New Roman"/>
          <w:sz w:val="24"/>
          <w:szCs w:val="24"/>
        </w:rPr>
        <w:t>投标人必须按国家颁布的安全规范及要求进行施工。</w:t>
      </w:r>
    </w:p>
    <w:p w14:paraId="02047318">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sz w:val="24"/>
          <w:szCs w:val="24"/>
        </w:rPr>
      </w:pPr>
      <w:r>
        <w:rPr>
          <w:rFonts w:hint="eastAsia" w:ascii="宋体" w:hAnsi="宋体" w:cs="Times New Roman"/>
          <w:sz w:val="24"/>
          <w:szCs w:val="24"/>
          <w:lang w:val="en-US" w:eastAsia="zh-CN"/>
        </w:rPr>
        <w:t xml:space="preserve">9.11 </w:t>
      </w:r>
      <w:r>
        <w:rPr>
          <w:rFonts w:hint="eastAsia" w:ascii="宋体" w:hAnsi="宋体" w:eastAsia="宋体" w:cs="Times New Roman"/>
          <w:sz w:val="24"/>
          <w:szCs w:val="24"/>
        </w:rPr>
        <w:t>投标人在规定的施工场地内施工，不得随意占用厂内的主干道。施工的临时设施，各类加工场地及堆棚、用电、用水，要符合安全要求，要有管理制度。各类施工机具堆放整齐，要设有安全及文明安装的标牌。</w:t>
      </w:r>
    </w:p>
    <w:p w14:paraId="76E6201F">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sz w:val="24"/>
          <w:szCs w:val="24"/>
        </w:rPr>
      </w:pPr>
      <w:r>
        <w:rPr>
          <w:rFonts w:hint="eastAsia" w:ascii="宋体" w:hAnsi="宋体" w:cs="Times New Roman"/>
          <w:sz w:val="24"/>
          <w:szCs w:val="24"/>
          <w:lang w:val="en-US" w:eastAsia="zh-CN"/>
        </w:rPr>
        <w:t xml:space="preserve">9.12 </w:t>
      </w:r>
      <w:r>
        <w:rPr>
          <w:rFonts w:hint="eastAsia" w:ascii="宋体" w:hAnsi="宋体" w:eastAsia="宋体" w:cs="Times New Roman"/>
          <w:sz w:val="24"/>
          <w:szCs w:val="24"/>
        </w:rPr>
        <w:t>保证安装现场清洁整齐，材料分类堆码整齐，施工剩余物资、边角余料、垃圾等均由投标人收集并运到招标人指定地点，并不得增加任何费用。</w:t>
      </w:r>
    </w:p>
    <w:p w14:paraId="6F39FDBC">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sz w:val="24"/>
          <w:szCs w:val="24"/>
        </w:rPr>
      </w:pPr>
      <w:r>
        <w:rPr>
          <w:rFonts w:hint="eastAsia" w:ascii="宋体" w:hAnsi="宋体" w:cs="Times New Roman"/>
          <w:sz w:val="24"/>
          <w:szCs w:val="24"/>
          <w:lang w:val="en-US" w:eastAsia="zh-CN"/>
        </w:rPr>
        <w:t xml:space="preserve">9.13 </w:t>
      </w:r>
      <w:r>
        <w:rPr>
          <w:rFonts w:hint="eastAsia" w:ascii="宋体" w:hAnsi="宋体" w:eastAsia="宋体" w:cs="Times New Roman"/>
          <w:sz w:val="24"/>
          <w:szCs w:val="24"/>
        </w:rPr>
        <w:t>投标人负责施工区域的安全、保卫工作及施工照明，采取有效措施确保施工安全，杜绝重大人身伤亡及设备事故。如因投标人安全措施不到位而发生责任事故，全部损失由投标人承担。</w:t>
      </w:r>
    </w:p>
    <w:p w14:paraId="7551C5B5">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sz w:val="24"/>
          <w:szCs w:val="24"/>
        </w:rPr>
      </w:pPr>
      <w:r>
        <w:rPr>
          <w:rFonts w:hint="eastAsia" w:ascii="宋体" w:hAnsi="宋体" w:cs="Times New Roman"/>
          <w:sz w:val="24"/>
          <w:szCs w:val="24"/>
          <w:lang w:val="en-US" w:eastAsia="zh-CN"/>
        </w:rPr>
        <w:t xml:space="preserve">9.14 </w:t>
      </w:r>
      <w:r>
        <w:rPr>
          <w:rFonts w:hint="eastAsia" w:ascii="宋体" w:hAnsi="宋体" w:eastAsia="宋体" w:cs="Times New Roman"/>
          <w:sz w:val="24"/>
          <w:szCs w:val="24"/>
        </w:rPr>
        <w:t>投标人必须具备安装所需的各类规范、国家标准，各类有关的技术标准等技术资料，招标人认为有必要时，必须无条件提供。</w:t>
      </w:r>
    </w:p>
    <w:p w14:paraId="16A19D56">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sz w:val="24"/>
          <w:szCs w:val="24"/>
        </w:rPr>
      </w:pPr>
      <w:r>
        <w:rPr>
          <w:rFonts w:hint="eastAsia" w:ascii="宋体" w:hAnsi="宋体" w:cs="Times New Roman"/>
          <w:sz w:val="24"/>
          <w:szCs w:val="24"/>
          <w:lang w:val="en-US" w:eastAsia="zh-CN"/>
        </w:rPr>
        <w:t xml:space="preserve">9.15 </w:t>
      </w:r>
      <w:r>
        <w:rPr>
          <w:rFonts w:hint="eastAsia" w:ascii="宋体" w:hAnsi="宋体" w:eastAsia="宋体" w:cs="Times New Roman"/>
          <w:sz w:val="24"/>
          <w:szCs w:val="24"/>
        </w:rPr>
        <w:t>投标人必须在合同意向确认后，立即组织有关施工人员进驻现场，向招标人提供开工报告、组织施工方案、安全承诺书、质量保证措施，及各项施工准备（机具和人员）。</w:t>
      </w:r>
    </w:p>
    <w:p w14:paraId="66DB560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rPr>
      </w:pPr>
      <w:r>
        <w:rPr>
          <w:rFonts w:hint="eastAsia" w:ascii="宋体" w:hAnsi="宋体" w:cs="宋体"/>
          <w:sz w:val="24"/>
          <w:szCs w:val="24"/>
          <w:lang w:val="en-US" w:eastAsia="zh-CN"/>
        </w:rPr>
        <w:t>9.16 项目</w:t>
      </w:r>
      <w:r>
        <w:rPr>
          <w:rFonts w:hint="eastAsia" w:ascii="宋体" w:hAnsi="宋体" w:eastAsia="宋体" w:cs="宋体"/>
          <w:sz w:val="24"/>
          <w:szCs w:val="24"/>
        </w:rPr>
        <w:t>开工后，投标人要与招标人单位密切配合，为施工创造条件；施工交叉作业时，要服从招标人的统一协调安排。</w:t>
      </w:r>
    </w:p>
    <w:p w14:paraId="5844F62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rPr>
      </w:pPr>
      <w:r>
        <w:rPr>
          <w:rFonts w:hint="eastAsia" w:ascii="宋体" w:hAnsi="宋体" w:cs="宋体"/>
          <w:sz w:val="24"/>
          <w:szCs w:val="24"/>
          <w:lang w:val="en-US" w:eastAsia="zh-CN"/>
        </w:rPr>
        <w:t xml:space="preserve">9.17 </w:t>
      </w:r>
      <w:r>
        <w:rPr>
          <w:rFonts w:hint="eastAsia" w:ascii="宋体" w:hAnsi="宋体" w:eastAsia="宋体" w:cs="宋体"/>
          <w:sz w:val="24"/>
          <w:szCs w:val="24"/>
        </w:rPr>
        <w:t>全体施工工作人员必须严格遵守施工</w:t>
      </w:r>
      <w:r>
        <w:rPr>
          <w:rFonts w:hint="eastAsia" w:ascii="宋体" w:hAnsi="宋体" w:cs="宋体"/>
          <w:sz w:val="24"/>
          <w:szCs w:val="24"/>
          <w:lang w:eastAsia="zh-CN"/>
        </w:rPr>
        <w:t>项目</w:t>
      </w:r>
      <w:r>
        <w:rPr>
          <w:rFonts w:hint="eastAsia" w:ascii="宋体" w:hAnsi="宋体" w:eastAsia="宋体" w:cs="宋体"/>
          <w:sz w:val="24"/>
          <w:szCs w:val="24"/>
        </w:rPr>
        <w:t>所在地的有关规定，由于违反规定而发生的一切后果由投标人自负。</w:t>
      </w:r>
    </w:p>
    <w:p w14:paraId="3D2A7E0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rPr>
      </w:pPr>
      <w:r>
        <w:rPr>
          <w:rFonts w:hint="eastAsia" w:ascii="宋体" w:hAnsi="宋体" w:cs="宋体"/>
          <w:sz w:val="24"/>
          <w:szCs w:val="24"/>
          <w:lang w:val="en-US" w:eastAsia="zh-CN"/>
        </w:rPr>
        <w:t xml:space="preserve">9.18 </w:t>
      </w:r>
      <w:r>
        <w:rPr>
          <w:rFonts w:hint="eastAsia" w:ascii="宋体" w:hAnsi="宋体" w:eastAsia="宋体" w:cs="宋体"/>
          <w:sz w:val="24"/>
          <w:szCs w:val="24"/>
        </w:rPr>
        <w:t>投标人在容器内施工应符合安全规范，并做好上下交叉作业的安全措施。</w:t>
      </w:r>
    </w:p>
    <w:p w14:paraId="098F861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lang w:val="zh-CN"/>
        </w:rPr>
      </w:pPr>
      <w:bookmarkStart w:id="24" w:name="_Toc80271054"/>
      <w:r>
        <w:rPr>
          <w:rFonts w:hint="eastAsia" w:ascii="宋体" w:hAnsi="宋体" w:cs="宋体"/>
          <w:sz w:val="24"/>
          <w:szCs w:val="24"/>
          <w:lang w:val="en-US" w:eastAsia="zh-CN"/>
        </w:rPr>
        <w:t>9</w:t>
      </w:r>
      <w:r>
        <w:rPr>
          <w:rFonts w:hint="eastAsia" w:ascii="宋体" w:hAnsi="宋体" w:eastAsia="宋体" w:cs="宋体"/>
          <w:sz w:val="24"/>
          <w:szCs w:val="24"/>
          <w:lang w:val="en-US" w:eastAsia="zh-CN"/>
        </w:rPr>
        <w:t xml:space="preserve">.19 </w:t>
      </w:r>
      <w:r>
        <w:rPr>
          <w:rFonts w:hint="eastAsia" w:ascii="宋体" w:hAnsi="宋体" w:eastAsia="宋体" w:cs="宋体"/>
          <w:sz w:val="24"/>
          <w:szCs w:val="24"/>
          <w:lang w:val="zh-CN"/>
        </w:rPr>
        <w:t>由于招标方原因造成投标方人身或设备事故，投标方负责处理，招标方承担责任并配合处理。</w:t>
      </w:r>
    </w:p>
    <w:p w14:paraId="3AC88DA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lang w:val="zh-CN" w:eastAsia="zh-CN"/>
        </w:rPr>
      </w:pPr>
      <w:r>
        <w:rPr>
          <w:rFonts w:hint="eastAsia" w:ascii="宋体" w:hAnsi="宋体" w:cs="宋体"/>
          <w:sz w:val="24"/>
          <w:szCs w:val="24"/>
          <w:lang w:val="en-US" w:eastAsia="zh-CN"/>
        </w:rPr>
        <w:t>9</w:t>
      </w:r>
      <w:r>
        <w:rPr>
          <w:rFonts w:hint="eastAsia" w:ascii="宋体" w:hAnsi="宋体" w:eastAsia="宋体" w:cs="宋体"/>
          <w:sz w:val="24"/>
          <w:szCs w:val="24"/>
          <w:lang w:val="en-US" w:eastAsia="zh-CN"/>
        </w:rPr>
        <w:t>.20</w:t>
      </w:r>
      <w:r>
        <w:rPr>
          <w:rFonts w:hint="eastAsia" w:ascii="宋体" w:hAnsi="宋体" w:eastAsia="宋体" w:cs="宋体"/>
          <w:sz w:val="24"/>
          <w:szCs w:val="24"/>
        </w:rPr>
        <w:t xml:space="preserve"> </w:t>
      </w:r>
      <w:r>
        <w:rPr>
          <w:rFonts w:hint="eastAsia" w:ascii="宋体" w:hAnsi="宋体" w:eastAsia="宋体" w:cs="宋体"/>
          <w:sz w:val="24"/>
          <w:szCs w:val="24"/>
          <w:lang w:val="zh-CN"/>
        </w:rPr>
        <w:t>在检修过程中出现的被更换下来的任何废旧设备、配件和装置性材料均为招标方所有，应妥善保护并及时向招标方移交被更换下来的设备或材料。应每天对施工现场的废物、垃圾进行</w:t>
      </w:r>
      <w:r>
        <w:rPr>
          <w:rFonts w:hint="eastAsia" w:ascii="宋体" w:hAnsi="宋体" w:eastAsia="宋体" w:cs="宋体"/>
          <w:sz w:val="24"/>
          <w:szCs w:val="24"/>
          <w:lang w:val="zh-CN" w:eastAsia="zh-CN"/>
        </w:rPr>
        <w:t>一次清理，并将其集中堆放在招标方同意的地点。</w:t>
      </w:r>
    </w:p>
    <w:p w14:paraId="5CF8136C">
      <w:pPr>
        <w:pStyle w:val="3"/>
        <w:keepNext w:val="0"/>
        <w:keepLines w:val="0"/>
        <w:pageBreakBefore w:val="0"/>
        <w:widowControl w:val="0"/>
        <w:kinsoku w:val="0"/>
        <w:wordWrap/>
        <w:overflowPunct/>
        <w:topLinePunct w:val="0"/>
        <w:autoSpaceDE/>
        <w:autoSpaceDN/>
        <w:bidi w:val="0"/>
        <w:adjustRightInd w:val="0"/>
        <w:snapToGrid w:val="0"/>
        <w:ind w:firstLine="562" w:firstLineChars="200"/>
        <w:jc w:val="left"/>
        <w:textAlignment w:val="auto"/>
        <w:rPr>
          <w:rFonts w:hint="eastAsia"/>
          <w:sz w:val="28"/>
          <w:szCs w:val="13"/>
          <w:lang w:val="en-US" w:eastAsia="zh-CN"/>
        </w:rPr>
      </w:pPr>
      <w:bookmarkStart w:id="25" w:name="_Toc12958"/>
      <w:r>
        <w:rPr>
          <w:rFonts w:hint="eastAsia"/>
          <w:sz w:val="28"/>
          <w:szCs w:val="13"/>
          <w:lang w:val="en-US" w:eastAsia="zh-CN"/>
        </w:rPr>
        <w:t>10 考核</w:t>
      </w:r>
      <w:bookmarkEnd w:id="25"/>
    </w:p>
    <w:p w14:paraId="1689F9A1">
      <w:pPr>
        <w:keepNext w:val="0"/>
        <w:keepLines w:val="0"/>
        <w:pageBreakBefore w:val="0"/>
        <w:widowControl w:val="0"/>
        <w:kinsoku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10.1 范 围</w:t>
      </w:r>
    </w:p>
    <w:p w14:paraId="239367C9">
      <w:pPr>
        <w:keepNext w:val="0"/>
        <w:keepLines w:val="0"/>
        <w:pageBreakBefore w:val="0"/>
        <w:widowControl w:val="0"/>
        <w:kinsoku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本办法规定了对项目的管理考核、维修质量与可靠性、进度、文明生产等考核及奖励办法详见附件13：《考核标准及奖励标准（检修类）》。</w:t>
      </w:r>
    </w:p>
    <w:p w14:paraId="2EC0ECAC">
      <w:pPr>
        <w:pStyle w:val="3"/>
        <w:keepNext/>
        <w:keepLines/>
        <w:pageBreakBefore w:val="0"/>
        <w:widowControl w:val="0"/>
        <w:kinsoku w:val="0"/>
        <w:wordWrap/>
        <w:overflowPunct/>
        <w:topLinePunct w:val="0"/>
        <w:autoSpaceDE/>
        <w:autoSpaceDN/>
        <w:bidi w:val="0"/>
        <w:adjustRightInd w:val="0"/>
        <w:snapToGrid w:val="0"/>
        <w:ind w:firstLine="562" w:firstLineChars="200"/>
        <w:jc w:val="left"/>
        <w:textAlignment w:val="auto"/>
        <w:rPr>
          <w:rFonts w:hint="eastAsia"/>
          <w:sz w:val="28"/>
          <w:szCs w:val="13"/>
          <w:lang w:val="en-US" w:eastAsia="zh-CN"/>
        </w:rPr>
      </w:pPr>
      <w:bookmarkStart w:id="26" w:name="_Toc11567"/>
      <w:r>
        <w:rPr>
          <w:rFonts w:hint="eastAsia"/>
          <w:sz w:val="28"/>
          <w:szCs w:val="13"/>
          <w:lang w:val="en-US" w:eastAsia="zh-CN"/>
        </w:rPr>
        <w:t>11 附则</w:t>
      </w:r>
      <w:bookmarkEnd w:id="26"/>
    </w:p>
    <w:p w14:paraId="4B18A85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11.1 本办法是合同协议书的附件，作为合同的构成部分。附件中的维护质量与可靠性、维护作业安全考核项目中的相关工作，虽经（或未经）招标方管理人员的验收，均不能免除投标方的相关责任。</w:t>
      </w:r>
    </w:p>
    <w:p w14:paraId="6B88389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11.2 投标方应在投标之前就本办法的内容进行研究并考虑相关风险，在招标澄清时提请解释或提出相关的协商意见。一旦投标，将被认为已熟悉了本办法并双方同意，在执行时有关条款的度量权为招标方。</w:t>
      </w:r>
    </w:p>
    <w:p w14:paraId="12AC49D2">
      <w:pPr>
        <w:pStyle w:val="3"/>
        <w:keepNext/>
        <w:keepLines/>
        <w:pageBreakBefore w:val="0"/>
        <w:widowControl w:val="0"/>
        <w:kinsoku w:val="0"/>
        <w:wordWrap/>
        <w:overflowPunct/>
        <w:topLinePunct w:val="0"/>
        <w:autoSpaceDE/>
        <w:autoSpaceDN/>
        <w:bidi w:val="0"/>
        <w:adjustRightInd w:val="0"/>
        <w:snapToGrid w:val="0"/>
        <w:ind w:firstLine="562" w:firstLineChars="200"/>
        <w:jc w:val="left"/>
        <w:textAlignment w:val="auto"/>
        <w:rPr>
          <w:rFonts w:hint="eastAsia"/>
          <w:sz w:val="28"/>
          <w:szCs w:val="13"/>
          <w:lang w:val="en-US" w:eastAsia="zh-CN"/>
        </w:rPr>
      </w:pPr>
      <w:bookmarkStart w:id="27" w:name="_Toc1890"/>
      <w:r>
        <w:rPr>
          <w:rFonts w:hint="eastAsia"/>
          <w:sz w:val="28"/>
          <w:szCs w:val="13"/>
          <w:lang w:val="en-US" w:eastAsia="zh-CN"/>
        </w:rPr>
        <w:t>12 附录附表</w:t>
      </w:r>
      <w:bookmarkEnd w:id="27"/>
    </w:p>
    <w:p w14:paraId="6F90669F">
      <w:pPr>
        <w:snapToGrid w:val="0"/>
        <w:spacing w:line="360" w:lineRule="auto"/>
        <w:jc w:val="left"/>
        <w:rPr>
          <w:rStyle w:val="87"/>
          <w:rFonts w:hint="eastAsia" w:ascii="宋体" w:hAnsi="宋体" w:eastAsia="宋体" w:cs="宋体"/>
          <w:bCs/>
        </w:rPr>
      </w:pPr>
      <w:r>
        <w:rPr>
          <w:rStyle w:val="87"/>
          <w:rFonts w:hint="eastAsia" w:ascii="宋体" w:hAnsi="宋体" w:eastAsia="宋体" w:cs="宋体"/>
          <w:bCs/>
        </w:rPr>
        <w:t>附录A  差异表</w:t>
      </w:r>
    </w:p>
    <w:p w14:paraId="499FDB25">
      <w:pPr>
        <w:snapToGrid w:val="0"/>
        <w:spacing w:line="360" w:lineRule="auto"/>
        <w:jc w:val="left"/>
        <w:rPr>
          <w:rStyle w:val="87"/>
          <w:rFonts w:hint="eastAsia" w:ascii="宋体" w:hAnsi="宋体" w:eastAsia="宋体" w:cs="宋体"/>
          <w:bCs/>
        </w:rPr>
      </w:pPr>
      <w:r>
        <w:rPr>
          <w:rStyle w:val="87"/>
          <w:rFonts w:hint="eastAsia" w:ascii="宋体" w:hAnsi="宋体" w:eastAsia="宋体" w:cs="宋体"/>
          <w:bCs/>
        </w:rPr>
        <w:t>附录B  主要技术、管理人员情况表</w:t>
      </w:r>
    </w:p>
    <w:p w14:paraId="39E8C662">
      <w:pPr>
        <w:snapToGrid w:val="0"/>
        <w:spacing w:line="360" w:lineRule="auto"/>
        <w:jc w:val="left"/>
        <w:rPr>
          <w:rStyle w:val="87"/>
          <w:rFonts w:hint="eastAsia" w:ascii="宋体" w:hAnsi="宋体" w:eastAsia="宋体" w:cs="宋体"/>
          <w:bCs/>
        </w:rPr>
      </w:pPr>
      <w:r>
        <w:rPr>
          <w:rStyle w:val="87"/>
          <w:rFonts w:hint="eastAsia" w:ascii="宋体" w:hAnsi="宋体" w:eastAsia="宋体" w:cs="宋体"/>
          <w:bCs/>
        </w:rPr>
        <w:t>附表</w:t>
      </w:r>
      <w:r>
        <w:rPr>
          <w:rStyle w:val="87"/>
          <w:rFonts w:hint="eastAsia" w:ascii="宋体" w:hAnsi="宋体" w:eastAsia="宋体" w:cs="宋体"/>
          <w:bCs/>
          <w:lang w:val="en-US" w:eastAsia="zh-CN"/>
        </w:rPr>
        <w:t>1</w:t>
      </w:r>
      <w:r>
        <w:rPr>
          <w:rStyle w:val="87"/>
          <w:rFonts w:hint="eastAsia" w:ascii="宋体" w:hAnsi="宋体" w:eastAsia="宋体" w:cs="宋体"/>
          <w:bCs/>
        </w:rPr>
        <w:t xml:space="preserve">  清理除锈记录</w:t>
      </w:r>
    </w:p>
    <w:p w14:paraId="4645A545">
      <w:pPr>
        <w:pStyle w:val="101"/>
        <w:snapToGrid w:val="0"/>
        <w:spacing w:before="0" w:after="0" w:line="360" w:lineRule="auto"/>
        <w:jc w:val="left"/>
        <w:rPr>
          <w:rStyle w:val="87"/>
          <w:rFonts w:hint="eastAsia" w:ascii="宋体" w:hAnsi="宋体" w:eastAsia="宋体" w:cs="宋体"/>
          <w:b w:val="0"/>
          <w:bCs/>
          <w:sz w:val="24"/>
        </w:rPr>
      </w:pPr>
      <w:r>
        <w:rPr>
          <w:rStyle w:val="87"/>
          <w:rFonts w:hint="eastAsia" w:ascii="宋体" w:hAnsi="宋体" w:eastAsia="宋体" w:cs="宋体"/>
          <w:b w:val="0"/>
          <w:bCs/>
          <w:sz w:val="24"/>
        </w:rPr>
        <w:t>附表</w:t>
      </w:r>
      <w:r>
        <w:rPr>
          <w:rStyle w:val="87"/>
          <w:rFonts w:hint="eastAsia" w:ascii="宋体" w:hAnsi="宋体" w:eastAsia="宋体" w:cs="宋体"/>
          <w:b w:val="0"/>
          <w:bCs/>
          <w:sz w:val="24"/>
          <w:lang w:val="en-US" w:eastAsia="zh-CN"/>
        </w:rPr>
        <w:t xml:space="preserve">2 </w:t>
      </w:r>
      <w:r>
        <w:rPr>
          <w:rStyle w:val="87"/>
          <w:rFonts w:hint="eastAsia" w:ascii="宋体" w:hAnsi="宋体" w:eastAsia="宋体" w:cs="宋体"/>
          <w:b w:val="0"/>
          <w:bCs/>
          <w:sz w:val="24"/>
        </w:rPr>
        <w:t xml:space="preserve"> 焊条发放及回收记录</w:t>
      </w:r>
    </w:p>
    <w:p w14:paraId="542A6F62">
      <w:pPr>
        <w:pStyle w:val="101"/>
        <w:snapToGrid w:val="0"/>
        <w:spacing w:before="0" w:after="0" w:line="360" w:lineRule="auto"/>
        <w:jc w:val="left"/>
        <w:rPr>
          <w:rStyle w:val="87"/>
          <w:rFonts w:hint="eastAsia" w:ascii="宋体" w:hAnsi="宋体" w:eastAsia="宋体" w:cs="宋体"/>
          <w:b w:val="0"/>
          <w:bCs/>
          <w:sz w:val="24"/>
        </w:rPr>
      </w:pPr>
      <w:r>
        <w:rPr>
          <w:rStyle w:val="87"/>
          <w:rFonts w:hint="eastAsia" w:ascii="宋体" w:hAnsi="宋体" w:eastAsia="宋体" w:cs="宋体"/>
          <w:b w:val="0"/>
          <w:bCs/>
          <w:sz w:val="24"/>
        </w:rPr>
        <w:t>附表</w:t>
      </w:r>
      <w:r>
        <w:rPr>
          <w:rStyle w:val="87"/>
          <w:rFonts w:hint="eastAsia" w:ascii="宋体" w:hAnsi="宋体" w:eastAsia="宋体" w:cs="宋体"/>
          <w:b w:val="0"/>
          <w:bCs/>
          <w:sz w:val="24"/>
          <w:lang w:val="en-US" w:eastAsia="zh-CN"/>
        </w:rPr>
        <w:t xml:space="preserve">3 </w:t>
      </w:r>
      <w:r>
        <w:rPr>
          <w:rStyle w:val="87"/>
          <w:rFonts w:hint="eastAsia" w:ascii="宋体" w:hAnsi="宋体" w:eastAsia="宋体" w:cs="宋体"/>
          <w:b w:val="0"/>
          <w:bCs/>
          <w:sz w:val="24"/>
        </w:rPr>
        <w:t xml:space="preserve"> 光谱检测记录</w:t>
      </w:r>
    </w:p>
    <w:p w14:paraId="5075FB4E">
      <w:pPr>
        <w:pStyle w:val="101"/>
        <w:snapToGrid w:val="0"/>
        <w:spacing w:before="0" w:after="0" w:line="360" w:lineRule="auto"/>
        <w:jc w:val="left"/>
        <w:rPr>
          <w:rStyle w:val="87"/>
          <w:rFonts w:hint="eastAsia" w:ascii="宋体" w:hAnsi="宋体" w:eastAsia="宋体" w:cs="宋体"/>
          <w:b w:val="0"/>
          <w:bCs/>
          <w:sz w:val="24"/>
        </w:rPr>
      </w:pPr>
      <w:r>
        <w:rPr>
          <w:rStyle w:val="87"/>
          <w:rFonts w:hint="eastAsia" w:ascii="宋体" w:hAnsi="宋体" w:eastAsia="宋体" w:cs="宋体"/>
          <w:b w:val="0"/>
          <w:bCs/>
          <w:sz w:val="24"/>
        </w:rPr>
        <w:t>附表</w:t>
      </w:r>
      <w:r>
        <w:rPr>
          <w:rStyle w:val="87"/>
          <w:rFonts w:hint="eastAsia" w:ascii="宋体" w:hAnsi="宋体" w:eastAsia="宋体" w:cs="宋体"/>
          <w:b w:val="0"/>
          <w:bCs/>
          <w:sz w:val="24"/>
          <w:lang w:val="en-US" w:eastAsia="zh-CN"/>
        </w:rPr>
        <w:t>4</w:t>
      </w:r>
      <w:r>
        <w:rPr>
          <w:rStyle w:val="87"/>
          <w:rFonts w:hint="eastAsia" w:ascii="宋体" w:hAnsi="宋体" w:eastAsia="宋体" w:cs="宋体"/>
          <w:b w:val="0"/>
          <w:bCs/>
          <w:sz w:val="24"/>
        </w:rPr>
        <w:t xml:space="preserve"> </w:t>
      </w:r>
      <w:r>
        <w:rPr>
          <w:rStyle w:val="87"/>
          <w:rFonts w:hint="eastAsia" w:ascii="宋体" w:hAnsi="宋体" w:eastAsia="宋体" w:cs="宋体"/>
          <w:b w:val="0"/>
          <w:bCs/>
          <w:sz w:val="24"/>
          <w:lang w:val="en-US" w:eastAsia="zh-CN"/>
        </w:rPr>
        <w:t xml:space="preserve"> </w:t>
      </w:r>
      <w:r>
        <w:rPr>
          <w:rStyle w:val="87"/>
          <w:rFonts w:hint="eastAsia" w:ascii="宋体" w:hAnsi="宋体" w:eastAsia="宋体" w:cs="宋体"/>
          <w:b w:val="0"/>
          <w:bCs/>
          <w:sz w:val="24"/>
        </w:rPr>
        <w:t>测厚记录</w:t>
      </w:r>
    </w:p>
    <w:p w14:paraId="76707DF8">
      <w:pPr>
        <w:snapToGrid w:val="0"/>
        <w:spacing w:line="360" w:lineRule="auto"/>
        <w:jc w:val="left"/>
        <w:rPr>
          <w:rStyle w:val="87"/>
          <w:rFonts w:hint="eastAsia" w:ascii="宋体" w:hAnsi="宋体" w:eastAsia="宋体" w:cs="宋体"/>
          <w:bCs/>
        </w:rPr>
        <w:sectPr>
          <w:endnotePr>
            <w:numFmt w:val="decimal"/>
          </w:endnotePr>
          <w:pgSz w:w="11906" w:h="16838"/>
          <w:pgMar w:top="1418" w:right="1134" w:bottom="1134" w:left="1418" w:header="851" w:footer="641" w:gutter="0"/>
          <w:cols w:space="720" w:num="1"/>
          <w:docGrid w:linePitch="312" w:charSpace="0"/>
        </w:sectPr>
      </w:pPr>
    </w:p>
    <w:p w14:paraId="6A21A436">
      <w:pPr>
        <w:snapToGrid w:val="0"/>
        <w:spacing w:line="360" w:lineRule="auto"/>
        <w:jc w:val="left"/>
        <w:rPr>
          <w:rStyle w:val="87"/>
          <w:rFonts w:ascii="黑体" w:hAnsi="黑体" w:eastAsia="黑体" w:cs="黑体"/>
          <w:bCs/>
        </w:rPr>
      </w:pPr>
      <w:r>
        <w:rPr>
          <w:rStyle w:val="87"/>
          <w:rFonts w:hint="eastAsia" w:ascii="黑体" w:hAnsi="黑体" w:eastAsia="黑体" w:cs="黑体"/>
          <w:bCs/>
        </w:rPr>
        <w:t>附录A  差异表</w:t>
      </w:r>
    </w:p>
    <w:tbl>
      <w:tblPr>
        <w:tblStyle w:val="28"/>
        <w:tblW w:w="933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168"/>
        <w:gridCol w:w="1566"/>
        <w:gridCol w:w="2145"/>
        <w:gridCol w:w="1377"/>
        <w:gridCol w:w="3079"/>
      </w:tblGrid>
      <w:tr w14:paraId="469698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6B02894D"/>
        </w:tc>
        <w:tc>
          <w:tcPr>
            <w:tcW w:w="3711" w:type="dxa"/>
            <w:gridSpan w:val="2"/>
            <w:tcBorders>
              <w:top w:val="single" w:color="000000" w:sz="6" w:space="0"/>
              <w:left w:val="single" w:color="000000" w:sz="6" w:space="0"/>
              <w:bottom w:val="single" w:color="000000" w:sz="6" w:space="0"/>
              <w:right w:val="single" w:color="000000" w:sz="6" w:space="0"/>
            </w:tcBorders>
            <w:vAlign w:val="center"/>
          </w:tcPr>
          <w:p w14:paraId="17178C55">
            <w:pPr>
              <w:jc w:val="center"/>
            </w:pPr>
            <w:r>
              <w:rPr>
                <w:rFonts w:hint="eastAsia"/>
              </w:rPr>
              <w:t>技术规范书</w:t>
            </w:r>
          </w:p>
        </w:tc>
        <w:tc>
          <w:tcPr>
            <w:tcW w:w="4456" w:type="dxa"/>
            <w:gridSpan w:val="2"/>
            <w:tcBorders>
              <w:top w:val="single" w:color="000000" w:sz="6" w:space="0"/>
              <w:left w:val="single" w:color="000000" w:sz="6" w:space="0"/>
              <w:bottom w:val="single" w:color="000000" w:sz="6" w:space="0"/>
              <w:right w:val="single" w:color="000000" w:sz="6" w:space="0"/>
            </w:tcBorders>
            <w:vAlign w:val="center"/>
          </w:tcPr>
          <w:p w14:paraId="0410B4F3">
            <w:pPr>
              <w:jc w:val="center"/>
            </w:pPr>
            <w:r>
              <w:rPr>
                <w:rFonts w:hint="eastAsia"/>
              </w:rPr>
              <w:t>投标技术文件</w:t>
            </w:r>
          </w:p>
        </w:tc>
      </w:tr>
      <w:tr w14:paraId="5560B9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3EABCBD6">
            <w:pPr>
              <w:jc w:val="center"/>
            </w:pPr>
            <w:r>
              <w:rPr>
                <w:rFonts w:hint="eastAsia"/>
              </w:rPr>
              <w:t>序号</w:t>
            </w:r>
          </w:p>
        </w:tc>
        <w:tc>
          <w:tcPr>
            <w:tcW w:w="1566" w:type="dxa"/>
            <w:tcBorders>
              <w:top w:val="single" w:color="000000" w:sz="6" w:space="0"/>
              <w:left w:val="single" w:color="000000" w:sz="6" w:space="0"/>
              <w:bottom w:val="single" w:color="000000" w:sz="6" w:space="0"/>
              <w:right w:val="single" w:color="000000" w:sz="6" w:space="0"/>
            </w:tcBorders>
            <w:vAlign w:val="center"/>
          </w:tcPr>
          <w:p w14:paraId="621ECB33">
            <w:pPr>
              <w:jc w:val="center"/>
            </w:pPr>
            <w:r>
              <w:rPr>
                <w:rFonts w:hint="eastAsia"/>
              </w:rPr>
              <w:t>条目</w:t>
            </w:r>
          </w:p>
        </w:tc>
        <w:tc>
          <w:tcPr>
            <w:tcW w:w="2145" w:type="dxa"/>
            <w:tcBorders>
              <w:top w:val="single" w:color="000000" w:sz="6" w:space="0"/>
              <w:left w:val="single" w:color="000000" w:sz="6" w:space="0"/>
              <w:bottom w:val="single" w:color="000000" w:sz="6" w:space="0"/>
              <w:right w:val="single" w:color="000000" w:sz="6" w:space="0"/>
            </w:tcBorders>
            <w:vAlign w:val="center"/>
          </w:tcPr>
          <w:p w14:paraId="6AA6D3F7">
            <w:pPr>
              <w:jc w:val="center"/>
            </w:pPr>
            <w:r>
              <w:rPr>
                <w:rFonts w:hint="eastAsia"/>
              </w:rPr>
              <w:t>简要内容</w:t>
            </w:r>
          </w:p>
        </w:tc>
        <w:tc>
          <w:tcPr>
            <w:tcW w:w="1377" w:type="dxa"/>
            <w:tcBorders>
              <w:top w:val="single" w:color="000000" w:sz="6" w:space="0"/>
              <w:left w:val="single" w:color="000000" w:sz="6" w:space="0"/>
              <w:bottom w:val="single" w:color="000000" w:sz="6" w:space="0"/>
              <w:right w:val="single" w:color="000000" w:sz="6" w:space="0"/>
            </w:tcBorders>
            <w:vAlign w:val="center"/>
          </w:tcPr>
          <w:p w14:paraId="14346268">
            <w:pPr>
              <w:jc w:val="center"/>
            </w:pPr>
            <w:r>
              <w:rPr>
                <w:rFonts w:hint="eastAsia"/>
              </w:rPr>
              <w:t>条目</w:t>
            </w:r>
          </w:p>
        </w:tc>
        <w:tc>
          <w:tcPr>
            <w:tcW w:w="3079" w:type="dxa"/>
            <w:tcBorders>
              <w:top w:val="single" w:color="000000" w:sz="6" w:space="0"/>
              <w:left w:val="single" w:color="000000" w:sz="6" w:space="0"/>
              <w:bottom w:val="single" w:color="000000" w:sz="6" w:space="0"/>
              <w:right w:val="single" w:color="000000" w:sz="6" w:space="0"/>
            </w:tcBorders>
            <w:vAlign w:val="center"/>
          </w:tcPr>
          <w:p w14:paraId="5E6A5D2A">
            <w:pPr>
              <w:jc w:val="center"/>
            </w:pPr>
            <w:r>
              <w:rPr>
                <w:rFonts w:hint="eastAsia"/>
              </w:rPr>
              <w:t>简要内容</w:t>
            </w:r>
          </w:p>
        </w:tc>
      </w:tr>
      <w:tr w14:paraId="6FD97B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084D128A">
            <w:pPr>
              <w:snapToGrid w:val="0"/>
              <w:spacing w:line="360" w:lineRule="auto"/>
              <w:jc w:val="left"/>
              <w:rPr>
                <w:rStyle w:val="87"/>
                <w:rFonts w:ascii="宋体" w:hAnsi="宋体"/>
                <w:sz w:val="21"/>
                <w:szCs w:val="21"/>
              </w:rPr>
            </w:pPr>
          </w:p>
        </w:tc>
        <w:tc>
          <w:tcPr>
            <w:tcW w:w="1566" w:type="dxa"/>
            <w:tcBorders>
              <w:top w:val="single" w:color="000000" w:sz="6" w:space="0"/>
              <w:left w:val="single" w:color="000000" w:sz="6" w:space="0"/>
              <w:bottom w:val="single" w:color="000000" w:sz="6" w:space="0"/>
              <w:right w:val="single" w:color="000000" w:sz="6" w:space="0"/>
            </w:tcBorders>
            <w:vAlign w:val="center"/>
          </w:tcPr>
          <w:p w14:paraId="60457E0F">
            <w:pPr>
              <w:snapToGrid w:val="0"/>
              <w:spacing w:line="360" w:lineRule="auto"/>
              <w:jc w:val="left"/>
              <w:rPr>
                <w:rStyle w:val="87"/>
                <w:rFonts w:ascii="宋体" w:hAnsi="宋体"/>
                <w:sz w:val="21"/>
                <w:szCs w:val="21"/>
              </w:rPr>
            </w:pPr>
          </w:p>
        </w:tc>
        <w:tc>
          <w:tcPr>
            <w:tcW w:w="2145" w:type="dxa"/>
            <w:tcBorders>
              <w:top w:val="single" w:color="000000" w:sz="6" w:space="0"/>
              <w:left w:val="single" w:color="000000" w:sz="6" w:space="0"/>
              <w:bottom w:val="single" w:color="000000" w:sz="6" w:space="0"/>
              <w:right w:val="single" w:color="000000" w:sz="6" w:space="0"/>
            </w:tcBorders>
            <w:vAlign w:val="center"/>
          </w:tcPr>
          <w:p w14:paraId="1E2F4532">
            <w:pPr>
              <w:snapToGrid w:val="0"/>
              <w:spacing w:line="360" w:lineRule="auto"/>
              <w:jc w:val="left"/>
              <w:rPr>
                <w:rStyle w:val="87"/>
                <w:rFonts w:ascii="宋体" w:hAnsi="宋体"/>
                <w:sz w:val="21"/>
                <w:szCs w:val="21"/>
              </w:rPr>
            </w:pPr>
          </w:p>
        </w:tc>
        <w:tc>
          <w:tcPr>
            <w:tcW w:w="1377" w:type="dxa"/>
            <w:tcBorders>
              <w:top w:val="single" w:color="000000" w:sz="6" w:space="0"/>
              <w:left w:val="single" w:color="000000" w:sz="6" w:space="0"/>
              <w:bottom w:val="single" w:color="000000" w:sz="6" w:space="0"/>
              <w:right w:val="single" w:color="000000" w:sz="6" w:space="0"/>
            </w:tcBorders>
            <w:vAlign w:val="center"/>
          </w:tcPr>
          <w:p w14:paraId="3E7A3BD7">
            <w:pPr>
              <w:snapToGrid w:val="0"/>
              <w:spacing w:line="360" w:lineRule="auto"/>
              <w:jc w:val="left"/>
              <w:rPr>
                <w:rStyle w:val="87"/>
                <w:rFonts w:ascii="宋体" w:hAnsi="宋体"/>
                <w:sz w:val="21"/>
                <w:szCs w:val="21"/>
              </w:rPr>
            </w:pPr>
          </w:p>
        </w:tc>
        <w:tc>
          <w:tcPr>
            <w:tcW w:w="3079" w:type="dxa"/>
            <w:tcBorders>
              <w:top w:val="single" w:color="000000" w:sz="6" w:space="0"/>
              <w:left w:val="single" w:color="000000" w:sz="6" w:space="0"/>
              <w:bottom w:val="single" w:color="000000" w:sz="6" w:space="0"/>
              <w:right w:val="single" w:color="000000" w:sz="6" w:space="0"/>
            </w:tcBorders>
            <w:vAlign w:val="center"/>
          </w:tcPr>
          <w:p w14:paraId="09EB443C">
            <w:pPr>
              <w:snapToGrid w:val="0"/>
              <w:spacing w:line="360" w:lineRule="auto"/>
              <w:jc w:val="left"/>
              <w:rPr>
                <w:rStyle w:val="87"/>
                <w:rFonts w:ascii="宋体" w:hAnsi="宋体"/>
                <w:sz w:val="21"/>
                <w:szCs w:val="21"/>
              </w:rPr>
            </w:pPr>
          </w:p>
        </w:tc>
      </w:tr>
      <w:tr w14:paraId="76BCA6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05CE094F">
            <w:pPr>
              <w:snapToGrid w:val="0"/>
              <w:spacing w:line="360" w:lineRule="auto"/>
              <w:jc w:val="left"/>
              <w:rPr>
                <w:rStyle w:val="87"/>
                <w:rFonts w:ascii="宋体" w:hAnsi="宋体"/>
                <w:sz w:val="21"/>
                <w:szCs w:val="21"/>
              </w:rPr>
            </w:pPr>
          </w:p>
        </w:tc>
        <w:tc>
          <w:tcPr>
            <w:tcW w:w="1566" w:type="dxa"/>
            <w:tcBorders>
              <w:top w:val="single" w:color="000000" w:sz="6" w:space="0"/>
              <w:left w:val="single" w:color="000000" w:sz="6" w:space="0"/>
              <w:bottom w:val="single" w:color="000000" w:sz="6" w:space="0"/>
              <w:right w:val="single" w:color="000000" w:sz="6" w:space="0"/>
            </w:tcBorders>
            <w:vAlign w:val="center"/>
          </w:tcPr>
          <w:p w14:paraId="7C7A7693">
            <w:pPr>
              <w:snapToGrid w:val="0"/>
              <w:spacing w:line="360" w:lineRule="auto"/>
              <w:jc w:val="left"/>
              <w:rPr>
                <w:rStyle w:val="87"/>
                <w:rFonts w:ascii="宋体" w:hAnsi="宋体"/>
                <w:sz w:val="21"/>
                <w:szCs w:val="21"/>
              </w:rPr>
            </w:pPr>
          </w:p>
        </w:tc>
        <w:tc>
          <w:tcPr>
            <w:tcW w:w="2145" w:type="dxa"/>
            <w:tcBorders>
              <w:top w:val="single" w:color="000000" w:sz="6" w:space="0"/>
              <w:left w:val="single" w:color="000000" w:sz="6" w:space="0"/>
              <w:bottom w:val="single" w:color="000000" w:sz="6" w:space="0"/>
              <w:right w:val="single" w:color="000000" w:sz="6" w:space="0"/>
            </w:tcBorders>
            <w:vAlign w:val="center"/>
          </w:tcPr>
          <w:p w14:paraId="76192560">
            <w:pPr>
              <w:snapToGrid w:val="0"/>
              <w:spacing w:line="360" w:lineRule="auto"/>
              <w:jc w:val="left"/>
              <w:rPr>
                <w:rStyle w:val="87"/>
                <w:rFonts w:ascii="宋体" w:hAnsi="宋体"/>
                <w:sz w:val="21"/>
                <w:szCs w:val="21"/>
              </w:rPr>
            </w:pPr>
          </w:p>
        </w:tc>
        <w:tc>
          <w:tcPr>
            <w:tcW w:w="1377" w:type="dxa"/>
            <w:tcBorders>
              <w:top w:val="single" w:color="000000" w:sz="6" w:space="0"/>
              <w:left w:val="single" w:color="000000" w:sz="6" w:space="0"/>
              <w:bottom w:val="single" w:color="000000" w:sz="6" w:space="0"/>
              <w:right w:val="single" w:color="000000" w:sz="6" w:space="0"/>
            </w:tcBorders>
            <w:vAlign w:val="center"/>
          </w:tcPr>
          <w:p w14:paraId="48B88D12">
            <w:pPr>
              <w:snapToGrid w:val="0"/>
              <w:spacing w:line="360" w:lineRule="auto"/>
              <w:jc w:val="left"/>
              <w:rPr>
                <w:rStyle w:val="87"/>
                <w:rFonts w:ascii="宋体" w:hAnsi="宋体"/>
                <w:sz w:val="21"/>
                <w:szCs w:val="21"/>
              </w:rPr>
            </w:pPr>
          </w:p>
        </w:tc>
        <w:tc>
          <w:tcPr>
            <w:tcW w:w="3079" w:type="dxa"/>
            <w:tcBorders>
              <w:top w:val="single" w:color="000000" w:sz="6" w:space="0"/>
              <w:left w:val="single" w:color="000000" w:sz="6" w:space="0"/>
              <w:bottom w:val="single" w:color="000000" w:sz="6" w:space="0"/>
              <w:right w:val="single" w:color="000000" w:sz="6" w:space="0"/>
            </w:tcBorders>
            <w:vAlign w:val="center"/>
          </w:tcPr>
          <w:p w14:paraId="24795DE3">
            <w:pPr>
              <w:snapToGrid w:val="0"/>
              <w:spacing w:line="360" w:lineRule="auto"/>
              <w:jc w:val="left"/>
              <w:rPr>
                <w:rStyle w:val="87"/>
                <w:rFonts w:ascii="宋体" w:hAnsi="宋体"/>
                <w:sz w:val="21"/>
                <w:szCs w:val="21"/>
              </w:rPr>
            </w:pPr>
          </w:p>
        </w:tc>
      </w:tr>
      <w:tr w14:paraId="0D4942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572999EA">
            <w:pPr>
              <w:snapToGrid w:val="0"/>
              <w:spacing w:line="360" w:lineRule="auto"/>
              <w:jc w:val="left"/>
              <w:rPr>
                <w:rStyle w:val="87"/>
                <w:rFonts w:ascii="宋体" w:hAnsi="宋体"/>
                <w:sz w:val="21"/>
                <w:szCs w:val="21"/>
              </w:rPr>
            </w:pPr>
          </w:p>
        </w:tc>
        <w:tc>
          <w:tcPr>
            <w:tcW w:w="1566" w:type="dxa"/>
            <w:tcBorders>
              <w:top w:val="single" w:color="000000" w:sz="6" w:space="0"/>
              <w:left w:val="single" w:color="000000" w:sz="6" w:space="0"/>
              <w:bottom w:val="single" w:color="000000" w:sz="6" w:space="0"/>
              <w:right w:val="single" w:color="000000" w:sz="6" w:space="0"/>
            </w:tcBorders>
            <w:vAlign w:val="center"/>
          </w:tcPr>
          <w:p w14:paraId="73CF50F8">
            <w:pPr>
              <w:snapToGrid w:val="0"/>
              <w:spacing w:line="360" w:lineRule="auto"/>
              <w:jc w:val="left"/>
              <w:rPr>
                <w:rStyle w:val="87"/>
                <w:rFonts w:ascii="宋体" w:hAnsi="宋体"/>
                <w:sz w:val="21"/>
                <w:szCs w:val="21"/>
              </w:rPr>
            </w:pPr>
          </w:p>
        </w:tc>
        <w:tc>
          <w:tcPr>
            <w:tcW w:w="2145" w:type="dxa"/>
            <w:tcBorders>
              <w:top w:val="single" w:color="000000" w:sz="6" w:space="0"/>
              <w:left w:val="single" w:color="000000" w:sz="6" w:space="0"/>
              <w:bottom w:val="single" w:color="000000" w:sz="6" w:space="0"/>
              <w:right w:val="single" w:color="000000" w:sz="6" w:space="0"/>
            </w:tcBorders>
            <w:vAlign w:val="center"/>
          </w:tcPr>
          <w:p w14:paraId="3D138619">
            <w:pPr>
              <w:snapToGrid w:val="0"/>
              <w:spacing w:line="360" w:lineRule="auto"/>
              <w:jc w:val="left"/>
              <w:rPr>
                <w:rStyle w:val="87"/>
                <w:rFonts w:ascii="宋体" w:hAnsi="宋体"/>
                <w:sz w:val="21"/>
                <w:szCs w:val="21"/>
              </w:rPr>
            </w:pPr>
          </w:p>
        </w:tc>
        <w:tc>
          <w:tcPr>
            <w:tcW w:w="1377" w:type="dxa"/>
            <w:tcBorders>
              <w:top w:val="single" w:color="000000" w:sz="6" w:space="0"/>
              <w:left w:val="single" w:color="000000" w:sz="6" w:space="0"/>
              <w:bottom w:val="single" w:color="000000" w:sz="6" w:space="0"/>
              <w:right w:val="single" w:color="000000" w:sz="6" w:space="0"/>
            </w:tcBorders>
            <w:vAlign w:val="center"/>
          </w:tcPr>
          <w:p w14:paraId="0E67302B">
            <w:pPr>
              <w:snapToGrid w:val="0"/>
              <w:spacing w:line="360" w:lineRule="auto"/>
              <w:jc w:val="left"/>
              <w:rPr>
                <w:rStyle w:val="87"/>
                <w:rFonts w:ascii="宋体" w:hAnsi="宋体"/>
                <w:sz w:val="21"/>
                <w:szCs w:val="21"/>
              </w:rPr>
            </w:pPr>
          </w:p>
        </w:tc>
        <w:tc>
          <w:tcPr>
            <w:tcW w:w="3079" w:type="dxa"/>
            <w:tcBorders>
              <w:top w:val="single" w:color="000000" w:sz="6" w:space="0"/>
              <w:left w:val="single" w:color="000000" w:sz="6" w:space="0"/>
              <w:bottom w:val="single" w:color="000000" w:sz="6" w:space="0"/>
              <w:right w:val="single" w:color="000000" w:sz="6" w:space="0"/>
            </w:tcBorders>
            <w:vAlign w:val="center"/>
          </w:tcPr>
          <w:p w14:paraId="433E9719">
            <w:pPr>
              <w:snapToGrid w:val="0"/>
              <w:spacing w:line="360" w:lineRule="auto"/>
              <w:jc w:val="left"/>
              <w:rPr>
                <w:rStyle w:val="87"/>
                <w:rFonts w:ascii="宋体" w:hAnsi="宋体"/>
                <w:sz w:val="21"/>
                <w:szCs w:val="21"/>
              </w:rPr>
            </w:pPr>
          </w:p>
        </w:tc>
      </w:tr>
      <w:tr w14:paraId="4E9FCB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1"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2F00C8FD">
            <w:pPr>
              <w:snapToGrid w:val="0"/>
              <w:spacing w:line="360" w:lineRule="auto"/>
              <w:jc w:val="left"/>
              <w:rPr>
                <w:rStyle w:val="87"/>
                <w:rFonts w:ascii="宋体" w:hAnsi="宋体"/>
                <w:sz w:val="21"/>
                <w:szCs w:val="21"/>
              </w:rPr>
            </w:pPr>
          </w:p>
        </w:tc>
        <w:tc>
          <w:tcPr>
            <w:tcW w:w="1566" w:type="dxa"/>
            <w:tcBorders>
              <w:top w:val="single" w:color="000000" w:sz="6" w:space="0"/>
              <w:left w:val="single" w:color="000000" w:sz="6" w:space="0"/>
              <w:bottom w:val="single" w:color="000000" w:sz="6" w:space="0"/>
              <w:right w:val="single" w:color="000000" w:sz="6" w:space="0"/>
            </w:tcBorders>
            <w:vAlign w:val="center"/>
          </w:tcPr>
          <w:p w14:paraId="09428222">
            <w:pPr>
              <w:snapToGrid w:val="0"/>
              <w:spacing w:line="360" w:lineRule="auto"/>
              <w:jc w:val="left"/>
              <w:rPr>
                <w:rStyle w:val="87"/>
                <w:rFonts w:ascii="宋体" w:hAnsi="宋体"/>
                <w:sz w:val="21"/>
                <w:szCs w:val="21"/>
              </w:rPr>
            </w:pPr>
          </w:p>
        </w:tc>
        <w:tc>
          <w:tcPr>
            <w:tcW w:w="2145" w:type="dxa"/>
            <w:tcBorders>
              <w:top w:val="single" w:color="000000" w:sz="6" w:space="0"/>
              <w:left w:val="single" w:color="000000" w:sz="6" w:space="0"/>
              <w:bottom w:val="single" w:color="000000" w:sz="6" w:space="0"/>
              <w:right w:val="single" w:color="000000" w:sz="6" w:space="0"/>
            </w:tcBorders>
            <w:vAlign w:val="center"/>
          </w:tcPr>
          <w:p w14:paraId="3BD09943">
            <w:pPr>
              <w:snapToGrid w:val="0"/>
              <w:spacing w:line="360" w:lineRule="auto"/>
              <w:jc w:val="left"/>
              <w:rPr>
                <w:rStyle w:val="87"/>
                <w:rFonts w:ascii="宋体" w:hAnsi="宋体"/>
                <w:caps/>
                <w:sz w:val="21"/>
                <w:szCs w:val="21"/>
              </w:rPr>
            </w:pPr>
          </w:p>
        </w:tc>
        <w:tc>
          <w:tcPr>
            <w:tcW w:w="1377" w:type="dxa"/>
            <w:tcBorders>
              <w:top w:val="single" w:color="000000" w:sz="6" w:space="0"/>
              <w:left w:val="single" w:color="000000" w:sz="6" w:space="0"/>
              <w:bottom w:val="single" w:color="000000" w:sz="6" w:space="0"/>
              <w:right w:val="single" w:color="000000" w:sz="6" w:space="0"/>
            </w:tcBorders>
            <w:vAlign w:val="center"/>
          </w:tcPr>
          <w:p w14:paraId="3566CA70">
            <w:pPr>
              <w:snapToGrid w:val="0"/>
              <w:spacing w:line="360" w:lineRule="auto"/>
              <w:jc w:val="left"/>
              <w:rPr>
                <w:rStyle w:val="87"/>
                <w:rFonts w:ascii="宋体" w:hAnsi="宋体"/>
                <w:sz w:val="21"/>
                <w:szCs w:val="21"/>
              </w:rPr>
            </w:pPr>
          </w:p>
        </w:tc>
        <w:tc>
          <w:tcPr>
            <w:tcW w:w="3079" w:type="dxa"/>
            <w:tcBorders>
              <w:top w:val="single" w:color="000000" w:sz="6" w:space="0"/>
              <w:left w:val="single" w:color="000000" w:sz="6" w:space="0"/>
              <w:bottom w:val="single" w:color="000000" w:sz="6" w:space="0"/>
              <w:right w:val="single" w:color="000000" w:sz="6" w:space="0"/>
            </w:tcBorders>
            <w:vAlign w:val="center"/>
          </w:tcPr>
          <w:p w14:paraId="0698C324">
            <w:pPr>
              <w:snapToGrid w:val="0"/>
              <w:spacing w:line="360" w:lineRule="auto"/>
              <w:jc w:val="left"/>
              <w:rPr>
                <w:rStyle w:val="87"/>
                <w:rFonts w:ascii="宋体" w:hAnsi="宋体"/>
                <w:sz w:val="21"/>
                <w:szCs w:val="21"/>
              </w:rPr>
            </w:pPr>
          </w:p>
        </w:tc>
      </w:tr>
    </w:tbl>
    <w:p w14:paraId="0C889EED">
      <w:pPr>
        <w:snapToGrid w:val="0"/>
        <w:spacing w:line="360" w:lineRule="auto"/>
        <w:jc w:val="left"/>
        <w:rPr>
          <w:rStyle w:val="87"/>
          <w:rFonts w:ascii="宋体" w:hAnsi="宋体"/>
          <w:b/>
        </w:rPr>
      </w:pPr>
    </w:p>
    <w:p w14:paraId="4B7ED0A4">
      <w:pPr>
        <w:snapToGrid w:val="0"/>
        <w:spacing w:line="360" w:lineRule="auto"/>
        <w:jc w:val="left"/>
        <w:rPr>
          <w:rStyle w:val="87"/>
          <w:rFonts w:ascii="宋体" w:hAnsi="宋体"/>
          <w:b/>
        </w:rPr>
      </w:pPr>
    </w:p>
    <w:p w14:paraId="1E0F6BAD">
      <w:pPr>
        <w:pStyle w:val="107"/>
        <w:snapToGrid w:val="0"/>
        <w:spacing w:line="360" w:lineRule="auto"/>
        <w:ind w:firstLine="0"/>
        <w:jc w:val="left"/>
        <w:rPr>
          <w:rStyle w:val="87"/>
          <w:rFonts w:ascii="黑体" w:hAnsi="黑体"/>
          <w:b w:val="0"/>
          <w:szCs w:val="24"/>
        </w:rPr>
      </w:pPr>
      <w:r>
        <w:rPr>
          <w:rStyle w:val="87"/>
          <w:rFonts w:hint="eastAsia" w:ascii="黑体" w:hAnsi="黑体"/>
          <w:b w:val="0"/>
          <w:szCs w:val="24"/>
        </w:rPr>
        <w:t>附录B  主要技术、管理人员情况表</w:t>
      </w:r>
    </w:p>
    <w:tbl>
      <w:tblPr>
        <w:tblStyle w:val="28"/>
        <w:tblW w:w="93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7"/>
        <w:gridCol w:w="1445"/>
        <w:gridCol w:w="1890"/>
        <w:gridCol w:w="1112"/>
        <w:gridCol w:w="1400"/>
        <w:gridCol w:w="1269"/>
        <w:gridCol w:w="1567"/>
      </w:tblGrid>
      <w:tr w14:paraId="103D20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6" w:hRule="atLeast"/>
          <w:jc w:val="center"/>
        </w:trPr>
        <w:tc>
          <w:tcPr>
            <w:tcW w:w="677" w:type="dxa"/>
            <w:tcBorders>
              <w:top w:val="single" w:color="000000" w:sz="4" w:space="0"/>
              <w:left w:val="single" w:color="000000" w:sz="4" w:space="0"/>
              <w:bottom w:val="single" w:color="000000" w:sz="4" w:space="0"/>
              <w:right w:val="single" w:color="000000" w:sz="4" w:space="0"/>
            </w:tcBorders>
            <w:vAlign w:val="center"/>
          </w:tcPr>
          <w:p w14:paraId="6906A35E">
            <w:pPr>
              <w:jc w:val="center"/>
            </w:pPr>
            <w:r>
              <w:rPr>
                <w:rFonts w:hint="eastAsia"/>
              </w:rPr>
              <w:t>序号</w:t>
            </w:r>
          </w:p>
        </w:tc>
        <w:tc>
          <w:tcPr>
            <w:tcW w:w="1445" w:type="dxa"/>
            <w:tcBorders>
              <w:top w:val="single" w:color="000000" w:sz="4" w:space="0"/>
              <w:left w:val="single" w:color="000000" w:sz="4" w:space="0"/>
              <w:bottom w:val="single" w:color="000000" w:sz="4" w:space="0"/>
              <w:right w:val="single" w:color="000000" w:sz="4" w:space="0"/>
            </w:tcBorders>
            <w:vAlign w:val="center"/>
          </w:tcPr>
          <w:p w14:paraId="2BA4B0EF">
            <w:pPr>
              <w:jc w:val="center"/>
            </w:pPr>
            <w:r>
              <w:rPr>
                <w:rFonts w:hint="eastAsia"/>
              </w:rPr>
              <w:t>姓 名</w:t>
            </w:r>
          </w:p>
        </w:tc>
        <w:tc>
          <w:tcPr>
            <w:tcW w:w="1890" w:type="dxa"/>
            <w:tcBorders>
              <w:top w:val="single" w:color="000000" w:sz="4" w:space="0"/>
              <w:left w:val="single" w:color="000000" w:sz="4" w:space="0"/>
              <w:bottom w:val="single" w:color="000000" w:sz="4" w:space="0"/>
              <w:right w:val="single" w:color="000000" w:sz="4" w:space="0"/>
            </w:tcBorders>
            <w:vAlign w:val="center"/>
          </w:tcPr>
          <w:p w14:paraId="0B30F6EC">
            <w:pPr>
              <w:jc w:val="center"/>
            </w:pPr>
            <w:r>
              <w:rPr>
                <w:rFonts w:hint="eastAsia"/>
              </w:rPr>
              <w:t>拟 任 职 务</w:t>
            </w:r>
          </w:p>
        </w:tc>
        <w:tc>
          <w:tcPr>
            <w:tcW w:w="1112" w:type="dxa"/>
            <w:tcBorders>
              <w:top w:val="single" w:color="000000" w:sz="4" w:space="0"/>
              <w:left w:val="single" w:color="000000" w:sz="4" w:space="0"/>
              <w:bottom w:val="single" w:color="000000" w:sz="4" w:space="0"/>
              <w:right w:val="single" w:color="000000" w:sz="4" w:space="0"/>
            </w:tcBorders>
            <w:vAlign w:val="center"/>
          </w:tcPr>
          <w:p w14:paraId="4176418C">
            <w:pPr>
              <w:jc w:val="center"/>
            </w:pPr>
            <w:r>
              <w:rPr>
                <w:rFonts w:hint="eastAsia"/>
              </w:rPr>
              <w:t>年 龄</w:t>
            </w:r>
          </w:p>
        </w:tc>
        <w:tc>
          <w:tcPr>
            <w:tcW w:w="1400" w:type="dxa"/>
            <w:tcBorders>
              <w:top w:val="single" w:color="000000" w:sz="4" w:space="0"/>
              <w:left w:val="single" w:color="000000" w:sz="4" w:space="0"/>
              <w:bottom w:val="single" w:color="000000" w:sz="4" w:space="0"/>
              <w:right w:val="single" w:color="000000" w:sz="4" w:space="0"/>
            </w:tcBorders>
            <w:vAlign w:val="center"/>
          </w:tcPr>
          <w:p w14:paraId="28B0803C">
            <w:pPr>
              <w:jc w:val="center"/>
            </w:pPr>
            <w:r>
              <w:rPr>
                <w:rFonts w:hint="eastAsia"/>
              </w:rPr>
              <w:t>职 称</w:t>
            </w:r>
          </w:p>
        </w:tc>
        <w:tc>
          <w:tcPr>
            <w:tcW w:w="1269" w:type="dxa"/>
            <w:tcBorders>
              <w:top w:val="single" w:color="000000" w:sz="4" w:space="0"/>
              <w:left w:val="single" w:color="000000" w:sz="4" w:space="0"/>
              <w:bottom w:val="single" w:color="000000" w:sz="4" w:space="0"/>
              <w:right w:val="single" w:color="000000" w:sz="4" w:space="0"/>
            </w:tcBorders>
            <w:vAlign w:val="center"/>
          </w:tcPr>
          <w:p w14:paraId="49C5E9EE">
            <w:pPr>
              <w:jc w:val="center"/>
            </w:pPr>
            <w:r>
              <w:rPr>
                <w:rFonts w:hint="eastAsia"/>
              </w:rPr>
              <w:t>学 历</w:t>
            </w:r>
          </w:p>
        </w:tc>
        <w:tc>
          <w:tcPr>
            <w:tcW w:w="1567" w:type="dxa"/>
            <w:tcBorders>
              <w:top w:val="single" w:color="000000" w:sz="4" w:space="0"/>
              <w:left w:val="single" w:color="000000" w:sz="4" w:space="0"/>
              <w:bottom w:val="single" w:color="000000" w:sz="4" w:space="0"/>
              <w:right w:val="single" w:color="000000" w:sz="4" w:space="0"/>
            </w:tcBorders>
            <w:vAlign w:val="center"/>
          </w:tcPr>
          <w:p w14:paraId="17658DFE">
            <w:pPr>
              <w:jc w:val="center"/>
            </w:pPr>
            <w:r>
              <w:rPr>
                <w:rFonts w:hint="eastAsia"/>
              </w:rPr>
              <w:t>专 业</w:t>
            </w:r>
          </w:p>
        </w:tc>
      </w:tr>
      <w:tr w14:paraId="569C1E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888" w:hRule="atLeast"/>
          <w:jc w:val="center"/>
        </w:trPr>
        <w:tc>
          <w:tcPr>
            <w:tcW w:w="677" w:type="dxa"/>
            <w:vMerge w:val="restart"/>
            <w:tcBorders>
              <w:top w:val="single" w:color="000000" w:sz="4" w:space="0"/>
              <w:left w:val="single" w:color="000000" w:sz="4" w:space="0"/>
              <w:bottom w:val="single" w:color="000000" w:sz="4" w:space="0"/>
              <w:right w:val="single" w:color="000000" w:sz="4" w:space="0"/>
            </w:tcBorders>
            <w:vAlign w:val="center"/>
          </w:tcPr>
          <w:p w14:paraId="79050E6A">
            <w:pPr>
              <w:jc w:val="center"/>
              <w:rPr>
                <w:rFonts w:hint="eastAsia" w:eastAsia="宋体"/>
                <w:lang w:val="en-US" w:eastAsia="zh-CN"/>
              </w:rPr>
            </w:pPr>
            <w:r>
              <w:rPr>
                <w:rFonts w:hint="eastAsia"/>
                <w:lang w:val="en-US" w:eastAsia="zh-CN"/>
              </w:rPr>
              <w:t>1</w:t>
            </w:r>
          </w:p>
        </w:tc>
        <w:tc>
          <w:tcPr>
            <w:tcW w:w="1445" w:type="dxa"/>
            <w:tcBorders>
              <w:top w:val="single" w:color="000000" w:sz="4" w:space="0"/>
              <w:left w:val="single" w:color="000000" w:sz="4" w:space="0"/>
              <w:bottom w:val="single" w:color="000000" w:sz="4" w:space="0"/>
              <w:right w:val="single" w:color="000000" w:sz="4" w:space="0"/>
            </w:tcBorders>
            <w:vAlign w:val="center"/>
          </w:tcPr>
          <w:p w14:paraId="21D696A4"/>
        </w:tc>
        <w:tc>
          <w:tcPr>
            <w:tcW w:w="1890" w:type="dxa"/>
            <w:tcBorders>
              <w:top w:val="single" w:color="000000" w:sz="4" w:space="0"/>
              <w:left w:val="single" w:color="000000" w:sz="4" w:space="0"/>
              <w:bottom w:val="single" w:color="000000" w:sz="4" w:space="0"/>
              <w:right w:val="single" w:color="000000" w:sz="4" w:space="0"/>
            </w:tcBorders>
            <w:vAlign w:val="center"/>
          </w:tcPr>
          <w:p w14:paraId="475DF6E9"/>
        </w:tc>
        <w:tc>
          <w:tcPr>
            <w:tcW w:w="1112" w:type="dxa"/>
            <w:tcBorders>
              <w:top w:val="single" w:color="000000" w:sz="4" w:space="0"/>
              <w:left w:val="single" w:color="000000" w:sz="4" w:space="0"/>
              <w:bottom w:val="single" w:color="000000" w:sz="4" w:space="0"/>
              <w:right w:val="single" w:color="000000" w:sz="4" w:space="0"/>
            </w:tcBorders>
            <w:vAlign w:val="center"/>
          </w:tcPr>
          <w:p w14:paraId="75FAE94B"/>
        </w:tc>
        <w:tc>
          <w:tcPr>
            <w:tcW w:w="1400" w:type="dxa"/>
            <w:tcBorders>
              <w:top w:val="single" w:color="000000" w:sz="4" w:space="0"/>
              <w:left w:val="single" w:color="000000" w:sz="4" w:space="0"/>
              <w:bottom w:val="single" w:color="000000" w:sz="4" w:space="0"/>
              <w:right w:val="single" w:color="000000" w:sz="4" w:space="0"/>
            </w:tcBorders>
            <w:vAlign w:val="center"/>
          </w:tcPr>
          <w:p w14:paraId="4553FC28"/>
        </w:tc>
        <w:tc>
          <w:tcPr>
            <w:tcW w:w="1269" w:type="dxa"/>
            <w:tcBorders>
              <w:top w:val="single" w:color="000000" w:sz="4" w:space="0"/>
              <w:left w:val="single" w:color="000000" w:sz="4" w:space="0"/>
              <w:bottom w:val="single" w:color="000000" w:sz="4" w:space="0"/>
              <w:right w:val="single" w:color="000000" w:sz="4" w:space="0"/>
            </w:tcBorders>
            <w:vAlign w:val="center"/>
          </w:tcPr>
          <w:p w14:paraId="63689C3C"/>
        </w:tc>
        <w:tc>
          <w:tcPr>
            <w:tcW w:w="1567" w:type="dxa"/>
            <w:tcBorders>
              <w:top w:val="single" w:color="000000" w:sz="4" w:space="0"/>
              <w:left w:val="single" w:color="000000" w:sz="4" w:space="0"/>
              <w:bottom w:val="single" w:color="000000" w:sz="4" w:space="0"/>
              <w:right w:val="single" w:color="000000" w:sz="4" w:space="0"/>
            </w:tcBorders>
            <w:vAlign w:val="center"/>
          </w:tcPr>
          <w:p w14:paraId="70720EF3"/>
        </w:tc>
      </w:tr>
      <w:tr w14:paraId="1136CC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061" w:hRule="atLeast"/>
          <w:jc w:val="center"/>
        </w:trPr>
        <w:tc>
          <w:tcPr>
            <w:tcW w:w="677" w:type="dxa"/>
            <w:vMerge w:val="continue"/>
            <w:tcBorders>
              <w:top w:val="single" w:color="000000" w:sz="4" w:space="0"/>
              <w:left w:val="single" w:color="000000" w:sz="4" w:space="0"/>
              <w:bottom w:val="single" w:color="000000" w:sz="4" w:space="0"/>
              <w:right w:val="single" w:color="000000" w:sz="4" w:space="0"/>
            </w:tcBorders>
            <w:vAlign w:val="center"/>
          </w:tcPr>
          <w:p w14:paraId="7A9BEE35">
            <w:pPr>
              <w:jc w:val="center"/>
            </w:pPr>
          </w:p>
        </w:tc>
        <w:tc>
          <w:tcPr>
            <w:tcW w:w="1445" w:type="dxa"/>
            <w:tcBorders>
              <w:top w:val="single" w:color="000000" w:sz="4" w:space="0"/>
              <w:left w:val="single" w:color="000000" w:sz="4" w:space="0"/>
              <w:bottom w:val="single" w:color="000000" w:sz="4" w:space="0"/>
              <w:right w:val="single" w:color="000000" w:sz="4" w:space="0"/>
            </w:tcBorders>
            <w:vAlign w:val="center"/>
          </w:tcPr>
          <w:p w14:paraId="25B89DD6">
            <w:pPr>
              <w:jc w:val="center"/>
            </w:pPr>
            <w:r>
              <w:rPr>
                <w:rFonts w:hint="eastAsia"/>
              </w:rPr>
              <w:t>工作简历</w:t>
            </w:r>
          </w:p>
        </w:tc>
        <w:tc>
          <w:tcPr>
            <w:tcW w:w="7238" w:type="dxa"/>
            <w:gridSpan w:val="5"/>
            <w:tcBorders>
              <w:top w:val="single" w:color="000000" w:sz="4" w:space="0"/>
              <w:left w:val="single" w:color="000000" w:sz="4" w:space="0"/>
              <w:bottom w:val="single" w:color="000000" w:sz="4" w:space="0"/>
              <w:right w:val="single" w:color="000000" w:sz="4" w:space="0"/>
            </w:tcBorders>
            <w:vAlign w:val="center"/>
          </w:tcPr>
          <w:p w14:paraId="62A0E97C"/>
        </w:tc>
      </w:tr>
      <w:tr w14:paraId="7E3F7E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996" w:hRule="atLeast"/>
          <w:jc w:val="center"/>
        </w:trPr>
        <w:tc>
          <w:tcPr>
            <w:tcW w:w="677" w:type="dxa"/>
            <w:vMerge w:val="restart"/>
            <w:tcBorders>
              <w:top w:val="single" w:color="000000" w:sz="4" w:space="0"/>
              <w:left w:val="single" w:color="000000" w:sz="4" w:space="0"/>
              <w:bottom w:val="single" w:color="000000" w:sz="4" w:space="0"/>
              <w:right w:val="single" w:color="000000" w:sz="4" w:space="0"/>
            </w:tcBorders>
            <w:vAlign w:val="center"/>
          </w:tcPr>
          <w:p w14:paraId="7F1D4A4B">
            <w:pPr>
              <w:jc w:val="center"/>
              <w:rPr>
                <w:rFonts w:hint="eastAsia" w:eastAsia="宋体"/>
                <w:lang w:val="en-US" w:eastAsia="zh-CN"/>
              </w:rPr>
            </w:pPr>
            <w:r>
              <w:rPr>
                <w:rFonts w:hint="eastAsia"/>
                <w:lang w:val="en-US" w:eastAsia="zh-CN"/>
              </w:rPr>
              <w:t>2</w:t>
            </w:r>
          </w:p>
        </w:tc>
        <w:tc>
          <w:tcPr>
            <w:tcW w:w="1445" w:type="dxa"/>
            <w:tcBorders>
              <w:top w:val="single" w:color="000000" w:sz="4" w:space="0"/>
              <w:left w:val="single" w:color="000000" w:sz="4" w:space="0"/>
              <w:bottom w:val="single" w:color="000000" w:sz="4" w:space="0"/>
              <w:right w:val="single" w:color="000000" w:sz="4" w:space="0"/>
            </w:tcBorders>
            <w:vAlign w:val="center"/>
          </w:tcPr>
          <w:p w14:paraId="09D42A34"/>
        </w:tc>
        <w:tc>
          <w:tcPr>
            <w:tcW w:w="1890" w:type="dxa"/>
            <w:tcBorders>
              <w:top w:val="single" w:color="000000" w:sz="4" w:space="0"/>
              <w:left w:val="single" w:color="000000" w:sz="4" w:space="0"/>
              <w:bottom w:val="single" w:color="000000" w:sz="4" w:space="0"/>
              <w:right w:val="single" w:color="000000" w:sz="4" w:space="0"/>
            </w:tcBorders>
            <w:vAlign w:val="center"/>
          </w:tcPr>
          <w:p w14:paraId="7930E07C"/>
        </w:tc>
        <w:tc>
          <w:tcPr>
            <w:tcW w:w="1112" w:type="dxa"/>
            <w:tcBorders>
              <w:top w:val="single" w:color="000000" w:sz="4" w:space="0"/>
              <w:left w:val="single" w:color="000000" w:sz="4" w:space="0"/>
              <w:bottom w:val="single" w:color="000000" w:sz="4" w:space="0"/>
              <w:right w:val="single" w:color="000000" w:sz="4" w:space="0"/>
            </w:tcBorders>
            <w:vAlign w:val="center"/>
          </w:tcPr>
          <w:p w14:paraId="5E184D44"/>
        </w:tc>
        <w:tc>
          <w:tcPr>
            <w:tcW w:w="1400" w:type="dxa"/>
            <w:tcBorders>
              <w:top w:val="single" w:color="000000" w:sz="4" w:space="0"/>
              <w:left w:val="single" w:color="000000" w:sz="4" w:space="0"/>
              <w:bottom w:val="single" w:color="000000" w:sz="4" w:space="0"/>
              <w:right w:val="single" w:color="000000" w:sz="4" w:space="0"/>
            </w:tcBorders>
            <w:vAlign w:val="center"/>
          </w:tcPr>
          <w:p w14:paraId="217B61FC"/>
        </w:tc>
        <w:tc>
          <w:tcPr>
            <w:tcW w:w="1269" w:type="dxa"/>
            <w:tcBorders>
              <w:top w:val="single" w:color="000000" w:sz="4" w:space="0"/>
              <w:left w:val="single" w:color="000000" w:sz="4" w:space="0"/>
              <w:bottom w:val="single" w:color="000000" w:sz="4" w:space="0"/>
              <w:right w:val="single" w:color="000000" w:sz="4" w:space="0"/>
            </w:tcBorders>
            <w:vAlign w:val="center"/>
          </w:tcPr>
          <w:p w14:paraId="461A8053"/>
        </w:tc>
        <w:tc>
          <w:tcPr>
            <w:tcW w:w="1567" w:type="dxa"/>
            <w:tcBorders>
              <w:top w:val="single" w:color="000000" w:sz="4" w:space="0"/>
              <w:left w:val="single" w:color="000000" w:sz="4" w:space="0"/>
              <w:bottom w:val="single" w:color="000000" w:sz="4" w:space="0"/>
              <w:right w:val="single" w:color="000000" w:sz="4" w:space="0"/>
            </w:tcBorders>
            <w:vAlign w:val="center"/>
          </w:tcPr>
          <w:p w14:paraId="54E7C1C6"/>
        </w:tc>
      </w:tr>
      <w:tr w14:paraId="3FB8F1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564" w:hRule="atLeast"/>
          <w:jc w:val="center"/>
        </w:trPr>
        <w:tc>
          <w:tcPr>
            <w:tcW w:w="677" w:type="dxa"/>
            <w:vMerge w:val="continue"/>
            <w:tcBorders>
              <w:top w:val="single" w:color="000000" w:sz="4" w:space="0"/>
              <w:left w:val="single" w:color="000000" w:sz="4" w:space="0"/>
              <w:bottom w:val="single" w:color="000000" w:sz="4" w:space="0"/>
              <w:right w:val="single" w:color="000000" w:sz="4" w:space="0"/>
            </w:tcBorders>
            <w:vAlign w:val="center"/>
          </w:tcPr>
          <w:p w14:paraId="4D8162EB"/>
        </w:tc>
        <w:tc>
          <w:tcPr>
            <w:tcW w:w="1445" w:type="dxa"/>
            <w:tcBorders>
              <w:top w:val="single" w:color="000000" w:sz="4" w:space="0"/>
              <w:left w:val="single" w:color="000000" w:sz="4" w:space="0"/>
              <w:bottom w:val="single" w:color="000000" w:sz="4" w:space="0"/>
              <w:right w:val="single" w:color="000000" w:sz="4" w:space="0"/>
            </w:tcBorders>
            <w:vAlign w:val="center"/>
          </w:tcPr>
          <w:p w14:paraId="4952C550">
            <w:pPr>
              <w:jc w:val="center"/>
            </w:pPr>
            <w:r>
              <w:rPr>
                <w:rFonts w:hint="eastAsia"/>
              </w:rPr>
              <w:t>工作简历</w:t>
            </w:r>
          </w:p>
        </w:tc>
        <w:tc>
          <w:tcPr>
            <w:tcW w:w="7238" w:type="dxa"/>
            <w:gridSpan w:val="5"/>
            <w:tcBorders>
              <w:top w:val="single" w:color="000000" w:sz="4" w:space="0"/>
              <w:left w:val="single" w:color="000000" w:sz="4" w:space="0"/>
              <w:bottom w:val="single" w:color="000000" w:sz="4" w:space="0"/>
              <w:right w:val="single" w:color="000000" w:sz="4" w:space="0"/>
            </w:tcBorders>
            <w:vAlign w:val="center"/>
          </w:tcPr>
          <w:p w14:paraId="47D59CE4"/>
        </w:tc>
      </w:tr>
    </w:tbl>
    <w:p w14:paraId="59272449">
      <w:pPr>
        <w:snapToGrid w:val="0"/>
        <w:spacing w:line="360" w:lineRule="auto"/>
        <w:jc w:val="left"/>
        <w:rPr>
          <w:rStyle w:val="87"/>
          <w:rFonts w:ascii="宋体" w:hAnsi="宋体"/>
        </w:rPr>
      </w:pPr>
    </w:p>
    <w:p w14:paraId="18A5AF76">
      <w:pPr>
        <w:rPr>
          <w:rStyle w:val="87"/>
          <w:rFonts w:ascii="等线 Light" w:hAnsi="宋体"/>
          <w:b/>
        </w:rPr>
      </w:pPr>
    </w:p>
    <w:p w14:paraId="1EA232A7">
      <w:pPr>
        <w:rPr>
          <w:rStyle w:val="87"/>
          <w:rFonts w:ascii="等线 Light" w:hAnsi="宋体"/>
          <w:b/>
        </w:rPr>
        <w:sectPr>
          <w:endnotePr>
            <w:numFmt w:val="decimal"/>
          </w:endnotePr>
          <w:pgSz w:w="11906" w:h="16838"/>
          <w:pgMar w:top="1418" w:right="1134" w:bottom="1134" w:left="1418" w:header="851" w:footer="641" w:gutter="0"/>
          <w:cols w:space="720" w:num="1"/>
          <w:docGrid w:linePitch="312" w:charSpace="0"/>
        </w:sectPr>
      </w:pPr>
    </w:p>
    <w:bookmarkEnd w:id="24"/>
    <w:p w14:paraId="11F5E6CA">
      <w:pPr>
        <w:pStyle w:val="101"/>
        <w:snapToGrid w:val="0"/>
        <w:spacing w:before="0" w:after="0" w:line="360" w:lineRule="auto"/>
        <w:jc w:val="left"/>
        <w:rPr>
          <w:rStyle w:val="87"/>
          <w:rFonts w:ascii="黑体" w:hAnsi="黑体" w:eastAsia="黑体" w:cs="黑体"/>
          <w:b w:val="0"/>
          <w:bCs/>
          <w:sz w:val="24"/>
        </w:rPr>
      </w:pPr>
      <w:bookmarkStart w:id="28" w:name="_Toc80271055"/>
      <w:bookmarkEnd w:id="28"/>
      <w:r>
        <w:rPr>
          <w:rStyle w:val="87"/>
          <w:rFonts w:hint="eastAsia" w:ascii="黑体" w:hAnsi="黑体" w:eastAsia="黑体" w:cs="黑体"/>
          <w:b w:val="0"/>
          <w:bCs/>
          <w:sz w:val="24"/>
        </w:rPr>
        <w:t>附表</w:t>
      </w:r>
      <w:r>
        <w:rPr>
          <w:rStyle w:val="87"/>
          <w:rFonts w:hint="eastAsia" w:ascii="黑体" w:hAnsi="黑体" w:eastAsia="黑体" w:cs="黑体"/>
          <w:b w:val="0"/>
          <w:bCs/>
          <w:sz w:val="24"/>
          <w:lang w:val="en-US" w:eastAsia="zh-CN"/>
        </w:rPr>
        <w:t>1</w:t>
      </w:r>
      <w:r>
        <w:rPr>
          <w:rStyle w:val="87"/>
          <w:rFonts w:ascii="黑体" w:hAnsi="黑体" w:eastAsia="黑体" w:cs="黑体"/>
          <w:b w:val="0"/>
          <w:bCs/>
          <w:sz w:val="24"/>
        </w:rPr>
        <w:t xml:space="preserve"> </w:t>
      </w:r>
      <w:r>
        <w:rPr>
          <w:rStyle w:val="87"/>
          <w:rFonts w:hint="eastAsia" w:ascii="黑体" w:hAnsi="黑体" w:eastAsia="黑体" w:cs="黑体"/>
          <w:b w:val="0"/>
          <w:bCs/>
          <w:sz w:val="24"/>
        </w:rPr>
        <w:t>清理除锈记录</w:t>
      </w:r>
    </w:p>
    <w:tbl>
      <w:tblPr>
        <w:tblStyle w:val="28"/>
        <w:tblW w:w="9619" w:type="dxa"/>
        <w:tblInd w:w="-16"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CellMar>
          <w:top w:w="0" w:type="dxa"/>
          <w:left w:w="28" w:type="dxa"/>
          <w:bottom w:w="0" w:type="dxa"/>
          <w:right w:w="28" w:type="dxa"/>
        </w:tblCellMar>
      </w:tblPr>
      <w:tblGrid>
        <w:gridCol w:w="1196"/>
        <w:gridCol w:w="1091"/>
        <w:gridCol w:w="858"/>
        <w:gridCol w:w="1726"/>
        <w:gridCol w:w="1036"/>
        <w:gridCol w:w="389"/>
        <w:gridCol w:w="3323"/>
      </w:tblGrid>
      <w:tr w14:paraId="69AC610C">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28" w:type="dxa"/>
            <w:bottom w:w="0" w:type="dxa"/>
            <w:right w:w="28" w:type="dxa"/>
          </w:tblCellMar>
        </w:tblPrEx>
        <w:trPr>
          <w:cantSplit/>
          <w:trHeight w:val="1400" w:hRule="atLeast"/>
        </w:trPr>
        <w:tc>
          <w:tcPr>
            <w:tcW w:w="2291" w:type="dxa"/>
            <w:gridSpan w:val="2"/>
            <w:vAlign w:val="center"/>
          </w:tcPr>
          <w:p w14:paraId="34C34341">
            <w:pPr>
              <w:jc w:val="center"/>
              <w:rPr>
                <w:rFonts w:ascii="黑体" w:eastAsia="黑体"/>
              </w:rPr>
            </w:pPr>
          </w:p>
        </w:tc>
        <w:tc>
          <w:tcPr>
            <w:tcW w:w="3628" w:type="dxa"/>
            <w:gridSpan w:val="3"/>
            <w:vAlign w:val="center"/>
          </w:tcPr>
          <w:p w14:paraId="4F0D5E45">
            <w:pPr>
              <w:jc w:val="center"/>
              <w:rPr>
                <w:rFonts w:ascii="宋体" w:hAnsi="宋体"/>
                <w:b/>
                <w:bCs/>
                <w:color w:val="000000"/>
                <w:kern w:val="0"/>
              </w:rPr>
            </w:pPr>
            <w:r>
              <w:rPr>
                <w:rFonts w:hint="eastAsia" w:ascii="宋体" w:hAnsi="宋体"/>
                <w:b/>
                <w:bCs/>
                <w:color w:val="000000"/>
                <w:kern w:val="0"/>
              </w:rPr>
              <w:t>清理、除锈记录</w:t>
            </w:r>
          </w:p>
        </w:tc>
        <w:tc>
          <w:tcPr>
            <w:tcW w:w="3700" w:type="dxa"/>
            <w:gridSpan w:val="2"/>
          </w:tcPr>
          <w:p w14:paraId="32464016">
            <w:pPr>
              <w:spacing w:before="120"/>
              <w:rPr>
                <w:rFonts w:ascii="宋体"/>
              </w:rPr>
            </w:pPr>
            <w:r>
              <w:rPr>
                <w:rFonts w:hint="eastAsia" w:ascii="宋体"/>
                <w:lang w:eastAsia="zh-CN"/>
              </w:rPr>
              <w:t>项目</w:t>
            </w:r>
            <w:r>
              <w:rPr>
                <w:rFonts w:hint="eastAsia" w:ascii="宋体"/>
              </w:rPr>
              <w:t>名称：</w:t>
            </w:r>
          </w:p>
          <w:p w14:paraId="010287FF">
            <w:pPr>
              <w:spacing w:before="96"/>
              <w:rPr>
                <w:rFonts w:hint="eastAsia"/>
              </w:rPr>
            </w:pPr>
          </w:p>
          <w:p w14:paraId="14364E3C">
            <w:pPr>
              <w:spacing w:before="96"/>
              <w:rPr>
                <w:rFonts w:hint="eastAsia"/>
              </w:rPr>
            </w:pPr>
          </w:p>
          <w:p w14:paraId="7B4AAD68">
            <w:pPr>
              <w:spacing w:before="96"/>
            </w:pPr>
            <w:r>
              <w:rPr>
                <w:rFonts w:hint="eastAsia"/>
              </w:rPr>
              <w:t>单元名称：</w:t>
            </w:r>
          </w:p>
          <w:p w14:paraId="3376B6F2">
            <w:pPr>
              <w:jc w:val="right"/>
              <w:rPr>
                <w:rFonts w:ascii="宋体"/>
              </w:rPr>
            </w:pPr>
          </w:p>
        </w:tc>
      </w:tr>
      <w:tr w14:paraId="38522675">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28" w:type="dxa"/>
            <w:bottom w:w="0" w:type="dxa"/>
            <w:right w:w="28" w:type="dxa"/>
          </w:tblCellMar>
        </w:tblPrEx>
        <w:trPr>
          <w:cantSplit/>
          <w:trHeight w:val="754" w:hRule="atLeast"/>
        </w:trPr>
        <w:tc>
          <w:tcPr>
            <w:tcW w:w="1198" w:type="dxa"/>
            <w:tcBorders>
              <w:top w:val="single" w:color="000000" w:sz="8" w:space="0"/>
            </w:tcBorders>
            <w:vAlign w:val="center"/>
          </w:tcPr>
          <w:p w14:paraId="4290A78D">
            <w:pPr>
              <w:jc w:val="center"/>
            </w:pPr>
            <w:r>
              <w:rPr>
                <w:rFonts w:hint="eastAsia"/>
              </w:rPr>
              <w:t>设备名称</w:t>
            </w:r>
          </w:p>
        </w:tc>
        <w:tc>
          <w:tcPr>
            <w:tcW w:w="3683" w:type="dxa"/>
            <w:gridSpan w:val="3"/>
            <w:tcBorders>
              <w:top w:val="single" w:color="000000" w:sz="8" w:space="0"/>
            </w:tcBorders>
            <w:vAlign w:val="center"/>
          </w:tcPr>
          <w:p w14:paraId="18AFC4CE">
            <w:pPr>
              <w:jc w:val="center"/>
              <w:rPr>
                <w:u w:val="single"/>
              </w:rPr>
            </w:pPr>
            <w:r>
              <w:rPr>
                <w:rFonts w:hint="eastAsia"/>
                <w:u w:val="single"/>
              </w:rPr>
              <w:t xml:space="preserve">    #</w:t>
            </w:r>
            <w:r>
              <w:rPr>
                <w:rFonts w:hint="eastAsia"/>
              </w:rPr>
              <w:t>气化炉</w:t>
            </w:r>
          </w:p>
        </w:tc>
        <w:tc>
          <w:tcPr>
            <w:tcW w:w="1038" w:type="dxa"/>
            <w:tcBorders>
              <w:top w:val="single" w:color="000000" w:sz="8" w:space="0"/>
            </w:tcBorders>
            <w:vAlign w:val="center"/>
          </w:tcPr>
          <w:p w14:paraId="41B2BE11">
            <w:pPr>
              <w:jc w:val="center"/>
            </w:pPr>
            <w:r>
              <w:rPr>
                <w:rFonts w:hint="eastAsia"/>
              </w:rPr>
              <w:t>设备位号</w:t>
            </w:r>
          </w:p>
        </w:tc>
        <w:tc>
          <w:tcPr>
            <w:tcW w:w="3700" w:type="dxa"/>
            <w:gridSpan w:val="2"/>
            <w:tcBorders>
              <w:top w:val="single" w:color="000000" w:sz="8" w:space="0"/>
            </w:tcBorders>
            <w:vAlign w:val="center"/>
          </w:tcPr>
          <w:p w14:paraId="337C8388">
            <w:pPr>
              <w:jc w:val="center"/>
            </w:pPr>
          </w:p>
        </w:tc>
      </w:tr>
      <w:tr w14:paraId="480FC566">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28" w:type="dxa"/>
            <w:bottom w:w="0" w:type="dxa"/>
            <w:right w:w="28" w:type="dxa"/>
          </w:tblCellMar>
        </w:tblPrEx>
        <w:trPr>
          <w:cantSplit/>
          <w:trHeight w:val="5126" w:hRule="exact"/>
        </w:trPr>
        <w:tc>
          <w:tcPr>
            <w:tcW w:w="1178" w:type="dxa"/>
            <w:vAlign w:val="center"/>
          </w:tcPr>
          <w:p w14:paraId="7D2C9A20">
            <w:r>
              <w:rPr>
                <w:rFonts w:hint="eastAsia"/>
              </w:rPr>
              <w:t>清理、除锈内容及</w:t>
            </w:r>
          </w:p>
          <w:p w14:paraId="257BAB32">
            <w:pPr>
              <w:jc w:val="center"/>
            </w:pPr>
            <w:r>
              <w:rPr>
                <w:rFonts w:hint="eastAsia"/>
              </w:rPr>
              <w:t>简图</w:t>
            </w:r>
          </w:p>
        </w:tc>
        <w:tc>
          <w:tcPr>
            <w:tcW w:w="8441" w:type="dxa"/>
            <w:gridSpan w:val="6"/>
            <w:vAlign w:val="center"/>
          </w:tcPr>
          <w:p w14:paraId="4DF34D17"/>
        </w:tc>
      </w:tr>
      <w:tr w14:paraId="6FA65CE4">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28" w:type="dxa"/>
            <w:bottom w:w="0" w:type="dxa"/>
            <w:right w:w="28" w:type="dxa"/>
          </w:tblCellMar>
        </w:tblPrEx>
        <w:trPr>
          <w:cantSplit/>
          <w:trHeight w:val="1962" w:hRule="atLeast"/>
        </w:trPr>
        <w:tc>
          <w:tcPr>
            <w:tcW w:w="1178" w:type="dxa"/>
            <w:tcBorders>
              <w:bottom w:val="single" w:color="000000" w:sz="6" w:space="0"/>
            </w:tcBorders>
            <w:vAlign w:val="center"/>
          </w:tcPr>
          <w:p w14:paraId="5AF86C33">
            <w:pPr>
              <w:jc w:val="center"/>
            </w:pPr>
            <w:r>
              <w:rPr>
                <w:rFonts w:hint="eastAsia"/>
              </w:rPr>
              <w:t>检</w:t>
            </w:r>
          </w:p>
          <w:p w14:paraId="27D4B60E">
            <w:pPr>
              <w:jc w:val="center"/>
            </w:pPr>
            <w:r>
              <w:rPr>
                <w:rFonts w:hint="eastAsia"/>
              </w:rPr>
              <w:t>查</w:t>
            </w:r>
          </w:p>
          <w:p w14:paraId="7FB6DAEC">
            <w:pPr>
              <w:jc w:val="center"/>
            </w:pPr>
            <w:r>
              <w:rPr>
                <w:rFonts w:hint="eastAsia"/>
              </w:rPr>
              <w:t>结</w:t>
            </w:r>
          </w:p>
          <w:p w14:paraId="4ECFF272">
            <w:pPr>
              <w:jc w:val="center"/>
            </w:pPr>
            <w:r>
              <w:rPr>
                <w:rFonts w:hint="eastAsia"/>
              </w:rPr>
              <w:t>果</w:t>
            </w:r>
          </w:p>
        </w:tc>
        <w:tc>
          <w:tcPr>
            <w:tcW w:w="8441" w:type="dxa"/>
            <w:gridSpan w:val="6"/>
            <w:tcBorders>
              <w:bottom w:val="single" w:color="000000" w:sz="6" w:space="0"/>
            </w:tcBorders>
            <w:vAlign w:val="center"/>
          </w:tcPr>
          <w:p w14:paraId="7CA362BD">
            <w:pPr>
              <w:jc w:val="center"/>
            </w:pPr>
          </w:p>
          <w:p w14:paraId="3A39FF0C">
            <w:pPr>
              <w:jc w:val="center"/>
            </w:pPr>
          </w:p>
          <w:p w14:paraId="61C51263"/>
          <w:p w14:paraId="1FAE05C5">
            <w:pPr>
              <w:jc w:val="center"/>
            </w:pPr>
          </w:p>
          <w:p w14:paraId="01DB19D7">
            <w:pPr>
              <w:jc w:val="left"/>
            </w:pPr>
            <w:r>
              <w:rPr>
                <w:rFonts w:hint="eastAsia"/>
              </w:rPr>
              <w:t xml:space="preserve">                      </w:t>
            </w:r>
          </w:p>
        </w:tc>
      </w:tr>
      <w:tr w14:paraId="31124749">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28" w:type="dxa"/>
            <w:bottom w:w="0" w:type="dxa"/>
            <w:right w:w="28" w:type="dxa"/>
          </w:tblCellMar>
        </w:tblPrEx>
        <w:trPr>
          <w:cantSplit/>
          <w:trHeight w:val="694" w:hRule="atLeast"/>
        </w:trPr>
        <w:tc>
          <w:tcPr>
            <w:tcW w:w="3151" w:type="dxa"/>
            <w:gridSpan w:val="3"/>
            <w:tcBorders>
              <w:top w:val="single" w:color="000000" w:sz="6" w:space="0"/>
              <w:bottom w:val="single" w:color="000000" w:sz="4" w:space="0"/>
            </w:tcBorders>
            <w:vAlign w:val="center"/>
          </w:tcPr>
          <w:p w14:paraId="55871842">
            <w:pPr>
              <w:jc w:val="center"/>
              <w:rPr>
                <w:rFonts w:hint="default" w:eastAsia="宋体"/>
                <w:lang w:val="en-US" w:eastAsia="zh-CN"/>
              </w:rPr>
            </w:pPr>
            <w:r>
              <w:rPr>
                <w:rFonts w:hint="eastAsia"/>
                <w:lang w:val="en-US" w:eastAsia="zh-CN"/>
              </w:rPr>
              <w:t>施工单位</w:t>
            </w:r>
          </w:p>
        </w:tc>
        <w:tc>
          <w:tcPr>
            <w:tcW w:w="3158" w:type="dxa"/>
            <w:gridSpan w:val="3"/>
            <w:tcBorders>
              <w:top w:val="single" w:color="000000" w:sz="6" w:space="0"/>
              <w:bottom w:val="single" w:color="000000" w:sz="4" w:space="0"/>
            </w:tcBorders>
            <w:vAlign w:val="center"/>
          </w:tcPr>
          <w:p w14:paraId="20DDB7DB">
            <w:pPr>
              <w:jc w:val="center"/>
              <w:rPr>
                <w:rFonts w:hint="default" w:eastAsia="宋体"/>
                <w:lang w:val="en-US" w:eastAsia="zh-CN"/>
              </w:rPr>
            </w:pPr>
            <w:r>
              <w:rPr>
                <w:rFonts w:hint="eastAsia"/>
                <w:lang w:val="en-US" w:eastAsia="zh-CN"/>
              </w:rPr>
              <w:t>主管部门</w:t>
            </w:r>
          </w:p>
        </w:tc>
        <w:tc>
          <w:tcPr>
            <w:tcW w:w="3310" w:type="dxa"/>
            <w:tcBorders>
              <w:top w:val="single" w:color="000000" w:sz="6" w:space="0"/>
              <w:bottom w:val="single" w:color="000000" w:sz="4" w:space="0"/>
            </w:tcBorders>
            <w:vAlign w:val="center"/>
          </w:tcPr>
          <w:p w14:paraId="599D7BDB">
            <w:pPr>
              <w:jc w:val="center"/>
              <w:rPr>
                <w:rFonts w:hint="default" w:eastAsia="宋体"/>
                <w:lang w:val="en-US" w:eastAsia="zh-CN"/>
              </w:rPr>
            </w:pPr>
            <w:r>
              <w:rPr>
                <w:rFonts w:hint="eastAsia"/>
                <w:lang w:val="en-US" w:eastAsia="zh-CN"/>
              </w:rPr>
              <w:t>归口部门</w:t>
            </w:r>
          </w:p>
        </w:tc>
      </w:tr>
      <w:tr w14:paraId="43A0AD56">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28" w:type="dxa"/>
            <w:bottom w:w="0" w:type="dxa"/>
            <w:right w:w="28" w:type="dxa"/>
          </w:tblCellMar>
        </w:tblPrEx>
        <w:trPr>
          <w:cantSplit/>
          <w:trHeight w:val="1684" w:hRule="atLeast"/>
        </w:trPr>
        <w:tc>
          <w:tcPr>
            <w:tcW w:w="3151" w:type="dxa"/>
            <w:gridSpan w:val="3"/>
            <w:tcBorders>
              <w:top w:val="single" w:color="000000" w:sz="4" w:space="0"/>
            </w:tcBorders>
          </w:tcPr>
          <w:p w14:paraId="773770D7">
            <w:pPr>
              <w:spacing w:before="72"/>
              <w:ind w:firstLine="120" w:firstLineChars="50"/>
            </w:pPr>
            <w:r>
              <w:rPr>
                <w:rFonts w:hint="eastAsia"/>
              </w:rPr>
              <w:t xml:space="preserve"> </w:t>
            </w:r>
            <w:r>
              <w:rPr>
                <w:rFonts w:hint="eastAsia"/>
                <w:lang w:eastAsia="zh-CN"/>
              </w:rPr>
              <w:t>项目负责人</w:t>
            </w:r>
            <w:r>
              <w:rPr>
                <w:rFonts w:hint="eastAsia"/>
              </w:rPr>
              <w:t>：</w:t>
            </w:r>
          </w:p>
          <w:p w14:paraId="20379A66">
            <w:pPr>
              <w:spacing w:before="72"/>
            </w:pPr>
          </w:p>
          <w:p w14:paraId="7B677E59"/>
          <w:p w14:paraId="70F157E3"/>
          <w:p w14:paraId="00AA0A9D">
            <w:pPr>
              <w:spacing w:before="72"/>
            </w:pPr>
            <w:r>
              <w:rPr>
                <w:rFonts w:hint="eastAsia"/>
              </w:rPr>
              <w:t xml:space="preserve"> 日期：    年   月   日</w:t>
            </w:r>
          </w:p>
        </w:tc>
        <w:tc>
          <w:tcPr>
            <w:tcW w:w="3158" w:type="dxa"/>
            <w:gridSpan w:val="3"/>
            <w:tcBorders>
              <w:top w:val="single" w:color="000000" w:sz="4" w:space="0"/>
            </w:tcBorders>
          </w:tcPr>
          <w:p w14:paraId="5878294C">
            <w:pPr>
              <w:spacing w:before="72"/>
              <w:ind w:firstLine="120" w:firstLineChars="50"/>
            </w:pPr>
            <w:r>
              <w:rPr>
                <w:rFonts w:hint="eastAsia"/>
                <w:lang w:val="en-US" w:eastAsia="zh-CN"/>
              </w:rPr>
              <w:t>设备专工</w:t>
            </w:r>
            <w:r>
              <w:rPr>
                <w:rFonts w:hint="eastAsia"/>
              </w:rPr>
              <w:t>：</w:t>
            </w:r>
          </w:p>
          <w:p w14:paraId="77D4DB64"/>
          <w:p w14:paraId="637B6B4F"/>
          <w:p w14:paraId="0C27E64E"/>
          <w:p w14:paraId="6DD06B6C"/>
          <w:p w14:paraId="1D129AF3">
            <w:pPr>
              <w:ind w:firstLine="120" w:firstLineChars="50"/>
            </w:pPr>
            <w:r>
              <w:rPr>
                <w:rFonts w:hint="eastAsia"/>
              </w:rPr>
              <w:t>日期：   年   月   日</w:t>
            </w:r>
          </w:p>
        </w:tc>
        <w:tc>
          <w:tcPr>
            <w:tcW w:w="3310" w:type="dxa"/>
            <w:tcBorders>
              <w:top w:val="single" w:color="000000" w:sz="4" w:space="0"/>
            </w:tcBorders>
          </w:tcPr>
          <w:p w14:paraId="63064E9A">
            <w:pPr>
              <w:spacing w:before="72"/>
            </w:pPr>
            <w:r>
              <w:rPr>
                <w:rFonts w:hint="eastAsia"/>
                <w:lang w:val="en-US" w:eastAsia="zh-CN"/>
              </w:rPr>
              <w:t>设备专工</w:t>
            </w:r>
            <w:r>
              <w:rPr>
                <w:rFonts w:hint="eastAsia"/>
              </w:rPr>
              <w:t>：</w:t>
            </w:r>
          </w:p>
          <w:p w14:paraId="3631E901">
            <w:pPr>
              <w:spacing w:before="72"/>
            </w:pPr>
          </w:p>
          <w:p w14:paraId="0029AD99">
            <w:pPr>
              <w:spacing w:before="72"/>
            </w:pPr>
          </w:p>
          <w:p w14:paraId="1A55D3AD"/>
          <w:p w14:paraId="421AA80B">
            <w:pPr>
              <w:spacing w:before="288"/>
            </w:pPr>
            <w:r>
              <w:rPr>
                <w:rFonts w:hint="eastAsia"/>
              </w:rPr>
              <w:t xml:space="preserve"> 日期：    年   月   日                     </w:t>
            </w:r>
          </w:p>
        </w:tc>
      </w:tr>
    </w:tbl>
    <w:p w14:paraId="1648DDDA">
      <w:pPr>
        <w:pStyle w:val="101"/>
        <w:snapToGrid w:val="0"/>
        <w:spacing w:before="0" w:after="0" w:line="360" w:lineRule="auto"/>
        <w:jc w:val="left"/>
        <w:rPr>
          <w:rStyle w:val="87"/>
          <w:rFonts w:ascii="黑体" w:hAnsi="黑体" w:eastAsia="黑体" w:cs="黑体"/>
          <w:b w:val="0"/>
          <w:bCs/>
          <w:sz w:val="24"/>
        </w:rPr>
      </w:pPr>
      <w:bookmarkStart w:id="29" w:name="_Toc94123788"/>
      <w:bookmarkEnd w:id="29"/>
      <w:r>
        <w:rPr>
          <w:rStyle w:val="87"/>
          <w:rFonts w:hint="eastAsia" w:ascii="黑体" w:hAnsi="黑体" w:eastAsia="黑体" w:cs="黑体"/>
          <w:b w:val="0"/>
          <w:bCs/>
          <w:sz w:val="24"/>
        </w:rPr>
        <w:t>附表</w:t>
      </w:r>
      <w:r>
        <w:rPr>
          <w:rStyle w:val="87"/>
          <w:rFonts w:hint="eastAsia" w:ascii="黑体" w:hAnsi="黑体" w:eastAsia="黑体" w:cs="黑体"/>
          <w:b w:val="0"/>
          <w:bCs/>
          <w:sz w:val="24"/>
          <w:lang w:val="en-US" w:eastAsia="zh-CN"/>
        </w:rPr>
        <w:t>2</w:t>
      </w:r>
      <w:r>
        <w:rPr>
          <w:rStyle w:val="87"/>
          <w:rFonts w:ascii="黑体" w:hAnsi="黑体" w:eastAsia="黑体" w:cs="黑体"/>
          <w:b w:val="0"/>
          <w:bCs/>
          <w:sz w:val="24"/>
        </w:rPr>
        <w:t xml:space="preserve"> </w:t>
      </w:r>
      <w:r>
        <w:rPr>
          <w:rStyle w:val="87"/>
          <w:rFonts w:hint="eastAsia" w:ascii="黑体" w:hAnsi="黑体" w:eastAsia="黑体" w:cs="黑体"/>
          <w:b w:val="0"/>
          <w:bCs/>
          <w:sz w:val="24"/>
        </w:rPr>
        <w:t>焊条发放及回收记录</w:t>
      </w:r>
    </w:p>
    <w:tbl>
      <w:tblPr>
        <w:tblStyle w:val="28"/>
        <w:tblW w:w="9586" w:type="dxa"/>
        <w:tblInd w:w="-16"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CellMar>
          <w:top w:w="0" w:type="dxa"/>
          <w:left w:w="28" w:type="dxa"/>
          <w:bottom w:w="0" w:type="dxa"/>
          <w:right w:w="28" w:type="dxa"/>
        </w:tblCellMar>
      </w:tblPr>
      <w:tblGrid>
        <w:gridCol w:w="576"/>
        <w:gridCol w:w="622"/>
        <w:gridCol w:w="694"/>
        <w:gridCol w:w="399"/>
        <w:gridCol w:w="588"/>
        <w:gridCol w:w="272"/>
        <w:gridCol w:w="437"/>
        <w:gridCol w:w="851"/>
        <w:gridCol w:w="442"/>
        <w:gridCol w:w="795"/>
        <w:gridCol w:w="327"/>
        <w:gridCol w:w="306"/>
        <w:gridCol w:w="313"/>
        <w:gridCol w:w="946"/>
        <w:gridCol w:w="946"/>
        <w:gridCol w:w="1072"/>
      </w:tblGrid>
      <w:tr w14:paraId="5436DEAE">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28" w:type="dxa"/>
            <w:bottom w:w="0" w:type="dxa"/>
            <w:right w:w="28" w:type="dxa"/>
          </w:tblCellMar>
        </w:tblPrEx>
        <w:trPr>
          <w:cantSplit/>
          <w:trHeight w:val="1400" w:hRule="atLeast"/>
        </w:trPr>
        <w:tc>
          <w:tcPr>
            <w:tcW w:w="2291" w:type="dxa"/>
            <w:gridSpan w:val="4"/>
            <w:vAlign w:val="center"/>
          </w:tcPr>
          <w:p w14:paraId="78283AE3">
            <w:pPr>
              <w:jc w:val="center"/>
              <w:rPr>
                <w:rFonts w:ascii="黑体" w:eastAsia="黑体"/>
              </w:rPr>
            </w:pPr>
          </w:p>
        </w:tc>
        <w:tc>
          <w:tcPr>
            <w:tcW w:w="3712" w:type="dxa"/>
            <w:gridSpan w:val="7"/>
            <w:vAlign w:val="center"/>
          </w:tcPr>
          <w:p w14:paraId="52ECF905">
            <w:pPr>
              <w:jc w:val="center"/>
              <w:rPr>
                <w:rFonts w:ascii="宋体" w:hAnsi="宋体"/>
                <w:b/>
                <w:bCs/>
                <w:color w:val="000000"/>
                <w:sz w:val="32"/>
                <w:szCs w:val="32"/>
              </w:rPr>
            </w:pPr>
            <w:r>
              <w:rPr>
                <w:rFonts w:hint="eastAsia" w:ascii="宋体" w:hAnsi="宋体"/>
                <w:b/>
                <w:bCs/>
                <w:color w:val="000000"/>
                <w:sz w:val="32"/>
                <w:szCs w:val="32"/>
              </w:rPr>
              <w:t>焊条发放及回收</w:t>
            </w:r>
            <w:r>
              <w:rPr>
                <w:rFonts w:hint="eastAsia" w:ascii="宋体"/>
                <w:b/>
                <w:sz w:val="32"/>
              </w:rPr>
              <w:t>记录</w:t>
            </w:r>
          </w:p>
        </w:tc>
        <w:tc>
          <w:tcPr>
            <w:tcW w:w="3583" w:type="dxa"/>
            <w:gridSpan w:val="5"/>
          </w:tcPr>
          <w:p w14:paraId="613804D2">
            <w:pPr>
              <w:spacing w:before="120"/>
              <w:rPr>
                <w:rFonts w:ascii="宋体"/>
              </w:rPr>
            </w:pPr>
            <w:r>
              <w:rPr>
                <w:rFonts w:hint="eastAsia" w:ascii="宋体"/>
                <w:lang w:eastAsia="zh-CN"/>
              </w:rPr>
              <w:t>项目</w:t>
            </w:r>
            <w:r>
              <w:rPr>
                <w:rFonts w:hint="eastAsia" w:ascii="宋体"/>
              </w:rPr>
              <w:t>名称：气化炉大修和内筒体及下灰室锥体部分堆焊</w:t>
            </w:r>
            <w:r>
              <w:rPr>
                <w:rFonts w:hint="eastAsia" w:ascii="宋体"/>
                <w:bCs/>
              </w:rPr>
              <w:t>维保服务</w:t>
            </w:r>
          </w:p>
          <w:p w14:paraId="6BE938BE">
            <w:pPr>
              <w:spacing w:before="96"/>
            </w:pPr>
            <w:r>
              <w:rPr>
                <w:rFonts w:hint="eastAsia"/>
              </w:rPr>
              <w:t>单元名称：加压气化  框架</w:t>
            </w:r>
          </w:p>
          <w:p w14:paraId="4017831A">
            <w:pPr>
              <w:jc w:val="right"/>
              <w:rPr>
                <w:rFonts w:ascii="宋体"/>
              </w:rPr>
            </w:pPr>
          </w:p>
        </w:tc>
      </w:tr>
      <w:tr w14:paraId="45708742">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28" w:type="dxa"/>
            <w:bottom w:w="0" w:type="dxa"/>
            <w:right w:w="28" w:type="dxa"/>
          </w:tblCellMar>
        </w:tblPrEx>
        <w:trPr>
          <w:cantSplit/>
          <w:trHeight w:val="754" w:hRule="atLeast"/>
        </w:trPr>
        <w:tc>
          <w:tcPr>
            <w:tcW w:w="1198" w:type="dxa"/>
            <w:gridSpan w:val="2"/>
            <w:tcBorders>
              <w:top w:val="single" w:color="000000" w:sz="8" w:space="0"/>
            </w:tcBorders>
            <w:vAlign w:val="center"/>
          </w:tcPr>
          <w:p w14:paraId="12B14452">
            <w:pPr>
              <w:jc w:val="center"/>
            </w:pPr>
            <w:r>
              <w:rPr>
                <w:rFonts w:hint="eastAsia"/>
              </w:rPr>
              <w:t>设备名称</w:t>
            </w:r>
          </w:p>
        </w:tc>
        <w:tc>
          <w:tcPr>
            <w:tcW w:w="3683" w:type="dxa"/>
            <w:gridSpan w:val="7"/>
            <w:tcBorders>
              <w:top w:val="single" w:color="000000" w:sz="8" w:space="0"/>
            </w:tcBorders>
            <w:vAlign w:val="center"/>
          </w:tcPr>
          <w:p w14:paraId="61E6C07D">
            <w:pPr>
              <w:jc w:val="center"/>
              <w:rPr>
                <w:u w:val="single"/>
              </w:rPr>
            </w:pPr>
            <w:r>
              <w:rPr>
                <w:rFonts w:hint="eastAsia"/>
                <w:u w:val="single"/>
              </w:rPr>
              <w:t xml:space="preserve">       #  </w:t>
            </w:r>
            <w:r>
              <w:rPr>
                <w:rFonts w:hint="eastAsia"/>
              </w:rPr>
              <w:t>气化炉</w:t>
            </w:r>
          </w:p>
        </w:tc>
        <w:tc>
          <w:tcPr>
            <w:tcW w:w="1122" w:type="dxa"/>
            <w:gridSpan w:val="2"/>
            <w:tcBorders>
              <w:top w:val="single" w:color="000000" w:sz="8" w:space="0"/>
            </w:tcBorders>
            <w:vAlign w:val="center"/>
          </w:tcPr>
          <w:p w14:paraId="6295127E">
            <w:pPr>
              <w:jc w:val="center"/>
            </w:pPr>
            <w:r>
              <w:rPr>
                <w:rFonts w:hint="eastAsia"/>
              </w:rPr>
              <w:t>设备位号</w:t>
            </w:r>
          </w:p>
        </w:tc>
        <w:tc>
          <w:tcPr>
            <w:tcW w:w="3583" w:type="dxa"/>
            <w:gridSpan w:val="5"/>
            <w:tcBorders>
              <w:top w:val="single" w:color="000000" w:sz="8" w:space="0"/>
            </w:tcBorders>
            <w:vAlign w:val="center"/>
          </w:tcPr>
          <w:p w14:paraId="6699364A">
            <w:pPr>
              <w:jc w:val="center"/>
            </w:pPr>
          </w:p>
        </w:tc>
      </w:tr>
      <w:tr w14:paraId="2A7880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c>
          <w:tcPr>
            <w:tcW w:w="576" w:type="dxa"/>
            <w:vAlign w:val="center"/>
          </w:tcPr>
          <w:p w14:paraId="1E3922DD">
            <w:pPr>
              <w:snapToGrid w:val="0"/>
              <w:spacing w:line="500" w:lineRule="exact"/>
              <w:jc w:val="center"/>
              <w:rPr>
                <w:rFonts w:ascii="宋体" w:hAnsi="宋体"/>
                <w:color w:val="000000"/>
              </w:rPr>
            </w:pPr>
            <w:r>
              <w:rPr>
                <w:rFonts w:hint="eastAsia" w:ascii="宋体" w:hAnsi="宋体"/>
                <w:color w:val="000000"/>
              </w:rPr>
              <w:t>序号</w:t>
            </w:r>
          </w:p>
        </w:tc>
        <w:tc>
          <w:tcPr>
            <w:tcW w:w="1316" w:type="dxa"/>
            <w:gridSpan w:val="2"/>
            <w:vAlign w:val="center"/>
          </w:tcPr>
          <w:p w14:paraId="5DFB0A14">
            <w:pPr>
              <w:snapToGrid w:val="0"/>
              <w:spacing w:line="500" w:lineRule="exact"/>
              <w:jc w:val="center"/>
              <w:rPr>
                <w:rFonts w:ascii="宋体" w:hAnsi="宋体"/>
                <w:color w:val="000000"/>
              </w:rPr>
            </w:pPr>
            <w:r>
              <w:rPr>
                <w:rFonts w:hint="eastAsia" w:ascii="宋体" w:hAnsi="宋体"/>
                <w:color w:val="000000"/>
              </w:rPr>
              <w:t>名称</w:t>
            </w:r>
          </w:p>
        </w:tc>
        <w:tc>
          <w:tcPr>
            <w:tcW w:w="987" w:type="dxa"/>
            <w:gridSpan w:val="2"/>
            <w:vAlign w:val="center"/>
          </w:tcPr>
          <w:p w14:paraId="438A0B80">
            <w:pPr>
              <w:snapToGrid w:val="0"/>
              <w:spacing w:line="500" w:lineRule="exact"/>
              <w:jc w:val="center"/>
              <w:rPr>
                <w:rFonts w:ascii="宋体" w:hAnsi="宋体"/>
                <w:color w:val="000000"/>
              </w:rPr>
            </w:pPr>
            <w:r>
              <w:rPr>
                <w:rFonts w:hint="eastAsia" w:ascii="宋体" w:hAnsi="宋体"/>
                <w:color w:val="000000"/>
              </w:rPr>
              <w:t>规格及型号</w:t>
            </w:r>
          </w:p>
        </w:tc>
        <w:tc>
          <w:tcPr>
            <w:tcW w:w="709" w:type="dxa"/>
            <w:gridSpan w:val="2"/>
            <w:vAlign w:val="center"/>
          </w:tcPr>
          <w:p w14:paraId="6DF08089">
            <w:pPr>
              <w:snapToGrid w:val="0"/>
              <w:spacing w:line="500" w:lineRule="exact"/>
              <w:jc w:val="center"/>
              <w:rPr>
                <w:rFonts w:ascii="宋体" w:hAnsi="宋体"/>
                <w:color w:val="000000"/>
              </w:rPr>
            </w:pPr>
            <w:r>
              <w:rPr>
                <w:rFonts w:hint="eastAsia" w:ascii="宋体" w:hAnsi="宋体"/>
                <w:color w:val="000000"/>
              </w:rPr>
              <w:t>单位</w:t>
            </w:r>
          </w:p>
        </w:tc>
        <w:tc>
          <w:tcPr>
            <w:tcW w:w="851" w:type="dxa"/>
            <w:vAlign w:val="center"/>
          </w:tcPr>
          <w:p w14:paraId="245E9528">
            <w:pPr>
              <w:snapToGrid w:val="0"/>
              <w:spacing w:line="500" w:lineRule="exact"/>
              <w:jc w:val="center"/>
              <w:rPr>
                <w:rFonts w:ascii="宋体" w:hAnsi="宋体"/>
                <w:color w:val="000000"/>
              </w:rPr>
            </w:pPr>
            <w:r>
              <w:rPr>
                <w:rFonts w:hint="eastAsia" w:ascii="宋体" w:hAnsi="宋体"/>
                <w:color w:val="000000"/>
              </w:rPr>
              <w:t>数量</w:t>
            </w:r>
          </w:p>
        </w:tc>
        <w:tc>
          <w:tcPr>
            <w:tcW w:w="1237" w:type="dxa"/>
            <w:gridSpan w:val="2"/>
            <w:vAlign w:val="center"/>
          </w:tcPr>
          <w:p w14:paraId="35711795">
            <w:pPr>
              <w:snapToGrid w:val="0"/>
              <w:spacing w:line="500" w:lineRule="exact"/>
              <w:jc w:val="center"/>
              <w:rPr>
                <w:rFonts w:ascii="宋体" w:hAnsi="宋体"/>
                <w:color w:val="000000"/>
              </w:rPr>
            </w:pPr>
            <w:r>
              <w:rPr>
                <w:rFonts w:hint="eastAsia" w:ascii="宋体" w:hAnsi="宋体"/>
                <w:color w:val="000000"/>
              </w:rPr>
              <w:t>领用人</w:t>
            </w:r>
          </w:p>
        </w:tc>
        <w:tc>
          <w:tcPr>
            <w:tcW w:w="946" w:type="dxa"/>
            <w:gridSpan w:val="3"/>
            <w:vAlign w:val="center"/>
          </w:tcPr>
          <w:p w14:paraId="118ED9B9">
            <w:pPr>
              <w:snapToGrid w:val="0"/>
              <w:spacing w:line="500" w:lineRule="exact"/>
              <w:jc w:val="center"/>
              <w:rPr>
                <w:rFonts w:ascii="宋体" w:hAnsi="宋体"/>
                <w:color w:val="000000"/>
              </w:rPr>
            </w:pPr>
            <w:r>
              <w:rPr>
                <w:rFonts w:hint="eastAsia" w:ascii="宋体" w:hAnsi="宋体"/>
                <w:color w:val="000000"/>
              </w:rPr>
              <w:t>发放人</w:t>
            </w:r>
          </w:p>
        </w:tc>
        <w:tc>
          <w:tcPr>
            <w:tcW w:w="946" w:type="dxa"/>
            <w:vAlign w:val="center"/>
          </w:tcPr>
          <w:p w14:paraId="222596F8">
            <w:pPr>
              <w:snapToGrid w:val="0"/>
              <w:spacing w:line="500" w:lineRule="exact"/>
              <w:jc w:val="center"/>
              <w:rPr>
                <w:rFonts w:ascii="宋体" w:hAnsi="宋体"/>
                <w:color w:val="000000"/>
              </w:rPr>
            </w:pPr>
            <w:r>
              <w:rPr>
                <w:rFonts w:hint="eastAsia" w:ascii="宋体" w:hAnsi="宋体"/>
                <w:color w:val="000000"/>
              </w:rPr>
              <w:t>日期</w:t>
            </w:r>
          </w:p>
        </w:tc>
        <w:tc>
          <w:tcPr>
            <w:tcW w:w="946" w:type="dxa"/>
            <w:vAlign w:val="center"/>
          </w:tcPr>
          <w:p w14:paraId="4EEF0B73">
            <w:pPr>
              <w:snapToGrid w:val="0"/>
              <w:spacing w:line="500" w:lineRule="exact"/>
              <w:jc w:val="center"/>
              <w:rPr>
                <w:rFonts w:ascii="宋体" w:hAnsi="宋体"/>
                <w:color w:val="000000"/>
              </w:rPr>
            </w:pPr>
            <w:r>
              <w:rPr>
                <w:rFonts w:hint="eastAsia" w:ascii="宋体" w:hAnsi="宋体"/>
                <w:color w:val="000000"/>
              </w:rPr>
              <w:t>备注</w:t>
            </w:r>
          </w:p>
        </w:tc>
        <w:tc>
          <w:tcPr>
            <w:tcW w:w="1072" w:type="dxa"/>
            <w:vAlign w:val="center"/>
          </w:tcPr>
          <w:p w14:paraId="3A0A74FF">
            <w:pPr>
              <w:snapToGrid w:val="0"/>
              <w:spacing w:line="500" w:lineRule="exact"/>
              <w:jc w:val="center"/>
              <w:rPr>
                <w:rFonts w:ascii="宋体" w:hAnsi="宋体"/>
                <w:color w:val="000000"/>
              </w:rPr>
            </w:pPr>
            <w:r>
              <w:rPr>
                <w:rFonts w:hint="eastAsia" w:ascii="宋体" w:hAnsi="宋体"/>
                <w:color w:val="000000"/>
              </w:rPr>
              <w:t>焊条头回收人</w:t>
            </w:r>
          </w:p>
        </w:tc>
      </w:tr>
      <w:tr w14:paraId="7ABDFF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c>
          <w:tcPr>
            <w:tcW w:w="576" w:type="dxa"/>
          </w:tcPr>
          <w:p w14:paraId="54C0AF44">
            <w:pPr>
              <w:snapToGrid w:val="0"/>
              <w:spacing w:line="500" w:lineRule="exact"/>
              <w:rPr>
                <w:rFonts w:ascii="宋体" w:hAnsi="宋体"/>
                <w:color w:val="000000"/>
              </w:rPr>
            </w:pPr>
            <w:r>
              <w:rPr>
                <w:rFonts w:hint="eastAsia" w:ascii="宋体" w:hAnsi="宋体"/>
                <w:color w:val="000000"/>
              </w:rPr>
              <w:t>1</w:t>
            </w:r>
          </w:p>
        </w:tc>
        <w:tc>
          <w:tcPr>
            <w:tcW w:w="1316" w:type="dxa"/>
            <w:gridSpan w:val="2"/>
          </w:tcPr>
          <w:p w14:paraId="01FE3C38">
            <w:pPr>
              <w:snapToGrid w:val="0"/>
              <w:spacing w:line="500" w:lineRule="exact"/>
              <w:rPr>
                <w:rFonts w:ascii="宋体" w:hAnsi="宋体"/>
                <w:color w:val="000000"/>
              </w:rPr>
            </w:pPr>
          </w:p>
        </w:tc>
        <w:tc>
          <w:tcPr>
            <w:tcW w:w="987" w:type="dxa"/>
            <w:gridSpan w:val="2"/>
          </w:tcPr>
          <w:p w14:paraId="4CA756DF">
            <w:pPr>
              <w:snapToGrid w:val="0"/>
              <w:spacing w:line="500" w:lineRule="exact"/>
              <w:rPr>
                <w:rFonts w:ascii="宋体" w:hAnsi="宋体"/>
                <w:color w:val="000000"/>
              </w:rPr>
            </w:pPr>
          </w:p>
        </w:tc>
        <w:tc>
          <w:tcPr>
            <w:tcW w:w="709" w:type="dxa"/>
            <w:gridSpan w:val="2"/>
          </w:tcPr>
          <w:p w14:paraId="2577B9B5">
            <w:pPr>
              <w:snapToGrid w:val="0"/>
              <w:spacing w:line="500" w:lineRule="exact"/>
              <w:jc w:val="center"/>
              <w:rPr>
                <w:rFonts w:ascii="宋体" w:hAnsi="宋体"/>
                <w:color w:val="000000"/>
              </w:rPr>
            </w:pPr>
            <w:r>
              <w:rPr>
                <w:rFonts w:hint="eastAsia" w:ascii="宋体" w:hAnsi="宋体"/>
                <w:color w:val="000000"/>
              </w:rPr>
              <w:t>公斤</w:t>
            </w:r>
          </w:p>
        </w:tc>
        <w:tc>
          <w:tcPr>
            <w:tcW w:w="851" w:type="dxa"/>
          </w:tcPr>
          <w:p w14:paraId="4107D63F">
            <w:pPr>
              <w:snapToGrid w:val="0"/>
              <w:spacing w:line="500" w:lineRule="exact"/>
              <w:rPr>
                <w:rFonts w:ascii="宋体" w:hAnsi="宋体"/>
                <w:color w:val="000000"/>
              </w:rPr>
            </w:pPr>
          </w:p>
        </w:tc>
        <w:tc>
          <w:tcPr>
            <w:tcW w:w="1237" w:type="dxa"/>
            <w:gridSpan w:val="2"/>
          </w:tcPr>
          <w:p w14:paraId="5857B43E">
            <w:pPr>
              <w:snapToGrid w:val="0"/>
              <w:spacing w:line="500" w:lineRule="exact"/>
              <w:rPr>
                <w:rFonts w:ascii="宋体" w:hAnsi="宋体"/>
                <w:color w:val="000000"/>
              </w:rPr>
            </w:pPr>
          </w:p>
        </w:tc>
        <w:tc>
          <w:tcPr>
            <w:tcW w:w="946" w:type="dxa"/>
            <w:gridSpan w:val="3"/>
          </w:tcPr>
          <w:p w14:paraId="35FF8699">
            <w:pPr>
              <w:snapToGrid w:val="0"/>
              <w:spacing w:line="500" w:lineRule="exact"/>
              <w:rPr>
                <w:rFonts w:ascii="宋体" w:hAnsi="宋体"/>
                <w:color w:val="000000"/>
              </w:rPr>
            </w:pPr>
          </w:p>
        </w:tc>
        <w:tc>
          <w:tcPr>
            <w:tcW w:w="946" w:type="dxa"/>
          </w:tcPr>
          <w:p w14:paraId="12A1F473">
            <w:pPr>
              <w:snapToGrid w:val="0"/>
              <w:spacing w:line="500" w:lineRule="exact"/>
              <w:rPr>
                <w:rFonts w:ascii="宋体" w:hAnsi="宋体"/>
                <w:color w:val="000000"/>
              </w:rPr>
            </w:pPr>
          </w:p>
        </w:tc>
        <w:tc>
          <w:tcPr>
            <w:tcW w:w="946" w:type="dxa"/>
          </w:tcPr>
          <w:p w14:paraId="7A355709">
            <w:pPr>
              <w:snapToGrid w:val="0"/>
              <w:spacing w:line="500" w:lineRule="exact"/>
              <w:rPr>
                <w:rFonts w:ascii="宋体" w:hAnsi="宋体"/>
                <w:color w:val="000000"/>
              </w:rPr>
            </w:pPr>
          </w:p>
        </w:tc>
        <w:tc>
          <w:tcPr>
            <w:tcW w:w="1072" w:type="dxa"/>
          </w:tcPr>
          <w:p w14:paraId="2150E84A">
            <w:pPr>
              <w:snapToGrid w:val="0"/>
              <w:spacing w:line="500" w:lineRule="exact"/>
              <w:rPr>
                <w:rFonts w:ascii="宋体" w:hAnsi="宋体"/>
                <w:color w:val="000000"/>
              </w:rPr>
            </w:pPr>
          </w:p>
        </w:tc>
      </w:tr>
      <w:tr w14:paraId="64ED61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c>
          <w:tcPr>
            <w:tcW w:w="576" w:type="dxa"/>
          </w:tcPr>
          <w:p w14:paraId="6B3531D6">
            <w:pPr>
              <w:snapToGrid w:val="0"/>
              <w:spacing w:line="500" w:lineRule="exact"/>
              <w:rPr>
                <w:rFonts w:ascii="宋体" w:hAnsi="宋体"/>
                <w:color w:val="000000"/>
              </w:rPr>
            </w:pPr>
            <w:r>
              <w:rPr>
                <w:rFonts w:hint="eastAsia" w:ascii="宋体" w:hAnsi="宋体"/>
                <w:color w:val="000000"/>
              </w:rPr>
              <w:t>2</w:t>
            </w:r>
          </w:p>
        </w:tc>
        <w:tc>
          <w:tcPr>
            <w:tcW w:w="1316" w:type="dxa"/>
            <w:gridSpan w:val="2"/>
          </w:tcPr>
          <w:p w14:paraId="2BDF6628">
            <w:pPr>
              <w:snapToGrid w:val="0"/>
              <w:spacing w:line="500" w:lineRule="exact"/>
              <w:rPr>
                <w:rFonts w:ascii="宋体" w:hAnsi="宋体"/>
                <w:color w:val="000000"/>
              </w:rPr>
            </w:pPr>
          </w:p>
        </w:tc>
        <w:tc>
          <w:tcPr>
            <w:tcW w:w="987" w:type="dxa"/>
            <w:gridSpan w:val="2"/>
          </w:tcPr>
          <w:p w14:paraId="0F258E7A">
            <w:pPr>
              <w:snapToGrid w:val="0"/>
              <w:spacing w:line="500" w:lineRule="exact"/>
              <w:rPr>
                <w:rFonts w:ascii="宋体" w:hAnsi="宋体"/>
                <w:color w:val="000000"/>
              </w:rPr>
            </w:pPr>
          </w:p>
        </w:tc>
        <w:tc>
          <w:tcPr>
            <w:tcW w:w="709" w:type="dxa"/>
            <w:gridSpan w:val="2"/>
          </w:tcPr>
          <w:p w14:paraId="33D185EA">
            <w:pPr>
              <w:snapToGrid w:val="0"/>
              <w:spacing w:line="500" w:lineRule="exact"/>
              <w:jc w:val="center"/>
              <w:rPr>
                <w:rFonts w:ascii="宋体" w:hAnsi="宋体"/>
                <w:color w:val="000000"/>
              </w:rPr>
            </w:pPr>
            <w:r>
              <w:rPr>
                <w:rFonts w:hint="eastAsia" w:ascii="宋体" w:hAnsi="宋体"/>
                <w:color w:val="000000"/>
              </w:rPr>
              <w:t>公斤</w:t>
            </w:r>
          </w:p>
        </w:tc>
        <w:tc>
          <w:tcPr>
            <w:tcW w:w="851" w:type="dxa"/>
          </w:tcPr>
          <w:p w14:paraId="185AC81C">
            <w:pPr>
              <w:snapToGrid w:val="0"/>
              <w:spacing w:line="500" w:lineRule="exact"/>
              <w:rPr>
                <w:rFonts w:ascii="宋体" w:hAnsi="宋体"/>
                <w:color w:val="000000"/>
              </w:rPr>
            </w:pPr>
          </w:p>
        </w:tc>
        <w:tc>
          <w:tcPr>
            <w:tcW w:w="1237" w:type="dxa"/>
            <w:gridSpan w:val="2"/>
          </w:tcPr>
          <w:p w14:paraId="0A39CA41">
            <w:pPr>
              <w:snapToGrid w:val="0"/>
              <w:spacing w:line="500" w:lineRule="exact"/>
              <w:rPr>
                <w:rFonts w:ascii="宋体" w:hAnsi="宋体"/>
                <w:color w:val="000000"/>
              </w:rPr>
            </w:pPr>
          </w:p>
        </w:tc>
        <w:tc>
          <w:tcPr>
            <w:tcW w:w="946" w:type="dxa"/>
            <w:gridSpan w:val="3"/>
          </w:tcPr>
          <w:p w14:paraId="1EEA51CF">
            <w:pPr>
              <w:snapToGrid w:val="0"/>
              <w:spacing w:line="500" w:lineRule="exact"/>
              <w:rPr>
                <w:rFonts w:ascii="宋体" w:hAnsi="宋体"/>
                <w:color w:val="000000"/>
              </w:rPr>
            </w:pPr>
          </w:p>
        </w:tc>
        <w:tc>
          <w:tcPr>
            <w:tcW w:w="946" w:type="dxa"/>
          </w:tcPr>
          <w:p w14:paraId="776387CD">
            <w:pPr>
              <w:snapToGrid w:val="0"/>
              <w:spacing w:line="500" w:lineRule="exact"/>
              <w:rPr>
                <w:rFonts w:ascii="宋体" w:hAnsi="宋体"/>
                <w:color w:val="000000"/>
              </w:rPr>
            </w:pPr>
          </w:p>
        </w:tc>
        <w:tc>
          <w:tcPr>
            <w:tcW w:w="946" w:type="dxa"/>
          </w:tcPr>
          <w:p w14:paraId="4859D446">
            <w:pPr>
              <w:snapToGrid w:val="0"/>
              <w:spacing w:line="500" w:lineRule="exact"/>
              <w:rPr>
                <w:rFonts w:ascii="宋体" w:hAnsi="宋体"/>
                <w:color w:val="000000"/>
              </w:rPr>
            </w:pPr>
          </w:p>
        </w:tc>
        <w:tc>
          <w:tcPr>
            <w:tcW w:w="1072" w:type="dxa"/>
          </w:tcPr>
          <w:p w14:paraId="7AEFF451">
            <w:pPr>
              <w:snapToGrid w:val="0"/>
              <w:spacing w:line="500" w:lineRule="exact"/>
              <w:rPr>
                <w:rFonts w:ascii="宋体" w:hAnsi="宋体"/>
                <w:color w:val="000000"/>
              </w:rPr>
            </w:pPr>
          </w:p>
        </w:tc>
      </w:tr>
      <w:tr w14:paraId="4DC3CC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c>
          <w:tcPr>
            <w:tcW w:w="576" w:type="dxa"/>
          </w:tcPr>
          <w:p w14:paraId="5E3B54B3">
            <w:pPr>
              <w:snapToGrid w:val="0"/>
              <w:spacing w:line="500" w:lineRule="exact"/>
              <w:rPr>
                <w:rFonts w:ascii="宋体" w:hAnsi="宋体"/>
                <w:color w:val="000000"/>
              </w:rPr>
            </w:pPr>
            <w:r>
              <w:rPr>
                <w:rFonts w:hint="eastAsia" w:ascii="宋体" w:hAnsi="宋体"/>
                <w:color w:val="000000"/>
              </w:rPr>
              <w:t>3</w:t>
            </w:r>
          </w:p>
        </w:tc>
        <w:tc>
          <w:tcPr>
            <w:tcW w:w="1316" w:type="dxa"/>
            <w:gridSpan w:val="2"/>
          </w:tcPr>
          <w:p w14:paraId="6DA1A371">
            <w:pPr>
              <w:snapToGrid w:val="0"/>
              <w:spacing w:line="500" w:lineRule="exact"/>
              <w:rPr>
                <w:rFonts w:ascii="宋体" w:hAnsi="宋体"/>
                <w:color w:val="000000"/>
              </w:rPr>
            </w:pPr>
          </w:p>
        </w:tc>
        <w:tc>
          <w:tcPr>
            <w:tcW w:w="987" w:type="dxa"/>
            <w:gridSpan w:val="2"/>
          </w:tcPr>
          <w:p w14:paraId="0E506C9B">
            <w:pPr>
              <w:snapToGrid w:val="0"/>
              <w:spacing w:line="500" w:lineRule="exact"/>
              <w:rPr>
                <w:rFonts w:ascii="宋体" w:hAnsi="宋体"/>
                <w:color w:val="000000"/>
              </w:rPr>
            </w:pPr>
          </w:p>
        </w:tc>
        <w:tc>
          <w:tcPr>
            <w:tcW w:w="709" w:type="dxa"/>
            <w:gridSpan w:val="2"/>
          </w:tcPr>
          <w:p w14:paraId="1E68120E">
            <w:pPr>
              <w:snapToGrid w:val="0"/>
              <w:spacing w:line="500" w:lineRule="exact"/>
              <w:jc w:val="center"/>
              <w:rPr>
                <w:rFonts w:ascii="宋体" w:hAnsi="宋体"/>
                <w:color w:val="000000"/>
              </w:rPr>
            </w:pPr>
            <w:r>
              <w:rPr>
                <w:rFonts w:hint="eastAsia" w:ascii="宋体" w:hAnsi="宋体"/>
                <w:color w:val="000000"/>
              </w:rPr>
              <w:t>公斤</w:t>
            </w:r>
          </w:p>
        </w:tc>
        <w:tc>
          <w:tcPr>
            <w:tcW w:w="851" w:type="dxa"/>
          </w:tcPr>
          <w:p w14:paraId="4E7B758A">
            <w:pPr>
              <w:snapToGrid w:val="0"/>
              <w:spacing w:line="500" w:lineRule="exact"/>
              <w:rPr>
                <w:rFonts w:ascii="宋体" w:hAnsi="宋体"/>
                <w:color w:val="000000"/>
              </w:rPr>
            </w:pPr>
          </w:p>
        </w:tc>
        <w:tc>
          <w:tcPr>
            <w:tcW w:w="1237" w:type="dxa"/>
            <w:gridSpan w:val="2"/>
          </w:tcPr>
          <w:p w14:paraId="2EAD4560">
            <w:pPr>
              <w:snapToGrid w:val="0"/>
              <w:spacing w:line="500" w:lineRule="exact"/>
              <w:rPr>
                <w:rFonts w:ascii="宋体" w:hAnsi="宋体"/>
                <w:color w:val="000000"/>
              </w:rPr>
            </w:pPr>
          </w:p>
        </w:tc>
        <w:tc>
          <w:tcPr>
            <w:tcW w:w="946" w:type="dxa"/>
            <w:gridSpan w:val="3"/>
          </w:tcPr>
          <w:p w14:paraId="7130C289">
            <w:pPr>
              <w:snapToGrid w:val="0"/>
              <w:spacing w:line="500" w:lineRule="exact"/>
              <w:rPr>
                <w:rFonts w:ascii="宋体" w:hAnsi="宋体"/>
                <w:color w:val="000000"/>
              </w:rPr>
            </w:pPr>
          </w:p>
        </w:tc>
        <w:tc>
          <w:tcPr>
            <w:tcW w:w="946" w:type="dxa"/>
          </w:tcPr>
          <w:p w14:paraId="43350D33">
            <w:pPr>
              <w:snapToGrid w:val="0"/>
              <w:spacing w:line="500" w:lineRule="exact"/>
              <w:rPr>
                <w:rFonts w:ascii="宋体" w:hAnsi="宋体"/>
                <w:color w:val="000000"/>
              </w:rPr>
            </w:pPr>
          </w:p>
        </w:tc>
        <w:tc>
          <w:tcPr>
            <w:tcW w:w="946" w:type="dxa"/>
          </w:tcPr>
          <w:p w14:paraId="3C6A9A97">
            <w:pPr>
              <w:snapToGrid w:val="0"/>
              <w:spacing w:line="500" w:lineRule="exact"/>
              <w:rPr>
                <w:rFonts w:ascii="宋体" w:hAnsi="宋体"/>
                <w:color w:val="000000"/>
              </w:rPr>
            </w:pPr>
          </w:p>
        </w:tc>
        <w:tc>
          <w:tcPr>
            <w:tcW w:w="1072" w:type="dxa"/>
          </w:tcPr>
          <w:p w14:paraId="1C2E13CA">
            <w:pPr>
              <w:snapToGrid w:val="0"/>
              <w:spacing w:line="500" w:lineRule="exact"/>
              <w:rPr>
                <w:rFonts w:ascii="宋体" w:hAnsi="宋体"/>
                <w:color w:val="000000"/>
              </w:rPr>
            </w:pPr>
          </w:p>
        </w:tc>
      </w:tr>
      <w:tr w14:paraId="3E1B8C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c>
          <w:tcPr>
            <w:tcW w:w="576" w:type="dxa"/>
          </w:tcPr>
          <w:p w14:paraId="06B772B4">
            <w:pPr>
              <w:snapToGrid w:val="0"/>
              <w:spacing w:line="500" w:lineRule="exact"/>
              <w:rPr>
                <w:rFonts w:ascii="宋体" w:hAnsi="宋体"/>
                <w:color w:val="000000"/>
              </w:rPr>
            </w:pPr>
            <w:r>
              <w:rPr>
                <w:rFonts w:hint="eastAsia" w:ascii="宋体" w:hAnsi="宋体"/>
                <w:color w:val="000000"/>
              </w:rPr>
              <w:t>4</w:t>
            </w:r>
          </w:p>
        </w:tc>
        <w:tc>
          <w:tcPr>
            <w:tcW w:w="1316" w:type="dxa"/>
            <w:gridSpan w:val="2"/>
          </w:tcPr>
          <w:p w14:paraId="7426CBA2">
            <w:pPr>
              <w:snapToGrid w:val="0"/>
              <w:spacing w:line="500" w:lineRule="exact"/>
              <w:rPr>
                <w:rFonts w:ascii="宋体" w:hAnsi="宋体"/>
                <w:color w:val="000000"/>
              </w:rPr>
            </w:pPr>
          </w:p>
        </w:tc>
        <w:tc>
          <w:tcPr>
            <w:tcW w:w="987" w:type="dxa"/>
            <w:gridSpan w:val="2"/>
          </w:tcPr>
          <w:p w14:paraId="7B330549">
            <w:pPr>
              <w:snapToGrid w:val="0"/>
              <w:spacing w:line="500" w:lineRule="exact"/>
              <w:rPr>
                <w:rFonts w:ascii="宋体" w:hAnsi="宋体"/>
                <w:color w:val="000000"/>
              </w:rPr>
            </w:pPr>
          </w:p>
        </w:tc>
        <w:tc>
          <w:tcPr>
            <w:tcW w:w="709" w:type="dxa"/>
            <w:gridSpan w:val="2"/>
          </w:tcPr>
          <w:p w14:paraId="72DB1C45">
            <w:pPr>
              <w:snapToGrid w:val="0"/>
              <w:spacing w:line="500" w:lineRule="exact"/>
              <w:jc w:val="center"/>
              <w:rPr>
                <w:rFonts w:ascii="宋体" w:hAnsi="宋体"/>
                <w:color w:val="000000"/>
              </w:rPr>
            </w:pPr>
            <w:r>
              <w:rPr>
                <w:rFonts w:hint="eastAsia" w:ascii="宋体" w:hAnsi="宋体"/>
                <w:color w:val="000000"/>
              </w:rPr>
              <w:t>公斤</w:t>
            </w:r>
          </w:p>
        </w:tc>
        <w:tc>
          <w:tcPr>
            <w:tcW w:w="851" w:type="dxa"/>
          </w:tcPr>
          <w:p w14:paraId="55A1DE7C">
            <w:pPr>
              <w:snapToGrid w:val="0"/>
              <w:spacing w:line="500" w:lineRule="exact"/>
              <w:rPr>
                <w:rFonts w:ascii="宋体" w:hAnsi="宋体"/>
                <w:color w:val="000000"/>
              </w:rPr>
            </w:pPr>
          </w:p>
        </w:tc>
        <w:tc>
          <w:tcPr>
            <w:tcW w:w="1237" w:type="dxa"/>
            <w:gridSpan w:val="2"/>
          </w:tcPr>
          <w:p w14:paraId="3BDCDFDC">
            <w:pPr>
              <w:snapToGrid w:val="0"/>
              <w:spacing w:line="500" w:lineRule="exact"/>
              <w:rPr>
                <w:rFonts w:ascii="宋体" w:hAnsi="宋体"/>
                <w:color w:val="000000"/>
              </w:rPr>
            </w:pPr>
          </w:p>
        </w:tc>
        <w:tc>
          <w:tcPr>
            <w:tcW w:w="946" w:type="dxa"/>
            <w:gridSpan w:val="3"/>
          </w:tcPr>
          <w:p w14:paraId="45A3B1DE">
            <w:pPr>
              <w:snapToGrid w:val="0"/>
              <w:spacing w:line="500" w:lineRule="exact"/>
              <w:rPr>
                <w:rFonts w:ascii="宋体" w:hAnsi="宋体"/>
                <w:color w:val="000000"/>
              </w:rPr>
            </w:pPr>
          </w:p>
        </w:tc>
        <w:tc>
          <w:tcPr>
            <w:tcW w:w="946" w:type="dxa"/>
          </w:tcPr>
          <w:p w14:paraId="09F3A01C">
            <w:pPr>
              <w:snapToGrid w:val="0"/>
              <w:spacing w:line="500" w:lineRule="exact"/>
              <w:rPr>
                <w:rFonts w:ascii="宋体" w:hAnsi="宋体"/>
                <w:color w:val="000000"/>
              </w:rPr>
            </w:pPr>
          </w:p>
        </w:tc>
        <w:tc>
          <w:tcPr>
            <w:tcW w:w="946" w:type="dxa"/>
          </w:tcPr>
          <w:p w14:paraId="59CD250B">
            <w:pPr>
              <w:snapToGrid w:val="0"/>
              <w:spacing w:line="500" w:lineRule="exact"/>
              <w:rPr>
                <w:rFonts w:ascii="宋体" w:hAnsi="宋体"/>
                <w:color w:val="000000"/>
              </w:rPr>
            </w:pPr>
          </w:p>
        </w:tc>
        <w:tc>
          <w:tcPr>
            <w:tcW w:w="1072" w:type="dxa"/>
          </w:tcPr>
          <w:p w14:paraId="0EED0B34">
            <w:pPr>
              <w:snapToGrid w:val="0"/>
              <w:spacing w:line="500" w:lineRule="exact"/>
              <w:rPr>
                <w:rFonts w:ascii="宋体" w:hAnsi="宋体"/>
                <w:color w:val="000000"/>
              </w:rPr>
            </w:pPr>
          </w:p>
        </w:tc>
      </w:tr>
      <w:tr w14:paraId="453A3A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c>
          <w:tcPr>
            <w:tcW w:w="576" w:type="dxa"/>
          </w:tcPr>
          <w:p w14:paraId="31755913">
            <w:pPr>
              <w:snapToGrid w:val="0"/>
              <w:spacing w:line="500" w:lineRule="exact"/>
              <w:rPr>
                <w:rFonts w:ascii="宋体" w:hAnsi="宋体"/>
                <w:color w:val="000000"/>
              </w:rPr>
            </w:pPr>
            <w:r>
              <w:rPr>
                <w:rFonts w:hint="eastAsia" w:ascii="宋体" w:hAnsi="宋体"/>
                <w:color w:val="000000"/>
              </w:rPr>
              <w:t>5</w:t>
            </w:r>
          </w:p>
        </w:tc>
        <w:tc>
          <w:tcPr>
            <w:tcW w:w="1316" w:type="dxa"/>
            <w:gridSpan w:val="2"/>
          </w:tcPr>
          <w:p w14:paraId="25C7E7CC">
            <w:pPr>
              <w:snapToGrid w:val="0"/>
              <w:spacing w:line="500" w:lineRule="exact"/>
              <w:rPr>
                <w:rFonts w:ascii="宋体" w:hAnsi="宋体"/>
                <w:color w:val="000000"/>
              </w:rPr>
            </w:pPr>
          </w:p>
        </w:tc>
        <w:tc>
          <w:tcPr>
            <w:tcW w:w="987" w:type="dxa"/>
            <w:gridSpan w:val="2"/>
          </w:tcPr>
          <w:p w14:paraId="29E455CB">
            <w:pPr>
              <w:snapToGrid w:val="0"/>
              <w:spacing w:line="500" w:lineRule="exact"/>
              <w:rPr>
                <w:rFonts w:ascii="宋体" w:hAnsi="宋体"/>
                <w:color w:val="000000"/>
              </w:rPr>
            </w:pPr>
          </w:p>
        </w:tc>
        <w:tc>
          <w:tcPr>
            <w:tcW w:w="709" w:type="dxa"/>
            <w:gridSpan w:val="2"/>
          </w:tcPr>
          <w:p w14:paraId="73B56934">
            <w:pPr>
              <w:snapToGrid w:val="0"/>
              <w:spacing w:line="500" w:lineRule="exact"/>
              <w:jc w:val="center"/>
              <w:rPr>
                <w:rFonts w:ascii="宋体" w:hAnsi="宋体"/>
                <w:color w:val="000000"/>
              </w:rPr>
            </w:pPr>
            <w:r>
              <w:rPr>
                <w:rFonts w:hint="eastAsia" w:ascii="宋体" w:hAnsi="宋体"/>
                <w:color w:val="000000"/>
              </w:rPr>
              <w:t>公斤</w:t>
            </w:r>
          </w:p>
        </w:tc>
        <w:tc>
          <w:tcPr>
            <w:tcW w:w="851" w:type="dxa"/>
          </w:tcPr>
          <w:p w14:paraId="305820DE">
            <w:pPr>
              <w:snapToGrid w:val="0"/>
              <w:spacing w:line="500" w:lineRule="exact"/>
              <w:rPr>
                <w:rFonts w:ascii="宋体" w:hAnsi="宋体"/>
                <w:color w:val="000000"/>
              </w:rPr>
            </w:pPr>
          </w:p>
        </w:tc>
        <w:tc>
          <w:tcPr>
            <w:tcW w:w="1237" w:type="dxa"/>
            <w:gridSpan w:val="2"/>
          </w:tcPr>
          <w:p w14:paraId="43917C59">
            <w:pPr>
              <w:snapToGrid w:val="0"/>
              <w:spacing w:line="500" w:lineRule="exact"/>
              <w:rPr>
                <w:rFonts w:ascii="宋体" w:hAnsi="宋体"/>
                <w:color w:val="000000"/>
              </w:rPr>
            </w:pPr>
          </w:p>
        </w:tc>
        <w:tc>
          <w:tcPr>
            <w:tcW w:w="946" w:type="dxa"/>
            <w:gridSpan w:val="3"/>
          </w:tcPr>
          <w:p w14:paraId="10184FC9">
            <w:pPr>
              <w:snapToGrid w:val="0"/>
              <w:spacing w:line="500" w:lineRule="exact"/>
              <w:rPr>
                <w:rFonts w:ascii="宋体" w:hAnsi="宋体"/>
                <w:color w:val="000000"/>
              </w:rPr>
            </w:pPr>
          </w:p>
        </w:tc>
        <w:tc>
          <w:tcPr>
            <w:tcW w:w="946" w:type="dxa"/>
          </w:tcPr>
          <w:p w14:paraId="43460637">
            <w:pPr>
              <w:snapToGrid w:val="0"/>
              <w:spacing w:line="500" w:lineRule="exact"/>
              <w:rPr>
                <w:rFonts w:ascii="宋体" w:hAnsi="宋体"/>
                <w:color w:val="000000"/>
              </w:rPr>
            </w:pPr>
          </w:p>
        </w:tc>
        <w:tc>
          <w:tcPr>
            <w:tcW w:w="946" w:type="dxa"/>
          </w:tcPr>
          <w:p w14:paraId="75D085A6">
            <w:pPr>
              <w:snapToGrid w:val="0"/>
              <w:spacing w:line="500" w:lineRule="exact"/>
              <w:rPr>
                <w:rFonts w:ascii="宋体" w:hAnsi="宋体"/>
                <w:color w:val="000000"/>
              </w:rPr>
            </w:pPr>
          </w:p>
        </w:tc>
        <w:tc>
          <w:tcPr>
            <w:tcW w:w="1072" w:type="dxa"/>
          </w:tcPr>
          <w:p w14:paraId="7275B87B">
            <w:pPr>
              <w:snapToGrid w:val="0"/>
              <w:spacing w:line="500" w:lineRule="exact"/>
              <w:rPr>
                <w:rFonts w:ascii="宋体" w:hAnsi="宋体"/>
                <w:color w:val="000000"/>
              </w:rPr>
            </w:pPr>
          </w:p>
        </w:tc>
      </w:tr>
      <w:tr w14:paraId="65A1A0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c>
          <w:tcPr>
            <w:tcW w:w="576" w:type="dxa"/>
          </w:tcPr>
          <w:p w14:paraId="021C4E1C">
            <w:pPr>
              <w:snapToGrid w:val="0"/>
              <w:spacing w:line="500" w:lineRule="exact"/>
              <w:rPr>
                <w:rFonts w:ascii="宋体" w:hAnsi="宋体"/>
                <w:color w:val="000000"/>
              </w:rPr>
            </w:pPr>
            <w:r>
              <w:rPr>
                <w:rFonts w:hint="eastAsia" w:ascii="宋体" w:hAnsi="宋体"/>
                <w:color w:val="000000"/>
              </w:rPr>
              <w:t>6</w:t>
            </w:r>
          </w:p>
        </w:tc>
        <w:tc>
          <w:tcPr>
            <w:tcW w:w="1316" w:type="dxa"/>
            <w:gridSpan w:val="2"/>
          </w:tcPr>
          <w:p w14:paraId="586F9C50">
            <w:pPr>
              <w:snapToGrid w:val="0"/>
              <w:spacing w:line="500" w:lineRule="exact"/>
              <w:rPr>
                <w:rFonts w:ascii="宋体" w:hAnsi="宋体"/>
                <w:color w:val="000000"/>
              </w:rPr>
            </w:pPr>
          </w:p>
        </w:tc>
        <w:tc>
          <w:tcPr>
            <w:tcW w:w="987" w:type="dxa"/>
            <w:gridSpan w:val="2"/>
          </w:tcPr>
          <w:p w14:paraId="5098124C">
            <w:pPr>
              <w:snapToGrid w:val="0"/>
              <w:spacing w:line="500" w:lineRule="exact"/>
              <w:rPr>
                <w:rFonts w:ascii="宋体" w:hAnsi="宋体"/>
                <w:color w:val="000000"/>
              </w:rPr>
            </w:pPr>
          </w:p>
        </w:tc>
        <w:tc>
          <w:tcPr>
            <w:tcW w:w="709" w:type="dxa"/>
            <w:gridSpan w:val="2"/>
          </w:tcPr>
          <w:p w14:paraId="36CFC427">
            <w:pPr>
              <w:snapToGrid w:val="0"/>
              <w:spacing w:line="500" w:lineRule="exact"/>
              <w:jc w:val="center"/>
              <w:rPr>
                <w:rFonts w:ascii="宋体" w:hAnsi="宋体"/>
                <w:color w:val="000000"/>
              </w:rPr>
            </w:pPr>
            <w:r>
              <w:rPr>
                <w:rFonts w:hint="eastAsia" w:ascii="宋体" w:hAnsi="宋体"/>
                <w:color w:val="000000"/>
              </w:rPr>
              <w:t>公斤</w:t>
            </w:r>
          </w:p>
        </w:tc>
        <w:tc>
          <w:tcPr>
            <w:tcW w:w="851" w:type="dxa"/>
          </w:tcPr>
          <w:p w14:paraId="1441FF94">
            <w:pPr>
              <w:snapToGrid w:val="0"/>
              <w:spacing w:line="500" w:lineRule="exact"/>
              <w:rPr>
                <w:rFonts w:ascii="宋体" w:hAnsi="宋体"/>
                <w:color w:val="000000"/>
              </w:rPr>
            </w:pPr>
          </w:p>
        </w:tc>
        <w:tc>
          <w:tcPr>
            <w:tcW w:w="1237" w:type="dxa"/>
            <w:gridSpan w:val="2"/>
          </w:tcPr>
          <w:p w14:paraId="184A0FC1">
            <w:pPr>
              <w:snapToGrid w:val="0"/>
              <w:spacing w:line="500" w:lineRule="exact"/>
              <w:rPr>
                <w:rFonts w:ascii="宋体" w:hAnsi="宋体"/>
                <w:color w:val="000000"/>
              </w:rPr>
            </w:pPr>
          </w:p>
        </w:tc>
        <w:tc>
          <w:tcPr>
            <w:tcW w:w="946" w:type="dxa"/>
            <w:gridSpan w:val="3"/>
          </w:tcPr>
          <w:p w14:paraId="7D39AC4A">
            <w:pPr>
              <w:snapToGrid w:val="0"/>
              <w:spacing w:line="500" w:lineRule="exact"/>
              <w:rPr>
                <w:rFonts w:ascii="宋体" w:hAnsi="宋体"/>
                <w:color w:val="000000"/>
              </w:rPr>
            </w:pPr>
          </w:p>
        </w:tc>
        <w:tc>
          <w:tcPr>
            <w:tcW w:w="946" w:type="dxa"/>
          </w:tcPr>
          <w:p w14:paraId="2B98D776">
            <w:pPr>
              <w:snapToGrid w:val="0"/>
              <w:spacing w:line="500" w:lineRule="exact"/>
              <w:rPr>
                <w:rFonts w:ascii="宋体" w:hAnsi="宋体"/>
                <w:color w:val="000000"/>
              </w:rPr>
            </w:pPr>
          </w:p>
        </w:tc>
        <w:tc>
          <w:tcPr>
            <w:tcW w:w="946" w:type="dxa"/>
          </w:tcPr>
          <w:p w14:paraId="144CBE4F">
            <w:pPr>
              <w:snapToGrid w:val="0"/>
              <w:spacing w:line="500" w:lineRule="exact"/>
              <w:rPr>
                <w:rFonts w:ascii="宋体" w:hAnsi="宋体"/>
                <w:color w:val="000000"/>
              </w:rPr>
            </w:pPr>
          </w:p>
        </w:tc>
        <w:tc>
          <w:tcPr>
            <w:tcW w:w="1072" w:type="dxa"/>
          </w:tcPr>
          <w:p w14:paraId="7E06EF14">
            <w:pPr>
              <w:snapToGrid w:val="0"/>
              <w:spacing w:line="500" w:lineRule="exact"/>
              <w:rPr>
                <w:rFonts w:ascii="宋体" w:hAnsi="宋体"/>
                <w:color w:val="000000"/>
              </w:rPr>
            </w:pPr>
          </w:p>
        </w:tc>
      </w:tr>
      <w:tr w14:paraId="440ED4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c>
          <w:tcPr>
            <w:tcW w:w="576" w:type="dxa"/>
          </w:tcPr>
          <w:p w14:paraId="42B02BA4">
            <w:pPr>
              <w:snapToGrid w:val="0"/>
              <w:spacing w:line="500" w:lineRule="exact"/>
              <w:rPr>
                <w:rFonts w:ascii="宋体" w:hAnsi="宋体"/>
                <w:color w:val="000000"/>
              </w:rPr>
            </w:pPr>
            <w:r>
              <w:rPr>
                <w:rFonts w:hint="eastAsia" w:ascii="宋体" w:hAnsi="宋体"/>
                <w:color w:val="000000"/>
              </w:rPr>
              <w:t>7</w:t>
            </w:r>
          </w:p>
        </w:tc>
        <w:tc>
          <w:tcPr>
            <w:tcW w:w="1316" w:type="dxa"/>
            <w:gridSpan w:val="2"/>
          </w:tcPr>
          <w:p w14:paraId="51B3643E">
            <w:pPr>
              <w:snapToGrid w:val="0"/>
              <w:spacing w:line="500" w:lineRule="exact"/>
              <w:rPr>
                <w:rFonts w:ascii="宋体" w:hAnsi="宋体"/>
                <w:color w:val="000000"/>
              </w:rPr>
            </w:pPr>
          </w:p>
        </w:tc>
        <w:tc>
          <w:tcPr>
            <w:tcW w:w="987" w:type="dxa"/>
            <w:gridSpan w:val="2"/>
          </w:tcPr>
          <w:p w14:paraId="1AD7CDAB">
            <w:pPr>
              <w:snapToGrid w:val="0"/>
              <w:spacing w:line="500" w:lineRule="exact"/>
              <w:rPr>
                <w:rFonts w:ascii="宋体" w:hAnsi="宋体"/>
                <w:color w:val="000000"/>
              </w:rPr>
            </w:pPr>
          </w:p>
        </w:tc>
        <w:tc>
          <w:tcPr>
            <w:tcW w:w="709" w:type="dxa"/>
            <w:gridSpan w:val="2"/>
          </w:tcPr>
          <w:p w14:paraId="6ACC59D6">
            <w:pPr>
              <w:snapToGrid w:val="0"/>
              <w:spacing w:line="500" w:lineRule="exact"/>
              <w:jc w:val="center"/>
              <w:rPr>
                <w:rFonts w:ascii="宋体" w:hAnsi="宋体"/>
                <w:color w:val="000000"/>
              </w:rPr>
            </w:pPr>
            <w:r>
              <w:rPr>
                <w:rFonts w:hint="eastAsia" w:ascii="宋体" w:hAnsi="宋体"/>
                <w:color w:val="000000"/>
              </w:rPr>
              <w:t>公斤</w:t>
            </w:r>
          </w:p>
        </w:tc>
        <w:tc>
          <w:tcPr>
            <w:tcW w:w="851" w:type="dxa"/>
          </w:tcPr>
          <w:p w14:paraId="4B6FF340">
            <w:pPr>
              <w:snapToGrid w:val="0"/>
              <w:spacing w:line="500" w:lineRule="exact"/>
              <w:rPr>
                <w:rFonts w:ascii="宋体" w:hAnsi="宋体"/>
                <w:color w:val="000000"/>
              </w:rPr>
            </w:pPr>
          </w:p>
        </w:tc>
        <w:tc>
          <w:tcPr>
            <w:tcW w:w="1237" w:type="dxa"/>
            <w:gridSpan w:val="2"/>
          </w:tcPr>
          <w:p w14:paraId="293A1072">
            <w:pPr>
              <w:snapToGrid w:val="0"/>
              <w:spacing w:line="500" w:lineRule="exact"/>
              <w:rPr>
                <w:rFonts w:ascii="宋体" w:hAnsi="宋体"/>
                <w:color w:val="000000"/>
              </w:rPr>
            </w:pPr>
          </w:p>
        </w:tc>
        <w:tc>
          <w:tcPr>
            <w:tcW w:w="946" w:type="dxa"/>
            <w:gridSpan w:val="3"/>
          </w:tcPr>
          <w:p w14:paraId="7379C92F">
            <w:pPr>
              <w:snapToGrid w:val="0"/>
              <w:spacing w:line="500" w:lineRule="exact"/>
              <w:rPr>
                <w:rFonts w:ascii="宋体" w:hAnsi="宋体"/>
                <w:color w:val="000000"/>
              </w:rPr>
            </w:pPr>
          </w:p>
        </w:tc>
        <w:tc>
          <w:tcPr>
            <w:tcW w:w="946" w:type="dxa"/>
          </w:tcPr>
          <w:p w14:paraId="181FA15F">
            <w:pPr>
              <w:snapToGrid w:val="0"/>
              <w:spacing w:line="500" w:lineRule="exact"/>
              <w:rPr>
                <w:rFonts w:ascii="宋体" w:hAnsi="宋体"/>
                <w:color w:val="000000"/>
              </w:rPr>
            </w:pPr>
          </w:p>
        </w:tc>
        <w:tc>
          <w:tcPr>
            <w:tcW w:w="946" w:type="dxa"/>
          </w:tcPr>
          <w:p w14:paraId="0C511DEB">
            <w:pPr>
              <w:snapToGrid w:val="0"/>
              <w:spacing w:line="500" w:lineRule="exact"/>
              <w:rPr>
                <w:rFonts w:ascii="宋体" w:hAnsi="宋体"/>
                <w:color w:val="000000"/>
              </w:rPr>
            </w:pPr>
          </w:p>
        </w:tc>
        <w:tc>
          <w:tcPr>
            <w:tcW w:w="1072" w:type="dxa"/>
          </w:tcPr>
          <w:p w14:paraId="366FBDE5">
            <w:pPr>
              <w:snapToGrid w:val="0"/>
              <w:spacing w:line="500" w:lineRule="exact"/>
              <w:rPr>
                <w:rFonts w:ascii="宋体" w:hAnsi="宋体"/>
                <w:color w:val="000000"/>
              </w:rPr>
            </w:pPr>
          </w:p>
        </w:tc>
      </w:tr>
      <w:tr w14:paraId="6869AF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c>
          <w:tcPr>
            <w:tcW w:w="576" w:type="dxa"/>
          </w:tcPr>
          <w:p w14:paraId="120D499F">
            <w:pPr>
              <w:snapToGrid w:val="0"/>
              <w:spacing w:line="500" w:lineRule="exact"/>
              <w:rPr>
                <w:rFonts w:ascii="宋体" w:hAnsi="宋体"/>
                <w:color w:val="000000"/>
              </w:rPr>
            </w:pPr>
            <w:r>
              <w:rPr>
                <w:rFonts w:hint="eastAsia" w:ascii="宋体" w:hAnsi="宋体"/>
                <w:color w:val="000000"/>
              </w:rPr>
              <w:t>8</w:t>
            </w:r>
          </w:p>
        </w:tc>
        <w:tc>
          <w:tcPr>
            <w:tcW w:w="1316" w:type="dxa"/>
            <w:gridSpan w:val="2"/>
          </w:tcPr>
          <w:p w14:paraId="1153AB44">
            <w:pPr>
              <w:snapToGrid w:val="0"/>
              <w:spacing w:line="500" w:lineRule="exact"/>
              <w:rPr>
                <w:rFonts w:ascii="宋体" w:hAnsi="宋体"/>
                <w:color w:val="000000"/>
              </w:rPr>
            </w:pPr>
          </w:p>
        </w:tc>
        <w:tc>
          <w:tcPr>
            <w:tcW w:w="987" w:type="dxa"/>
            <w:gridSpan w:val="2"/>
          </w:tcPr>
          <w:p w14:paraId="3D6C53D3">
            <w:pPr>
              <w:snapToGrid w:val="0"/>
              <w:spacing w:line="500" w:lineRule="exact"/>
              <w:rPr>
                <w:rFonts w:ascii="宋体" w:hAnsi="宋体"/>
                <w:color w:val="000000"/>
              </w:rPr>
            </w:pPr>
          </w:p>
        </w:tc>
        <w:tc>
          <w:tcPr>
            <w:tcW w:w="709" w:type="dxa"/>
            <w:gridSpan w:val="2"/>
          </w:tcPr>
          <w:p w14:paraId="13731784">
            <w:pPr>
              <w:snapToGrid w:val="0"/>
              <w:spacing w:line="500" w:lineRule="exact"/>
              <w:jc w:val="center"/>
              <w:rPr>
                <w:rFonts w:ascii="宋体" w:hAnsi="宋体"/>
                <w:color w:val="000000"/>
              </w:rPr>
            </w:pPr>
            <w:r>
              <w:rPr>
                <w:rFonts w:hint="eastAsia" w:ascii="宋体" w:hAnsi="宋体"/>
                <w:color w:val="000000"/>
              </w:rPr>
              <w:t>公斤</w:t>
            </w:r>
          </w:p>
        </w:tc>
        <w:tc>
          <w:tcPr>
            <w:tcW w:w="851" w:type="dxa"/>
          </w:tcPr>
          <w:p w14:paraId="20D359DE">
            <w:pPr>
              <w:snapToGrid w:val="0"/>
              <w:spacing w:line="500" w:lineRule="exact"/>
              <w:rPr>
                <w:rFonts w:ascii="宋体" w:hAnsi="宋体"/>
                <w:color w:val="000000"/>
              </w:rPr>
            </w:pPr>
          </w:p>
        </w:tc>
        <w:tc>
          <w:tcPr>
            <w:tcW w:w="1237" w:type="dxa"/>
            <w:gridSpan w:val="2"/>
          </w:tcPr>
          <w:p w14:paraId="717B2D10">
            <w:pPr>
              <w:snapToGrid w:val="0"/>
              <w:spacing w:line="500" w:lineRule="exact"/>
              <w:rPr>
                <w:rFonts w:ascii="宋体" w:hAnsi="宋体"/>
                <w:color w:val="000000"/>
              </w:rPr>
            </w:pPr>
          </w:p>
        </w:tc>
        <w:tc>
          <w:tcPr>
            <w:tcW w:w="946" w:type="dxa"/>
            <w:gridSpan w:val="3"/>
          </w:tcPr>
          <w:p w14:paraId="57D22FF8">
            <w:pPr>
              <w:snapToGrid w:val="0"/>
              <w:spacing w:line="500" w:lineRule="exact"/>
              <w:rPr>
                <w:rFonts w:ascii="宋体" w:hAnsi="宋体"/>
                <w:color w:val="000000"/>
              </w:rPr>
            </w:pPr>
          </w:p>
        </w:tc>
        <w:tc>
          <w:tcPr>
            <w:tcW w:w="946" w:type="dxa"/>
          </w:tcPr>
          <w:p w14:paraId="333E2EEF">
            <w:pPr>
              <w:snapToGrid w:val="0"/>
              <w:spacing w:line="500" w:lineRule="exact"/>
              <w:rPr>
                <w:rFonts w:ascii="宋体" w:hAnsi="宋体"/>
                <w:color w:val="000000"/>
              </w:rPr>
            </w:pPr>
          </w:p>
        </w:tc>
        <w:tc>
          <w:tcPr>
            <w:tcW w:w="946" w:type="dxa"/>
          </w:tcPr>
          <w:p w14:paraId="4CB24938">
            <w:pPr>
              <w:snapToGrid w:val="0"/>
              <w:spacing w:line="500" w:lineRule="exact"/>
              <w:rPr>
                <w:rFonts w:ascii="宋体" w:hAnsi="宋体"/>
                <w:color w:val="000000"/>
              </w:rPr>
            </w:pPr>
          </w:p>
        </w:tc>
        <w:tc>
          <w:tcPr>
            <w:tcW w:w="1072" w:type="dxa"/>
          </w:tcPr>
          <w:p w14:paraId="224156CB">
            <w:pPr>
              <w:snapToGrid w:val="0"/>
              <w:spacing w:line="500" w:lineRule="exact"/>
              <w:rPr>
                <w:rFonts w:ascii="宋体" w:hAnsi="宋体"/>
                <w:color w:val="000000"/>
              </w:rPr>
            </w:pPr>
          </w:p>
        </w:tc>
      </w:tr>
      <w:tr w14:paraId="627981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c>
          <w:tcPr>
            <w:tcW w:w="576" w:type="dxa"/>
          </w:tcPr>
          <w:p w14:paraId="6B194A52">
            <w:pPr>
              <w:snapToGrid w:val="0"/>
              <w:spacing w:line="500" w:lineRule="exact"/>
              <w:rPr>
                <w:rFonts w:ascii="宋体" w:hAnsi="宋体"/>
                <w:color w:val="000000"/>
              </w:rPr>
            </w:pPr>
            <w:r>
              <w:rPr>
                <w:rFonts w:hint="eastAsia" w:ascii="宋体" w:hAnsi="宋体"/>
                <w:color w:val="000000"/>
              </w:rPr>
              <w:t>9</w:t>
            </w:r>
          </w:p>
        </w:tc>
        <w:tc>
          <w:tcPr>
            <w:tcW w:w="1316" w:type="dxa"/>
            <w:gridSpan w:val="2"/>
          </w:tcPr>
          <w:p w14:paraId="5DE023AE">
            <w:pPr>
              <w:snapToGrid w:val="0"/>
              <w:spacing w:line="500" w:lineRule="exact"/>
              <w:rPr>
                <w:rFonts w:ascii="宋体" w:hAnsi="宋体"/>
                <w:color w:val="000000"/>
              </w:rPr>
            </w:pPr>
          </w:p>
        </w:tc>
        <w:tc>
          <w:tcPr>
            <w:tcW w:w="987" w:type="dxa"/>
            <w:gridSpan w:val="2"/>
          </w:tcPr>
          <w:p w14:paraId="63118D8A">
            <w:pPr>
              <w:snapToGrid w:val="0"/>
              <w:spacing w:line="500" w:lineRule="exact"/>
              <w:rPr>
                <w:rFonts w:ascii="宋体" w:hAnsi="宋体"/>
                <w:color w:val="000000"/>
              </w:rPr>
            </w:pPr>
          </w:p>
        </w:tc>
        <w:tc>
          <w:tcPr>
            <w:tcW w:w="709" w:type="dxa"/>
            <w:gridSpan w:val="2"/>
          </w:tcPr>
          <w:p w14:paraId="44C7C9F0">
            <w:pPr>
              <w:snapToGrid w:val="0"/>
              <w:spacing w:line="500" w:lineRule="exact"/>
              <w:jc w:val="center"/>
              <w:rPr>
                <w:rFonts w:ascii="宋体" w:hAnsi="宋体"/>
                <w:color w:val="000000"/>
              </w:rPr>
            </w:pPr>
            <w:r>
              <w:rPr>
                <w:rFonts w:hint="eastAsia" w:ascii="宋体" w:hAnsi="宋体"/>
                <w:color w:val="000000"/>
              </w:rPr>
              <w:t>公斤</w:t>
            </w:r>
          </w:p>
        </w:tc>
        <w:tc>
          <w:tcPr>
            <w:tcW w:w="851" w:type="dxa"/>
          </w:tcPr>
          <w:p w14:paraId="70BEEE92">
            <w:pPr>
              <w:snapToGrid w:val="0"/>
              <w:spacing w:line="500" w:lineRule="exact"/>
              <w:rPr>
                <w:rFonts w:ascii="宋体" w:hAnsi="宋体"/>
                <w:color w:val="000000"/>
              </w:rPr>
            </w:pPr>
          </w:p>
        </w:tc>
        <w:tc>
          <w:tcPr>
            <w:tcW w:w="1237" w:type="dxa"/>
            <w:gridSpan w:val="2"/>
          </w:tcPr>
          <w:p w14:paraId="7B20D2FA">
            <w:pPr>
              <w:snapToGrid w:val="0"/>
              <w:spacing w:line="500" w:lineRule="exact"/>
              <w:rPr>
                <w:rFonts w:ascii="宋体" w:hAnsi="宋体"/>
                <w:color w:val="000000"/>
              </w:rPr>
            </w:pPr>
          </w:p>
        </w:tc>
        <w:tc>
          <w:tcPr>
            <w:tcW w:w="946" w:type="dxa"/>
            <w:gridSpan w:val="3"/>
          </w:tcPr>
          <w:p w14:paraId="3AD0DE06">
            <w:pPr>
              <w:snapToGrid w:val="0"/>
              <w:spacing w:line="500" w:lineRule="exact"/>
              <w:rPr>
                <w:rFonts w:ascii="宋体" w:hAnsi="宋体"/>
                <w:color w:val="000000"/>
              </w:rPr>
            </w:pPr>
          </w:p>
        </w:tc>
        <w:tc>
          <w:tcPr>
            <w:tcW w:w="946" w:type="dxa"/>
          </w:tcPr>
          <w:p w14:paraId="70C3030D">
            <w:pPr>
              <w:snapToGrid w:val="0"/>
              <w:spacing w:line="500" w:lineRule="exact"/>
              <w:rPr>
                <w:rFonts w:ascii="宋体" w:hAnsi="宋体"/>
                <w:color w:val="000000"/>
              </w:rPr>
            </w:pPr>
          </w:p>
        </w:tc>
        <w:tc>
          <w:tcPr>
            <w:tcW w:w="946" w:type="dxa"/>
          </w:tcPr>
          <w:p w14:paraId="55385585">
            <w:pPr>
              <w:snapToGrid w:val="0"/>
              <w:spacing w:line="500" w:lineRule="exact"/>
              <w:rPr>
                <w:rFonts w:ascii="宋体" w:hAnsi="宋体"/>
                <w:color w:val="000000"/>
              </w:rPr>
            </w:pPr>
          </w:p>
        </w:tc>
        <w:tc>
          <w:tcPr>
            <w:tcW w:w="1072" w:type="dxa"/>
          </w:tcPr>
          <w:p w14:paraId="08649C72">
            <w:pPr>
              <w:snapToGrid w:val="0"/>
              <w:spacing w:line="500" w:lineRule="exact"/>
              <w:rPr>
                <w:rFonts w:ascii="宋体" w:hAnsi="宋体"/>
                <w:color w:val="000000"/>
              </w:rPr>
            </w:pPr>
          </w:p>
        </w:tc>
      </w:tr>
      <w:tr w14:paraId="019FC0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c>
          <w:tcPr>
            <w:tcW w:w="576" w:type="dxa"/>
          </w:tcPr>
          <w:p w14:paraId="3B428F5D">
            <w:pPr>
              <w:snapToGrid w:val="0"/>
              <w:spacing w:line="500" w:lineRule="exact"/>
              <w:rPr>
                <w:rFonts w:ascii="宋体" w:hAnsi="宋体"/>
                <w:color w:val="000000"/>
              </w:rPr>
            </w:pPr>
            <w:r>
              <w:rPr>
                <w:rFonts w:hint="eastAsia" w:ascii="宋体" w:hAnsi="宋体"/>
                <w:color w:val="000000"/>
              </w:rPr>
              <w:t>10</w:t>
            </w:r>
          </w:p>
        </w:tc>
        <w:tc>
          <w:tcPr>
            <w:tcW w:w="1316" w:type="dxa"/>
            <w:gridSpan w:val="2"/>
          </w:tcPr>
          <w:p w14:paraId="75EFA8CC">
            <w:pPr>
              <w:snapToGrid w:val="0"/>
              <w:spacing w:line="500" w:lineRule="exact"/>
              <w:rPr>
                <w:rFonts w:ascii="宋体" w:hAnsi="宋体"/>
                <w:color w:val="000000"/>
              </w:rPr>
            </w:pPr>
          </w:p>
        </w:tc>
        <w:tc>
          <w:tcPr>
            <w:tcW w:w="987" w:type="dxa"/>
            <w:gridSpan w:val="2"/>
          </w:tcPr>
          <w:p w14:paraId="61CC8296">
            <w:pPr>
              <w:snapToGrid w:val="0"/>
              <w:spacing w:line="500" w:lineRule="exact"/>
              <w:rPr>
                <w:rFonts w:ascii="宋体" w:hAnsi="宋体"/>
                <w:color w:val="000000"/>
              </w:rPr>
            </w:pPr>
          </w:p>
        </w:tc>
        <w:tc>
          <w:tcPr>
            <w:tcW w:w="709" w:type="dxa"/>
            <w:gridSpan w:val="2"/>
          </w:tcPr>
          <w:p w14:paraId="0B2F6887">
            <w:pPr>
              <w:snapToGrid w:val="0"/>
              <w:spacing w:line="500" w:lineRule="exact"/>
              <w:jc w:val="center"/>
              <w:rPr>
                <w:rFonts w:ascii="宋体" w:hAnsi="宋体"/>
                <w:color w:val="000000"/>
              </w:rPr>
            </w:pPr>
            <w:r>
              <w:rPr>
                <w:rFonts w:hint="eastAsia" w:ascii="宋体" w:hAnsi="宋体"/>
                <w:color w:val="000000"/>
              </w:rPr>
              <w:t>公斤</w:t>
            </w:r>
          </w:p>
        </w:tc>
        <w:tc>
          <w:tcPr>
            <w:tcW w:w="851" w:type="dxa"/>
          </w:tcPr>
          <w:p w14:paraId="0BAADCD7">
            <w:pPr>
              <w:snapToGrid w:val="0"/>
              <w:spacing w:line="500" w:lineRule="exact"/>
              <w:rPr>
                <w:rFonts w:ascii="宋体" w:hAnsi="宋体"/>
                <w:color w:val="000000"/>
              </w:rPr>
            </w:pPr>
          </w:p>
        </w:tc>
        <w:tc>
          <w:tcPr>
            <w:tcW w:w="1237" w:type="dxa"/>
            <w:gridSpan w:val="2"/>
          </w:tcPr>
          <w:p w14:paraId="267C22A0">
            <w:pPr>
              <w:snapToGrid w:val="0"/>
              <w:spacing w:line="500" w:lineRule="exact"/>
              <w:rPr>
                <w:rFonts w:ascii="宋体" w:hAnsi="宋体"/>
                <w:color w:val="000000"/>
              </w:rPr>
            </w:pPr>
          </w:p>
        </w:tc>
        <w:tc>
          <w:tcPr>
            <w:tcW w:w="946" w:type="dxa"/>
            <w:gridSpan w:val="3"/>
          </w:tcPr>
          <w:p w14:paraId="1D3146EE">
            <w:pPr>
              <w:snapToGrid w:val="0"/>
              <w:spacing w:line="500" w:lineRule="exact"/>
              <w:rPr>
                <w:rFonts w:ascii="宋体" w:hAnsi="宋体"/>
                <w:color w:val="000000"/>
              </w:rPr>
            </w:pPr>
          </w:p>
        </w:tc>
        <w:tc>
          <w:tcPr>
            <w:tcW w:w="946" w:type="dxa"/>
          </w:tcPr>
          <w:p w14:paraId="664D360C">
            <w:pPr>
              <w:snapToGrid w:val="0"/>
              <w:spacing w:line="500" w:lineRule="exact"/>
              <w:rPr>
                <w:rFonts w:ascii="宋体" w:hAnsi="宋体"/>
                <w:color w:val="000000"/>
              </w:rPr>
            </w:pPr>
          </w:p>
        </w:tc>
        <w:tc>
          <w:tcPr>
            <w:tcW w:w="946" w:type="dxa"/>
          </w:tcPr>
          <w:p w14:paraId="20F48AEB">
            <w:pPr>
              <w:snapToGrid w:val="0"/>
              <w:spacing w:line="500" w:lineRule="exact"/>
              <w:rPr>
                <w:rFonts w:ascii="宋体" w:hAnsi="宋体"/>
                <w:color w:val="000000"/>
              </w:rPr>
            </w:pPr>
          </w:p>
        </w:tc>
        <w:tc>
          <w:tcPr>
            <w:tcW w:w="1072" w:type="dxa"/>
          </w:tcPr>
          <w:p w14:paraId="3EA77BED">
            <w:pPr>
              <w:snapToGrid w:val="0"/>
              <w:spacing w:line="500" w:lineRule="exact"/>
              <w:rPr>
                <w:rFonts w:ascii="宋体" w:hAnsi="宋体"/>
                <w:color w:val="000000"/>
              </w:rPr>
            </w:pPr>
          </w:p>
        </w:tc>
      </w:tr>
      <w:tr w14:paraId="00962F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c>
          <w:tcPr>
            <w:tcW w:w="576" w:type="dxa"/>
          </w:tcPr>
          <w:p w14:paraId="775F0937">
            <w:pPr>
              <w:snapToGrid w:val="0"/>
              <w:spacing w:line="500" w:lineRule="exact"/>
              <w:rPr>
                <w:rFonts w:ascii="宋体" w:hAnsi="宋体"/>
                <w:color w:val="000000"/>
              </w:rPr>
            </w:pPr>
            <w:r>
              <w:rPr>
                <w:rFonts w:hint="eastAsia" w:ascii="宋体" w:hAnsi="宋体"/>
                <w:color w:val="000000"/>
              </w:rPr>
              <w:t>11</w:t>
            </w:r>
          </w:p>
        </w:tc>
        <w:tc>
          <w:tcPr>
            <w:tcW w:w="1316" w:type="dxa"/>
            <w:gridSpan w:val="2"/>
          </w:tcPr>
          <w:p w14:paraId="11333EA0">
            <w:pPr>
              <w:snapToGrid w:val="0"/>
              <w:spacing w:line="500" w:lineRule="exact"/>
              <w:rPr>
                <w:rFonts w:ascii="宋体" w:hAnsi="宋体"/>
                <w:color w:val="000000"/>
              </w:rPr>
            </w:pPr>
          </w:p>
        </w:tc>
        <w:tc>
          <w:tcPr>
            <w:tcW w:w="987" w:type="dxa"/>
            <w:gridSpan w:val="2"/>
          </w:tcPr>
          <w:p w14:paraId="4E0D5C86">
            <w:pPr>
              <w:snapToGrid w:val="0"/>
              <w:spacing w:line="500" w:lineRule="exact"/>
              <w:rPr>
                <w:rFonts w:ascii="宋体" w:hAnsi="宋体"/>
                <w:color w:val="000000"/>
              </w:rPr>
            </w:pPr>
          </w:p>
        </w:tc>
        <w:tc>
          <w:tcPr>
            <w:tcW w:w="709" w:type="dxa"/>
            <w:gridSpan w:val="2"/>
          </w:tcPr>
          <w:p w14:paraId="422EA1EC">
            <w:pPr>
              <w:snapToGrid w:val="0"/>
              <w:spacing w:line="500" w:lineRule="exact"/>
              <w:jc w:val="center"/>
              <w:rPr>
                <w:rFonts w:ascii="宋体" w:hAnsi="宋体"/>
                <w:color w:val="000000"/>
              </w:rPr>
            </w:pPr>
            <w:r>
              <w:rPr>
                <w:rFonts w:hint="eastAsia" w:ascii="宋体" w:hAnsi="宋体"/>
                <w:color w:val="000000"/>
              </w:rPr>
              <w:t>公斤</w:t>
            </w:r>
          </w:p>
        </w:tc>
        <w:tc>
          <w:tcPr>
            <w:tcW w:w="851" w:type="dxa"/>
          </w:tcPr>
          <w:p w14:paraId="6C7165BC">
            <w:pPr>
              <w:snapToGrid w:val="0"/>
              <w:spacing w:line="500" w:lineRule="exact"/>
              <w:rPr>
                <w:rFonts w:ascii="宋体" w:hAnsi="宋体"/>
                <w:color w:val="000000"/>
              </w:rPr>
            </w:pPr>
          </w:p>
        </w:tc>
        <w:tc>
          <w:tcPr>
            <w:tcW w:w="1237" w:type="dxa"/>
            <w:gridSpan w:val="2"/>
          </w:tcPr>
          <w:p w14:paraId="6BBD46C4">
            <w:pPr>
              <w:snapToGrid w:val="0"/>
              <w:spacing w:line="500" w:lineRule="exact"/>
              <w:rPr>
                <w:rFonts w:ascii="宋体" w:hAnsi="宋体"/>
                <w:color w:val="000000"/>
              </w:rPr>
            </w:pPr>
          </w:p>
        </w:tc>
        <w:tc>
          <w:tcPr>
            <w:tcW w:w="946" w:type="dxa"/>
            <w:gridSpan w:val="3"/>
          </w:tcPr>
          <w:p w14:paraId="2D67F636">
            <w:pPr>
              <w:snapToGrid w:val="0"/>
              <w:spacing w:line="500" w:lineRule="exact"/>
              <w:rPr>
                <w:rFonts w:ascii="宋体" w:hAnsi="宋体"/>
                <w:color w:val="000000"/>
              </w:rPr>
            </w:pPr>
          </w:p>
        </w:tc>
        <w:tc>
          <w:tcPr>
            <w:tcW w:w="946" w:type="dxa"/>
          </w:tcPr>
          <w:p w14:paraId="66DFA7F4">
            <w:pPr>
              <w:snapToGrid w:val="0"/>
              <w:spacing w:line="500" w:lineRule="exact"/>
              <w:rPr>
                <w:rFonts w:ascii="宋体" w:hAnsi="宋体"/>
                <w:color w:val="000000"/>
              </w:rPr>
            </w:pPr>
          </w:p>
        </w:tc>
        <w:tc>
          <w:tcPr>
            <w:tcW w:w="946" w:type="dxa"/>
          </w:tcPr>
          <w:p w14:paraId="115B8024">
            <w:pPr>
              <w:snapToGrid w:val="0"/>
              <w:spacing w:line="500" w:lineRule="exact"/>
              <w:rPr>
                <w:rFonts w:ascii="宋体" w:hAnsi="宋体"/>
                <w:color w:val="000000"/>
              </w:rPr>
            </w:pPr>
          </w:p>
        </w:tc>
        <w:tc>
          <w:tcPr>
            <w:tcW w:w="1072" w:type="dxa"/>
          </w:tcPr>
          <w:p w14:paraId="033340BF">
            <w:pPr>
              <w:snapToGrid w:val="0"/>
              <w:spacing w:line="500" w:lineRule="exact"/>
              <w:rPr>
                <w:rFonts w:ascii="宋体" w:hAnsi="宋体"/>
                <w:color w:val="000000"/>
              </w:rPr>
            </w:pPr>
          </w:p>
        </w:tc>
      </w:tr>
      <w:tr w14:paraId="422723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c>
          <w:tcPr>
            <w:tcW w:w="576" w:type="dxa"/>
          </w:tcPr>
          <w:p w14:paraId="507477CE">
            <w:pPr>
              <w:snapToGrid w:val="0"/>
              <w:spacing w:line="500" w:lineRule="exact"/>
              <w:rPr>
                <w:rFonts w:ascii="宋体" w:hAnsi="宋体"/>
                <w:color w:val="000000"/>
              </w:rPr>
            </w:pPr>
            <w:r>
              <w:rPr>
                <w:rFonts w:hint="eastAsia" w:ascii="宋体" w:hAnsi="宋体"/>
                <w:color w:val="000000"/>
              </w:rPr>
              <w:t>12</w:t>
            </w:r>
          </w:p>
        </w:tc>
        <w:tc>
          <w:tcPr>
            <w:tcW w:w="1316" w:type="dxa"/>
            <w:gridSpan w:val="2"/>
          </w:tcPr>
          <w:p w14:paraId="1B7FBF0F">
            <w:pPr>
              <w:snapToGrid w:val="0"/>
              <w:spacing w:line="500" w:lineRule="exact"/>
              <w:rPr>
                <w:rFonts w:ascii="宋体" w:hAnsi="宋体"/>
                <w:color w:val="000000"/>
              </w:rPr>
            </w:pPr>
          </w:p>
        </w:tc>
        <w:tc>
          <w:tcPr>
            <w:tcW w:w="987" w:type="dxa"/>
            <w:gridSpan w:val="2"/>
          </w:tcPr>
          <w:p w14:paraId="28985D01">
            <w:pPr>
              <w:snapToGrid w:val="0"/>
              <w:spacing w:line="500" w:lineRule="exact"/>
              <w:rPr>
                <w:rFonts w:ascii="宋体" w:hAnsi="宋体"/>
                <w:color w:val="000000"/>
              </w:rPr>
            </w:pPr>
          </w:p>
        </w:tc>
        <w:tc>
          <w:tcPr>
            <w:tcW w:w="709" w:type="dxa"/>
            <w:gridSpan w:val="2"/>
          </w:tcPr>
          <w:p w14:paraId="73A6D309">
            <w:pPr>
              <w:snapToGrid w:val="0"/>
              <w:spacing w:line="500" w:lineRule="exact"/>
              <w:jc w:val="center"/>
              <w:rPr>
                <w:rFonts w:ascii="宋体" w:hAnsi="宋体"/>
                <w:color w:val="000000"/>
              </w:rPr>
            </w:pPr>
            <w:r>
              <w:rPr>
                <w:rFonts w:hint="eastAsia" w:ascii="宋体" w:hAnsi="宋体"/>
                <w:color w:val="000000"/>
              </w:rPr>
              <w:t>公斤</w:t>
            </w:r>
          </w:p>
        </w:tc>
        <w:tc>
          <w:tcPr>
            <w:tcW w:w="851" w:type="dxa"/>
          </w:tcPr>
          <w:p w14:paraId="15BD448A">
            <w:pPr>
              <w:snapToGrid w:val="0"/>
              <w:spacing w:line="500" w:lineRule="exact"/>
              <w:rPr>
                <w:rFonts w:ascii="宋体" w:hAnsi="宋体"/>
                <w:color w:val="000000"/>
              </w:rPr>
            </w:pPr>
          </w:p>
        </w:tc>
        <w:tc>
          <w:tcPr>
            <w:tcW w:w="1237" w:type="dxa"/>
            <w:gridSpan w:val="2"/>
          </w:tcPr>
          <w:p w14:paraId="041024AB">
            <w:pPr>
              <w:snapToGrid w:val="0"/>
              <w:spacing w:line="500" w:lineRule="exact"/>
              <w:rPr>
                <w:rFonts w:ascii="宋体" w:hAnsi="宋体"/>
                <w:color w:val="000000"/>
              </w:rPr>
            </w:pPr>
          </w:p>
        </w:tc>
        <w:tc>
          <w:tcPr>
            <w:tcW w:w="946" w:type="dxa"/>
            <w:gridSpan w:val="3"/>
          </w:tcPr>
          <w:p w14:paraId="0C7A5C08">
            <w:pPr>
              <w:snapToGrid w:val="0"/>
              <w:spacing w:line="500" w:lineRule="exact"/>
              <w:rPr>
                <w:rFonts w:ascii="宋体" w:hAnsi="宋体"/>
                <w:color w:val="000000"/>
              </w:rPr>
            </w:pPr>
          </w:p>
        </w:tc>
        <w:tc>
          <w:tcPr>
            <w:tcW w:w="946" w:type="dxa"/>
          </w:tcPr>
          <w:p w14:paraId="4751F31F">
            <w:pPr>
              <w:snapToGrid w:val="0"/>
              <w:spacing w:line="500" w:lineRule="exact"/>
              <w:rPr>
                <w:rFonts w:ascii="宋体" w:hAnsi="宋体"/>
                <w:color w:val="000000"/>
              </w:rPr>
            </w:pPr>
          </w:p>
        </w:tc>
        <w:tc>
          <w:tcPr>
            <w:tcW w:w="946" w:type="dxa"/>
          </w:tcPr>
          <w:p w14:paraId="76C2C26C">
            <w:pPr>
              <w:snapToGrid w:val="0"/>
              <w:spacing w:line="500" w:lineRule="exact"/>
              <w:rPr>
                <w:rFonts w:ascii="宋体" w:hAnsi="宋体"/>
                <w:color w:val="000000"/>
              </w:rPr>
            </w:pPr>
          </w:p>
        </w:tc>
        <w:tc>
          <w:tcPr>
            <w:tcW w:w="1072" w:type="dxa"/>
          </w:tcPr>
          <w:p w14:paraId="62807CAB">
            <w:pPr>
              <w:snapToGrid w:val="0"/>
              <w:spacing w:line="500" w:lineRule="exact"/>
              <w:rPr>
                <w:rFonts w:ascii="宋体" w:hAnsi="宋体"/>
                <w:color w:val="000000"/>
              </w:rPr>
            </w:pPr>
          </w:p>
        </w:tc>
      </w:tr>
      <w:tr w14:paraId="58DB38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c>
          <w:tcPr>
            <w:tcW w:w="576" w:type="dxa"/>
          </w:tcPr>
          <w:p w14:paraId="5A6D15A9">
            <w:pPr>
              <w:snapToGrid w:val="0"/>
              <w:spacing w:line="500" w:lineRule="exact"/>
              <w:rPr>
                <w:rFonts w:ascii="宋体" w:hAnsi="宋体"/>
                <w:color w:val="000000"/>
              </w:rPr>
            </w:pPr>
            <w:r>
              <w:rPr>
                <w:rFonts w:hint="eastAsia" w:ascii="宋体" w:hAnsi="宋体"/>
                <w:color w:val="000000"/>
              </w:rPr>
              <w:t>13</w:t>
            </w:r>
          </w:p>
        </w:tc>
        <w:tc>
          <w:tcPr>
            <w:tcW w:w="1316" w:type="dxa"/>
            <w:gridSpan w:val="2"/>
          </w:tcPr>
          <w:p w14:paraId="20D8E269">
            <w:pPr>
              <w:snapToGrid w:val="0"/>
              <w:spacing w:line="500" w:lineRule="exact"/>
              <w:rPr>
                <w:rFonts w:ascii="宋体" w:hAnsi="宋体"/>
                <w:color w:val="000000"/>
              </w:rPr>
            </w:pPr>
          </w:p>
        </w:tc>
        <w:tc>
          <w:tcPr>
            <w:tcW w:w="987" w:type="dxa"/>
            <w:gridSpan w:val="2"/>
          </w:tcPr>
          <w:p w14:paraId="223B4A52">
            <w:pPr>
              <w:snapToGrid w:val="0"/>
              <w:spacing w:line="500" w:lineRule="exact"/>
              <w:rPr>
                <w:rFonts w:ascii="宋体" w:hAnsi="宋体"/>
                <w:color w:val="000000"/>
              </w:rPr>
            </w:pPr>
          </w:p>
        </w:tc>
        <w:tc>
          <w:tcPr>
            <w:tcW w:w="709" w:type="dxa"/>
            <w:gridSpan w:val="2"/>
          </w:tcPr>
          <w:p w14:paraId="1C17888C">
            <w:pPr>
              <w:snapToGrid w:val="0"/>
              <w:spacing w:line="500" w:lineRule="exact"/>
              <w:jc w:val="center"/>
              <w:rPr>
                <w:rFonts w:ascii="宋体" w:hAnsi="宋体"/>
                <w:color w:val="000000"/>
              </w:rPr>
            </w:pPr>
            <w:r>
              <w:rPr>
                <w:rFonts w:hint="eastAsia" w:ascii="宋体" w:hAnsi="宋体"/>
                <w:color w:val="000000"/>
              </w:rPr>
              <w:t>公斤</w:t>
            </w:r>
          </w:p>
        </w:tc>
        <w:tc>
          <w:tcPr>
            <w:tcW w:w="851" w:type="dxa"/>
          </w:tcPr>
          <w:p w14:paraId="09A15556">
            <w:pPr>
              <w:snapToGrid w:val="0"/>
              <w:spacing w:line="500" w:lineRule="exact"/>
              <w:rPr>
                <w:rFonts w:ascii="宋体" w:hAnsi="宋体"/>
                <w:color w:val="000000"/>
              </w:rPr>
            </w:pPr>
          </w:p>
        </w:tc>
        <w:tc>
          <w:tcPr>
            <w:tcW w:w="1237" w:type="dxa"/>
            <w:gridSpan w:val="2"/>
          </w:tcPr>
          <w:p w14:paraId="5BFC46C0">
            <w:pPr>
              <w:snapToGrid w:val="0"/>
              <w:spacing w:line="500" w:lineRule="exact"/>
              <w:rPr>
                <w:rFonts w:ascii="宋体" w:hAnsi="宋体"/>
                <w:color w:val="000000"/>
              </w:rPr>
            </w:pPr>
          </w:p>
        </w:tc>
        <w:tc>
          <w:tcPr>
            <w:tcW w:w="946" w:type="dxa"/>
            <w:gridSpan w:val="3"/>
          </w:tcPr>
          <w:p w14:paraId="19236C8E">
            <w:pPr>
              <w:snapToGrid w:val="0"/>
              <w:spacing w:line="500" w:lineRule="exact"/>
              <w:rPr>
                <w:rFonts w:ascii="宋体" w:hAnsi="宋体"/>
                <w:color w:val="000000"/>
              </w:rPr>
            </w:pPr>
          </w:p>
        </w:tc>
        <w:tc>
          <w:tcPr>
            <w:tcW w:w="946" w:type="dxa"/>
          </w:tcPr>
          <w:p w14:paraId="37D34753">
            <w:pPr>
              <w:snapToGrid w:val="0"/>
              <w:spacing w:line="500" w:lineRule="exact"/>
              <w:rPr>
                <w:rFonts w:ascii="宋体" w:hAnsi="宋体"/>
                <w:color w:val="000000"/>
              </w:rPr>
            </w:pPr>
          </w:p>
        </w:tc>
        <w:tc>
          <w:tcPr>
            <w:tcW w:w="946" w:type="dxa"/>
          </w:tcPr>
          <w:p w14:paraId="39BAB7FE">
            <w:pPr>
              <w:snapToGrid w:val="0"/>
              <w:spacing w:line="500" w:lineRule="exact"/>
              <w:rPr>
                <w:rFonts w:ascii="宋体" w:hAnsi="宋体"/>
                <w:color w:val="000000"/>
              </w:rPr>
            </w:pPr>
          </w:p>
        </w:tc>
        <w:tc>
          <w:tcPr>
            <w:tcW w:w="1072" w:type="dxa"/>
          </w:tcPr>
          <w:p w14:paraId="1736724E">
            <w:pPr>
              <w:snapToGrid w:val="0"/>
              <w:spacing w:line="500" w:lineRule="exact"/>
              <w:rPr>
                <w:rFonts w:ascii="宋体" w:hAnsi="宋体"/>
                <w:color w:val="000000"/>
              </w:rPr>
            </w:pPr>
          </w:p>
        </w:tc>
      </w:tr>
      <w:tr w14:paraId="2CE6D6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c>
          <w:tcPr>
            <w:tcW w:w="576" w:type="dxa"/>
          </w:tcPr>
          <w:p w14:paraId="3A12CA1A">
            <w:pPr>
              <w:snapToGrid w:val="0"/>
              <w:spacing w:line="500" w:lineRule="exact"/>
              <w:rPr>
                <w:rFonts w:ascii="宋体" w:hAnsi="宋体"/>
                <w:color w:val="000000"/>
              </w:rPr>
            </w:pPr>
            <w:r>
              <w:rPr>
                <w:rFonts w:hint="eastAsia" w:ascii="宋体" w:hAnsi="宋体"/>
                <w:color w:val="000000"/>
              </w:rPr>
              <w:t>14</w:t>
            </w:r>
          </w:p>
        </w:tc>
        <w:tc>
          <w:tcPr>
            <w:tcW w:w="1316" w:type="dxa"/>
            <w:gridSpan w:val="2"/>
          </w:tcPr>
          <w:p w14:paraId="788A256C">
            <w:pPr>
              <w:snapToGrid w:val="0"/>
              <w:spacing w:line="500" w:lineRule="exact"/>
              <w:rPr>
                <w:rFonts w:ascii="宋体" w:hAnsi="宋体"/>
                <w:color w:val="000000"/>
              </w:rPr>
            </w:pPr>
          </w:p>
        </w:tc>
        <w:tc>
          <w:tcPr>
            <w:tcW w:w="987" w:type="dxa"/>
            <w:gridSpan w:val="2"/>
          </w:tcPr>
          <w:p w14:paraId="3ED16AB4">
            <w:pPr>
              <w:snapToGrid w:val="0"/>
              <w:spacing w:line="500" w:lineRule="exact"/>
              <w:rPr>
                <w:rFonts w:ascii="宋体" w:hAnsi="宋体"/>
                <w:color w:val="000000"/>
              </w:rPr>
            </w:pPr>
          </w:p>
        </w:tc>
        <w:tc>
          <w:tcPr>
            <w:tcW w:w="709" w:type="dxa"/>
            <w:gridSpan w:val="2"/>
          </w:tcPr>
          <w:p w14:paraId="4451C8B2">
            <w:pPr>
              <w:snapToGrid w:val="0"/>
              <w:spacing w:line="500" w:lineRule="exact"/>
              <w:jc w:val="center"/>
              <w:rPr>
                <w:rFonts w:ascii="宋体" w:hAnsi="宋体"/>
                <w:color w:val="000000"/>
              </w:rPr>
            </w:pPr>
            <w:r>
              <w:rPr>
                <w:rFonts w:hint="eastAsia" w:ascii="宋体" w:hAnsi="宋体"/>
                <w:color w:val="000000"/>
              </w:rPr>
              <w:t>公斤</w:t>
            </w:r>
          </w:p>
        </w:tc>
        <w:tc>
          <w:tcPr>
            <w:tcW w:w="851" w:type="dxa"/>
          </w:tcPr>
          <w:p w14:paraId="2EEDD207">
            <w:pPr>
              <w:snapToGrid w:val="0"/>
              <w:spacing w:line="500" w:lineRule="exact"/>
              <w:rPr>
                <w:rFonts w:ascii="宋体" w:hAnsi="宋体"/>
                <w:color w:val="000000"/>
              </w:rPr>
            </w:pPr>
          </w:p>
        </w:tc>
        <w:tc>
          <w:tcPr>
            <w:tcW w:w="1237" w:type="dxa"/>
            <w:gridSpan w:val="2"/>
          </w:tcPr>
          <w:p w14:paraId="7BE73E05">
            <w:pPr>
              <w:snapToGrid w:val="0"/>
              <w:spacing w:line="500" w:lineRule="exact"/>
              <w:rPr>
                <w:rFonts w:ascii="宋体" w:hAnsi="宋体"/>
                <w:color w:val="000000"/>
              </w:rPr>
            </w:pPr>
          </w:p>
        </w:tc>
        <w:tc>
          <w:tcPr>
            <w:tcW w:w="946" w:type="dxa"/>
            <w:gridSpan w:val="3"/>
          </w:tcPr>
          <w:p w14:paraId="64D76ED4">
            <w:pPr>
              <w:snapToGrid w:val="0"/>
              <w:spacing w:line="500" w:lineRule="exact"/>
              <w:rPr>
                <w:rFonts w:ascii="宋体" w:hAnsi="宋体"/>
                <w:color w:val="000000"/>
              </w:rPr>
            </w:pPr>
          </w:p>
        </w:tc>
        <w:tc>
          <w:tcPr>
            <w:tcW w:w="946" w:type="dxa"/>
          </w:tcPr>
          <w:p w14:paraId="530A11CB">
            <w:pPr>
              <w:snapToGrid w:val="0"/>
              <w:spacing w:line="500" w:lineRule="exact"/>
              <w:rPr>
                <w:rFonts w:ascii="宋体" w:hAnsi="宋体"/>
                <w:color w:val="000000"/>
              </w:rPr>
            </w:pPr>
          </w:p>
        </w:tc>
        <w:tc>
          <w:tcPr>
            <w:tcW w:w="946" w:type="dxa"/>
          </w:tcPr>
          <w:p w14:paraId="33BC4A40">
            <w:pPr>
              <w:snapToGrid w:val="0"/>
              <w:spacing w:line="500" w:lineRule="exact"/>
              <w:rPr>
                <w:rFonts w:ascii="宋体" w:hAnsi="宋体"/>
                <w:color w:val="000000"/>
              </w:rPr>
            </w:pPr>
          </w:p>
        </w:tc>
        <w:tc>
          <w:tcPr>
            <w:tcW w:w="1072" w:type="dxa"/>
          </w:tcPr>
          <w:p w14:paraId="63BFC129">
            <w:pPr>
              <w:snapToGrid w:val="0"/>
              <w:spacing w:line="500" w:lineRule="exact"/>
              <w:rPr>
                <w:rFonts w:ascii="宋体" w:hAnsi="宋体"/>
                <w:color w:val="000000"/>
              </w:rPr>
            </w:pPr>
          </w:p>
        </w:tc>
      </w:tr>
      <w:tr w14:paraId="597EBE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c>
          <w:tcPr>
            <w:tcW w:w="576" w:type="dxa"/>
          </w:tcPr>
          <w:p w14:paraId="07CE00CF">
            <w:pPr>
              <w:snapToGrid w:val="0"/>
              <w:spacing w:line="500" w:lineRule="exact"/>
              <w:rPr>
                <w:rFonts w:ascii="宋体" w:hAnsi="宋体"/>
                <w:color w:val="000000"/>
              </w:rPr>
            </w:pPr>
            <w:r>
              <w:rPr>
                <w:rFonts w:hint="eastAsia" w:ascii="宋体" w:hAnsi="宋体"/>
                <w:color w:val="000000"/>
              </w:rPr>
              <w:t>15</w:t>
            </w:r>
          </w:p>
        </w:tc>
        <w:tc>
          <w:tcPr>
            <w:tcW w:w="1316" w:type="dxa"/>
            <w:gridSpan w:val="2"/>
          </w:tcPr>
          <w:p w14:paraId="638A4C70">
            <w:pPr>
              <w:snapToGrid w:val="0"/>
              <w:spacing w:line="500" w:lineRule="exact"/>
              <w:rPr>
                <w:rFonts w:ascii="宋体" w:hAnsi="宋体"/>
                <w:color w:val="000000"/>
              </w:rPr>
            </w:pPr>
          </w:p>
        </w:tc>
        <w:tc>
          <w:tcPr>
            <w:tcW w:w="987" w:type="dxa"/>
            <w:gridSpan w:val="2"/>
          </w:tcPr>
          <w:p w14:paraId="475393D3">
            <w:pPr>
              <w:snapToGrid w:val="0"/>
              <w:spacing w:line="500" w:lineRule="exact"/>
              <w:rPr>
                <w:rFonts w:ascii="宋体" w:hAnsi="宋体"/>
                <w:color w:val="000000"/>
              </w:rPr>
            </w:pPr>
          </w:p>
        </w:tc>
        <w:tc>
          <w:tcPr>
            <w:tcW w:w="709" w:type="dxa"/>
            <w:gridSpan w:val="2"/>
          </w:tcPr>
          <w:p w14:paraId="5D1BA77E">
            <w:pPr>
              <w:snapToGrid w:val="0"/>
              <w:spacing w:line="500" w:lineRule="exact"/>
              <w:jc w:val="center"/>
              <w:rPr>
                <w:rFonts w:ascii="宋体" w:hAnsi="宋体"/>
                <w:color w:val="000000"/>
              </w:rPr>
            </w:pPr>
            <w:r>
              <w:rPr>
                <w:rFonts w:hint="eastAsia" w:ascii="宋体" w:hAnsi="宋体"/>
                <w:color w:val="000000"/>
              </w:rPr>
              <w:t>公斤</w:t>
            </w:r>
          </w:p>
        </w:tc>
        <w:tc>
          <w:tcPr>
            <w:tcW w:w="851" w:type="dxa"/>
          </w:tcPr>
          <w:p w14:paraId="6B2D9CA8">
            <w:pPr>
              <w:snapToGrid w:val="0"/>
              <w:spacing w:line="500" w:lineRule="exact"/>
              <w:rPr>
                <w:rFonts w:ascii="宋体" w:hAnsi="宋体"/>
                <w:color w:val="000000"/>
              </w:rPr>
            </w:pPr>
          </w:p>
        </w:tc>
        <w:tc>
          <w:tcPr>
            <w:tcW w:w="1237" w:type="dxa"/>
            <w:gridSpan w:val="2"/>
          </w:tcPr>
          <w:p w14:paraId="4532795E">
            <w:pPr>
              <w:snapToGrid w:val="0"/>
              <w:spacing w:line="500" w:lineRule="exact"/>
              <w:rPr>
                <w:rFonts w:ascii="宋体" w:hAnsi="宋体"/>
                <w:color w:val="000000"/>
              </w:rPr>
            </w:pPr>
          </w:p>
        </w:tc>
        <w:tc>
          <w:tcPr>
            <w:tcW w:w="946" w:type="dxa"/>
            <w:gridSpan w:val="3"/>
          </w:tcPr>
          <w:p w14:paraId="0E4F2F95">
            <w:pPr>
              <w:snapToGrid w:val="0"/>
              <w:spacing w:line="500" w:lineRule="exact"/>
              <w:rPr>
                <w:rFonts w:ascii="宋体" w:hAnsi="宋体"/>
                <w:color w:val="000000"/>
              </w:rPr>
            </w:pPr>
          </w:p>
        </w:tc>
        <w:tc>
          <w:tcPr>
            <w:tcW w:w="946" w:type="dxa"/>
          </w:tcPr>
          <w:p w14:paraId="3CD1597A">
            <w:pPr>
              <w:snapToGrid w:val="0"/>
              <w:spacing w:line="500" w:lineRule="exact"/>
              <w:rPr>
                <w:rFonts w:ascii="宋体" w:hAnsi="宋体"/>
                <w:color w:val="000000"/>
              </w:rPr>
            </w:pPr>
          </w:p>
        </w:tc>
        <w:tc>
          <w:tcPr>
            <w:tcW w:w="946" w:type="dxa"/>
          </w:tcPr>
          <w:p w14:paraId="3C15CA48">
            <w:pPr>
              <w:snapToGrid w:val="0"/>
              <w:spacing w:line="500" w:lineRule="exact"/>
              <w:rPr>
                <w:rFonts w:ascii="宋体" w:hAnsi="宋体"/>
                <w:color w:val="000000"/>
              </w:rPr>
            </w:pPr>
          </w:p>
        </w:tc>
        <w:tc>
          <w:tcPr>
            <w:tcW w:w="1072" w:type="dxa"/>
          </w:tcPr>
          <w:p w14:paraId="46664C85">
            <w:pPr>
              <w:snapToGrid w:val="0"/>
              <w:spacing w:line="500" w:lineRule="exact"/>
              <w:rPr>
                <w:rFonts w:ascii="宋体" w:hAnsi="宋体"/>
                <w:color w:val="000000"/>
              </w:rPr>
            </w:pPr>
          </w:p>
        </w:tc>
      </w:tr>
      <w:tr w14:paraId="48542726">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28" w:type="dxa"/>
            <w:bottom w:w="0" w:type="dxa"/>
            <w:right w:w="28" w:type="dxa"/>
          </w:tblCellMar>
        </w:tblPrEx>
        <w:trPr>
          <w:cantSplit/>
          <w:trHeight w:val="454" w:hRule="atLeast"/>
        </w:trPr>
        <w:tc>
          <w:tcPr>
            <w:tcW w:w="3151" w:type="dxa"/>
            <w:gridSpan w:val="6"/>
            <w:tcBorders>
              <w:top w:val="single" w:color="000000" w:sz="6" w:space="0"/>
              <w:bottom w:val="single" w:color="000000" w:sz="4" w:space="0"/>
            </w:tcBorders>
            <w:vAlign w:val="center"/>
          </w:tcPr>
          <w:p w14:paraId="2568F9EF">
            <w:pPr>
              <w:jc w:val="center"/>
            </w:pPr>
            <w:r>
              <w:rPr>
                <w:rFonts w:hint="eastAsia"/>
                <w:lang w:val="en-US" w:eastAsia="zh-CN"/>
              </w:rPr>
              <w:t>施工单位</w:t>
            </w:r>
          </w:p>
        </w:tc>
        <w:tc>
          <w:tcPr>
            <w:tcW w:w="3158" w:type="dxa"/>
            <w:gridSpan w:val="6"/>
            <w:tcBorders>
              <w:top w:val="single" w:color="000000" w:sz="6" w:space="0"/>
              <w:bottom w:val="single" w:color="000000" w:sz="4" w:space="0"/>
            </w:tcBorders>
            <w:vAlign w:val="center"/>
          </w:tcPr>
          <w:p w14:paraId="0B46D1A9">
            <w:pPr>
              <w:jc w:val="center"/>
            </w:pPr>
            <w:r>
              <w:rPr>
                <w:rFonts w:hint="eastAsia"/>
                <w:lang w:val="en-US" w:eastAsia="zh-CN"/>
              </w:rPr>
              <w:t>主管部门</w:t>
            </w:r>
          </w:p>
        </w:tc>
        <w:tc>
          <w:tcPr>
            <w:tcW w:w="3277" w:type="dxa"/>
            <w:gridSpan w:val="4"/>
            <w:tcBorders>
              <w:top w:val="single" w:color="000000" w:sz="6" w:space="0"/>
              <w:bottom w:val="single" w:color="000000" w:sz="4" w:space="0"/>
            </w:tcBorders>
            <w:vAlign w:val="center"/>
          </w:tcPr>
          <w:p w14:paraId="028BF51F">
            <w:pPr>
              <w:jc w:val="center"/>
            </w:pPr>
            <w:r>
              <w:rPr>
                <w:rFonts w:hint="eastAsia"/>
                <w:lang w:val="en-US" w:eastAsia="zh-CN"/>
              </w:rPr>
              <w:t>归口部门</w:t>
            </w:r>
          </w:p>
        </w:tc>
      </w:tr>
      <w:tr w14:paraId="6FF0B4DC">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28" w:type="dxa"/>
            <w:bottom w:w="0" w:type="dxa"/>
            <w:right w:w="28" w:type="dxa"/>
          </w:tblCellMar>
        </w:tblPrEx>
        <w:trPr>
          <w:cantSplit/>
          <w:trHeight w:val="1814" w:hRule="atLeast"/>
        </w:trPr>
        <w:tc>
          <w:tcPr>
            <w:tcW w:w="3151" w:type="dxa"/>
            <w:gridSpan w:val="6"/>
            <w:tcBorders>
              <w:top w:val="single" w:color="000000" w:sz="4" w:space="0"/>
            </w:tcBorders>
            <w:vAlign w:val="top"/>
          </w:tcPr>
          <w:p w14:paraId="39C79479">
            <w:pPr>
              <w:spacing w:before="72"/>
              <w:ind w:firstLine="120" w:firstLineChars="50"/>
            </w:pPr>
            <w:r>
              <w:rPr>
                <w:rFonts w:hint="eastAsia"/>
              </w:rPr>
              <w:t xml:space="preserve"> </w:t>
            </w:r>
            <w:r>
              <w:rPr>
                <w:rFonts w:hint="eastAsia"/>
                <w:lang w:eastAsia="zh-CN"/>
              </w:rPr>
              <w:t>项目负责人</w:t>
            </w:r>
            <w:r>
              <w:rPr>
                <w:rFonts w:hint="eastAsia"/>
              </w:rPr>
              <w:t>：</w:t>
            </w:r>
          </w:p>
          <w:p w14:paraId="15767853">
            <w:pPr>
              <w:spacing w:before="72"/>
            </w:pPr>
          </w:p>
          <w:p w14:paraId="4BAB7D38"/>
          <w:p w14:paraId="7B85107A"/>
          <w:p w14:paraId="64A238AD">
            <w:pPr>
              <w:spacing w:before="72"/>
            </w:pPr>
            <w:r>
              <w:rPr>
                <w:rFonts w:hint="eastAsia"/>
              </w:rPr>
              <w:t xml:space="preserve"> 日期：    年   月   日</w:t>
            </w:r>
          </w:p>
        </w:tc>
        <w:tc>
          <w:tcPr>
            <w:tcW w:w="3158" w:type="dxa"/>
            <w:gridSpan w:val="6"/>
            <w:tcBorders>
              <w:top w:val="single" w:color="000000" w:sz="4" w:space="0"/>
            </w:tcBorders>
            <w:vAlign w:val="top"/>
          </w:tcPr>
          <w:p w14:paraId="2B3D92DE">
            <w:pPr>
              <w:spacing w:before="72"/>
              <w:ind w:firstLine="120" w:firstLineChars="50"/>
            </w:pPr>
            <w:r>
              <w:rPr>
                <w:rFonts w:hint="eastAsia"/>
                <w:lang w:val="en-US" w:eastAsia="zh-CN"/>
              </w:rPr>
              <w:t>设备专工</w:t>
            </w:r>
            <w:r>
              <w:rPr>
                <w:rFonts w:hint="eastAsia"/>
              </w:rPr>
              <w:t>：</w:t>
            </w:r>
          </w:p>
          <w:p w14:paraId="00AB68B1"/>
          <w:p w14:paraId="6184452F"/>
          <w:p w14:paraId="6EE8E77D"/>
          <w:p w14:paraId="3B61A1D9"/>
          <w:p w14:paraId="5B88E5E2">
            <w:pPr>
              <w:ind w:firstLine="120" w:firstLineChars="50"/>
            </w:pPr>
            <w:r>
              <w:rPr>
                <w:rFonts w:hint="eastAsia"/>
              </w:rPr>
              <w:t>日期：   年   月   日</w:t>
            </w:r>
          </w:p>
        </w:tc>
        <w:tc>
          <w:tcPr>
            <w:tcW w:w="3277" w:type="dxa"/>
            <w:gridSpan w:val="4"/>
            <w:tcBorders>
              <w:top w:val="single" w:color="000000" w:sz="4" w:space="0"/>
            </w:tcBorders>
            <w:vAlign w:val="top"/>
          </w:tcPr>
          <w:p w14:paraId="0FB6A1DC">
            <w:pPr>
              <w:spacing w:before="72"/>
            </w:pPr>
            <w:r>
              <w:rPr>
                <w:rFonts w:hint="eastAsia"/>
                <w:lang w:val="en-US" w:eastAsia="zh-CN"/>
              </w:rPr>
              <w:t>设备专工</w:t>
            </w:r>
            <w:r>
              <w:rPr>
                <w:rFonts w:hint="eastAsia"/>
              </w:rPr>
              <w:t>：</w:t>
            </w:r>
          </w:p>
          <w:p w14:paraId="104635E8">
            <w:pPr>
              <w:spacing w:before="72"/>
            </w:pPr>
          </w:p>
          <w:p w14:paraId="1EBEECBF">
            <w:pPr>
              <w:spacing w:before="72"/>
            </w:pPr>
          </w:p>
          <w:p w14:paraId="10B39CAF"/>
          <w:p w14:paraId="132410B8">
            <w:pPr>
              <w:spacing w:before="288"/>
            </w:pPr>
            <w:r>
              <w:rPr>
                <w:rFonts w:hint="eastAsia"/>
              </w:rPr>
              <w:t xml:space="preserve"> 日期：    年   月   日                     </w:t>
            </w:r>
          </w:p>
        </w:tc>
      </w:tr>
    </w:tbl>
    <w:p w14:paraId="1BE5BA20">
      <w:pPr>
        <w:pStyle w:val="101"/>
        <w:snapToGrid w:val="0"/>
        <w:spacing w:before="0" w:after="0" w:line="360" w:lineRule="auto"/>
        <w:jc w:val="left"/>
        <w:rPr>
          <w:rStyle w:val="87"/>
          <w:rFonts w:ascii="黑体" w:hAnsi="黑体" w:eastAsia="黑体" w:cs="黑体"/>
          <w:b w:val="0"/>
          <w:bCs/>
          <w:sz w:val="24"/>
        </w:rPr>
      </w:pPr>
      <w:bookmarkStart w:id="30" w:name="_Toc94123790"/>
      <w:bookmarkEnd w:id="30"/>
      <w:r>
        <w:rPr>
          <w:rStyle w:val="87"/>
          <w:rFonts w:hint="eastAsia" w:ascii="黑体" w:hAnsi="黑体" w:eastAsia="黑体" w:cs="黑体"/>
          <w:b w:val="0"/>
          <w:bCs/>
          <w:sz w:val="24"/>
        </w:rPr>
        <w:t>附表</w:t>
      </w:r>
      <w:r>
        <w:rPr>
          <w:rStyle w:val="87"/>
          <w:rFonts w:hint="eastAsia" w:ascii="黑体" w:hAnsi="黑体" w:eastAsia="黑体" w:cs="黑体"/>
          <w:b w:val="0"/>
          <w:bCs/>
          <w:sz w:val="24"/>
          <w:lang w:val="en-US" w:eastAsia="zh-CN"/>
        </w:rPr>
        <w:t>3</w:t>
      </w:r>
      <w:r>
        <w:rPr>
          <w:rStyle w:val="87"/>
          <w:rFonts w:hint="eastAsia" w:ascii="黑体" w:hAnsi="黑体" w:eastAsia="黑体" w:cs="黑体"/>
          <w:b w:val="0"/>
          <w:bCs/>
          <w:sz w:val="24"/>
        </w:rPr>
        <w:t>:光谱检测记录</w:t>
      </w:r>
    </w:p>
    <w:tbl>
      <w:tblPr>
        <w:tblStyle w:val="28"/>
        <w:tblW w:w="9471" w:type="dxa"/>
        <w:tblInd w:w="-16"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CellMar>
          <w:top w:w="0" w:type="dxa"/>
          <w:left w:w="28" w:type="dxa"/>
          <w:bottom w:w="0" w:type="dxa"/>
          <w:right w:w="28" w:type="dxa"/>
        </w:tblCellMar>
      </w:tblPr>
      <w:tblGrid>
        <w:gridCol w:w="611"/>
        <w:gridCol w:w="851"/>
        <w:gridCol w:w="829"/>
        <w:gridCol w:w="860"/>
        <w:gridCol w:w="1145"/>
        <w:gridCol w:w="325"/>
        <w:gridCol w:w="321"/>
        <w:gridCol w:w="646"/>
        <w:gridCol w:w="266"/>
        <w:gridCol w:w="380"/>
        <w:gridCol w:w="75"/>
        <w:gridCol w:w="571"/>
        <w:gridCol w:w="646"/>
        <w:gridCol w:w="646"/>
        <w:gridCol w:w="646"/>
        <w:gridCol w:w="653"/>
      </w:tblGrid>
      <w:tr w14:paraId="4AC11D01">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28" w:type="dxa"/>
            <w:bottom w:w="0" w:type="dxa"/>
            <w:right w:w="28" w:type="dxa"/>
          </w:tblCellMar>
        </w:tblPrEx>
        <w:trPr>
          <w:cantSplit/>
          <w:trHeight w:val="1400" w:hRule="atLeast"/>
        </w:trPr>
        <w:tc>
          <w:tcPr>
            <w:tcW w:w="2291" w:type="dxa"/>
            <w:gridSpan w:val="3"/>
            <w:vAlign w:val="center"/>
          </w:tcPr>
          <w:p w14:paraId="67187842">
            <w:pPr>
              <w:jc w:val="center"/>
              <w:rPr>
                <w:rFonts w:ascii="黑体" w:eastAsia="黑体"/>
              </w:rPr>
            </w:pPr>
          </w:p>
        </w:tc>
        <w:tc>
          <w:tcPr>
            <w:tcW w:w="3563" w:type="dxa"/>
            <w:gridSpan w:val="6"/>
            <w:vAlign w:val="center"/>
          </w:tcPr>
          <w:p w14:paraId="6C420DDB">
            <w:pPr>
              <w:jc w:val="center"/>
              <w:rPr>
                <w:rFonts w:ascii="宋体"/>
                <w:b/>
                <w:sz w:val="32"/>
              </w:rPr>
            </w:pPr>
            <w:r>
              <w:rPr>
                <w:rFonts w:hint="eastAsia" w:ascii="宋体"/>
                <w:b/>
                <w:sz w:val="32"/>
              </w:rPr>
              <w:t>光谱检测</w:t>
            </w:r>
          </w:p>
        </w:tc>
        <w:tc>
          <w:tcPr>
            <w:tcW w:w="3617" w:type="dxa"/>
            <w:gridSpan w:val="7"/>
          </w:tcPr>
          <w:p w14:paraId="083296F1">
            <w:pPr>
              <w:ind w:right="720"/>
              <w:jc w:val="left"/>
              <w:rPr>
                <w:rFonts w:ascii="宋体"/>
              </w:rPr>
            </w:pPr>
            <w:r>
              <w:rPr>
                <w:rFonts w:hint="eastAsia" w:ascii="宋体"/>
                <w:lang w:eastAsia="zh-CN"/>
              </w:rPr>
              <w:t>项目</w:t>
            </w:r>
            <w:r>
              <w:rPr>
                <w:rFonts w:hint="eastAsia" w:ascii="宋体"/>
              </w:rPr>
              <w:t>名称：气化炉大修和内筒体及下灰室锥体部分堆焊</w:t>
            </w:r>
            <w:r>
              <w:rPr>
                <w:rFonts w:hint="eastAsia" w:ascii="宋体"/>
                <w:bCs/>
              </w:rPr>
              <w:t>维保服务</w:t>
            </w:r>
          </w:p>
          <w:p w14:paraId="39E514FA">
            <w:pPr>
              <w:ind w:right="720"/>
              <w:jc w:val="right"/>
            </w:pPr>
            <w:r>
              <w:rPr>
                <w:rFonts w:hint="eastAsia"/>
              </w:rPr>
              <w:t>单元名称：加压气化  框架</w:t>
            </w:r>
          </w:p>
        </w:tc>
      </w:tr>
      <w:tr w14:paraId="0C20A0E1">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28" w:type="dxa"/>
            <w:bottom w:w="0" w:type="dxa"/>
            <w:right w:w="28" w:type="dxa"/>
          </w:tblCellMar>
        </w:tblPrEx>
        <w:trPr>
          <w:cantSplit/>
          <w:trHeight w:val="754" w:hRule="atLeast"/>
        </w:trPr>
        <w:tc>
          <w:tcPr>
            <w:tcW w:w="611" w:type="dxa"/>
            <w:tcBorders>
              <w:top w:val="single" w:color="000000" w:sz="8" w:space="0"/>
            </w:tcBorders>
            <w:vAlign w:val="center"/>
          </w:tcPr>
          <w:p w14:paraId="11F9C6D8">
            <w:pPr>
              <w:jc w:val="center"/>
            </w:pPr>
            <w:r>
              <w:rPr>
                <w:rFonts w:hint="eastAsia"/>
              </w:rPr>
              <w:t>设备名称</w:t>
            </w:r>
          </w:p>
        </w:tc>
        <w:tc>
          <w:tcPr>
            <w:tcW w:w="4010" w:type="dxa"/>
            <w:gridSpan w:val="5"/>
            <w:tcBorders>
              <w:top w:val="single" w:color="000000" w:sz="8" w:space="0"/>
            </w:tcBorders>
            <w:vAlign w:val="center"/>
          </w:tcPr>
          <w:p w14:paraId="2D5FF07D">
            <w:pPr>
              <w:jc w:val="center"/>
              <w:rPr>
                <w:u w:val="single"/>
              </w:rPr>
            </w:pPr>
            <w:r>
              <w:rPr>
                <w:rFonts w:hint="eastAsia"/>
                <w:u w:val="single"/>
              </w:rPr>
              <w:t xml:space="preserve">      # </w:t>
            </w:r>
            <w:r>
              <w:rPr>
                <w:rFonts w:hint="eastAsia"/>
              </w:rPr>
              <w:t>气化炉</w:t>
            </w:r>
          </w:p>
        </w:tc>
        <w:tc>
          <w:tcPr>
            <w:tcW w:w="1233" w:type="dxa"/>
            <w:gridSpan w:val="3"/>
            <w:tcBorders>
              <w:top w:val="single" w:color="000000" w:sz="8" w:space="0"/>
            </w:tcBorders>
            <w:vAlign w:val="center"/>
          </w:tcPr>
          <w:p w14:paraId="4CFF17B9">
            <w:pPr>
              <w:jc w:val="center"/>
            </w:pPr>
            <w:r>
              <w:rPr>
                <w:rFonts w:hint="eastAsia"/>
              </w:rPr>
              <w:t>设备位号</w:t>
            </w:r>
          </w:p>
        </w:tc>
        <w:tc>
          <w:tcPr>
            <w:tcW w:w="3617" w:type="dxa"/>
            <w:gridSpan w:val="7"/>
            <w:tcBorders>
              <w:top w:val="single" w:color="000000" w:sz="8" w:space="0"/>
            </w:tcBorders>
            <w:vAlign w:val="center"/>
          </w:tcPr>
          <w:p w14:paraId="474C0EAB">
            <w:pPr>
              <w:jc w:val="center"/>
            </w:pPr>
          </w:p>
        </w:tc>
      </w:tr>
      <w:tr w14:paraId="2C372FC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571" w:hRule="atLeast"/>
        </w:trPr>
        <w:tc>
          <w:tcPr>
            <w:tcW w:w="611" w:type="dxa"/>
            <w:vMerge w:val="restart"/>
            <w:tcBorders>
              <w:top w:val="single" w:color="000000" w:sz="6" w:space="0"/>
              <w:left w:val="single" w:color="000000" w:sz="8" w:space="0"/>
              <w:right w:val="single" w:color="000000" w:sz="6" w:space="0"/>
            </w:tcBorders>
            <w:vAlign w:val="center"/>
          </w:tcPr>
          <w:p w14:paraId="5AAD976E">
            <w:pPr>
              <w:jc w:val="center"/>
            </w:pPr>
            <w:r>
              <w:rPr>
                <w:rFonts w:hint="eastAsia"/>
              </w:rPr>
              <w:t>序</w:t>
            </w:r>
          </w:p>
          <w:p w14:paraId="35512E91">
            <w:pPr>
              <w:jc w:val="center"/>
            </w:pPr>
            <w:r>
              <w:rPr>
                <w:rFonts w:hint="eastAsia"/>
              </w:rPr>
              <w:t>号</w:t>
            </w:r>
          </w:p>
        </w:tc>
        <w:tc>
          <w:tcPr>
            <w:tcW w:w="851" w:type="dxa"/>
            <w:vMerge w:val="restart"/>
            <w:tcBorders>
              <w:top w:val="single" w:color="000000" w:sz="6" w:space="0"/>
              <w:left w:val="single" w:color="000000" w:sz="6" w:space="0"/>
              <w:right w:val="single" w:color="000000" w:sz="6" w:space="0"/>
            </w:tcBorders>
            <w:vAlign w:val="center"/>
          </w:tcPr>
          <w:p w14:paraId="0609D21A">
            <w:pPr>
              <w:jc w:val="center"/>
            </w:pPr>
            <w:r>
              <w:rPr>
                <w:rFonts w:hint="eastAsia"/>
              </w:rPr>
              <w:t>检验</w:t>
            </w:r>
          </w:p>
          <w:p w14:paraId="2BFC4ABD">
            <w:pPr>
              <w:jc w:val="center"/>
            </w:pPr>
            <w:r>
              <w:rPr>
                <w:rFonts w:hint="eastAsia"/>
              </w:rPr>
              <w:t>日期</w:t>
            </w:r>
          </w:p>
        </w:tc>
        <w:tc>
          <w:tcPr>
            <w:tcW w:w="2834" w:type="dxa"/>
            <w:gridSpan w:val="3"/>
            <w:vMerge w:val="restart"/>
            <w:tcBorders>
              <w:top w:val="single" w:color="000000" w:sz="6" w:space="0"/>
              <w:left w:val="single" w:color="000000" w:sz="6" w:space="0"/>
              <w:right w:val="single" w:color="000000" w:sz="6" w:space="0"/>
            </w:tcBorders>
            <w:vAlign w:val="center"/>
          </w:tcPr>
          <w:p w14:paraId="6835DC84">
            <w:pPr>
              <w:spacing w:line="240" w:lineRule="exact"/>
              <w:jc w:val="center"/>
            </w:pPr>
            <w:r>
              <w:rPr>
                <w:rFonts w:hint="eastAsia"/>
              </w:rPr>
              <w:t>检测部位</w:t>
            </w:r>
          </w:p>
        </w:tc>
        <w:tc>
          <w:tcPr>
            <w:tcW w:w="5175" w:type="dxa"/>
            <w:gridSpan w:val="11"/>
            <w:tcBorders>
              <w:top w:val="single" w:color="000000" w:sz="6" w:space="0"/>
              <w:left w:val="single" w:color="000000" w:sz="6" w:space="0"/>
              <w:right w:val="single" w:color="000000" w:sz="8" w:space="0"/>
            </w:tcBorders>
            <w:vAlign w:val="center"/>
          </w:tcPr>
          <w:p w14:paraId="52918CCF">
            <w:pPr>
              <w:spacing w:line="240" w:lineRule="exact"/>
              <w:jc w:val="center"/>
            </w:pPr>
            <w:r>
              <w:rPr>
                <w:rFonts w:hint="eastAsia"/>
              </w:rPr>
              <w:t xml:space="preserve">元素含量 </w:t>
            </w:r>
            <w:r>
              <w:rPr>
                <w:rFonts w:hint="eastAsia" w:ascii="宋体" w:hAnsi="宋体"/>
              </w:rPr>
              <w:t>(%)</w:t>
            </w:r>
          </w:p>
        </w:tc>
      </w:tr>
      <w:tr w14:paraId="1F82C59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581" w:hRule="exact"/>
        </w:trPr>
        <w:tc>
          <w:tcPr>
            <w:tcW w:w="611" w:type="dxa"/>
            <w:vMerge w:val="continue"/>
            <w:tcBorders>
              <w:left w:val="single" w:color="000000" w:sz="8" w:space="0"/>
              <w:right w:val="single" w:color="000000" w:sz="6" w:space="0"/>
            </w:tcBorders>
            <w:vAlign w:val="center"/>
          </w:tcPr>
          <w:p w14:paraId="4AA41EC2">
            <w:pPr>
              <w:jc w:val="center"/>
            </w:pPr>
          </w:p>
        </w:tc>
        <w:tc>
          <w:tcPr>
            <w:tcW w:w="851" w:type="dxa"/>
            <w:vMerge w:val="continue"/>
            <w:tcBorders>
              <w:left w:val="single" w:color="000000" w:sz="6" w:space="0"/>
              <w:right w:val="single" w:color="000000" w:sz="6" w:space="0"/>
            </w:tcBorders>
            <w:vAlign w:val="center"/>
          </w:tcPr>
          <w:p w14:paraId="26EF3F4B">
            <w:pPr>
              <w:jc w:val="center"/>
            </w:pPr>
          </w:p>
        </w:tc>
        <w:tc>
          <w:tcPr>
            <w:tcW w:w="2834" w:type="dxa"/>
            <w:gridSpan w:val="3"/>
            <w:vMerge w:val="continue"/>
            <w:tcBorders>
              <w:left w:val="single" w:color="000000" w:sz="6" w:space="0"/>
              <w:right w:val="single" w:color="000000" w:sz="6" w:space="0"/>
            </w:tcBorders>
            <w:vAlign w:val="center"/>
          </w:tcPr>
          <w:p w14:paraId="36552071">
            <w:pPr>
              <w:jc w:val="center"/>
            </w:pPr>
          </w:p>
        </w:tc>
        <w:tc>
          <w:tcPr>
            <w:tcW w:w="646" w:type="dxa"/>
            <w:gridSpan w:val="2"/>
            <w:tcBorders>
              <w:left w:val="single" w:color="000000" w:sz="6" w:space="0"/>
              <w:right w:val="single" w:color="000000" w:sz="8" w:space="0"/>
            </w:tcBorders>
            <w:vAlign w:val="center"/>
          </w:tcPr>
          <w:p w14:paraId="24764A99">
            <w:pPr>
              <w:spacing w:line="500" w:lineRule="exact"/>
              <w:jc w:val="center"/>
              <w:rPr>
                <w:rFonts w:ascii="Calibri" w:hAnsi="Calibri"/>
              </w:rPr>
            </w:pPr>
            <w:r>
              <w:rPr>
                <w:rFonts w:hint="eastAsia" w:ascii="Calibri" w:hAnsi="Calibri"/>
              </w:rPr>
              <w:t>Ni</w:t>
            </w:r>
          </w:p>
        </w:tc>
        <w:tc>
          <w:tcPr>
            <w:tcW w:w="646" w:type="dxa"/>
            <w:tcBorders>
              <w:left w:val="single" w:color="000000" w:sz="6" w:space="0"/>
              <w:right w:val="single" w:color="000000" w:sz="8" w:space="0"/>
            </w:tcBorders>
            <w:vAlign w:val="center"/>
          </w:tcPr>
          <w:p w14:paraId="617B6967">
            <w:pPr>
              <w:spacing w:line="500" w:lineRule="exact"/>
              <w:jc w:val="center"/>
              <w:rPr>
                <w:rFonts w:ascii="Calibri" w:hAnsi="Calibri"/>
              </w:rPr>
            </w:pPr>
            <w:r>
              <w:rPr>
                <w:rFonts w:hint="eastAsia" w:ascii="Calibri" w:hAnsi="Calibri"/>
              </w:rPr>
              <w:t>Cr</w:t>
            </w:r>
          </w:p>
        </w:tc>
        <w:tc>
          <w:tcPr>
            <w:tcW w:w="646" w:type="dxa"/>
            <w:gridSpan w:val="2"/>
            <w:tcBorders>
              <w:left w:val="single" w:color="000000" w:sz="6" w:space="0"/>
              <w:right w:val="single" w:color="000000" w:sz="8" w:space="0"/>
            </w:tcBorders>
            <w:vAlign w:val="center"/>
          </w:tcPr>
          <w:p w14:paraId="0910C2DD">
            <w:pPr>
              <w:spacing w:line="500" w:lineRule="exact"/>
              <w:jc w:val="center"/>
              <w:rPr>
                <w:rFonts w:ascii="Calibri" w:hAnsi="Calibri"/>
              </w:rPr>
            </w:pPr>
            <w:r>
              <w:rPr>
                <w:rFonts w:hint="eastAsia" w:ascii="Calibri" w:hAnsi="Calibri"/>
              </w:rPr>
              <w:t>Mo</w:t>
            </w:r>
          </w:p>
        </w:tc>
        <w:tc>
          <w:tcPr>
            <w:tcW w:w="646" w:type="dxa"/>
            <w:gridSpan w:val="2"/>
            <w:tcBorders>
              <w:left w:val="single" w:color="000000" w:sz="6" w:space="0"/>
              <w:right w:val="single" w:color="000000" w:sz="8" w:space="0"/>
            </w:tcBorders>
            <w:vAlign w:val="center"/>
          </w:tcPr>
          <w:p w14:paraId="74DCB16F">
            <w:pPr>
              <w:jc w:val="center"/>
              <w:rPr>
                <w:rFonts w:ascii="Calibri" w:hAnsi="Calibri"/>
              </w:rPr>
            </w:pPr>
            <w:r>
              <w:rPr>
                <w:rFonts w:hint="eastAsia" w:ascii="Calibri" w:hAnsi="Calibri"/>
              </w:rPr>
              <w:t>Nb+Ta</w:t>
            </w:r>
          </w:p>
        </w:tc>
        <w:tc>
          <w:tcPr>
            <w:tcW w:w="646" w:type="dxa"/>
            <w:tcBorders>
              <w:left w:val="single" w:color="000000" w:sz="6" w:space="0"/>
              <w:right w:val="single" w:color="000000" w:sz="8" w:space="0"/>
            </w:tcBorders>
            <w:vAlign w:val="center"/>
          </w:tcPr>
          <w:p w14:paraId="539ADFB0">
            <w:pPr>
              <w:jc w:val="center"/>
            </w:pPr>
            <w:r>
              <w:rPr>
                <w:rFonts w:hint="eastAsia"/>
              </w:rPr>
              <w:t>Fe</w:t>
            </w:r>
          </w:p>
        </w:tc>
        <w:tc>
          <w:tcPr>
            <w:tcW w:w="646" w:type="dxa"/>
            <w:tcBorders>
              <w:left w:val="single" w:color="000000" w:sz="6" w:space="0"/>
              <w:right w:val="single" w:color="000000" w:sz="8" w:space="0"/>
            </w:tcBorders>
            <w:vAlign w:val="center"/>
          </w:tcPr>
          <w:p w14:paraId="7D0327E6">
            <w:pPr>
              <w:spacing w:line="500" w:lineRule="exact"/>
              <w:jc w:val="center"/>
              <w:rPr>
                <w:rFonts w:ascii="Calibri" w:hAnsi="Calibri"/>
              </w:rPr>
            </w:pPr>
            <w:r>
              <w:rPr>
                <w:rFonts w:hint="eastAsia" w:ascii="Calibri" w:hAnsi="Calibri"/>
              </w:rPr>
              <w:t>Al</w:t>
            </w:r>
          </w:p>
        </w:tc>
        <w:tc>
          <w:tcPr>
            <w:tcW w:w="646" w:type="dxa"/>
            <w:tcBorders>
              <w:left w:val="single" w:color="000000" w:sz="6" w:space="0"/>
              <w:right w:val="single" w:color="000000" w:sz="8" w:space="0"/>
            </w:tcBorders>
            <w:vAlign w:val="center"/>
          </w:tcPr>
          <w:p w14:paraId="15E94B8D">
            <w:pPr>
              <w:spacing w:line="500" w:lineRule="exact"/>
              <w:jc w:val="center"/>
              <w:rPr>
                <w:rFonts w:ascii="Calibri" w:hAnsi="Calibri"/>
              </w:rPr>
            </w:pPr>
            <w:r>
              <w:rPr>
                <w:rFonts w:hint="eastAsia" w:ascii="Calibri" w:hAnsi="Calibri"/>
              </w:rPr>
              <w:t>Ti</w:t>
            </w:r>
          </w:p>
        </w:tc>
        <w:tc>
          <w:tcPr>
            <w:tcW w:w="653" w:type="dxa"/>
            <w:tcBorders>
              <w:left w:val="single" w:color="000000" w:sz="6" w:space="0"/>
              <w:right w:val="single" w:color="000000" w:sz="8" w:space="0"/>
            </w:tcBorders>
            <w:vAlign w:val="center"/>
          </w:tcPr>
          <w:p w14:paraId="111DA7E9">
            <w:pPr>
              <w:spacing w:line="500" w:lineRule="exact"/>
              <w:jc w:val="center"/>
              <w:rPr>
                <w:rFonts w:ascii="Calibri" w:hAnsi="Calibri"/>
              </w:rPr>
            </w:pPr>
            <w:r>
              <w:rPr>
                <w:rFonts w:hint="eastAsia" w:ascii="Calibri" w:hAnsi="Calibri"/>
              </w:rPr>
              <w:t>Cu</w:t>
            </w:r>
          </w:p>
        </w:tc>
      </w:tr>
      <w:tr w14:paraId="135F751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exact"/>
        </w:trPr>
        <w:tc>
          <w:tcPr>
            <w:tcW w:w="611" w:type="dxa"/>
            <w:tcBorders>
              <w:top w:val="single" w:color="000000" w:sz="6" w:space="0"/>
              <w:left w:val="single" w:color="000000" w:sz="8" w:space="0"/>
              <w:right w:val="single" w:color="000000" w:sz="6" w:space="0"/>
            </w:tcBorders>
            <w:vAlign w:val="center"/>
          </w:tcPr>
          <w:p w14:paraId="797B87BC">
            <w:pPr>
              <w:jc w:val="center"/>
            </w:pPr>
            <w:r>
              <w:rPr>
                <w:rFonts w:hint="eastAsia"/>
              </w:rPr>
              <w:t>1</w:t>
            </w:r>
          </w:p>
        </w:tc>
        <w:tc>
          <w:tcPr>
            <w:tcW w:w="851" w:type="dxa"/>
            <w:tcBorders>
              <w:left w:val="single" w:color="000000" w:sz="4" w:space="0"/>
              <w:right w:val="single" w:color="000000" w:sz="6" w:space="0"/>
            </w:tcBorders>
            <w:vAlign w:val="center"/>
          </w:tcPr>
          <w:p w14:paraId="0B1F91EF">
            <w:pPr>
              <w:jc w:val="center"/>
            </w:pPr>
          </w:p>
        </w:tc>
        <w:tc>
          <w:tcPr>
            <w:tcW w:w="2834" w:type="dxa"/>
            <w:gridSpan w:val="3"/>
            <w:tcBorders>
              <w:left w:val="single" w:color="000000" w:sz="6" w:space="0"/>
              <w:right w:val="single" w:color="000000" w:sz="6" w:space="0"/>
            </w:tcBorders>
            <w:vAlign w:val="center"/>
          </w:tcPr>
          <w:p w14:paraId="42E887E3">
            <w:pPr>
              <w:jc w:val="center"/>
            </w:pPr>
          </w:p>
        </w:tc>
        <w:tc>
          <w:tcPr>
            <w:tcW w:w="646" w:type="dxa"/>
            <w:gridSpan w:val="2"/>
            <w:tcBorders>
              <w:left w:val="single" w:color="000000" w:sz="6" w:space="0"/>
              <w:right w:val="single" w:color="000000" w:sz="8" w:space="0"/>
            </w:tcBorders>
            <w:vAlign w:val="center"/>
          </w:tcPr>
          <w:p w14:paraId="6CBEF1E2">
            <w:pPr>
              <w:jc w:val="center"/>
            </w:pPr>
          </w:p>
        </w:tc>
        <w:tc>
          <w:tcPr>
            <w:tcW w:w="646" w:type="dxa"/>
            <w:tcBorders>
              <w:left w:val="single" w:color="000000" w:sz="6" w:space="0"/>
              <w:right w:val="single" w:color="000000" w:sz="8" w:space="0"/>
            </w:tcBorders>
            <w:vAlign w:val="center"/>
          </w:tcPr>
          <w:p w14:paraId="559DED91">
            <w:pPr>
              <w:jc w:val="center"/>
            </w:pPr>
          </w:p>
        </w:tc>
        <w:tc>
          <w:tcPr>
            <w:tcW w:w="646" w:type="dxa"/>
            <w:gridSpan w:val="2"/>
            <w:tcBorders>
              <w:left w:val="single" w:color="000000" w:sz="6" w:space="0"/>
              <w:right w:val="single" w:color="000000" w:sz="8" w:space="0"/>
            </w:tcBorders>
            <w:vAlign w:val="center"/>
          </w:tcPr>
          <w:p w14:paraId="5A72B661">
            <w:pPr>
              <w:jc w:val="center"/>
            </w:pPr>
          </w:p>
        </w:tc>
        <w:tc>
          <w:tcPr>
            <w:tcW w:w="646" w:type="dxa"/>
            <w:gridSpan w:val="2"/>
            <w:tcBorders>
              <w:left w:val="single" w:color="000000" w:sz="6" w:space="0"/>
              <w:right w:val="single" w:color="000000" w:sz="8" w:space="0"/>
            </w:tcBorders>
            <w:vAlign w:val="center"/>
          </w:tcPr>
          <w:p w14:paraId="72D1A4DB">
            <w:pPr>
              <w:jc w:val="center"/>
            </w:pPr>
          </w:p>
        </w:tc>
        <w:tc>
          <w:tcPr>
            <w:tcW w:w="646" w:type="dxa"/>
            <w:tcBorders>
              <w:left w:val="single" w:color="000000" w:sz="6" w:space="0"/>
              <w:right w:val="single" w:color="000000" w:sz="8" w:space="0"/>
            </w:tcBorders>
            <w:vAlign w:val="center"/>
          </w:tcPr>
          <w:p w14:paraId="351C3D65">
            <w:pPr>
              <w:jc w:val="center"/>
            </w:pPr>
          </w:p>
        </w:tc>
        <w:tc>
          <w:tcPr>
            <w:tcW w:w="646" w:type="dxa"/>
            <w:tcBorders>
              <w:left w:val="single" w:color="000000" w:sz="6" w:space="0"/>
              <w:right w:val="single" w:color="000000" w:sz="8" w:space="0"/>
            </w:tcBorders>
            <w:vAlign w:val="center"/>
          </w:tcPr>
          <w:p w14:paraId="163B9B1F">
            <w:pPr>
              <w:jc w:val="center"/>
            </w:pPr>
          </w:p>
        </w:tc>
        <w:tc>
          <w:tcPr>
            <w:tcW w:w="646" w:type="dxa"/>
            <w:tcBorders>
              <w:left w:val="single" w:color="000000" w:sz="6" w:space="0"/>
              <w:right w:val="single" w:color="000000" w:sz="8" w:space="0"/>
            </w:tcBorders>
            <w:vAlign w:val="center"/>
          </w:tcPr>
          <w:p w14:paraId="3B2E4C58">
            <w:pPr>
              <w:jc w:val="center"/>
            </w:pPr>
          </w:p>
        </w:tc>
        <w:tc>
          <w:tcPr>
            <w:tcW w:w="653" w:type="dxa"/>
            <w:tcBorders>
              <w:left w:val="single" w:color="000000" w:sz="6" w:space="0"/>
              <w:right w:val="single" w:color="000000" w:sz="8" w:space="0"/>
            </w:tcBorders>
            <w:vAlign w:val="center"/>
          </w:tcPr>
          <w:p w14:paraId="6E5CBF1C">
            <w:pPr>
              <w:jc w:val="center"/>
            </w:pPr>
          </w:p>
        </w:tc>
      </w:tr>
      <w:tr w14:paraId="30E9A3A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exact"/>
        </w:trPr>
        <w:tc>
          <w:tcPr>
            <w:tcW w:w="611" w:type="dxa"/>
            <w:tcBorders>
              <w:top w:val="single" w:color="000000" w:sz="6" w:space="0"/>
              <w:left w:val="single" w:color="000000" w:sz="8" w:space="0"/>
              <w:right w:val="single" w:color="000000" w:sz="6" w:space="0"/>
            </w:tcBorders>
            <w:vAlign w:val="center"/>
          </w:tcPr>
          <w:p w14:paraId="2A06F166">
            <w:pPr>
              <w:jc w:val="center"/>
            </w:pPr>
            <w:r>
              <w:rPr>
                <w:rFonts w:hint="eastAsia"/>
              </w:rPr>
              <w:t>2</w:t>
            </w:r>
          </w:p>
        </w:tc>
        <w:tc>
          <w:tcPr>
            <w:tcW w:w="851" w:type="dxa"/>
            <w:tcBorders>
              <w:left w:val="single" w:color="000000" w:sz="4" w:space="0"/>
              <w:right w:val="single" w:color="000000" w:sz="6" w:space="0"/>
            </w:tcBorders>
            <w:vAlign w:val="center"/>
          </w:tcPr>
          <w:p w14:paraId="0633C37A">
            <w:pPr>
              <w:jc w:val="center"/>
            </w:pPr>
          </w:p>
        </w:tc>
        <w:tc>
          <w:tcPr>
            <w:tcW w:w="2834" w:type="dxa"/>
            <w:gridSpan w:val="3"/>
            <w:tcBorders>
              <w:left w:val="single" w:color="000000" w:sz="6" w:space="0"/>
              <w:right w:val="single" w:color="000000" w:sz="6" w:space="0"/>
            </w:tcBorders>
            <w:vAlign w:val="center"/>
          </w:tcPr>
          <w:p w14:paraId="38334CCD">
            <w:pPr>
              <w:jc w:val="center"/>
            </w:pPr>
          </w:p>
        </w:tc>
        <w:tc>
          <w:tcPr>
            <w:tcW w:w="646" w:type="dxa"/>
            <w:gridSpan w:val="2"/>
            <w:tcBorders>
              <w:left w:val="single" w:color="000000" w:sz="6" w:space="0"/>
              <w:right w:val="single" w:color="000000" w:sz="8" w:space="0"/>
            </w:tcBorders>
            <w:vAlign w:val="center"/>
          </w:tcPr>
          <w:p w14:paraId="4BC29FDD">
            <w:pPr>
              <w:jc w:val="center"/>
            </w:pPr>
          </w:p>
        </w:tc>
        <w:tc>
          <w:tcPr>
            <w:tcW w:w="646" w:type="dxa"/>
            <w:tcBorders>
              <w:left w:val="single" w:color="000000" w:sz="6" w:space="0"/>
              <w:right w:val="single" w:color="000000" w:sz="8" w:space="0"/>
            </w:tcBorders>
            <w:vAlign w:val="center"/>
          </w:tcPr>
          <w:p w14:paraId="5F68F38E">
            <w:pPr>
              <w:jc w:val="center"/>
            </w:pPr>
          </w:p>
        </w:tc>
        <w:tc>
          <w:tcPr>
            <w:tcW w:w="646" w:type="dxa"/>
            <w:gridSpan w:val="2"/>
            <w:tcBorders>
              <w:left w:val="single" w:color="000000" w:sz="6" w:space="0"/>
              <w:right w:val="single" w:color="000000" w:sz="8" w:space="0"/>
            </w:tcBorders>
            <w:vAlign w:val="center"/>
          </w:tcPr>
          <w:p w14:paraId="4F7F5E1A">
            <w:pPr>
              <w:jc w:val="center"/>
            </w:pPr>
          </w:p>
        </w:tc>
        <w:tc>
          <w:tcPr>
            <w:tcW w:w="646" w:type="dxa"/>
            <w:gridSpan w:val="2"/>
            <w:tcBorders>
              <w:left w:val="single" w:color="000000" w:sz="6" w:space="0"/>
              <w:right w:val="single" w:color="000000" w:sz="8" w:space="0"/>
            </w:tcBorders>
            <w:vAlign w:val="center"/>
          </w:tcPr>
          <w:p w14:paraId="3082093B">
            <w:pPr>
              <w:jc w:val="center"/>
            </w:pPr>
          </w:p>
        </w:tc>
        <w:tc>
          <w:tcPr>
            <w:tcW w:w="646" w:type="dxa"/>
            <w:tcBorders>
              <w:left w:val="single" w:color="000000" w:sz="6" w:space="0"/>
              <w:right w:val="single" w:color="000000" w:sz="8" w:space="0"/>
            </w:tcBorders>
            <w:vAlign w:val="center"/>
          </w:tcPr>
          <w:p w14:paraId="0D1803F8">
            <w:pPr>
              <w:jc w:val="center"/>
            </w:pPr>
          </w:p>
        </w:tc>
        <w:tc>
          <w:tcPr>
            <w:tcW w:w="646" w:type="dxa"/>
            <w:tcBorders>
              <w:left w:val="single" w:color="000000" w:sz="6" w:space="0"/>
              <w:right w:val="single" w:color="000000" w:sz="8" w:space="0"/>
            </w:tcBorders>
            <w:vAlign w:val="center"/>
          </w:tcPr>
          <w:p w14:paraId="40F64D48">
            <w:pPr>
              <w:jc w:val="center"/>
            </w:pPr>
          </w:p>
        </w:tc>
        <w:tc>
          <w:tcPr>
            <w:tcW w:w="646" w:type="dxa"/>
            <w:tcBorders>
              <w:left w:val="single" w:color="000000" w:sz="6" w:space="0"/>
              <w:right w:val="single" w:color="000000" w:sz="8" w:space="0"/>
            </w:tcBorders>
            <w:vAlign w:val="center"/>
          </w:tcPr>
          <w:p w14:paraId="2DEC404A">
            <w:pPr>
              <w:jc w:val="center"/>
            </w:pPr>
          </w:p>
        </w:tc>
        <w:tc>
          <w:tcPr>
            <w:tcW w:w="653" w:type="dxa"/>
            <w:tcBorders>
              <w:left w:val="single" w:color="000000" w:sz="6" w:space="0"/>
              <w:right w:val="single" w:color="000000" w:sz="8" w:space="0"/>
            </w:tcBorders>
            <w:vAlign w:val="center"/>
          </w:tcPr>
          <w:p w14:paraId="53358B1E">
            <w:pPr>
              <w:jc w:val="center"/>
            </w:pPr>
          </w:p>
        </w:tc>
      </w:tr>
      <w:tr w14:paraId="7CD34D7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exact"/>
        </w:trPr>
        <w:tc>
          <w:tcPr>
            <w:tcW w:w="611" w:type="dxa"/>
            <w:tcBorders>
              <w:top w:val="single" w:color="000000" w:sz="6" w:space="0"/>
              <w:left w:val="single" w:color="000000" w:sz="8" w:space="0"/>
              <w:right w:val="single" w:color="000000" w:sz="6" w:space="0"/>
            </w:tcBorders>
            <w:vAlign w:val="center"/>
          </w:tcPr>
          <w:p w14:paraId="1B4018DC">
            <w:pPr>
              <w:jc w:val="center"/>
            </w:pPr>
            <w:r>
              <w:rPr>
                <w:rFonts w:hint="eastAsia"/>
              </w:rPr>
              <w:t>3</w:t>
            </w:r>
          </w:p>
        </w:tc>
        <w:tc>
          <w:tcPr>
            <w:tcW w:w="851" w:type="dxa"/>
            <w:tcBorders>
              <w:left w:val="single" w:color="000000" w:sz="4" w:space="0"/>
              <w:right w:val="single" w:color="000000" w:sz="6" w:space="0"/>
            </w:tcBorders>
            <w:vAlign w:val="center"/>
          </w:tcPr>
          <w:p w14:paraId="4171759B">
            <w:pPr>
              <w:jc w:val="center"/>
            </w:pPr>
          </w:p>
        </w:tc>
        <w:tc>
          <w:tcPr>
            <w:tcW w:w="2834" w:type="dxa"/>
            <w:gridSpan w:val="3"/>
            <w:tcBorders>
              <w:left w:val="single" w:color="000000" w:sz="6" w:space="0"/>
              <w:right w:val="single" w:color="000000" w:sz="6" w:space="0"/>
            </w:tcBorders>
            <w:vAlign w:val="center"/>
          </w:tcPr>
          <w:p w14:paraId="693F4ED0">
            <w:pPr>
              <w:jc w:val="center"/>
            </w:pPr>
          </w:p>
        </w:tc>
        <w:tc>
          <w:tcPr>
            <w:tcW w:w="646" w:type="dxa"/>
            <w:gridSpan w:val="2"/>
            <w:tcBorders>
              <w:left w:val="single" w:color="000000" w:sz="6" w:space="0"/>
              <w:right w:val="single" w:color="000000" w:sz="8" w:space="0"/>
            </w:tcBorders>
            <w:vAlign w:val="center"/>
          </w:tcPr>
          <w:p w14:paraId="694DD36F">
            <w:pPr>
              <w:jc w:val="center"/>
            </w:pPr>
          </w:p>
        </w:tc>
        <w:tc>
          <w:tcPr>
            <w:tcW w:w="646" w:type="dxa"/>
            <w:tcBorders>
              <w:left w:val="single" w:color="000000" w:sz="6" w:space="0"/>
              <w:right w:val="single" w:color="000000" w:sz="8" w:space="0"/>
            </w:tcBorders>
            <w:vAlign w:val="center"/>
          </w:tcPr>
          <w:p w14:paraId="73AF3DE0">
            <w:pPr>
              <w:jc w:val="center"/>
            </w:pPr>
          </w:p>
        </w:tc>
        <w:tc>
          <w:tcPr>
            <w:tcW w:w="646" w:type="dxa"/>
            <w:gridSpan w:val="2"/>
            <w:tcBorders>
              <w:left w:val="single" w:color="000000" w:sz="6" w:space="0"/>
              <w:right w:val="single" w:color="000000" w:sz="8" w:space="0"/>
            </w:tcBorders>
            <w:vAlign w:val="center"/>
          </w:tcPr>
          <w:p w14:paraId="236EB7B1">
            <w:pPr>
              <w:jc w:val="center"/>
            </w:pPr>
          </w:p>
        </w:tc>
        <w:tc>
          <w:tcPr>
            <w:tcW w:w="646" w:type="dxa"/>
            <w:gridSpan w:val="2"/>
            <w:tcBorders>
              <w:left w:val="single" w:color="000000" w:sz="6" w:space="0"/>
              <w:right w:val="single" w:color="000000" w:sz="8" w:space="0"/>
            </w:tcBorders>
            <w:vAlign w:val="center"/>
          </w:tcPr>
          <w:p w14:paraId="1287EC45">
            <w:pPr>
              <w:jc w:val="center"/>
            </w:pPr>
          </w:p>
        </w:tc>
        <w:tc>
          <w:tcPr>
            <w:tcW w:w="646" w:type="dxa"/>
            <w:tcBorders>
              <w:left w:val="single" w:color="000000" w:sz="6" w:space="0"/>
              <w:right w:val="single" w:color="000000" w:sz="8" w:space="0"/>
            </w:tcBorders>
            <w:vAlign w:val="center"/>
          </w:tcPr>
          <w:p w14:paraId="5A2502A6">
            <w:pPr>
              <w:jc w:val="center"/>
            </w:pPr>
          </w:p>
        </w:tc>
        <w:tc>
          <w:tcPr>
            <w:tcW w:w="646" w:type="dxa"/>
            <w:tcBorders>
              <w:left w:val="single" w:color="000000" w:sz="6" w:space="0"/>
              <w:right w:val="single" w:color="000000" w:sz="8" w:space="0"/>
            </w:tcBorders>
            <w:vAlign w:val="center"/>
          </w:tcPr>
          <w:p w14:paraId="46EA7545">
            <w:pPr>
              <w:jc w:val="center"/>
            </w:pPr>
          </w:p>
        </w:tc>
        <w:tc>
          <w:tcPr>
            <w:tcW w:w="646" w:type="dxa"/>
            <w:tcBorders>
              <w:left w:val="single" w:color="000000" w:sz="6" w:space="0"/>
              <w:right w:val="single" w:color="000000" w:sz="8" w:space="0"/>
            </w:tcBorders>
            <w:vAlign w:val="center"/>
          </w:tcPr>
          <w:p w14:paraId="3CD7FE9C">
            <w:pPr>
              <w:jc w:val="center"/>
            </w:pPr>
          </w:p>
        </w:tc>
        <w:tc>
          <w:tcPr>
            <w:tcW w:w="653" w:type="dxa"/>
            <w:tcBorders>
              <w:left w:val="single" w:color="000000" w:sz="6" w:space="0"/>
              <w:right w:val="single" w:color="000000" w:sz="8" w:space="0"/>
            </w:tcBorders>
            <w:vAlign w:val="center"/>
          </w:tcPr>
          <w:p w14:paraId="25422A16">
            <w:pPr>
              <w:jc w:val="center"/>
            </w:pPr>
          </w:p>
        </w:tc>
      </w:tr>
      <w:tr w14:paraId="0E53C31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exact"/>
        </w:trPr>
        <w:tc>
          <w:tcPr>
            <w:tcW w:w="611" w:type="dxa"/>
            <w:tcBorders>
              <w:top w:val="single" w:color="000000" w:sz="6" w:space="0"/>
              <w:left w:val="single" w:color="000000" w:sz="8" w:space="0"/>
              <w:right w:val="single" w:color="000000" w:sz="6" w:space="0"/>
            </w:tcBorders>
            <w:vAlign w:val="center"/>
          </w:tcPr>
          <w:p w14:paraId="694A89CC">
            <w:pPr>
              <w:jc w:val="center"/>
            </w:pPr>
            <w:r>
              <w:rPr>
                <w:rFonts w:hint="eastAsia"/>
              </w:rPr>
              <w:t>4</w:t>
            </w:r>
          </w:p>
        </w:tc>
        <w:tc>
          <w:tcPr>
            <w:tcW w:w="851" w:type="dxa"/>
            <w:tcBorders>
              <w:left w:val="single" w:color="000000" w:sz="4" w:space="0"/>
              <w:right w:val="single" w:color="000000" w:sz="6" w:space="0"/>
            </w:tcBorders>
            <w:vAlign w:val="center"/>
          </w:tcPr>
          <w:p w14:paraId="4E6F63E5">
            <w:pPr>
              <w:jc w:val="center"/>
            </w:pPr>
          </w:p>
        </w:tc>
        <w:tc>
          <w:tcPr>
            <w:tcW w:w="2834" w:type="dxa"/>
            <w:gridSpan w:val="3"/>
            <w:tcBorders>
              <w:left w:val="single" w:color="000000" w:sz="6" w:space="0"/>
              <w:right w:val="single" w:color="000000" w:sz="6" w:space="0"/>
            </w:tcBorders>
            <w:vAlign w:val="center"/>
          </w:tcPr>
          <w:p w14:paraId="09C2461F">
            <w:pPr>
              <w:jc w:val="center"/>
            </w:pPr>
          </w:p>
        </w:tc>
        <w:tc>
          <w:tcPr>
            <w:tcW w:w="646" w:type="dxa"/>
            <w:gridSpan w:val="2"/>
            <w:tcBorders>
              <w:left w:val="single" w:color="000000" w:sz="6" w:space="0"/>
              <w:right w:val="single" w:color="000000" w:sz="8" w:space="0"/>
            </w:tcBorders>
            <w:vAlign w:val="center"/>
          </w:tcPr>
          <w:p w14:paraId="109819BD">
            <w:pPr>
              <w:jc w:val="center"/>
            </w:pPr>
          </w:p>
        </w:tc>
        <w:tc>
          <w:tcPr>
            <w:tcW w:w="646" w:type="dxa"/>
            <w:tcBorders>
              <w:left w:val="single" w:color="000000" w:sz="6" w:space="0"/>
              <w:right w:val="single" w:color="000000" w:sz="8" w:space="0"/>
            </w:tcBorders>
            <w:vAlign w:val="center"/>
          </w:tcPr>
          <w:p w14:paraId="6FDB9443">
            <w:pPr>
              <w:jc w:val="center"/>
            </w:pPr>
          </w:p>
        </w:tc>
        <w:tc>
          <w:tcPr>
            <w:tcW w:w="646" w:type="dxa"/>
            <w:gridSpan w:val="2"/>
            <w:tcBorders>
              <w:left w:val="single" w:color="000000" w:sz="6" w:space="0"/>
              <w:right w:val="single" w:color="000000" w:sz="8" w:space="0"/>
            </w:tcBorders>
            <w:vAlign w:val="center"/>
          </w:tcPr>
          <w:p w14:paraId="63FEC24A">
            <w:pPr>
              <w:jc w:val="center"/>
            </w:pPr>
          </w:p>
        </w:tc>
        <w:tc>
          <w:tcPr>
            <w:tcW w:w="646" w:type="dxa"/>
            <w:gridSpan w:val="2"/>
            <w:tcBorders>
              <w:left w:val="single" w:color="000000" w:sz="6" w:space="0"/>
              <w:right w:val="single" w:color="000000" w:sz="8" w:space="0"/>
            </w:tcBorders>
            <w:vAlign w:val="center"/>
          </w:tcPr>
          <w:p w14:paraId="2C161227">
            <w:pPr>
              <w:jc w:val="center"/>
            </w:pPr>
          </w:p>
        </w:tc>
        <w:tc>
          <w:tcPr>
            <w:tcW w:w="646" w:type="dxa"/>
            <w:tcBorders>
              <w:left w:val="single" w:color="000000" w:sz="6" w:space="0"/>
              <w:right w:val="single" w:color="000000" w:sz="8" w:space="0"/>
            </w:tcBorders>
            <w:vAlign w:val="center"/>
          </w:tcPr>
          <w:p w14:paraId="1160354D">
            <w:pPr>
              <w:jc w:val="center"/>
            </w:pPr>
          </w:p>
        </w:tc>
        <w:tc>
          <w:tcPr>
            <w:tcW w:w="646" w:type="dxa"/>
            <w:tcBorders>
              <w:left w:val="single" w:color="000000" w:sz="6" w:space="0"/>
              <w:right w:val="single" w:color="000000" w:sz="8" w:space="0"/>
            </w:tcBorders>
            <w:vAlign w:val="center"/>
          </w:tcPr>
          <w:p w14:paraId="6D43DB1B">
            <w:pPr>
              <w:jc w:val="center"/>
            </w:pPr>
          </w:p>
        </w:tc>
        <w:tc>
          <w:tcPr>
            <w:tcW w:w="646" w:type="dxa"/>
            <w:tcBorders>
              <w:left w:val="single" w:color="000000" w:sz="6" w:space="0"/>
              <w:right w:val="single" w:color="000000" w:sz="8" w:space="0"/>
            </w:tcBorders>
            <w:vAlign w:val="center"/>
          </w:tcPr>
          <w:p w14:paraId="2D8968B7">
            <w:pPr>
              <w:jc w:val="center"/>
            </w:pPr>
          </w:p>
        </w:tc>
        <w:tc>
          <w:tcPr>
            <w:tcW w:w="653" w:type="dxa"/>
            <w:tcBorders>
              <w:left w:val="single" w:color="000000" w:sz="6" w:space="0"/>
              <w:right w:val="single" w:color="000000" w:sz="8" w:space="0"/>
            </w:tcBorders>
            <w:vAlign w:val="center"/>
          </w:tcPr>
          <w:p w14:paraId="3EF3BC0E">
            <w:pPr>
              <w:jc w:val="center"/>
            </w:pPr>
          </w:p>
        </w:tc>
      </w:tr>
      <w:tr w14:paraId="66A6B2D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exact"/>
        </w:trPr>
        <w:tc>
          <w:tcPr>
            <w:tcW w:w="611" w:type="dxa"/>
            <w:tcBorders>
              <w:top w:val="single" w:color="000000" w:sz="6" w:space="0"/>
              <w:left w:val="single" w:color="000000" w:sz="8" w:space="0"/>
              <w:right w:val="single" w:color="000000" w:sz="6" w:space="0"/>
            </w:tcBorders>
            <w:vAlign w:val="center"/>
          </w:tcPr>
          <w:p w14:paraId="2D46C10B">
            <w:pPr>
              <w:jc w:val="center"/>
            </w:pPr>
            <w:r>
              <w:rPr>
                <w:rFonts w:hint="eastAsia"/>
              </w:rPr>
              <w:t>5</w:t>
            </w:r>
          </w:p>
        </w:tc>
        <w:tc>
          <w:tcPr>
            <w:tcW w:w="851" w:type="dxa"/>
            <w:tcBorders>
              <w:left w:val="single" w:color="000000" w:sz="4" w:space="0"/>
              <w:right w:val="single" w:color="000000" w:sz="6" w:space="0"/>
            </w:tcBorders>
            <w:vAlign w:val="center"/>
          </w:tcPr>
          <w:p w14:paraId="120407C4">
            <w:pPr>
              <w:jc w:val="center"/>
            </w:pPr>
          </w:p>
        </w:tc>
        <w:tc>
          <w:tcPr>
            <w:tcW w:w="2834" w:type="dxa"/>
            <w:gridSpan w:val="3"/>
            <w:tcBorders>
              <w:left w:val="single" w:color="000000" w:sz="6" w:space="0"/>
              <w:right w:val="single" w:color="000000" w:sz="6" w:space="0"/>
            </w:tcBorders>
            <w:vAlign w:val="center"/>
          </w:tcPr>
          <w:p w14:paraId="50492987">
            <w:pPr>
              <w:jc w:val="center"/>
            </w:pPr>
          </w:p>
        </w:tc>
        <w:tc>
          <w:tcPr>
            <w:tcW w:w="646" w:type="dxa"/>
            <w:gridSpan w:val="2"/>
            <w:tcBorders>
              <w:left w:val="single" w:color="000000" w:sz="6" w:space="0"/>
              <w:right w:val="single" w:color="000000" w:sz="8" w:space="0"/>
            </w:tcBorders>
            <w:vAlign w:val="center"/>
          </w:tcPr>
          <w:p w14:paraId="49FE6C23">
            <w:pPr>
              <w:jc w:val="center"/>
            </w:pPr>
          </w:p>
        </w:tc>
        <w:tc>
          <w:tcPr>
            <w:tcW w:w="646" w:type="dxa"/>
            <w:tcBorders>
              <w:left w:val="single" w:color="000000" w:sz="6" w:space="0"/>
              <w:right w:val="single" w:color="000000" w:sz="8" w:space="0"/>
            </w:tcBorders>
            <w:vAlign w:val="center"/>
          </w:tcPr>
          <w:p w14:paraId="65C1AE34">
            <w:pPr>
              <w:jc w:val="center"/>
            </w:pPr>
          </w:p>
        </w:tc>
        <w:tc>
          <w:tcPr>
            <w:tcW w:w="646" w:type="dxa"/>
            <w:gridSpan w:val="2"/>
            <w:tcBorders>
              <w:left w:val="single" w:color="000000" w:sz="6" w:space="0"/>
              <w:right w:val="single" w:color="000000" w:sz="8" w:space="0"/>
            </w:tcBorders>
            <w:vAlign w:val="center"/>
          </w:tcPr>
          <w:p w14:paraId="58058191">
            <w:pPr>
              <w:jc w:val="center"/>
            </w:pPr>
          </w:p>
        </w:tc>
        <w:tc>
          <w:tcPr>
            <w:tcW w:w="646" w:type="dxa"/>
            <w:gridSpan w:val="2"/>
            <w:tcBorders>
              <w:left w:val="single" w:color="000000" w:sz="6" w:space="0"/>
              <w:right w:val="single" w:color="000000" w:sz="8" w:space="0"/>
            </w:tcBorders>
            <w:vAlign w:val="center"/>
          </w:tcPr>
          <w:p w14:paraId="080A57EC">
            <w:pPr>
              <w:jc w:val="center"/>
            </w:pPr>
          </w:p>
        </w:tc>
        <w:tc>
          <w:tcPr>
            <w:tcW w:w="646" w:type="dxa"/>
            <w:tcBorders>
              <w:left w:val="single" w:color="000000" w:sz="6" w:space="0"/>
              <w:right w:val="single" w:color="000000" w:sz="8" w:space="0"/>
            </w:tcBorders>
            <w:vAlign w:val="center"/>
          </w:tcPr>
          <w:p w14:paraId="2427BD7F">
            <w:pPr>
              <w:jc w:val="center"/>
            </w:pPr>
          </w:p>
        </w:tc>
        <w:tc>
          <w:tcPr>
            <w:tcW w:w="646" w:type="dxa"/>
            <w:tcBorders>
              <w:left w:val="single" w:color="000000" w:sz="6" w:space="0"/>
              <w:right w:val="single" w:color="000000" w:sz="8" w:space="0"/>
            </w:tcBorders>
            <w:vAlign w:val="center"/>
          </w:tcPr>
          <w:p w14:paraId="146ACDE3">
            <w:pPr>
              <w:jc w:val="center"/>
            </w:pPr>
          </w:p>
        </w:tc>
        <w:tc>
          <w:tcPr>
            <w:tcW w:w="646" w:type="dxa"/>
            <w:tcBorders>
              <w:left w:val="single" w:color="000000" w:sz="6" w:space="0"/>
              <w:right w:val="single" w:color="000000" w:sz="8" w:space="0"/>
            </w:tcBorders>
            <w:vAlign w:val="center"/>
          </w:tcPr>
          <w:p w14:paraId="35A6C1B0">
            <w:pPr>
              <w:jc w:val="center"/>
            </w:pPr>
          </w:p>
        </w:tc>
        <w:tc>
          <w:tcPr>
            <w:tcW w:w="653" w:type="dxa"/>
            <w:tcBorders>
              <w:left w:val="single" w:color="000000" w:sz="6" w:space="0"/>
              <w:right w:val="single" w:color="000000" w:sz="8" w:space="0"/>
            </w:tcBorders>
            <w:vAlign w:val="center"/>
          </w:tcPr>
          <w:p w14:paraId="6A60ECB9">
            <w:pPr>
              <w:jc w:val="center"/>
            </w:pPr>
          </w:p>
        </w:tc>
      </w:tr>
      <w:tr w14:paraId="7508D21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exact"/>
        </w:trPr>
        <w:tc>
          <w:tcPr>
            <w:tcW w:w="611" w:type="dxa"/>
            <w:tcBorders>
              <w:top w:val="single" w:color="000000" w:sz="6" w:space="0"/>
              <w:left w:val="single" w:color="000000" w:sz="8" w:space="0"/>
              <w:right w:val="single" w:color="000000" w:sz="6" w:space="0"/>
            </w:tcBorders>
            <w:vAlign w:val="center"/>
          </w:tcPr>
          <w:p w14:paraId="2FB28805">
            <w:pPr>
              <w:jc w:val="center"/>
            </w:pPr>
            <w:r>
              <w:rPr>
                <w:rFonts w:hint="eastAsia"/>
              </w:rPr>
              <w:t>6</w:t>
            </w:r>
          </w:p>
        </w:tc>
        <w:tc>
          <w:tcPr>
            <w:tcW w:w="851" w:type="dxa"/>
            <w:tcBorders>
              <w:left w:val="single" w:color="000000" w:sz="4" w:space="0"/>
              <w:right w:val="single" w:color="000000" w:sz="6" w:space="0"/>
            </w:tcBorders>
            <w:vAlign w:val="center"/>
          </w:tcPr>
          <w:p w14:paraId="3E881225">
            <w:pPr>
              <w:jc w:val="center"/>
            </w:pPr>
          </w:p>
        </w:tc>
        <w:tc>
          <w:tcPr>
            <w:tcW w:w="2834" w:type="dxa"/>
            <w:gridSpan w:val="3"/>
            <w:tcBorders>
              <w:left w:val="single" w:color="000000" w:sz="6" w:space="0"/>
              <w:right w:val="single" w:color="000000" w:sz="6" w:space="0"/>
            </w:tcBorders>
            <w:vAlign w:val="center"/>
          </w:tcPr>
          <w:p w14:paraId="03176738">
            <w:pPr>
              <w:jc w:val="center"/>
            </w:pPr>
          </w:p>
        </w:tc>
        <w:tc>
          <w:tcPr>
            <w:tcW w:w="646" w:type="dxa"/>
            <w:gridSpan w:val="2"/>
            <w:tcBorders>
              <w:left w:val="single" w:color="000000" w:sz="6" w:space="0"/>
              <w:right w:val="single" w:color="000000" w:sz="8" w:space="0"/>
            </w:tcBorders>
            <w:vAlign w:val="center"/>
          </w:tcPr>
          <w:p w14:paraId="7E6B141D">
            <w:pPr>
              <w:jc w:val="center"/>
            </w:pPr>
          </w:p>
        </w:tc>
        <w:tc>
          <w:tcPr>
            <w:tcW w:w="646" w:type="dxa"/>
            <w:tcBorders>
              <w:left w:val="single" w:color="000000" w:sz="6" w:space="0"/>
              <w:right w:val="single" w:color="000000" w:sz="8" w:space="0"/>
            </w:tcBorders>
            <w:vAlign w:val="center"/>
          </w:tcPr>
          <w:p w14:paraId="2BC018A7">
            <w:pPr>
              <w:jc w:val="center"/>
            </w:pPr>
          </w:p>
        </w:tc>
        <w:tc>
          <w:tcPr>
            <w:tcW w:w="646" w:type="dxa"/>
            <w:gridSpan w:val="2"/>
            <w:tcBorders>
              <w:left w:val="single" w:color="000000" w:sz="6" w:space="0"/>
              <w:right w:val="single" w:color="000000" w:sz="8" w:space="0"/>
            </w:tcBorders>
            <w:vAlign w:val="center"/>
          </w:tcPr>
          <w:p w14:paraId="3C2F0FE3">
            <w:pPr>
              <w:jc w:val="center"/>
            </w:pPr>
          </w:p>
        </w:tc>
        <w:tc>
          <w:tcPr>
            <w:tcW w:w="646" w:type="dxa"/>
            <w:gridSpan w:val="2"/>
            <w:tcBorders>
              <w:left w:val="single" w:color="000000" w:sz="6" w:space="0"/>
              <w:right w:val="single" w:color="000000" w:sz="8" w:space="0"/>
            </w:tcBorders>
            <w:vAlign w:val="center"/>
          </w:tcPr>
          <w:p w14:paraId="4DA1CCCB">
            <w:pPr>
              <w:jc w:val="center"/>
            </w:pPr>
          </w:p>
        </w:tc>
        <w:tc>
          <w:tcPr>
            <w:tcW w:w="646" w:type="dxa"/>
            <w:tcBorders>
              <w:left w:val="single" w:color="000000" w:sz="6" w:space="0"/>
              <w:right w:val="single" w:color="000000" w:sz="8" w:space="0"/>
            </w:tcBorders>
            <w:vAlign w:val="center"/>
          </w:tcPr>
          <w:p w14:paraId="30D48A75">
            <w:pPr>
              <w:jc w:val="center"/>
            </w:pPr>
          </w:p>
        </w:tc>
        <w:tc>
          <w:tcPr>
            <w:tcW w:w="646" w:type="dxa"/>
            <w:tcBorders>
              <w:left w:val="single" w:color="000000" w:sz="6" w:space="0"/>
              <w:right w:val="single" w:color="000000" w:sz="8" w:space="0"/>
            </w:tcBorders>
            <w:vAlign w:val="center"/>
          </w:tcPr>
          <w:p w14:paraId="5F24A869">
            <w:pPr>
              <w:jc w:val="center"/>
            </w:pPr>
          </w:p>
        </w:tc>
        <w:tc>
          <w:tcPr>
            <w:tcW w:w="646" w:type="dxa"/>
            <w:tcBorders>
              <w:left w:val="single" w:color="000000" w:sz="6" w:space="0"/>
              <w:right w:val="single" w:color="000000" w:sz="8" w:space="0"/>
            </w:tcBorders>
            <w:vAlign w:val="center"/>
          </w:tcPr>
          <w:p w14:paraId="4BBA70D6">
            <w:pPr>
              <w:jc w:val="center"/>
            </w:pPr>
          </w:p>
        </w:tc>
        <w:tc>
          <w:tcPr>
            <w:tcW w:w="653" w:type="dxa"/>
            <w:tcBorders>
              <w:left w:val="single" w:color="000000" w:sz="6" w:space="0"/>
              <w:right w:val="single" w:color="000000" w:sz="8" w:space="0"/>
            </w:tcBorders>
            <w:vAlign w:val="center"/>
          </w:tcPr>
          <w:p w14:paraId="47785674">
            <w:pPr>
              <w:jc w:val="center"/>
            </w:pPr>
          </w:p>
        </w:tc>
      </w:tr>
      <w:tr w14:paraId="259A077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exact"/>
        </w:trPr>
        <w:tc>
          <w:tcPr>
            <w:tcW w:w="611" w:type="dxa"/>
            <w:tcBorders>
              <w:top w:val="single" w:color="000000" w:sz="6" w:space="0"/>
              <w:left w:val="single" w:color="000000" w:sz="8" w:space="0"/>
              <w:right w:val="single" w:color="000000" w:sz="6" w:space="0"/>
            </w:tcBorders>
            <w:vAlign w:val="center"/>
          </w:tcPr>
          <w:p w14:paraId="6F9A5FEC">
            <w:pPr>
              <w:jc w:val="center"/>
            </w:pPr>
            <w:r>
              <w:rPr>
                <w:rFonts w:hint="eastAsia"/>
              </w:rPr>
              <w:t>7</w:t>
            </w:r>
          </w:p>
        </w:tc>
        <w:tc>
          <w:tcPr>
            <w:tcW w:w="851" w:type="dxa"/>
            <w:tcBorders>
              <w:left w:val="single" w:color="000000" w:sz="4" w:space="0"/>
              <w:right w:val="single" w:color="000000" w:sz="6" w:space="0"/>
            </w:tcBorders>
            <w:vAlign w:val="center"/>
          </w:tcPr>
          <w:p w14:paraId="3EB6E08F">
            <w:pPr>
              <w:jc w:val="center"/>
            </w:pPr>
          </w:p>
        </w:tc>
        <w:tc>
          <w:tcPr>
            <w:tcW w:w="2834" w:type="dxa"/>
            <w:gridSpan w:val="3"/>
            <w:tcBorders>
              <w:left w:val="single" w:color="000000" w:sz="6" w:space="0"/>
              <w:right w:val="single" w:color="000000" w:sz="6" w:space="0"/>
            </w:tcBorders>
            <w:vAlign w:val="center"/>
          </w:tcPr>
          <w:p w14:paraId="5D059209">
            <w:pPr>
              <w:jc w:val="center"/>
            </w:pPr>
          </w:p>
        </w:tc>
        <w:tc>
          <w:tcPr>
            <w:tcW w:w="646" w:type="dxa"/>
            <w:gridSpan w:val="2"/>
            <w:tcBorders>
              <w:left w:val="single" w:color="000000" w:sz="6" w:space="0"/>
              <w:right w:val="single" w:color="000000" w:sz="8" w:space="0"/>
            </w:tcBorders>
            <w:vAlign w:val="center"/>
          </w:tcPr>
          <w:p w14:paraId="0CAB028E">
            <w:pPr>
              <w:jc w:val="center"/>
            </w:pPr>
          </w:p>
        </w:tc>
        <w:tc>
          <w:tcPr>
            <w:tcW w:w="646" w:type="dxa"/>
            <w:tcBorders>
              <w:left w:val="single" w:color="000000" w:sz="6" w:space="0"/>
              <w:right w:val="single" w:color="000000" w:sz="8" w:space="0"/>
            </w:tcBorders>
            <w:vAlign w:val="center"/>
          </w:tcPr>
          <w:p w14:paraId="2ADA15C6">
            <w:pPr>
              <w:jc w:val="center"/>
            </w:pPr>
          </w:p>
        </w:tc>
        <w:tc>
          <w:tcPr>
            <w:tcW w:w="646" w:type="dxa"/>
            <w:gridSpan w:val="2"/>
            <w:tcBorders>
              <w:left w:val="single" w:color="000000" w:sz="6" w:space="0"/>
              <w:right w:val="single" w:color="000000" w:sz="8" w:space="0"/>
            </w:tcBorders>
            <w:vAlign w:val="center"/>
          </w:tcPr>
          <w:p w14:paraId="0377E0D1">
            <w:pPr>
              <w:jc w:val="center"/>
            </w:pPr>
          </w:p>
        </w:tc>
        <w:tc>
          <w:tcPr>
            <w:tcW w:w="646" w:type="dxa"/>
            <w:gridSpan w:val="2"/>
            <w:tcBorders>
              <w:left w:val="single" w:color="000000" w:sz="6" w:space="0"/>
              <w:right w:val="single" w:color="000000" w:sz="8" w:space="0"/>
            </w:tcBorders>
            <w:vAlign w:val="center"/>
          </w:tcPr>
          <w:p w14:paraId="575DF909">
            <w:pPr>
              <w:jc w:val="center"/>
            </w:pPr>
          </w:p>
        </w:tc>
        <w:tc>
          <w:tcPr>
            <w:tcW w:w="646" w:type="dxa"/>
            <w:tcBorders>
              <w:left w:val="single" w:color="000000" w:sz="6" w:space="0"/>
              <w:right w:val="single" w:color="000000" w:sz="8" w:space="0"/>
            </w:tcBorders>
            <w:vAlign w:val="center"/>
          </w:tcPr>
          <w:p w14:paraId="19882036">
            <w:pPr>
              <w:jc w:val="center"/>
            </w:pPr>
          </w:p>
        </w:tc>
        <w:tc>
          <w:tcPr>
            <w:tcW w:w="646" w:type="dxa"/>
            <w:tcBorders>
              <w:left w:val="single" w:color="000000" w:sz="6" w:space="0"/>
              <w:right w:val="single" w:color="000000" w:sz="8" w:space="0"/>
            </w:tcBorders>
            <w:vAlign w:val="center"/>
          </w:tcPr>
          <w:p w14:paraId="3493513F">
            <w:pPr>
              <w:jc w:val="center"/>
            </w:pPr>
          </w:p>
        </w:tc>
        <w:tc>
          <w:tcPr>
            <w:tcW w:w="646" w:type="dxa"/>
            <w:tcBorders>
              <w:left w:val="single" w:color="000000" w:sz="6" w:space="0"/>
              <w:right w:val="single" w:color="000000" w:sz="8" w:space="0"/>
            </w:tcBorders>
            <w:vAlign w:val="center"/>
          </w:tcPr>
          <w:p w14:paraId="6D64156D">
            <w:pPr>
              <w:jc w:val="center"/>
            </w:pPr>
          </w:p>
        </w:tc>
        <w:tc>
          <w:tcPr>
            <w:tcW w:w="653" w:type="dxa"/>
            <w:tcBorders>
              <w:left w:val="single" w:color="000000" w:sz="6" w:space="0"/>
              <w:right w:val="single" w:color="000000" w:sz="8" w:space="0"/>
            </w:tcBorders>
            <w:vAlign w:val="center"/>
          </w:tcPr>
          <w:p w14:paraId="629D2F20">
            <w:pPr>
              <w:jc w:val="center"/>
            </w:pPr>
          </w:p>
        </w:tc>
      </w:tr>
      <w:tr w14:paraId="63AC4A0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exact"/>
        </w:trPr>
        <w:tc>
          <w:tcPr>
            <w:tcW w:w="611" w:type="dxa"/>
            <w:tcBorders>
              <w:top w:val="single" w:color="000000" w:sz="6" w:space="0"/>
              <w:left w:val="single" w:color="000000" w:sz="8" w:space="0"/>
              <w:right w:val="single" w:color="000000" w:sz="6" w:space="0"/>
            </w:tcBorders>
            <w:vAlign w:val="center"/>
          </w:tcPr>
          <w:p w14:paraId="2862F611">
            <w:pPr>
              <w:jc w:val="center"/>
            </w:pPr>
            <w:r>
              <w:rPr>
                <w:rFonts w:hint="eastAsia"/>
              </w:rPr>
              <w:t>8</w:t>
            </w:r>
          </w:p>
        </w:tc>
        <w:tc>
          <w:tcPr>
            <w:tcW w:w="851" w:type="dxa"/>
            <w:tcBorders>
              <w:left w:val="single" w:color="000000" w:sz="4" w:space="0"/>
              <w:right w:val="single" w:color="000000" w:sz="6" w:space="0"/>
            </w:tcBorders>
            <w:vAlign w:val="center"/>
          </w:tcPr>
          <w:p w14:paraId="4E2F8B6A">
            <w:pPr>
              <w:jc w:val="center"/>
            </w:pPr>
          </w:p>
        </w:tc>
        <w:tc>
          <w:tcPr>
            <w:tcW w:w="2834" w:type="dxa"/>
            <w:gridSpan w:val="3"/>
            <w:tcBorders>
              <w:left w:val="single" w:color="000000" w:sz="6" w:space="0"/>
              <w:right w:val="single" w:color="000000" w:sz="6" w:space="0"/>
            </w:tcBorders>
            <w:vAlign w:val="center"/>
          </w:tcPr>
          <w:p w14:paraId="44AA26D6">
            <w:pPr>
              <w:jc w:val="center"/>
            </w:pPr>
          </w:p>
        </w:tc>
        <w:tc>
          <w:tcPr>
            <w:tcW w:w="646" w:type="dxa"/>
            <w:gridSpan w:val="2"/>
            <w:tcBorders>
              <w:left w:val="single" w:color="000000" w:sz="6" w:space="0"/>
              <w:right w:val="single" w:color="000000" w:sz="8" w:space="0"/>
            </w:tcBorders>
            <w:vAlign w:val="center"/>
          </w:tcPr>
          <w:p w14:paraId="702600F6">
            <w:pPr>
              <w:jc w:val="center"/>
            </w:pPr>
          </w:p>
        </w:tc>
        <w:tc>
          <w:tcPr>
            <w:tcW w:w="646" w:type="dxa"/>
            <w:tcBorders>
              <w:left w:val="single" w:color="000000" w:sz="6" w:space="0"/>
              <w:right w:val="single" w:color="000000" w:sz="8" w:space="0"/>
            </w:tcBorders>
            <w:vAlign w:val="center"/>
          </w:tcPr>
          <w:p w14:paraId="5C0B38BA">
            <w:pPr>
              <w:jc w:val="center"/>
            </w:pPr>
          </w:p>
        </w:tc>
        <w:tc>
          <w:tcPr>
            <w:tcW w:w="646" w:type="dxa"/>
            <w:gridSpan w:val="2"/>
            <w:tcBorders>
              <w:left w:val="single" w:color="000000" w:sz="6" w:space="0"/>
              <w:right w:val="single" w:color="000000" w:sz="8" w:space="0"/>
            </w:tcBorders>
            <w:vAlign w:val="center"/>
          </w:tcPr>
          <w:p w14:paraId="1305584F">
            <w:pPr>
              <w:jc w:val="center"/>
            </w:pPr>
          </w:p>
        </w:tc>
        <w:tc>
          <w:tcPr>
            <w:tcW w:w="646" w:type="dxa"/>
            <w:gridSpan w:val="2"/>
            <w:tcBorders>
              <w:left w:val="single" w:color="000000" w:sz="6" w:space="0"/>
              <w:right w:val="single" w:color="000000" w:sz="8" w:space="0"/>
            </w:tcBorders>
            <w:vAlign w:val="center"/>
          </w:tcPr>
          <w:p w14:paraId="04A4DD65">
            <w:pPr>
              <w:jc w:val="center"/>
            </w:pPr>
          </w:p>
        </w:tc>
        <w:tc>
          <w:tcPr>
            <w:tcW w:w="646" w:type="dxa"/>
            <w:tcBorders>
              <w:left w:val="single" w:color="000000" w:sz="6" w:space="0"/>
              <w:right w:val="single" w:color="000000" w:sz="8" w:space="0"/>
            </w:tcBorders>
            <w:vAlign w:val="center"/>
          </w:tcPr>
          <w:p w14:paraId="75102CA3">
            <w:pPr>
              <w:jc w:val="center"/>
            </w:pPr>
          </w:p>
        </w:tc>
        <w:tc>
          <w:tcPr>
            <w:tcW w:w="646" w:type="dxa"/>
            <w:tcBorders>
              <w:left w:val="single" w:color="000000" w:sz="6" w:space="0"/>
              <w:right w:val="single" w:color="000000" w:sz="8" w:space="0"/>
            </w:tcBorders>
            <w:vAlign w:val="center"/>
          </w:tcPr>
          <w:p w14:paraId="2622C4B2">
            <w:pPr>
              <w:jc w:val="center"/>
            </w:pPr>
          </w:p>
        </w:tc>
        <w:tc>
          <w:tcPr>
            <w:tcW w:w="646" w:type="dxa"/>
            <w:tcBorders>
              <w:left w:val="single" w:color="000000" w:sz="6" w:space="0"/>
              <w:right w:val="single" w:color="000000" w:sz="8" w:space="0"/>
            </w:tcBorders>
            <w:vAlign w:val="center"/>
          </w:tcPr>
          <w:p w14:paraId="37859003">
            <w:pPr>
              <w:jc w:val="center"/>
            </w:pPr>
          </w:p>
        </w:tc>
        <w:tc>
          <w:tcPr>
            <w:tcW w:w="653" w:type="dxa"/>
            <w:tcBorders>
              <w:left w:val="single" w:color="000000" w:sz="6" w:space="0"/>
              <w:right w:val="single" w:color="000000" w:sz="8" w:space="0"/>
            </w:tcBorders>
            <w:vAlign w:val="center"/>
          </w:tcPr>
          <w:p w14:paraId="65C69B34">
            <w:pPr>
              <w:jc w:val="center"/>
            </w:pPr>
          </w:p>
        </w:tc>
      </w:tr>
      <w:tr w14:paraId="5FD32BC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exact"/>
        </w:trPr>
        <w:tc>
          <w:tcPr>
            <w:tcW w:w="611" w:type="dxa"/>
            <w:tcBorders>
              <w:top w:val="single" w:color="000000" w:sz="6" w:space="0"/>
              <w:left w:val="single" w:color="000000" w:sz="8" w:space="0"/>
              <w:right w:val="single" w:color="000000" w:sz="6" w:space="0"/>
            </w:tcBorders>
            <w:vAlign w:val="center"/>
          </w:tcPr>
          <w:p w14:paraId="59F3AEAE">
            <w:pPr>
              <w:jc w:val="center"/>
            </w:pPr>
            <w:r>
              <w:rPr>
                <w:rFonts w:hint="eastAsia"/>
              </w:rPr>
              <w:t>9</w:t>
            </w:r>
          </w:p>
        </w:tc>
        <w:tc>
          <w:tcPr>
            <w:tcW w:w="851" w:type="dxa"/>
            <w:tcBorders>
              <w:left w:val="single" w:color="000000" w:sz="4" w:space="0"/>
              <w:right w:val="single" w:color="000000" w:sz="6" w:space="0"/>
            </w:tcBorders>
            <w:vAlign w:val="center"/>
          </w:tcPr>
          <w:p w14:paraId="4A304CDE">
            <w:pPr>
              <w:jc w:val="center"/>
            </w:pPr>
          </w:p>
        </w:tc>
        <w:tc>
          <w:tcPr>
            <w:tcW w:w="2834" w:type="dxa"/>
            <w:gridSpan w:val="3"/>
            <w:tcBorders>
              <w:left w:val="single" w:color="000000" w:sz="6" w:space="0"/>
              <w:right w:val="single" w:color="000000" w:sz="6" w:space="0"/>
            </w:tcBorders>
            <w:vAlign w:val="center"/>
          </w:tcPr>
          <w:p w14:paraId="6DB4E88C">
            <w:pPr>
              <w:jc w:val="center"/>
            </w:pPr>
          </w:p>
        </w:tc>
        <w:tc>
          <w:tcPr>
            <w:tcW w:w="646" w:type="dxa"/>
            <w:gridSpan w:val="2"/>
            <w:tcBorders>
              <w:left w:val="single" w:color="000000" w:sz="6" w:space="0"/>
              <w:right w:val="single" w:color="000000" w:sz="8" w:space="0"/>
            </w:tcBorders>
            <w:vAlign w:val="center"/>
          </w:tcPr>
          <w:p w14:paraId="1AB4FBA5">
            <w:pPr>
              <w:jc w:val="center"/>
            </w:pPr>
          </w:p>
        </w:tc>
        <w:tc>
          <w:tcPr>
            <w:tcW w:w="646" w:type="dxa"/>
            <w:tcBorders>
              <w:left w:val="single" w:color="000000" w:sz="6" w:space="0"/>
              <w:right w:val="single" w:color="000000" w:sz="8" w:space="0"/>
            </w:tcBorders>
            <w:vAlign w:val="center"/>
          </w:tcPr>
          <w:p w14:paraId="3345CA13">
            <w:pPr>
              <w:jc w:val="center"/>
            </w:pPr>
          </w:p>
        </w:tc>
        <w:tc>
          <w:tcPr>
            <w:tcW w:w="646" w:type="dxa"/>
            <w:gridSpan w:val="2"/>
            <w:tcBorders>
              <w:left w:val="single" w:color="000000" w:sz="6" w:space="0"/>
              <w:right w:val="single" w:color="000000" w:sz="8" w:space="0"/>
            </w:tcBorders>
            <w:vAlign w:val="center"/>
          </w:tcPr>
          <w:p w14:paraId="62AA6EA4">
            <w:pPr>
              <w:jc w:val="center"/>
            </w:pPr>
          </w:p>
        </w:tc>
        <w:tc>
          <w:tcPr>
            <w:tcW w:w="646" w:type="dxa"/>
            <w:gridSpan w:val="2"/>
            <w:tcBorders>
              <w:left w:val="single" w:color="000000" w:sz="6" w:space="0"/>
              <w:right w:val="single" w:color="000000" w:sz="8" w:space="0"/>
            </w:tcBorders>
            <w:vAlign w:val="center"/>
          </w:tcPr>
          <w:p w14:paraId="67FD1E19">
            <w:pPr>
              <w:jc w:val="center"/>
            </w:pPr>
          </w:p>
        </w:tc>
        <w:tc>
          <w:tcPr>
            <w:tcW w:w="646" w:type="dxa"/>
            <w:tcBorders>
              <w:left w:val="single" w:color="000000" w:sz="6" w:space="0"/>
              <w:right w:val="single" w:color="000000" w:sz="8" w:space="0"/>
            </w:tcBorders>
            <w:vAlign w:val="center"/>
          </w:tcPr>
          <w:p w14:paraId="20CDFBC8">
            <w:pPr>
              <w:jc w:val="center"/>
            </w:pPr>
          </w:p>
        </w:tc>
        <w:tc>
          <w:tcPr>
            <w:tcW w:w="646" w:type="dxa"/>
            <w:tcBorders>
              <w:left w:val="single" w:color="000000" w:sz="6" w:space="0"/>
              <w:right w:val="single" w:color="000000" w:sz="8" w:space="0"/>
            </w:tcBorders>
            <w:vAlign w:val="center"/>
          </w:tcPr>
          <w:p w14:paraId="67FE8050">
            <w:pPr>
              <w:jc w:val="center"/>
            </w:pPr>
          </w:p>
        </w:tc>
        <w:tc>
          <w:tcPr>
            <w:tcW w:w="646" w:type="dxa"/>
            <w:tcBorders>
              <w:left w:val="single" w:color="000000" w:sz="6" w:space="0"/>
              <w:right w:val="single" w:color="000000" w:sz="8" w:space="0"/>
            </w:tcBorders>
            <w:vAlign w:val="center"/>
          </w:tcPr>
          <w:p w14:paraId="5544BCC6">
            <w:pPr>
              <w:jc w:val="center"/>
            </w:pPr>
          </w:p>
        </w:tc>
        <w:tc>
          <w:tcPr>
            <w:tcW w:w="653" w:type="dxa"/>
            <w:tcBorders>
              <w:left w:val="single" w:color="000000" w:sz="6" w:space="0"/>
              <w:right w:val="single" w:color="000000" w:sz="8" w:space="0"/>
            </w:tcBorders>
            <w:vAlign w:val="center"/>
          </w:tcPr>
          <w:p w14:paraId="4DCA5D96">
            <w:pPr>
              <w:jc w:val="center"/>
            </w:pPr>
          </w:p>
        </w:tc>
      </w:tr>
      <w:tr w14:paraId="49FFDA2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exact"/>
        </w:trPr>
        <w:tc>
          <w:tcPr>
            <w:tcW w:w="611" w:type="dxa"/>
            <w:tcBorders>
              <w:top w:val="single" w:color="000000" w:sz="6" w:space="0"/>
              <w:left w:val="single" w:color="000000" w:sz="8" w:space="0"/>
              <w:right w:val="single" w:color="000000" w:sz="6" w:space="0"/>
            </w:tcBorders>
            <w:vAlign w:val="center"/>
          </w:tcPr>
          <w:p w14:paraId="171393EF">
            <w:pPr>
              <w:jc w:val="center"/>
            </w:pPr>
            <w:r>
              <w:rPr>
                <w:rFonts w:hint="eastAsia"/>
              </w:rPr>
              <w:t>10</w:t>
            </w:r>
          </w:p>
        </w:tc>
        <w:tc>
          <w:tcPr>
            <w:tcW w:w="851" w:type="dxa"/>
            <w:tcBorders>
              <w:left w:val="single" w:color="000000" w:sz="4" w:space="0"/>
              <w:right w:val="single" w:color="000000" w:sz="6" w:space="0"/>
            </w:tcBorders>
            <w:vAlign w:val="center"/>
          </w:tcPr>
          <w:p w14:paraId="5EA59A89">
            <w:pPr>
              <w:jc w:val="center"/>
            </w:pPr>
          </w:p>
        </w:tc>
        <w:tc>
          <w:tcPr>
            <w:tcW w:w="2834" w:type="dxa"/>
            <w:gridSpan w:val="3"/>
            <w:tcBorders>
              <w:left w:val="single" w:color="000000" w:sz="6" w:space="0"/>
              <w:right w:val="single" w:color="000000" w:sz="6" w:space="0"/>
            </w:tcBorders>
            <w:vAlign w:val="center"/>
          </w:tcPr>
          <w:p w14:paraId="6BACE3AC">
            <w:pPr>
              <w:jc w:val="center"/>
            </w:pPr>
          </w:p>
        </w:tc>
        <w:tc>
          <w:tcPr>
            <w:tcW w:w="646" w:type="dxa"/>
            <w:gridSpan w:val="2"/>
            <w:tcBorders>
              <w:left w:val="single" w:color="000000" w:sz="6" w:space="0"/>
              <w:right w:val="single" w:color="000000" w:sz="8" w:space="0"/>
            </w:tcBorders>
            <w:vAlign w:val="center"/>
          </w:tcPr>
          <w:p w14:paraId="4AEA2A5B">
            <w:pPr>
              <w:jc w:val="center"/>
            </w:pPr>
          </w:p>
        </w:tc>
        <w:tc>
          <w:tcPr>
            <w:tcW w:w="646" w:type="dxa"/>
            <w:tcBorders>
              <w:left w:val="single" w:color="000000" w:sz="6" w:space="0"/>
              <w:right w:val="single" w:color="000000" w:sz="8" w:space="0"/>
            </w:tcBorders>
            <w:vAlign w:val="center"/>
          </w:tcPr>
          <w:p w14:paraId="3BA155C4">
            <w:pPr>
              <w:jc w:val="center"/>
            </w:pPr>
          </w:p>
        </w:tc>
        <w:tc>
          <w:tcPr>
            <w:tcW w:w="646" w:type="dxa"/>
            <w:gridSpan w:val="2"/>
            <w:tcBorders>
              <w:left w:val="single" w:color="000000" w:sz="6" w:space="0"/>
              <w:right w:val="single" w:color="000000" w:sz="8" w:space="0"/>
            </w:tcBorders>
            <w:vAlign w:val="center"/>
          </w:tcPr>
          <w:p w14:paraId="52634E14">
            <w:pPr>
              <w:jc w:val="center"/>
            </w:pPr>
          </w:p>
        </w:tc>
        <w:tc>
          <w:tcPr>
            <w:tcW w:w="646" w:type="dxa"/>
            <w:gridSpan w:val="2"/>
            <w:tcBorders>
              <w:left w:val="single" w:color="000000" w:sz="6" w:space="0"/>
              <w:right w:val="single" w:color="000000" w:sz="8" w:space="0"/>
            </w:tcBorders>
            <w:vAlign w:val="center"/>
          </w:tcPr>
          <w:p w14:paraId="2EF63858">
            <w:pPr>
              <w:jc w:val="center"/>
            </w:pPr>
          </w:p>
        </w:tc>
        <w:tc>
          <w:tcPr>
            <w:tcW w:w="646" w:type="dxa"/>
            <w:tcBorders>
              <w:left w:val="single" w:color="000000" w:sz="6" w:space="0"/>
              <w:right w:val="single" w:color="000000" w:sz="8" w:space="0"/>
            </w:tcBorders>
            <w:vAlign w:val="center"/>
          </w:tcPr>
          <w:p w14:paraId="588D44D3">
            <w:pPr>
              <w:jc w:val="center"/>
            </w:pPr>
          </w:p>
        </w:tc>
        <w:tc>
          <w:tcPr>
            <w:tcW w:w="646" w:type="dxa"/>
            <w:tcBorders>
              <w:left w:val="single" w:color="000000" w:sz="6" w:space="0"/>
              <w:right w:val="single" w:color="000000" w:sz="8" w:space="0"/>
            </w:tcBorders>
            <w:vAlign w:val="center"/>
          </w:tcPr>
          <w:p w14:paraId="440B5454">
            <w:pPr>
              <w:jc w:val="center"/>
            </w:pPr>
          </w:p>
        </w:tc>
        <w:tc>
          <w:tcPr>
            <w:tcW w:w="646" w:type="dxa"/>
            <w:tcBorders>
              <w:left w:val="single" w:color="000000" w:sz="6" w:space="0"/>
              <w:right w:val="single" w:color="000000" w:sz="8" w:space="0"/>
            </w:tcBorders>
            <w:vAlign w:val="center"/>
          </w:tcPr>
          <w:p w14:paraId="53318C09">
            <w:pPr>
              <w:jc w:val="center"/>
            </w:pPr>
          </w:p>
        </w:tc>
        <w:tc>
          <w:tcPr>
            <w:tcW w:w="653" w:type="dxa"/>
            <w:tcBorders>
              <w:left w:val="single" w:color="000000" w:sz="6" w:space="0"/>
              <w:right w:val="single" w:color="000000" w:sz="8" w:space="0"/>
            </w:tcBorders>
            <w:vAlign w:val="center"/>
          </w:tcPr>
          <w:p w14:paraId="7AEEA503">
            <w:pPr>
              <w:jc w:val="center"/>
            </w:pPr>
          </w:p>
        </w:tc>
      </w:tr>
      <w:tr w14:paraId="6764DF0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exact"/>
        </w:trPr>
        <w:tc>
          <w:tcPr>
            <w:tcW w:w="611" w:type="dxa"/>
            <w:tcBorders>
              <w:top w:val="single" w:color="000000" w:sz="6" w:space="0"/>
              <w:left w:val="single" w:color="000000" w:sz="8" w:space="0"/>
              <w:right w:val="single" w:color="000000" w:sz="6" w:space="0"/>
            </w:tcBorders>
            <w:vAlign w:val="center"/>
          </w:tcPr>
          <w:p w14:paraId="6F649309">
            <w:pPr>
              <w:jc w:val="center"/>
            </w:pPr>
            <w:r>
              <w:rPr>
                <w:rFonts w:hint="eastAsia"/>
              </w:rPr>
              <w:t>11</w:t>
            </w:r>
          </w:p>
        </w:tc>
        <w:tc>
          <w:tcPr>
            <w:tcW w:w="851" w:type="dxa"/>
            <w:tcBorders>
              <w:left w:val="single" w:color="000000" w:sz="4" w:space="0"/>
              <w:right w:val="single" w:color="000000" w:sz="6" w:space="0"/>
            </w:tcBorders>
            <w:vAlign w:val="center"/>
          </w:tcPr>
          <w:p w14:paraId="5825F5EE">
            <w:pPr>
              <w:jc w:val="center"/>
            </w:pPr>
          </w:p>
        </w:tc>
        <w:tc>
          <w:tcPr>
            <w:tcW w:w="2834" w:type="dxa"/>
            <w:gridSpan w:val="3"/>
            <w:tcBorders>
              <w:left w:val="single" w:color="000000" w:sz="6" w:space="0"/>
              <w:right w:val="single" w:color="000000" w:sz="6" w:space="0"/>
            </w:tcBorders>
            <w:vAlign w:val="center"/>
          </w:tcPr>
          <w:p w14:paraId="066C7FF2">
            <w:pPr>
              <w:jc w:val="center"/>
            </w:pPr>
          </w:p>
        </w:tc>
        <w:tc>
          <w:tcPr>
            <w:tcW w:w="646" w:type="dxa"/>
            <w:gridSpan w:val="2"/>
            <w:tcBorders>
              <w:left w:val="single" w:color="000000" w:sz="6" w:space="0"/>
              <w:right w:val="single" w:color="000000" w:sz="8" w:space="0"/>
            </w:tcBorders>
            <w:vAlign w:val="center"/>
          </w:tcPr>
          <w:p w14:paraId="3DF7A186">
            <w:pPr>
              <w:jc w:val="center"/>
            </w:pPr>
          </w:p>
        </w:tc>
        <w:tc>
          <w:tcPr>
            <w:tcW w:w="646" w:type="dxa"/>
            <w:tcBorders>
              <w:left w:val="single" w:color="000000" w:sz="6" w:space="0"/>
              <w:right w:val="single" w:color="000000" w:sz="8" w:space="0"/>
            </w:tcBorders>
            <w:vAlign w:val="center"/>
          </w:tcPr>
          <w:p w14:paraId="0654A349">
            <w:pPr>
              <w:jc w:val="center"/>
            </w:pPr>
          </w:p>
        </w:tc>
        <w:tc>
          <w:tcPr>
            <w:tcW w:w="646" w:type="dxa"/>
            <w:gridSpan w:val="2"/>
            <w:tcBorders>
              <w:left w:val="single" w:color="000000" w:sz="6" w:space="0"/>
              <w:right w:val="single" w:color="000000" w:sz="8" w:space="0"/>
            </w:tcBorders>
            <w:vAlign w:val="center"/>
          </w:tcPr>
          <w:p w14:paraId="36D705F6">
            <w:pPr>
              <w:jc w:val="center"/>
            </w:pPr>
          </w:p>
        </w:tc>
        <w:tc>
          <w:tcPr>
            <w:tcW w:w="646" w:type="dxa"/>
            <w:gridSpan w:val="2"/>
            <w:tcBorders>
              <w:left w:val="single" w:color="000000" w:sz="6" w:space="0"/>
              <w:right w:val="single" w:color="000000" w:sz="8" w:space="0"/>
            </w:tcBorders>
            <w:vAlign w:val="center"/>
          </w:tcPr>
          <w:p w14:paraId="31CF6854">
            <w:pPr>
              <w:jc w:val="center"/>
            </w:pPr>
          </w:p>
        </w:tc>
        <w:tc>
          <w:tcPr>
            <w:tcW w:w="646" w:type="dxa"/>
            <w:tcBorders>
              <w:left w:val="single" w:color="000000" w:sz="6" w:space="0"/>
              <w:right w:val="single" w:color="000000" w:sz="8" w:space="0"/>
            </w:tcBorders>
            <w:vAlign w:val="center"/>
          </w:tcPr>
          <w:p w14:paraId="0F10F3BA">
            <w:pPr>
              <w:jc w:val="center"/>
            </w:pPr>
          </w:p>
        </w:tc>
        <w:tc>
          <w:tcPr>
            <w:tcW w:w="646" w:type="dxa"/>
            <w:tcBorders>
              <w:left w:val="single" w:color="000000" w:sz="6" w:space="0"/>
              <w:right w:val="single" w:color="000000" w:sz="8" w:space="0"/>
            </w:tcBorders>
            <w:vAlign w:val="center"/>
          </w:tcPr>
          <w:p w14:paraId="7A8A44BA">
            <w:pPr>
              <w:jc w:val="center"/>
            </w:pPr>
          </w:p>
        </w:tc>
        <w:tc>
          <w:tcPr>
            <w:tcW w:w="646" w:type="dxa"/>
            <w:tcBorders>
              <w:left w:val="single" w:color="000000" w:sz="6" w:space="0"/>
              <w:right w:val="single" w:color="000000" w:sz="8" w:space="0"/>
            </w:tcBorders>
            <w:vAlign w:val="center"/>
          </w:tcPr>
          <w:p w14:paraId="65D873BC">
            <w:pPr>
              <w:jc w:val="center"/>
            </w:pPr>
          </w:p>
        </w:tc>
        <w:tc>
          <w:tcPr>
            <w:tcW w:w="653" w:type="dxa"/>
            <w:tcBorders>
              <w:left w:val="single" w:color="000000" w:sz="6" w:space="0"/>
              <w:right w:val="single" w:color="000000" w:sz="8" w:space="0"/>
            </w:tcBorders>
            <w:vAlign w:val="center"/>
          </w:tcPr>
          <w:p w14:paraId="7704BE5D">
            <w:pPr>
              <w:jc w:val="center"/>
            </w:pPr>
          </w:p>
        </w:tc>
      </w:tr>
      <w:tr w14:paraId="3DAE426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exact"/>
        </w:trPr>
        <w:tc>
          <w:tcPr>
            <w:tcW w:w="611" w:type="dxa"/>
            <w:tcBorders>
              <w:top w:val="single" w:color="000000" w:sz="6" w:space="0"/>
              <w:left w:val="single" w:color="000000" w:sz="8" w:space="0"/>
              <w:right w:val="single" w:color="000000" w:sz="6" w:space="0"/>
            </w:tcBorders>
            <w:vAlign w:val="center"/>
          </w:tcPr>
          <w:p w14:paraId="75B3419A">
            <w:pPr>
              <w:jc w:val="center"/>
            </w:pPr>
            <w:r>
              <w:rPr>
                <w:rFonts w:hint="eastAsia"/>
              </w:rPr>
              <w:t>12</w:t>
            </w:r>
          </w:p>
        </w:tc>
        <w:tc>
          <w:tcPr>
            <w:tcW w:w="851" w:type="dxa"/>
            <w:tcBorders>
              <w:left w:val="single" w:color="000000" w:sz="4" w:space="0"/>
              <w:right w:val="single" w:color="000000" w:sz="6" w:space="0"/>
            </w:tcBorders>
            <w:vAlign w:val="center"/>
          </w:tcPr>
          <w:p w14:paraId="67DCC8D1">
            <w:pPr>
              <w:jc w:val="center"/>
            </w:pPr>
          </w:p>
        </w:tc>
        <w:tc>
          <w:tcPr>
            <w:tcW w:w="2834" w:type="dxa"/>
            <w:gridSpan w:val="3"/>
            <w:tcBorders>
              <w:left w:val="single" w:color="000000" w:sz="6" w:space="0"/>
              <w:right w:val="single" w:color="000000" w:sz="6" w:space="0"/>
            </w:tcBorders>
            <w:vAlign w:val="center"/>
          </w:tcPr>
          <w:p w14:paraId="5FD402B4">
            <w:pPr>
              <w:jc w:val="center"/>
            </w:pPr>
          </w:p>
        </w:tc>
        <w:tc>
          <w:tcPr>
            <w:tcW w:w="646" w:type="dxa"/>
            <w:gridSpan w:val="2"/>
            <w:tcBorders>
              <w:left w:val="single" w:color="000000" w:sz="6" w:space="0"/>
              <w:right w:val="single" w:color="000000" w:sz="8" w:space="0"/>
            </w:tcBorders>
            <w:vAlign w:val="center"/>
          </w:tcPr>
          <w:p w14:paraId="535CAA94">
            <w:pPr>
              <w:jc w:val="center"/>
            </w:pPr>
          </w:p>
        </w:tc>
        <w:tc>
          <w:tcPr>
            <w:tcW w:w="646" w:type="dxa"/>
            <w:tcBorders>
              <w:left w:val="single" w:color="000000" w:sz="6" w:space="0"/>
              <w:right w:val="single" w:color="000000" w:sz="8" w:space="0"/>
            </w:tcBorders>
            <w:vAlign w:val="center"/>
          </w:tcPr>
          <w:p w14:paraId="7B9756B8">
            <w:pPr>
              <w:jc w:val="center"/>
            </w:pPr>
          </w:p>
        </w:tc>
        <w:tc>
          <w:tcPr>
            <w:tcW w:w="646" w:type="dxa"/>
            <w:gridSpan w:val="2"/>
            <w:tcBorders>
              <w:left w:val="single" w:color="000000" w:sz="6" w:space="0"/>
              <w:right w:val="single" w:color="000000" w:sz="8" w:space="0"/>
            </w:tcBorders>
            <w:vAlign w:val="center"/>
          </w:tcPr>
          <w:p w14:paraId="3F32BE10">
            <w:pPr>
              <w:jc w:val="center"/>
            </w:pPr>
          </w:p>
        </w:tc>
        <w:tc>
          <w:tcPr>
            <w:tcW w:w="646" w:type="dxa"/>
            <w:gridSpan w:val="2"/>
            <w:tcBorders>
              <w:left w:val="single" w:color="000000" w:sz="6" w:space="0"/>
              <w:right w:val="single" w:color="000000" w:sz="8" w:space="0"/>
            </w:tcBorders>
            <w:vAlign w:val="center"/>
          </w:tcPr>
          <w:p w14:paraId="5860BB65">
            <w:pPr>
              <w:jc w:val="center"/>
            </w:pPr>
          </w:p>
        </w:tc>
        <w:tc>
          <w:tcPr>
            <w:tcW w:w="646" w:type="dxa"/>
            <w:tcBorders>
              <w:left w:val="single" w:color="000000" w:sz="6" w:space="0"/>
              <w:right w:val="single" w:color="000000" w:sz="8" w:space="0"/>
            </w:tcBorders>
            <w:vAlign w:val="center"/>
          </w:tcPr>
          <w:p w14:paraId="6CABD8F7">
            <w:pPr>
              <w:jc w:val="center"/>
            </w:pPr>
          </w:p>
        </w:tc>
        <w:tc>
          <w:tcPr>
            <w:tcW w:w="646" w:type="dxa"/>
            <w:tcBorders>
              <w:left w:val="single" w:color="000000" w:sz="6" w:space="0"/>
              <w:right w:val="single" w:color="000000" w:sz="8" w:space="0"/>
            </w:tcBorders>
            <w:vAlign w:val="center"/>
          </w:tcPr>
          <w:p w14:paraId="1DCA4B83">
            <w:pPr>
              <w:jc w:val="center"/>
            </w:pPr>
          </w:p>
        </w:tc>
        <w:tc>
          <w:tcPr>
            <w:tcW w:w="646" w:type="dxa"/>
            <w:tcBorders>
              <w:left w:val="single" w:color="000000" w:sz="6" w:space="0"/>
              <w:right w:val="single" w:color="000000" w:sz="8" w:space="0"/>
            </w:tcBorders>
            <w:vAlign w:val="center"/>
          </w:tcPr>
          <w:p w14:paraId="7FF46DFA">
            <w:pPr>
              <w:jc w:val="center"/>
            </w:pPr>
          </w:p>
        </w:tc>
        <w:tc>
          <w:tcPr>
            <w:tcW w:w="653" w:type="dxa"/>
            <w:tcBorders>
              <w:left w:val="single" w:color="000000" w:sz="6" w:space="0"/>
              <w:right w:val="single" w:color="000000" w:sz="8" w:space="0"/>
            </w:tcBorders>
            <w:vAlign w:val="center"/>
          </w:tcPr>
          <w:p w14:paraId="78755881">
            <w:pPr>
              <w:jc w:val="center"/>
            </w:pPr>
          </w:p>
        </w:tc>
      </w:tr>
      <w:tr w14:paraId="0BC8258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exact"/>
        </w:trPr>
        <w:tc>
          <w:tcPr>
            <w:tcW w:w="611" w:type="dxa"/>
            <w:tcBorders>
              <w:top w:val="single" w:color="000000" w:sz="6" w:space="0"/>
              <w:left w:val="single" w:color="000000" w:sz="8" w:space="0"/>
              <w:right w:val="single" w:color="000000" w:sz="6" w:space="0"/>
            </w:tcBorders>
            <w:vAlign w:val="center"/>
          </w:tcPr>
          <w:p w14:paraId="09F5A01D">
            <w:pPr>
              <w:jc w:val="center"/>
            </w:pPr>
            <w:r>
              <w:rPr>
                <w:rFonts w:hint="eastAsia"/>
              </w:rPr>
              <w:t>13</w:t>
            </w:r>
          </w:p>
        </w:tc>
        <w:tc>
          <w:tcPr>
            <w:tcW w:w="851" w:type="dxa"/>
            <w:tcBorders>
              <w:left w:val="single" w:color="000000" w:sz="4" w:space="0"/>
              <w:right w:val="single" w:color="000000" w:sz="6" w:space="0"/>
            </w:tcBorders>
            <w:vAlign w:val="center"/>
          </w:tcPr>
          <w:p w14:paraId="65C39FCB">
            <w:pPr>
              <w:jc w:val="center"/>
            </w:pPr>
          </w:p>
        </w:tc>
        <w:tc>
          <w:tcPr>
            <w:tcW w:w="2834" w:type="dxa"/>
            <w:gridSpan w:val="3"/>
            <w:tcBorders>
              <w:left w:val="single" w:color="000000" w:sz="6" w:space="0"/>
              <w:right w:val="single" w:color="000000" w:sz="6" w:space="0"/>
            </w:tcBorders>
            <w:vAlign w:val="center"/>
          </w:tcPr>
          <w:p w14:paraId="44635371">
            <w:pPr>
              <w:jc w:val="center"/>
            </w:pPr>
          </w:p>
        </w:tc>
        <w:tc>
          <w:tcPr>
            <w:tcW w:w="646" w:type="dxa"/>
            <w:gridSpan w:val="2"/>
            <w:tcBorders>
              <w:left w:val="single" w:color="000000" w:sz="6" w:space="0"/>
              <w:right w:val="single" w:color="000000" w:sz="8" w:space="0"/>
            </w:tcBorders>
            <w:vAlign w:val="center"/>
          </w:tcPr>
          <w:p w14:paraId="48B44B62">
            <w:pPr>
              <w:jc w:val="center"/>
            </w:pPr>
          </w:p>
        </w:tc>
        <w:tc>
          <w:tcPr>
            <w:tcW w:w="646" w:type="dxa"/>
            <w:tcBorders>
              <w:left w:val="single" w:color="000000" w:sz="6" w:space="0"/>
              <w:right w:val="single" w:color="000000" w:sz="8" w:space="0"/>
            </w:tcBorders>
            <w:vAlign w:val="center"/>
          </w:tcPr>
          <w:p w14:paraId="6838C28B">
            <w:pPr>
              <w:jc w:val="center"/>
            </w:pPr>
          </w:p>
        </w:tc>
        <w:tc>
          <w:tcPr>
            <w:tcW w:w="646" w:type="dxa"/>
            <w:gridSpan w:val="2"/>
            <w:tcBorders>
              <w:left w:val="single" w:color="000000" w:sz="6" w:space="0"/>
              <w:right w:val="single" w:color="000000" w:sz="8" w:space="0"/>
            </w:tcBorders>
            <w:vAlign w:val="center"/>
          </w:tcPr>
          <w:p w14:paraId="3653D384">
            <w:pPr>
              <w:jc w:val="center"/>
            </w:pPr>
          </w:p>
        </w:tc>
        <w:tc>
          <w:tcPr>
            <w:tcW w:w="646" w:type="dxa"/>
            <w:gridSpan w:val="2"/>
            <w:tcBorders>
              <w:left w:val="single" w:color="000000" w:sz="6" w:space="0"/>
              <w:right w:val="single" w:color="000000" w:sz="8" w:space="0"/>
            </w:tcBorders>
            <w:vAlign w:val="center"/>
          </w:tcPr>
          <w:p w14:paraId="0ED60680">
            <w:pPr>
              <w:jc w:val="center"/>
            </w:pPr>
          </w:p>
        </w:tc>
        <w:tc>
          <w:tcPr>
            <w:tcW w:w="646" w:type="dxa"/>
            <w:tcBorders>
              <w:left w:val="single" w:color="000000" w:sz="6" w:space="0"/>
              <w:right w:val="single" w:color="000000" w:sz="8" w:space="0"/>
            </w:tcBorders>
            <w:vAlign w:val="center"/>
          </w:tcPr>
          <w:p w14:paraId="6B14F2A9">
            <w:pPr>
              <w:jc w:val="center"/>
            </w:pPr>
          </w:p>
        </w:tc>
        <w:tc>
          <w:tcPr>
            <w:tcW w:w="646" w:type="dxa"/>
            <w:tcBorders>
              <w:left w:val="single" w:color="000000" w:sz="6" w:space="0"/>
              <w:right w:val="single" w:color="000000" w:sz="8" w:space="0"/>
            </w:tcBorders>
            <w:vAlign w:val="center"/>
          </w:tcPr>
          <w:p w14:paraId="254984D2">
            <w:pPr>
              <w:jc w:val="center"/>
            </w:pPr>
          </w:p>
        </w:tc>
        <w:tc>
          <w:tcPr>
            <w:tcW w:w="646" w:type="dxa"/>
            <w:tcBorders>
              <w:left w:val="single" w:color="000000" w:sz="6" w:space="0"/>
              <w:right w:val="single" w:color="000000" w:sz="8" w:space="0"/>
            </w:tcBorders>
            <w:vAlign w:val="center"/>
          </w:tcPr>
          <w:p w14:paraId="53802AA9">
            <w:pPr>
              <w:jc w:val="center"/>
            </w:pPr>
          </w:p>
        </w:tc>
        <w:tc>
          <w:tcPr>
            <w:tcW w:w="653" w:type="dxa"/>
            <w:tcBorders>
              <w:left w:val="single" w:color="000000" w:sz="6" w:space="0"/>
              <w:right w:val="single" w:color="000000" w:sz="8" w:space="0"/>
            </w:tcBorders>
            <w:vAlign w:val="center"/>
          </w:tcPr>
          <w:p w14:paraId="0B3B14A8">
            <w:pPr>
              <w:jc w:val="center"/>
            </w:pPr>
          </w:p>
        </w:tc>
      </w:tr>
      <w:tr w14:paraId="69B5966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exact"/>
        </w:trPr>
        <w:tc>
          <w:tcPr>
            <w:tcW w:w="611" w:type="dxa"/>
            <w:tcBorders>
              <w:top w:val="single" w:color="000000" w:sz="6" w:space="0"/>
              <w:left w:val="single" w:color="000000" w:sz="8" w:space="0"/>
              <w:right w:val="single" w:color="000000" w:sz="6" w:space="0"/>
            </w:tcBorders>
            <w:vAlign w:val="center"/>
          </w:tcPr>
          <w:p w14:paraId="289CDC56">
            <w:pPr>
              <w:jc w:val="center"/>
            </w:pPr>
            <w:r>
              <w:rPr>
                <w:rFonts w:hint="eastAsia"/>
              </w:rPr>
              <w:t>14</w:t>
            </w:r>
          </w:p>
        </w:tc>
        <w:tc>
          <w:tcPr>
            <w:tcW w:w="851" w:type="dxa"/>
            <w:tcBorders>
              <w:left w:val="single" w:color="000000" w:sz="4" w:space="0"/>
              <w:right w:val="single" w:color="000000" w:sz="6" w:space="0"/>
            </w:tcBorders>
            <w:vAlign w:val="center"/>
          </w:tcPr>
          <w:p w14:paraId="633E54FB">
            <w:pPr>
              <w:jc w:val="center"/>
            </w:pPr>
          </w:p>
        </w:tc>
        <w:tc>
          <w:tcPr>
            <w:tcW w:w="2834" w:type="dxa"/>
            <w:gridSpan w:val="3"/>
            <w:tcBorders>
              <w:left w:val="single" w:color="000000" w:sz="6" w:space="0"/>
              <w:right w:val="single" w:color="000000" w:sz="6" w:space="0"/>
            </w:tcBorders>
            <w:vAlign w:val="center"/>
          </w:tcPr>
          <w:p w14:paraId="6920CF81">
            <w:pPr>
              <w:jc w:val="center"/>
            </w:pPr>
          </w:p>
        </w:tc>
        <w:tc>
          <w:tcPr>
            <w:tcW w:w="646" w:type="dxa"/>
            <w:gridSpan w:val="2"/>
            <w:tcBorders>
              <w:left w:val="single" w:color="000000" w:sz="6" w:space="0"/>
              <w:right w:val="single" w:color="000000" w:sz="8" w:space="0"/>
            </w:tcBorders>
            <w:vAlign w:val="center"/>
          </w:tcPr>
          <w:p w14:paraId="29C0A1E8">
            <w:pPr>
              <w:jc w:val="center"/>
            </w:pPr>
          </w:p>
        </w:tc>
        <w:tc>
          <w:tcPr>
            <w:tcW w:w="646" w:type="dxa"/>
            <w:tcBorders>
              <w:left w:val="single" w:color="000000" w:sz="6" w:space="0"/>
              <w:right w:val="single" w:color="000000" w:sz="8" w:space="0"/>
            </w:tcBorders>
            <w:vAlign w:val="center"/>
          </w:tcPr>
          <w:p w14:paraId="27262D8E">
            <w:pPr>
              <w:jc w:val="center"/>
            </w:pPr>
          </w:p>
        </w:tc>
        <w:tc>
          <w:tcPr>
            <w:tcW w:w="646" w:type="dxa"/>
            <w:gridSpan w:val="2"/>
            <w:tcBorders>
              <w:left w:val="single" w:color="000000" w:sz="6" w:space="0"/>
              <w:right w:val="single" w:color="000000" w:sz="8" w:space="0"/>
            </w:tcBorders>
            <w:vAlign w:val="center"/>
          </w:tcPr>
          <w:p w14:paraId="33A28E6F">
            <w:pPr>
              <w:jc w:val="center"/>
            </w:pPr>
          </w:p>
        </w:tc>
        <w:tc>
          <w:tcPr>
            <w:tcW w:w="646" w:type="dxa"/>
            <w:gridSpan w:val="2"/>
            <w:tcBorders>
              <w:left w:val="single" w:color="000000" w:sz="6" w:space="0"/>
              <w:right w:val="single" w:color="000000" w:sz="8" w:space="0"/>
            </w:tcBorders>
            <w:vAlign w:val="center"/>
          </w:tcPr>
          <w:p w14:paraId="0A639FAC">
            <w:pPr>
              <w:jc w:val="center"/>
            </w:pPr>
          </w:p>
        </w:tc>
        <w:tc>
          <w:tcPr>
            <w:tcW w:w="646" w:type="dxa"/>
            <w:tcBorders>
              <w:left w:val="single" w:color="000000" w:sz="6" w:space="0"/>
              <w:right w:val="single" w:color="000000" w:sz="8" w:space="0"/>
            </w:tcBorders>
            <w:vAlign w:val="center"/>
          </w:tcPr>
          <w:p w14:paraId="3C705FE7">
            <w:pPr>
              <w:jc w:val="center"/>
            </w:pPr>
          </w:p>
        </w:tc>
        <w:tc>
          <w:tcPr>
            <w:tcW w:w="646" w:type="dxa"/>
            <w:tcBorders>
              <w:left w:val="single" w:color="000000" w:sz="6" w:space="0"/>
              <w:right w:val="single" w:color="000000" w:sz="8" w:space="0"/>
            </w:tcBorders>
            <w:vAlign w:val="center"/>
          </w:tcPr>
          <w:p w14:paraId="688D197E">
            <w:pPr>
              <w:jc w:val="center"/>
            </w:pPr>
          </w:p>
        </w:tc>
        <w:tc>
          <w:tcPr>
            <w:tcW w:w="646" w:type="dxa"/>
            <w:tcBorders>
              <w:left w:val="single" w:color="000000" w:sz="6" w:space="0"/>
              <w:right w:val="single" w:color="000000" w:sz="8" w:space="0"/>
            </w:tcBorders>
            <w:vAlign w:val="center"/>
          </w:tcPr>
          <w:p w14:paraId="5E34AFCB">
            <w:pPr>
              <w:jc w:val="center"/>
            </w:pPr>
          </w:p>
        </w:tc>
        <w:tc>
          <w:tcPr>
            <w:tcW w:w="653" w:type="dxa"/>
            <w:tcBorders>
              <w:left w:val="single" w:color="000000" w:sz="6" w:space="0"/>
              <w:right w:val="single" w:color="000000" w:sz="8" w:space="0"/>
            </w:tcBorders>
            <w:vAlign w:val="center"/>
          </w:tcPr>
          <w:p w14:paraId="608142CA">
            <w:pPr>
              <w:jc w:val="center"/>
            </w:pPr>
          </w:p>
        </w:tc>
      </w:tr>
      <w:tr w14:paraId="31CC50C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exact"/>
        </w:trPr>
        <w:tc>
          <w:tcPr>
            <w:tcW w:w="611" w:type="dxa"/>
            <w:tcBorders>
              <w:top w:val="single" w:color="000000" w:sz="6" w:space="0"/>
              <w:left w:val="single" w:color="000000" w:sz="8" w:space="0"/>
              <w:right w:val="single" w:color="000000" w:sz="6" w:space="0"/>
            </w:tcBorders>
            <w:vAlign w:val="center"/>
          </w:tcPr>
          <w:p w14:paraId="0AF1076A">
            <w:pPr>
              <w:jc w:val="center"/>
            </w:pPr>
            <w:r>
              <w:rPr>
                <w:rFonts w:hint="eastAsia"/>
              </w:rPr>
              <w:t>15</w:t>
            </w:r>
          </w:p>
        </w:tc>
        <w:tc>
          <w:tcPr>
            <w:tcW w:w="851" w:type="dxa"/>
            <w:tcBorders>
              <w:left w:val="single" w:color="000000" w:sz="4" w:space="0"/>
              <w:right w:val="single" w:color="000000" w:sz="6" w:space="0"/>
            </w:tcBorders>
            <w:vAlign w:val="center"/>
          </w:tcPr>
          <w:p w14:paraId="7EFF9013">
            <w:pPr>
              <w:jc w:val="center"/>
            </w:pPr>
          </w:p>
        </w:tc>
        <w:tc>
          <w:tcPr>
            <w:tcW w:w="2834" w:type="dxa"/>
            <w:gridSpan w:val="3"/>
            <w:tcBorders>
              <w:left w:val="single" w:color="000000" w:sz="6" w:space="0"/>
              <w:right w:val="single" w:color="000000" w:sz="6" w:space="0"/>
            </w:tcBorders>
            <w:vAlign w:val="center"/>
          </w:tcPr>
          <w:p w14:paraId="071DFF9C">
            <w:pPr>
              <w:jc w:val="center"/>
            </w:pPr>
          </w:p>
        </w:tc>
        <w:tc>
          <w:tcPr>
            <w:tcW w:w="646" w:type="dxa"/>
            <w:gridSpan w:val="2"/>
            <w:tcBorders>
              <w:left w:val="single" w:color="000000" w:sz="6" w:space="0"/>
              <w:right w:val="single" w:color="000000" w:sz="8" w:space="0"/>
            </w:tcBorders>
            <w:vAlign w:val="center"/>
          </w:tcPr>
          <w:p w14:paraId="1C6C2BA2">
            <w:pPr>
              <w:jc w:val="center"/>
            </w:pPr>
          </w:p>
        </w:tc>
        <w:tc>
          <w:tcPr>
            <w:tcW w:w="646" w:type="dxa"/>
            <w:tcBorders>
              <w:left w:val="single" w:color="000000" w:sz="6" w:space="0"/>
              <w:right w:val="single" w:color="000000" w:sz="8" w:space="0"/>
            </w:tcBorders>
            <w:vAlign w:val="center"/>
          </w:tcPr>
          <w:p w14:paraId="28A48F8A">
            <w:pPr>
              <w:jc w:val="center"/>
            </w:pPr>
          </w:p>
        </w:tc>
        <w:tc>
          <w:tcPr>
            <w:tcW w:w="646" w:type="dxa"/>
            <w:gridSpan w:val="2"/>
            <w:tcBorders>
              <w:left w:val="single" w:color="000000" w:sz="6" w:space="0"/>
              <w:right w:val="single" w:color="000000" w:sz="8" w:space="0"/>
            </w:tcBorders>
            <w:vAlign w:val="center"/>
          </w:tcPr>
          <w:p w14:paraId="1D758944">
            <w:pPr>
              <w:jc w:val="center"/>
            </w:pPr>
          </w:p>
        </w:tc>
        <w:tc>
          <w:tcPr>
            <w:tcW w:w="646" w:type="dxa"/>
            <w:gridSpan w:val="2"/>
            <w:tcBorders>
              <w:left w:val="single" w:color="000000" w:sz="6" w:space="0"/>
              <w:right w:val="single" w:color="000000" w:sz="8" w:space="0"/>
            </w:tcBorders>
            <w:vAlign w:val="center"/>
          </w:tcPr>
          <w:p w14:paraId="211CFD6D">
            <w:pPr>
              <w:jc w:val="center"/>
            </w:pPr>
          </w:p>
        </w:tc>
        <w:tc>
          <w:tcPr>
            <w:tcW w:w="646" w:type="dxa"/>
            <w:tcBorders>
              <w:left w:val="single" w:color="000000" w:sz="6" w:space="0"/>
              <w:right w:val="single" w:color="000000" w:sz="8" w:space="0"/>
            </w:tcBorders>
            <w:vAlign w:val="center"/>
          </w:tcPr>
          <w:p w14:paraId="6C121910">
            <w:pPr>
              <w:jc w:val="center"/>
            </w:pPr>
          </w:p>
        </w:tc>
        <w:tc>
          <w:tcPr>
            <w:tcW w:w="646" w:type="dxa"/>
            <w:tcBorders>
              <w:left w:val="single" w:color="000000" w:sz="6" w:space="0"/>
              <w:right w:val="single" w:color="000000" w:sz="8" w:space="0"/>
            </w:tcBorders>
            <w:vAlign w:val="center"/>
          </w:tcPr>
          <w:p w14:paraId="32CED07F">
            <w:pPr>
              <w:jc w:val="center"/>
            </w:pPr>
          </w:p>
        </w:tc>
        <w:tc>
          <w:tcPr>
            <w:tcW w:w="646" w:type="dxa"/>
            <w:tcBorders>
              <w:left w:val="single" w:color="000000" w:sz="6" w:space="0"/>
              <w:right w:val="single" w:color="000000" w:sz="8" w:space="0"/>
            </w:tcBorders>
            <w:vAlign w:val="center"/>
          </w:tcPr>
          <w:p w14:paraId="225282D6">
            <w:pPr>
              <w:jc w:val="center"/>
            </w:pPr>
          </w:p>
        </w:tc>
        <w:tc>
          <w:tcPr>
            <w:tcW w:w="653" w:type="dxa"/>
            <w:tcBorders>
              <w:left w:val="single" w:color="000000" w:sz="6" w:space="0"/>
              <w:right w:val="single" w:color="000000" w:sz="8" w:space="0"/>
            </w:tcBorders>
            <w:vAlign w:val="center"/>
          </w:tcPr>
          <w:p w14:paraId="3B136F8F">
            <w:pPr>
              <w:jc w:val="center"/>
            </w:pPr>
          </w:p>
        </w:tc>
      </w:tr>
      <w:tr w14:paraId="1209297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exact"/>
        </w:trPr>
        <w:tc>
          <w:tcPr>
            <w:tcW w:w="611" w:type="dxa"/>
            <w:tcBorders>
              <w:top w:val="single" w:color="000000" w:sz="6" w:space="0"/>
              <w:left w:val="single" w:color="000000" w:sz="8" w:space="0"/>
              <w:right w:val="single" w:color="000000" w:sz="6" w:space="0"/>
            </w:tcBorders>
            <w:vAlign w:val="center"/>
          </w:tcPr>
          <w:p w14:paraId="273FF2D7">
            <w:pPr>
              <w:jc w:val="center"/>
            </w:pPr>
            <w:r>
              <w:rPr>
                <w:rFonts w:hint="eastAsia"/>
              </w:rPr>
              <w:t>16</w:t>
            </w:r>
          </w:p>
        </w:tc>
        <w:tc>
          <w:tcPr>
            <w:tcW w:w="851" w:type="dxa"/>
            <w:tcBorders>
              <w:left w:val="single" w:color="000000" w:sz="4" w:space="0"/>
              <w:right w:val="single" w:color="000000" w:sz="6" w:space="0"/>
            </w:tcBorders>
            <w:vAlign w:val="center"/>
          </w:tcPr>
          <w:p w14:paraId="449D877C">
            <w:pPr>
              <w:jc w:val="center"/>
            </w:pPr>
          </w:p>
        </w:tc>
        <w:tc>
          <w:tcPr>
            <w:tcW w:w="2834" w:type="dxa"/>
            <w:gridSpan w:val="3"/>
            <w:tcBorders>
              <w:left w:val="single" w:color="000000" w:sz="6" w:space="0"/>
              <w:right w:val="single" w:color="000000" w:sz="6" w:space="0"/>
            </w:tcBorders>
            <w:vAlign w:val="center"/>
          </w:tcPr>
          <w:p w14:paraId="0F5A9C4D">
            <w:pPr>
              <w:jc w:val="center"/>
            </w:pPr>
          </w:p>
        </w:tc>
        <w:tc>
          <w:tcPr>
            <w:tcW w:w="646" w:type="dxa"/>
            <w:gridSpan w:val="2"/>
            <w:tcBorders>
              <w:left w:val="single" w:color="000000" w:sz="6" w:space="0"/>
              <w:right w:val="single" w:color="000000" w:sz="8" w:space="0"/>
            </w:tcBorders>
            <w:vAlign w:val="center"/>
          </w:tcPr>
          <w:p w14:paraId="22D976EB">
            <w:pPr>
              <w:jc w:val="center"/>
            </w:pPr>
          </w:p>
        </w:tc>
        <w:tc>
          <w:tcPr>
            <w:tcW w:w="646" w:type="dxa"/>
            <w:tcBorders>
              <w:left w:val="single" w:color="000000" w:sz="6" w:space="0"/>
              <w:right w:val="single" w:color="000000" w:sz="8" w:space="0"/>
            </w:tcBorders>
            <w:vAlign w:val="center"/>
          </w:tcPr>
          <w:p w14:paraId="58F0D6D4">
            <w:pPr>
              <w:jc w:val="center"/>
            </w:pPr>
          </w:p>
        </w:tc>
        <w:tc>
          <w:tcPr>
            <w:tcW w:w="646" w:type="dxa"/>
            <w:gridSpan w:val="2"/>
            <w:tcBorders>
              <w:left w:val="single" w:color="000000" w:sz="6" w:space="0"/>
              <w:right w:val="single" w:color="000000" w:sz="8" w:space="0"/>
            </w:tcBorders>
            <w:vAlign w:val="center"/>
          </w:tcPr>
          <w:p w14:paraId="53407057">
            <w:pPr>
              <w:jc w:val="center"/>
            </w:pPr>
          </w:p>
        </w:tc>
        <w:tc>
          <w:tcPr>
            <w:tcW w:w="646" w:type="dxa"/>
            <w:gridSpan w:val="2"/>
            <w:tcBorders>
              <w:left w:val="single" w:color="000000" w:sz="6" w:space="0"/>
              <w:right w:val="single" w:color="000000" w:sz="8" w:space="0"/>
            </w:tcBorders>
            <w:vAlign w:val="center"/>
          </w:tcPr>
          <w:p w14:paraId="02B7390C">
            <w:pPr>
              <w:jc w:val="center"/>
            </w:pPr>
          </w:p>
        </w:tc>
        <w:tc>
          <w:tcPr>
            <w:tcW w:w="646" w:type="dxa"/>
            <w:tcBorders>
              <w:left w:val="single" w:color="000000" w:sz="6" w:space="0"/>
              <w:right w:val="single" w:color="000000" w:sz="8" w:space="0"/>
            </w:tcBorders>
            <w:vAlign w:val="center"/>
          </w:tcPr>
          <w:p w14:paraId="337C98C0">
            <w:pPr>
              <w:jc w:val="center"/>
            </w:pPr>
          </w:p>
        </w:tc>
        <w:tc>
          <w:tcPr>
            <w:tcW w:w="646" w:type="dxa"/>
            <w:tcBorders>
              <w:left w:val="single" w:color="000000" w:sz="6" w:space="0"/>
              <w:right w:val="single" w:color="000000" w:sz="8" w:space="0"/>
            </w:tcBorders>
            <w:vAlign w:val="center"/>
          </w:tcPr>
          <w:p w14:paraId="25A0A021">
            <w:pPr>
              <w:jc w:val="center"/>
            </w:pPr>
          </w:p>
        </w:tc>
        <w:tc>
          <w:tcPr>
            <w:tcW w:w="646" w:type="dxa"/>
            <w:tcBorders>
              <w:left w:val="single" w:color="000000" w:sz="6" w:space="0"/>
              <w:right w:val="single" w:color="000000" w:sz="8" w:space="0"/>
            </w:tcBorders>
            <w:vAlign w:val="center"/>
          </w:tcPr>
          <w:p w14:paraId="5717C708">
            <w:pPr>
              <w:jc w:val="center"/>
            </w:pPr>
          </w:p>
        </w:tc>
        <w:tc>
          <w:tcPr>
            <w:tcW w:w="653" w:type="dxa"/>
            <w:tcBorders>
              <w:left w:val="single" w:color="000000" w:sz="6" w:space="0"/>
              <w:right w:val="single" w:color="000000" w:sz="8" w:space="0"/>
            </w:tcBorders>
            <w:vAlign w:val="center"/>
          </w:tcPr>
          <w:p w14:paraId="565635AF">
            <w:pPr>
              <w:jc w:val="center"/>
            </w:pPr>
          </w:p>
        </w:tc>
      </w:tr>
      <w:tr w14:paraId="74D0D25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exact"/>
        </w:trPr>
        <w:tc>
          <w:tcPr>
            <w:tcW w:w="611" w:type="dxa"/>
            <w:tcBorders>
              <w:top w:val="single" w:color="000000" w:sz="6" w:space="0"/>
              <w:left w:val="single" w:color="000000" w:sz="8" w:space="0"/>
              <w:right w:val="single" w:color="000000" w:sz="6" w:space="0"/>
            </w:tcBorders>
            <w:vAlign w:val="center"/>
          </w:tcPr>
          <w:p w14:paraId="29D131CB">
            <w:pPr>
              <w:jc w:val="center"/>
            </w:pPr>
            <w:r>
              <w:rPr>
                <w:rFonts w:hint="eastAsia"/>
              </w:rPr>
              <w:t>17</w:t>
            </w:r>
          </w:p>
        </w:tc>
        <w:tc>
          <w:tcPr>
            <w:tcW w:w="851" w:type="dxa"/>
            <w:tcBorders>
              <w:left w:val="single" w:color="000000" w:sz="4" w:space="0"/>
              <w:right w:val="single" w:color="000000" w:sz="6" w:space="0"/>
            </w:tcBorders>
            <w:vAlign w:val="center"/>
          </w:tcPr>
          <w:p w14:paraId="53B623C0">
            <w:pPr>
              <w:jc w:val="center"/>
            </w:pPr>
          </w:p>
        </w:tc>
        <w:tc>
          <w:tcPr>
            <w:tcW w:w="2834" w:type="dxa"/>
            <w:gridSpan w:val="3"/>
            <w:tcBorders>
              <w:left w:val="single" w:color="000000" w:sz="6" w:space="0"/>
              <w:right w:val="single" w:color="000000" w:sz="6" w:space="0"/>
            </w:tcBorders>
            <w:vAlign w:val="center"/>
          </w:tcPr>
          <w:p w14:paraId="36EB821D">
            <w:pPr>
              <w:jc w:val="center"/>
            </w:pPr>
          </w:p>
        </w:tc>
        <w:tc>
          <w:tcPr>
            <w:tcW w:w="646" w:type="dxa"/>
            <w:gridSpan w:val="2"/>
            <w:tcBorders>
              <w:left w:val="single" w:color="000000" w:sz="6" w:space="0"/>
              <w:right w:val="single" w:color="000000" w:sz="8" w:space="0"/>
            </w:tcBorders>
            <w:vAlign w:val="center"/>
          </w:tcPr>
          <w:p w14:paraId="2A3E8F44">
            <w:pPr>
              <w:jc w:val="center"/>
            </w:pPr>
          </w:p>
        </w:tc>
        <w:tc>
          <w:tcPr>
            <w:tcW w:w="646" w:type="dxa"/>
            <w:tcBorders>
              <w:left w:val="single" w:color="000000" w:sz="6" w:space="0"/>
              <w:right w:val="single" w:color="000000" w:sz="8" w:space="0"/>
            </w:tcBorders>
            <w:vAlign w:val="center"/>
          </w:tcPr>
          <w:p w14:paraId="5FCBF920">
            <w:pPr>
              <w:jc w:val="center"/>
            </w:pPr>
          </w:p>
        </w:tc>
        <w:tc>
          <w:tcPr>
            <w:tcW w:w="646" w:type="dxa"/>
            <w:gridSpan w:val="2"/>
            <w:tcBorders>
              <w:left w:val="single" w:color="000000" w:sz="6" w:space="0"/>
              <w:right w:val="single" w:color="000000" w:sz="8" w:space="0"/>
            </w:tcBorders>
            <w:vAlign w:val="center"/>
          </w:tcPr>
          <w:p w14:paraId="3D9C4134">
            <w:pPr>
              <w:jc w:val="center"/>
            </w:pPr>
          </w:p>
        </w:tc>
        <w:tc>
          <w:tcPr>
            <w:tcW w:w="646" w:type="dxa"/>
            <w:gridSpan w:val="2"/>
            <w:tcBorders>
              <w:left w:val="single" w:color="000000" w:sz="6" w:space="0"/>
              <w:right w:val="single" w:color="000000" w:sz="8" w:space="0"/>
            </w:tcBorders>
            <w:vAlign w:val="center"/>
          </w:tcPr>
          <w:p w14:paraId="7AA0F3F9">
            <w:pPr>
              <w:jc w:val="center"/>
            </w:pPr>
          </w:p>
        </w:tc>
        <w:tc>
          <w:tcPr>
            <w:tcW w:w="646" w:type="dxa"/>
            <w:tcBorders>
              <w:left w:val="single" w:color="000000" w:sz="6" w:space="0"/>
              <w:right w:val="single" w:color="000000" w:sz="8" w:space="0"/>
            </w:tcBorders>
            <w:vAlign w:val="center"/>
          </w:tcPr>
          <w:p w14:paraId="3B75ECE3">
            <w:pPr>
              <w:jc w:val="center"/>
            </w:pPr>
          </w:p>
        </w:tc>
        <w:tc>
          <w:tcPr>
            <w:tcW w:w="646" w:type="dxa"/>
            <w:tcBorders>
              <w:left w:val="single" w:color="000000" w:sz="6" w:space="0"/>
              <w:right w:val="single" w:color="000000" w:sz="8" w:space="0"/>
            </w:tcBorders>
            <w:vAlign w:val="center"/>
          </w:tcPr>
          <w:p w14:paraId="29719F22">
            <w:pPr>
              <w:jc w:val="center"/>
            </w:pPr>
          </w:p>
        </w:tc>
        <w:tc>
          <w:tcPr>
            <w:tcW w:w="646" w:type="dxa"/>
            <w:tcBorders>
              <w:left w:val="single" w:color="000000" w:sz="6" w:space="0"/>
              <w:right w:val="single" w:color="000000" w:sz="8" w:space="0"/>
            </w:tcBorders>
            <w:vAlign w:val="center"/>
          </w:tcPr>
          <w:p w14:paraId="6DCBED0C">
            <w:pPr>
              <w:jc w:val="center"/>
            </w:pPr>
          </w:p>
        </w:tc>
        <w:tc>
          <w:tcPr>
            <w:tcW w:w="653" w:type="dxa"/>
            <w:tcBorders>
              <w:left w:val="single" w:color="000000" w:sz="6" w:space="0"/>
              <w:right w:val="single" w:color="000000" w:sz="8" w:space="0"/>
            </w:tcBorders>
            <w:vAlign w:val="center"/>
          </w:tcPr>
          <w:p w14:paraId="36638852">
            <w:pPr>
              <w:jc w:val="center"/>
            </w:pPr>
          </w:p>
        </w:tc>
      </w:tr>
      <w:tr w14:paraId="17B445C2">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28" w:type="dxa"/>
            <w:bottom w:w="0" w:type="dxa"/>
            <w:right w:w="28" w:type="dxa"/>
          </w:tblCellMar>
        </w:tblPrEx>
        <w:trPr>
          <w:cantSplit/>
          <w:trHeight w:val="454" w:hRule="atLeast"/>
        </w:trPr>
        <w:tc>
          <w:tcPr>
            <w:tcW w:w="3151" w:type="dxa"/>
            <w:gridSpan w:val="4"/>
            <w:tcBorders>
              <w:top w:val="single" w:color="000000" w:sz="6" w:space="0"/>
              <w:bottom w:val="single" w:color="000000" w:sz="4" w:space="0"/>
            </w:tcBorders>
            <w:vAlign w:val="center"/>
          </w:tcPr>
          <w:p w14:paraId="53B930DF">
            <w:pPr>
              <w:jc w:val="center"/>
            </w:pPr>
            <w:r>
              <w:rPr>
                <w:rFonts w:hint="eastAsia"/>
                <w:lang w:val="en-US" w:eastAsia="zh-CN"/>
              </w:rPr>
              <w:t>施工单位</w:t>
            </w:r>
          </w:p>
        </w:tc>
        <w:tc>
          <w:tcPr>
            <w:tcW w:w="3158" w:type="dxa"/>
            <w:gridSpan w:val="7"/>
            <w:tcBorders>
              <w:top w:val="single" w:color="000000" w:sz="6" w:space="0"/>
              <w:bottom w:val="single" w:color="000000" w:sz="4" w:space="0"/>
            </w:tcBorders>
            <w:vAlign w:val="center"/>
          </w:tcPr>
          <w:p w14:paraId="35595644">
            <w:pPr>
              <w:jc w:val="center"/>
            </w:pPr>
            <w:r>
              <w:rPr>
                <w:rFonts w:hint="eastAsia"/>
                <w:lang w:val="en-US" w:eastAsia="zh-CN"/>
              </w:rPr>
              <w:t>主管部门</w:t>
            </w:r>
          </w:p>
        </w:tc>
        <w:tc>
          <w:tcPr>
            <w:tcW w:w="3162" w:type="dxa"/>
            <w:gridSpan w:val="5"/>
            <w:tcBorders>
              <w:top w:val="single" w:color="000000" w:sz="6" w:space="0"/>
              <w:bottom w:val="single" w:color="000000" w:sz="4" w:space="0"/>
            </w:tcBorders>
            <w:vAlign w:val="center"/>
          </w:tcPr>
          <w:p w14:paraId="75D6029D">
            <w:pPr>
              <w:jc w:val="center"/>
            </w:pPr>
            <w:r>
              <w:rPr>
                <w:rFonts w:hint="eastAsia"/>
                <w:lang w:val="en-US" w:eastAsia="zh-CN"/>
              </w:rPr>
              <w:t>归口部门</w:t>
            </w:r>
          </w:p>
        </w:tc>
      </w:tr>
      <w:tr w14:paraId="7AE7BEB9">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28" w:type="dxa"/>
            <w:bottom w:w="0" w:type="dxa"/>
            <w:right w:w="28" w:type="dxa"/>
          </w:tblCellMar>
        </w:tblPrEx>
        <w:trPr>
          <w:cantSplit/>
          <w:trHeight w:val="1814" w:hRule="atLeast"/>
        </w:trPr>
        <w:tc>
          <w:tcPr>
            <w:tcW w:w="3151" w:type="dxa"/>
            <w:gridSpan w:val="4"/>
            <w:tcBorders>
              <w:top w:val="single" w:color="000000" w:sz="4" w:space="0"/>
            </w:tcBorders>
            <w:vAlign w:val="top"/>
          </w:tcPr>
          <w:p w14:paraId="67206F78">
            <w:pPr>
              <w:spacing w:before="72"/>
              <w:ind w:firstLine="120" w:firstLineChars="50"/>
            </w:pPr>
            <w:r>
              <w:rPr>
                <w:rFonts w:hint="eastAsia"/>
              </w:rPr>
              <w:t xml:space="preserve"> </w:t>
            </w:r>
            <w:r>
              <w:rPr>
                <w:rFonts w:hint="eastAsia"/>
                <w:lang w:eastAsia="zh-CN"/>
              </w:rPr>
              <w:t>项目负责人</w:t>
            </w:r>
            <w:r>
              <w:rPr>
                <w:rFonts w:hint="eastAsia"/>
              </w:rPr>
              <w:t>：</w:t>
            </w:r>
          </w:p>
          <w:p w14:paraId="3F5FF073">
            <w:pPr>
              <w:spacing w:before="72"/>
            </w:pPr>
          </w:p>
          <w:p w14:paraId="4637BF41"/>
          <w:p w14:paraId="2D58F4F1"/>
          <w:p w14:paraId="71EBC1CE">
            <w:pPr>
              <w:spacing w:before="72"/>
            </w:pPr>
            <w:r>
              <w:rPr>
                <w:rFonts w:hint="eastAsia"/>
              </w:rPr>
              <w:t xml:space="preserve"> 日期：    年   月   日</w:t>
            </w:r>
          </w:p>
        </w:tc>
        <w:tc>
          <w:tcPr>
            <w:tcW w:w="3158" w:type="dxa"/>
            <w:gridSpan w:val="7"/>
            <w:tcBorders>
              <w:top w:val="single" w:color="000000" w:sz="4" w:space="0"/>
            </w:tcBorders>
            <w:vAlign w:val="top"/>
          </w:tcPr>
          <w:p w14:paraId="19EF0C8D">
            <w:pPr>
              <w:spacing w:before="72"/>
              <w:ind w:firstLine="120" w:firstLineChars="50"/>
            </w:pPr>
            <w:r>
              <w:rPr>
                <w:rFonts w:hint="eastAsia"/>
                <w:lang w:val="en-US" w:eastAsia="zh-CN"/>
              </w:rPr>
              <w:t>设备专工</w:t>
            </w:r>
            <w:r>
              <w:rPr>
                <w:rFonts w:hint="eastAsia"/>
              </w:rPr>
              <w:t>：</w:t>
            </w:r>
          </w:p>
          <w:p w14:paraId="7F71314C"/>
          <w:p w14:paraId="7BB5C9D1"/>
          <w:p w14:paraId="7B03F635"/>
          <w:p w14:paraId="1CB10B75"/>
          <w:p w14:paraId="6CF9A4F2">
            <w:pPr>
              <w:ind w:firstLine="120" w:firstLineChars="50"/>
            </w:pPr>
            <w:r>
              <w:rPr>
                <w:rFonts w:hint="eastAsia"/>
              </w:rPr>
              <w:t>日期：   年   月   日</w:t>
            </w:r>
          </w:p>
        </w:tc>
        <w:tc>
          <w:tcPr>
            <w:tcW w:w="3162" w:type="dxa"/>
            <w:gridSpan w:val="5"/>
            <w:tcBorders>
              <w:top w:val="single" w:color="000000" w:sz="4" w:space="0"/>
            </w:tcBorders>
            <w:vAlign w:val="top"/>
          </w:tcPr>
          <w:p w14:paraId="694789DC">
            <w:pPr>
              <w:spacing w:before="72"/>
            </w:pPr>
            <w:r>
              <w:rPr>
                <w:rFonts w:hint="eastAsia"/>
                <w:lang w:val="en-US" w:eastAsia="zh-CN"/>
              </w:rPr>
              <w:t>设备专工</w:t>
            </w:r>
            <w:r>
              <w:rPr>
                <w:rFonts w:hint="eastAsia"/>
              </w:rPr>
              <w:t>：</w:t>
            </w:r>
          </w:p>
          <w:p w14:paraId="7BA7258A">
            <w:pPr>
              <w:spacing w:before="72"/>
            </w:pPr>
          </w:p>
          <w:p w14:paraId="70E7D20B">
            <w:pPr>
              <w:spacing w:before="72"/>
            </w:pPr>
          </w:p>
          <w:p w14:paraId="084820CF"/>
          <w:p w14:paraId="1B81890A">
            <w:pPr>
              <w:spacing w:before="288"/>
            </w:pPr>
            <w:r>
              <w:rPr>
                <w:rFonts w:hint="eastAsia"/>
              </w:rPr>
              <w:t xml:space="preserve"> 日期：    年   月   日                     </w:t>
            </w:r>
          </w:p>
        </w:tc>
      </w:tr>
    </w:tbl>
    <w:p w14:paraId="18C211BF">
      <w:pPr>
        <w:snapToGrid w:val="0"/>
        <w:spacing w:line="480" w:lineRule="auto"/>
      </w:pPr>
    </w:p>
    <w:p w14:paraId="124C245F">
      <w:pPr>
        <w:snapToGrid w:val="0"/>
        <w:spacing w:line="480" w:lineRule="auto"/>
      </w:pPr>
    </w:p>
    <w:p w14:paraId="2639AE6E">
      <w:pPr>
        <w:pStyle w:val="101"/>
        <w:snapToGrid w:val="0"/>
        <w:spacing w:before="0" w:after="0" w:line="360" w:lineRule="auto"/>
        <w:jc w:val="left"/>
        <w:rPr>
          <w:rStyle w:val="87"/>
          <w:rFonts w:ascii="黑体" w:hAnsi="黑体" w:eastAsia="黑体" w:cs="黑体"/>
          <w:b w:val="0"/>
          <w:bCs/>
          <w:sz w:val="24"/>
        </w:rPr>
      </w:pPr>
      <w:bookmarkStart w:id="31" w:name="_Toc94123791"/>
      <w:bookmarkEnd w:id="31"/>
      <w:r>
        <w:rPr>
          <w:rStyle w:val="87"/>
          <w:rFonts w:hint="eastAsia" w:ascii="黑体" w:hAnsi="黑体" w:eastAsia="黑体" w:cs="黑体"/>
          <w:b w:val="0"/>
          <w:bCs/>
          <w:sz w:val="24"/>
        </w:rPr>
        <w:t>附表</w:t>
      </w:r>
      <w:r>
        <w:rPr>
          <w:rStyle w:val="87"/>
          <w:rFonts w:hint="eastAsia" w:ascii="黑体" w:hAnsi="黑体" w:eastAsia="黑体" w:cs="黑体"/>
          <w:b w:val="0"/>
          <w:bCs/>
          <w:sz w:val="24"/>
          <w:lang w:val="en-US" w:eastAsia="zh-CN"/>
        </w:rPr>
        <w:t>4：</w:t>
      </w:r>
      <w:r>
        <w:rPr>
          <w:rStyle w:val="87"/>
          <w:rFonts w:hint="eastAsia" w:ascii="黑体" w:hAnsi="黑体" w:eastAsia="黑体" w:cs="黑体"/>
          <w:b w:val="0"/>
          <w:bCs/>
          <w:sz w:val="24"/>
        </w:rPr>
        <w:t>测厚记录</w:t>
      </w:r>
    </w:p>
    <w:tbl>
      <w:tblPr>
        <w:tblStyle w:val="28"/>
        <w:tblW w:w="9468" w:type="dxa"/>
        <w:tblInd w:w="-16"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CellMar>
          <w:top w:w="0" w:type="dxa"/>
          <w:left w:w="28" w:type="dxa"/>
          <w:bottom w:w="0" w:type="dxa"/>
          <w:right w:w="28" w:type="dxa"/>
        </w:tblCellMar>
      </w:tblPr>
      <w:tblGrid>
        <w:gridCol w:w="608"/>
        <w:gridCol w:w="584"/>
        <w:gridCol w:w="1090"/>
        <w:gridCol w:w="728"/>
        <w:gridCol w:w="130"/>
        <w:gridCol w:w="723"/>
        <w:gridCol w:w="854"/>
        <w:gridCol w:w="149"/>
        <w:gridCol w:w="407"/>
        <w:gridCol w:w="624"/>
        <w:gridCol w:w="393"/>
        <w:gridCol w:w="1527"/>
        <w:gridCol w:w="811"/>
        <w:gridCol w:w="840"/>
      </w:tblGrid>
      <w:tr w14:paraId="2492D18B">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28" w:type="dxa"/>
            <w:bottom w:w="0" w:type="dxa"/>
            <w:right w:w="28" w:type="dxa"/>
          </w:tblCellMar>
        </w:tblPrEx>
        <w:trPr>
          <w:cantSplit/>
          <w:trHeight w:val="1400" w:hRule="atLeast"/>
        </w:trPr>
        <w:tc>
          <w:tcPr>
            <w:tcW w:w="2291" w:type="dxa"/>
            <w:gridSpan w:val="3"/>
            <w:vAlign w:val="center"/>
          </w:tcPr>
          <w:p w14:paraId="314CC628">
            <w:pPr>
              <w:jc w:val="center"/>
              <w:rPr>
                <w:rFonts w:ascii="黑体" w:eastAsia="黑体"/>
              </w:rPr>
            </w:pPr>
          </w:p>
        </w:tc>
        <w:tc>
          <w:tcPr>
            <w:tcW w:w="3624" w:type="dxa"/>
            <w:gridSpan w:val="7"/>
            <w:vAlign w:val="center"/>
          </w:tcPr>
          <w:p w14:paraId="414C6D14">
            <w:pPr>
              <w:jc w:val="center"/>
              <w:rPr>
                <w:rFonts w:ascii="宋体"/>
                <w:b/>
                <w:sz w:val="32"/>
              </w:rPr>
            </w:pPr>
            <w:r>
              <w:rPr>
                <w:rFonts w:hint="eastAsia" w:ascii="宋体"/>
                <w:b/>
                <w:sz w:val="32"/>
              </w:rPr>
              <w:t>测厚记录</w:t>
            </w:r>
          </w:p>
        </w:tc>
        <w:tc>
          <w:tcPr>
            <w:tcW w:w="3553" w:type="dxa"/>
            <w:gridSpan w:val="4"/>
          </w:tcPr>
          <w:p w14:paraId="322CFAE6">
            <w:pPr>
              <w:spacing w:before="120"/>
              <w:rPr>
                <w:rFonts w:ascii="宋体"/>
              </w:rPr>
            </w:pPr>
            <w:r>
              <w:rPr>
                <w:rFonts w:hint="eastAsia" w:ascii="宋体"/>
                <w:lang w:eastAsia="zh-CN"/>
              </w:rPr>
              <w:t>项目</w:t>
            </w:r>
            <w:r>
              <w:rPr>
                <w:rFonts w:hint="eastAsia" w:ascii="宋体"/>
              </w:rPr>
              <w:t>名称：气化炉大修和内筒体及下灰室锥体部分堆焊</w:t>
            </w:r>
            <w:r>
              <w:rPr>
                <w:rFonts w:hint="eastAsia" w:ascii="宋体"/>
                <w:bCs/>
              </w:rPr>
              <w:t>维保服务</w:t>
            </w:r>
          </w:p>
          <w:p w14:paraId="22AE9F21">
            <w:pPr>
              <w:spacing w:before="96"/>
            </w:pPr>
            <w:r>
              <w:rPr>
                <w:rFonts w:hint="eastAsia"/>
              </w:rPr>
              <w:t>单元名称：加压气化  框架</w:t>
            </w:r>
          </w:p>
        </w:tc>
      </w:tr>
      <w:tr w14:paraId="586A90B1">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28" w:type="dxa"/>
            <w:bottom w:w="0" w:type="dxa"/>
            <w:right w:w="28" w:type="dxa"/>
          </w:tblCellMar>
        </w:tblPrEx>
        <w:trPr>
          <w:cantSplit/>
          <w:trHeight w:val="754" w:hRule="atLeast"/>
        </w:trPr>
        <w:tc>
          <w:tcPr>
            <w:tcW w:w="1198" w:type="dxa"/>
            <w:gridSpan w:val="2"/>
            <w:tcBorders>
              <w:top w:val="single" w:color="000000" w:sz="8" w:space="0"/>
            </w:tcBorders>
            <w:vAlign w:val="center"/>
          </w:tcPr>
          <w:p w14:paraId="15D8F8FE">
            <w:pPr>
              <w:jc w:val="center"/>
            </w:pPr>
            <w:r>
              <w:rPr>
                <w:rFonts w:hint="eastAsia"/>
              </w:rPr>
              <w:t>设备名称</w:t>
            </w:r>
          </w:p>
        </w:tc>
        <w:tc>
          <w:tcPr>
            <w:tcW w:w="3683" w:type="dxa"/>
            <w:gridSpan w:val="6"/>
            <w:tcBorders>
              <w:top w:val="single" w:color="000000" w:sz="8" w:space="0"/>
            </w:tcBorders>
            <w:vAlign w:val="center"/>
          </w:tcPr>
          <w:p w14:paraId="2FFB9343">
            <w:pPr>
              <w:jc w:val="center"/>
              <w:rPr>
                <w:u w:val="single"/>
              </w:rPr>
            </w:pPr>
            <w:r>
              <w:rPr>
                <w:rFonts w:hint="eastAsia"/>
                <w:u w:val="single"/>
              </w:rPr>
              <w:t xml:space="preserve">       #  </w:t>
            </w:r>
            <w:r>
              <w:rPr>
                <w:rFonts w:hint="eastAsia"/>
              </w:rPr>
              <w:t>气化炉</w:t>
            </w:r>
          </w:p>
        </w:tc>
        <w:tc>
          <w:tcPr>
            <w:tcW w:w="1400" w:type="dxa"/>
            <w:gridSpan w:val="3"/>
            <w:tcBorders>
              <w:top w:val="single" w:color="000000" w:sz="8" w:space="0"/>
            </w:tcBorders>
            <w:vAlign w:val="center"/>
          </w:tcPr>
          <w:p w14:paraId="75B5C9F9">
            <w:pPr>
              <w:jc w:val="center"/>
            </w:pPr>
            <w:r>
              <w:rPr>
                <w:rFonts w:hint="eastAsia"/>
              </w:rPr>
              <w:t>设备位号</w:t>
            </w:r>
          </w:p>
        </w:tc>
        <w:tc>
          <w:tcPr>
            <w:tcW w:w="3187" w:type="dxa"/>
            <w:gridSpan w:val="3"/>
            <w:tcBorders>
              <w:top w:val="single" w:color="000000" w:sz="8" w:space="0"/>
            </w:tcBorders>
            <w:vAlign w:val="center"/>
          </w:tcPr>
          <w:p w14:paraId="32A0923D">
            <w:pPr>
              <w:jc w:val="center"/>
            </w:pPr>
          </w:p>
        </w:tc>
      </w:tr>
      <w:tr w14:paraId="4D0FDB4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419" w:hRule="atLeast"/>
        </w:trPr>
        <w:tc>
          <w:tcPr>
            <w:tcW w:w="611" w:type="dxa"/>
            <w:tcBorders>
              <w:top w:val="single" w:color="000000" w:sz="6" w:space="0"/>
              <w:left w:val="single" w:color="000000" w:sz="8" w:space="0"/>
              <w:right w:val="single" w:color="000000" w:sz="6" w:space="0"/>
            </w:tcBorders>
            <w:vAlign w:val="center"/>
          </w:tcPr>
          <w:p w14:paraId="44191433">
            <w:pPr>
              <w:jc w:val="center"/>
            </w:pPr>
            <w:r>
              <w:rPr>
                <w:rFonts w:hint="eastAsia"/>
              </w:rPr>
              <w:t>测点编号</w:t>
            </w:r>
          </w:p>
        </w:tc>
        <w:tc>
          <w:tcPr>
            <w:tcW w:w="2410" w:type="dxa"/>
            <w:gridSpan w:val="3"/>
            <w:tcBorders>
              <w:top w:val="single" w:color="000000" w:sz="6" w:space="0"/>
              <w:left w:val="single" w:color="000000" w:sz="6" w:space="0"/>
              <w:right w:val="single" w:color="000000" w:sz="6" w:space="0"/>
            </w:tcBorders>
            <w:vAlign w:val="center"/>
          </w:tcPr>
          <w:p w14:paraId="2E6BF7E4">
            <w:pPr>
              <w:jc w:val="center"/>
            </w:pPr>
            <w:r>
              <w:rPr>
                <w:rFonts w:hint="eastAsia"/>
              </w:rPr>
              <w:t>测点部位</w:t>
            </w:r>
          </w:p>
        </w:tc>
        <w:tc>
          <w:tcPr>
            <w:tcW w:w="855" w:type="dxa"/>
            <w:gridSpan w:val="2"/>
            <w:tcBorders>
              <w:top w:val="single" w:color="000000" w:sz="6" w:space="0"/>
              <w:left w:val="single" w:color="000000" w:sz="6" w:space="0"/>
              <w:right w:val="single" w:color="000000" w:sz="6" w:space="0"/>
            </w:tcBorders>
            <w:vAlign w:val="center"/>
          </w:tcPr>
          <w:p w14:paraId="3ED8D87D">
            <w:pPr>
              <w:jc w:val="center"/>
            </w:pPr>
            <w:r>
              <w:t>堆焊</w:t>
            </w:r>
            <w:r>
              <w:rPr>
                <w:rFonts w:hint="eastAsia"/>
              </w:rPr>
              <w:t>前厚度</w:t>
            </w:r>
          </w:p>
          <w:p w14:paraId="1287F8B2">
            <w:pPr>
              <w:jc w:val="center"/>
            </w:pPr>
            <w:r>
              <w:rPr>
                <w:rFonts w:hint="eastAsia"/>
              </w:rPr>
              <w:t>mm</w:t>
            </w:r>
          </w:p>
        </w:tc>
        <w:tc>
          <w:tcPr>
            <w:tcW w:w="856" w:type="dxa"/>
            <w:tcBorders>
              <w:top w:val="single" w:color="000000" w:sz="6" w:space="0"/>
              <w:left w:val="single" w:color="000000" w:sz="6" w:space="0"/>
              <w:right w:val="double" w:color="000000" w:sz="4" w:space="0"/>
            </w:tcBorders>
            <w:vAlign w:val="center"/>
          </w:tcPr>
          <w:p w14:paraId="4ABA36B6">
            <w:pPr>
              <w:jc w:val="center"/>
            </w:pPr>
            <w:r>
              <w:rPr>
                <w:rFonts w:hint="eastAsia"/>
              </w:rPr>
              <w:t>堆焊层厚度</w:t>
            </w:r>
          </w:p>
          <w:p w14:paraId="40EFDD7C">
            <w:pPr>
              <w:jc w:val="center"/>
            </w:pPr>
            <w:r>
              <w:rPr>
                <w:rFonts w:hint="eastAsia"/>
              </w:rPr>
              <w:t>mm</w:t>
            </w:r>
          </w:p>
        </w:tc>
        <w:tc>
          <w:tcPr>
            <w:tcW w:w="557" w:type="dxa"/>
            <w:gridSpan w:val="2"/>
            <w:tcBorders>
              <w:top w:val="single" w:color="000000" w:sz="6" w:space="0"/>
              <w:left w:val="double" w:color="000000" w:sz="4" w:space="0"/>
              <w:bottom w:val="single" w:color="000000" w:sz="6" w:space="0"/>
              <w:right w:val="single" w:color="000000" w:sz="6" w:space="0"/>
            </w:tcBorders>
            <w:vAlign w:val="center"/>
          </w:tcPr>
          <w:p w14:paraId="7A31C7A8">
            <w:pPr>
              <w:jc w:val="center"/>
            </w:pPr>
            <w:r>
              <w:rPr>
                <w:rFonts w:hint="eastAsia"/>
              </w:rPr>
              <w:t>测点编号</w:t>
            </w:r>
          </w:p>
        </w:tc>
        <w:tc>
          <w:tcPr>
            <w:tcW w:w="2552" w:type="dxa"/>
            <w:gridSpan w:val="3"/>
            <w:tcBorders>
              <w:top w:val="single" w:color="000000" w:sz="6" w:space="0"/>
              <w:left w:val="single" w:color="000000" w:sz="6" w:space="0"/>
              <w:right w:val="single" w:color="000000" w:sz="6" w:space="0"/>
            </w:tcBorders>
            <w:vAlign w:val="center"/>
          </w:tcPr>
          <w:p w14:paraId="635DAC58">
            <w:pPr>
              <w:jc w:val="center"/>
            </w:pPr>
            <w:r>
              <w:rPr>
                <w:rFonts w:hint="eastAsia"/>
              </w:rPr>
              <w:t>测点部位</w:t>
            </w:r>
          </w:p>
        </w:tc>
        <w:tc>
          <w:tcPr>
            <w:tcW w:w="813" w:type="dxa"/>
            <w:tcBorders>
              <w:top w:val="single" w:color="000000" w:sz="6" w:space="0"/>
              <w:left w:val="single" w:color="000000" w:sz="6" w:space="0"/>
              <w:right w:val="single" w:color="000000" w:sz="6" w:space="0"/>
            </w:tcBorders>
            <w:vAlign w:val="center"/>
          </w:tcPr>
          <w:p w14:paraId="07DA4BAC">
            <w:pPr>
              <w:jc w:val="center"/>
            </w:pPr>
            <w:r>
              <w:t>堆焊</w:t>
            </w:r>
            <w:r>
              <w:rPr>
                <w:rFonts w:hint="eastAsia"/>
              </w:rPr>
              <w:t>前厚度</w:t>
            </w:r>
          </w:p>
          <w:p w14:paraId="7E5FC482">
            <w:pPr>
              <w:jc w:val="center"/>
            </w:pPr>
            <w:r>
              <w:rPr>
                <w:rFonts w:hint="eastAsia"/>
              </w:rPr>
              <w:t>mm</w:t>
            </w:r>
          </w:p>
        </w:tc>
        <w:tc>
          <w:tcPr>
            <w:tcW w:w="814" w:type="dxa"/>
            <w:tcBorders>
              <w:top w:val="single" w:color="000000" w:sz="6" w:space="0"/>
              <w:left w:val="single" w:color="000000" w:sz="6" w:space="0"/>
              <w:right w:val="single" w:color="000000" w:sz="8" w:space="0"/>
            </w:tcBorders>
            <w:vAlign w:val="center"/>
          </w:tcPr>
          <w:p w14:paraId="1206A4CB">
            <w:pPr>
              <w:jc w:val="center"/>
            </w:pPr>
            <w:r>
              <w:rPr>
                <w:rFonts w:hint="eastAsia"/>
              </w:rPr>
              <w:t>堆焊层厚度</w:t>
            </w:r>
          </w:p>
          <w:p w14:paraId="20962B66">
            <w:pPr>
              <w:jc w:val="center"/>
            </w:pPr>
            <w:r>
              <w:rPr>
                <w:rFonts w:hint="eastAsia"/>
              </w:rPr>
              <w:t>mm</w:t>
            </w:r>
          </w:p>
        </w:tc>
      </w:tr>
      <w:tr w14:paraId="5B91F00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611" w:type="dxa"/>
            <w:tcBorders>
              <w:top w:val="single" w:color="000000" w:sz="6" w:space="0"/>
              <w:left w:val="single" w:color="000000" w:sz="8" w:space="0"/>
              <w:right w:val="single" w:color="000000" w:sz="6" w:space="0"/>
            </w:tcBorders>
            <w:vAlign w:val="center"/>
          </w:tcPr>
          <w:p w14:paraId="605F0C31">
            <w:pPr>
              <w:jc w:val="center"/>
            </w:pPr>
          </w:p>
        </w:tc>
        <w:tc>
          <w:tcPr>
            <w:tcW w:w="2410" w:type="dxa"/>
            <w:gridSpan w:val="3"/>
            <w:tcBorders>
              <w:top w:val="single" w:color="000000" w:sz="6" w:space="0"/>
              <w:left w:val="single" w:color="000000" w:sz="6" w:space="0"/>
              <w:right w:val="single" w:color="000000" w:sz="6" w:space="0"/>
            </w:tcBorders>
            <w:vAlign w:val="center"/>
          </w:tcPr>
          <w:p w14:paraId="31795C42">
            <w:pPr>
              <w:jc w:val="center"/>
            </w:pPr>
          </w:p>
        </w:tc>
        <w:tc>
          <w:tcPr>
            <w:tcW w:w="855" w:type="dxa"/>
            <w:gridSpan w:val="2"/>
            <w:tcBorders>
              <w:top w:val="single" w:color="000000" w:sz="6" w:space="0"/>
              <w:left w:val="single" w:color="000000" w:sz="6" w:space="0"/>
              <w:right w:val="single" w:color="000000" w:sz="6" w:space="0"/>
            </w:tcBorders>
            <w:vAlign w:val="center"/>
          </w:tcPr>
          <w:p w14:paraId="4E1B88A7">
            <w:pPr>
              <w:jc w:val="center"/>
            </w:pPr>
          </w:p>
        </w:tc>
        <w:tc>
          <w:tcPr>
            <w:tcW w:w="856" w:type="dxa"/>
            <w:tcBorders>
              <w:top w:val="single" w:color="000000" w:sz="6" w:space="0"/>
              <w:left w:val="single" w:color="000000" w:sz="6" w:space="0"/>
              <w:right w:val="double" w:color="000000" w:sz="4" w:space="0"/>
            </w:tcBorders>
            <w:vAlign w:val="center"/>
          </w:tcPr>
          <w:p w14:paraId="687FE6E1">
            <w:pPr>
              <w:jc w:val="center"/>
            </w:pPr>
          </w:p>
        </w:tc>
        <w:tc>
          <w:tcPr>
            <w:tcW w:w="557" w:type="dxa"/>
            <w:gridSpan w:val="2"/>
            <w:tcBorders>
              <w:top w:val="single" w:color="000000" w:sz="6" w:space="0"/>
              <w:left w:val="double" w:color="000000" w:sz="4" w:space="0"/>
              <w:bottom w:val="single" w:color="000000" w:sz="6" w:space="0"/>
              <w:right w:val="single" w:color="000000" w:sz="6" w:space="0"/>
            </w:tcBorders>
            <w:vAlign w:val="center"/>
          </w:tcPr>
          <w:p w14:paraId="7BD204E4">
            <w:pPr>
              <w:jc w:val="center"/>
            </w:pPr>
          </w:p>
        </w:tc>
        <w:tc>
          <w:tcPr>
            <w:tcW w:w="2552" w:type="dxa"/>
            <w:gridSpan w:val="3"/>
            <w:tcBorders>
              <w:top w:val="single" w:color="000000" w:sz="6" w:space="0"/>
              <w:left w:val="single" w:color="000000" w:sz="6" w:space="0"/>
              <w:right w:val="single" w:color="000000" w:sz="6" w:space="0"/>
            </w:tcBorders>
            <w:vAlign w:val="center"/>
          </w:tcPr>
          <w:p w14:paraId="71B3B7B6">
            <w:pPr>
              <w:jc w:val="center"/>
            </w:pPr>
          </w:p>
        </w:tc>
        <w:tc>
          <w:tcPr>
            <w:tcW w:w="813" w:type="dxa"/>
            <w:tcBorders>
              <w:top w:val="single" w:color="000000" w:sz="6" w:space="0"/>
              <w:left w:val="single" w:color="000000" w:sz="6" w:space="0"/>
              <w:right w:val="single" w:color="000000" w:sz="6" w:space="0"/>
            </w:tcBorders>
            <w:vAlign w:val="center"/>
          </w:tcPr>
          <w:p w14:paraId="22E1B364">
            <w:pPr>
              <w:jc w:val="center"/>
            </w:pPr>
          </w:p>
        </w:tc>
        <w:tc>
          <w:tcPr>
            <w:tcW w:w="814" w:type="dxa"/>
            <w:tcBorders>
              <w:top w:val="single" w:color="000000" w:sz="6" w:space="0"/>
              <w:left w:val="single" w:color="000000" w:sz="6" w:space="0"/>
              <w:right w:val="single" w:color="000000" w:sz="8" w:space="0"/>
            </w:tcBorders>
            <w:vAlign w:val="center"/>
          </w:tcPr>
          <w:p w14:paraId="26945636">
            <w:pPr>
              <w:jc w:val="center"/>
            </w:pPr>
          </w:p>
        </w:tc>
      </w:tr>
      <w:tr w14:paraId="4B03308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611" w:type="dxa"/>
            <w:tcBorders>
              <w:top w:val="single" w:color="000000" w:sz="6" w:space="0"/>
              <w:left w:val="single" w:color="000000" w:sz="8" w:space="0"/>
              <w:right w:val="single" w:color="000000" w:sz="6" w:space="0"/>
            </w:tcBorders>
            <w:vAlign w:val="center"/>
          </w:tcPr>
          <w:p w14:paraId="310A4EB5">
            <w:pPr>
              <w:jc w:val="center"/>
            </w:pPr>
          </w:p>
        </w:tc>
        <w:tc>
          <w:tcPr>
            <w:tcW w:w="2410" w:type="dxa"/>
            <w:gridSpan w:val="3"/>
            <w:tcBorders>
              <w:top w:val="single" w:color="000000" w:sz="6" w:space="0"/>
              <w:left w:val="single" w:color="000000" w:sz="6" w:space="0"/>
              <w:right w:val="single" w:color="000000" w:sz="6" w:space="0"/>
            </w:tcBorders>
            <w:vAlign w:val="center"/>
          </w:tcPr>
          <w:p w14:paraId="0956D4D0">
            <w:pPr>
              <w:jc w:val="center"/>
            </w:pPr>
          </w:p>
        </w:tc>
        <w:tc>
          <w:tcPr>
            <w:tcW w:w="855" w:type="dxa"/>
            <w:gridSpan w:val="2"/>
            <w:tcBorders>
              <w:top w:val="single" w:color="000000" w:sz="6" w:space="0"/>
              <w:left w:val="single" w:color="000000" w:sz="6" w:space="0"/>
              <w:right w:val="single" w:color="000000" w:sz="6" w:space="0"/>
            </w:tcBorders>
            <w:vAlign w:val="center"/>
          </w:tcPr>
          <w:p w14:paraId="2910026C">
            <w:pPr>
              <w:jc w:val="center"/>
            </w:pPr>
          </w:p>
        </w:tc>
        <w:tc>
          <w:tcPr>
            <w:tcW w:w="856" w:type="dxa"/>
            <w:tcBorders>
              <w:top w:val="single" w:color="000000" w:sz="6" w:space="0"/>
              <w:left w:val="single" w:color="000000" w:sz="6" w:space="0"/>
              <w:right w:val="double" w:color="000000" w:sz="4" w:space="0"/>
            </w:tcBorders>
            <w:vAlign w:val="center"/>
          </w:tcPr>
          <w:p w14:paraId="15C5F020">
            <w:pPr>
              <w:jc w:val="center"/>
            </w:pPr>
          </w:p>
        </w:tc>
        <w:tc>
          <w:tcPr>
            <w:tcW w:w="557" w:type="dxa"/>
            <w:gridSpan w:val="2"/>
            <w:tcBorders>
              <w:top w:val="single" w:color="000000" w:sz="6" w:space="0"/>
              <w:left w:val="double" w:color="000000" w:sz="4" w:space="0"/>
              <w:bottom w:val="single" w:color="000000" w:sz="6" w:space="0"/>
              <w:right w:val="single" w:color="000000" w:sz="6" w:space="0"/>
            </w:tcBorders>
            <w:vAlign w:val="center"/>
          </w:tcPr>
          <w:p w14:paraId="27E9D758">
            <w:pPr>
              <w:jc w:val="center"/>
            </w:pPr>
          </w:p>
        </w:tc>
        <w:tc>
          <w:tcPr>
            <w:tcW w:w="2552" w:type="dxa"/>
            <w:gridSpan w:val="3"/>
            <w:tcBorders>
              <w:top w:val="single" w:color="000000" w:sz="6" w:space="0"/>
              <w:left w:val="single" w:color="000000" w:sz="6" w:space="0"/>
              <w:right w:val="single" w:color="000000" w:sz="6" w:space="0"/>
            </w:tcBorders>
            <w:vAlign w:val="center"/>
          </w:tcPr>
          <w:p w14:paraId="30356BD1">
            <w:pPr>
              <w:jc w:val="center"/>
            </w:pPr>
          </w:p>
        </w:tc>
        <w:tc>
          <w:tcPr>
            <w:tcW w:w="813" w:type="dxa"/>
            <w:tcBorders>
              <w:top w:val="single" w:color="000000" w:sz="6" w:space="0"/>
              <w:left w:val="single" w:color="000000" w:sz="6" w:space="0"/>
              <w:right w:val="single" w:color="000000" w:sz="6" w:space="0"/>
            </w:tcBorders>
            <w:vAlign w:val="center"/>
          </w:tcPr>
          <w:p w14:paraId="3275F1BF">
            <w:pPr>
              <w:jc w:val="center"/>
            </w:pPr>
          </w:p>
        </w:tc>
        <w:tc>
          <w:tcPr>
            <w:tcW w:w="814" w:type="dxa"/>
            <w:tcBorders>
              <w:top w:val="single" w:color="000000" w:sz="6" w:space="0"/>
              <w:left w:val="single" w:color="000000" w:sz="6" w:space="0"/>
              <w:right w:val="single" w:color="000000" w:sz="8" w:space="0"/>
            </w:tcBorders>
            <w:vAlign w:val="center"/>
          </w:tcPr>
          <w:p w14:paraId="14888EA8">
            <w:pPr>
              <w:jc w:val="center"/>
            </w:pPr>
          </w:p>
        </w:tc>
      </w:tr>
      <w:tr w14:paraId="59F4148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611" w:type="dxa"/>
            <w:tcBorders>
              <w:top w:val="single" w:color="000000" w:sz="6" w:space="0"/>
              <w:left w:val="single" w:color="000000" w:sz="8" w:space="0"/>
              <w:right w:val="single" w:color="000000" w:sz="6" w:space="0"/>
            </w:tcBorders>
            <w:vAlign w:val="center"/>
          </w:tcPr>
          <w:p w14:paraId="7B16702C">
            <w:pPr>
              <w:jc w:val="center"/>
            </w:pPr>
          </w:p>
        </w:tc>
        <w:tc>
          <w:tcPr>
            <w:tcW w:w="2410" w:type="dxa"/>
            <w:gridSpan w:val="3"/>
            <w:tcBorders>
              <w:top w:val="single" w:color="000000" w:sz="6" w:space="0"/>
              <w:left w:val="single" w:color="000000" w:sz="6" w:space="0"/>
              <w:right w:val="single" w:color="000000" w:sz="6" w:space="0"/>
            </w:tcBorders>
            <w:vAlign w:val="center"/>
          </w:tcPr>
          <w:p w14:paraId="65C4FB33">
            <w:pPr>
              <w:jc w:val="center"/>
            </w:pPr>
          </w:p>
        </w:tc>
        <w:tc>
          <w:tcPr>
            <w:tcW w:w="855" w:type="dxa"/>
            <w:gridSpan w:val="2"/>
            <w:tcBorders>
              <w:top w:val="single" w:color="000000" w:sz="6" w:space="0"/>
              <w:left w:val="single" w:color="000000" w:sz="6" w:space="0"/>
              <w:right w:val="single" w:color="000000" w:sz="6" w:space="0"/>
            </w:tcBorders>
            <w:vAlign w:val="center"/>
          </w:tcPr>
          <w:p w14:paraId="3BF80845">
            <w:pPr>
              <w:jc w:val="center"/>
            </w:pPr>
          </w:p>
        </w:tc>
        <w:tc>
          <w:tcPr>
            <w:tcW w:w="856" w:type="dxa"/>
            <w:tcBorders>
              <w:top w:val="single" w:color="000000" w:sz="6" w:space="0"/>
              <w:left w:val="single" w:color="000000" w:sz="6" w:space="0"/>
              <w:right w:val="double" w:color="000000" w:sz="4" w:space="0"/>
            </w:tcBorders>
            <w:vAlign w:val="center"/>
          </w:tcPr>
          <w:p w14:paraId="6085F270">
            <w:pPr>
              <w:jc w:val="center"/>
            </w:pPr>
          </w:p>
        </w:tc>
        <w:tc>
          <w:tcPr>
            <w:tcW w:w="557" w:type="dxa"/>
            <w:gridSpan w:val="2"/>
            <w:tcBorders>
              <w:top w:val="single" w:color="000000" w:sz="6" w:space="0"/>
              <w:left w:val="double" w:color="000000" w:sz="4" w:space="0"/>
              <w:bottom w:val="single" w:color="000000" w:sz="6" w:space="0"/>
              <w:right w:val="single" w:color="000000" w:sz="6" w:space="0"/>
            </w:tcBorders>
            <w:vAlign w:val="center"/>
          </w:tcPr>
          <w:p w14:paraId="4E1C52CD">
            <w:pPr>
              <w:jc w:val="center"/>
            </w:pPr>
          </w:p>
        </w:tc>
        <w:tc>
          <w:tcPr>
            <w:tcW w:w="2552" w:type="dxa"/>
            <w:gridSpan w:val="3"/>
            <w:tcBorders>
              <w:top w:val="single" w:color="000000" w:sz="6" w:space="0"/>
              <w:left w:val="single" w:color="000000" w:sz="6" w:space="0"/>
              <w:right w:val="single" w:color="000000" w:sz="6" w:space="0"/>
            </w:tcBorders>
            <w:vAlign w:val="center"/>
          </w:tcPr>
          <w:p w14:paraId="0A3C14E9">
            <w:pPr>
              <w:jc w:val="center"/>
            </w:pPr>
          </w:p>
        </w:tc>
        <w:tc>
          <w:tcPr>
            <w:tcW w:w="813" w:type="dxa"/>
            <w:tcBorders>
              <w:top w:val="single" w:color="000000" w:sz="6" w:space="0"/>
              <w:left w:val="single" w:color="000000" w:sz="6" w:space="0"/>
              <w:right w:val="single" w:color="000000" w:sz="6" w:space="0"/>
            </w:tcBorders>
            <w:vAlign w:val="center"/>
          </w:tcPr>
          <w:p w14:paraId="145B4313">
            <w:pPr>
              <w:jc w:val="center"/>
            </w:pPr>
          </w:p>
        </w:tc>
        <w:tc>
          <w:tcPr>
            <w:tcW w:w="814" w:type="dxa"/>
            <w:tcBorders>
              <w:top w:val="single" w:color="000000" w:sz="6" w:space="0"/>
              <w:left w:val="single" w:color="000000" w:sz="6" w:space="0"/>
              <w:right w:val="single" w:color="000000" w:sz="8" w:space="0"/>
            </w:tcBorders>
            <w:vAlign w:val="center"/>
          </w:tcPr>
          <w:p w14:paraId="6A6ED186">
            <w:pPr>
              <w:jc w:val="center"/>
            </w:pPr>
          </w:p>
        </w:tc>
      </w:tr>
      <w:tr w14:paraId="1D4C26F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611" w:type="dxa"/>
            <w:tcBorders>
              <w:top w:val="single" w:color="000000" w:sz="6" w:space="0"/>
              <w:left w:val="single" w:color="000000" w:sz="8" w:space="0"/>
              <w:right w:val="single" w:color="000000" w:sz="6" w:space="0"/>
            </w:tcBorders>
            <w:vAlign w:val="center"/>
          </w:tcPr>
          <w:p w14:paraId="693E32CE">
            <w:pPr>
              <w:jc w:val="center"/>
            </w:pPr>
          </w:p>
        </w:tc>
        <w:tc>
          <w:tcPr>
            <w:tcW w:w="2410" w:type="dxa"/>
            <w:gridSpan w:val="3"/>
            <w:tcBorders>
              <w:top w:val="single" w:color="000000" w:sz="6" w:space="0"/>
              <w:left w:val="single" w:color="000000" w:sz="6" w:space="0"/>
              <w:right w:val="single" w:color="000000" w:sz="6" w:space="0"/>
            </w:tcBorders>
            <w:vAlign w:val="center"/>
          </w:tcPr>
          <w:p w14:paraId="6D11494B">
            <w:pPr>
              <w:jc w:val="center"/>
            </w:pPr>
          </w:p>
        </w:tc>
        <w:tc>
          <w:tcPr>
            <w:tcW w:w="855" w:type="dxa"/>
            <w:gridSpan w:val="2"/>
            <w:tcBorders>
              <w:top w:val="single" w:color="000000" w:sz="6" w:space="0"/>
              <w:left w:val="single" w:color="000000" w:sz="6" w:space="0"/>
              <w:right w:val="single" w:color="000000" w:sz="6" w:space="0"/>
            </w:tcBorders>
            <w:vAlign w:val="center"/>
          </w:tcPr>
          <w:p w14:paraId="5743BAE0">
            <w:pPr>
              <w:jc w:val="center"/>
            </w:pPr>
          </w:p>
        </w:tc>
        <w:tc>
          <w:tcPr>
            <w:tcW w:w="856" w:type="dxa"/>
            <w:tcBorders>
              <w:top w:val="single" w:color="000000" w:sz="6" w:space="0"/>
              <w:left w:val="single" w:color="000000" w:sz="6" w:space="0"/>
              <w:right w:val="double" w:color="000000" w:sz="4" w:space="0"/>
            </w:tcBorders>
            <w:vAlign w:val="center"/>
          </w:tcPr>
          <w:p w14:paraId="6AE69DEE">
            <w:pPr>
              <w:jc w:val="center"/>
            </w:pPr>
          </w:p>
        </w:tc>
        <w:tc>
          <w:tcPr>
            <w:tcW w:w="557" w:type="dxa"/>
            <w:gridSpan w:val="2"/>
            <w:tcBorders>
              <w:top w:val="single" w:color="000000" w:sz="6" w:space="0"/>
              <w:left w:val="double" w:color="000000" w:sz="4" w:space="0"/>
              <w:bottom w:val="single" w:color="000000" w:sz="6" w:space="0"/>
              <w:right w:val="single" w:color="000000" w:sz="6" w:space="0"/>
            </w:tcBorders>
            <w:vAlign w:val="center"/>
          </w:tcPr>
          <w:p w14:paraId="7EAC9B74">
            <w:pPr>
              <w:jc w:val="center"/>
            </w:pPr>
          </w:p>
        </w:tc>
        <w:tc>
          <w:tcPr>
            <w:tcW w:w="2552" w:type="dxa"/>
            <w:gridSpan w:val="3"/>
            <w:tcBorders>
              <w:top w:val="single" w:color="000000" w:sz="6" w:space="0"/>
              <w:left w:val="single" w:color="000000" w:sz="6" w:space="0"/>
              <w:right w:val="single" w:color="000000" w:sz="6" w:space="0"/>
            </w:tcBorders>
            <w:vAlign w:val="center"/>
          </w:tcPr>
          <w:p w14:paraId="2393732F">
            <w:pPr>
              <w:jc w:val="center"/>
            </w:pPr>
          </w:p>
        </w:tc>
        <w:tc>
          <w:tcPr>
            <w:tcW w:w="813" w:type="dxa"/>
            <w:tcBorders>
              <w:top w:val="single" w:color="000000" w:sz="6" w:space="0"/>
              <w:left w:val="single" w:color="000000" w:sz="6" w:space="0"/>
              <w:right w:val="single" w:color="000000" w:sz="6" w:space="0"/>
            </w:tcBorders>
            <w:vAlign w:val="center"/>
          </w:tcPr>
          <w:p w14:paraId="59F999F9">
            <w:pPr>
              <w:jc w:val="center"/>
            </w:pPr>
          </w:p>
        </w:tc>
        <w:tc>
          <w:tcPr>
            <w:tcW w:w="814" w:type="dxa"/>
            <w:tcBorders>
              <w:top w:val="single" w:color="000000" w:sz="6" w:space="0"/>
              <w:left w:val="single" w:color="000000" w:sz="6" w:space="0"/>
              <w:right w:val="single" w:color="000000" w:sz="8" w:space="0"/>
            </w:tcBorders>
            <w:vAlign w:val="center"/>
          </w:tcPr>
          <w:p w14:paraId="67DF9070">
            <w:pPr>
              <w:jc w:val="center"/>
            </w:pPr>
          </w:p>
        </w:tc>
      </w:tr>
      <w:tr w14:paraId="5DB4947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611" w:type="dxa"/>
            <w:tcBorders>
              <w:top w:val="single" w:color="000000" w:sz="6" w:space="0"/>
              <w:left w:val="single" w:color="000000" w:sz="8" w:space="0"/>
              <w:right w:val="single" w:color="000000" w:sz="6" w:space="0"/>
            </w:tcBorders>
            <w:vAlign w:val="center"/>
          </w:tcPr>
          <w:p w14:paraId="705734A6">
            <w:pPr>
              <w:jc w:val="center"/>
            </w:pPr>
          </w:p>
        </w:tc>
        <w:tc>
          <w:tcPr>
            <w:tcW w:w="2410" w:type="dxa"/>
            <w:gridSpan w:val="3"/>
            <w:tcBorders>
              <w:top w:val="single" w:color="000000" w:sz="6" w:space="0"/>
              <w:left w:val="single" w:color="000000" w:sz="6" w:space="0"/>
              <w:right w:val="single" w:color="000000" w:sz="6" w:space="0"/>
            </w:tcBorders>
            <w:vAlign w:val="center"/>
          </w:tcPr>
          <w:p w14:paraId="4A7C0DF5">
            <w:pPr>
              <w:jc w:val="center"/>
            </w:pPr>
          </w:p>
        </w:tc>
        <w:tc>
          <w:tcPr>
            <w:tcW w:w="855" w:type="dxa"/>
            <w:gridSpan w:val="2"/>
            <w:tcBorders>
              <w:top w:val="single" w:color="000000" w:sz="6" w:space="0"/>
              <w:left w:val="single" w:color="000000" w:sz="6" w:space="0"/>
              <w:right w:val="single" w:color="000000" w:sz="6" w:space="0"/>
            </w:tcBorders>
            <w:vAlign w:val="center"/>
          </w:tcPr>
          <w:p w14:paraId="00E1E6C7">
            <w:pPr>
              <w:jc w:val="center"/>
            </w:pPr>
          </w:p>
        </w:tc>
        <w:tc>
          <w:tcPr>
            <w:tcW w:w="856" w:type="dxa"/>
            <w:tcBorders>
              <w:top w:val="single" w:color="000000" w:sz="6" w:space="0"/>
              <w:left w:val="single" w:color="000000" w:sz="6" w:space="0"/>
              <w:right w:val="double" w:color="000000" w:sz="4" w:space="0"/>
            </w:tcBorders>
            <w:vAlign w:val="center"/>
          </w:tcPr>
          <w:p w14:paraId="573A6E1E">
            <w:pPr>
              <w:jc w:val="center"/>
            </w:pPr>
          </w:p>
        </w:tc>
        <w:tc>
          <w:tcPr>
            <w:tcW w:w="557" w:type="dxa"/>
            <w:gridSpan w:val="2"/>
            <w:tcBorders>
              <w:top w:val="single" w:color="000000" w:sz="6" w:space="0"/>
              <w:left w:val="double" w:color="000000" w:sz="4" w:space="0"/>
              <w:bottom w:val="single" w:color="000000" w:sz="6" w:space="0"/>
              <w:right w:val="single" w:color="000000" w:sz="6" w:space="0"/>
            </w:tcBorders>
            <w:vAlign w:val="center"/>
          </w:tcPr>
          <w:p w14:paraId="4073E513">
            <w:pPr>
              <w:jc w:val="center"/>
            </w:pPr>
          </w:p>
        </w:tc>
        <w:tc>
          <w:tcPr>
            <w:tcW w:w="2552" w:type="dxa"/>
            <w:gridSpan w:val="3"/>
            <w:tcBorders>
              <w:top w:val="single" w:color="000000" w:sz="6" w:space="0"/>
              <w:left w:val="single" w:color="000000" w:sz="6" w:space="0"/>
              <w:right w:val="single" w:color="000000" w:sz="6" w:space="0"/>
            </w:tcBorders>
            <w:vAlign w:val="center"/>
          </w:tcPr>
          <w:p w14:paraId="3BAA44E4">
            <w:pPr>
              <w:jc w:val="center"/>
            </w:pPr>
          </w:p>
        </w:tc>
        <w:tc>
          <w:tcPr>
            <w:tcW w:w="813" w:type="dxa"/>
            <w:tcBorders>
              <w:top w:val="single" w:color="000000" w:sz="6" w:space="0"/>
              <w:left w:val="single" w:color="000000" w:sz="6" w:space="0"/>
              <w:right w:val="single" w:color="000000" w:sz="6" w:space="0"/>
            </w:tcBorders>
            <w:vAlign w:val="center"/>
          </w:tcPr>
          <w:p w14:paraId="1743265B">
            <w:pPr>
              <w:jc w:val="center"/>
            </w:pPr>
          </w:p>
        </w:tc>
        <w:tc>
          <w:tcPr>
            <w:tcW w:w="814" w:type="dxa"/>
            <w:tcBorders>
              <w:top w:val="single" w:color="000000" w:sz="6" w:space="0"/>
              <w:left w:val="single" w:color="000000" w:sz="6" w:space="0"/>
              <w:right w:val="single" w:color="000000" w:sz="8" w:space="0"/>
            </w:tcBorders>
            <w:vAlign w:val="center"/>
          </w:tcPr>
          <w:p w14:paraId="16649CF6">
            <w:pPr>
              <w:jc w:val="center"/>
            </w:pPr>
          </w:p>
        </w:tc>
      </w:tr>
      <w:tr w14:paraId="0BF5056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611" w:type="dxa"/>
            <w:tcBorders>
              <w:top w:val="single" w:color="000000" w:sz="6" w:space="0"/>
              <w:left w:val="single" w:color="000000" w:sz="8" w:space="0"/>
              <w:right w:val="single" w:color="000000" w:sz="6" w:space="0"/>
            </w:tcBorders>
            <w:vAlign w:val="center"/>
          </w:tcPr>
          <w:p w14:paraId="6CD0DD25">
            <w:pPr>
              <w:jc w:val="center"/>
            </w:pPr>
          </w:p>
        </w:tc>
        <w:tc>
          <w:tcPr>
            <w:tcW w:w="2410" w:type="dxa"/>
            <w:gridSpan w:val="3"/>
            <w:tcBorders>
              <w:top w:val="single" w:color="000000" w:sz="6" w:space="0"/>
              <w:left w:val="single" w:color="000000" w:sz="6" w:space="0"/>
              <w:right w:val="single" w:color="000000" w:sz="6" w:space="0"/>
            </w:tcBorders>
            <w:vAlign w:val="center"/>
          </w:tcPr>
          <w:p w14:paraId="21058E99">
            <w:pPr>
              <w:jc w:val="center"/>
            </w:pPr>
          </w:p>
        </w:tc>
        <w:tc>
          <w:tcPr>
            <w:tcW w:w="855" w:type="dxa"/>
            <w:gridSpan w:val="2"/>
            <w:tcBorders>
              <w:top w:val="single" w:color="000000" w:sz="6" w:space="0"/>
              <w:left w:val="single" w:color="000000" w:sz="6" w:space="0"/>
              <w:right w:val="single" w:color="000000" w:sz="6" w:space="0"/>
            </w:tcBorders>
            <w:vAlign w:val="center"/>
          </w:tcPr>
          <w:p w14:paraId="7E38A90D">
            <w:pPr>
              <w:jc w:val="center"/>
            </w:pPr>
          </w:p>
        </w:tc>
        <w:tc>
          <w:tcPr>
            <w:tcW w:w="856" w:type="dxa"/>
            <w:tcBorders>
              <w:top w:val="single" w:color="000000" w:sz="6" w:space="0"/>
              <w:left w:val="single" w:color="000000" w:sz="6" w:space="0"/>
              <w:right w:val="double" w:color="000000" w:sz="4" w:space="0"/>
            </w:tcBorders>
            <w:vAlign w:val="center"/>
          </w:tcPr>
          <w:p w14:paraId="0BC314CC">
            <w:pPr>
              <w:jc w:val="center"/>
            </w:pPr>
          </w:p>
        </w:tc>
        <w:tc>
          <w:tcPr>
            <w:tcW w:w="557" w:type="dxa"/>
            <w:gridSpan w:val="2"/>
            <w:tcBorders>
              <w:top w:val="single" w:color="000000" w:sz="6" w:space="0"/>
              <w:left w:val="double" w:color="000000" w:sz="4" w:space="0"/>
              <w:bottom w:val="single" w:color="000000" w:sz="6" w:space="0"/>
              <w:right w:val="single" w:color="000000" w:sz="6" w:space="0"/>
            </w:tcBorders>
            <w:vAlign w:val="center"/>
          </w:tcPr>
          <w:p w14:paraId="3819FA16">
            <w:pPr>
              <w:jc w:val="center"/>
            </w:pPr>
          </w:p>
        </w:tc>
        <w:tc>
          <w:tcPr>
            <w:tcW w:w="2552" w:type="dxa"/>
            <w:gridSpan w:val="3"/>
            <w:tcBorders>
              <w:top w:val="single" w:color="000000" w:sz="6" w:space="0"/>
              <w:left w:val="single" w:color="000000" w:sz="6" w:space="0"/>
              <w:right w:val="single" w:color="000000" w:sz="6" w:space="0"/>
            </w:tcBorders>
            <w:vAlign w:val="center"/>
          </w:tcPr>
          <w:p w14:paraId="73CA602D">
            <w:pPr>
              <w:jc w:val="center"/>
            </w:pPr>
          </w:p>
        </w:tc>
        <w:tc>
          <w:tcPr>
            <w:tcW w:w="813" w:type="dxa"/>
            <w:tcBorders>
              <w:top w:val="single" w:color="000000" w:sz="6" w:space="0"/>
              <w:left w:val="single" w:color="000000" w:sz="6" w:space="0"/>
              <w:right w:val="single" w:color="000000" w:sz="6" w:space="0"/>
            </w:tcBorders>
            <w:vAlign w:val="center"/>
          </w:tcPr>
          <w:p w14:paraId="100C8433">
            <w:pPr>
              <w:jc w:val="center"/>
            </w:pPr>
          </w:p>
        </w:tc>
        <w:tc>
          <w:tcPr>
            <w:tcW w:w="814" w:type="dxa"/>
            <w:tcBorders>
              <w:top w:val="single" w:color="000000" w:sz="6" w:space="0"/>
              <w:left w:val="single" w:color="000000" w:sz="6" w:space="0"/>
              <w:right w:val="single" w:color="000000" w:sz="8" w:space="0"/>
            </w:tcBorders>
            <w:vAlign w:val="center"/>
          </w:tcPr>
          <w:p w14:paraId="121BBFB6">
            <w:pPr>
              <w:jc w:val="center"/>
            </w:pPr>
          </w:p>
        </w:tc>
      </w:tr>
      <w:tr w14:paraId="38C1FF7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611" w:type="dxa"/>
            <w:tcBorders>
              <w:top w:val="single" w:color="000000" w:sz="6" w:space="0"/>
              <w:left w:val="single" w:color="000000" w:sz="8" w:space="0"/>
              <w:right w:val="single" w:color="000000" w:sz="6" w:space="0"/>
            </w:tcBorders>
            <w:vAlign w:val="center"/>
          </w:tcPr>
          <w:p w14:paraId="5DAFCA2F">
            <w:pPr>
              <w:jc w:val="center"/>
            </w:pPr>
          </w:p>
        </w:tc>
        <w:tc>
          <w:tcPr>
            <w:tcW w:w="2410" w:type="dxa"/>
            <w:gridSpan w:val="3"/>
            <w:tcBorders>
              <w:top w:val="single" w:color="000000" w:sz="6" w:space="0"/>
              <w:left w:val="single" w:color="000000" w:sz="6" w:space="0"/>
              <w:right w:val="single" w:color="000000" w:sz="6" w:space="0"/>
            </w:tcBorders>
            <w:vAlign w:val="center"/>
          </w:tcPr>
          <w:p w14:paraId="2FB9220B">
            <w:pPr>
              <w:jc w:val="center"/>
            </w:pPr>
          </w:p>
        </w:tc>
        <w:tc>
          <w:tcPr>
            <w:tcW w:w="855" w:type="dxa"/>
            <w:gridSpan w:val="2"/>
            <w:tcBorders>
              <w:top w:val="single" w:color="000000" w:sz="6" w:space="0"/>
              <w:left w:val="single" w:color="000000" w:sz="6" w:space="0"/>
              <w:right w:val="single" w:color="000000" w:sz="6" w:space="0"/>
            </w:tcBorders>
            <w:vAlign w:val="center"/>
          </w:tcPr>
          <w:p w14:paraId="35666028">
            <w:pPr>
              <w:jc w:val="center"/>
            </w:pPr>
          </w:p>
        </w:tc>
        <w:tc>
          <w:tcPr>
            <w:tcW w:w="856" w:type="dxa"/>
            <w:tcBorders>
              <w:top w:val="single" w:color="000000" w:sz="6" w:space="0"/>
              <w:left w:val="single" w:color="000000" w:sz="6" w:space="0"/>
              <w:right w:val="double" w:color="000000" w:sz="4" w:space="0"/>
            </w:tcBorders>
            <w:vAlign w:val="center"/>
          </w:tcPr>
          <w:p w14:paraId="2D66AC0D">
            <w:pPr>
              <w:jc w:val="center"/>
            </w:pPr>
          </w:p>
        </w:tc>
        <w:tc>
          <w:tcPr>
            <w:tcW w:w="557" w:type="dxa"/>
            <w:gridSpan w:val="2"/>
            <w:tcBorders>
              <w:top w:val="single" w:color="000000" w:sz="6" w:space="0"/>
              <w:left w:val="double" w:color="000000" w:sz="4" w:space="0"/>
              <w:bottom w:val="single" w:color="000000" w:sz="6" w:space="0"/>
              <w:right w:val="single" w:color="000000" w:sz="6" w:space="0"/>
            </w:tcBorders>
            <w:vAlign w:val="center"/>
          </w:tcPr>
          <w:p w14:paraId="54F7067E">
            <w:pPr>
              <w:jc w:val="center"/>
            </w:pPr>
          </w:p>
        </w:tc>
        <w:tc>
          <w:tcPr>
            <w:tcW w:w="2552" w:type="dxa"/>
            <w:gridSpan w:val="3"/>
            <w:tcBorders>
              <w:top w:val="single" w:color="000000" w:sz="6" w:space="0"/>
              <w:left w:val="single" w:color="000000" w:sz="6" w:space="0"/>
              <w:right w:val="single" w:color="000000" w:sz="6" w:space="0"/>
            </w:tcBorders>
            <w:vAlign w:val="center"/>
          </w:tcPr>
          <w:p w14:paraId="14D87D46">
            <w:pPr>
              <w:jc w:val="center"/>
            </w:pPr>
          </w:p>
        </w:tc>
        <w:tc>
          <w:tcPr>
            <w:tcW w:w="813" w:type="dxa"/>
            <w:tcBorders>
              <w:top w:val="single" w:color="000000" w:sz="6" w:space="0"/>
              <w:left w:val="single" w:color="000000" w:sz="6" w:space="0"/>
              <w:right w:val="single" w:color="000000" w:sz="6" w:space="0"/>
            </w:tcBorders>
            <w:vAlign w:val="center"/>
          </w:tcPr>
          <w:p w14:paraId="1EF53B22">
            <w:pPr>
              <w:jc w:val="center"/>
            </w:pPr>
          </w:p>
        </w:tc>
        <w:tc>
          <w:tcPr>
            <w:tcW w:w="814" w:type="dxa"/>
            <w:tcBorders>
              <w:top w:val="single" w:color="000000" w:sz="6" w:space="0"/>
              <w:left w:val="single" w:color="000000" w:sz="6" w:space="0"/>
              <w:right w:val="single" w:color="000000" w:sz="8" w:space="0"/>
            </w:tcBorders>
            <w:vAlign w:val="center"/>
          </w:tcPr>
          <w:p w14:paraId="3793B729">
            <w:pPr>
              <w:jc w:val="center"/>
            </w:pPr>
          </w:p>
        </w:tc>
      </w:tr>
      <w:tr w14:paraId="343CEFC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611" w:type="dxa"/>
            <w:tcBorders>
              <w:top w:val="single" w:color="000000" w:sz="6" w:space="0"/>
              <w:left w:val="single" w:color="000000" w:sz="8" w:space="0"/>
              <w:right w:val="single" w:color="000000" w:sz="6" w:space="0"/>
            </w:tcBorders>
            <w:vAlign w:val="center"/>
          </w:tcPr>
          <w:p w14:paraId="08AB8F4E">
            <w:pPr>
              <w:jc w:val="center"/>
            </w:pPr>
          </w:p>
        </w:tc>
        <w:tc>
          <w:tcPr>
            <w:tcW w:w="2410" w:type="dxa"/>
            <w:gridSpan w:val="3"/>
            <w:tcBorders>
              <w:top w:val="single" w:color="000000" w:sz="6" w:space="0"/>
              <w:left w:val="single" w:color="000000" w:sz="6" w:space="0"/>
              <w:right w:val="single" w:color="000000" w:sz="6" w:space="0"/>
            </w:tcBorders>
            <w:vAlign w:val="center"/>
          </w:tcPr>
          <w:p w14:paraId="26D3823A">
            <w:pPr>
              <w:jc w:val="center"/>
            </w:pPr>
          </w:p>
        </w:tc>
        <w:tc>
          <w:tcPr>
            <w:tcW w:w="855" w:type="dxa"/>
            <w:gridSpan w:val="2"/>
            <w:tcBorders>
              <w:top w:val="single" w:color="000000" w:sz="6" w:space="0"/>
              <w:left w:val="single" w:color="000000" w:sz="6" w:space="0"/>
              <w:right w:val="single" w:color="000000" w:sz="6" w:space="0"/>
            </w:tcBorders>
            <w:vAlign w:val="center"/>
          </w:tcPr>
          <w:p w14:paraId="52BAB7D3">
            <w:pPr>
              <w:jc w:val="center"/>
            </w:pPr>
          </w:p>
        </w:tc>
        <w:tc>
          <w:tcPr>
            <w:tcW w:w="856" w:type="dxa"/>
            <w:tcBorders>
              <w:top w:val="single" w:color="000000" w:sz="6" w:space="0"/>
              <w:left w:val="single" w:color="000000" w:sz="6" w:space="0"/>
              <w:right w:val="double" w:color="000000" w:sz="4" w:space="0"/>
            </w:tcBorders>
            <w:vAlign w:val="center"/>
          </w:tcPr>
          <w:p w14:paraId="31494373">
            <w:pPr>
              <w:jc w:val="center"/>
            </w:pPr>
          </w:p>
        </w:tc>
        <w:tc>
          <w:tcPr>
            <w:tcW w:w="557" w:type="dxa"/>
            <w:gridSpan w:val="2"/>
            <w:tcBorders>
              <w:top w:val="single" w:color="000000" w:sz="6" w:space="0"/>
              <w:left w:val="double" w:color="000000" w:sz="4" w:space="0"/>
              <w:bottom w:val="single" w:color="000000" w:sz="6" w:space="0"/>
              <w:right w:val="single" w:color="000000" w:sz="6" w:space="0"/>
            </w:tcBorders>
            <w:vAlign w:val="center"/>
          </w:tcPr>
          <w:p w14:paraId="0C75C0A0">
            <w:pPr>
              <w:jc w:val="center"/>
            </w:pPr>
          </w:p>
        </w:tc>
        <w:tc>
          <w:tcPr>
            <w:tcW w:w="2552" w:type="dxa"/>
            <w:gridSpan w:val="3"/>
            <w:tcBorders>
              <w:top w:val="single" w:color="000000" w:sz="6" w:space="0"/>
              <w:left w:val="single" w:color="000000" w:sz="6" w:space="0"/>
              <w:right w:val="single" w:color="000000" w:sz="6" w:space="0"/>
            </w:tcBorders>
            <w:vAlign w:val="center"/>
          </w:tcPr>
          <w:p w14:paraId="77E0D7D9">
            <w:pPr>
              <w:jc w:val="center"/>
            </w:pPr>
          </w:p>
        </w:tc>
        <w:tc>
          <w:tcPr>
            <w:tcW w:w="813" w:type="dxa"/>
            <w:tcBorders>
              <w:top w:val="single" w:color="000000" w:sz="6" w:space="0"/>
              <w:left w:val="single" w:color="000000" w:sz="6" w:space="0"/>
              <w:right w:val="single" w:color="000000" w:sz="6" w:space="0"/>
            </w:tcBorders>
            <w:vAlign w:val="center"/>
          </w:tcPr>
          <w:p w14:paraId="30A0FE63">
            <w:pPr>
              <w:jc w:val="center"/>
            </w:pPr>
          </w:p>
        </w:tc>
        <w:tc>
          <w:tcPr>
            <w:tcW w:w="814" w:type="dxa"/>
            <w:tcBorders>
              <w:top w:val="single" w:color="000000" w:sz="6" w:space="0"/>
              <w:left w:val="single" w:color="000000" w:sz="6" w:space="0"/>
              <w:right w:val="single" w:color="000000" w:sz="8" w:space="0"/>
            </w:tcBorders>
            <w:vAlign w:val="center"/>
          </w:tcPr>
          <w:p w14:paraId="137F7F74">
            <w:pPr>
              <w:jc w:val="center"/>
            </w:pPr>
          </w:p>
        </w:tc>
      </w:tr>
      <w:tr w14:paraId="460CDBB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611" w:type="dxa"/>
            <w:tcBorders>
              <w:top w:val="single" w:color="000000" w:sz="6" w:space="0"/>
              <w:left w:val="single" w:color="000000" w:sz="8" w:space="0"/>
              <w:right w:val="single" w:color="000000" w:sz="6" w:space="0"/>
            </w:tcBorders>
            <w:vAlign w:val="center"/>
          </w:tcPr>
          <w:p w14:paraId="4FCAD341">
            <w:pPr>
              <w:jc w:val="center"/>
            </w:pPr>
          </w:p>
        </w:tc>
        <w:tc>
          <w:tcPr>
            <w:tcW w:w="2410" w:type="dxa"/>
            <w:gridSpan w:val="3"/>
            <w:tcBorders>
              <w:top w:val="single" w:color="000000" w:sz="6" w:space="0"/>
              <w:left w:val="single" w:color="000000" w:sz="6" w:space="0"/>
              <w:right w:val="single" w:color="000000" w:sz="6" w:space="0"/>
            </w:tcBorders>
            <w:vAlign w:val="center"/>
          </w:tcPr>
          <w:p w14:paraId="383EB4BC">
            <w:pPr>
              <w:jc w:val="center"/>
            </w:pPr>
          </w:p>
        </w:tc>
        <w:tc>
          <w:tcPr>
            <w:tcW w:w="855" w:type="dxa"/>
            <w:gridSpan w:val="2"/>
            <w:tcBorders>
              <w:top w:val="single" w:color="000000" w:sz="6" w:space="0"/>
              <w:left w:val="single" w:color="000000" w:sz="6" w:space="0"/>
              <w:right w:val="single" w:color="000000" w:sz="6" w:space="0"/>
            </w:tcBorders>
            <w:vAlign w:val="center"/>
          </w:tcPr>
          <w:p w14:paraId="0698A4A3">
            <w:pPr>
              <w:jc w:val="center"/>
            </w:pPr>
          </w:p>
        </w:tc>
        <w:tc>
          <w:tcPr>
            <w:tcW w:w="856" w:type="dxa"/>
            <w:tcBorders>
              <w:top w:val="single" w:color="000000" w:sz="6" w:space="0"/>
              <w:left w:val="single" w:color="000000" w:sz="6" w:space="0"/>
              <w:right w:val="double" w:color="000000" w:sz="4" w:space="0"/>
            </w:tcBorders>
            <w:vAlign w:val="center"/>
          </w:tcPr>
          <w:p w14:paraId="21E71490">
            <w:pPr>
              <w:jc w:val="center"/>
            </w:pPr>
          </w:p>
        </w:tc>
        <w:tc>
          <w:tcPr>
            <w:tcW w:w="557" w:type="dxa"/>
            <w:gridSpan w:val="2"/>
            <w:tcBorders>
              <w:top w:val="single" w:color="000000" w:sz="6" w:space="0"/>
              <w:left w:val="double" w:color="000000" w:sz="4" w:space="0"/>
              <w:bottom w:val="single" w:color="000000" w:sz="6" w:space="0"/>
              <w:right w:val="single" w:color="000000" w:sz="6" w:space="0"/>
            </w:tcBorders>
            <w:vAlign w:val="center"/>
          </w:tcPr>
          <w:p w14:paraId="0030D9BB">
            <w:pPr>
              <w:jc w:val="center"/>
            </w:pPr>
          </w:p>
        </w:tc>
        <w:tc>
          <w:tcPr>
            <w:tcW w:w="2552" w:type="dxa"/>
            <w:gridSpan w:val="3"/>
            <w:tcBorders>
              <w:top w:val="single" w:color="000000" w:sz="6" w:space="0"/>
              <w:left w:val="single" w:color="000000" w:sz="6" w:space="0"/>
              <w:right w:val="single" w:color="000000" w:sz="6" w:space="0"/>
            </w:tcBorders>
            <w:vAlign w:val="center"/>
          </w:tcPr>
          <w:p w14:paraId="34D62946">
            <w:pPr>
              <w:jc w:val="center"/>
            </w:pPr>
          </w:p>
        </w:tc>
        <w:tc>
          <w:tcPr>
            <w:tcW w:w="813" w:type="dxa"/>
            <w:tcBorders>
              <w:top w:val="single" w:color="000000" w:sz="6" w:space="0"/>
              <w:left w:val="single" w:color="000000" w:sz="6" w:space="0"/>
              <w:right w:val="single" w:color="000000" w:sz="6" w:space="0"/>
            </w:tcBorders>
            <w:vAlign w:val="center"/>
          </w:tcPr>
          <w:p w14:paraId="2BD0FCC9">
            <w:pPr>
              <w:jc w:val="center"/>
            </w:pPr>
          </w:p>
        </w:tc>
        <w:tc>
          <w:tcPr>
            <w:tcW w:w="814" w:type="dxa"/>
            <w:tcBorders>
              <w:top w:val="single" w:color="000000" w:sz="6" w:space="0"/>
              <w:left w:val="single" w:color="000000" w:sz="6" w:space="0"/>
              <w:right w:val="single" w:color="000000" w:sz="8" w:space="0"/>
            </w:tcBorders>
            <w:vAlign w:val="center"/>
          </w:tcPr>
          <w:p w14:paraId="6229C57C">
            <w:pPr>
              <w:jc w:val="center"/>
            </w:pPr>
          </w:p>
        </w:tc>
      </w:tr>
      <w:tr w14:paraId="472635E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425" w:hRule="atLeast"/>
        </w:trPr>
        <w:tc>
          <w:tcPr>
            <w:tcW w:w="611" w:type="dxa"/>
            <w:tcBorders>
              <w:top w:val="single" w:color="000000" w:sz="6" w:space="0"/>
              <w:left w:val="single" w:color="000000" w:sz="8" w:space="0"/>
              <w:right w:val="single" w:color="000000" w:sz="6" w:space="0"/>
            </w:tcBorders>
            <w:vAlign w:val="center"/>
          </w:tcPr>
          <w:p w14:paraId="34EA7567">
            <w:pPr>
              <w:jc w:val="center"/>
            </w:pPr>
          </w:p>
        </w:tc>
        <w:tc>
          <w:tcPr>
            <w:tcW w:w="2410" w:type="dxa"/>
            <w:gridSpan w:val="3"/>
            <w:tcBorders>
              <w:top w:val="single" w:color="000000" w:sz="6" w:space="0"/>
              <w:left w:val="single" w:color="000000" w:sz="6" w:space="0"/>
              <w:right w:val="single" w:color="000000" w:sz="6" w:space="0"/>
            </w:tcBorders>
            <w:vAlign w:val="center"/>
          </w:tcPr>
          <w:p w14:paraId="67E392DA">
            <w:pPr>
              <w:jc w:val="center"/>
            </w:pPr>
          </w:p>
        </w:tc>
        <w:tc>
          <w:tcPr>
            <w:tcW w:w="855" w:type="dxa"/>
            <w:gridSpan w:val="2"/>
            <w:tcBorders>
              <w:top w:val="single" w:color="000000" w:sz="6" w:space="0"/>
              <w:left w:val="single" w:color="000000" w:sz="6" w:space="0"/>
              <w:right w:val="single" w:color="000000" w:sz="6" w:space="0"/>
            </w:tcBorders>
            <w:vAlign w:val="center"/>
          </w:tcPr>
          <w:p w14:paraId="77DA75C2">
            <w:pPr>
              <w:jc w:val="center"/>
            </w:pPr>
          </w:p>
        </w:tc>
        <w:tc>
          <w:tcPr>
            <w:tcW w:w="856" w:type="dxa"/>
            <w:tcBorders>
              <w:top w:val="single" w:color="000000" w:sz="6" w:space="0"/>
              <w:left w:val="single" w:color="000000" w:sz="6" w:space="0"/>
              <w:right w:val="double" w:color="000000" w:sz="4" w:space="0"/>
            </w:tcBorders>
            <w:vAlign w:val="center"/>
          </w:tcPr>
          <w:p w14:paraId="390BA10F">
            <w:pPr>
              <w:jc w:val="center"/>
            </w:pPr>
          </w:p>
        </w:tc>
        <w:tc>
          <w:tcPr>
            <w:tcW w:w="557" w:type="dxa"/>
            <w:gridSpan w:val="2"/>
            <w:tcBorders>
              <w:top w:val="single" w:color="000000" w:sz="6" w:space="0"/>
              <w:left w:val="double" w:color="000000" w:sz="4" w:space="0"/>
              <w:bottom w:val="single" w:color="000000" w:sz="6" w:space="0"/>
              <w:right w:val="single" w:color="000000" w:sz="6" w:space="0"/>
            </w:tcBorders>
            <w:vAlign w:val="center"/>
          </w:tcPr>
          <w:p w14:paraId="2CEA7BCB">
            <w:pPr>
              <w:jc w:val="center"/>
            </w:pPr>
          </w:p>
        </w:tc>
        <w:tc>
          <w:tcPr>
            <w:tcW w:w="2552" w:type="dxa"/>
            <w:gridSpan w:val="3"/>
            <w:tcBorders>
              <w:top w:val="single" w:color="000000" w:sz="6" w:space="0"/>
              <w:left w:val="single" w:color="000000" w:sz="6" w:space="0"/>
              <w:right w:val="single" w:color="000000" w:sz="6" w:space="0"/>
            </w:tcBorders>
            <w:vAlign w:val="center"/>
          </w:tcPr>
          <w:p w14:paraId="38ED5BAA">
            <w:pPr>
              <w:jc w:val="center"/>
            </w:pPr>
          </w:p>
        </w:tc>
        <w:tc>
          <w:tcPr>
            <w:tcW w:w="813" w:type="dxa"/>
            <w:tcBorders>
              <w:top w:val="single" w:color="000000" w:sz="6" w:space="0"/>
              <w:left w:val="single" w:color="000000" w:sz="6" w:space="0"/>
              <w:right w:val="single" w:color="000000" w:sz="6" w:space="0"/>
            </w:tcBorders>
            <w:vAlign w:val="center"/>
          </w:tcPr>
          <w:p w14:paraId="61811CFC">
            <w:pPr>
              <w:jc w:val="center"/>
            </w:pPr>
          </w:p>
        </w:tc>
        <w:tc>
          <w:tcPr>
            <w:tcW w:w="814" w:type="dxa"/>
            <w:tcBorders>
              <w:top w:val="single" w:color="000000" w:sz="6" w:space="0"/>
              <w:left w:val="single" w:color="000000" w:sz="6" w:space="0"/>
              <w:right w:val="single" w:color="000000" w:sz="8" w:space="0"/>
            </w:tcBorders>
            <w:vAlign w:val="center"/>
          </w:tcPr>
          <w:p w14:paraId="3FA116F1">
            <w:pPr>
              <w:jc w:val="center"/>
            </w:pPr>
          </w:p>
        </w:tc>
      </w:tr>
      <w:tr w14:paraId="5D3749C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425" w:hRule="atLeast"/>
        </w:trPr>
        <w:tc>
          <w:tcPr>
            <w:tcW w:w="611" w:type="dxa"/>
            <w:tcBorders>
              <w:top w:val="single" w:color="000000" w:sz="6" w:space="0"/>
              <w:left w:val="single" w:color="000000" w:sz="8" w:space="0"/>
              <w:bottom w:val="single" w:color="000000" w:sz="6" w:space="0"/>
              <w:right w:val="single" w:color="000000" w:sz="6" w:space="0"/>
            </w:tcBorders>
            <w:vAlign w:val="center"/>
          </w:tcPr>
          <w:p w14:paraId="0F3EF9A2">
            <w:pPr>
              <w:jc w:val="center"/>
            </w:pPr>
          </w:p>
        </w:tc>
        <w:tc>
          <w:tcPr>
            <w:tcW w:w="2410" w:type="dxa"/>
            <w:gridSpan w:val="3"/>
            <w:tcBorders>
              <w:top w:val="single" w:color="000000" w:sz="6" w:space="0"/>
              <w:left w:val="single" w:color="000000" w:sz="6" w:space="0"/>
              <w:bottom w:val="single" w:color="000000" w:sz="6" w:space="0"/>
              <w:right w:val="single" w:color="000000" w:sz="6" w:space="0"/>
            </w:tcBorders>
            <w:vAlign w:val="center"/>
          </w:tcPr>
          <w:p w14:paraId="02801408">
            <w:pPr>
              <w:jc w:val="center"/>
            </w:pPr>
          </w:p>
        </w:tc>
        <w:tc>
          <w:tcPr>
            <w:tcW w:w="855" w:type="dxa"/>
            <w:gridSpan w:val="2"/>
            <w:tcBorders>
              <w:top w:val="single" w:color="000000" w:sz="6" w:space="0"/>
              <w:left w:val="single" w:color="000000" w:sz="6" w:space="0"/>
              <w:bottom w:val="single" w:color="000000" w:sz="6" w:space="0"/>
              <w:right w:val="single" w:color="000000" w:sz="6" w:space="0"/>
            </w:tcBorders>
            <w:vAlign w:val="center"/>
          </w:tcPr>
          <w:p w14:paraId="754E2FAB">
            <w:pPr>
              <w:jc w:val="center"/>
            </w:pPr>
          </w:p>
        </w:tc>
        <w:tc>
          <w:tcPr>
            <w:tcW w:w="856" w:type="dxa"/>
            <w:tcBorders>
              <w:top w:val="single" w:color="000000" w:sz="6" w:space="0"/>
              <w:left w:val="single" w:color="000000" w:sz="6" w:space="0"/>
              <w:bottom w:val="single" w:color="000000" w:sz="6" w:space="0"/>
              <w:right w:val="double" w:color="000000" w:sz="4" w:space="0"/>
            </w:tcBorders>
            <w:vAlign w:val="center"/>
          </w:tcPr>
          <w:p w14:paraId="10B62554">
            <w:pPr>
              <w:jc w:val="center"/>
            </w:pPr>
          </w:p>
        </w:tc>
        <w:tc>
          <w:tcPr>
            <w:tcW w:w="557" w:type="dxa"/>
            <w:gridSpan w:val="2"/>
            <w:tcBorders>
              <w:top w:val="single" w:color="000000" w:sz="6" w:space="0"/>
              <w:left w:val="double" w:color="000000" w:sz="4" w:space="0"/>
              <w:bottom w:val="single" w:color="000000" w:sz="6" w:space="0"/>
              <w:right w:val="single" w:color="000000" w:sz="6" w:space="0"/>
            </w:tcBorders>
            <w:vAlign w:val="center"/>
          </w:tcPr>
          <w:p w14:paraId="735A2779">
            <w:pPr>
              <w:jc w:val="center"/>
            </w:pPr>
          </w:p>
        </w:tc>
        <w:tc>
          <w:tcPr>
            <w:tcW w:w="2552" w:type="dxa"/>
            <w:gridSpan w:val="3"/>
            <w:tcBorders>
              <w:top w:val="single" w:color="000000" w:sz="6" w:space="0"/>
              <w:left w:val="single" w:color="000000" w:sz="6" w:space="0"/>
              <w:bottom w:val="single" w:color="000000" w:sz="6" w:space="0"/>
              <w:right w:val="single" w:color="000000" w:sz="6" w:space="0"/>
            </w:tcBorders>
            <w:vAlign w:val="center"/>
          </w:tcPr>
          <w:p w14:paraId="791A8E4C">
            <w:pPr>
              <w:jc w:val="center"/>
            </w:pPr>
          </w:p>
        </w:tc>
        <w:tc>
          <w:tcPr>
            <w:tcW w:w="813" w:type="dxa"/>
            <w:tcBorders>
              <w:top w:val="single" w:color="000000" w:sz="6" w:space="0"/>
              <w:left w:val="single" w:color="000000" w:sz="6" w:space="0"/>
              <w:bottom w:val="single" w:color="000000" w:sz="6" w:space="0"/>
              <w:right w:val="single" w:color="000000" w:sz="6" w:space="0"/>
            </w:tcBorders>
            <w:vAlign w:val="center"/>
          </w:tcPr>
          <w:p w14:paraId="23E9073C">
            <w:pPr>
              <w:jc w:val="center"/>
            </w:pPr>
          </w:p>
        </w:tc>
        <w:tc>
          <w:tcPr>
            <w:tcW w:w="814" w:type="dxa"/>
            <w:tcBorders>
              <w:top w:val="single" w:color="000000" w:sz="6" w:space="0"/>
              <w:left w:val="single" w:color="000000" w:sz="6" w:space="0"/>
              <w:bottom w:val="single" w:color="000000" w:sz="6" w:space="0"/>
              <w:right w:val="single" w:color="000000" w:sz="8" w:space="0"/>
            </w:tcBorders>
            <w:vAlign w:val="center"/>
          </w:tcPr>
          <w:p w14:paraId="1176CE5F">
            <w:pPr>
              <w:jc w:val="center"/>
            </w:pPr>
          </w:p>
        </w:tc>
      </w:tr>
      <w:tr w14:paraId="018B638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425" w:hRule="atLeast"/>
        </w:trPr>
        <w:tc>
          <w:tcPr>
            <w:tcW w:w="611" w:type="dxa"/>
            <w:tcBorders>
              <w:top w:val="single" w:color="000000" w:sz="6" w:space="0"/>
              <w:left w:val="single" w:color="000000" w:sz="8" w:space="0"/>
              <w:bottom w:val="single" w:color="000000" w:sz="6" w:space="0"/>
              <w:right w:val="single" w:color="000000" w:sz="6" w:space="0"/>
            </w:tcBorders>
            <w:vAlign w:val="center"/>
          </w:tcPr>
          <w:p w14:paraId="65A164FD">
            <w:pPr>
              <w:jc w:val="center"/>
            </w:pPr>
          </w:p>
        </w:tc>
        <w:tc>
          <w:tcPr>
            <w:tcW w:w="2410" w:type="dxa"/>
            <w:gridSpan w:val="3"/>
            <w:tcBorders>
              <w:top w:val="single" w:color="000000" w:sz="6" w:space="0"/>
              <w:left w:val="single" w:color="000000" w:sz="6" w:space="0"/>
              <w:bottom w:val="single" w:color="000000" w:sz="6" w:space="0"/>
              <w:right w:val="single" w:color="000000" w:sz="6" w:space="0"/>
            </w:tcBorders>
            <w:vAlign w:val="center"/>
          </w:tcPr>
          <w:p w14:paraId="3BFE8798">
            <w:pPr>
              <w:jc w:val="center"/>
            </w:pPr>
          </w:p>
        </w:tc>
        <w:tc>
          <w:tcPr>
            <w:tcW w:w="855" w:type="dxa"/>
            <w:gridSpan w:val="2"/>
            <w:tcBorders>
              <w:top w:val="single" w:color="000000" w:sz="6" w:space="0"/>
              <w:left w:val="single" w:color="000000" w:sz="6" w:space="0"/>
              <w:bottom w:val="single" w:color="000000" w:sz="6" w:space="0"/>
              <w:right w:val="single" w:color="000000" w:sz="6" w:space="0"/>
            </w:tcBorders>
            <w:vAlign w:val="center"/>
          </w:tcPr>
          <w:p w14:paraId="1F1D4D7F">
            <w:pPr>
              <w:jc w:val="center"/>
            </w:pPr>
          </w:p>
        </w:tc>
        <w:tc>
          <w:tcPr>
            <w:tcW w:w="856" w:type="dxa"/>
            <w:tcBorders>
              <w:top w:val="single" w:color="000000" w:sz="6" w:space="0"/>
              <w:left w:val="single" w:color="000000" w:sz="6" w:space="0"/>
              <w:bottom w:val="single" w:color="000000" w:sz="6" w:space="0"/>
              <w:right w:val="double" w:color="000000" w:sz="4" w:space="0"/>
            </w:tcBorders>
            <w:vAlign w:val="center"/>
          </w:tcPr>
          <w:p w14:paraId="27B5EBF9">
            <w:pPr>
              <w:jc w:val="center"/>
            </w:pPr>
          </w:p>
        </w:tc>
        <w:tc>
          <w:tcPr>
            <w:tcW w:w="557" w:type="dxa"/>
            <w:gridSpan w:val="2"/>
            <w:tcBorders>
              <w:top w:val="single" w:color="000000" w:sz="6" w:space="0"/>
              <w:left w:val="double" w:color="000000" w:sz="4" w:space="0"/>
              <w:bottom w:val="single" w:color="000000" w:sz="6" w:space="0"/>
              <w:right w:val="single" w:color="000000" w:sz="6" w:space="0"/>
            </w:tcBorders>
            <w:vAlign w:val="center"/>
          </w:tcPr>
          <w:p w14:paraId="212D7DF6">
            <w:pPr>
              <w:jc w:val="center"/>
            </w:pPr>
          </w:p>
        </w:tc>
        <w:tc>
          <w:tcPr>
            <w:tcW w:w="2552" w:type="dxa"/>
            <w:gridSpan w:val="3"/>
            <w:tcBorders>
              <w:top w:val="single" w:color="000000" w:sz="6" w:space="0"/>
              <w:left w:val="single" w:color="000000" w:sz="6" w:space="0"/>
              <w:bottom w:val="single" w:color="000000" w:sz="6" w:space="0"/>
              <w:right w:val="single" w:color="000000" w:sz="6" w:space="0"/>
            </w:tcBorders>
            <w:vAlign w:val="center"/>
          </w:tcPr>
          <w:p w14:paraId="76DB8843">
            <w:pPr>
              <w:jc w:val="center"/>
            </w:pPr>
          </w:p>
        </w:tc>
        <w:tc>
          <w:tcPr>
            <w:tcW w:w="813" w:type="dxa"/>
            <w:tcBorders>
              <w:top w:val="single" w:color="000000" w:sz="6" w:space="0"/>
              <w:left w:val="single" w:color="000000" w:sz="6" w:space="0"/>
              <w:bottom w:val="single" w:color="000000" w:sz="6" w:space="0"/>
              <w:right w:val="single" w:color="000000" w:sz="6" w:space="0"/>
            </w:tcBorders>
            <w:vAlign w:val="center"/>
          </w:tcPr>
          <w:p w14:paraId="67ECBBDE">
            <w:pPr>
              <w:jc w:val="center"/>
            </w:pPr>
          </w:p>
        </w:tc>
        <w:tc>
          <w:tcPr>
            <w:tcW w:w="814" w:type="dxa"/>
            <w:tcBorders>
              <w:top w:val="single" w:color="000000" w:sz="6" w:space="0"/>
              <w:left w:val="single" w:color="000000" w:sz="6" w:space="0"/>
              <w:bottom w:val="single" w:color="000000" w:sz="6" w:space="0"/>
              <w:right w:val="single" w:color="000000" w:sz="8" w:space="0"/>
            </w:tcBorders>
            <w:vAlign w:val="center"/>
          </w:tcPr>
          <w:p w14:paraId="4BF77139">
            <w:pPr>
              <w:jc w:val="center"/>
            </w:pPr>
          </w:p>
        </w:tc>
      </w:tr>
      <w:tr w14:paraId="7C9DF9A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425" w:hRule="atLeast"/>
        </w:trPr>
        <w:tc>
          <w:tcPr>
            <w:tcW w:w="611" w:type="dxa"/>
            <w:tcBorders>
              <w:top w:val="single" w:color="000000" w:sz="6" w:space="0"/>
              <w:left w:val="single" w:color="000000" w:sz="8" w:space="0"/>
              <w:bottom w:val="single" w:color="000000" w:sz="6" w:space="0"/>
              <w:right w:val="single" w:color="000000" w:sz="6" w:space="0"/>
            </w:tcBorders>
            <w:vAlign w:val="center"/>
          </w:tcPr>
          <w:p w14:paraId="312C40EE">
            <w:pPr>
              <w:jc w:val="center"/>
            </w:pPr>
          </w:p>
        </w:tc>
        <w:tc>
          <w:tcPr>
            <w:tcW w:w="2410" w:type="dxa"/>
            <w:gridSpan w:val="3"/>
            <w:tcBorders>
              <w:top w:val="single" w:color="000000" w:sz="6" w:space="0"/>
              <w:left w:val="single" w:color="000000" w:sz="6" w:space="0"/>
              <w:bottom w:val="single" w:color="000000" w:sz="6" w:space="0"/>
              <w:right w:val="single" w:color="000000" w:sz="6" w:space="0"/>
            </w:tcBorders>
            <w:vAlign w:val="center"/>
          </w:tcPr>
          <w:p w14:paraId="1660480A">
            <w:pPr>
              <w:jc w:val="center"/>
            </w:pPr>
          </w:p>
        </w:tc>
        <w:tc>
          <w:tcPr>
            <w:tcW w:w="855" w:type="dxa"/>
            <w:gridSpan w:val="2"/>
            <w:tcBorders>
              <w:top w:val="single" w:color="000000" w:sz="6" w:space="0"/>
              <w:left w:val="single" w:color="000000" w:sz="6" w:space="0"/>
              <w:bottom w:val="single" w:color="000000" w:sz="6" w:space="0"/>
              <w:right w:val="single" w:color="000000" w:sz="6" w:space="0"/>
            </w:tcBorders>
            <w:vAlign w:val="center"/>
          </w:tcPr>
          <w:p w14:paraId="2971CFCE">
            <w:pPr>
              <w:jc w:val="center"/>
            </w:pPr>
          </w:p>
        </w:tc>
        <w:tc>
          <w:tcPr>
            <w:tcW w:w="856" w:type="dxa"/>
            <w:tcBorders>
              <w:top w:val="single" w:color="000000" w:sz="6" w:space="0"/>
              <w:left w:val="single" w:color="000000" w:sz="6" w:space="0"/>
              <w:bottom w:val="single" w:color="000000" w:sz="6" w:space="0"/>
              <w:right w:val="double" w:color="000000" w:sz="4" w:space="0"/>
            </w:tcBorders>
            <w:vAlign w:val="center"/>
          </w:tcPr>
          <w:p w14:paraId="67E62802">
            <w:pPr>
              <w:jc w:val="center"/>
            </w:pPr>
          </w:p>
        </w:tc>
        <w:tc>
          <w:tcPr>
            <w:tcW w:w="557" w:type="dxa"/>
            <w:gridSpan w:val="2"/>
            <w:tcBorders>
              <w:top w:val="single" w:color="000000" w:sz="6" w:space="0"/>
              <w:left w:val="double" w:color="000000" w:sz="4" w:space="0"/>
              <w:bottom w:val="single" w:color="000000" w:sz="6" w:space="0"/>
              <w:right w:val="single" w:color="000000" w:sz="6" w:space="0"/>
            </w:tcBorders>
            <w:vAlign w:val="center"/>
          </w:tcPr>
          <w:p w14:paraId="38FEB9EF">
            <w:pPr>
              <w:jc w:val="center"/>
            </w:pPr>
          </w:p>
        </w:tc>
        <w:tc>
          <w:tcPr>
            <w:tcW w:w="2552" w:type="dxa"/>
            <w:gridSpan w:val="3"/>
            <w:tcBorders>
              <w:top w:val="single" w:color="000000" w:sz="6" w:space="0"/>
              <w:left w:val="single" w:color="000000" w:sz="6" w:space="0"/>
              <w:bottom w:val="single" w:color="000000" w:sz="6" w:space="0"/>
              <w:right w:val="single" w:color="000000" w:sz="6" w:space="0"/>
            </w:tcBorders>
            <w:vAlign w:val="center"/>
          </w:tcPr>
          <w:p w14:paraId="4FD74E37">
            <w:pPr>
              <w:jc w:val="center"/>
            </w:pPr>
          </w:p>
        </w:tc>
        <w:tc>
          <w:tcPr>
            <w:tcW w:w="813" w:type="dxa"/>
            <w:tcBorders>
              <w:top w:val="single" w:color="000000" w:sz="6" w:space="0"/>
              <w:left w:val="single" w:color="000000" w:sz="6" w:space="0"/>
              <w:bottom w:val="single" w:color="000000" w:sz="6" w:space="0"/>
              <w:right w:val="single" w:color="000000" w:sz="6" w:space="0"/>
            </w:tcBorders>
            <w:vAlign w:val="center"/>
          </w:tcPr>
          <w:p w14:paraId="6C1A8442">
            <w:pPr>
              <w:jc w:val="center"/>
            </w:pPr>
          </w:p>
        </w:tc>
        <w:tc>
          <w:tcPr>
            <w:tcW w:w="814" w:type="dxa"/>
            <w:tcBorders>
              <w:top w:val="single" w:color="000000" w:sz="6" w:space="0"/>
              <w:left w:val="single" w:color="000000" w:sz="6" w:space="0"/>
              <w:bottom w:val="single" w:color="000000" w:sz="6" w:space="0"/>
              <w:right w:val="single" w:color="000000" w:sz="8" w:space="0"/>
            </w:tcBorders>
            <w:vAlign w:val="center"/>
          </w:tcPr>
          <w:p w14:paraId="45940AAF">
            <w:pPr>
              <w:jc w:val="center"/>
            </w:pPr>
          </w:p>
        </w:tc>
      </w:tr>
      <w:tr w14:paraId="3D22830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425" w:hRule="atLeast"/>
        </w:trPr>
        <w:tc>
          <w:tcPr>
            <w:tcW w:w="611" w:type="dxa"/>
            <w:tcBorders>
              <w:top w:val="single" w:color="000000" w:sz="6" w:space="0"/>
              <w:left w:val="single" w:color="000000" w:sz="8" w:space="0"/>
              <w:bottom w:val="single" w:color="000000" w:sz="6" w:space="0"/>
              <w:right w:val="single" w:color="000000" w:sz="6" w:space="0"/>
            </w:tcBorders>
            <w:vAlign w:val="center"/>
          </w:tcPr>
          <w:p w14:paraId="5ABBCDE3">
            <w:pPr>
              <w:jc w:val="center"/>
            </w:pPr>
          </w:p>
        </w:tc>
        <w:tc>
          <w:tcPr>
            <w:tcW w:w="2410" w:type="dxa"/>
            <w:gridSpan w:val="3"/>
            <w:tcBorders>
              <w:top w:val="single" w:color="000000" w:sz="6" w:space="0"/>
              <w:left w:val="single" w:color="000000" w:sz="6" w:space="0"/>
              <w:bottom w:val="single" w:color="000000" w:sz="6" w:space="0"/>
              <w:right w:val="single" w:color="000000" w:sz="6" w:space="0"/>
            </w:tcBorders>
            <w:vAlign w:val="center"/>
          </w:tcPr>
          <w:p w14:paraId="74C6B124">
            <w:pPr>
              <w:jc w:val="center"/>
            </w:pPr>
          </w:p>
        </w:tc>
        <w:tc>
          <w:tcPr>
            <w:tcW w:w="855" w:type="dxa"/>
            <w:gridSpan w:val="2"/>
            <w:tcBorders>
              <w:top w:val="single" w:color="000000" w:sz="6" w:space="0"/>
              <w:left w:val="single" w:color="000000" w:sz="6" w:space="0"/>
              <w:bottom w:val="single" w:color="000000" w:sz="6" w:space="0"/>
              <w:right w:val="single" w:color="000000" w:sz="6" w:space="0"/>
            </w:tcBorders>
            <w:vAlign w:val="center"/>
          </w:tcPr>
          <w:p w14:paraId="664D98FB">
            <w:pPr>
              <w:jc w:val="center"/>
            </w:pPr>
          </w:p>
        </w:tc>
        <w:tc>
          <w:tcPr>
            <w:tcW w:w="856" w:type="dxa"/>
            <w:tcBorders>
              <w:top w:val="single" w:color="000000" w:sz="6" w:space="0"/>
              <w:left w:val="single" w:color="000000" w:sz="6" w:space="0"/>
              <w:bottom w:val="single" w:color="000000" w:sz="6" w:space="0"/>
              <w:right w:val="double" w:color="000000" w:sz="4" w:space="0"/>
            </w:tcBorders>
            <w:vAlign w:val="center"/>
          </w:tcPr>
          <w:p w14:paraId="29EF350C">
            <w:pPr>
              <w:jc w:val="center"/>
            </w:pPr>
          </w:p>
        </w:tc>
        <w:tc>
          <w:tcPr>
            <w:tcW w:w="557" w:type="dxa"/>
            <w:gridSpan w:val="2"/>
            <w:tcBorders>
              <w:top w:val="single" w:color="000000" w:sz="6" w:space="0"/>
              <w:left w:val="double" w:color="000000" w:sz="4" w:space="0"/>
              <w:bottom w:val="single" w:color="000000" w:sz="6" w:space="0"/>
              <w:right w:val="single" w:color="000000" w:sz="6" w:space="0"/>
            </w:tcBorders>
            <w:vAlign w:val="center"/>
          </w:tcPr>
          <w:p w14:paraId="146FB989">
            <w:pPr>
              <w:jc w:val="center"/>
            </w:pPr>
          </w:p>
        </w:tc>
        <w:tc>
          <w:tcPr>
            <w:tcW w:w="2552" w:type="dxa"/>
            <w:gridSpan w:val="3"/>
            <w:tcBorders>
              <w:top w:val="single" w:color="000000" w:sz="6" w:space="0"/>
              <w:left w:val="single" w:color="000000" w:sz="6" w:space="0"/>
              <w:bottom w:val="single" w:color="000000" w:sz="6" w:space="0"/>
              <w:right w:val="single" w:color="000000" w:sz="6" w:space="0"/>
            </w:tcBorders>
            <w:vAlign w:val="center"/>
          </w:tcPr>
          <w:p w14:paraId="59F1457D">
            <w:pPr>
              <w:jc w:val="center"/>
            </w:pPr>
          </w:p>
        </w:tc>
        <w:tc>
          <w:tcPr>
            <w:tcW w:w="813" w:type="dxa"/>
            <w:tcBorders>
              <w:top w:val="single" w:color="000000" w:sz="6" w:space="0"/>
              <w:left w:val="single" w:color="000000" w:sz="6" w:space="0"/>
              <w:bottom w:val="single" w:color="000000" w:sz="6" w:space="0"/>
              <w:right w:val="single" w:color="000000" w:sz="6" w:space="0"/>
            </w:tcBorders>
            <w:vAlign w:val="center"/>
          </w:tcPr>
          <w:p w14:paraId="4E872C5C">
            <w:pPr>
              <w:jc w:val="center"/>
            </w:pPr>
          </w:p>
        </w:tc>
        <w:tc>
          <w:tcPr>
            <w:tcW w:w="814" w:type="dxa"/>
            <w:tcBorders>
              <w:top w:val="single" w:color="000000" w:sz="6" w:space="0"/>
              <w:left w:val="single" w:color="000000" w:sz="6" w:space="0"/>
              <w:bottom w:val="single" w:color="000000" w:sz="6" w:space="0"/>
              <w:right w:val="single" w:color="000000" w:sz="8" w:space="0"/>
            </w:tcBorders>
            <w:vAlign w:val="center"/>
          </w:tcPr>
          <w:p w14:paraId="52FD0C7A">
            <w:pPr>
              <w:jc w:val="center"/>
            </w:pPr>
          </w:p>
        </w:tc>
      </w:tr>
      <w:tr w14:paraId="114E836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425" w:hRule="atLeast"/>
        </w:trPr>
        <w:tc>
          <w:tcPr>
            <w:tcW w:w="611" w:type="dxa"/>
            <w:tcBorders>
              <w:top w:val="single" w:color="000000" w:sz="6" w:space="0"/>
              <w:left w:val="single" w:color="000000" w:sz="8" w:space="0"/>
              <w:right w:val="single" w:color="000000" w:sz="6" w:space="0"/>
            </w:tcBorders>
            <w:vAlign w:val="center"/>
          </w:tcPr>
          <w:p w14:paraId="48F29592">
            <w:pPr>
              <w:jc w:val="center"/>
            </w:pPr>
          </w:p>
        </w:tc>
        <w:tc>
          <w:tcPr>
            <w:tcW w:w="2410" w:type="dxa"/>
            <w:gridSpan w:val="3"/>
            <w:tcBorders>
              <w:top w:val="single" w:color="000000" w:sz="6" w:space="0"/>
              <w:left w:val="single" w:color="000000" w:sz="6" w:space="0"/>
              <w:right w:val="single" w:color="000000" w:sz="6" w:space="0"/>
            </w:tcBorders>
            <w:vAlign w:val="center"/>
          </w:tcPr>
          <w:p w14:paraId="21924554">
            <w:pPr>
              <w:jc w:val="center"/>
            </w:pPr>
          </w:p>
        </w:tc>
        <w:tc>
          <w:tcPr>
            <w:tcW w:w="855" w:type="dxa"/>
            <w:gridSpan w:val="2"/>
            <w:tcBorders>
              <w:top w:val="single" w:color="000000" w:sz="6" w:space="0"/>
              <w:left w:val="single" w:color="000000" w:sz="6" w:space="0"/>
              <w:right w:val="single" w:color="000000" w:sz="6" w:space="0"/>
            </w:tcBorders>
            <w:vAlign w:val="center"/>
          </w:tcPr>
          <w:p w14:paraId="22571F32">
            <w:pPr>
              <w:jc w:val="center"/>
            </w:pPr>
          </w:p>
        </w:tc>
        <w:tc>
          <w:tcPr>
            <w:tcW w:w="856" w:type="dxa"/>
            <w:tcBorders>
              <w:top w:val="single" w:color="000000" w:sz="6" w:space="0"/>
              <w:left w:val="single" w:color="000000" w:sz="6" w:space="0"/>
              <w:right w:val="double" w:color="000000" w:sz="4" w:space="0"/>
            </w:tcBorders>
            <w:vAlign w:val="center"/>
          </w:tcPr>
          <w:p w14:paraId="3DCF8BD4">
            <w:pPr>
              <w:jc w:val="center"/>
            </w:pPr>
          </w:p>
        </w:tc>
        <w:tc>
          <w:tcPr>
            <w:tcW w:w="557" w:type="dxa"/>
            <w:gridSpan w:val="2"/>
            <w:tcBorders>
              <w:top w:val="single" w:color="000000" w:sz="6" w:space="0"/>
              <w:left w:val="double" w:color="000000" w:sz="4" w:space="0"/>
              <w:bottom w:val="single" w:color="000000" w:sz="6" w:space="0"/>
              <w:right w:val="single" w:color="000000" w:sz="6" w:space="0"/>
            </w:tcBorders>
            <w:vAlign w:val="center"/>
          </w:tcPr>
          <w:p w14:paraId="19E0D556">
            <w:pPr>
              <w:jc w:val="center"/>
            </w:pPr>
          </w:p>
        </w:tc>
        <w:tc>
          <w:tcPr>
            <w:tcW w:w="2552" w:type="dxa"/>
            <w:gridSpan w:val="3"/>
            <w:tcBorders>
              <w:top w:val="single" w:color="000000" w:sz="6" w:space="0"/>
              <w:left w:val="single" w:color="000000" w:sz="6" w:space="0"/>
              <w:right w:val="single" w:color="000000" w:sz="6" w:space="0"/>
            </w:tcBorders>
            <w:vAlign w:val="center"/>
          </w:tcPr>
          <w:p w14:paraId="2D28E2EB">
            <w:pPr>
              <w:jc w:val="center"/>
            </w:pPr>
          </w:p>
        </w:tc>
        <w:tc>
          <w:tcPr>
            <w:tcW w:w="813" w:type="dxa"/>
            <w:tcBorders>
              <w:top w:val="single" w:color="000000" w:sz="6" w:space="0"/>
              <w:left w:val="single" w:color="000000" w:sz="6" w:space="0"/>
              <w:right w:val="single" w:color="000000" w:sz="6" w:space="0"/>
            </w:tcBorders>
            <w:vAlign w:val="center"/>
          </w:tcPr>
          <w:p w14:paraId="1F27881E">
            <w:pPr>
              <w:jc w:val="center"/>
            </w:pPr>
          </w:p>
        </w:tc>
        <w:tc>
          <w:tcPr>
            <w:tcW w:w="814" w:type="dxa"/>
            <w:tcBorders>
              <w:top w:val="single" w:color="000000" w:sz="6" w:space="0"/>
              <w:left w:val="single" w:color="000000" w:sz="6" w:space="0"/>
              <w:right w:val="single" w:color="000000" w:sz="8" w:space="0"/>
            </w:tcBorders>
            <w:vAlign w:val="center"/>
          </w:tcPr>
          <w:p w14:paraId="2DDF123C">
            <w:pPr>
              <w:jc w:val="center"/>
            </w:pPr>
          </w:p>
        </w:tc>
      </w:tr>
      <w:tr w14:paraId="3C1C3A3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425" w:hRule="atLeast"/>
        </w:trPr>
        <w:tc>
          <w:tcPr>
            <w:tcW w:w="611" w:type="dxa"/>
            <w:tcBorders>
              <w:top w:val="single" w:color="000000" w:sz="6" w:space="0"/>
              <w:left w:val="single" w:color="000000" w:sz="8" w:space="0"/>
              <w:right w:val="single" w:color="000000" w:sz="6" w:space="0"/>
            </w:tcBorders>
            <w:vAlign w:val="center"/>
          </w:tcPr>
          <w:p w14:paraId="3D56DEB8">
            <w:pPr>
              <w:jc w:val="center"/>
            </w:pPr>
          </w:p>
        </w:tc>
        <w:tc>
          <w:tcPr>
            <w:tcW w:w="2410" w:type="dxa"/>
            <w:gridSpan w:val="3"/>
            <w:tcBorders>
              <w:top w:val="single" w:color="000000" w:sz="6" w:space="0"/>
              <w:left w:val="single" w:color="000000" w:sz="6" w:space="0"/>
              <w:right w:val="single" w:color="000000" w:sz="6" w:space="0"/>
            </w:tcBorders>
            <w:vAlign w:val="center"/>
          </w:tcPr>
          <w:p w14:paraId="2672C7C8">
            <w:pPr>
              <w:jc w:val="center"/>
            </w:pPr>
          </w:p>
        </w:tc>
        <w:tc>
          <w:tcPr>
            <w:tcW w:w="855" w:type="dxa"/>
            <w:gridSpan w:val="2"/>
            <w:tcBorders>
              <w:top w:val="single" w:color="000000" w:sz="6" w:space="0"/>
              <w:left w:val="single" w:color="000000" w:sz="6" w:space="0"/>
              <w:right w:val="single" w:color="000000" w:sz="6" w:space="0"/>
            </w:tcBorders>
            <w:vAlign w:val="center"/>
          </w:tcPr>
          <w:p w14:paraId="36D560DF">
            <w:pPr>
              <w:jc w:val="center"/>
            </w:pPr>
          </w:p>
        </w:tc>
        <w:tc>
          <w:tcPr>
            <w:tcW w:w="856" w:type="dxa"/>
            <w:tcBorders>
              <w:top w:val="single" w:color="000000" w:sz="6" w:space="0"/>
              <w:left w:val="single" w:color="000000" w:sz="6" w:space="0"/>
              <w:right w:val="double" w:color="000000" w:sz="4" w:space="0"/>
            </w:tcBorders>
            <w:vAlign w:val="center"/>
          </w:tcPr>
          <w:p w14:paraId="7DCFCBBC">
            <w:pPr>
              <w:jc w:val="center"/>
            </w:pPr>
          </w:p>
        </w:tc>
        <w:tc>
          <w:tcPr>
            <w:tcW w:w="557" w:type="dxa"/>
            <w:gridSpan w:val="2"/>
            <w:tcBorders>
              <w:top w:val="single" w:color="000000" w:sz="6" w:space="0"/>
              <w:left w:val="double" w:color="000000" w:sz="4" w:space="0"/>
              <w:bottom w:val="single" w:color="000000" w:sz="6" w:space="0"/>
              <w:right w:val="single" w:color="000000" w:sz="6" w:space="0"/>
            </w:tcBorders>
            <w:vAlign w:val="center"/>
          </w:tcPr>
          <w:p w14:paraId="6C6BD3DA">
            <w:pPr>
              <w:jc w:val="center"/>
            </w:pPr>
          </w:p>
        </w:tc>
        <w:tc>
          <w:tcPr>
            <w:tcW w:w="2552" w:type="dxa"/>
            <w:gridSpan w:val="3"/>
            <w:tcBorders>
              <w:top w:val="single" w:color="000000" w:sz="6" w:space="0"/>
              <w:left w:val="single" w:color="000000" w:sz="6" w:space="0"/>
              <w:right w:val="single" w:color="000000" w:sz="6" w:space="0"/>
            </w:tcBorders>
            <w:vAlign w:val="center"/>
          </w:tcPr>
          <w:p w14:paraId="17586F5E">
            <w:pPr>
              <w:jc w:val="center"/>
            </w:pPr>
          </w:p>
        </w:tc>
        <w:tc>
          <w:tcPr>
            <w:tcW w:w="813" w:type="dxa"/>
            <w:tcBorders>
              <w:top w:val="single" w:color="000000" w:sz="6" w:space="0"/>
              <w:left w:val="single" w:color="000000" w:sz="6" w:space="0"/>
              <w:right w:val="single" w:color="000000" w:sz="6" w:space="0"/>
            </w:tcBorders>
            <w:vAlign w:val="center"/>
          </w:tcPr>
          <w:p w14:paraId="17EC86A2">
            <w:pPr>
              <w:jc w:val="center"/>
            </w:pPr>
          </w:p>
        </w:tc>
        <w:tc>
          <w:tcPr>
            <w:tcW w:w="814" w:type="dxa"/>
            <w:tcBorders>
              <w:top w:val="single" w:color="000000" w:sz="6" w:space="0"/>
              <w:left w:val="single" w:color="000000" w:sz="6" w:space="0"/>
              <w:right w:val="single" w:color="000000" w:sz="8" w:space="0"/>
            </w:tcBorders>
            <w:vAlign w:val="center"/>
          </w:tcPr>
          <w:p w14:paraId="0843FAA0">
            <w:pPr>
              <w:jc w:val="center"/>
            </w:pPr>
          </w:p>
        </w:tc>
      </w:tr>
      <w:tr w14:paraId="0DDC3F8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425" w:hRule="atLeast"/>
        </w:trPr>
        <w:tc>
          <w:tcPr>
            <w:tcW w:w="611" w:type="dxa"/>
            <w:tcBorders>
              <w:top w:val="single" w:color="000000" w:sz="6" w:space="0"/>
              <w:left w:val="single" w:color="000000" w:sz="8" w:space="0"/>
              <w:right w:val="single" w:color="000000" w:sz="6" w:space="0"/>
            </w:tcBorders>
            <w:vAlign w:val="center"/>
          </w:tcPr>
          <w:p w14:paraId="744FB07C">
            <w:pPr>
              <w:jc w:val="center"/>
            </w:pPr>
          </w:p>
        </w:tc>
        <w:tc>
          <w:tcPr>
            <w:tcW w:w="2410" w:type="dxa"/>
            <w:gridSpan w:val="3"/>
            <w:tcBorders>
              <w:top w:val="single" w:color="000000" w:sz="6" w:space="0"/>
              <w:left w:val="single" w:color="000000" w:sz="6" w:space="0"/>
              <w:right w:val="single" w:color="000000" w:sz="6" w:space="0"/>
            </w:tcBorders>
            <w:vAlign w:val="center"/>
          </w:tcPr>
          <w:p w14:paraId="7EFB200B">
            <w:pPr>
              <w:jc w:val="center"/>
            </w:pPr>
          </w:p>
        </w:tc>
        <w:tc>
          <w:tcPr>
            <w:tcW w:w="855" w:type="dxa"/>
            <w:gridSpan w:val="2"/>
            <w:tcBorders>
              <w:top w:val="single" w:color="000000" w:sz="6" w:space="0"/>
              <w:left w:val="single" w:color="000000" w:sz="6" w:space="0"/>
              <w:right w:val="single" w:color="000000" w:sz="6" w:space="0"/>
            </w:tcBorders>
            <w:vAlign w:val="center"/>
          </w:tcPr>
          <w:p w14:paraId="2F5D5616">
            <w:pPr>
              <w:jc w:val="center"/>
            </w:pPr>
          </w:p>
        </w:tc>
        <w:tc>
          <w:tcPr>
            <w:tcW w:w="856" w:type="dxa"/>
            <w:tcBorders>
              <w:top w:val="single" w:color="000000" w:sz="6" w:space="0"/>
              <w:left w:val="single" w:color="000000" w:sz="6" w:space="0"/>
              <w:right w:val="double" w:color="000000" w:sz="4" w:space="0"/>
            </w:tcBorders>
            <w:vAlign w:val="center"/>
          </w:tcPr>
          <w:p w14:paraId="3D2D6D5D">
            <w:pPr>
              <w:jc w:val="center"/>
            </w:pPr>
          </w:p>
        </w:tc>
        <w:tc>
          <w:tcPr>
            <w:tcW w:w="557" w:type="dxa"/>
            <w:gridSpan w:val="2"/>
            <w:tcBorders>
              <w:top w:val="single" w:color="000000" w:sz="6" w:space="0"/>
              <w:left w:val="double" w:color="000000" w:sz="4" w:space="0"/>
              <w:bottom w:val="single" w:color="000000" w:sz="6" w:space="0"/>
              <w:right w:val="single" w:color="000000" w:sz="6" w:space="0"/>
            </w:tcBorders>
            <w:vAlign w:val="center"/>
          </w:tcPr>
          <w:p w14:paraId="750EE0BA">
            <w:pPr>
              <w:jc w:val="center"/>
            </w:pPr>
          </w:p>
        </w:tc>
        <w:tc>
          <w:tcPr>
            <w:tcW w:w="2552" w:type="dxa"/>
            <w:gridSpan w:val="3"/>
            <w:tcBorders>
              <w:top w:val="single" w:color="000000" w:sz="6" w:space="0"/>
              <w:left w:val="single" w:color="000000" w:sz="6" w:space="0"/>
              <w:right w:val="single" w:color="000000" w:sz="6" w:space="0"/>
            </w:tcBorders>
            <w:vAlign w:val="center"/>
          </w:tcPr>
          <w:p w14:paraId="77ED3A77">
            <w:pPr>
              <w:jc w:val="center"/>
            </w:pPr>
          </w:p>
        </w:tc>
        <w:tc>
          <w:tcPr>
            <w:tcW w:w="813" w:type="dxa"/>
            <w:tcBorders>
              <w:top w:val="single" w:color="000000" w:sz="6" w:space="0"/>
              <w:left w:val="single" w:color="000000" w:sz="6" w:space="0"/>
              <w:right w:val="single" w:color="000000" w:sz="6" w:space="0"/>
            </w:tcBorders>
            <w:vAlign w:val="center"/>
          </w:tcPr>
          <w:p w14:paraId="14E0DCB2">
            <w:pPr>
              <w:jc w:val="center"/>
            </w:pPr>
          </w:p>
        </w:tc>
        <w:tc>
          <w:tcPr>
            <w:tcW w:w="814" w:type="dxa"/>
            <w:tcBorders>
              <w:top w:val="single" w:color="000000" w:sz="6" w:space="0"/>
              <w:left w:val="single" w:color="000000" w:sz="6" w:space="0"/>
              <w:right w:val="single" w:color="000000" w:sz="8" w:space="0"/>
            </w:tcBorders>
            <w:vAlign w:val="center"/>
          </w:tcPr>
          <w:p w14:paraId="322C7ACF">
            <w:pPr>
              <w:jc w:val="center"/>
            </w:pPr>
          </w:p>
        </w:tc>
      </w:tr>
      <w:tr w14:paraId="631CCCD3">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28" w:type="dxa"/>
            <w:bottom w:w="0" w:type="dxa"/>
            <w:right w:w="28" w:type="dxa"/>
          </w:tblCellMar>
        </w:tblPrEx>
        <w:trPr>
          <w:cantSplit/>
          <w:trHeight w:val="454" w:hRule="atLeast"/>
        </w:trPr>
        <w:tc>
          <w:tcPr>
            <w:tcW w:w="3151" w:type="dxa"/>
            <w:gridSpan w:val="5"/>
            <w:tcBorders>
              <w:top w:val="single" w:color="000000" w:sz="6" w:space="0"/>
              <w:bottom w:val="single" w:color="000000" w:sz="4" w:space="0"/>
            </w:tcBorders>
            <w:vAlign w:val="center"/>
          </w:tcPr>
          <w:p w14:paraId="21CBC651">
            <w:pPr>
              <w:jc w:val="center"/>
            </w:pPr>
            <w:r>
              <w:rPr>
                <w:rFonts w:hint="eastAsia"/>
                <w:lang w:val="en-US" w:eastAsia="zh-CN"/>
              </w:rPr>
              <w:t>施工单位</w:t>
            </w:r>
          </w:p>
        </w:tc>
        <w:tc>
          <w:tcPr>
            <w:tcW w:w="3158" w:type="dxa"/>
            <w:gridSpan w:val="6"/>
            <w:tcBorders>
              <w:top w:val="single" w:color="000000" w:sz="6" w:space="0"/>
              <w:bottom w:val="single" w:color="000000" w:sz="4" w:space="0"/>
            </w:tcBorders>
            <w:vAlign w:val="center"/>
          </w:tcPr>
          <w:p w14:paraId="2F39BA2C">
            <w:pPr>
              <w:jc w:val="center"/>
            </w:pPr>
            <w:r>
              <w:rPr>
                <w:rFonts w:hint="eastAsia"/>
                <w:lang w:val="en-US" w:eastAsia="zh-CN"/>
              </w:rPr>
              <w:t>主管部门</w:t>
            </w:r>
          </w:p>
        </w:tc>
        <w:tc>
          <w:tcPr>
            <w:tcW w:w="3159" w:type="dxa"/>
            <w:gridSpan w:val="3"/>
            <w:tcBorders>
              <w:top w:val="single" w:color="000000" w:sz="6" w:space="0"/>
              <w:bottom w:val="single" w:color="000000" w:sz="4" w:space="0"/>
            </w:tcBorders>
            <w:vAlign w:val="center"/>
          </w:tcPr>
          <w:p w14:paraId="113A70B0">
            <w:pPr>
              <w:jc w:val="center"/>
            </w:pPr>
            <w:r>
              <w:rPr>
                <w:rFonts w:hint="eastAsia"/>
                <w:lang w:val="en-US" w:eastAsia="zh-CN"/>
              </w:rPr>
              <w:t>归口部门</w:t>
            </w:r>
          </w:p>
        </w:tc>
      </w:tr>
      <w:tr w14:paraId="2A3FA1BD">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28" w:type="dxa"/>
            <w:bottom w:w="0" w:type="dxa"/>
            <w:right w:w="28" w:type="dxa"/>
          </w:tblCellMar>
        </w:tblPrEx>
        <w:trPr>
          <w:cantSplit/>
          <w:trHeight w:val="1814" w:hRule="atLeast"/>
        </w:trPr>
        <w:tc>
          <w:tcPr>
            <w:tcW w:w="3151" w:type="dxa"/>
            <w:gridSpan w:val="5"/>
            <w:tcBorders>
              <w:top w:val="single" w:color="000000" w:sz="4" w:space="0"/>
            </w:tcBorders>
            <w:vAlign w:val="top"/>
          </w:tcPr>
          <w:p w14:paraId="7EF65A94">
            <w:pPr>
              <w:spacing w:before="72"/>
              <w:ind w:firstLine="120" w:firstLineChars="50"/>
            </w:pPr>
            <w:r>
              <w:rPr>
                <w:rFonts w:hint="eastAsia"/>
              </w:rPr>
              <w:t xml:space="preserve"> </w:t>
            </w:r>
            <w:r>
              <w:rPr>
                <w:rFonts w:hint="eastAsia"/>
                <w:lang w:eastAsia="zh-CN"/>
              </w:rPr>
              <w:t>项目负责人</w:t>
            </w:r>
            <w:r>
              <w:rPr>
                <w:rFonts w:hint="eastAsia"/>
              </w:rPr>
              <w:t>：</w:t>
            </w:r>
          </w:p>
          <w:p w14:paraId="63965C9C">
            <w:pPr>
              <w:spacing w:before="72"/>
            </w:pPr>
          </w:p>
          <w:p w14:paraId="0B1E7257"/>
          <w:p w14:paraId="020A831E"/>
          <w:p w14:paraId="30B4F684">
            <w:pPr>
              <w:spacing w:before="72"/>
            </w:pPr>
            <w:r>
              <w:rPr>
                <w:rFonts w:hint="eastAsia"/>
              </w:rPr>
              <w:t xml:space="preserve"> 日期：    年   月   日</w:t>
            </w:r>
          </w:p>
        </w:tc>
        <w:tc>
          <w:tcPr>
            <w:tcW w:w="3158" w:type="dxa"/>
            <w:gridSpan w:val="6"/>
            <w:tcBorders>
              <w:top w:val="single" w:color="000000" w:sz="4" w:space="0"/>
            </w:tcBorders>
            <w:vAlign w:val="top"/>
          </w:tcPr>
          <w:p w14:paraId="5188D19E">
            <w:pPr>
              <w:spacing w:before="72"/>
              <w:ind w:firstLine="120" w:firstLineChars="50"/>
            </w:pPr>
            <w:r>
              <w:rPr>
                <w:rFonts w:hint="eastAsia"/>
                <w:lang w:val="en-US" w:eastAsia="zh-CN"/>
              </w:rPr>
              <w:t>设备专工</w:t>
            </w:r>
            <w:r>
              <w:rPr>
                <w:rFonts w:hint="eastAsia"/>
              </w:rPr>
              <w:t>：</w:t>
            </w:r>
          </w:p>
          <w:p w14:paraId="01E24241"/>
          <w:p w14:paraId="3E3EE783"/>
          <w:p w14:paraId="7C2E7A3C"/>
          <w:p w14:paraId="44E7F0EF"/>
          <w:p w14:paraId="32A859E7">
            <w:pPr>
              <w:ind w:firstLine="120" w:firstLineChars="50"/>
            </w:pPr>
            <w:r>
              <w:rPr>
                <w:rFonts w:hint="eastAsia"/>
              </w:rPr>
              <w:t>日期：   年   月   日</w:t>
            </w:r>
          </w:p>
        </w:tc>
        <w:tc>
          <w:tcPr>
            <w:tcW w:w="3159" w:type="dxa"/>
            <w:gridSpan w:val="3"/>
            <w:tcBorders>
              <w:top w:val="single" w:color="000000" w:sz="4" w:space="0"/>
            </w:tcBorders>
            <w:vAlign w:val="top"/>
          </w:tcPr>
          <w:p w14:paraId="6B499BC5">
            <w:pPr>
              <w:spacing w:before="72"/>
            </w:pPr>
            <w:r>
              <w:rPr>
                <w:rFonts w:hint="eastAsia"/>
                <w:lang w:val="en-US" w:eastAsia="zh-CN"/>
              </w:rPr>
              <w:t>设备专工</w:t>
            </w:r>
            <w:r>
              <w:rPr>
                <w:rFonts w:hint="eastAsia"/>
              </w:rPr>
              <w:t>：</w:t>
            </w:r>
          </w:p>
          <w:p w14:paraId="2AD42E02">
            <w:pPr>
              <w:spacing w:before="72"/>
            </w:pPr>
          </w:p>
          <w:p w14:paraId="53D3B495">
            <w:pPr>
              <w:spacing w:before="72"/>
            </w:pPr>
          </w:p>
          <w:p w14:paraId="469842BB"/>
          <w:p w14:paraId="727DA80E">
            <w:pPr>
              <w:spacing w:before="288"/>
            </w:pPr>
            <w:r>
              <w:rPr>
                <w:rFonts w:hint="eastAsia"/>
              </w:rPr>
              <w:t xml:space="preserve"> 日期：    年   月   日                     </w:t>
            </w:r>
          </w:p>
        </w:tc>
      </w:tr>
    </w:tbl>
    <w:p w14:paraId="50BF9A2A"/>
    <w:sectPr>
      <w:endnotePr>
        <w:numFmt w:val="decimal"/>
      </w:endnotePr>
      <w:pgSz w:w="11906" w:h="16838"/>
      <w:pgMar w:top="1418" w:right="1134" w:bottom="1134" w:left="1418" w:header="851" w:footer="641"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小标宋">
    <w:altName w:val="宋体"/>
    <w:panose1 w:val="00000000000000000000"/>
    <w:charset w:val="86"/>
    <w:family w:val="modern"/>
    <w:pitch w:val="default"/>
    <w:sig w:usb0="00000000" w:usb1="00000000" w:usb2="00000010" w:usb3="00000000" w:csb0="00040000" w:csb1="00000000"/>
  </w:font>
  <w:font w:name="PingFang SC">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Dotum">
    <w:altName w:val="Malgun Gothic"/>
    <w:panose1 w:val="020B0600000101010101"/>
    <w:charset w:val="81"/>
    <w:family w:val="modern"/>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KSOFF9CBECC6">
    <w:panose1 w:val="02010609060101010101"/>
    <w:charset w:val="86"/>
    <w:family w:val="auto"/>
    <w:pitch w:val="default"/>
    <w:sig w:usb0="00000001" w:usb1="00000000" w:usb2="00000000" w:usb3="00000000" w:csb0="00040001" w:csb1="00000000"/>
  </w:font>
  <w:font w:name="KSOF89AF144D">
    <w:panose1 w:val="020B0503020204020204"/>
    <w:charset w:val="86"/>
    <w:family w:val="auto"/>
    <w:pitch w:val="default"/>
    <w:sig w:usb0="00000001" w:usb1="00000000" w:usb2="00000000" w:usb3="00000000" w:csb0="00040001" w:csb1="00000000"/>
  </w:font>
  <w:font w:name="KSOF9FD03A85">
    <w:panose1 w:val="020B0503020000020004"/>
    <w:charset w:val="81"/>
    <w:family w:val="auto"/>
    <w:pitch w:val="default"/>
    <w:sig w:usb0="00000001" w:usb1="00000000" w:usb2="00000000"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05CFD2">
    <w:pPr>
      <w:pStyle w:val="21"/>
      <w:jc w:val="center"/>
    </w:pP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43</w:t>
    </w:r>
    <w:r>
      <w:rPr>
        <w:b/>
        <w:bCs/>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834BC2">
    <w:pPr>
      <w:pStyle w:val="21"/>
      <w:ind w:left="960"/>
      <w:jc w:val="center"/>
      <w:rPr>
        <w:lang w:val="zh-CN"/>
      </w:rP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43</w:t>
    </w:r>
    <w:r>
      <w:rPr>
        <w:b/>
        <w:bCs/>
        <w:sz w:val="24"/>
        <w:szCs w:val="24"/>
      </w:rPr>
      <w:fldChar w:fldCharType="end"/>
    </w:r>
  </w:p>
  <w:p w14:paraId="50A29E3D"/>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05DEF">
    <w:pPr>
      <w:pStyle w:val="22"/>
      <w:pBdr>
        <w:bottom w:val="none" w:color="000000"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0668E">
    <w:pPr>
      <w:pStyle w:val="22"/>
      <w:pBdr>
        <w:bottom w:val="single" w:color="000000" w:sz="6" w:space="6"/>
      </w:pBdr>
      <w:jc w:val="left"/>
      <w:rPr>
        <w:rFonts w:ascii="楷体_GB2312" w:eastAsia="楷体_GB2312"/>
        <w:sz w:val="24"/>
        <w:szCs w:val="24"/>
      </w:rPr>
    </w:pPr>
    <w:r>
      <w:rPr>
        <w:rFonts w:hint="eastAsia" w:ascii="楷体_GB2312" w:eastAsia="楷体_GB2312"/>
        <w:sz w:val="24"/>
        <w:szCs w:val="24"/>
      </w:rPr>
      <w:t xml:space="preserve">气化炉大修和内筒体及下灰室锥体部分堆焊维保服务技术规范书 </w:t>
    </w:r>
    <w:r>
      <w:rPr>
        <w:rFonts w:hint="eastAsia" w:ascii="楷体_GB2312" w:eastAsia="楷体_GB231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A87B9C"/>
    <w:multiLevelType w:val="multilevel"/>
    <w:tmpl w:val="58A87B9C"/>
    <w:lvl w:ilvl="0" w:tentative="0">
      <w:start w:val="1"/>
      <w:numFmt w:val="decimal"/>
      <w:suff w:val="nothing"/>
      <w:lvlText w:val="%1."/>
      <w:lvlJc w:val="left"/>
      <w:rPr>
        <w:rFonts w:hint="eastAsia"/>
      </w:rPr>
    </w:lvl>
    <w:lvl w:ilvl="1" w:tentative="0">
      <w:start w:val="1"/>
      <w:numFmt w:val="decimal"/>
      <w:suff w:val="nothing"/>
      <w:lvlText w:val="%1.%2"/>
      <w:lvlJc w:val="left"/>
      <w:rPr>
        <w:rFonts w:hint="eastAsia"/>
      </w:rPr>
    </w:lvl>
    <w:lvl w:ilvl="2" w:tentative="0">
      <w:start w:val="1"/>
      <w:numFmt w:val="chineseCountingThousand"/>
      <w:suff w:val="nothing"/>
      <w:lvlText w:val="附件%3："/>
      <w:lvlJc w:val="left"/>
      <w:rPr>
        <w:rFonts w:hint="eastAsia"/>
      </w:rPr>
    </w:lvl>
    <w:lvl w:ilvl="3" w:tentative="0">
      <w:start w:val="1"/>
      <w:numFmt w:val="decimal"/>
      <w:suff w:val="nothing"/>
      <w:lvlText w:val="%4."/>
      <w:lvlJc w:val="left"/>
      <w:rPr>
        <w:rFonts w:hint="eastAsia"/>
      </w:rPr>
    </w:lvl>
    <w:lvl w:ilvl="4" w:tentative="0">
      <w:start w:val="1"/>
      <w:numFmt w:val="decimal"/>
      <w:pStyle w:val="6"/>
      <w:suff w:val="nothing"/>
      <w:lvlText w:val="%4.%5"/>
      <w:lvlJc w:val="left"/>
      <w:rPr>
        <w:rFonts w:hint="eastAsia"/>
      </w:rPr>
    </w:lvl>
    <w:lvl w:ilvl="5" w:tentative="0">
      <w:start w:val="1"/>
      <w:numFmt w:val="decimal"/>
      <w:pStyle w:val="7"/>
      <w:suff w:val="nothing"/>
      <w:lvlText w:val=""/>
      <w:lvlJc w:val="left"/>
      <w:rPr>
        <w:rFonts w:hint="eastAsia"/>
      </w:rPr>
    </w:lvl>
    <w:lvl w:ilvl="6" w:tentative="0">
      <w:start w:val="1"/>
      <w:numFmt w:val="decimal"/>
      <w:pStyle w:val="8"/>
      <w:suff w:val="nothing"/>
      <w:lvlText w:val=""/>
      <w:lvlJc w:val="left"/>
      <w:rPr>
        <w:rFonts w:hint="eastAsia"/>
      </w:rPr>
    </w:lvl>
    <w:lvl w:ilvl="7" w:tentative="0">
      <w:start w:val="1"/>
      <w:numFmt w:val="decimal"/>
      <w:pStyle w:val="9"/>
      <w:suff w:val="nothing"/>
      <w:lvlText w:val=""/>
      <w:lvlJc w:val="left"/>
      <w:rPr>
        <w:rFonts w:hint="eastAsia"/>
      </w:rPr>
    </w:lvl>
    <w:lvl w:ilvl="8" w:tentative="0">
      <w:start w:val="1"/>
      <w:numFmt w:val="decimal"/>
      <w:pStyle w:val="10"/>
      <w:suff w:val="nothing"/>
      <w:lvlText w:val=""/>
      <w:lvlJc w:val="left"/>
      <w:rPr>
        <w:rFonts w:hint="eastAsia"/>
      </w:rPr>
    </w:lvl>
  </w:abstractNum>
  <w:abstractNum w:abstractNumId="1">
    <w:nsid w:val="6CEA2025"/>
    <w:multiLevelType w:val="multilevel"/>
    <w:tmpl w:val="6CEA2025"/>
    <w:lvl w:ilvl="0" w:tentative="0">
      <w:start w:val="1"/>
      <w:numFmt w:val="decimal"/>
      <w:suff w:val="nothing"/>
      <w:lvlText w:val="%1"/>
      <w:lvlJc w:val="left"/>
      <w:pPr>
        <w:ind w:left="0" w:firstLine="0"/>
      </w:pPr>
      <w:rPr>
        <w:rFonts w:ascii="Times New Roman" w:hAnsi="Times New Roman"/>
        <w:b/>
        <w:i w:val="0"/>
        <w:sz w:val="21"/>
      </w:rPr>
    </w:lvl>
    <w:lvl w:ilvl="1" w:tentative="0">
      <w:start w:val="1"/>
      <w:numFmt w:val="decimal"/>
      <w:pStyle w:val="70"/>
      <w:suff w:val="nothing"/>
      <w:lvlText w:val="%1%2　"/>
      <w:lvlJc w:val="left"/>
      <w:pPr>
        <w:ind w:left="0" w:firstLine="0"/>
      </w:pPr>
      <w:rPr>
        <w:rFonts w:hint="eastAsia" w:ascii="宋体" w:hAnsi="宋体" w:eastAsia="宋体"/>
        <w:b w:val="0"/>
        <w:i w:val="0"/>
        <w:sz w:val="21"/>
      </w:rPr>
    </w:lvl>
    <w:lvl w:ilvl="2" w:tentative="0">
      <w:start w:val="1"/>
      <w:numFmt w:val="decimal"/>
      <w:pStyle w:val="69"/>
      <w:suff w:val="nothing"/>
      <w:lvlText w:val="%1%2.%3　"/>
      <w:lvlJc w:val="left"/>
      <w:pPr>
        <w:ind w:left="0" w:firstLine="0"/>
      </w:pPr>
      <w:rPr>
        <w:rFonts w:hint="eastAsia" w:ascii="宋体" w:hAnsi="宋体" w:eastAsia="宋体"/>
        <w:b w:val="0"/>
        <w:i w:val="0"/>
        <w:sz w:val="21"/>
      </w:rPr>
    </w:lvl>
    <w:lvl w:ilvl="3" w:tentative="0">
      <w:start w:val="1"/>
      <w:numFmt w:val="decimal"/>
      <w:pStyle w:val="68"/>
      <w:suff w:val="nothing"/>
      <w:lvlText w:val="%1%2.%3.%4　"/>
      <w:lvlJc w:val="left"/>
      <w:pPr>
        <w:ind w:left="630" w:firstLine="0"/>
      </w:pPr>
      <w:rPr>
        <w:rFonts w:hint="eastAsia" w:ascii="宋体" w:hAnsi="宋体" w:eastAsia="宋体"/>
        <w:b w:val="0"/>
        <w:i w:val="0"/>
        <w:sz w:val="21"/>
      </w:rPr>
    </w:lvl>
    <w:lvl w:ilvl="4" w:tentative="0">
      <w:start w:val="1"/>
      <w:numFmt w:val="decimal"/>
      <w:pStyle w:val="67"/>
      <w:suff w:val="nothing"/>
      <w:lvlText w:val="%1%2.%3.%4.%5　"/>
      <w:lvlJc w:val="left"/>
      <w:pPr>
        <w:ind w:left="840" w:firstLine="0"/>
      </w:pPr>
      <w:rPr>
        <w:rFonts w:hint="eastAsia" w:ascii="宋体" w:hAnsi="宋体" w:eastAsia="宋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74F53DD4"/>
    <w:multiLevelType w:val="multilevel"/>
    <w:tmpl w:val="74F53DD4"/>
    <w:lvl w:ilvl="0" w:tentative="0">
      <w:start w:val="0"/>
      <w:numFmt w:val="decimal"/>
      <w:pStyle w:val="5"/>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NotTrackMoves/>
  <w:revisionView w:markup="0"/>
  <w:documentProtection w:enforcement="0"/>
  <w:defaultTabStop w:val="420"/>
  <w:displayHorizontalDrawingGridEvery w:val="1"/>
  <w:displayVerticalDrawingGridEvery w:val="1"/>
  <w:noPunctuationKerning w:val="1"/>
  <w:characterSpacingControl w:val="doNotCompress"/>
  <w:compat>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jc4OTgwMzk3Y2VhNmEyYmRlNjEyMjIxODM3NzI2OTQifQ=="/>
  </w:docVars>
  <w:rsids>
    <w:rsidRoot w:val="006D20F7"/>
    <w:rsid w:val="000A0F0C"/>
    <w:rsid w:val="000D1D22"/>
    <w:rsid w:val="000E5609"/>
    <w:rsid w:val="001023C0"/>
    <w:rsid w:val="00120E96"/>
    <w:rsid w:val="00130662"/>
    <w:rsid w:val="00160BCA"/>
    <w:rsid w:val="00164F15"/>
    <w:rsid w:val="0017237C"/>
    <w:rsid w:val="002D11AC"/>
    <w:rsid w:val="00307188"/>
    <w:rsid w:val="00315544"/>
    <w:rsid w:val="00334AF3"/>
    <w:rsid w:val="0041399B"/>
    <w:rsid w:val="0044341B"/>
    <w:rsid w:val="00493FE1"/>
    <w:rsid w:val="004E1977"/>
    <w:rsid w:val="004F245F"/>
    <w:rsid w:val="005764C9"/>
    <w:rsid w:val="00586FEC"/>
    <w:rsid w:val="005D1C8A"/>
    <w:rsid w:val="005F1D49"/>
    <w:rsid w:val="00670767"/>
    <w:rsid w:val="00676AD9"/>
    <w:rsid w:val="006B1A11"/>
    <w:rsid w:val="006C0A86"/>
    <w:rsid w:val="006D20F7"/>
    <w:rsid w:val="00830B0D"/>
    <w:rsid w:val="008406DF"/>
    <w:rsid w:val="00856905"/>
    <w:rsid w:val="00867FFD"/>
    <w:rsid w:val="008E36CE"/>
    <w:rsid w:val="00923DE1"/>
    <w:rsid w:val="00970BC6"/>
    <w:rsid w:val="009A72AF"/>
    <w:rsid w:val="00A21F08"/>
    <w:rsid w:val="00A24741"/>
    <w:rsid w:val="00A530CB"/>
    <w:rsid w:val="00A70547"/>
    <w:rsid w:val="00A87F63"/>
    <w:rsid w:val="00AF4C84"/>
    <w:rsid w:val="00B11A45"/>
    <w:rsid w:val="00B36754"/>
    <w:rsid w:val="00B418B3"/>
    <w:rsid w:val="00B634F5"/>
    <w:rsid w:val="00BC760C"/>
    <w:rsid w:val="00BF0E19"/>
    <w:rsid w:val="00C20D5E"/>
    <w:rsid w:val="00C31762"/>
    <w:rsid w:val="00C332ED"/>
    <w:rsid w:val="00C81AA4"/>
    <w:rsid w:val="00CA194E"/>
    <w:rsid w:val="00CB1EB4"/>
    <w:rsid w:val="00D459E4"/>
    <w:rsid w:val="00D85933"/>
    <w:rsid w:val="00DE0416"/>
    <w:rsid w:val="00E07BDA"/>
    <w:rsid w:val="00E42EBA"/>
    <w:rsid w:val="00E67C00"/>
    <w:rsid w:val="00EA08D7"/>
    <w:rsid w:val="00EB07B1"/>
    <w:rsid w:val="00ED5986"/>
    <w:rsid w:val="00F652DD"/>
    <w:rsid w:val="00FD5BA3"/>
    <w:rsid w:val="010333FC"/>
    <w:rsid w:val="01203FAE"/>
    <w:rsid w:val="01416DF2"/>
    <w:rsid w:val="015513F4"/>
    <w:rsid w:val="01687703"/>
    <w:rsid w:val="016F45ED"/>
    <w:rsid w:val="01E66FA5"/>
    <w:rsid w:val="02007D6E"/>
    <w:rsid w:val="02330C86"/>
    <w:rsid w:val="023615AF"/>
    <w:rsid w:val="025D6B3C"/>
    <w:rsid w:val="026779BA"/>
    <w:rsid w:val="02753C88"/>
    <w:rsid w:val="02754CC0"/>
    <w:rsid w:val="02B26E88"/>
    <w:rsid w:val="02BD28BB"/>
    <w:rsid w:val="02C60B85"/>
    <w:rsid w:val="02E828A9"/>
    <w:rsid w:val="02F23728"/>
    <w:rsid w:val="02FB220D"/>
    <w:rsid w:val="030A0A72"/>
    <w:rsid w:val="031F57DB"/>
    <w:rsid w:val="0327603E"/>
    <w:rsid w:val="03305FFE"/>
    <w:rsid w:val="036C573B"/>
    <w:rsid w:val="036D4CFA"/>
    <w:rsid w:val="037C68DF"/>
    <w:rsid w:val="03804A54"/>
    <w:rsid w:val="038A570F"/>
    <w:rsid w:val="0390448C"/>
    <w:rsid w:val="03B31109"/>
    <w:rsid w:val="03C04121"/>
    <w:rsid w:val="03C520CE"/>
    <w:rsid w:val="03C76963"/>
    <w:rsid w:val="03CA1FAF"/>
    <w:rsid w:val="03CA56CE"/>
    <w:rsid w:val="03D50C16"/>
    <w:rsid w:val="03D96696"/>
    <w:rsid w:val="03DA5489"/>
    <w:rsid w:val="04115E30"/>
    <w:rsid w:val="043438CC"/>
    <w:rsid w:val="043B2EAD"/>
    <w:rsid w:val="04545D1C"/>
    <w:rsid w:val="046046C1"/>
    <w:rsid w:val="048B6CCD"/>
    <w:rsid w:val="049368E6"/>
    <w:rsid w:val="04BF2C00"/>
    <w:rsid w:val="04C42EA2"/>
    <w:rsid w:val="04C44C50"/>
    <w:rsid w:val="04D37589"/>
    <w:rsid w:val="04F31198"/>
    <w:rsid w:val="05030FE3"/>
    <w:rsid w:val="050339CA"/>
    <w:rsid w:val="05094D59"/>
    <w:rsid w:val="050F7790"/>
    <w:rsid w:val="052027CE"/>
    <w:rsid w:val="05526700"/>
    <w:rsid w:val="05704DD8"/>
    <w:rsid w:val="057448C8"/>
    <w:rsid w:val="05E80E12"/>
    <w:rsid w:val="062C230C"/>
    <w:rsid w:val="063D026D"/>
    <w:rsid w:val="0643687B"/>
    <w:rsid w:val="06482F2B"/>
    <w:rsid w:val="067B57E2"/>
    <w:rsid w:val="067D411E"/>
    <w:rsid w:val="06837593"/>
    <w:rsid w:val="069E6B22"/>
    <w:rsid w:val="06A72333"/>
    <w:rsid w:val="06AA0FF0"/>
    <w:rsid w:val="06AC5AB4"/>
    <w:rsid w:val="06BC02D5"/>
    <w:rsid w:val="06BD404D"/>
    <w:rsid w:val="06C4362D"/>
    <w:rsid w:val="06D15581"/>
    <w:rsid w:val="06E521B8"/>
    <w:rsid w:val="06ED0418"/>
    <w:rsid w:val="06ED4932"/>
    <w:rsid w:val="070B300A"/>
    <w:rsid w:val="07116774"/>
    <w:rsid w:val="072B7D8D"/>
    <w:rsid w:val="073D0CEA"/>
    <w:rsid w:val="074F739B"/>
    <w:rsid w:val="075F5104"/>
    <w:rsid w:val="076E61E5"/>
    <w:rsid w:val="078F59E9"/>
    <w:rsid w:val="079B25E0"/>
    <w:rsid w:val="07C338E5"/>
    <w:rsid w:val="07D63618"/>
    <w:rsid w:val="08393BA7"/>
    <w:rsid w:val="08444A26"/>
    <w:rsid w:val="0869623A"/>
    <w:rsid w:val="086A3D60"/>
    <w:rsid w:val="087028C8"/>
    <w:rsid w:val="087150EF"/>
    <w:rsid w:val="089F7EAE"/>
    <w:rsid w:val="08A4332D"/>
    <w:rsid w:val="08FA50E4"/>
    <w:rsid w:val="08FD32B2"/>
    <w:rsid w:val="09143080"/>
    <w:rsid w:val="09265ED9"/>
    <w:rsid w:val="09645F3F"/>
    <w:rsid w:val="09921B1B"/>
    <w:rsid w:val="09C9255A"/>
    <w:rsid w:val="09D61B19"/>
    <w:rsid w:val="09DB4F16"/>
    <w:rsid w:val="09F47679"/>
    <w:rsid w:val="0A083831"/>
    <w:rsid w:val="0A0A2A5D"/>
    <w:rsid w:val="0A1D552E"/>
    <w:rsid w:val="0A4D5D95"/>
    <w:rsid w:val="0A6071C9"/>
    <w:rsid w:val="0A79028B"/>
    <w:rsid w:val="0AA25A34"/>
    <w:rsid w:val="0AA41DFA"/>
    <w:rsid w:val="0AA608D1"/>
    <w:rsid w:val="0ABB409C"/>
    <w:rsid w:val="0AC91212"/>
    <w:rsid w:val="0B04049C"/>
    <w:rsid w:val="0B0560D8"/>
    <w:rsid w:val="0B095AB3"/>
    <w:rsid w:val="0B106E41"/>
    <w:rsid w:val="0B171B06"/>
    <w:rsid w:val="0B7F7B23"/>
    <w:rsid w:val="0B916AA9"/>
    <w:rsid w:val="0B9F6417"/>
    <w:rsid w:val="0BB646A7"/>
    <w:rsid w:val="0BC11EE9"/>
    <w:rsid w:val="0BC55E54"/>
    <w:rsid w:val="0BD27F6A"/>
    <w:rsid w:val="0BEF6A57"/>
    <w:rsid w:val="0C0B13B7"/>
    <w:rsid w:val="0C0F534B"/>
    <w:rsid w:val="0C146C99"/>
    <w:rsid w:val="0C2C78CE"/>
    <w:rsid w:val="0C3D1EB8"/>
    <w:rsid w:val="0C463D95"/>
    <w:rsid w:val="0C6F3EB9"/>
    <w:rsid w:val="0C880C59"/>
    <w:rsid w:val="0C9B7791"/>
    <w:rsid w:val="0CA35A93"/>
    <w:rsid w:val="0CC5653B"/>
    <w:rsid w:val="0CC679CB"/>
    <w:rsid w:val="0D147C55"/>
    <w:rsid w:val="0D1A3FA7"/>
    <w:rsid w:val="0D312C9C"/>
    <w:rsid w:val="0D330BC5"/>
    <w:rsid w:val="0DA90B3B"/>
    <w:rsid w:val="0DB241E0"/>
    <w:rsid w:val="0DB5782C"/>
    <w:rsid w:val="0DD759F4"/>
    <w:rsid w:val="0DE96F59"/>
    <w:rsid w:val="0E227C47"/>
    <w:rsid w:val="0E565112"/>
    <w:rsid w:val="0E664D3A"/>
    <w:rsid w:val="0E8772D2"/>
    <w:rsid w:val="0E9503CA"/>
    <w:rsid w:val="0E9A17ED"/>
    <w:rsid w:val="0EA613E8"/>
    <w:rsid w:val="0EAC50D3"/>
    <w:rsid w:val="0EAE2BD9"/>
    <w:rsid w:val="0ECC0A79"/>
    <w:rsid w:val="0ED61957"/>
    <w:rsid w:val="0EF44384"/>
    <w:rsid w:val="0F0C553F"/>
    <w:rsid w:val="0F2661C0"/>
    <w:rsid w:val="0F7C489D"/>
    <w:rsid w:val="0FA20284"/>
    <w:rsid w:val="0FA24596"/>
    <w:rsid w:val="0FD146C5"/>
    <w:rsid w:val="0FE35C25"/>
    <w:rsid w:val="10405E6E"/>
    <w:rsid w:val="10BF4A70"/>
    <w:rsid w:val="10D01757"/>
    <w:rsid w:val="10DD77C5"/>
    <w:rsid w:val="10EC17B7"/>
    <w:rsid w:val="10F92125"/>
    <w:rsid w:val="11020FDA"/>
    <w:rsid w:val="11027767"/>
    <w:rsid w:val="11101499"/>
    <w:rsid w:val="11105EB6"/>
    <w:rsid w:val="111725AC"/>
    <w:rsid w:val="11290C5D"/>
    <w:rsid w:val="11427629"/>
    <w:rsid w:val="115507A4"/>
    <w:rsid w:val="11812847"/>
    <w:rsid w:val="118E6D12"/>
    <w:rsid w:val="1191235E"/>
    <w:rsid w:val="1198193E"/>
    <w:rsid w:val="11AC53EA"/>
    <w:rsid w:val="11B13CB0"/>
    <w:rsid w:val="11B20C52"/>
    <w:rsid w:val="11EA4C32"/>
    <w:rsid w:val="11FE5B0A"/>
    <w:rsid w:val="12170AB5"/>
    <w:rsid w:val="12273E41"/>
    <w:rsid w:val="122D1840"/>
    <w:rsid w:val="1255782F"/>
    <w:rsid w:val="125E0645"/>
    <w:rsid w:val="12695089"/>
    <w:rsid w:val="128F1814"/>
    <w:rsid w:val="12AD31C8"/>
    <w:rsid w:val="12BF3758"/>
    <w:rsid w:val="12CE78BA"/>
    <w:rsid w:val="12D93FBD"/>
    <w:rsid w:val="12E07FA3"/>
    <w:rsid w:val="12E34E3B"/>
    <w:rsid w:val="132609DD"/>
    <w:rsid w:val="133A105E"/>
    <w:rsid w:val="134E6759"/>
    <w:rsid w:val="13635E90"/>
    <w:rsid w:val="13734411"/>
    <w:rsid w:val="13806B2E"/>
    <w:rsid w:val="139C0507"/>
    <w:rsid w:val="13A527C2"/>
    <w:rsid w:val="13B01DD4"/>
    <w:rsid w:val="13E64BE3"/>
    <w:rsid w:val="13FF7A53"/>
    <w:rsid w:val="14011A1D"/>
    <w:rsid w:val="141A5AA2"/>
    <w:rsid w:val="142676D5"/>
    <w:rsid w:val="14280D4F"/>
    <w:rsid w:val="1476310A"/>
    <w:rsid w:val="14B70B0D"/>
    <w:rsid w:val="14BB6070"/>
    <w:rsid w:val="14D42C8D"/>
    <w:rsid w:val="14E135FC"/>
    <w:rsid w:val="14E629C1"/>
    <w:rsid w:val="14EA425F"/>
    <w:rsid w:val="14FE278E"/>
    <w:rsid w:val="1534372C"/>
    <w:rsid w:val="153B2D0D"/>
    <w:rsid w:val="15900F24"/>
    <w:rsid w:val="15B028DA"/>
    <w:rsid w:val="15B64A89"/>
    <w:rsid w:val="161D385D"/>
    <w:rsid w:val="16266DAB"/>
    <w:rsid w:val="162C3719"/>
    <w:rsid w:val="16391314"/>
    <w:rsid w:val="164666A6"/>
    <w:rsid w:val="165247B2"/>
    <w:rsid w:val="165E2A90"/>
    <w:rsid w:val="16703BC5"/>
    <w:rsid w:val="16A85011"/>
    <w:rsid w:val="16BB42B4"/>
    <w:rsid w:val="16F51CB1"/>
    <w:rsid w:val="17131952"/>
    <w:rsid w:val="171802A5"/>
    <w:rsid w:val="17215F32"/>
    <w:rsid w:val="1736755D"/>
    <w:rsid w:val="17497D6C"/>
    <w:rsid w:val="176F4EEF"/>
    <w:rsid w:val="178070FD"/>
    <w:rsid w:val="17A80401"/>
    <w:rsid w:val="17BD5C5B"/>
    <w:rsid w:val="17C121EB"/>
    <w:rsid w:val="17C14C83"/>
    <w:rsid w:val="17D15BAA"/>
    <w:rsid w:val="17E9660E"/>
    <w:rsid w:val="17F673BF"/>
    <w:rsid w:val="180E295A"/>
    <w:rsid w:val="182A43C3"/>
    <w:rsid w:val="1840688C"/>
    <w:rsid w:val="18475E6C"/>
    <w:rsid w:val="18556173"/>
    <w:rsid w:val="185D3728"/>
    <w:rsid w:val="188B3FAB"/>
    <w:rsid w:val="18A00F71"/>
    <w:rsid w:val="18B02996"/>
    <w:rsid w:val="18C474BD"/>
    <w:rsid w:val="18D74235"/>
    <w:rsid w:val="18DF734F"/>
    <w:rsid w:val="18F97167"/>
    <w:rsid w:val="192166BD"/>
    <w:rsid w:val="19404D95"/>
    <w:rsid w:val="1955613D"/>
    <w:rsid w:val="195645B9"/>
    <w:rsid w:val="196D1903"/>
    <w:rsid w:val="19722A75"/>
    <w:rsid w:val="19792055"/>
    <w:rsid w:val="198F3627"/>
    <w:rsid w:val="19B65058"/>
    <w:rsid w:val="19BE3676"/>
    <w:rsid w:val="19C257AA"/>
    <w:rsid w:val="19CD556F"/>
    <w:rsid w:val="19ED659F"/>
    <w:rsid w:val="19FB69EE"/>
    <w:rsid w:val="1A09570F"/>
    <w:rsid w:val="1A0E0DD3"/>
    <w:rsid w:val="1A4C1518"/>
    <w:rsid w:val="1A5328A6"/>
    <w:rsid w:val="1A533F79"/>
    <w:rsid w:val="1A74270C"/>
    <w:rsid w:val="1A756CC1"/>
    <w:rsid w:val="1A8769F4"/>
    <w:rsid w:val="1A8C5A32"/>
    <w:rsid w:val="1AB8095B"/>
    <w:rsid w:val="1AC94917"/>
    <w:rsid w:val="1AE6196C"/>
    <w:rsid w:val="1B160EE2"/>
    <w:rsid w:val="1B2B21A0"/>
    <w:rsid w:val="1B395F40"/>
    <w:rsid w:val="1B4D0145"/>
    <w:rsid w:val="1B5E7A07"/>
    <w:rsid w:val="1BA22C27"/>
    <w:rsid w:val="1BA500C9"/>
    <w:rsid w:val="1BAF676E"/>
    <w:rsid w:val="1BAF7FB0"/>
    <w:rsid w:val="1BC577D4"/>
    <w:rsid w:val="1BE51C24"/>
    <w:rsid w:val="1BE7599C"/>
    <w:rsid w:val="1BEC2FB3"/>
    <w:rsid w:val="1C654519"/>
    <w:rsid w:val="1C7B7E93"/>
    <w:rsid w:val="1C8036FB"/>
    <w:rsid w:val="1C817B9F"/>
    <w:rsid w:val="1CB8448B"/>
    <w:rsid w:val="1CB924A3"/>
    <w:rsid w:val="1CB93479"/>
    <w:rsid w:val="1CC01D49"/>
    <w:rsid w:val="1CDB4ADE"/>
    <w:rsid w:val="1CFE203E"/>
    <w:rsid w:val="1D2642A2"/>
    <w:rsid w:val="1D282738"/>
    <w:rsid w:val="1D2D73DF"/>
    <w:rsid w:val="1D305121"/>
    <w:rsid w:val="1D314D7C"/>
    <w:rsid w:val="1D327F4C"/>
    <w:rsid w:val="1D350989"/>
    <w:rsid w:val="1D371EE0"/>
    <w:rsid w:val="1D41732E"/>
    <w:rsid w:val="1D4913BD"/>
    <w:rsid w:val="1D5030CD"/>
    <w:rsid w:val="1D656664"/>
    <w:rsid w:val="1D743260"/>
    <w:rsid w:val="1D8611E5"/>
    <w:rsid w:val="1DE3579B"/>
    <w:rsid w:val="1DE67046"/>
    <w:rsid w:val="1DFE521F"/>
    <w:rsid w:val="1E4744D0"/>
    <w:rsid w:val="1E4B6FE6"/>
    <w:rsid w:val="1E6257AE"/>
    <w:rsid w:val="1EB15BB6"/>
    <w:rsid w:val="1ECE4BF1"/>
    <w:rsid w:val="1F1258A0"/>
    <w:rsid w:val="1F2C36C6"/>
    <w:rsid w:val="1F5350F7"/>
    <w:rsid w:val="1F5647FC"/>
    <w:rsid w:val="1F5C044F"/>
    <w:rsid w:val="1F65724C"/>
    <w:rsid w:val="1F70574E"/>
    <w:rsid w:val="1F707E40"/>
    <w:rsid w:val="1F831430"/>
    <w:rsid w:val="1F8654CC"/>
    <w:rsid w:val="1FC30E05"/>
    <w:rsid w:val="1FDA47EF"/>
    <w:rsid w:val="1FF22B62"/>
    <w:rsid w:val="20176124"/>
    <w:rsid w:val="202D5948"/>
    <w:rsid w:val="20364B19"/>
    <w:rsid w:val="20427645"/>
    <w:rsid w:val="20580C17"/>
    <w:rsid w:val="20665FED"/>
    <w:rsid w:val="207B3859"/>
    <w:rsid w:val="20823EE5"/>
    <w:rsid w:val="20831A0C"/>
    <w:rsid w:val="20AD317A"/>
    <w:rsid w:val="20D859DB"/>
    <w:rsid w:val="2107263D"/>
    <w:rsid w:val="210B30AC"/>
    <w:rsid w:val="21112757"/>
    <w:rsid w:val="21287EFC"/>
    <w:rsid w:val="21781203"/>
    <w:rsid w:val="217E28FF"/>
    <w:rsid w:val="21867A05"/>
    <w:rsid w:val="21C346E9"/>
    <w:rsid w:val="21EB1616"/>
    <w:rsid w:val="21EB7268"/>
    <w:rsid w:val="21F91F85"/>
    <w:rsid w:val="22630F17"/>
    <w:rsid w:val="227710FC"/>
    <w:rsid w:val="22A85433"/>
    <w:rsid w:val="22AB1BF2"/>
    <w:rsid w:val="22BD7DA9"/>
    <w:rsid w:val="22C95B68"/>
    <w:rsid w:val="22E04EF3"/>
    <w:rsid w:val="230C3F3A"/>
    <w:rsid w:val="232C0139"/>
    <w:rsid w:val="233B65CE"/>
    <w:rsid w:val="2355492B"/>
    <w:rsid w:val="236C60A9"/>
    <w:rsid w:val="2381633C"/>
    <w:rsid w:val="239A6F02"/>
    <w:rsid w:val="23F029F9"/>
    <w:rsid w:val="23F10CC8"/>
    <w:rsid w:val="23FE3883"/>
    <w:rsid w:val="24023A5F"/>
    <w:rsid w:val="24395DDA"/>
    <w:rsid w:val="24515A5A"/>
    <w:rsid w:val="24532B5A"/>
    <w:rsid w:val="24681644"/>
    <w:rsid w:val="247104F9"/>
    <w:rsid w:val="24822706"/>
    <w:rsid w:val="248F097F"/>
    <w:rsid w:val="24997A50"/>
    <w:rsid w:val="24CA7B0C"/>
    <w:rsid w:val="24D13BD8"/>
    <w:rsid w:val="24ED714A"/>
    <w:rsid w:val="24F85B7C"/>
    <w:rsid w:val="251470D6"/>
    <w:rsid w:val="251558A5"/>
    <w:rsid w:val="25333A00"/>
    <w:rsid w:val="2536704D"/>
    <w:rsid w:val="256B13EC"/>
    <w:rsid w:val="257B7155"/>
    <w:rsid w:val="25893D68"/>
    <w:rsid w:val="25BF7042"/>
    <w:rsid w:val="25EC13F0"/>
    <w:rsid w:val="25EE5DB4"/>
    <w:rsid w:val="26151358"/>
    <w:rsid w:val="26180D74"/>
    <w:rsid w:val="262C38E5"/>
    <w:rsid w:val="263B7010"/>
    <w:rsid w:val="264A7253"/>
    <w:rsid w:val="265C6062"/>
    <w:rsid w:val="2671188F"/>
    <w:rsid w:val="2673294D"/>
    <w:rsid w:val="26875194"/>
    <w:rsid w:val="26A60202"/>
    <w:rsid w:val="26A76454"/>
    <w:rsid w:val="26AA7CF2"/>
    <w:rsid w:val="26B446CD"/>
    <w:rsid w:val="26FC4AB8"/>
    <w:rsid w:val="27207FB4"/>
    <w:rsid w:val="272A498F"/>
    <w:rsid w:val="272C03B2"/>
    <w:rsid w:val="273D2914"/>
    <w:rsid w:val="27500494"/>
    <w:rsid w:val="276E51C4"/>
    <w:rsid w:val="27842D73"/>
    <w:rsid w:val="278C3C3F"/>
    <w:rsid w:val="27B23302"/>
    <w:rsid w:val="27BF157B"/>
    <w:rsid w:val="27D25752"/>
    <w:rsid w:val="27D53F19"/>
    <w:rsid w:val="27DA15AB"/>
    <w:rsid w:val="27E92C02"/>
    <w:rsid w:val="27EA5D50"/>
    <w:rsid w:val="2832410A"/>
    <w:rsid w:val="283A32F8"/>
    <w:rsid w:val="286E03F0"/>
    <w:rsid w:val="28AD4C20"/>
    <w:rsid w:val="28BA1D43"/>
    <w:rsid w:val="28C44FE8"/>
    <w:rsid w:val="28DC615D"/>
    <w:rsid w:val="291B0A33"/>
    <w:rsid w:val="293715E5"/>
    <w:rsid w:val="295E5B46"/>
    <w:rsid w:val="29613A86"/>
    <w:rsid w:val="296F5223"/>
    <w:rsid w:val="29756479"/>
    <w:rsid w:val="297B5976"/>
    <w:rsid w:val="298505A2"/>
    <w:rsid w:val="29910221"/>
    <w:rsid w:val="2996630C"/>
    <w:rsid w:val="29C0782D"/>
    <w:rsid w:val="29DA269C"/>
    <w:rsid w:val="29E03A2B"/>
    <w:rsid w:val="2A256B46"/>
    <w:rsid w:val="2A2D7C51"/>
    <w:rsid w:val="2A30050E"/>
    <w:rsid w:val="2A5E151F"/>
    <w:rsid w:val="2A612DBE"/>
    <w:rsid w:val="2A6D052C"/>
    <w:rsid w:val="2A9A28C1"/>
    <w:rsid w:val="2AAA2395"/>
    <w:rsid w:val="2AE82B97"/>
    <w:rsid w:val="2B0D4CF3"/>
    <w:rsid w:val="2B3039F8"/>
    <w:rsid w:val="2B381D70"/>
    <w:rsid w:val="2B405F6E"/>
    <w:rsid w:val="2B65243A"/>
    <w:rsid w:val="2B77216D"/>
    <w:rsid w:val="2B885500"/>
    <w:rsid w:val="2B887662"/>
    <w:rsid w:val="2B8F5708"/>
    <w:rsid w:val="2BAF6427"/>
    <w:rsid w:val="2BC41856"/>
    <w:rsid w:val="2C0A355D"/>
    <w:rsid w:val="2C2C2F57"/>
    <w:rsid w:val="2C387B4E"/>
    <w:rsid w:val="2C416A03"/>
    <w:rsid w:val="2C512191"/>
    <w:rsid w:val="2C6D3C9C"/>
    <w:rsid w:val="2C74487D"/>
    <w:rsid w:val="2C880B0F"/>
    <w:rsid w:val="2CA22D54"/>
    <w:rsid w:val="2CA84DCF"/>
    <w:rsid w:val="2CC633AC"/>
    <w:rsid w:val="2CDA0C05"/>
    <w:rsid w:val="2D23435A"/>
    <w:rsid w:val="2D3C35B2"/>
    <w:rsid w:val="2D546C0A"/>
    <w:rsid w:val="2D6A3274"/>
    <w:rsid w:val="2D6C3F53"/>
    <w:rsid w:val="2D7B7CF2"/>
    <w:rsid w:val="2D8C1F00"/>
    <w:rsid w:val="2DD77618"/>
    <w:rsid w:val="2E0F48DF"/>
    <w:rsid w:val="2E163EBF"/>
    <w:rsid w:val="2E7532AE"/>
    <w:rsid w:val="2EB37960"/>
    <w:rsid w:val="2EB72FAC"/>
    <w:rsid w:val="2EBD258D"/>
    <w:rsid w:val="2EC274BB"/>
    <w:rsid w:val="2EC35C05"/>
    <w:rsid w:val="2EC4391B"/>
    <w:rsid w:val="2EC90F31"/>
    <w:rsid w:val="2ECA280E"/>
    <w:rsid w:val="2ECD27D0"/>
    <w:rsid w:val="2EF34775"/>
    <w:rsid w:val="2F191EB9"/>
    <w:rsid w:val="2F3320DE"/>
    <w:rsid w:val="2F6B6A34"/>
    <w:rsid w:val="2F781F4F"/>
    <w:rsid w:val="2F7D2448"/>
    <w:rsid w:val="2F7E018B"/>
    <w:rsid w:val="2FB03F14"/>
    <w:rsid w:val="2FB33015"/>
    <w:rsid w:val="2FB50143"/>
    <w:rsid w:val="2FDF6354"/>
    <w:rsid w:val="2FF62FBA"/>
    <w:rsid w:val="2FF817EF"/>
    <w:rsid w:val="306405FB"/>
    <w:rsid w:val="306A22A0"/>
    <w:rsid w:val="30766201"/>
    <w:rsid w:val="307D1FD3"/>
    <w:rsid w:val="307D6477"/>
    <w:rsid w:val="30881BCD"/>
    <w:rsid w:val="308E66BB"/>
    <w:rsid w:val="309C68FD"/>
    <w:rsid w:val="309D61D2"/>
    <w:rsid w:val="30A13C02"/>
    <w:rsid w:val="30C268A7"/>
    <w:rsid w:val="30C61BCC"/>
    <w:rsid w:val="30EA2B1C"/>
    <w:rsid w:val="30F34576"/>
    <w:rsid w:val="30FE3148"/>
    <w:rsid w:val="312132A7"/>
    <w:rsid w:val="31551635"/>
    <w:rsid w:val="31864EB8"/>
    <w:rsid w:val="31885988"/>
    <w:rsid w:val="318B1C70"/>
    <w:rsid w:val="319C292D"/>
    <w:rsid w:val="31B859B9"/>
    <w:rsid w:val="31CF7105"/>
    <w:rsid w:val="31F52C3B"/>
    <w:rsid w:val="31F75DB5"/>
    <w:rsid w:val="31F77B64"/>
    <w:rsid w:val="320F75A3"/>
    <w:rsid w:val="32140715"/>
    <w:rsid w:val="32144BB9"/>
    <w:rsid w:val="32180206"/>
    <w:rsid w:val="322E1536"/>
    <w:rsid w:val="323421EA"/>
    <w:rsid w:val="32A3397A"/>
    <w:rsid w:val="32AD722B"/>
    <w:rsid w:val="32BD6C42"/>
    <w:rsid w:val="32EE540A"/>
    <w:rsid w:val="32F3657D"/>
    <w:rsid w:val="331029F1"/>
    <w:rsid w:val="331035D3"/>
    <w:rsid w:val="332130EA"/>
    <w:rsid w:val="33525999"/>
    <w:rsid w:val="33597F69"/>
    <w:rsid w:val="3371744F"/>
    <w:rsid w:val="33775400"/>
    <w:rsid w:val="33A87367"/>
    <w:rsid w:val="33C66680"/>
    <w:rsid w:val="33CA5530"/>
    <w:rsid w:val="341132A5"/>
    <w:rsid w:val="34272469"/>
    <w:rsid w:val="344165C4"/>
    <w:rsid w:val="34592D57"/>
    <w:rsid w:val="347B4A7C"/>
    <w:rsid w:val="347C2968"/>
    <w:rsid w:val="34812418"/>
    <w:rsid w:val="34850DEF"/>
    <w:rsid w:val="34AC10D9"/>
    <w:rsid w:val="34DF500B"/>
    <w:rsid w:val="34E24AFB"/>
    <w:rsid w:val="34E70F05"/>
    <w:rsid w:val="34EE34A0"/>
    <w:rsid w:val="34F32864"/>
    <w:rsid w:val="34FA62E8"/>
    <w:rsid w:val="3517086C"/>
    <w:rsid w:val="351F5D4F"/>
    <w:rsid w:val="3538296D"/>
    <w:rsid w:val="35466E38"/>
    <w:rsid w:val="355D23D3"/>
    <w:rsid w:val="35846234"/>
    <w:rsid w:val="359F0C3E"/>
    <w:rsid w:val="35D83F6D"/>
    <w:rsid w:val="35DC59EE"/>
    <w:rsid w:val="35E26994"/>
    <w:rsid w:val="35F920FC"/>
    <w:rsid w:val="36202716"/>
    <w:rsid w:val="36257DF1"/>
    <w:rsid w:val="36462E68"/>
    <w:rsid w:val="364F191D"/>
    <w:rsid w:val="368A701A"/>
    <w:rsid w:val="36A71B58"/>
    <w:rsid w:val="36CE77FC"/>
    <w:rsid w:val="36E56B24"/>
    <w:rsid w:val="37092813"/>
    <w:rsid w:val="370C2303"/>
    <w:rsid w:val="37106FD4"/>
    <w:rsid w:val="375241BA"/>
    <w:rsid w:val="37773C20"/>
    <w:rsid w:val="37AB1B1C"/>
    <w:rsid w:val="37AB2D0E"/>
    <w:rsid w:val="37C52BDE"/>
    <w:rsid w:val="37CD3E53"/>
    <w:rsid w:val="380134EA"/>
    <w:rsid w:val="381C3783"/>
    <w:rsid w:val="38883C0B"/>
    <w:rsid w:val="388B0DDA"/>
    <w:rsid w:val="38BB3D60"/>
    <w:rsid w:val="38D93E6C"/>
    <w:rsid w:val="38E54BBA"/>
    <w:rsid w:val="38ED5EE9"/>
    <w:rsid w:val="38F60D15"/>
    <w:rsid w:val="39224256"/>
    <w:rsid w:val="39812B34"/>
    <w:rsid w:val="399F120C"/>
    <w:rsid w:val="39AC4C55"/>
    <w:rsid w:val="39AF6E3D"/>
    <w:rsid w:val="39B36A66"/>
    <w:rsid w:val="39BB3F1A"/>
    <w:rsid w:val="39BF365D"/>
    <w:rsid w:val="39CD3FCC"/>
    <w:rsid w:val="39CE1AF2"/>
    <w:rsid w:val="39E40E4E"/>
    <w:rsid w:val="3A266CCC"/>
    <w:rsid w:val="3A5244D1"/>
    <w:rsid w:val="3A527C44"/>
    <w:rsid w:val="3A667F7C"/>
    <w:rsid w:val="3AAF1923"/>
    <w:rsid w:val="3ACB58D1"/>
    <w:rsid w:val="3ACF5B21"/>
    <w:rsid w:val="3AD924FC"/>
    <w:rsid w:val="3ADB0022"/>
    <w:rsid w:val="3AE55345"/>
    <w:rsid w:val="3AE570F3"/>
    <w:rsid w:val="3B0A02FF"/>
    <w:rsid w:val="3B551934"/>
    <w:rsid w:val="3B6C426B"/>
    <w:rsid w:val="3B9B5A04"/>
    <w:rsid w:val="3B9F696A"/>
    <w:rsid w:val="3BA50630"/>
    <w:rsid w:val="3BBD63AB"/>
    <w:rsid w:val="3BD91A6F"/>
    <w:rsid w:val="3BDA477E"/>
    <w:rsid w:val="3BE455FD"/>
    <w:rsid w:val="3C5A61D8"/>
    <w:rsid w:val="3C7B06AE"/>
    <w:rsid w:val="3CFE26EE"/>
    <w:rsid w:val="3D3954D4"/>
    <w:rsid w:val="3D3B749E"/>
    <w:rsid w:val="3D687B67"/>
    <w:rsid w:val="3D895657"/>
    <w:rsid w:val="3D934BE4"/>
    <w:rsid w:val="3DE11DF4"/>
    <w:rsid w:val="3DEF605C"/>
    <w:rsid w:val="3E0E2161"/>
    <w:rsid w:val="3E2B7513"/>
    <w:rsid w:val="3E2E615A"/>
    <w:rsid w:val="3E4D1237"/>
    <w:rsid w:val="3E714241"/>
    <w:rsid w:val="3E716647"/>
    <w:rsid w:val="3E787CFC"/>
    <w:rsid w:val="3E7F1BB7"/>
    <w:rsid w:val="3EB05C6A"/>
    <w:rsid w:val="3EBA2645"/>
    <w:rsid w:val="3ED5122D"/>
    <w:rsid w:val="3EF20E4E"/>
    <w:rsid w:val="3F006527"/>
    <w:rsid w:val="3F023EFF"/>
    <w:rsid w:val="3F087854"/>
    <w:rsid w:val="3F190246"/>
    <w:rsid w:val="3F2153CD"/>
    <w:rsid w:val="3F2B709E"/>
    <w:rsid w:val="3F36673B"/>
    <w:rsid w:val="3F3B53F7"/>
    <w:rsid w:val="3F584337"/>
    <w:rsid w:val="3F5A27C7"/>
    <w:rsid w:val="3F755CC5"/>
    <w:rsid w:val="3F8A64BB"/>
    <w:rsid w:val="3F934A87"/>
    <w:rsid w:val="3F9B2476"/>
    <w:rsid w:val="3FA27361"/>
    <w:rsid w:val="3FB05F21"/>
    <w:rsid w:val="3FCE63A8"/>
    <w:rsid w:val="3FEC0F24"/>
    <w:rsid w:val="400022D9"/>
    <w:rsid w:val="400C3C00"/>
    <w:rsid w:val="40185875"/>
    <w:rsid w:val="40281FB4"/>
    <w:rsid w:val="4030282F"/>
    <w:rsid w:val="403E380E"/>
    <w:rsid w:val="40507E8F"/>
    <w:rsid w:val="407F661D"/>
    <w:rsid w:val="40955117"/>
    <w:rsid w:val="40A47108"/>
    <w:rsid w:val="40B557B9"/>
    <w:rsid w:val="40C16A7C"/>
    <w:rsid w:val="40D565A8"/>
    <w:rsid w:val="40DE086C"/>
    <w:rsid w:val="410D73A4"/>
    <w:rsid w:val="412D5350"/>
    <w:rsid w:val="41344930"/>
    <w:rsid w:val="413606A8"/>
    <w:rsid w:val="41362456"/>
    <w:rsid w:val="413C37E5"/>
    <w:rsid w:val="41A2189A"/>
    <w:rsid w:val="41E9571B"/>
    <w:rsid w:val="41F12885"/>
    <w:rsid w:val="41FF1B86"/>
    <w:rsid w:val="423D5A66"/>
    <w:rsid w:val="42881557"/>
    <w:rsid w:val="42903DE8"/>
    <w:rsid w:val="42A374A4"/>
    <w:rsid w:val="42B1586B"/>
    <w:rsid w:val="42B22C97"/>
    <w:rsid w:val="42E87780"/>
    <w:rsid w:val="43242582"/>
    <w:rsid w:val="43284021"/>
    <w:rsid w:val="432F476F"/>
    <w:rsid w:val="434B5F61"/>
    <w:rsid w:val="435724EB"/>
    <w:rsid w:val="43887DD0"/>
    <w:rsid w:val="43AA712C"/>
    <w:rsid w:val="43B92C85"/>
    <w:rsid w:val="43D16466"/>
    <w:rsid w:val="43DF200D"/>
    <w:rsid w:val="43E53CC0"/>
    <w:rsid w:val="43E91D8A"/>
    <w:rsid w:val="44037A98"/>
    <w:rsid w:val="4436451B"/>
    <w:rsid w:val="44384FBA"/>
    <w:rsid w:val="443F7D0C"/>
    <w:rsid w:val="444906F3"/>
    <w:rsid w:val="444B56D1"/>
    <w:rsid w:val="445175A7"/>
    <w:rsid w:val="4469669F"/>
    <w:rsid w:val="44AD0C81"/>
    <w:rsid w:val="44CA01D5"/>
    <w:rsid w:val="44D501D8"/>
    <w:rsid w:val="44F22952"/>
    <w:rsid w:val="44F56185"/>
    <w:rsid w:val="44FE14DD"/>
    <w:rsid w:val="44FE7516"/>
    <w:rsid w:val="45140D01"/>
    <w:rsid w:val="452D3B70"/>
    <w:rsid w:val="453B6B56"/>
    <w:rsid w:val="456A2EB2"/>
    <w:rsid w:val="458149EC"/>
    <w:rsid w:val="45967968"/>
    <w:rsid w:val="45A8769B"/>
    <w:rsid w:val="45AA3413"/>
    <w:rsid w:val="45B01E02"/>
    <w:rsid w:val="45C85647"/>
    <w:rsid w:val="45E32481"/>
    <w:rsid w:val="45E6202B"/>
    <w:rsid w:val="45F34DBA"/>
    <w:rsid w:val="45F621B4"/>
    <w:rsid w:val="464949DA"/>
    <w:rsid w:val="46532C7D"/>
    <w:rsid w:val="465810C1"/>
    <w:rsid w:val="468839D7"/>
    <w:rsid w:val="46933EA7"/>
    <w:rsid w:val="46DA3884"/>
    <w:rsid w:val="46F755C5"/>
    <w:rsid w:val="47226FD9"/>
    <w:rsid w:val="47266AC9"/>
    <w:rsid w:val="47314B84"/>
    <w:rsid w:val="47372A84"/>
    <w:rsid w:val="47372EBD"/>
    <w:rsid w:val="474E0314"/>
    <w:rsid w:val="478F7F92"/>
    <w:rsid w:val="47BA6588"/>
    <w:rsid w:val="47E14962"/>
    <w:rsid w:val="47E2428C"/>
    <w:rsid w:val="47FD6976"/>
    <w:rsid w:val="47FF2591"/>
    <w:rsid w:val="480E3F0E"/>
    <w:rsid w:val="480F3A01"/>
    <w:rsid w:val="481729E6"/>
    <w:rsid w:val="483906A7"/>
    <w:rsid w:val="48425B85"/>
    <w:rsid w:val="484A67E7"/>
    <w:rsid w:val="48693111"/>
    <w:rsid w:val="48711FC6"/>
    <w:rsid w:val="489F488D"/>
    <w:rsid w:val="48AD5394"/>
    <w:rsid w:val="48CC36A0"/>
    <w:rsid w:val="4901159C"/>
    <w:rsid w:val="493D00FA"/>
    <w:rsid w:val="495F00C6"/>
    <w:rsid w:val="4961203A"/>
    <w:rsid w:val="496947E1"/>
    <w:rsid w:val="49A22B70"/>
    <w:rsid w:val="49AA20BF"/>
    <w:rsid w:val="49B517A5"/>
    <w:rsid w:val="4A05330E"/>
    <w:rsid w:val="4A1932A7"/>
    <w:rsid w:val="4A1B668D"/>
    <w:rsid w:val="4A3753B6"/>
    <w:rsid w:val="4A4C2CEB"/>
    <w:rsid w:val="4A4F62B5"/>
    <w:rsid w:val="4A5E1059"/>
    <w:rsid w:val="4A7E6C1C"/>
    <w:rsid w:val="4A976671"/>
    <w:rsid w:val="4AA21D66"/>
    <w:rsid w:val="4ABC1D3E"/>
    <w:rsid w:val="4AD618B2"/>
    <w:rsid w:val="4ADB547B"/>
    <w:rsid w:val="4ADF590D"/>
    <w:rsid w:val="4AE57855"/>
    <w:rsid w:val="4AE63646"/>
    <w:rsid w:val="4B047121"/>
    <w:rsid w:val="4B1F5D09"/>
    <w:rsid w:val="4B324C3A"/>
    <w:rsid w:val="4B6322C3"/>
    <w:rsid w:val="4B692E0F"/>
    <w:rsid w:val="4B942491"/>
    <w:rsid w:val="4BBC3A7A"/>
    <w:rsid w:val="4BEB79AC"/>
    <w:rsid w:val="4C0575F5"/>
    <w:rsid w:val="4C070814"/>
    <w:rsid w:val="4C2A2BB8"/>
    <w:rsid w:val="4C4D2D4A"/>
    <w:rsid w:val="4C5941EA"/>
    <w:rsid w:val="4C704EB3"/>
    <w:rsid w:val="4C7107E7"/>
    <w:rsid w:val="4C72630D"/>
    <w:rsid w:val="4C7A24D7"/>
    <w:rsid w:val="4C9646F1"/>
    <w:rsid w:val="4CA15D2F"/>
    <w:rsid w:val="4CC0176E"/>
    <w:rsid w:val="4CCC1EC1"/>
    <w:rsid w:val="4CCF7EC2"/>
    <w:rsid w:val="4CE4545C"/>
    <w:rsid w:val="4D07739D"/>
    <w:rsid w:val="4D0A4797"/>
    <w:rsid w:val="4D317F76"/>
    <w:rsid w:val="4D5325E2"/>
    <w:rsid w:val="4D8602C2"/>
    <w:rsid w:val="4D87403A"/>
    <w:rsid w:val="4D9B070C"/>
    <w:rsid w:val="4DBF7A04"/>
    <w:rsid w:val="4DC74CFA"/>
    <w:rsid w:val="4DDC010C"/>
    <w:rsid w:val="4DE43ACF"/>
    <w:rsid w:val="4DFF1E22"/>
    <w:rsid w:val="4DFF3A26"/>
    <w:rsid w:val="4E0A0EF3"/>
    <w:rsid w:val="4E0B4C6B"/>
    <w:rsid w:val="4E105D47"/>
    <w:rsid w:val="4E20297D"/>
    <w:rsid w:val="4E204980"/>
    <w:rsid w:val="4E274BC5"/>
    <w:rsid w:val="4E3D1E8A"/>
    <w:rsid w:val="4E4D0DDF"/>
    <w:rsid w:val="4E546612"/>
    <w:rsid w:val="4E5F470C"/>
    <w:rsid w:val="4EAB1F97"/>
    <w:rsid w:val="4EC2357B"/>
    <w:rsid w:val="4EDE7D5F"/>
    <w:rsid w:val="4EE92CB2"/>
    <w:rsid w:val="4F0A15BF"/>
    <w:rsid w:val="4F136945"/>
    <w:rsid w:val="4F477F24"/>
    <w:rsid w:val="4F4C1097"/>
    <w:rsid w:val="4F703619"/>
    <w:rsid w:val="4F714FA1"/>
    <w:rsid w:val="4F781E8C"/>
    <w:rsid w:val="4F871635"/>
    <w:rsid w:val="4F906A7A"/>
    <w:rsid w:val="4FA113E3"/>
    <w:rsid w:val="4FA72771"/>
    <w:rsid w:val="4FA9473B"/>
    <w:rsid w:val="4FCF4B53"/>
    <w:rsid w:val="4FCF7562"/>
    <w:rsid w:val="4FE12B5B"/>
    <w:rsid w:val="4FE439C5"/>
    <w:rsid w:val="4FE90FDC"/>
    <w:rsid w:val="4FF52BAA"/>
    <w:rsid w:val="50144132"/>
    <w:rsid w:val="505301A3"/>
    <w:rsid w:val="507C1E50"/>
    <w:rsid w:val="50812FC2"/>
    <w:rsid w:val="509176A9"/>
    <w:rsid w:val="50952F83"/>
    <w:rsid w:val="50EA0B67"/>
    <w:rsid w:val="50EB3F82"/>
    <w:rsid w:val="51114346"/>
    <w:rsid w:val="512330E3"/>
    <w:rsid w:val="513242BC"/>
    <w:rsid w:val="51383FC9"/>
    <w:rsid w:val="514566E6"/>
    <w:rsid w:val="518333A6"/>
    <w:rsid w:val="51894824"/>
    <w:rsid w:val="51D05FAF"/>
    <w:rsid w:val="51DF057C"/>
    <w:rsid w:val="51F779E0"/>
    <w:rsid w:val="51F9484E"/>
    <w:rsid w:val="52173BDE"/>
    <w:rsid w:val="52253394"/>
    <w:rsid w:val="52312D27"/>
    <w:rsid w:val="523429E2"/>
    <w:rsid w:val="523E73BD"/>
    <w:rsid w:val="524424F9"/>
    <w:rsid w:val="52480E5C"/>
    <w:rsid w:val="52592449"/>
    <w:rsid w:val="527A416D"/>
    <w:rsid w:val="52846FEF"/>
    <w:rsid w:val="52937DA0"/>
    <w:rsid w:val="529671F9"/>
    <w:rsid w:val="52C04276"/>
    <w:rsid w:val="52D94E5A"/>
    <w:rsid w:val="53456529"/>
    <w:rsid w:val="535675C7"/>
    <w:rsid w:val="536A7F0B"/>
    <w:rsid w:val="53752D34"/>
    <w:rsid w:val="538C4158"/>
    <w:rsid w:val="53AC47FA"/>
    <w:rsid w:val="544D7D8B"/>
    <w:rsid w:val="54CA0F72"/>
    <w:rsid w:val="54F226E1"/>
    <w:rsid w:val="550D4D66"/>
    <w:rsid w:val="5529453F"/>
    <w:rsid w:val="552A1E7A"/>
    <w:rsid w:val="55300D6C"/>
    <w:rsid w:val="55431BA3"/>
    <w:rsid w:val="55466588"/>
    <w:rsid w:val="55482300"/>
    <w:rsid w:val="554856A7"/>
    <w:rsid w:val="5572737D"/>
    <w:rsid w:val="55855303"/>
    <w:rsid w:val="558E48F3"/>
    <w:rsid w:val="55AF2380"/>
    <w:rsid w:val="55C40E60"/>
    <w:rsid w:val="55FE21FF"/>
    <w:rsid w:val="56101DE7"/>
    <w:rsid w:val="56165263"/>
    <w:rsid w:val="561D19DF"/>
    <w:rsid w:val="564F0FA5"/>
    <w:rsid w:val="56682C5A"/>
    <w:rsid w:val="567333AD"/>
    <w:rsid w:val="567710EF"/>
    <w:rsid w:val="5684380C"/>
    <w:rsid w:val="56BB1310"/>
    <w:rsid w:val="56C65BD3"/>
    <w:rsid w:val="56CE4A87"/>
    <w:rsid w:val="56F00EA2"/>
    <w:rsid w:val="56FC7846"/>
    <w:rsid w:val="57201787"/>
    <w:rsid w:val="574C257C"/>
    <w:rsid w:val="57864E12"/>
    <w:rsid w:val="57A6230D"/>
    <w:rsid w:val="57C93082"/>
    <w:rsid w:val="57CB25AC"/>
    <w:rsid w:val="57E52089"/>
    <w:rsid w:val="580A1AEF"/>
    <w:rsid w:val="581703CB"/>
    <w:rsid w:val="58390A99"/>
    <w:rsid w:val="583C0A10"/>
    <w:rsid w:val="5849318A"/>
    <w:rsid w:val="586E6522"/>
    <w:rsid w:val="588653B2"/>
    <w:rsid w:val="588673C8"/>
    <w:rsid w:val="58AA6296"/>
    <w:rsid w:val="58B57CAD"/>
    <w:rsid w:val="58CE6FC1"/>
    <w:rsid w:val="58D971B2"/>
    <w:rsid w:val="58DC16DE"/>
    <w:rsid w:val="590A0DFE"/>
    <w:rsid w:val="59126EAD"/>
    <w:rsid w:val="591470C9"/>
    <w:rsid w:val="5919342E"/>
    <w:rsid w:val="59886B03"/>
    <w:rsid w:val="59C77FBD"/>
    <w:rsid w:val="59E22D24"/>
    <w:rsid w:val="5A1924BD"/>
    <w:rsid w:val="5A34505B"/>
    <w:rsid w:val="5A4625AB"/>
    <w:rsid w:val="5A561E8A"/>
    <w:rsid w:val="5A5A6D5E"/>
    <w:rsid w:val="5A627236"/>
    <w:rsid w:val="5A712320"/>
    <w:rsid w:val="5A7616BE"/>
    <w:rsid w:val="5ACE32A8"/>
    <w:rsid w:val="5AD73B2D"/>
    <w:rsid w:val="5AEC372E"/>
    <w:rsid w:val="5AFC7E15"/>
    <w:rsid w:val="5B2A416F"/>
    <w:rsid w:val="5B4D68C3"/>
    <w:rsid w:val="5BC8419B"/>
    <w:rsid w:val="5BEA2E5D"/>
    <w:rsid w:val="5C0D7E00"/>
    <w:rsid w:val="5C606182"/>
    <w:rsid w:val="5C777C09"/>
    <w:rsid w:val="5C9041B6"/>
    <w:rsid w:val="5CB3754B"/>
    <w:rsid w:val="5CBC0BB0"/>
    <w:rsid w:val="5D432DCC"/>
    <w:rsid w:val="5D804D2D"/>
    <w:rsid w:val="5D891708"/>
    <w:rsid w:val="5D8A5BAC"/>
    <w:rsid w:val="5D982A5F"/>
    <w:rsid w:val="5DB85B94"/>
    <w:rsid w:val="5DC25D91"/>
    <w:rsid w:val="5DC80482"/>
    <w:rsid w:val="5DE30E18"/>
    <w:rsid w:val="5DF72B16"/>
    <w:rsid w:val="5E16313D"/>
    <w:rsid w:val="5E3B6EA6"/>
    <w:rsid w:val="5E654F3A"/>
    <w:rsid w:val="5E6C0AD8"/>
    <w:rsid w:val="5E9B16F3"/>
    <w:rsid w:val="5EA04F5B"/>
    <w:rsid w:val="5EA902B4"/>
    <w:rsid w:val="5EAD0763"/>
    <w:rsid w:val="5EEA0DD4"/>
    <w:rsid w:val="5F121FCF"/>
    <w:rsid w:val="5F1A4D0E"/>
    <w:rsid w:val="5F221E14"/>
    <w:rsid w:val="5F2D4A41"/>
    <w:rsid w:val="5F356BE6"/>
    <w:rsid w:val="5F4E2C09"/>
    <w:rsid w:val="5F577D10"/>
    <w:rsid w:val="5F883083"/>
    <w:rsid w:val="5FB07420"/>
    <w:rsid w:val="5FB707AE"/>
    <w:rsid w:val="5FC42B81"/>
    <w:rsid w:val="60243CC7"/>
    <w:rsid w:val="602B6AA7"/>
    <w:rsid w:val="60695F4D"/>
    <w:rsid w:val="60795A64"/>
    <w:rsid w:val="60CC028A"/>
    <w:rsid w:val="60DD5FF3"/>
    <w:rsid w:val="60DF22ED"/>
    <w:rsid w:val="60E54FE5"/>
    <w:rsid w:val="6109503A"/>
    <w:rsid w:val="61112140"/>
    <w:rsid w:val="61390342"/>
    <w:rsid w:val="6185087E"/>
    <w:rsid w:val="61BC0D8B"/>
    <w:rsid w:val="61C13B66"/>
    <w:rsid w:val="6223037D"/>
    <w:rsid w:val="626F7694"/>
    <w:rsid w:val="629D7D01"/>
    <w:rsid w:val="62DB47B4"/>
    <w:rsid w:val="62E90D48"/>
    <w:rsid w:val="63073C66"/>
    <w:rsid w:val="63251ED3"/>
    <w:rsid w:val="63275C4B"/>
    <w:rsid w:val="63534C92"/>
    <w:rsid w:val="63604CB9"/>
    <w:rsid w:val="6371005D"/>
    <w:rsid w:val="63846BFA"/>
    <w:rsid w:val="63864720"/>
    <w:rsid w:val="63B0096C"/>
    <w:rsid w:val="63C40AEC"/>
    <w:rsid w:val="63C4349A"/>
    <w:rsid w:val="63E63410"/>
    <w:rsid w:val="63FE5EBF"/>
    <w:rsid w:val="640035D2"/>
    <w:rsid w:val="64065A90"/>
    <w:rsid w:val="64192F7B"/>
    <w:rsid w:val="64436AB5"/>
    <w:rsid w:val="644751C1"/>
    <w:rsid w:val="64733328"/>
    <w:rsid w:val="6488096B"/>
    <w:rsid w:val="64AA6B34"/>
    <w:rsid w:val="64AF46D3"/>
    <w:rsid w:val="64CF20F6"/>
    <w:rsid w:val="64F90F01"/>
    <w:rsid w:val="6555561D"/>
    <w:rsid w:val="65622F6B"/>
    <w:rsid w:val="65751BC4"/>
    <w:rsid w:val="65FF07B9"/>
    <w:rsid w:val="661E3335"/>
    <w:rsid w:val="66391F1D"/>
    <w:rsid w:val="667C005C"/>
    <w:rsid w:val="667F49FC"/>
    <w:rsid w:val="6694184A"/>
    <w:rsid w:val="66994E73"/>
    <w:rsid w:val="66AB2A9B"/>
    <w:rsid w:val="66D165FA"/>
    <w:rsid w:val="66FF579F"/>
    <w:rsid w:val="670713B3"/>
    <w:rsid w:val="67107E12"/>
    <w:rsid w:val="67245554"/>
    <w:rsid w:val="674072DB"/>
    <w:rsid w:val="676B07FC"/>
    <w:rsid w:val="67753429"/>
    <w:rsid w:val="678054D1"/>
    <w:rsid w:val="67950A2E"/>
    <w:rsid w:val="67C62B4B"/>
    <w:rsid w:val="67CE0D8B"/>
    <w:rsid w:val="67D16185"/>
    <w:rsid w:val="67E36C7A"/>
    <w:rsid w:val="67EE18E9"/>
    <w:rsid w:val="680010CD"/>
    <w:rsid w:val="680358A4"/>
    <w:rsid w:val="68060525"/>
    <w:rsid w:val="68097F4A"/>
    <w:rsid w:val="68106CAE"/>
    <w:rsid w:val="68165B6A"/>
    <w:rsid w:val="6826679A"/>
    <w:rsid w:val="682A0E4E"/>
    <w:rsid w:val="68435CC2"/>
    <w:rsid w:val="684D3A5E"/>
    <w:rsid w:val="686F7E78"/>
    <w:rsid w:val="687A681D"/>
    <w:rsid w:val="68817BAC"/>
    <w:rsid w:val="68B97345"/>
    <w:rsid w:val="68C006D4"/>
    <w:rsid w:val="68CD4B9F"/>
    <w:rsid w:val="68D92CCD"/>
    <w:rsid w:val="68E7091D"/>
    <w:rsid w:val="690B56C7"/>
    <w:rsid w:val="6914506A"/>
    <w:rsid w:val="69325C13"/>
    <w:rsid w:val="694A4441"/>
    <w:rsid w:val="6966563A"/>
    <w:rsid w:val="69867B89"/>
    <w:rsid w:val="69AA7DCC"/>
    <w:rsid w:val="69E6019D"/>
    <w:rsid w:val="69F05DDB"/>
    <w:rsid w:val="69F50851"/>
    <w:rsid w:val="6A050B73"/>
    <w:rsid w:val="6A14139D"/>
    <w:rsid w:val="6A1A02B8"/>
    <w:rsid w:val="6A2904FB"/>
    <w:rsid w:val="6A3F1323"/>
    <w:rsid w:val="6A844B47"/>
    <w:rsid w:val="6AA87672"/>
    <w:rsid w:val="6AC34955"/>
    <w:rsid w:val="6AD466B8"/>
    <w:rsid w:val="6AE740AC"/>
    <w:rsid w:val="6AF5553D"/>
    <w:rsid w:val="6AFC66FE"/>
    <w:rsid w:val="6B39651C"/>
    <w:rsid w:val="6B3F7A46"/>
    <w:rsid w:val="6B56531F"/>
    <w:rsid w:val="6B571085"/>
    <w:rsid w:val="6B751A4F"/>
    <w:rsid w:val="6B834AAA"/>
    <w:rsid w:val="6B96396E"/>
    <w:rsid w:val="6BC32289"/>
    <w:rsid w:val="6BF07ABB"/>
    <w:rsid w:val="6C1256EA"/>
    <w:rsid w:val="6C3A254B"/>
    <w:rsid w:val="6C3D64DF"/>
    <w:rsid w:val="6C3F1694"/>
    <w:rsid w:val="6C463DF0"/>
    <w:rsid w:val="6C586E75"/>
    <w:rsid w:val="6C621AA2"/>
    <w:rsid w:val="6C68355C"/>
    <w:rsid w:val="6C6A6651"/>
    <w:rsid w:val="6CA409AC"/>
    <w:rsid w:val="6CA77F9A"/>
    <w:rsid w:val="6CB73B9C"/>
    <w:rsid w:val="6CDC3602"/>
    <w:rsid w:val="6CE1330F"/>
    <w:rsid w:val="6CF31062"/>
    <w:rsid w:val="6D31091A"/>
    <w:rsid w:val="6D3C22F3"/>
    <w:rsid w:val="6D6467EB"/>
    <w:rsid w:val="6D6A3304"/>
    <w:rsid w:val="6D7E660E"/>
    <w:rsid w:val="6D8D155E"/>
    <w:rsid w:val="6DA12829"/>
    <w:rsid w:val="6DA34120"/>
    <w:rsid w:val="6DB12A4B"/>
    <w:rsid w:val="6DB564F3"/>
    <w:rsid w:val="6DBC462A"/>
    <w:rsid w:val="6DC04CD2"/>
    <w:rsid w:val="6DC742B3"/>
    <w:rsid w:val="6DDB1B0C"/>
    <w:rsid w:val="6DDE7A63"/>
    <w:rsid w:val="6DF57072"/>
    <w:rsid w:val="6E1B45FE"/>
    <w:rsid w:val="6E3336F6"/>
    <w:rsid w:val="6E761484"/>
    <w:rsid w:val="6E7B6E4B"/>
    <w:rsid w:val="6E7D2BC3"/>
    <w:rsid w:val="6E925379"/>
    <w:rsid w:val="6E9B1D02"/>
    <w:rsid w:val="6EA168B2"/>
    <w:rsid w:val="6ED36C87"/>
    <w:rsid w:val="6EDC1FE0"/>
    <w:rsid w:val="6EDF6561"/>
    <w:rsid w:val="6F006616"/>
    <w:rsid w:val="6F2130AA"/>
    <w:rsid w:val="6F2B4B68"/>
    <w:rsid w:val="6F2D283B"/>
    <w:rsid w:val="6F4B2B3B"/>
    <w:rsid w:val="6F5778B8"/>
    <w:rsid w:val="6F5F177E"/>
    <w:rsid w:val="6F71097A"/>
    <w:rsid w:val="6F7A7103"/>
    <w:rsid w:val="6FB72105"/>
    <w:rsid w:val="6FBD596D"/>
    <w:rsid w:val="6FCE7B7A"/>
    <w:rsid w:val="6FD1766A"/>
    <w:rsid w:val="6FE169C0"/>
    <w:rsid w:val="6FE5243D"/>
    <w:rsid w:val="6FE54EC4"/>
    <w:rsid w:val="6FF9271D"/>
    <w:rsid w:val="70357BF9"/>
    <w:rsid w:val="70390D6C"/>
    <w:rsid w:val="703B4AE4"/>
    <w:rsid w:val="70846CA8"/>
    <w:rsid w:val="70885E3F"/>
    <w:rsid w:val="71066EA0"/>
    <w:rsid w:val="712F35F6"/>
    <w:rsid w:val="713A0A6A"/>
    <w:rsid w:val="717177A6"/>
    <w:rsid w:val="718971D8"/>
    <w:rsid w:val="71A36DE5"/>
    <w:rsid w:val="71EF33B5"/>
    <w:rsid w:val="71F71909"/>
    <w:rsid w:val="71F87FE7"/>
    <w:rsid w:val="72000B39"/>
    <w:rsid w:val="72007D93"/>
    <w:rsid w:val="726919BE"/>
    <w:rsid w:val="729A1F96"/>
    <w:rsid w:val="72A3216D"/>
    <w:rsid w:val="72A7120C"/>
    <w:rsid w:val="72A9667D"/>
    <w:rsid w:val="72C62D8B"/>
    <w:rsid w:val="72D065BB"/>
    <w:rsid w:val="72D336FA"/>
    <w:rsid w:val="72E231CE"/>
    <w:rsid w:val="731A6C33"/>
    <w:rsid w:val="733B2DB9"/>
    <w:rsid w:val="73557F00"/>
    <w:rsid w:val="7364600D"/>
    <w:rsid w:val="73670AD3"/>
    <w:rsid w:val="736D76AA"/>
    <w:rsid w:val="73880040"/>
    <w:rsid w:val="739C3AEB"/>
    <w:rsid w:val="73C66DBA"/>
    <w:rsid w:val="73D414D7"/>
    <w:rsid w:val="73FF181C"/>
    <w:rsid w:val="74161AF0"/>
    <w:rsid w:val="741840A2"/>
    <w:rsid w:val="743B1556"/>
    <w:rsid w:val="74A54C22"/>
    <w:rsid w:val="74AE1D28"/>
    <w:rsid w:val="74BD640F"/>
    <w:rsid w:val="74CC0400"/>
    <w:rsid w:val="74D80B53"/>
    <w:rsid w:val="74FD4A5E"/>
    <w:rsid w:val="75051799"/>
    <w:rsid w:val="750E6253"/>
    <w:rsid w:val="75271ADB"/>
    <w:rsid w:val="753C7334"/>
    <w:rsid w:val="755550E4"/>
    <w:rsid w:val="755C0BB7"/>
    <w:rsid w:val="757840E4"/>
    <w:rsid w:val="757F1917"/>
    <w:rsid w:val="758B02BC"/>
    <w:rsid w:val="759E127A"/>
    <w:rsid w:val="75C56D6B"/>
    <w:rsid w:val="75E023B5"/>
    <w:rsid w:val="75E37373"/>
    <w:rsid w:val="76112EA4"/>
    <w:rsid w:val="761738FD"/>
    <w:rsid w:val="761C0F14"/>
    <w:rsid w:val="76283289"/>
    <w:rsid w:val="7630676D"/>
    <w:rsid w:val="76361CF9"/>
    <w:rsid w:val="76742AFE"/>
    <w:rsid w:val="76B4114C"/>
    <w:rsid w:val="76CD220E"/>
    <w:rsid w:val="76DC52E9"/>
    <w:rsid w:val="76E003CF"/>
    <w:rsid w:val="77536BB7"/>
    <w:rsid w:val="775545EE"/>
    <w:rsid w:val="77AA0F4D"/>
    <w:rsid w:val="77BD2282"/>
    <w:rsid w:val="78047EB1"/>
    <w:rsid w:val="78076CB5"/>
    <w:rsid w:val="781835DD"/>
    <w:rsid w:val="78542BE7"/>
    <w:rsid w:val="785904E4"/>
    <w:rsid w:val="78656BA2"/>
    <w:rsid w:val="78713799"/>
    <w:rsid w:val="78723FE5"/>
    <w:rsid w:val="787F1E99"/>
    <w:rsid w:val="78911745"/>
    <w:rsid w:val="78C50F1A"/>
    <w:rsid w:val="78C7785D"/>
    <w:rsid w:val="78F20DB9"/>
    <w:rsid w:val="78F41CD4"/>
    <w:rsid w:val="792D03EF"/>
    <w:rsid w:val="795409C4"/>
    <w:rsid w:val="796432FD"/>
    <w:rsid w:val="79777A55"/>
    <w:rsid w:val="797A667D"/>
    <w:rsid w:val="79B157C1"/>
    <w:rsid w:val="79F707EE"/>
    <w:rsid w:val="79FE3F6F"/>
    <w:rsid w:val="7A552C46"/>
    <w:rsid w:val="7A7C68F7"/>
    <w:rsid w:val="7ABE2599"/>
    <w:rsid w:val="7AEE7323"/>
    <w:rsid w:val="7B275EB5"/>
    <w:rsid w:val="7B332F87"/>
    <w:rsid w:val="7B9B28DB"/>
    <w:rsid w:val="7BB35E76"/>
    <w:rsid w:val="7BC736D0"/>
    <w:rsid w:val="7BF859D9"/>
    <w:rsid w:val="7BFA3AA5"/>
    <w:rsid w:val="7C3866D8"/>
    <w:rsid w:val="7C4A4A2C"/>
    <w:rsid w:val="7C741AA9"/>
    <w:rsid w:val="7CCB0C2A"/>
    <w:rsid w:val="7CEC1C73"/>
    <w:rsid w:val="7CFA4979"/>
    <w:rsid w:val="7D00036C"/>
    <w:rsid w:val="7D2A2168"/>
    <w:rsid w:val="7D545437"/>
    <w:rsid w:val="7D6B6208"/>
    <w:rsid w:val="7D831878"/>
    <w:rsid w:val="7D9E63EA"/>
    <w:rsid w:val="7DA0067C"/>
    <w:rsid w:val="7DC3536E"/>
    <w:rsid w:val="7DC776BE"/>
    <w:rsid w:val="7DD4121B"/>
    <w:rsid w:val="7DE467BB"/>
    <w:rsid w:val="7E062BD5"/>
    <w:rsid w:val="7E3059FB"/>
    <w:rsid w:val="7E3C43E9"/>
    <w:rsid w:val="7E3F6FF9"/>
    <w:rsid w:val="7E4159BB"/>
    <w:rsid w:val="7E6B35AE"/>
    <w:rsid w:val="7E81400A"/>
    <w:rsid w:val="7E941F8F"/>
    <w:rsid w:val="7EB3766C"/>
    <w:rsid w:val="7ED22AB7"/>
    <w:rsid w:val="7EE03426"/>
    <w:rsid w:val="7EE30820"/>
    <w:rsid w:val="7EF06BBC"/>
    <w:rsid w:val="7F0F0B8A"/>
    <w:rsid w:val="7F144E7E"/>
    <w:rsid w:val="7F156363"/>
    <w:rsid w:val="7F1C47E2"/>
    <w:rsid w:val="7F231011"/>
    <w:rsid w:val="7F2A644F"/>
    <w:rsid w:val="7F4734A5"/>
    <w:rsid w:val="7F787468"/>
    <w:rsid w:val="7F8850C1"/>
    <w:rsid w:val="7FAC519F"/>
    <w:rsid w:val="7FF07699"/>
    <w:rsid w:val="7FF76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rules v:ext="edit">
        <o:r id="V:Rule1" type="connector" idref="#_x0000_s2051"/>
        <o:r id="V:Rule2" type="connector" idref="#_x0000_s2052"/>
        <o:r id="V:Rule3" type="connector" idref="#_x0000_s2053"/>
        <o:r id="V:Rule4" type="connector" idref="#_x0000_s2054"/>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9" w:name="heading 4"/>
    <w:lsdException w:qFormat="1" w:uiPriority="9"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iPriority="99" w:name="HTML Preformatted"/>
    <w:lsdException w:qFormat="1" w:unhideWhenUsed="0" w:uiPriority="0" w:semiHidden="0" w:name="HTML Sample"/>
    <w:lsdException w:uiPriority="99" w:name="HTML Typewriter"/>
    <w:lsdException w:qFormat="1" w:unhideWhenUsed="0" w:uiPriority="0" w:semiHidden="0"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3">
    <w:name w:val="heading 1"/>
    <w:basedOn w:val="1"/>
    <w:link w:val="49"/>
    <w:qFormat/>
    <w:uiPriority w:val="9"/>
    <w:pPr>
      <w:keepNext/>
      <w:keepLines/>
      <w:spacing w:line="360" w:lineRule="auto"/>
      <w:outlineLvl w:val="0"/>
    </w:pPr>
    <w:rPr>
      <w:rFonts w:ascii="宋体"/>
      <w:b/>
      <w:kern w:val="44"/>
      <w:sz w:val="44"/>
      <w:szCs w:val="20"/>
    </w:rPr>
  </w:style>
  <w:style w:type="paragraph" w:styleId="2">
    <w:name w:val="heading 2"/>
    <w:basedOn w:val="1"/>
    <w:next w:val="1"/>
    <w:link w:val="91"/>
    <w:semiHidden/>
    <w:unhideWhenUsed/>
    <w:qFormat/>
    <w:uiPriority w:val="0"/>
    <w:pPr>
      <w:keepNext/>
      <w:keepLines/>
      <w:spacing w:before="260" w:after="260" w:line="416" w:lineRule="atLeast"/>
      <w:outlineLvl w:val="1"/>
    </w:pPr>
    <w:rPr>
      <w:rFonts w:ascii="宋体"/>
      <w:b/>
      <w:kern w:val="44"/>
      <w:sz w:val="28"/>
      <w:szCs w:val="20"/>
    </w:rPr>
  </w:style>
  <w:style w:type="paragraph" w:styleId="4">
    <w:name w:val="heading 3"/>
    <w:basedOn w:val="1"/>
    <w:semiHidden/>
    <w:unhideWhenUsed/>
    <w:qFormat/>
    <w:uiPriority w:val="9"/>
    <w:pPr>
      <w:tabs>
        <w:tab w:val="left" w:pos="680"/>
        <w:tab w:val="left" w:pos="907"/>
        <w:tab w:val="left" w:pos="1134"/>
        <w:tab w:val="left" w:pos="1361"/>
        <w:tab w:val="right" w:pos="6804"/>
        <w:tab w:val="left" w:pos="7088"/>
      </w:tabs>
      <w:spacing w:before="120" w:line="360" w:lineRule="atLeast"/>
      <w:jc w:val="left"/>
      <w:outlineLvl w:val="2"/>
    </w:pPr>
    <w:rPr>
      <w:rFonts w:ascii="Arial" w:hAnsi="Arial"/>
      <w:b/>
      <w:kern w:val="0"/>
    </w:rPr>
  </w:style>
  <w:style w:type="paragraph" w:styleId="5">
    <w:name w:val="heading 4"/>
    <w:basedOn w:val="1"/>
    <w:semiHidden/>
    <w:unhideWhenUsed/>
    <w:qFormat/>
    <w:uiPriority w:val="9"/>
    <w:pPr>
      <w:keepNext/>
      <w:numPr>
        <w:ilvl w:val="0"/>
        <w:numId w:val="1"/>
      </w:numPr>
      <w:spacing w:line="360" w:lineRule="auto"/>
      <w:ind w:left="454"/>
      <w:jc w:val="left"/>
      <w:outlineLvl w:val="3"/>
    </w:pPr>
    <w:rPr>
      <w:rFonts w:ascii="宋体"/>
      <w:i/>
      <w:kern w:val="0"/>
      <w:szCs w:val="20"/>
    </w:rPr>
  </w:style>
  <w:style w:type="paragraph" w:styleId="6">
    <w:name w:val="heading 5"/>
    <w:basedOn w:val="1"/>
    <w:semiHidden/>
    <w:unhideWhenUsed/>
    <w:qFormat/>
    <w:uiPriority w:val="9"/>
    <w:pPr>
      <w:keepNext/>
      <w:keepLines/>
      <w:numPr>
        <w:ilvl w:val="4"/>
        <w:numId w:val="2"/>
      </w:numPr>
      <w:spacing w:before="120" w:after="120"/>
      <w:outlineLvl w:val="4"/>
    </w:pPr>
    <w:rPr>
      <w:rFonts w:ascii="小标宋"/>
      <w:szCs w:val="20"/>
    </w:rPr>
  </w:style>
  <w:style w:type="paragraph" w:styleId="7">
    <w:name w:val="heading 6"/>
    <w:basedOn w:val="1"/>
    <w:semiHidden/>
    <w:unhideWhenUsed/>
    <w:qFormat/>
    <w:uiPriority w:val="9"/>
    <w:pPr>
      <w:keepNext/>
      <w:keepLines/>
      <w:numPr>
        <w:ilvl w:val="5"/>
        <w:numId w:val="2"/>
      </w:numPr>
      <w:spacing w:before="240" w:after="64" w:line="320" w:lineRule="auto"/>
      <w:outlineLvl w:val="5"/>
    </w:pPr>
    <w:rPr>
      <w:rFonts w:ascii="Arial" w:hAnsi="Arial" w:eastAsia="黑体"/>
      <w:szCs w:val="20"/>
    </w:rPr>
  </w:style>
  <w:style w:type="paragraph" w:styleId="8">
    <w:name w:val="heading 7"/>
    <w:basedOn w:val="1"/>
    <w:qFormat/>
    <w:uiPriority w:val="0"/>
    <w:pPr>
      <w:keepNext/>
      <w:keepLines/>
      <w:numPr>
        <w:ilvl w:val="6"/>
        <w:numId w:val="2"/>
      </w:numPr>
      <w:spacing w:before="240" w:after="64" w:line="320" w:lineRule="auto"/>
      <w:outlineLvl w:val="6"/>
    </w:pPr>
    <w:rPr>
      <w:rFonts w:ascii="宋体"/>
      <w:szCs w:val="20"/>
    </w:rPr>
  </w:style>
  <w:style w:type="paragraph" w:styleId="9">
    <w:name w:val="heading 8"/>
    <w:basedOn w:val="1"/>
    <w:qFormat/>
    <w:uiPriority w:val="0"/>
    <w:pPr>
      <w:keepNext/>
      <w:keepLines/>
      <w:numPr>
        <w:ilvl w:val="7"/>
        <w:numId w:val="2"/>
      </w:numPr>
      <w:spacing w:before="240" w:after="64" w:line="320" w:lineRule="auto"/>
      <w:outlineLvl w:val="7"/>
    </w:pPr>
    <w:rPr>
      <w:rFonts w:ascii="Arial" w:hAnsi="Arial" w:eastAsia="黑体"/>
      <w:b/>
      <w:szCs w:val="20"/>
    </w:rPr>
  </w:style>
  <w:style w:type="paragraph" w:styleId="10">
    <w:name w:val="heading 9"/>
    <w:basedOn w:val="1"/>
    <w:qFormat/>
    <w:uiPriority w:val="0"/>
    <w:pPr>
      <w:keepNext/>
      <w:keepLines/>
      <w:numPr>
        <w:ilvl w:val="8"/>
        <w:numId w:val="2"/>
      </w:numPr>
      <w:spacing w:before="240" w:after="64" w:line="320" w:lineRule="auto"/>
      <w:outlineLvl w:val="8"/>
    </w:pPr>
    <w:rPr>
      <w:rFonts w:ascii="Arial" w:hAnsi="Arial" w:eastAsia="黑体"/>
      <w:b/>
      <w:szCs w:val="20"/>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spacing w:line="360" w:lineRule="atLeast"/>
      <w:ind w:firstLine="420"/>
      <w:jc w:val="left"/>
    </w:pPr>
    <w:rPr>
      <w:kern w:val="0"/>
      <w:szCs w:val="20"/>
    </w:rPr>
  </w:style>
  <w:style w:type="paragraph" w:styleId="12">
    <w:name w:val="Document Map"/>
    <w:basedOn w:val="1"/>
    <w:semiHidden/>
    <w:qFormat/>
    <w:uiPriority w:val="0"/>
    <w:pPr>
      <w:shd w:val="clear" w:color="auto" w:fill="000080"/>
    </w:pPr>
  </w:style>
  <w:style w:type="paragraph" w:styleId="13">
    <w:name w:val="annotation text"/>
    <w:basedOn w:val="1"/>
    <w:link w:val="93"/>
    <w:semiHidden/>
    <w:qFormat/>
    <w:uiPriority w:val="0"/>
    <w:pPr>
      <w:jc w:val="left"/>
    </w:pPr>
  </w:style>
  <w:style w:type="paragraph" w:styleId="14">
    <w:name w:val="Body Text 3"/>
    <w:basedOn w:val="1"/>
    <w:qFormat/>
    <w:uiPriority w:val="0"/>
    <w:pPr>
      <w:spacing w:line="360" w:lineRule="auto"/>
      <w:jc w:val="center"/>
    </w:pPr>
    <w:rPr>
      <w:rFonts w:ascii="宋体"/>
      <w:b/>
      <w:color w:val="FF0000"/>
      <w:kern w:val="0"/>
      <w:szCs w:val="20"/>
      <w:u w:val="single"/>
    </w:rPr>
  </w:style>
  <w:style w:type="paragraph" w:styleId="15">
    <w:name w:val="Body Text"/>
    <w:basedOn w:val="1"/>
    <w:qFormat/>
    <w:uiPriority w:val="0"/>
    <w:pPr>
      <w:spacing w:after="120"/>
    </w:pPr>
  </w:style>
  <w:style w:type="paragraph" w:styleId="16">
    <w:name w:val="Body Text Indent"/>
    <w:basedOn w:val="1"/>
    <w:qFormat/>
    <w:uiPriority w:val="0"/>
    <w:pPr>
      <w:spacing w:line="360" w:lineRule="auto"/>
      <w:ind w:firstLine="480"/>
      <w:jc w:val="left"/>
    </w:pPr>
    <w:rPr>
      <w:rFonts w:ascii="宋体"/>
      <w:color w:val="0000FF"/>
      <w:kern w:val="0"/>
      <w:szCs w:val="20"/>
    </w:rPr>
  </w:style>
  <w:style w:type="paragraph" w:styleId="17">
    <w:name w:val="Plain Text"/>
    <w:basedOn w:val="1"/>
    <w:qFormat/>
    <w:uiPriority w:val="0"/>
    <w:rPr>
      <w:rFonts w:ascii="宋体" w:hAnsi="Courier New"/>
      <w:szCs w:val="21"/>
    </w:rPr>
  </w:style>
  <w:style w:type="paragraph" w:styleId="18">
    <w:name w:val="Date"/>
    <w:basedOn w:val="1"/>
    <w:link w:val="95"/>
    <w:qFormat/>
    <w:uiPriority w:val="0"/>
    <w:pPr>
      <w:spacing w:line="360" w:lineRule="atLeast"/>
    </w:pPr>
    <w:rPr>
      <w:rFonts w:ascii="宋体"/>
      <w:kern w:val="0"/>
      <w:sz w:val="28"/>
      <w:szCs w:val="20"/>
    </w:rPr>
  </w:style>
  <w:style w:type="paragraph" w:styleId="19">
    <w:name w:val="Body Text Indent 2"/>
    <w:basedOn w:val="1"/>
    <w:qFormat/>
    <w:uiPriority w:val="0"/>
    <w:pPr>
      <w:spacing w:line="0" w:lineRule="atLeast"/>
      <w:ind w:right="202" w:firstLine="630" w:firstLineChars="225"/>
      <w:jc w:val="left"/>
    </w:pPr>
    <w:rPr>
      <w:rFonts w:ascii="宋体"/>
      <w:spacing w:val="20"/>
      <w:kern w:val="0"/>
      <w:position w:val="20"/>
      <w:szCs w:val="20"/>
    </w:rPr>
  </w:style>
  <w:style w:type="paragraph" w:styleId="20">
    <w:name w:val="Balloon Text"/>
    <w:basedOn w:val="1"/>
    <w:link w:val="97"/>
    <w:semiHidden/>
    <w:qFormat/>
    <w:uiPriority w:val="0"/>
    <w:rPr>
      <w:sz w:val="18"/>
      <w:szCs w:val="18"/>
    </w:rPr>
  </w:style>
  <w:style w:type="paragraph" w:styleId="21">
    <w:name w:val="footer"/>
    <w:basedOn w:val="1"/>
    <w:link w:val="85"/>
    <w:qFormat/>
    <w:uiPriority w:val="0"/>
    <w:pPr>
      <w:tabs>
        <w:tab w:val="center" w:pos="4153"/>
        <w:tab w:val="right" w:pos="8306"/>
      </w:tabs>
      <w:spacing w:line="240" w:lineRule="atLeast"/>
      <w:jc w:val="left"/>
    </w:pPr>
    <w:rPr>
      <w:kern w:val="0"/>
      <w:sz w:val="18"/>
      <w:szCs w:val="20"/>
      <w:lang w:eastAsia="en-US"/>
    </w:rPr>
  </w:style>
  <w:style w:type="paragraph" w:styleId="22">
    <w:name w:val="header"/>
    <w:basedOn w:val="1"/>
    <w:link w:val="94"/>
    <w:qFormat/>
    <w:uiPriority w:val="0"/>
    <w:pPr>
      <w:pBdr>
        <w:bottom w:val="single" w:color="000000" w:sz="6" w:space="1"/>
      </w:pBdr>
      <w:tabs>
        <w:tab w:val="center" w:pos="4153"/>
        <w:tab w:val="right" w:pos="8306"/>
      </w:tabs>
      <w:snapToGrid w:val="0"/>
      <w:spacing w:line="240" w:lineRule="atLeast"/>
      <w:jc w:val="center"/>
    </w:pPr>
    <w:rPr>
      <w:kern w:val="0"/>
      <w:sz w:val="18"/>
      <w:szCs w:val="20"/>
    </w:rPr>
  </w:style>
  <w:style w:type="paragraph" w:styleId="23">
    <w:name w:val="toc 1"/>
    <w:basedOn w:val="1"/>
    <w:next w:val="1"/>
    <w:unhideWhenUsed/>
    <w:qFormat/>
    <w:uiPriority w:val="39"/>
  </w:style>
  <w:style w:type="paragraph" w:styleId="24">
    <w:name w:val="Body Text Indent 3"/>
    <w:basedOn w:val="1"/>
    <w:qFormat/>
    <w:uiPriority w:val="0"/>
    <w:pPr>
      <w:spacing w:line="360" w:lineRule="auto"/>
      <w:ind w:firstLine="780" w:firstLineChars="300"/>
      <w:jc w:val="left"/>
    </w:pPr>
    <w:rPr>
      <w:color w:val="FF0000"/>
      <w:spacing w:val="10"/>
      <w:kern w:val="0"/>
      <w:szCs w:val="20"/>
      <w:u w:val="single"/>
    </w:rPr>
  </w:style>
  <w:style w:type="paragraph" w:styleId="25">
    <w:name w:val="toc 2"/>
    <w:basedOn w:val="1"/>
    <w:next w:val="1"/>
    <w:unhideWhenUsed/>
    <w:qFormat/>
    <w:uiPriority w:val="39"/>
    <w:pPr>
      <w:ind w:left="420" w:leftChars="200"/>
    </w:pPr>
  </w:style>
  <w:style w:type="paragraph" w:styleId="26">
    <w:name w:val="Normal (Web)"/>
    <w:basedOn w:val="1"/>
    <w:qFormat/>
    <w:uiPriority w:val="0"/>
    <w:pPr>
      <w:spacing w:after="150" w:line="450" w:lineRule="atLeast"/>
      <w:ind w:firstLine="420"/>
      <w:jc w:val="left"/>
    </w:pPr>
    <w:rPr>
      <w:kern w:val="0"/>
    </w:rPr>
  </w:style>
  <w:style w:type="paragraph" w:styleId="27">
    <w:name w:val="annotation subject"/>
    <w:basedOn w:val="13"/>
    <w:link w:val="96"/>
    <w:semiHidden/>
    <w:qFormat/>
    <w:uiPriority w:val="0"/>
    <w:rPr>
      <w:b/>
      <w:bCs/>
    </w:rPr>
  </w:style>
  <w:style w:type="table" w:styleId="29">
    <w:name w:val="Table Grid"/>
    <w:basedOn w:val="2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page number"/>
    <w:basedOn w:val="30"/>
    <w:qFormat/>
    <w:uiPriority w:val="0"/>
  </w:style>
  <w:style w:type="character" w:styleId="32">
    <w:name w:val="FollowedHyperlink"/>
    <w:semiHidden/>
    <w:unhideWhenUsed/>
    <w:qFormat/>
    <w:uiPriority w:val="0"/>
    <w:rPr>
      <w:color w:val="800080"/>
      <w:u w:val="single"/>
    </w:rPr>
  </w:style>
  <w:style w:type="character" w:styleId="33">
    <w:name w:val="Emphasis"/>
    <w:qFormat/>
    <w:uiPriority w:val="0"/>
    <w:rPr>
      <w:color w:val="CC0000"/>
      <w:kern w:val="0"/>
    </w:rPr>
  </w:style>
  <w:style w:type="character" w:styleId="34">
    <w:name w:val="HTML Definition"/>
    <w:qFormat/>
    <w:uiPriority w:val="0"/>
    <w:rPr>
      <w:kern w:val="0"/>
    </w:rPr>
  </w:style>
  <w:style w:type="character" w:styleId="35">
    <w:name w:val="HTML Variable"/>
    <w:qFormat/>
    <w:uiPriority w:val="0"/>
    <w:rPr>
      <w:kern w:val="0"/>
    </w:rPr>
  </w:style>
  <w:style w:type="character" w:styleId="36">
    <w:name w:val="Hyperlink"/>
    <w:qFormat/>
    <w:uiPriority w:val="99"/>
    <w:rPr>
      <w:color w:val="3F88BF"/>
      <w:kern w:val="0"/>
      <w:u w:val="none"/>
    </w:rPr>
  </w:style>
  <w:style w:type="character" w:styleId="37">
    <w:name w:val="HTML Code"/>
    <w:qFormat/>
    <w:uiPriority w:val="0"/>
    <w:rPr>
      <w:rFonts w:ascii="PingFang SC" w:hAnsi="PingFang SC" w:eastAsia="PingFang SC"/>
      <w:kern w:val="0"/>
      <w:sz w:val="20"/>
    </w:rPr>
  </w:style>
  <w:style w:type="character" w:styleId="38">
    <w:name w:val="annotation reference"/>
    <w:semiHidden/>
    <w:qFormat/>
    <w:uiPriority w:val="0"/>
    <w:rPr>
      <w:kern w:val="0"/>
      <w:sz w:val="21"/>
      <w:szCs w:val="21"/>
    </w:rPr>
  </w:style>
  <w:style w:type="character" w:styleId="39">
    <w:name w:val="HTML Cite"/>
    <w:qFormat/>
    <w:uiPriority w:val="0"/>
    <w:rPr>
      <w:color w:val="008000"/>
      <w:kern w:val="0"/>
    </w:rPr>
  </w:style>
  <w:style w:type="character" w:styleId="40">
    <w:name w:val="HTML Keyboard"/>
    <w:qFormat/>
    <w:uiPriority w:val="0"/>
    <w:rPr>
      <w:rFonts w:ascii="PingFang SC" w:hAnsi="PingFang SC" w:eastAsia="PingFang SC"/>
      <w:kern w:val="0"/>
      <w:sz w:val="20"/>
    </w:rPr>
  </w:style>
  <w:style w:type="character" w:styleId="41">
    <w:name w:val="HTML Sample"/>
    <w:qFormat/>
    <w:uiPriority w:val="0"/>
    <w:rPr>
      <w:rFonts w:ascii="PingFang SC" w:hAnsi="PingFang SC" w:eastAsia="PingFang SC"/>
      <w:kern w:val="0"/>
    </w:rPr>
  </w:style>
  <w:style w:type="character" w:customStyle="1" w:styleId="42">
    <w:name w:val="已访问的超链接1"/>
    <w:qFormat/>
    <w:uiPriority w:val="0"/>
    <w:rPr>
      <w:color w:val="3F88BF"/>
      <w:kern w:val="0"/>
      <w:u w:val="none"/>
    </w:rPr>
  </w:style>
  <w:style w:type="character" w:customStyle="1" w:styleId="43">
    <w:name w:val="num10"/>
    <w:qFormat/>
    <w:uiPriority w:val="0"/>
    <w:rPr>
      <w:b/>
      <w:color w:val="FF7800"/>
      <w:kern w:val="0"/>
    </w:rPr>
  </w:style>
  <w:style w:type="character" w:customStyle="1" w:styleId="44">
    <w:name w:val="标题 1 Char1"/>
    <w:qFormat/>
    <w:uiPriority w:val="0"/>
    <w:rPr>
      <w:rFonts w:ascii="宋体" w:eastAsia="宋体"/>
      <w:b/>
      <w:kern w:val="44"/>
      <w:sz w:val="32"/>
      <w:lang w:val="en-US" w:eastAsia="zh-CN" w:bidi="ar-SA"/>
    </w:rPr>
  </w:style>
  <w:style w:type="character" w:customStyle="1" w:styleId="45">
    <w:name w:val="num"/>
    <w:qFormat/>
    <w:uiPriority w:val="0"/>
    <w:rPr>
      <w:b/>
      <w:color w:val="FF7800"/>
      <w:kern w:val="0"/>
    </w:rPr>
  </w:style>
  <w:style w:type="character" w:customStyle="1" w:styleId="46">
    <w:name w:val="legend"/>
    <w:qFormat/>
    <w:uiPriority w:val="0"/>
    <w:rPr>
      <w:rFonts w:ascii="Arial" w:hAnsi="Arial"/>
      <w:b/>
      <w:color w:val="73B304"/>
      <w:kern w:val="0"/>
      <w:sz w:val="21"/>
      <w:szCs w:val="21"/>
      <w:shd w:val="clear" w:color="auto" w:fill="FFFFFF"/>
    </w:rPr>
  </w:style>
  <w:style w:type="character" w:customStyle="1" w:styleId="47">
    <w:name w:val="answer-title12"/>
    <w:basedOn w:val="30"/>
    <w:qFormat/>
    <w:uiPriority w:val="0"/>
  </w:style>
  <w:style w:type="character" w:customStyle="1" w:styleId="48">
    <w:name w:val="release-day"/>
    <w:qFormat/>
    <w:uiPriority w:val="0"/>
    <w:rPr>
      <w:kern w:val="0"/>
      <w:bdr w:val="single" w:color="000000" w:sz="6" w:space="0"/>
      <w:shd w:val="clear" w:color="auto" w:fill="F5FFF1"/>
    </w:rPr>
  </w:style>
  <w:style w:type="character" w:customStyle="1" w:styleId="49">
    <w:name w:val="标题 1 Char"/>
    <w:link w:val="3"/>
    <w:qFormat/>
    <w:uiPriority w:val="0"/>
    <w:rPr>
      <w:rFonts w:ascii="宋体" w:eastAsia="宋体"/>
      <w:b/>
      <w:kern w:val="44"/>
      <w:sz w:val="44"/>
      <w:lang w:val="en-US" w:eastAsia="zh-CN" w:bidi="ar-SA"/>
    </w:rPr>
  </w:style>
  <w:style w:type="paragraph" w:customStyle="1" w:styleId="50">
    <w:name w:val="目录 11"/>
    <w:basedOn w:val="1"/>
    <w:qFormat/>
    <w:uiPriority w:val="0"/>
    <w:pPr>
      <w:tabs>
        <w:tab w:val="right" w:leader="dot" w:pos="8820"/>
      </w:tabs>
      <w:spacing w:line="360" w:lineRule="auto"/>
      <w:jc w:val="left"/>
    </w:pPr>
    <w:rPr>
      <w:rFonts w:ascii="宋体" w:hAnsi="宋体"/>
      <w:b/>
      <w:kern w:val="0"/>
      <w:sz w:val="30"/>
      <w:szCs w:val="30"/>
    </w:rPr>
  </w:style>
  <w:style w:type="paragraph" w:customStyle="1" w:styleId="51">
    <w:name w:val="目录 21"/>
    <w:basedOn w:val="1"/>
    <w:semiHidden/>
    <w:qFormat/>
    <w:uiPriority w:val="0"/>
    <w:pPr>
      <w:tabs>
        <w:tab w:val="right" w:leader="dot" w:pos="9000"/>
      </w:tabs>
      <w:spacing w:line="360" w:lineRule="atLeast"/>
      <w:ind w:left="420"/>
      <w:jc w:val="left"/>
    </w:pPr>
    <w:rPr>
      <w:kern w:val="0"/>
      <w:sz w:val="20"/>
      <w:szCs w:val="20"/>
    </w:rPr>
  </w:style>
  <w:style w:type="paragraph" w:styleId="52">
    <w:name w:val="List Paragraph"/>
    <w:basedOn w:val="1"/>
    <w:qFormat/>
    <w:uiPriority w:val="0"/>
    <w:pPr>
      <w:ind w:firstLine="420" w:firstLineChars="200"/>
    </w:pPr>
    <w:rPr>
      <w:rFonts w:hint="eastAsia"/>
      <w:sz w:val="21"/>
    </w:rPr>
  </w:style>
  <w:style w:type="paragraph" w:customStyle="1" w:styleId="53">
    <w:name w:val="Char"/>
    <w:basedOn w:val="1"/>
    <w:qFormat/>
    <w:uiPriority w:val="0"/>
    <w:pPr>
      <w:spacing w:line="360" w:lineRule="auto"/>
    </w:pPr>
    <w:rPr>
      <w:kern w:val="0"/>
    </w:rPr>
  </w:style>
  <w:style w:type="paragraph" w:customStyle="1" w:styleId="54">
    <w:name w:val="Char Char Char Char1"/>
    <w:basedOn w:val="1"/>
    <w:qFormat/>
    <w:uiPriority w:val="0"/>
    <w:pPr>
      <w:spacing w:line="360" w:lineRule="auto"/>
      <w:ind w:firstLine="200" w:firstLineChars="200"/>
    </w:pPr>
    <w:rPr>
      <w:rFonts w:ascii="宋体" w:hAnsi="宋体"/>
    </w:rPr>
  </w:style>
  <w:style w:type="paragraph" w:customStyle="1" w:styleId="55">
    <w:name w:val="p0"/>
    <w:basedOn w:val="1"/>
    <w:qFormat/>
    <w:uiPriority w:val="0"/>
    <w:pPr>
      <w:widowControl/>
      <w:spacing w:line="560" w:lineRule="atLeast"/>
      <w:ind w:left="839" w:firstLine="200" w:firstLineChars="200"/>
    </w:pPr>
    <w:rPr>
      <w:rFonts w:ascii="Calibri" w:hAnsi="Calibri"/>
      <w:kern w:val="0"/>
      <w:szCs w:val="21"/>
    </w:rPr>
  </w:style>
  <w:style w:type="paragraph" w:customStyle="1" w:styleId="56">
    <w:name w:val="正文1"/>
    <w:basedOn w:val="1"/>
    <w:qFormat/>
    <w:uiPriority w:val="0"/>
    <w:pPr>
      <w:spacing w:line="360" w:lineRule="atLeast"/>
      <w:jc w:val="left"/>
    </w:pPr>
    <w:rPr>
      <w:rFonts w:ascii="宋体"/>
      <w:kern w:val="0"/>
      <w:szCs w:val="20"/>
    </w:rPr>
  </w:style>
  <w:style w:type="paragraph" w:customStyle="1" w:styleId="57">
    <w:name w:val="Char1 Char Char Char Char Char Char Char Char Char"/>
    <w:basedOn w:val="1"/>
    <w:qFormat/>
    <w:uiPriority w:val="0"/>
    <w:rPr>
      <w:sz w:val="21"/>
    </w:rPr>
  </w:style>
  <w:style w:type="paragraph" w:customStyle="1" w:styleId="58">
    <w:name w:val="Char Char Char Char1 Char Char Char Char Char Char Char"/>
    <w:basedOn w:val="1"/>
    <w:qFormat/>
    <w:uiPriority w:val="0"/>
    <w:pPr>
      <w:spacing w:line="360" w:lineRule="auto"/>
      <w:ind w:firstLine="200" w:firstLineChars="200"/>
    </w:pPr>
    <w:rPr>
      <w:rFonts w:ascii="宋体" w:hAnsi="宋体"/>
    </w:rPr>
  </w:style>
  <w:style w:type="paragraph" w:customStyle="1" w:styleId="59">
    <w:name w:val="Char Char Char Char1 Char Char Char"/>
    <w:basedOn w:val="1"/>
    <w:qFormat/>
    <w:uiPriority w:val="0"/>
    <w:pPr>
      <w:spacing w:line="360" w:lineRule="auto"/>
      <w:ind w:firstLine="200" w:firstLineChars="200"/>
    </w:pPr>
    <w:rPr>
      <w:rFonts w:ascii="宋体" w:hAnsi="宋体"/>
    </w:rPr>
  </w:style>
  <w:style w:type="paragraph" w:customStyle="1" w:styleId="60">
    <w:name w:val="Char Char1"/>
    <w:basedOn w:val="1"/>
    <w:qFormat/>
    <w:uiPriority w:val="0"/>
    <w:pPr>
      <w:spacing w:line="360" w:lineRule="atLeast"/>
      <w:jc w:val="left"/>
    </w:pPr>
    <w:rPr>
      <w:kern w:val="0"/>
    </w:rPr>
  </w:style>
  <w:style w:type="paragraph" w:customStyle="1" w:styleId="61">
    <w:name w:val="Char1 Char"/>
    <w:basedOn w:val="1"/>
    <w:qFormat/>
    <w:uiPriority w:val="0"/>
    <w:pPr>
      <w:spacing w:line="360" w:lineRule="atLeast"/>
      <w:jc w:val="left"/>
    </w:pPr>
    <w:rPr>
      <w:kern w:val="0"/>
    </w:rPr>
  </w:style>
  <w:style w:type="paragraph" w:customStyle="1" w:styleId="62">
    <w:name w:val="样式2"/>
    <w:basedOn w:val="1"/>
    <w:qFormat/>
    <w:uiPriority w:val="0"/>
    <w:pPr>
      <w:spacing w:line="360" w:lineRule="auto"/>
    </w:pPr>
    <w:rPr>
      <w:kern w:val="0"/>
      <w:sz w:val="28"/>
      <w:szCs w:val="20"/>
    </w:rPr>
  </w:style>
  <w:style w:type="paragraph" w:customStyle="1" w:styleId="63">
    <w:name w:val="Char Char"/>
    <w:basedOn w:val="1"/>
    <w:qFormat/>
    <w:uiPriority w:val="0"/>
    <w:pPr>
      <w:spacing w:line="360" w:lineRule="atLeast"/>
      <w:jc w:val="left"/>
    </w:pPr>
    <w:rPr>
      <w:kern w:val="0"/>
    </w:rPr>
  </w:style>
  <w:style w:type="paragraph" w:customStyle="1" w:styleId="64">
    <w:name w:val="Char Char Char Char"/>
    <w:basedOn w:val="1"/>
    <w:qFormat/>
    <w:uiPriority w:val="0"/>
    <w:pPr>
      <w:spacing w:line="360" w:lineRule="auto"/>
    </w:pPr>
    <w:rPr>
      <w:kern w:val="0"/>
      <w:szCs w:val="20"/>
    </w:rPr>
  </w:style>
  <w:style w:type="paragraph" w:customStyle="1" w:styleId="65">
    <w:name w:val="样式1"/>
    <w:basedOn w:val="1"/>
    <w:qFormat/>
    <w:uiPriority w:val="0"/>
    <w:pPr>
      <w:spacing w:line="420" w:lineRule="auto"/>
      <w:jc w:val="center"/>
    </w:pPr>
    <w:rPr>
      <w:rFonts w:ascii="宋体"/>
      <w:kern w:val="0"/>
      <w:szCs w:val="20"/>
    </w:rPr>
  </w:style>
  <w:style w:type="paragraph" w:customStyle="1" w:styleId="66">
    <w:name w:val="A"/>
    <w:basedOn w:val="1"/>
    <w:qFormat/>
    <w:uiPriority w:val="0"/>
    <w:pPr>
      <w:spacing w:line="480" w:lineRule="atLeast"/>
      <w:jc w:val="center"/>
    </w:pPr>
    <w:rPr>
      <w:rFonts w:ascii="宋体"/>
      <w:kern w:val="0"/>
      <w:sz w:val="32"/>
      <w:szCs w:val="20"/>
    </w:rPr>
  </w:style>
  <w:style w:type="paragraph" w:customStyle="1" w:styleId="67">
    <w:name w:val="三级条标题"/>
    <w:basedOn w:val="68"/>
    <w:qFormat/>
    <w:uiPriority w:val="0"/>
    <w:pPr>
      <w:numPr>
        <w:ilvl w:val="4"/>
      </w:numPr>
      <w:outlineLvl w:val="4"/>
    </w:pPr>
  </w:style>
  <w:style w:type="paragraph" w:customStyle="1" w:styleId="68">
    <w:name w:val="二级条标题"/>
    <w:basedOn w:val="69"/>
    <w:qFormat/>
    <w:uiPriority w:val="0"/>
    <w:pPr>
      <w:numPr>
        <w:ilvl w:val="3"/>
      </w:numPr>
      <w:outlineLvl w:val="3"/>
    </w:pPr>
  </w:style>
  <w:style w:type="paragraph" w:customStyle="1" w:styleId="69">
    <w:name w:val="一级条标题"/>
    <w:basedOn w:val="70"/>
    <w:qFormat/>
    <w:uiPriority w:val="0"/>
    <w:pPr>
      <w:numPr>
        <w:ilvl w:val="2"/>
      </w:numPr>
      <w:spacing w:before="0" w:after="0"/>
      <w:outlineLvl w:val="2"/>
    </w:pPr>
  </w:style>
  <w:style w:type="paragraph" w:customStyle="1" w:styleId="70">
    <w:name w:val="章标题"/>
    <w:qFormat/>
    <w:uiPriority w:val="0"/>
    <w:pPr>
      <w:numPr>
        <w:ilvl w:val="1"/>
        <w:numId w:val="3"/>
      </w:numPr>
      <w:spacing w:before="50" w:after="50"/>
      <w:jc w:val="both"/>
      <w:outlineLvl w:val="1"/>
    </w:pPr>
    <w:rPr>
      <w:rFonts w:ascii="黑体" w:hAnsi="Times New Roman" w:eastAsia="黑体" w:cs="Times New Roman"/>
      <w:sz w:val="21"/>
      <w:szCs w:val="22"/>
      <w:lang w:val="en-US" w:eastAsia="zh-CN" w:bidi="ar-SA"/>
    </w:rPr>
  </w:style>
  <w:style w:type="paragraph" w:customStyle="1" w:styleId="71">
    <w:name w:val="Char Char1 Char Char Char Char Char Char Char Char Char"/>
    <w:basedOn w:val="1"/>
    <w:semiHidden/>
    <w:qFormat/>
    <w:uiPriority w:val="0"/>
    <w:rPr>
      <w:sz w:val="21"/>
    </w:rPr>
  </w:style>
  <w:style w:type="paragraph" w:customStyle="1" w:styleId="72">
    <w:name w:val="正文报告"/>
    <w:basedOn w:val="1"/>
    <w:qFormat/>
    <w:uiPriority w:val="0"/>
    <w:pPr>
      <w:tabs>
        <w:tab w:val="left" w:pos="510"/>
      </w:tabs>
      <w:spacing w:line="460" w:lineRule="exact"/>
      <w:ind w:firstLine="482"/>
    </w:pPr>
    <w:rPr>
      <w:kern w:val="0"/>
      <w:szCs w:val="20"/>
    </w:rPr>
  </w:style>
  <w:style w:type="paragraph" w:customStyle="1" w:styleId="73">
    <w:name w:val="字母编号列项（一级）"/>
    <w:qFormat/>
    <w:uiPriority w:val="0"/>
    <w:pPr>
      <w:ind w:left="840" w:leftChars="200" w:hanging="420" w:hangingChars="200"/>
      <w:jc w:val="both"/>
    </w:pPr>
    <w:rPr>
      <w:rFonts w:ascii="宋体" w:hAnsi="Times New Roman" w:eastAsia="宋体" w:cs="Times New Roman"/>
      <w:sz w:val="21"/>
      <w:szCs w:val="22"/>
      <w:lang w:val="en-US" w:eastAsia="zh-CN" w:bidi="ar-SA"/>
    </w:rPr>
  </w:style>
  <w:style w:type="paragraph" w:customStyle="1" w:styleId="74">
    <w:name w:val="段"/>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customStyle="1" w:styleId="75">
    <w:name w:val="Char Char Char"/>
    <w:basedOn w:val="1"/>
    <w:qFormat/>
    <w:uiPriority w:val="0"/>
    <w:pPr>
      <w:spacing w:line="360" w:lineRule="auto"/>
      <w:ind w:firstLine="200" w:firstLineChars="200"/>
    </w:pPr>
    <w:rPr>
      <w:rFonts w:ascii="宋体" w:hAnsi="宋体"/>
    </w:rPr>
  </w:style>
  <w:style w:type="paragraph" w:customStyle="1" w:styleId="76">
    <w:name w:val="默认段落字体 Para Char Char Char Char"/>
    <w:basedOn w:val="1"/>
    <w:qFormat/>
    <w:uiPriority w:val="0"/>
    <w:rPr>
      <w:sz w:val="21"/>
    </w:rPr>
  </w:style>
  <w:style w:type="paragraph" w:customStyle="1" w:styleId="77">
    <w:name w:val="Default"/>
    <w:qFormat/>
    <w:uiPriority w:val="0"/>
    <w:pPr>
      <w:widowControl w:val="0"/>
      <w:autoSpaceDE w:val="0"/>
      <w:autoSpaceDN w:val="0"/>
    </w:pPr>
    <w:rPr>
      <w:rFonts w:ascii="Times New Roman" w:hAnsi="Times New Roman" w:eastAsia="宋体" w:cs="Times New Roman"/>
      <w:color w:val="000000"/>
      <w:sz w:val="24"/>
      <w:szCs w:val="24"/>
      <w:lang w:val="en-US" w:eastAsia="zh-CN" w:bidi="ar-SA"/>
    </w:rPr>
  </w:style>
  <w:style w:type="paragraph" w:customStyle="1" w:styleId="78">
    <w:name w:val="Char Char11"/>
    <w:basedOn w:val="1"/>
    <w:qFormat/>
    <w:uiPriority w:val="0"/>
    <w:rPr>
      <w:sz w:val="21"/>
    </w:rPr>
  </w:style>
  <w:style w:type="paragraph" w:customStyle="1" w:styleId="79">
    <w:name w:val="Char Char1 Char Char Char"/>
    <w:basedOn w:val="1"/>
    <w:semiHidden/>
    <w:qFormat/>
    <w:uiPriority w:val="0"/>
    <w:rPr>
      <w:sz w:val="21"/>
    </w:rPr>
  </w:style>
  <w:style w:type="paragraph" w:customStyle="1" w:styleId="80">
    <w:name w:val="1"/>
    <w:basedOn w:val="1"/>
    <w:qFormat/>
    <w:uiPriority w:val="0"/>
    <w:pPr>
      <w:spacing w:line="360" w:lineRule="atLeast"/>
      <w:jc w:val="left"/>
    </w:pPr>
    <w:rPr>
      <w:kern w:val="0"/>
    </w:rPr>
  </w:style>
  <w:style w:type="paragraph" w:customStyle="1" w:styleId="81">
    <w:name w:val="Char1"/>
    <w:basedOn w:val="1"/>
    <w:qFormat/>
    <w:uiPriority w:val="0"/>
  </w:style>
  <w:style w:type="paragraph" w:customStyle="1" w:styleId="82">
    <w:name w:val="默认段落字体 Para Char Char Char Char Char Char Char Char Char Char"/>
    <w:basedOn w:val="1"/>
    <w:qFormat/>
    <w:uiPriority w:val="0"/>
    <w:rPr>
      <w:sz w:val="21"/>
    </w:rPr>
  </w:style>
  <w:style w:type="paragraph" w:customStyle="1" w:styleId="83">
    <w:name w:val="目录 31"/>
    <w:basedOn w:val="1"/>
    <w:qFormat/>
    <w:uiPriority w:val="0"/>
    <w:pPr>
      <w:ind w:left="840" w:leftChars="400"/>
    </w:pPr>
  </w:style>
  <w:style w:type="paragraph" w:customStyle="1" w:styleId="84">
    <w:name w:val="TOC 标题1"/>
    <w:basedOn w:val="3"/>
    <w:semiHidden/>
    <w:qFormat/>
    <w:uiPriority w:val="0"/>
    <w:pPr>
      <w:widowControl/>
      <w:spacing w:before="480" w:line="276" w:lineRule="auto"/>
      <w:jc w:val="left"/>
      <w:outlineLvl w:val="9"/>
    </w:pPr>
    <w:rPr>
      <w:rFonts w:ascii="Cambria" w:hAnsi="Cambria"/>
      <w:bCs/>
      <w:color w:val="365F91"/>
      <w:kern w:val="0"/>
      <w:sz w:val="28"/>
      <w:szCs w:val="28"/>
    </w:rPr>
  </w:style>
  <w:style w:type="character" w:customStyle="1" w:styleId="85">
    <w:name w:val="页脚 Char"/>
    <w:link w:val="21"/>
    <w:qFormat/>
    <w:uiPriority w:val="0"/>
    <w:rPr>
      <w:sz w:val="18"/>
    </w:rPr>
  </w:style>
  <w:style w:type="paragraph" w:customStyle="1" w:styleId="86">
    <w:name w:val="UserStyle_12"/>
    <w:basedOn w:val="1"/>
    <w:qFormat/>
    <w:uiPriority w:val="0"/>
    <w:pPr>
      <w:widowControl/>
      <w:spacing w:line="360" w:lineRule="atLeast"/>
      <w:jc w:val="left"/>
    </w:pPr>
    <w:rPr>
      <w:rFonts w:ascii="宋体"/>
      <w:kern w:val="0"/>
      <w:szCs w:val="20"/>
    </w:rPr>
  </w:style>
  <w:style w:type="character" w:customStyle="1" w:styleId="87">
    <w:name w:val="NormalCharacter"/>
    <w:semiHidden/>
    <w:qFormat/>
    <w:uiPriority w:val="0"/>
  </w:style>
  <w:style w:type="character" w:customStyle="1" w:styleId="88">
    <w:name w:val="font11"/>
    <w:qFormat/>
    <w:uiPriority w:val="0"/>
    <w:rPr>
      <w:rFonts w:hint="eastAsia" w:ascii="宋体" w:hAnsi="宋体" w:eastAsia="宋体"/>
      <w:color w:val="000000"/>
      <w:kern w:val="0"/>
      <w:sz w:val="24"/>
      <w:szCs w:val="24"/>
      <w:u w:val="none"/>
    </w:rPr>
  </w:style>
  <w:style w:type="paragraph" w:customStyle="1" w:styleId="89">
    <w:name w:val="HtmlNormal"/>
    <w:basedOn w:val="1"/>
    <w:qFormat/>
    <w:uiPriority w:val="0"/>
    <w:pPr>
      <w:widowControl/>
      <w:jc w:val="left"/>
    </w:pPr>
    <w:rPr>
      <w:kern w:val="0"/>
    </w:rPr>
  </w:style>
  <w:style w:type="paragraph" w:customStyle="1" w:styleId="90">
    <w:name w:val="UserStyle_10"/>
    <w:basedOn w:val="1"/>
    <w:qFormat/>
    <w:uiPriority w:val="0"/>
    <w:pPr>
      <w:widowControl/>
      <w:ind w:firstLine="420" w:firstLineChars="200"/>
    </w:pPr>
  </w:style>
  <w:style w:type="character" w:customStyle="1" w:styleId="91">
    <w:name w:val="标题 2 Char"/>
    <w:link w:val="2"/>
    <w:semiHidden/>
    <w:qFormat/>
    <w:uiPriority w:val="0"/>
    <w:rPr>
      <w:rFonts w:ascii="宋体"/>
      <w:b/>
      <w:kern w:val="44"/>
      <w:sz w:val="28"/>
    </w:rPr>
  </w:style>
  <w:style w:type="paragraph" w:customStyle="1" w:styleId="92">
    <w:name w:val="msonormal"/>
    <w:basedOn w:val="1"/>
    <w:qFormat/>
    <w:uiPriority w:val="0"/>
    <w:pPr>
      <w:widowControl/>
      <w:spacing w:before="100" w:beforeAutospacing="1" w:after="100" w:afterAutospacing="1"/>
      <w:jc w:val="left"/>
    </w:pPr>
    <w:rPr>
      <w:rFonts w:ascii="宋体" w:hAnsi="宋体" w:cs="宋体"/>
      <w:kern w:val="0"/>
    </w:rPr>
  </w:style>
  <w:style w:type="character" w:customStyle="1" w:styleId="93">
    <w:name w:val="批注文字 Char"/>
    <w:link w:val="13"/>
    <w:semiHidden/>
    <w:qFormat/>
    <w:uiPriority w:val="0"/>
    <w:rPr>
      <w:kern w:val="2"/>
      <w:sz w:val="24"/>
      <w:szCs w:val="24"/>
    </w:rPr>
  </w:style>
  <w:style w:type="character" w:customStyle="1" w:styleId="94">
    <w:name w:val="页眉 Char"/>
    <w:link w:val="22"/>
    <w:qFormat/>
    <w:uiPriority w:val="0"/>
    <w:rPr>
      <w:sz w:val="18"/>
    </w:rPr>
  </w:style>
  <w:style w:type="character" w:customStyle="1" w:styleId="95">
    <w:name w:val="日期 Char"/>
    <w:link w:val="18"/>
    <w:qFormat/>
    <w:uiPriority w:val="0"/>
    <w:rPr>
      <w:rFonts w:ascii="宋体"/>
      <w:sz w:val="28"/>
    </w:rPr>
  </w:style>
  <w:style w:type="character" w:customStyle="1" w:styleId="96">
    <w:name w:val="批注主题 Char"/>
    <w:link w:val="27"/>
    <w:semiHidden/>
    <w:qFormat/>
    <w:uiPriority w:val="0"/>
    <w:rPr>
      <w:b/>
      <w:bCs/>
      <w:kern w:val="2"/>
      <w:sz w:val="24"/>
      <w:szCs w:val="24"/>
    </w:rPr>
  </w:style>
  <w:style w:type="character" w:customStyle="1" w:styleId="97">
    <w:name w:val="批注框文本 Char"/>
    <w:link w:val="20"/>
    <w:semiHidden/>
    <w:qFormat/>
    <w:uiPriority w:val="0"/>
    <w:rPr>
      <w:kern w:val="2"/>
      <w:sz w:val="18"/>
      <w:szCs w:val="18"/>
    </w:rPr>
  </w:style>
  <w:style w:type="paragraph" w:customStyle="1" w:styleId="98">
    <w:name w:val="Heading2"/>
    <w:basedOn w:val="1"/>
    <w:next w:val="1"/>
    <w:qFormat/>
    <w:uiPriority w:val="0"/>
    <w:pPr>
      <w:keepNext/>
      <w:keepLines/>
      <w:widowControl/>
      <w:spacing w:before="260" w:after="260" w:line="416" w:lineRule="atLeast"/>
    </w:pPr>
    <w:rPr>
      <w:rFonts w:ascii="宋体"/>
      <w:b/>
      <w:kern w:val="44"/>
      <w:sz w:val="28"/>
      <w:szCs w:val="20"/>
    </w:rPr>
  </w:style>
  <w:style w:type="character" w:customStyle="1" w:styleId="99">
    <w:name w:val="UserStyle_0"/>
    <w:link w:val="100"/>
    <w:qFormat/>
    <w:locked/>
    <w:uiPriority w:val="0"/>
    <w:rPr>
      <w:rFonts w:ascii="宋体" w:hAnsi="宋体"/>
      <w:b/>
      <w:kern w:val="44"/>
      <w:sz w:val="32"/>
    </w:rPr>
  </w:style>
  <w:style w:type="paragraph" w:customStyle="1" w:styleId="100">
    <w:name w:val="Heading1"/>
    <w:basedOn w:val="1"/>
    <w:next w:val="1"/>
    <w:link w:val="99"/>
    <w:qFormat/>
    <w:uiPriority w:val="0"/>
    <w:pPr>
      <w:keepNext/>
      <w:keepLines/>
      <w:widowControl/>
      <w:spacing w:line="360" w:lineRule="auto"/>
    </w:pPr>
    <w:rPr>
      <w:rFonts w:ascii="宋体" w:hAnsi="宋体"/>
      <w:b/>
      <w:kern w:val="44"/>
      <w:sz w:val="32"/>
      <w:szCs w:val="20"/>
    </w:rPr>
  </w:style>
  <w:style w:type="paragraph" w:customStyle="1" w:styleId="101">
    <w:name w:val="Heading3"/>
    <w:basedOn w:val="1"/>
    <w:next w:val="1"/>
    <w:qFormat/>
    <w:uiPriority w:val="0"/>
    <w:pPr>
      <w:keepNext/>
      <w:keepLines/>
      <w:widowControl/>
      <w:spacing w:before="260" w:after="260" w:line="416" w:lineRule="atLeast"/>
    </w:pPr>
    <w:rPr>
      <w:b/>
      <w:sz w:val="32"/>
    </w:rPr>
  </w:style>
  <w:style w:type="paragraph" w:customStyle="1" w:styleId="102">
    <w:name w:val="NormalIndent"/>
    <w:basedOn w:val="1"/>
    <w:qFormat/>
    <w:uiPriority w:val="0"/>
    <w:pPr>
      <w:widowControl/>
      <w:spacing w:line="360" w:lineRule="atLeast"/>
      <w:ind w:firstLine="420"/>
      <w:jc w:val="left"/>
    </w:pPr>
    <w:rPr>
      <w:kern w:val="0"/>
      <w:szCs w:val="20"/>
    </w:rPr>
  </w:style>
  <w:style w:type="paragraph" w:customStyle="1" w:styleId="103">
    <w:name w:val="Heading4"/>
    <w:basedOn w:val="1"/>
    <w:next w:val="102"/>
    <w:qFormat/>
    <w:uiPriority w:val="0"/>
    <w:pPr>
      <w:keepNext/>
      <w:widowControl/>
      <w:spacing w:line="360" w:lineRule="auto"/>
      <w:ind w:left="454"/>
      <w:jc w:val="left"/>
    </w:pPr>
    <w:rPr>
      <w:rFonts w:ascii="宋体"/>
      <w:i/>
      <w:kern w:val="0"/>
      <w:szCs w:val="20"/>
    </w:rPr>
  </w:style>
  <w:style w:type="paragraph" w:customStyle="1" w:styleId="104">
    <w:name w:val="Heading5"/>
    <w:basedOn w:val="1"/>
    <w:next w:val="102"/>
    <w:qFormat/>
    <w:uiPriority w:val="0"/>
    <w:pPr>
      <w:keepNext/>
      <w:keepLines/>
      <w:widowControl/>
      <w:spacing w:before="120" w:after="120"/>
      <w:ind w:firstLine="400"/>
    </w:pPr>
    <w:rPr>
      <w:rFonts w:ascii="小标宋"/>
      <w:szCs w:val="20"/>
    </w:rPr>
  </w:style>
  <w:style w:type="paragraph" w:customStyle="1" w:styleId="105">
    <w:name w:val="Heading6"/>
    <w:basedOn w:val="1"/>
    <w:next w:val="102"/>
    <w:qFormat/>
    <w:uiPriority w:val="0"/>
    <w:pPr>
      <w:keepNext/>
      <w:keepLines/>
      <w:widowControl/>
      <w:spacing w:before="240" w:after="64" w:line="319" w:lineRule="auto"/>
      <w:ind w:firstLine="400"/>
    </w:pPr>
    <w:rPr>
      <w:rFonts w:ascii="Arial" w:hAnsi="Arial" w:eastAsia="黑体"/>
      <w:szCs w:val="20"/>
    </w:rPr>
  </w:style>
  <w:style w:type="paragraph" w:customStyle="1" w:styleId="106">
    <w:name w:val="Heading7"/>
    <w:basedOn w:val="1"/>
    <w:next w:val="102"/>
    <w:qFormat/>
    <w:uiPriority w:val="0"/>
    <w:pPr>
      <w:keepNext/>
      <w:keepLines/>
      <w:widowControl/>
      <w:spacing w:before="240" w:after="64" w:line="319" w:lineRule="auto"/>
      <w:ind w:firstLine="400"/>
    </w:pPr>
    <w:rPr>
      <w:rFonts w:ascii="宋体"/>
      <w:szCs w:val="20"/>
    </w:rPr>
  </w:style>
  <w:style w:type="paragraph" w:customStyle="1" w:styleId="107">
    <w:name w:val="Heading8"/>
    <w:basedOn w:val="1"/>
    <w:next w:val="102"/>
    <w:qFormat/>
    <w:uiPriority w:val="0"/>
    <w:pPr>
      <w:keepNext/>
      <w:keepLines/>
      <w:widowControl/>
      <w:spacing w:before="240" w:after="64" w:line="319" w:lineRule="auto"/>
      <w:ind w:firstLine="400"/>
    </w:pPr>
    <w:rPr>
      <w:rFonts w:ascii="Arial" w:hAnsi="Arial" w:eastAsia="黑体"/>
      <w:b/>
      <w:szCs w:val="20"/>
    </w:rPr>
  </w:style>
  <w:style w:type="paragraph" w:customStyle="1" w:styleId="108">
    <w:name w:val="Heading9"/>
    <w:basedOn w:val="1"/>
    <w:next w:val="102"/>
    <w:qFormat/>
    <w:uiPriority w:val="0"/>
    <w:pPr>
      <w:keepNext/>
      <w:keepLines/>
      <w:widowControl/>
      <w:spacing w:before="240" w:after="64" w:line="319" w:lineRule="auto"/>
      <w:ind w:firstLine="400"/>
    </w:pPr>
    <w:rPr>
      <w:rFonts w:ascii="Arial" w:hAnsi="Arial" w:eastAsia="黑体"/>
      <w:b/>
      <w:szCs w:val="20"/>
    </w:rPr>
  </w:style>
  <w:style w:type="paragraph" w:customStyle="1" w:styleId="109">
    <w:name w:val="NavPane"/>
    <w:basedOn w:val="1"/>
    <w:semiHidden/>
    <w:qFormat/>
    <w:uiPriority w:val="0"/>
    <w:pPr>
      <w:widowControl/>
    </w:pPr>
  </w:style>
  <w:style w:type="paragraph" w:customStyle="1" w:styleId="110">
    <w:name w:val="AnnotationText"/>
    <w:basedOn w:val="1"/>
    <w:semiHidden/>
    <w:qFormat/>
    <w:uiPriority w:val="0"/>
    <w:pPr>
      <w:widowControl/>
      <w:jc w:val="left"/>
    </w:pPr>
  </w:style>
  <w:style w:type="paragraph" w:customStyle="1" w:styleId="111">
    <w:name w:val="BodyText"/>
    <w:basedOn w:val="1"/>
    <w:qFormat/>
    <w:uiPriority w:val="0"/>
    <w:pPr>
      <w:widowControl/>
      <w:spacing w:after="120"/>
    </w:pPr>
  </w:style>
  <w:style w:type="paragraph" w:customStyle="1" w:styleId="112">
    <w:name w:val="BodyTextIndent"/>
    <w:basedOn w:val="1"/>
    <w:qFormat/>
    <w:uiPriority w:val="0"/>
    <w:pPr>
      <w:widowControl/>
      <w:spacing w:line="360" w:lineRule="auto"/>
      <w:ind w:firstLine="480"/>
      <w:jc w:val="left"/>
    </w:pPr>
    <w:rPr>
      <w:rFonts w:ascii="宋体"/>
      <w:color w:val="0000FF"/>
      <w:kern w:val="0"/>
      <w:szCs w:val="20"/>
    </w:rPr>
  </w:style>
  <w:style w:type="paragraph" w:customStyle="1" w:styleId="113">
    <w:name w:val="PlainText"/>
    <w:basedOn w:val="1"/>
    <w:qFormat/>
    <w:uiPriority w:val="0"/>
    <w:pPr>
      <w:widowControl/>
    </w:pPr>
    <w:rPr>
      <w:rFonts w:ascii="宋体" w:hAnsi="Courier New"/>
      <w:szCs w:val="20"/>
    </w:rPr>
  </w:style>
  <w:style w:type="paragraph" w:customStyle="1" w:styleId="114">
    <w:name w:val="BodyTextIndent2"/>
    <w:basedOn w:val="1"/>
    <w:qFormat/>
    <w:uiPriority w:val="0"/>
    <w:pPr>
      <w:widowControl/>
      <w:spacing w:line="240" w:lineRule="atLeast"/>
      <w:ind w:right="202" w:firstLine="630" w:firstLineChars="225"/>
      <w:jc w:val="left"/>
    </w:pPr>
    <w:rPr>
      <w:rFonts w:ascii="宋体"/>
      <w:spacing w:val="20"/>
      <w:kern w:val="0"/>
      <w:position w:val="20"/>
      <w:szCs w:val="20"/>
    </w:rPr>
  </w:style>
  <w:style w:type="paragraph" w:customStyle="1" w:styleId="115">
    <w:name w:val="Acetate"/>
    <w:basedOn w:val="1"/>
    <w:semiHidden/>
    <w:qFormat/>
    <w:uiPriority w:val="0"/>
    <w:pPr>
      <w:widowControl/>
    </w:pPr>
    <w:rPr>
      <w:sz w:val="18"/>
      <w:szCs w:val="18"/>
    </w:rPr>
  </w:style>
  <w:style w:type="paragraph" w:customStyle="1" w:styleId="116">
    <w:name w:val="TOC1"/>
    <w:basedOn w:val="1"/>
    <w:next w:val="1"/>
    <w:semiHidden/>
    <w:qFormat/>
    <w:uiPriority w:val="0"/>
    <w:pPr>
      <w:widowControl/>
      <w:tabs>
        <w:tab w:val="right" w:leader="dot" w:pos="8820"/>
      </w:tabs>
      <w:spacing w:line="360" w:lineRule="auto"/>
      <w:jc w:val="left"/>
    </w:pPr>
    <w:rPr>
      <w:rFonts w:ascii="宋体" w:hAnsi="宋体"/>
      <w:b/>
      <w:kern w:val="0"/>
      <w:sz w:val="30"/>
      <w:szCs w:val="30"/>
    </w:rPr>
  </w:style>
  <w:style w:type="paragraph" w:customStyle="1" w:styleId="117">
    <w:name w:val="BodyTextIndent3"/>
    <w:basedOn w:val="1"/>
    <w:qFormat/>
    <w:uiPriority w:val="0"/>
    <w:pPr>
      <w:widowControl/>
      <w:spacing w:line="360" w:lineRule="auto"/>
      <w:ind w:firstLine="780" w:firstLineChars="300"/>
      <w:jc w:val="left"/>
    </w:pPr>
    <w:rPr>
      <w:color w:val="FF0000"/>
      <w:spacing w:val="10"/>
      <w:kern w:val="0"/>
      <w:szCs w:val="20"/>
      <w:u w:val="single"/>
    </w:rPr>
  </w:style>
  <w:style w:type="paragraph" w:customStyle="1" w:styleId="118">
    <w:name w:val="TOC2"/>
    <w:basedOn w:val="1"/>
    <w:next w:val="1"/>
    <w:semiHidden/>
    <w:qFormat/>
    <w:uiPriority w:val="0"/>
    <w:pPr>
      <w:widowControl/>
      <w:tabs>
        <w:tab w:val="right" w:leader="dot" w:pos="9000"/>
      </w:tabs>
      <w:spacing w:line="360" w:lineRule="atLeast"/>
      <w:ind w:left="420"/>
      <w:jc w:val="left"/>
    </w:pPr>
    <w:rPr>
      <w:smallCaps/>
      <w:kern w:val="0"/>
      <w:sz w:val="20"/>
      <w:szCs w:val="20"/>
    </w:rPr>
  </w:style>
  <w:style w:type="paragraph" w:customStyle="1" w:styleId="119">
    <w:name w:val="AnnotationSubject"/>
    <w:basedOn w:val="110"/>
    <w:semiHidden/>
    <w:qFormat/>
    <w:uiPriority w:val="0"/>
    <w:rPr>
      <w:b/>
      <w:bCs/>
    </w:rPr>
  </w:style>
  <w:style w:type="paragraph" w:customStyle="1" w:styleId="120">
    <w:name w:val="UserStyle_5"/>
    <w:basedOn w:val="1"/>
    <w:qFormat/>
    <w:uiPriority w:val="0"/>
    <w:pPr>
      <w:widowControl/>
    </w:pPr>
    <w:rPr>
      <w:sz w:val="21"/>
    </w:rPr>
  </w:style>
  <w:style w:type="paragraph" w:customStyle="1" w:styleId="121">
    <w:name w:val="UserStyle_6"/>
    <w:basedOn w:val="1"/>
    <w:qFormat/>
    <w:uiPriority w:val="0"/>
    <w:pPr>
      <w:widowControl/>
      <w:spacing w:line="360" w:lineRule="auto"/>
      <w:jc w:val="center"/>
    </w:pPr>
    <w:rPr>
      <w:rFonts w:ascii="宋体"/>
      <w:b/>
      <w:color w:val="FF0000"/>
      <w:kern w:val="0"/>
      <w:szCs w:val="20"/>
      <w:u w:val="single"/>
    </w:rPr>
  </w:style>
  <w:style w:type="paragraph" w:customStyle="1" w:styleId="122">
    <w:name w:val="UserStyle_7"/>
    <w:basedOn w:val="1"/>
    <w:qFormat/>
    <w:uiPriority w:val="0"/>
    <w:pPr>
      <w:widowControl/>
      <w:spacing w:line="480" w:lineRule="atLeast"/>
      <w:jc w:val="center"/>
    </w:pPr>
    <w:rPr>
      <w:rFonts w:ascii="宋体"/>
      <w:kern w:val="0"/>
      <w:sz w:val="32"/>
      <w:szCs w:val="20"/>
    </w:rPr>
  </w:style>
  <w:style w:type="paragraph" w:customStyle="1" w:styleId="123">
    <w:name w:val="UserStyle_8"/>
    <w:basedOn w:val="1"/>
    <w:qFormat/>
    <w:uiPriority w:val="0"/>
    <w:pPr>
      <w:widowControl/>
      <w:spacing w:line="360" w:lineRule="auto"/>
      <w:ind w:firstLine="200" w:firstLineChars="200"/>
    </w:pPr>
    <w:rPr>
      <w:rFonts w:ascii="宋体" w:hAnsi="宋体"/>
    </w:rPr>
  </w:style>
  <w:style w:type="paragraph" w:customStyle="1" w:styleId="124">
    <w:name w:val="UserStyle_9"/>
    <w:basedOn w:val="1"/>
    <w:semiHidden/>
    <w:qFormat/>
    <w:uiPriority w:val="0"/>
    <w:pPr>
      <w:widowControl/>
    </w:pPr>
    <w:rPr>
      <w:sz w:val="21"/>
    </w:rPr>
  </w:style>
  <w:style w:type="paragraph" w:customStyle="1" w:styleId="125">
    <w:name w:val="UserStyle_11"/>
    <w:basedOn w:val="1"/>
    <w:qFormat/>
    <w:uiPriority w:val="0"/>
    <w:pPr>
      <w:widowControl/>
    </w:pPr>
  </w:style>
  <w:style w:type="paragraph" w:customStyle="1" w:styleId="126">
    <w:name w:val="179"/>
    <w:basedOn w:val="1"/>
    <w:qFormat/>
    <w:uiPriority w:val="0"/>
    <w:pPr>
      <w:widowControl/>
      <w:ind w:firstLine="420" w:firstLineChars="200"/>
    </w:pPr>
  </w:style>
  <w:style w:type="paragraph" w:customStyle="1" w:styleId="127">
    <w:name w:val="UserStyle_13"/>
    <w:basedOn w:val="1"/>
    <w:semiHidden/>
    <w:qFormat/>
    <w:uiPriority w:val="0"/>
    <w:pPr>
      <w:widowControl/>
    </w:pPr>
    <w:rPr>
      <w:sz w:val="21"/>
    </w:rPr>
  </w:style>
  <w:style w:type="paragraph" w:customStyle="1" w:styleId="128">
    <w:name w:val="UserStyle_14"/>
    <w:basedOn w:val="1"/>
    <w:qFormat/>
    <w:uiPriority w:val="0"/>
    <w:pPr>
      <w:widowControl/>
      <w:spacing w:line="360" w:lineRule="auto"/>
      <w:jc w:val="center"/>
    </w:pPr>
    <w:rPr>
      <w:rFonts w:ascii="宋体"/>
      <w:b/>
      <w:color w:val="FF0000"/>
      <w:kern w:val="0"/>
      <w:szCs w:val="20"/>
      <w:u w:val="single"/>
    </w:rPr>
  </w:style>
  <w:style w:type="paragraph" w:customStyle="1" w:styleId="129">
    <w:name w:val="UserStyle_15"/>
    <w:basedOn w:val="1"/>
    <w:qFormat/>
    <w:uiPriority w:val="0"/>
    <w:pPr>
      <w:widowControl/>
    </w:pPr>
    <w:rPr>
      <w:sz w:val="21"/>
    </w:rPr>
  </w:style>
  <w:style w:type="paragraph" w:customStyle="1" w:styleId="130">
    <w:name w:val="UserStyle_16"/>
    <w:basedOn w:val="1"/>
    <w:qFormat/>
    <w:uiPriority w:val="0"/>
    <w:pPr>
      <w:widowControl/>
      <w:spacing w:line="360" w:lineRule="atLeast"/>
      <w:jc w:val="left"/>
    </w:pPr>
    <w:rPr>
      <w:kern w:val="0"/>
    </w:rPr>
  </w:style>
  <w:style w:type="paragraph" w:customStyle="1" w:styleId="131">
    <w:name w:val="UserStyle_17"/>
    <w:basedOn w:val="1"/>
    <w:qFormat/>
    <w:uiPriority w:val="0"/>
    <w:pPr>
      <w:widowControl/>
      <w:spacing w:line="360" w:lineRule="auto"/>
      <w:ind w:firstLine="200" w:firstLineChars="200"/>
    </w:pPr>
    <w:rPr>
      <w:rFonts w:ascii="宋体" w:hAnsi="宋体"/>
    </w:rPr>
  </w:style>
  <w:style w:type="paragraph" w:customStyle="1" w:styleId="132">
    <w:name w:val="UserStyle_18"/>
    <w:qFormat/>
    <w:uiPriority w:val="0"/>
    <w:rPr>
      <w:rFonts w:ascii="Times New Roman" w:hAnsi="Times New Roman" w:eastAsia="宋体" w:cs="Times New Roman"/>
      <w:color w:val="000000"/>
      <w:sz w:val="24"/>
      <w:szCs w:val="24"/>
      <w:lang w:val="en-US" w:eastAsia="zh-CN" w:bidi="ar-SA"/>
    </w:rPr>
  </w:style>
  <w:style w:type="paragraph" w:customStyle="1" w:styleId="133">
    <w:name w:val="UserStyle_19"/>
    <w:basedOn w:val="1"/>
    <w:qFormat/>
    <w:uiPriority w:val="0"/>
    <w:pPr>
      <w:widowControl/>
      <w:spacing w:line="360" w:lineRule="auto"/>
    </w:pPr>
    <w:rPr>
      <w:kern w:val="0"/>
    </w:rPr>
  </w:style>
  <w:style w:type="paragraph" w:customStyle="1" w:styleId="134">
    <w:name w:val="UserStyle_20"/>
    <w:basedOn w:val="1"/>
    <w:qFormat/>
    <w:uiPriority w:val="0"/>
    <w:pPr>
      <w:widowControl/>
      <w:spacing w:line="360" w:lineRule="auto"/>
    </w:pPr>
    <w:rPr>
      <w:kern w:val="0"/>
      <w:szCs w:val="20"/>
    </w:rPr>
  </w:style>
  <w:style w:type="paragraph" w:customStyle="1" w:styleId="135">
    <w:name w:val="UserStyle_21"/>
    <w:basedOn w:val="1"/>
    <w:qFormat/>
    <w:uiPriority w:val="0"/>
    <w:pPr>
      <w:widowControl/>
      <w:spacing w:line="360" w:lineRule="auto"/>
    </w:pPr>
    <w:rPr>
      <w:kern w:val="0"/>
      <w:sz w:val="28"/>
      <w:szCs w:val="20"/>
    </w:rPr>
  </w:style>
  <w:style w:type="paragraph" w:customStyle="1" w:styleId="136">
    <w:name w:val="UserStyle_22"/>
    <w:basedOn w:val="1"/>
    <w:qFormat/>
    <w:uiPriority w:val="0"/>
    <w:pPr>
      <w:widowControl/>
      <w:spacing w:line="360" w:lineRule="auto"/>
      <w:ind w:firstLine="200" w:firstLineChars="200"/>
    </w:pPr>
    <w:rPr>
      <w:rFonts w:ascii="宋体" w:hAnsi="宋体"/>
    </w:rPr>
  </w:style>
  <w:style w:type="paragraph" w:customStyle="1" w:styleId="137">
    <w:name w:val="UserStyle_23"/>
    <w:basedOn w:val="1"/>
    <w:qFormat/>
    <w:uiPriority w:val="0"/>
    <w:pPr>
      <w:widowControl/>
      <w:spacing w:line="360" w:lineRule="atLeast"/>
      <w:jc w:val="left"/>
    </w:pPr>
    <w:rPr>
      <w:kern w:val="0"/>
    </w:rPr>
  </w:style>
  <w:style w:type="paragraph" w:customStyle="1" w:styleId="138">
    <w:name w:val="UserStyle_24"/>
    <w:basedOn w:val="1"/>
    <w:qFormat/>
    <w:uiPriority w:val="0"/>
    <w:pPr>
      <w:widowControl/>
    </w:pPr>
    <w:rPr>
      <w:sz w:val="21"/>
    </w:rPr>
  </w:style>
  <w:style w:type="paragraph" w:customStyle="1" w:styleId="139">
    <w:name w:val="UserStyle_25"/>
    <w:basedOn w:val="1"/>
    <w:next w:val="111"/>
    <w:qFormat/>
    <w:uiPriority w:val="0"/>
    <w:pPr>
      <w:widowControl/>
    </w:pPr>
    <w:rPr>
      <w:rFonts w:ascii="宋体" w:hAnsi="宋体"/>
      <w:bCs/>
    </w:rPr>
  </w:style>
  <w:style w:type="paragraph" w:customStyle="1" w:styleId="140">
    <w:name w:val="UserStyle_26"/>
    <w:basedOn w:val="1"/>
    <w:qFormat/>
    <w:uiPriority w:val="0"/>
    <w:pPr>
      <w:widowControl/>
      <w:tabs>
        <w:tab w:val="left" w:pos="510"/>
      </w:tabs>
      <w:spacing w:line="460" w:lineRule="exact"/>
      <w:ind w:firstLine="482"/>
    </w:pPr>
    <w:rPr>
      <w:kern w:val="0"/>
      <w:szCs w:val="20"/>
    </w:rPr>
  </w:style>
  <w:style w:type="paragraph" w:customStyle="1" w:styleId="141">
    <w:name w:val="UserStyle_27"/>
    <w:basedOn w:val="1"/>
    <w:qFormat/>
    <w:uiPriority w:val="0"/>
    <w:pPr>
      <w:widowControl/>
      <w:spacing w:line="360" w:lineRule="atLeast"/>
      <w:jc w:val="left"/>
    </w:pPr>
    <w:rPr>
      <w:kern w:val="0"/>
    </w:rPr>
  </w:style>
  <w:style w:type="paragraph" w:customStyle="1" w:styleId="142">
    <w:name w:val="UserStyle_28"/>
    <w:basedOn w:val="1"/>
    <w:qFormat/>
    <w:uiPriority w:val="0"/>
    <w:pPr>
      <w:widowControl/>
      <w:spacing w:line="360" w:lineRule="atLeast"/>
      <w:jc w:val="left"/>
    </w:pPr>
    <w:rPr>
      <w:kern w:val="0"/>
    </w:rPr>
  </w:style>
  <w:style w:type="paragraph" w:customStyle="1" w:styleId="143">
    <w:name w:val="UserStyle_29"/>
    <w:basedOn w:val="1"/>
    <w:qFormat/>
    <w:uiPriority w:val="0"/>
    <w:pPr>
      <w:widowControl/>
    </w:pPr>
    <w:rPr>
      <w:sz w:val="21"/>
    </w:rPr>
  </w:style>
  <w:style w:type="paragraph" w:customStyle="1" w:styleId="144">
    <w:name w:val="UserStyle_30"/>
    <w:basedOn w:val="1"/>
    <w:qFormat/>
    <w:uiPriority w:val="0"/>
    <w:pPr>
      <w:widowControl/>
      <w:spacing w:line="420" w:lineRule="auto"/>
      <w:jc w:val="center"/>
    </w:pPr>
    <w:rPr>
      <w:rFonts w:ascii="宋体"/>
      <w:kern w:val="0"/>
      <w:szCs w:val="20"/>
    </w:rPr>
  </w:style>
  <w:style w:type="paragraph" w:customStyle="1" w:styleId="145">
    <w:name w:val="UserStyle_31"/>
    <w:basedOn w:val="1"/>
    <w:qFormat/>
    <w:uiPriority w:val="0"/>
    <w:pPr>
      <w:widowControl/>
      <w:spacing w:line="360" w:lineRule="auto"/>
      <w:ind w:firstLine="200" w:firstLineChars="200"/>
    </w:pPr>
    <w:rPr>
      <w:rFonts w:ascii="宋体" w:hAnsi="宋体"/>
    </w:rPr>
  </w:style>
  <w:style w:type="paragraph" w:customStyle="1" w:styleId="146">
    <w:name w:val="180"/>
    <w:basedOn w:val="1"/>
    <w:next w:val="1"/>
    <w:qFormat/>
    <w:uiPriority w:val="0"/>
    <w:pPr>
      <w:widowControl/>
      <w:spacing w:line="320" w:lineRule="exact"/>
      <w:jc w:val="center"/>
    </w:pPr>
    <w:rPr>
      <w:rFonts w:ascii="黑体" w:hAnsi="Calibri" w:eastAsia="黑体"/>
      <w:iCs/>
      <w:color w:val="000000"/>
      <w:sz w:val="21"/>
    </w:rPr>
  </w:style>
  <w:style w:type="paragraph" w:customStyle="1" w:styleId="147">
    <w:name w:val="181"/>
    <w:basedOn w:val="1"/>
    <w:next w:val="1"/>
    <w:qFormat/>
    <w:uiPriority w:val="0"/>
    <w:pPr>
      <w:widowControl/>
    </w:pPr>
    <w:rPr>
      <w:rFonts w:ascii="宋体" w:hAnsi="Calibri"/>
      <w:bCs/>
      <w:iCs/>
      <w:sz w:val="18"/>
    </w:rPr>
  </w:style>
  <w:style w:type="paragraph" w:customStyle="1" w:styleId="148">
    <w:name w:val="UserStyle_32"/>
    <w:qFormat/>
    <w:uiPriority w:val="0"/>
    <w:rPr>
      <w:rFonts w:ascii="Times New Roman" w:hAnsi="Times New Roman" w:eastAsia="宋体" w:cs="Times New Roman"/>
      <w:lang w:val="en-US" w:eastAsia="zh-CN" w:bidi="ar-SA"/>
    </w:rPr>
  </w:style>
  <w:style w:type="character" w:customStyle="1" w:styleId="149">
    <w:name w:val="PageNumber"/>
    <w:basedOn w:val="87"/>
    <w:qFormat/>
    <w:uiPriority w:val="0"/>
  </w:style>
  <w:style w:type="character" w:customStyle="1" w:styleId="150">
    <w:name w:val="AnnotationReference"/>
    <w:semiHidden/>
    <w:qFormat/>
    <w:uiPriority w:val="0"/>
    <w:rPr>
      <w:sz w:val="21"/>
      <w:szCs w:val="21"/>
    </w:rPr>
  </w:style>
  <w:style w:type="character" w:customStyle="1" w:styleId="151">
    <w:name w:val="UserStyle_2"/>
    <w:qFormat/>
    <w:uiPriority w:val="0"/>
    <w:rPr>
      <w:rFonts w:hint="eastAsia" w:ascii="宋体" w:hAnsi="宋体" w:eastAsia="宋体"/>
      <w:color w:val="000000"/>
      <w:sz w:val="24"/>
      <w:szCs w:val="24"/>
      <w:vertAlign w:val="superscript"/>
    </w:rPr>
  </w:style>
  <w:style w:type="character" w:customStyle="1" w:styleId="152">
    <w:name w:val="UserStyle_3"/>
    <w:qFormat/>
    <w:uiPriority w:val="0"/>
    <w:rPr>
      <w:rFonts w:hint="eastAsia" w:ascii="宋体" w:hAnsi="宋体" w:eastAsia="宋体"/>
      <w:color w:val="000000"/>
      <w:sz w:val="20"/>
      <w:szCs w:val="20"/>
    </w:rPr>
  </w:style>
  <w:style w:type="character" w:customStyle="1" w:styleId="153">
    <w:name w:val="UserStyle_4"/>
    <w:qFormat/>
    <w:uiPriority w:val="0"/>
    <w:rPr>
      <w:rFonts w:hint="eastAsia" w:ascii="Dotum" w:hAnsi="Dotum" w:eastAsia="Dotum"/>
      <w:color w:val="000000"/>
      <w:sz w:val="20"/>
      <w:szCs w:val="20"/>
    </w:rPr>
  </w:style>
  <w:style w:type="character" w:customStyle="1" w:styleId="154">
    <w:name w:val="font81"/>
    <w:qFormat/>
    <w:uiPriority w:val="0"/>
    <w:rPr>
      <w:rFonts w:hint="eastAsia" w:ascii="宋体" w:hAnsi="宋体" w:eastAsia="宋体" w:cs="宋体"/>
      <w:color w:val="000000"/>
      <w:sz w:val="18"/>
      <w:szCs w:val="18"/>
      <w:u w:val="none"/>
    </w:rPr>
  </w:style>
  <w:style w:type="character" w:customStyle="1" w:styleId="155">
    <w:name w:val="font111"/>
    <w:qFormat/>
    <w:uiPriority w:val="0"/>
    <w:rPr>
      <w:rFonts w:hint="eastAsia" w:ascii="宋体" w:hAnsi="宋体" w:eastAsia="宋体" w:cs="宋体"/>
      <w:color w:val="FF0000"/>
      <w:sz w:val="18"/>
      <w:szCs w:val="18"/>
      <w:u w:val="none"/>
    </w:rPr>
  </w:style>
  <w:style w:type="character" w:customStyle="1" w:styleId="156">
    <w:name w:val="font21"/>
    <w:qFormat/>
    <w:uiPriority w:val="0"/>
    <w:rPr>
      <w:rFonts w:hint="eastAsia" w:ascii="宋体" w:hAnsi="宋体" w:eastAsia="宋体" w:cs="宋体"/>
      <w:color w:val="000000"/>
      <w:sz w:val="24"/>
      <w:szCs w:val="24"/>
      <w:u w:val="none"/>
    </w:rPr>
  </w:style>
  <w:style w:type="character" w:customStyle="1" w:styleId="157">
    <w:name w:val="font31"/>
    <w:qFormat/>
    <w:uiPriority w:val="0"/>
    <w:rPr>
      <w:rFonts w:hint="eastAsia" w:ascii="宋体" w:hAnsi="宋体" w:eastAsia="宋体" w:cs="宋体"/>
      <w:color w:val="000000"/>
      <w:sz w:val="24"/>
      <w:szCs w:val="24"/>
      <w:u w:val="none"/>
    </w:rPr>
  </w:style>
  <w:style w:type="table" w:customStyle="1" w:styleId="158">
    <w:name w:val="TableNormal"/>
    <w:semiHidden/>
    <w:qFormat/>
    <w:uiPriority w:val="0"/>
    <w:tblPr>
      <w:tblCellMar>
        <w:top w:w="0" w:type="dxa"/>
        <w:left w:w="0" w:type="dxa"/>
        <w:bottom w:w="0" w:type="dxa"/>
        <w:right w:w="0" w:type="dxa"/>
      </w:tblCellMar>
    </w:tblPr>
  </w:style>
  <w:style w:type="character" w:customStyle="1" w:styleId="159">
    <w:name w:val="15"/>
    <w:basedOn w:val="30"/>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56229/AppData/Roaming/Tencent/Users/562293043/QQ/WinTemp/RichOle/FH%2525252525252525252525252525252525252525252525252525252560%252525252525252525252525252525252525252525252525252525257d@F(78PML007%252525252525252525252525252525252525252525252525252525257bG_VDV$5.png" TargetMode="Externa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56229/AppData/Roaming/Tencent/Users/562293043/QQ/WinTemp/RichOle/3G%25252525252525252525252525252525252525252525252525252525255d3$J0YVGAW((TS$S2W_@Y.png" TargetMode="External"/><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51"/>
    <customShpInfo spid="_x0000_s2052"/>
    <customShpInfo spid="_x0000_s2053"/>
    <customShpInfo spid="_x0000_s205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30</Pages>
  <Words>6227</Words>
  <Characters>7381</Characters>
  <Lines>233</Lines>
  <Paragraphs>65</Paragraphs>
  <TotalTime>23</TotalTime>
  <ScaleCrop>false</ScaleCrop>
  <LinksUpToDate>false</LinksUpToDate>
  <CharactersWithSpaces>7558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2023-07-17T04:54:00Z</dcterms:created>
  <dc:creator>李鸿</dc:creator>
  <cp:lastModifiedBy>万锦然</cp:lastModifiedBy>
  <dcterms:modified xsi:type="dcterms:W3CDTF">2026-04-08T02:01:00Z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9F03854EC4FC4D0F9B6FFEBAECD63E0A_12</vt:lpwstr>
  </property>
  <property fmtid="{D5CDD505-2E9C-101B-9397-08002B2CF9AE}" pid="4" name="KSOTemplateDocerSaveRecord">
    <vt:lpwstr>eyJoZGlkIjoiZGE2Mjg2YTZkZTMyMTYwY2M1OTQ5YzJlN2MyYmRjOGEiLCJ1c2VySWQiOiIxNTY5NDgyOTQ1In0=</vt:lpwstr>
  </property>
</Properties>
</file>