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33773">
      <w:pPr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/>
          <w:bCs w:val="0"/>
          <w:sz w:val="24"/>
          <w:szCs w:val="24"/>
        </w:rPr>
        <w:t>附表</w:t>
      </w:r>
      <w:r>
        <w:rPr>
          <w:rFonts w:hint="eastAsia" w:ascii="宋体" w:hAnsi="宋体"/>
          <w:b/>
          <w:bCs w:val="0"/>
          <w:sz w:val="24"/>
          <w:szCs w:val="24"/>
          <w:lang w:val="en-US" w:eastAsia="zh-CN"/>
        </w:rPr>
        <w:t>15:</w:t>
      </w:r>
      <w:bookmarkStart w:id="0" w:name="_GoBack"/>
      <w:r>
        <w:rPr>
          <w:rFonts w:hint="eastAsia" w:ascii="宋体" w:hAnsi="宋体" w:eastAsia="宋体"/>
          <w:b/>
          <w:bCs w:val="0"/>
          <w:sz w:val="24"/>
          <w:szCs w:val="24"/>
        </w:rPr>
        <w:t>文明生产考核标准</w:t>
      </w:r>
      <w:bookmarkEnd w:id="0"/>
    </w:p>
    <w:tbl>
      <w:tblPr>
        <w:tblStyle w:val="4"/>
        <w:tblW w:w="93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5551"/>
        <w:gridCol w:w="2099"/>
        <w:gridCol w:w="1005"/>
      </w:tblGrid>
      <w:tr w14:paraId="177B7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35" w:type="dxa"/>
            <w:vAlign w:val="center"/>
          </w:tcPr>
          <w:p w14:paraId="23EE9F3E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551" w:type="dxa"/>
            <w:vAlign w:val="center"/>
          </w:tcPr>
          <w:p w14:paraId="1E468B81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考核项目</w:t>
            </w:r>
          </w:p>
        </w:tc>
        <w:tc>
          <w:tcPr>
            <w:tcW w:w="2099" w:type="dxa"/>
            <w:vAlign w:val="center"/>
          </w:tcPr>
          <w:p w14:paraId="6156869B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考核标准</w:t>
            </w:r>
          </w:p>
        </w:tc>
        <w:tc>
          <w:tcPr>
            <w:tcW w:w="1005" w:type="dxa"/>
            <w:vAlign w:val="center"/>
          </w:tcPr>
          <w:p w14:paraId="1EF03F6C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备注</w:t>
            </w:r>
          </w:p>
        </w:tc>
      </w:tr>
      <w:tr w14:paraId="28C1C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245B5185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5551" w:type="dxa"/>
            <w:vAlign w:val="center"/>
          </w:tcPr>
          <w:p w14:paraId="614233E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承包方运行操作及管理人员行为不文明，破坏新天公司形象的。</w:t>
            </w:r>
          </w:p>
        </w:tc>
        <w:tc>
          <w:tcPr>
            <w:tcW w:w="2099" w:type="dxa"/>
            <w:vAlign w:val="center"/>
          </w:tcPr>
          <w:p w14:paraId="4E443561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1000元/人次</w:t>
            </w:r>
          </w:p>
        </w:tc>
        <w:tc>
          <w:tcPr>
            <w:tcW w:w="1005" w:type="dxa"/>
            <w:vAlign w:val="center"/>
          </w:tcPr>
          <w:p w14:paraId="5FC01AC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8224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11DDE36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5551" w:type="dxa"/>
            <w:vAlign w:val="center"/>
          </w:tcPr>
          <w:p w14:paraId="3769201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承包方人员的工作服着装标示（颜色）不统一的。着装不符合规范要求。</w:t>
            </w:r>
          </w:p>
        </w:tc>
        <w:tc>
          <w:tcPr>
            <w:tcW w:w="2099" w:type="dxa"/>
            <w:vAlign w:val="center"/>
          </w:tcPr>
          <w:p w14:paraId="4A0CDA5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100元/人次</w:t>
            </w:r>
          </w:p>
        </w:tc>
        <w:tc>
          <w:tcPr>
            <w:tcW w:w="1005" w:type="dxa"/>
            <w:vAlign w:val="center"/>
          </w:tcPr>
          <w:p w14:paraId="6B09B464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3AD5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4C44E576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5551" w:type="dxa"/>
            <w:vAlign w:val="center"/>
          </w:tcPr>
          <w:p w14:paraId="7AC79097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不执行对生产现场、办公区域或生活区域的文明整改通知单，或不按期整改的。</w:t>
            </w:r>
          </w:p>
        </w:tc>
        <w:tc>
          <w:tcPr>
            <w:tcW w:w="2099" w:type="dxa"/>
            <w:vAlign w:val="center"/>
          </w:tcPr>
          <w:p w14:paraId="02DC3877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100-1000元/项</w:t>
            </w:r>
          </w:p>
        </w:tc>
        <w:tc>
          <w:tcPr>
            <w:tcW w:w="1005" w:type="dxa"/>
            <w:vAlign w:val="center"/>
          </w:tcPr>
          <w:p w14:paraId="67B7AF16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6C6C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1B69B7B5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</w:t>
            </w:r>
          </w:p>
        </w:tc>
        <w:tc>
          <w:tcPr>
            <w:tcW w:w="5551" w:type="dxa"/>
            <w:vAlign w:val="center"/>
          </w:tcPr>
          <w:p w14:paraId="0EDD2700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气化装置运行操作区域不及时进行清理、或不按指定地点堆放垃圾的。</w:t>
            </w:r>
          </w:p>
        </w:tc>
        <w:tc>
          <w:tcPr>
            <w:tcW w:w="2099" w:type="dxa"/>
            <w:vAlign w:val="center"/>
          </w:tcPr>
          <w:p w14:paraId="367370FE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100-500元/次</w:t>
            </w:r>
          </w:p>
        </w:tc>
        <w:tc>
          <w:tcPr>
            <w:tcW w:w="1005" w:type="dxa"/>
            <w:vAlign w:val="center"/>
          </w:tcPr>
          <w:p w14:paraId="38DA6C0B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9928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380F1846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5551" w:type="dxa"/>
            <w:vAlign w:val="center"/>
          </w:tcPr>
          <w:p w14:paraId="11F90256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在建筑物、设备上乱写、乱涂乱画等。</w:t>
            </w:r>
          </w:p>
        </w:tc>
        <w:tc>
          <w:tcPr>
            <w:tcW w:w="2099" w:type="dxa"/>
            <w:vAlign w:val="center"/>
          </w:tcPr>
          <w:p w14:paraId="42234282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100-500元/处，并负责恢复</w:t>
            </w:r>
          </w:p>
        </w:tc>
        <w:tc>
          <w:tcPr>
            <w:tcW w:w="1005" w:type="dxa"/>
            <w:vAlign w:val="center"/>
          </w:tcPr>
          <w:p w14:paraId="5AE5DF3A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0FE4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64D92E1E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</w:t>
            </w:r>
          </w:p>
        </w:tc>
        <w:tc>
          <w:tcPr>
            <w:tcW w:w="5551" w:type="dxa"/>
            <w:vAlign w:val="center"/>
          </w:tcPr>
          <w:p w14:paraId="4AB48544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管辖区域内下水道、水沟等堵塞而无人管理。</w:t>
            </w:r>
          </w:p>
        </w:tc>
        <w:tc>
          <w:tcPr>
            <w:tcW w:w="2099" w:type="dxa"/>
            <w:vAlign w:val="center"/>
          </w:tcPr>
          <w:p w14:paraId="519AC77B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200元/处</w:t>
            </w:r>
          </w:p>
        </w:tc>
        <w:tc>
          <w:tcPr>
            <w:tcW w:w="1005" w:type="dxa"/>
            <w:vAlign w:val="center"/>
          </w:tcPr>
          <w:p w14:paraId="21675DCC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11AF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35FF48F4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</w:t>
            </w:r>
          </w:p>
        </w:tc>
        <w:tc>
          <w:tcPr>
            <w:tcW w:w="5551" w:type="dxa"/>
            <w:vAlign w:val="center"/>
          </w:tcPr>
          <w:p w14:paraId="2A55032B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未做到气化装置生产现场道路通畅、物件放置有序。</w:t>
            </w:r>
          </w:p>
        </w:tc>
        <w:tc>
          <w:tcPr>
            <w:tcW w:w="2099" w:type="dxa"/>
            <w:vAlign w:val="center"/>
          </w:tcPr>
          <w:p w14:paraId="7855C78E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100-500元/处</w:t>
            </w:r>
          </w:p>
        </w:tc>
        <w:tc>
          <w:tcPr>
            <w:tcW w:w="1005" w:type="dxa"/>
            <w:vAlign w:val="center"/>
          </w:tcPr>
          <w:p w14:paraId="4FC92174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F9E7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45B99471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</w:t>
            </w:r>
          </w:p>
        </w:tc>
        <w:tc>
          <w:tcPr>
            <w:tcW w:w="5551" w:type="dxa"/>
            <w:vAlign w:val="center"/>
          </w:tcPr>
          <w:p w14:paraId="3D02E0AA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气化装置生产区域照明完好率低于95%且不及时报修的。</w:t>
            </w:r>
          </w:p>
        </w:tc>
        <w:tc>
          <w:tcPr>
            <w:tcW w:w="2099" w:type="dxa"/>
            <w:vAlign w:val="center"/>
          </w:tcPr>
          <w:p w14:paraId="1A7A91BC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降低1%扣200元</w:t>
            </w:r>
          </w:p>
        </w:tc>
        <w:tc>
          <w:tcPr>
            <w:tcW w:w="1005" w:type="dxa"/>
            <w:vAlign w:val="center"/>
          </w:tcPr>
          <w:p w14:paraId="16CA7BF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2B0D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40CE7E9A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</w:t>
            </w:r>
          </w:p>
        </w:tc>
        <w:tc>
          <w:tcPr>
            <w:tcW w:w="5551" w:type="dxa"/>
            <w:vAlign w:val="center"/>
          </w:tcPr>
          <w:p w14:paraId="62DAA817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气化装置区域不采取保护措施，由此造成设备、工器具、气化装置材料等丢失。</w:t>
            </w:r>
          </w:p>
        </w:tc>
        <w:tc>
          <w:tcPr>
            <w:tcW w:w="2099" w:type="dxa"/>
            <w:vAlign w:val="center"/>
          </w:tcPr>
          <w:p w14:paraId="72184936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设备和工器具、包装材料丢失按原价赔偿；产品硫铵丢失按照销售价赔偿。</w:t>
            </w:r>
          </w:p>
        </w:tc>
        <w:tc>
          <w:tcPr>
            <w:tcW w:w="1005" w:type="dxa"/>
            <w:vAlign w:val="center"/>
          </w:tcPr>
          <w:p w14:paraId="07E84FD1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B9D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238E8D11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</w:t>
            </w:r>
          </w:p>
        </w:tc>
        <w:tc>
          <w:tcPr>
            <w:tcW w:w="5551" w:type="dxa"/>
            <w:vAlign w:val="center"/>
          </w:tcPr>
          <w:p w14:paraId="134CC380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生产现场工器具等不按业主方要求定置，或经提出后仍不整改的。</w:t>
            </w:r>
          </w:p>
        </w:tc>
        <w:tc>
          <w:tcPr>
            <w:tcW w:w="2099" w:type="dxa"/>
            <w:vAlign w:val="center"/>
          </w:tcPr>
          <w:p w14:paraId="66C3AFB8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100-500元/项</w:t>
            </w:r>
          </w:p>
        </w:tc>
        <w:tc>
          <w:tcPr>
            <w:tcW w:w="1005" w:type="dxa"/>
            <w:vAlign w:val="center"/>
          </w:tcPr>
          <w:p w14:paraId="52E40305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14A0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4F2341E2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</w:t>
            </w:r>
          </w:p>
        </w:tc>
        <w:tc>
          <w:tcPr>
            <w:tcW w:w="5551" w:type="dxa"/>
            <w:vAlign w:val="center"/>
          </w:tcPr>
          <w:p w14:paraId="40CE2A1E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机动车辆的驾驶和停放不符合厂内交通规定。</w:t>
            </w:r>
          </w:p>
        </w:tc>
        <w:tc>
          <w:tcPr>
            <w:tcW w:w="2099" w:type="dxa"/>
            <w:vAlign w:val="center"/>
          </w:tcPr>
          <w:p w14:paraId="4C6AAA5B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按业主方交通管理规定处罚</w:t>
            </w:r>
          </w:p>
        </w:tc>
        <w:tc>
          <w:tcPr>
            <w:tcW w:w="1005" w:type="dxa"/>
            <w:vAlign w:val="center"/>
          </w:tcPr>
          <w:p w14:paraId="6DDE565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C49F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330639B1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12</w:t>
            </w:r>
          </w:p>
        </w:tc>
        <w:tc>
          <w:tcPr>
            <w:tcW w:w="5551" w:type="dxa"/>
            <w:vAlign w:val="center"/>
          </w:tcPr>
          <w:p w14:paraId="092FDE9A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承包方运输车在业主方厂区途经路线漏灰、渣、油、杂物等。</w:t>
            </w:r>
          </w:p>
        </w:tc>
        <w:tc>
          <w:tcPr>
            <w:tcW w:w="2099" w:type="dxa"/>
            <w:vAlign w:val="center"/>
          </w:tcPr>
          <w:p w14:paraId="46D1A936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100-500元/次</w:t>
            </w:r>
          </w:p>
        </w:tc>
        <w:tc>
          <w:tcPr>
            <w:tcW w:w="1005" w:type="dxa"/>
            <w:vAlign w:val="center"/>
          </w:tcPr>
          <w:p w14:paraId="55214D15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DF02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4B8F604C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13</w:t>
            </w:r>
          </w:p>
        </w:tc>
        <w:tc>
          <w:tcPr>
            <w:tcW w:w="5551" w:type="dxa"/>
            <w:vAlign w:val="center"/>
          </w:tcPr>
          <w:p w14:paraId="435C92F5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承包方借用业主方车辆不及时或未定期清洗、保养、除污。</w:t>
            </w:r>
          </w:p>
        </w:tc>
        <w:tc>
          <w:tcPr>
            <w:tcW w:w="2099" w:type="dxa"/>
            <w:vAlign w:val="center"/>
          </w:tcPr>
          <w:p w14:paraId="1C6D3282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100-500元/台</w:t>
            </w:r>
          </w:p>
        </w:tc>
        <w:tc>
          <w:tcPr>
            <w:tcW w:w="1005" w:type="dxa"/>
            <w:vAlign w:val="center"/>
          </w:tcPr>
          <w:p w14:paraId="3D02D1E6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2C27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67BEF244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14</w:t>
            </w:r>
          </w:p>
        </w:tc>
        <w:tc>
          <w:tcPr>
            <w:tcW w:w="5551" w:type="dxa"/>
            <w:vAlign w:val="center"/>
          </w:tcPr>
          <w:p w14:paraId="16E44F68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承包方管辖区域水龙头使用后不关或漏水不更换水阀，无人管理的。</w:t>
            </w:r>
          </w:p>
        </w:tc>
        <w:tc>
          <w:tcPr>
            <w:tcW w:w="2099" w:type="dxa"/>
            <w:vAlign w:val="center"/>
          </w:tcPr>
          <w:p w14:paraId="5202C52A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100元/处</w:t>
            </w:r>
          </w:p>
        </w:tc>
        <w:tc>
          <w:tcPr>
            <w:tcW w:w="1005" w:type="dxa"/>
            <w:vAlign w:val="center"/>
          </w:tcPr>
          <w:p w14:paraId="150B9345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0A6B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0602B1AF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15</w:t>
            </w:r>
          </w:p>
        </w:tc>
        <w:tc>
          <w:tcPr>
            <w:tcW w:w="5551" w:type="dxa"/>
            <w:vAlign w:val="center"/>
          </w:tcPr>
          <w:p w14:paraId="0E03B74E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承包方工作人员在工作和生活场所乱扔垃圾、制造环境污染、噪音、现场生产区域玩手机等不文明行为。</w:t>
            </w:r>
          </w:p>
        </w:tc>
        <w:tc>
          <w:tcPr>
            <w:tcW w:w="2099" w:type="dxa"/>
            <w:vAlign w:val="center"/>
          </w:tcPr>
          <w:p w14:paraId="5F02A207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100-1000元/项</w:t>
            </w:r>
          </w:p>
        </w:tc>
        <w:tc>
          <w:tcPr>
            <w:tcW w:w="1005" w:type="dxa"/>
            <w:vAlign w:val="center"/>
          </w:tcPr>
          <w:p w14:paraId="2AEC8E73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806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1793C3C5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16</w:t>
            </w:r>
          </w:p>
        </w:tc>
        <w:tc>
          <w:tcPr>
            <w:tcW w:w="5551" w:type="dxa"/>
            <w:vAlign w:val="center"/>
          </w:tcPr>
          <w:p w14:paraId="74CD7ECC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承包方工作人员破坏办公楼、生活区域的公共设施，或破坏花草树木。</w:t>
            </w:r>
          </w:p>
        </w:tc>
        <w:tc>
          <w:tcPr>
            <w:tcW w:w="2099" w:type="dxa"/>
            <w:vAlign w:val="center"/>
          </w:tcPr>
          <w:p w14:paraId="5A6E782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按业主方物业管理规定处罚</w:t>
            </w:r>
          </w:p>
        </w:tc>
        <w:tc>
          <w:tcPr>
            <w:tcW w:w="1005" w:type="dxa"/>
            <w:vAlign w:val="center"/>
          </w:tcPr>
          <w:p w14:paraId="2FA97B1C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5435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330D3AE2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</w:t>
            </w:r>
          </w:p>
        </w:tc>
        <w:tc>
          <w:tcPr>
            <w:tcW w:w="5551" w:type="dxa"/>
            <w:vAlign w:val="center"/>
          </w:tcPr>
          <w:p w14:paraId="5CC1BC8F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承包方工作人员在厂前区内流动吸烟（不在规定的吸烟区内）。</w:t>
            </w:r>
          </w:p>
        </w:tc>
        <w:tc>
          <w:tcPr>
            <w:tcW w:w="2099" w:type="dxa"/>
            <w:vAlign w:val="center"/>
          </w:tcPr>
          <w:p w14:paraId="36C208C2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500元/人/次</w:t>
            </w:r>
          </w:p>
        </w:tc>
        <w:tc>
          <w:tcPr>
            <w:tcW w:w="1005" w:type="dxa"/>
            <w:vAlign w:val="center"/>
          </w:tcPr>
          <w:p w14:paraId="2D48AC41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4336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240F289B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18</w:t>
            </w:r>
          </w:p>
        </w:tc>
        <w:tc>
          <w:tcPr>
            <w:tcW w:w="5551" w:type="dxa"/>
            <w:vAlign w:val="center"/>
          </w:tcPr>
          <w:p w14:paraId="75A18F8C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承包方工作人员在办公和生活区域搞黄、赌、毒等违法活动。</w:t>
            </w:r>
          </w:p>
        </w:tc>
        <w:tc>
          <w:tcPr>
            <w:tcW w:w="2099" w:type="dxa"/>
            <w:vAlign w:val="center"/>
          </w:tcPr>
          <w:p w14:paraId="1522E29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10000元/次</w:t>
            </w:r>
          </w:p>
          <w:p w14:paraId="0AE932F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人员辞退</w:t>
            </w:r>
          </w:p>
        </w:tc>
        <w:tc>
          <w:tcPr>
            <w:tcW w:w="1005" w:type="dxa"/>
            <w:vAlign w:val="center"/>
          </w:tcPr>
          <w:p w14:paraId="4D9CE00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EDA8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6EBACCC0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19</w:t>
            </w:r>
          </w:p>
        </w:tc>
        <w:tc>
          <w:tcPr>
            <w:tcW w:w="5551" w:type="dxa"/>
            <w:vAlign w:val="center"/>
          </w:tcPr>
          <w:p w14:paraId="2C58AF14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承包方工作人员违反业主方生活区住宿管理规定。</w:t>
            </w:r>
          </w:p>
        </w:tc>
        <w:tc>
          <w:tcPr>
            <w:tcW w:w="2099" w:type="dxa"/>
            <w:vAlign w:val="center"/>
          </w:tcPr>
          <w:p w14:paraId="6780243E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按业主方宿舍管理规定处罚</w:t>
            </w:r>
          </w:p>
        </w:tc>
        <w:tc>
          <w:tcPr>
            <w:tcW w:w="1005" w:type="dxa"/>
            <w:vAlign w:val="center"/>
          </w:tcPr>
          <w:p w14:paraId="1E636DD3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FA5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3724CF20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28</w:t>
            </w:r>
          </w:p>
        </w:tc>
        <w:tc>
          <w:tcPr>
            <w:tcW w:w="5551" w:type="dxa"/>
            <w:vAlign w:val="center"/>
          </w:tcPr>
          <w:p w14:paraId="1A923E5A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投标方违规的其它未列事项。</w:t>
            </w:r>
          </w:p>
        </w:tc>
        <w:tc>
          <w:tcPr>
            <w:tcW w:w="2099" w:type="dxa"/>
            <w:vAlign w:val="center"/>
          </w:tcPr>
          <w:p w14:paraId="6300B136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按业主方文明生产管理制度执行</w:t>
            </w:r>
          </w:p>
        </w:tc>
        <w:tc>
          <w:tcPr>
            <w:tcW w:w="1005" w:type="dxa"/>
            <w:vAlign w:val="center"/>
          </w:tcPr>
          <w:p w14:paraId="3C9CB87E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77C5F3EE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0DA5A723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 w14:paraId="5AF3BB55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 w14:paraId="45275C8F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01A0C002">
      <w:pPr>
        <w:rPr>
          <w:rFonts w:ascii="宋体" w:hAnsi="宋体" w:eastAsia="宋体"/>
          <w:sz w:val="24"/>
          <w:szCs w:val="24"/>
        </w:rPr>
      </w:pPr>
    </w:p>
    <w:p w14:paraId="29CC2BF2">
      <w:pPr>
        <w:pStyle w:val="2"/>
        <w:rPr>
          <w:highlight w:val="none"/>
        </w:rPr>
      </w:pPr>
    </w:p>
    <w:p w14:paraId="1A41ED76">
      <w:pPr>
        <w:snapToGrid w:val="0"/>
        <w:spacing w:line="360" w:lineRule="auto"/>
        <w:jc w:val="left"/>
        <w:rPr>
          <w:rStyle w:val="6"/>
          <w:rFonts w:ascii="宋体" w:hAnsi="宋体"/>
          <w:b/>
          <w:color w:val="auto"/>
          <w:highlight w:val="none"/>
        </w:rPr>
      </w:pPr>
    </w:p>
    <w:p w14:paraId="04DAC559">
      <w:pPr>
        <w:snapToGrid w:val="0"/>
        <w:spacing w:line="360" w:lineRule="auto"/>
        <w:jc w:val="left"/>
        <w:rPr>
          <w:rStyle w:val="6"/>
          <w:rFonts w:ascii="宋体" w:hAnsi="宋体"/>
          <w:b/>
          <w:color w:val="auto"/>
          <w:highlight w:val="none"/>
        </w:rPr>
      </w:pPr>
    </w:p>
    <w:p w14:paraId="2A37E673">
      <w:pPr>
        <w:rPr>
          <w:color w:val="auto"/>
          <w:highlight w:val="none"/>
        </w:rPr>
      </w:pPr>
    </w:p>
    <w:p w14:paraId="4C009981">
      <w:pPr>
        <w:snapToGrid w:val="0"/>
        <w:spacing w:line="360" w:lineRule="auto"/>
        <w:jc w:val="left"/>
        <w:rPr>
          <w:rStyle w:val="6"/>
          <w:rFonts w:ascii="宋体" w:hAnsi="宋体"/>
          <w:b/>
          <w:color w:val="auto"/>
          <w:highlight w:val="none"/>
        </w:rPr>
      </w:pPr>
    </w:p>
    <w:p w14:paraId="1FC9EE9D"/>
    <w:p w14:paraId="755B1BAE"/>
    <w:sectPr>
      <w:footerReference r:id="rId3" w:type="default"/>
      <w:pgSz w:w="11907" w:h="16840"/>
      <w:pgMar w:top="1474" w:right="1247" w:bottom="1474" w:left="1247" w:header="1089" w:footer="1089" w:gutter="0"/>
      <w:cols w:space="425" w:num="1"/>
      <w:docGrid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A7A5B">
    <w:pPr>
      <w:pStyle w:val="3"/>
      <w:rPr>
        <w:rStyle w:val="6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B3F507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2B3F507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Style w:val="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18E7EDE">
                          <w:pPr>
                            <w:pStyle w:val="3"/>
                            <w:rPr>
                              <w:rStyle w:val="6"/>
                            </w:rPr>
                          </w:pPr>
                        </w:p>
                        <w:p w14:paraId="724F4468">
                          <w:pPr>
                            <w:tabs>
                              <w:tab w:val="center" w:pos="4153"/>
                              <w:tab w:val="right" w:pos="8306"/>
                            </w:tabs>
                            <w:spacing w:line="360" w:lineRule="auto"/>
                            <w:jc w:val="left"/>
                            <w:rPr>
                              <w:rStyle w:val="6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z-index:251659264;mso-width-relative:page;mso-height-relative:page;" filled="f" stroked="f" coordsize="21600,21600" o:gfxdata="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P3u45fSAAAABQEAAA8AAAAAAAAAAQAgAAAAIgAAAGRycy9kb3ducmV2LnhtbFBLAQIUABQA&#10;AAAIAIdO4kC7E0XIvQEAAH0DAAAOAAAAAAAAAAEAIAAAACEBAABkcnMvZTJvRG9jLnhtbFBLBQYA&#10;AAAABgAGAFkBAABQBQAAAAA=&#10;">
              <v:fill on="f" focussize="0,0"/>
              <v:stroke on="f" weight="1.25pt"/>
              <v:imagedata o:title=""/>
              <o:lock v:ext="edit" aspectratio="f"/>
              <v:textbox inset="0mm,0mm,0mm,0mm">
                <w:txbxContent>
                  <w:p w14:paraId="118E7EDE">
                    <w:pPr>
                      <w:pStyle w:val="3"/>
                      <w:rPr>
                        <w:rStyle w:val="6"/>
                      </w:rPr>
                    </w:pPr>
                  </w:p>
                  <w:p w14:paraId="724F4468">
                    <w:pPr>
                      <w:tabs>
                        <w:tab w:val="center" w:pos="4153"/>
                        <w:tab w:val="right" w:pos="8306"/>
                      </w:tabs>
                      <w:spacing w:line="360" w:lineRule="auto"/>
                      <w:jc w:val="left"/>
                      <w:rPr>
                        <w:rStyle w:val="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4OTgwMzk3Y2VhNmEyYmRlNjEyMjIxODM3NzI2OTQifQ=="/>
  </w:docVars>
  <w:rsids>
    <w:rsidRoot w:val="00000000"/>
    <w:rsid w:val="66BD4D70"/>
    <w:rsid w:val="6AFA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pacing w:before="260" w:after="260" w:line="416" w:lineRule="atLeast"/>
      <w:outlineLvl w:val="1"/>
    </w:pPr>
    <w:rPr>
      <w:rFonts w:ascii="宋体"/>
      <w:b/>
      <w:kern w:val="44"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  <w:szCs w:val="20"/>
    </w:rPr>
  </w:style>
  <w:style w:type="character" w:customStyle="1" w:styleId="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746</Words>
  <Characters>828</Characters>
  <Lines>0</Lines>
  <Paragraphs>0</Paragraphs>
  <TotalTime>1</TotalTime>
  <ScaleCrop>false</ScaleCrop>
  <LinksUpToDate>false</LinksUpToDate>
  <CharactersWithSpaces>828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2024-01-29T03:49:00Z</dcterms:created>
  <dc:creator>DELL</dc:creator>
  <cp:lastModifiedBy>马元</cp:lastModifiedBy>
  <dcterms:modified xsi:type="dcterms:W3CDTF">2026-01-19T05:39:11Z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F134C3DCE48B448782A9DA3D9F7736C0_12</vt:lpwstr>
  </property>
</Properties>
</file>