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F51FE">
      <w:bookmarkStart w:id="36" w:name="_GoBack"/>
      <w:bookmarkEnd w:id="36"/>
    </w:p>
    <w:p w14:paraId="63BD8F95">
      <w:pPr>
        <w:tabs>
          <w:tab w:val="left" w:pos="3360"/>
          <w:tab w:val="left" w:pos="4320"/>
        </w:tabs>
        <w:spacing w:line="800" w:lineRule="exact"/>
        <w:jc w:val="center"/>
        <w:rPr>
          <w:rFonts w:ascii="宋体" w:hAnsi="宋体"/>
          <w:b/>
          <w:bCs/>
          <w:sz w:val="32"/>
          <w:szCs w:val="32"/>
        </w:rPr>
      </w:pPr>
      <w:r>
        <w:rPr>
          <w:rFonts w:hint="eastAsia" w:ascii="宋体" w:hAnsi="宋体"/>
          <w:b/>
          <w:bCs/>
          <w:sz w:val="32"/>
          <w:szCs w:val="32"/>
        </w:rPr>
        <w:t>目   录</w:t>
      </w:r>
    </w:p>
    <w:p w14:paraId="1D448A5F">
      <w:pPr>
        <w:tabs>
          <w:tab w:val="left" w:pos="3360"/>
          <w:tab w:val="left" w:pos="4320"/>
        </w:tabs>
        <w:spacing w:line="800" w:lineRule="exact"/>
        <w:jc w:val="center"/>
        <w:rPr>
          <w:rFonts w:ascii="宋体" w:hAnsi="宋体"/>
          <w:sz w:val="28"/>
          <w:szCs w:val="28"/>
        </w:rPr>
      </w:pPr>
    </w:p>
    <w:p w14:paraId="58380A38">
      <w:pPr>
        <w:pStyle w:val="24"/>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b/>
          <w:kern w:val="0"/>
          <w:sz w:val="30"/>
          <w:szCs w:val="30"/>
        </w:rPr>
        <w:fldChar w:fldCharType="begin"/>
      </w:r>
      <w:r>
        <w:rPr>
          <w:rFonts w:hint="eastAsia" w:ascii="宋体" w:hAnsi="宋体" w:eastAsia="宋体" w:cs="宋体"/>
          <w:b/>
          <w:sz w:val="30"/>
          <w:szCs w:val="30"/>
        </w:rPr>
        <w:instrText xml:space="preserve"> TOC \o "1-3" \h \z \u </w:instrText>
      </w:r>
      <w:r>
        <w:rPr>
          <w:rFonts w:hint="eastAsia" w:ascii="宋体" w:hAnsi="宋体" w:eastAsia="宋体" w:cs="宋体"/>
          <w:b/>
          <w:kern w:val="0"/>
          <w:sz w:val="30"/>
          <w:szCs w:val="30"/>
        </w:rPr>
        <w:fldChar w:fldCharType="separate"/>
      </w:r>
      <w:r>
        <w:rPr>
          <w:rFonts w:hint="eastAsia" w:ascii="宋体" w:hAnsi="宋体" w:eastAsia="宋体" w:cs="宋体"/>
          <w:kern w:val="0"/>
          <w:sz w:val="30"/>
          <w:szCs w:val="30"/>
        </w:rPr>
        <w:fldChar w:fldCharType="begin"/>
      </w:r>
      <w:r>
        <w:rPr>
          <w:rFonts w:hint="eastAsia" w:ascii="宋体" w:hAnsi="宋体" w:eastAsia="宋体" w:cs="宋体"/>
          <w:kern w:val="0"/>
          <w:sz w:val="30"/>
          <w:szCs w:val="30"/>
        </w:rPr>
        <w:instrText xml:space="preserve"> HYPERLINK \l _Toc30941 </w:instrText>
      </w:r>
      <w:r>
        <w:rPr>
          <w:rFonts w:hint="eastAsia" w:ascii="宋体" w:hAnsi="宋体" w:eastAsia="宋体" w:cs="宋体"/>
          <w:kern w:val="0"/>
          <w:sz w:val="30"/>
          <w:szCs w:val="30"/>
        </w:rPr>
        <w:fldChar w:fldCharType="separate"/>
      </w:r>
      <w:r>
        <w:rPr>
          <w:rFonts w:hint="eastAsia" w:ascii="宋体" w:hAnsi="宋体" w:eastAsia="宋体" w:cs="宋体"/>
          <w:sz w:val="30"/>
          <w:szCs w:val="30"/>
        </w:rPr>
        <w:t>1 总则</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_Toc30941 \h </w:instrText>
      </w:r>
      <w:r>
        <w:rPr>
          <w:rFonts w:hint="eastAsia" w:ascii="宋体" w:hAnsi="宋体" w:eastAsia="宋体" w:cs="宋体"/>
          <w:sz w:val="30"/>
          <w:szCs w:val="30"/>
        </w:rPr>
        <w:fldChar w:fldCharType="separate"/>
      </w:r>
      <w:r>
        <w:rPr>
          <w:rFonts w:hint="eastAsia" w:ascii="宋体" w:hAnsi="宋体" w:eastAsia="宋体" w:cs="宋体"/>
          <w:sz w:val="30"/>
          <w:szCs w:val="30"/>
        </w:rPr>
        <w:t>3</w:t>
      </w:r>
      <w:r>
        <w:rPr>
          <w:rFonts w:hint="eastAsia" w:ascii="宋体" w:hAnsi="宋体" w:eastAsia="宋体" w:cs="宋体"/>
          <w:sz w:val="30"/>
          <w:szCs w:val="30"/>
        </w:rPr>
        <w:fldChar w:fldCharType="end"/>
      </w:r>
      <w:r>
        <w:rPr>
          <w:rFonts w:hint="eastAsia" w:ascii="宋体" w:hAnsi="宋体" w:eastAsia="宋体" w:cs="宋体"/>
          <w:kern w:val="0"/>
          <w:sz w:val="30"/>
          <w:szCs w:val="30"/>
        </w:rPr>
        <w:fldChar w:fldCharType="end"/>
      </w:r>
    </w:p>
    <w:p w14:paraId="247141CF">
      <w:pPr>
        <w:pStyle w:val="24"/>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_Toc15101 </w:instrText>
      </w:r>
      <w:r>
        <w:rPr>
          <w:rFonts w:hint="eastAsia" w:ascii="宋体" w:hAnsi="宋体" w:eastAsia="宋体" w:cs="宋体"/>
          <w:sz w:val="30"/>
          <w:szCs w:val="30"/>
        </w:rPr>
        <w:fldChar w:fldCharType="separate"/>
      </w:r>
      <w:r>
        <w:rPr>
          <w:rFonts w:hint="eastAsia" w:ascii="宋体" w:hAnsi="宋体" w:eastAsia="宋体" w:cs="宋体"/>
          <w:sz w:val="30"/>
          <w:szCs w:val="30"/>
        </w:rPr>
        <w:t>2 项目概况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_Toc15101 \h </w:instrText>
      </w:r>
      <w:r>
        <w:rPr>
          <w:rFonts w:hint="eastAsia" w:ascii="宋体" w:hAnsi="宋体" w:eastAsia="宋体" w:cs="宋体"/>
          <w:sz w:val="30"/>
          <w:szCs w:val="30"/>
        </w:rPr>
        <w:fldChar w:fldCharType="separate"/>
      </w:r>
      <w:r>
        <w:rPr>
          <w:rFonts w:hint="eastAsia" w:ascii="宋体" w:hAnsi="宋体" w:eastAsia="宋体" w:cs="宋体"/>
          <w:sz w:val="30"/>
          <w:szCs w:val="30"/>
        </w:rPr>
        <w:t>3</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7A313BE7">
      <w:pPr>
        <w:pStyle w:val="24"/>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_Toc282 </w:instrText>
      </w:r>
      <w:r>
        <w:rPr>
          <w:rFonts w:hint="eastAsia" w:ascii="宋体" w:hAnsi="宋体" w:eastAsia="宋体" w:cs="宋体"/>
          <w:sz w:val="30"/>
          <w:szCs w:val="30"/>
        </w:rPr>
        <w:fldChar w:fldCharType="separate"/>
      </w:r>
      <w:r>
        <w:rPr>
          <w:rFonts w:hint="eastAsia" w:ascii="宋体" w:hAnsi="宋体" w:eastAsia="宋体" w:cs="宋体"/>
          <w:sz w:val="30"/>
          <w:szCs w:val="30"/>
          <w:highlight w:val="none"/>
        </w:rPr>
        <w:t>3 执行的标准与规范</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_Toc282 \h </w:instrText>
      </w:r>
      <w:r>
        <w:rPr>
          <w:rFonts w:hint="eastAsia" w:ascii="宋体" w:hAnsi="宋体" w:eastAsia="宋体" w:cs="宋体"/>
          <w:sz w:val="30"/>
          <w:szCs w:val="30"/>
        </w:rPr>
        <w:fldChar w:fldCharType="separate"/>
      </w:r>
      <w:r>
        <w:rPr>
          <w:rFonts w:hint="eastAsia" w:ascii="宋体" w:hAnsi="宋体" w:eastAsia="宋体" w:cs="宋体"/>
          <w:sz w:val="30"/>
          <w:szCs w:val="30"/>
        </w:rPr>
        <w:t>3</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0D6BB874">
      <w:pPr>
        <w:pStyle w:val="24"/>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_Toc25724 </w:instrText>
      </w:r>
      <w:r>
        <w:rPr>
          <w:rFonts w:hint="eastAsia" w:ascii="宋体" w:hAnsi="宋体" w:eastAsia="宋体" w:cs="宋体"/>
          <w:sz w:val="30"/>
          <w:szCs w:val="30"/>
        </w:rPr>
        <w:fldChar w:fldCharType="separate"/>
      </w:r>
      <w:r>
        <w:rPr>
          <w:rFonts w:hint="eastAsia" w:ascii="宋体" w:hAnsi="宋体" w:eastAsia="宋体" w:cs="宋体"/>
          <w:sz w:val="30"/>
          <w:szCs w:val="30"/>
          <w:highlight w:val="none"/>
          <w:lang w:val="en-US" w:eastAsia="zh-CN"/>
        </w:rPr>
        <w:t>4 项目</w:t>
      </w:r>
      <w:r>
        <w:rPr>
          <w:rFonts w:hint="eastAsia" w:ascii="宋体" w:hAnsi="宋体" w:eastAsia="宋体" w:cs="宋体"/>
          <w:sz w:val="30"/>
          <w:szCs w:val="30"/>
          <w:highlight w:val="none"/>
        </w:rPr>
        <w:t>范围</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_Toc25724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736A77F7">
      <w:pPr>
        <w:pStyle w:val="24"/>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_Toc18331 </w:instrText>
      </w:r>
      <w:r>
        <w:rPr>
          <w:rFonts w:hint="eastAsia" w:ascii="宋体" w:hAnsi="宋体" w:eastAsia="宋体" w:cs="宋体"/>
          <w:sz w:val="30"/>
          <w:szCs w:val="30"/>
        </w:rPr>
        <w:fldChar w:fldCharType="separate"/>
      </w:r>
      <w:r>
        <w:rPr>
          <w:rFonts w:hint="eastAsia" w:ascii="宋体" w:hAnsi="宋体" w:eastAsia="宋体" w:cs="宋体"/>
          <w:sz w:val="30"/>
          <w:szCs w:val="30"/>
          <w:highlight w:val="none"/>
          <w:lang w:val="en-US" w:eastAsia="zh-CN"/>
        </w:rPr>
        <w:t>5</w:t>
      </w:r>
      <w:r>
        <w:rPr>
          <w:rFonts w:hint="eastAsia" w:ascii="宋体" w:hAnsi="宋体" w:eastAsia="宋体" w:cs="宋体"/>
          <w:sz w:val="30"/>
          <w:szCs w:val="30"/>
          <w:highlight w:val="none"/>
        </w:rPr>
        <w:t xml:space="preserve"> </w:t>
      </w:r>
      <w:r>
        <w:rPr>
          <w:rFonts w:hint="eastAsia" w:ascii="宋体" w:hAnsi="宋体" w:eastAsia="宋体" w:cs="宋体"/>
          <w:sz w:val="30"/>
          <w:szCs w:val="30"/>
          <w:highlight w:val="none"/>
          <w:lang w:val="en-US" w:eastAsia="zh-CN"/>
        </w:rPr>
        <w:t>项目内容及</w:t>
      </w:r>
      <w:r>
        <w:rPr>
          <w:rFonts w:hint="eastAsia" w:ascii="宋体" w:hAnsi="宋体" w:eastAsia="宋体" w:cs="宋体"/>
          <w:sz w:val="30"/>
          <w:szCs w:val="30"/>
          <w:highlight w:val="none"/>
        </w:rPr>
        <w:t>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_Toc18331 \h </w:instrText>
      </w:r>
      <w:r>
        <w:rPr>
          <w:rFonts w:hint="eastAsia" w:ascii="宋体" w:hAnsi="宋体" w:eastAsia="宋体" w:cs="宋体"/>
          <w:sz w:val="30"/>
          <w:szCs w:val="30"/>
        </w:rPr>
        <w:fldChar w:fldCharType="separate"/>
      </w:r>
      <w:r>
        <w:rPr>
          <w:rFonts w:hint="eastAsia" w:ascii="宋体" w:hAnsi="宋体" w:eastAsia="宋体" w:cs="宋体"/>
          <w:sz w:val="30"/>
          <w:szCs w:val="30"/>
        </w:rPr>
        <w:t>5</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55CDFF72">
      <w:pPr>
        <w:pStyle w:val="24"/>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_Toc11036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zh-CN"/>
        </w:rPr>
        <w:t>6 投标方应达到的目标</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_Toc11036 \h </w:instrText>
      </w:r>
      <w:r>
        <w:rPr>
          <w:rFonts w:hint="eastAsia" w:ascii="宋体" w:hAnsi="宋体" w:eastAsia="宋体" w:cs="宋体"/>
          <w:sz w:val="30"/>
          <w:szCs w:val="30"/>
        </w:rPr>
        <w:fldChar w:fldCharType="separate"/>
      </w:r>
      <w:r>
        <w:rPr>
          <w:rFonts w:hint="eastAsia" w:ascii="宋体" w:hAnsi="宋体" w:eastAsia="宋体" w:cs="宋体"/>
          <w:sz w:val="30"/>
          <w:szCs w:val="30"/>
        </w:rPr>
        <w:t>9</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5919C58E">
      <w:pPr>
        <w:pStyle w:val="24"/>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_Toc31724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zh-CN"/>
        </w:rPr>
        <w:t>7</w:t>
      </w:r>
      <w:r>
        <w:rPr>
          <w:rFonts w:hint="eastAsia" w:ascii="宋体" w:hAnsi="宋体" w:eastAsia="宋体" w:cs="宋体"/>
          <w:sz w:val="30"/>
          <w:szCs w:val="30"/>
        </w:rPr>
        <w:t xml:space="preserve"> 资质</w:t>
      </w:r>
      <w:r>
        <w:rPr>
          <w:rFonts w:hint="eastAsia" w:ascii="宋体" w:hAnsi="宋体" w:eastAsia="宋体" w:cs="宋体"/>
          <w:sz w:val="30"/>
          <w:szCs w:val="30"/>
          <w:lang w:val="en-US" w:eastAsia="zh-CN"/>
        </w:rPr>
        <w:t>条件</w:t>
      </w:r>
      <w:r>
        <w:rPr>
          <w:rFonts w:hint="eastAsia" w:ascii="宋体" w:hAnsi="宋体" w:eastAsia="宋体" w:cs="宋体"/>
          <w:sz w:val="30"/>
          <w:szCs w:val="30"/>
        </w:rPr>
        <w:t>及人员要求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_Toc31724 \h </w:instrText>
      </w:r>
      <w:r>
        <w:rPr>
          <w:rFonts w:hint="eastAsia" w:ascii="宋体" w:hAnsi="宋体" w:eastAsia="宋体" w:cs="宋体"/>
          <w:sz w:val="30"/>
          <w:szCs w:val="30"/>
        </w:rPr>
        <w:fldChar w:fldCharType="separate"/>
      </w:r>
      <w:r>
        <w:rPr>
          <w:rFonts w:hint="eastAsia" w:ascii="宋体" w:hAnsi="宋体" w:eastAsia="宋体" w:cs="宋体"/>
          <w:sz w:val="30"/>
          <w:szCs w:val="30"/>
        </w:rPr>
        <w:t>11</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67106E7F">
      <w:pPr>
        <w:pStyle w:val="24"/>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_Toc29112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zh-CN"/>
        </w:rPr>
        <w:t>8 安全要求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_Toc29112 \h </w:instrText>
      </w:r>
      <w:r>
        <w:rPr>
          <w:rFonts w:hint="eastAsia" w:ascii="宋体" w:hAnsi="宋体" w:eastAsia="宋体" w:cs="宋体"/>
          <w:sz w:val="30"/>
          <w:szCs w:val="30"/>
        </w:rPr>
        <w:fldChar w:fldCharType="separate"/>
      </w:r>
      <w:r>
        <w:rPr>
          <w:rFonts w:hint="eastAsia" w:ascii="宋体" w:hAnsi="宋体" w:eastAsia="宋体" w:cs="宋体"/>
          <w:sz w:val="30"/>
          <w:szCs w:val="30"/>
        </w:rPr>
        <w:t>12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33EE071C">
      <w:pPr>
        <w:pStyle w:val="24"/>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_Toc2314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zh-CN"/>
        </w:rPr>
        <w:t>9 双方职责</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_Toc2314 \h </w:instrText>
      </w:r>
      <w:r>
        <w:rPr>
          <w:rFonts w:hint="eastAsia" w:ascii="宋体" w:hAnsi="宋体" w:eastAsia="宋体" w:cs="宋体"/>
          <w:sz w:val="30"/>
          <w:szCs w:val="30"/>
        </w:rPr>
        <w:fldChar w:fldCharType="separate"/>
      </w:r>
      <w:r>
        <w:rPr>
          <w:rFonts w:hint="eastAsia" w:ascii="宋体" w:hAnsi="宋体" w:eastAsia="宋体" w:cs="宋体"/>
          <w:sz w:val="30"/>
          <w:szCs w:val="30"/>
        </w:rPr>
        <w:t>14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75466F92">
      <w:pPr>
        <w:pStyle w:val="24"/>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_Toc1184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zh-CN"/>
        </w:rPr>
        <w:t xml:space="preserve">10 </w:t>
      </w:r>
      <w:r>
        <w:rPr>
          <w:rFonts w:hint="eastAsia" w:ascii="宋体" w:hAnsi="宋体" w:eastAsia="宋体" w:cs="宋体"/>
          <w:sz w:val="30"/>
          <w:szCs w:val="30"/>
        </w:rPr>
        <w:t>安健环及文明施工、危险源（环境因素）控制要求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_Toc1184 \h </w:instrText>
      </w:r>
      <w:r>
        <w:rPr>
          <w:rFonts w:hint="eastAsia" w:ascii="宋体" w:hAnsi="宋体" w:eastAsia="宋体" w:cs="宋体"/>
          <w:sz w:val="30"/>
          <w:szCs w:val="30"/>
        </w:rPr>
        <w:fldChar w:fldCharType="separate"/>
      </w:r>
      <w:r>
        <w:rPr>
          <w:rFonts w:hint="eastAsia" w:ascii="宋体" w:hAnsi="宋体" w:eastAsia="宋体" w:cs="宋体"/>
          <w:sz w:val="30"/>
          <w:szCs w:val="30"/>
        </w:rPr>
        <w:t>16</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55D0B235">
      <w:pPr>
        <w:pStyle w:val="24"/>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_Toc2607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zh-CN"/>
        </w:rPr>
        <w:t>11 考核范围</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_Toc2607 \h </w:instrText>
      </w:r>
      <w:r>
        <w:rPr>
          <w:rFonts w:hint="eastAsia" w:ascii="宋体" w:hAnsi="宋体" w:eastAsia="宋体" w:cs="宋体"/>
          <w:sz w:val="30"/>
          <w:szCs w:val="30"/>
        </w:rPr>
        <w:fldChar w:fldCharType="separate"/>
      </w:r>
      <w:r>
        <w:rPr>
          <w:rFonts w:hint="eastAsia" w:ascii="宋体" w:hAnsi="宋体" w:eastAsia="宋体" w:cs="宋体"/>
          <w:sz w:val="30"/>
          <w:szCs w:val="30"/>
        </w:rPr>
        <w:t>18</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0E576556">
      <w:pPr>
        <w:pStyle w:val="24"/>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_Toc6592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zh-CN"/>
        </w:rPr>
        <w:t>12 附则</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_Toc6592 \h </w:instrText>
      </w:r>
      <w:r>
        <w:rPr>
          <w:rFonts w:hint="eastAsia" w:ascii="宋体" w:hAnsi="宋体" w:eastAsia="宋体" w:cs="宋体"/>
          <w:sz w:val="30"/>
          <w:szCs w:val="30"/>
        </w:rPr>
        <w:fldChar w:fldCharType="separate"/>
      </w:r>
      <w:r>
        <w:rPr>
          <w:rFonts w:hint="eastAsia" w:ascii="宋体" w:hAnsi="宋体" w:eastAsia="宋体" w:cs="宋体"/>
          <w:sz w:val="30"/>
          <w:szCs w:val="30"/>
        </w:rPr>
        <w:t>18</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6FBBDFFE">
      <w:pPr>
        <w:pStyle w:val="24"/>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_Toc11968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zh-CN"/>
        </w:rPr>
        <w:t>12 附录附表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_Toc11968 \h </w:instrText>
      </w:r>
      <w:r>
        <w:rPr>
          <w:rFonts w:hint="eastAsia" w:ascii="宋体" w:hAnsi="宋体" w:eastAsia="宋体" w:cs="宋体"/>
          <w:sz w:val="30"/>
          <w:szCs w:val="30"/>
        </w:rPr>
        <w:fldChar w:fldCharType="separate"/>
      </w:r>
      <w:r>
        <w:rPr>
          <w:rFonts w:hint="eastAsia" w:ascii="宋体" w:hAnsi="宋体" w:eastAsia="宋体" w:cs="宋体"/>
          <w:sz w:val="30"/>
          <w:szCs w:val="30"/>
        </w:rPr>
        <w:t>18</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2B46263A">
      <w:pPr>
        <w:pStyle w:val="17"/>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_Toc30546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zh-CN"/>
        </w:rPr>
        <w:t>附录C  图纸</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_Toc30546 \h </w:instrText>
      </w:r>
      <w:r>
        <w:rPr>
          <w:rFonts w:hint="eastAsia" w:ascii="宋体" w:hAnsi="宋体" w:eastAsia="宋体" w:cs="宋体"/>
          <w:sz w:val="30"/>
          <w:szCs w:val="30"/>
        </w:rPr>
        <w:fldChar w:fldCharType="separate"/>
      </w:r>
      <w:r>
        <w:rPr>
          <w:rFonts w:hint="eastAsia" w:ascii="宋体" w:hAnsi="宋体" w:eastAsia="宋体" w:cs="宋体"/>
          <w:sz w:val="30"/>
          <w:szCs w:val="30"/>
        </w:rPr>
        <w:t>20</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46EB1DE0">
      <w:pPr>
        <w:pStyle w:val="17"/>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_Toc20185 </w:instrText>
      </w:r>
      <w:r>
        <w:rPr>
          <w:rFonts w:hint="eastAsia" w:ascii="宋体" w:hAnsi="宋体" w:eastAsia="宋体" w:cs="宋体"/>
          <w:sz w:val="30"/>
          <w:szCs w:val="30"/>
        </w:rPr>
        <w:fldChar w:fldCharType="separate"/>
      </w:r>
      <w:r>
        <w:rPr>
          <w:rFonts w:hint="eastAsia" w:ascii="宋体" w:hAnsi="宋体" w:eastAsia="宋体" w:cs="宋体"/>
          <w:sz w:val="30"/>
          <w:szCs w:val="30"/>
        </w:rPr>
        <w:t>附图1  耐磨铸铁板（直流道）</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_Toc20185 \h </w:instrText>
      </w:r>
      <w:r>
        <w:rPr>
          <w:rFonts w:hint="eastAsia" w:ascii="宋体" w:hAnsi="宋体" w:eastAsia="宋体" w:cs="宋体"/>
          <w:sz w:val="30"/>
          <w:szCs w:val="30"/>
        </w:rPr>
        <w:fldChar w:fldCharType="separate"/>
      </w:r>
      <w:r>
        <w:rPr>
          <w:rFonts w:hint="eastAsia" w:ascii="宋体" w:hAnsi="宋体" w:eastAsia="宋体" w:cs="宋体"/>
          <w:sz w:val="30"/>
          <w:szCs w:val="30"/>
        </w:rPr>
        <w:t>20</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230E19F6">
      <w:pPr>
        <w:pStyle w:val="17"/>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_Toc7358 </w:instrText>
      </w:r>
      <w:r>
        <w:rPr>
          <w:rFonts w:hint="eastAsia" w:ascii="宋体" w:hAnsi="宋体" w:eastAsia="宋体" w:cs="宋体"/>
          <w:sz w:val="30"/>
          <w:szCs w:val="30"/>
        </w:rPr>
        <w:fldChar w:fldCharType="separate"/>
      </w:r>
      <w:r>
        <w:rPr>
          <w:rFonts w:hint="eastAsia" w:ascii="宋体" w:hAnsi="宋体" w:eastAsia="宋体" w:cs="宋体"/>
          <w:sz w:val="30"/>
          <w:szCs w:val="30"/>
        </w:rPr>
        <w:t>附图2  耐磨铸铁板（弯流道）</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_Toc7358 \h </w:instrText>
      </w:r>
      <w:r>
        <w:rPr>
          <w:rFonts w:hint="eastAsia" w:ascii="宋体" w:hAnsi="宋体" w:eastAsia="宋体" w:cs="宋体"/>
          <w:sz w:val="30"/>
          <w:szCs w:val="30"/>
        </w:rPr>
        <w:fldChar w:fldCharType="separate"/>
      </w:r>
      <w:r>
        <w:rPr>
          <w:rFonts w:hint="eastAsia" w:ascii="宋体" w:hAnsi="宋体" w:eastAsia="宋体" w:cs="宋体"/>
          <w:sz w:val="30"/>
          <w:szCs w:val="30"/>
        </w:rPr>
        <w:t>21</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366948F0">
      <w:pPr>
        <w:pStyle w:val="17"/>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_Toc15629 </w:instrText>
      </w:r>
      <w:r>
        <w:rPr>
          <w:rFonts w:hint="eastAsia" w:ascii="宋体" w:hAnsi="宋体" w:eastAsia="宋体" w:cs="宋体"/>
          <w:sz w:val="30"/>
          <w:szCs w:val="30"/>
        </w:rPr>
        <w:fldChar w:fldCharType="separate"/>
      </w:r>
      <w:r>
        <w:rPr>
          <w:rFonts w:hint="eastAsia" w:ascii="宋体" w:hAnsi="宋体" w:eastAsia="宋体" w:cs="宋体"/>
          <w:sz w:val="30"/>
          <w:szCs w:val="30"/>
        </w:rPr>
        <w:t>附图3  室外排渣沟平面布置图</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_Toc15629 \h </w:instrText>
      </w:r>
      <w:r>
        <w:rPr>
          <w:rFonts w:hint="eastAsia" w:ascii="宋体" w:hAnsi="宋体" w:eastAsia="宋体" w:cs="宋体"/>
          <w:sz w:val="30"/>
          <w:szCs w:val="30"/>
        </w:rPr>
        <w:fldChar w:fldCharType="separate"/>
      </w:r>
      <w:r>
        <w:rPr>
          <w:rFonts w:hint="eastAsia" w:ascii="宋体" w:hAnsi="宋体" w:eastAsia="宋体" w:cs="宋体"/>
          <w:sz w:val="30"/>
          <w:szCs w:val="30"/>
        </w:rPr>
        <w:t>22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193C64D4">
      <w:pPr>
        <w:pStyle w:val="17"/>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_Toc26580 </w:instrText>
      </w:r>
      <w:r>
        <w:rPr>
          <w:rFonts w:hint="eastAsia" w:ascii="宋体" w:hAnsi="宋体" w:eastAsia="宋体" w:cs="宋体"/>
          <w:sz w:val="30"/>
          <w:szCs w:val="30"/>
        </w:rPr>
        <w:fldChar w:fldCharType="separate"/>
      </w:r>
      <w:r>
        <w:rPr>
          <w:rFonts w:hint="eastAsia" w:ascii="宋体" w:hAnsi="宋体" w:eastAsia="宋体" w:cs="宋体"/>
          <w:sz w:val="30"/>
          <w:szCs w:val="30"/>
        </w:rPr>
        <w:t>附图4  渣沟横截面图</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_Toc26580 \h </w:instrText>
      </w:r>
      <w:r>
        <w:rPr>
          <w:rFonts w:hint="eastAsia" w:ascii="宋体" w:hAnsi="宋体" w:eastAsia="宋体" w:cs="宋体"/>
          <w:sz w:val="30"/>
          <w:szCs w:val="30"/>
        </w:rPr>
        <w:fldChar w:fldCharType="separate"/>
      </w:r>
      <w:r>
        <w:rPr>
          <w:rFonts w:hint="eastAsia" w:ascii="宋体" w:hAnsi="宋体" w:eastAsia="宋体" w:cs="宋体"/>
          <w:sz w:val="30"/>
          <w:szCs w:val="30"/>
        </w:rPr>
        <w:t>23</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554426FE">
      <w:pPr>
        <w:pStyle w:val="17"/>
        <w:tabs>
          <w:tab w:val="right" w:leader="dot" w:pos="8619"/>
        </w:tabs>
        <w:spacing w:line="360" w:lineRule="auto"/>
        <w:jc w:val="lef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_Toc1876 </w:instrText>
      </w:r>
      <w:r>
        <w:rPr>
          <w:rFonts w:hint="eastAsia" w:ascii="宋体" w:hAnsi="宋体" w:eastAsia="宋体" w:cs="宋体"/>
          <w:sz w:val="30"/>
          <w:szCs w:val="30"/>
        </w:rPr>
        <w:fldChar w:fldCharType="separate"/>
      </w:r>
      <w:r>
        <w:rPr>
          <w:rFonts w:hint="eastAsia" w:ascii="宋体" w:hAnsi="宋体" w:eastAsia="宋体" w:cs="宋体"/>
          <w:sz w:val="30"/>
          <w:szCs w:val="30"/>
        </w:rPr>
        <w:t>附图5  渣沟灰水喷头安装图</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_Toc1876 \h </w:instrText>
      </w:r>
      <w:r>
        <w:rPr>
          <w:rFonts w:hint="eastAsia" w:ascii="宋体" w:hAnsi="宋体" w:eastAsia="宋体" w:cs="宋体"/>
          <w:sz w:val="30"/>
          <w:szCs w:val="30"/>
        </w:rPr>
        <w:fldChar w:fldCharType="separate"/>
      </w:r>
      <w:r>
        <w:rPr>
          <w:rFonts w:hint="eastAsia" w:ascii="宋体" w:hAnsi="宋体" w:eastAsia="宋体" w:cs="宋体"/>
          <w:sz w:val="30"/>
          <w:szCs w:val="30"/>
        </w:rPr>
        <w:t>24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2E45CFFF">
      <w:pPr>
        <w:pStyle w:val="17"/>
        <w:tabs>
          <w:tab w:val="right" w:leader="dot" w:pos="8619"/>
        </w:tabs>
        <w:spacing w:line="360" w:lineRule="auto"/>
        <w:jc w:val="left"/>
        <w:rPr>
          <w:rFonts w:hint="eastAsia" w:ascii="宋体" w:hAnsi="宋体" w:eastAsia="宋体" w:cs="宋体"/>
          <w:sz w:val="30"/>
          <w:szCs w:val="30"/>
          <w:lang w:val="en-US" w:eastAsia="zh-CN"/>
        </w:rPr>
        <w:sectPr>
          <w:headerReference r:id="rId3" w:type="default"/>
          <w:footerReference r:id="rId4" w:type="default"/>
          <w:endnotePr>
            <w:numFmt w:val="decimal"/>
          </w:endnotePr>
          <w:pgSz w:w="11906" w:h="16838"/>
          <w:pgMar w:top="1418" w:right="1134" w:bottom="1134" w:left="1418" w:header="851" w:footer="641" w:gutter="0"/>
          <w:pgNumType w:fmt="decimal"/>
          <w:cols w:space="720" w:num="1"/>
          <w:docGrid w:linePitch="312" w:charSpace="0"/>
        </w:sect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_Toc16522 </w:instrText>
      </w:r>
      <w:r>
        <w:rPr>
          <w:rFonts w:hint="eastAsia" w:ascii="宋体" w:hAnsi="宋体" w:eastAsia="宋体" w:cs="宋体"/>
          <w:sz w:val="30"/>
          <w:szCs w:val="30"/>
        </w:rPr>
        <w:fldChar w:fldCharType="separate"/>
      </w:r>
      <w:r>
        <w:rPr>
          <w:rFonts w:hint="eastAsia" w:ascii="宋体" w:hAnsi="宋体" w:eastAsia="宋体" w:cs="宋体"/>
          <w:sz w:val="30"/>
          <w:szCs w:val="30"/>
        </w:rPr>
        <w:t>附图6  渣沟沟壁与沟底变形缝</w:t>
      </w:r>
      <w:r>
        <w:rPr>
          <w:rFonts w:hint="eastAsia" w:ascii="宋体" w:hAnsi="宋体" w:eastAsia="宋体" w:cs="宋体"/>
          <w:sz w:val="30"/>
          <w:szCs w:val="30"/>
        </w:rPr>
        <w:tab/>
      </w:r>
      <w:r>
        <w:rPr>
          <w:rFonts w:hint="eastAsia" w:ascii="宋体" w:hAnsi="宋体" w:cs="宋体"/>
          <w:sz w:val="30"/>
          <w:szCs w:val="30"/>
          <w:lang w:val="en-US" w:eastAsia="zh-CN"/>
        </w:rPr>
        <w:t>2</w:t>
      </w:r>
      <w:r>
        <w:rPr>
          <w:rFonts w:hint="eastAsia" w:ascii="宋体" w:hAnsi="宋体" w:eastAsia="宋体" w:cs="宋体"/>
          <w:sz w:val="30"/>
          <w:szCs w:val="30"/>
        </w:rPr>
        <w:fldChar w:fldCharType="end"/>
      </w:r>
      <w:r>
        <w:rPr>
          <w:rFonts w:hint="eastAsia" w:ascii="宋体" w:hAnsi="宋体" w:cs="宋体"/>
          <w:sz w:val="30"/>
          <w:szCs w:val="30"/>
          <w:lang w:val="en-US" w:eastAsia="zh-CN"/>
        </w:rPr>
        <w:t>5</w:t>
      </w:r>
    </w:p>
    <w:p w14:paraId="31E6DA4C">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jc w:val="left"/>
        <w:textAlignment w:val="auto"/>
        <w:rPr>
          <w:rStyle w:val="50"/>
          <w:rFonts w:hint="eastAsia"/>
          <w:sz w:val="28"/>
          <w:szCs w:val="28"/>
          <w:lang w:val="en-US" w:eastAsia="zh-CN"/>
        </w:rPr>
      </w:pPr>
      <w:r>
        <w:rPr>
          <w:rFonts w:hint="eastAsia" w:ascii="宋体" w:hAnsi="宋体" w:eastAsia="宋体" w:cs="宋体"/>
          <w:sz w:val="30"/>
          <w:szCs w:val="30"/>
        </w:rPr>
        <w:fldChar w:fldCharType="end"/>
      </w:r>
      <w:bookmarkStart w:id="0" w:name="_Toc80271043"/>
      <w:bookmarkEnd w:id="0"/>
      <w:bookmarkStart w:id="1" w:name="_Toc170462597"/>
      <w:bookmarkEnd w:id="1"/>
      <w:bookmarkStart w:id="2" w:name="_Toc170270571"/>
      <w:bookmarkEnd w:id="2"/>
      <w:bookmarkStart w:id="3" w:name="_Toc96238072"/>
      <w:bookmarkEnd w:id="3"/>
      <w:bookmarkStart w:id="4" w:name="_Toc30941"/>
      <w:r>
        <w:rPr>
          <w:rStyle w:val="50"/>
          <w:rFonts w:hint="eastAsia"/>
          <w:sz w:val="28"/>
          <w:szCs w:val="28"/>
          <w:lang w:val="en-US" w:eastAsia="zh-CN"/>
        </w:rPr>
        <w:t>1 总则</w:t>
      </w:r>
      <w:bookmarkEnd w:id="4"/>
    </w:p>
    <w:p w14:paraId="11C6452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bookmarkStart w:id="5" w:name="_Toc80271044"/>
      <w:bookmarkEnd w:id="5"/>
      <w:r>
        <w:rPr>
          <w:rFonts w:hint="eastAsia" w:ascii="宋体" w:hAnsi="宋体"/>
          <w:sz w:val="24"/>
          <w:szCs w:val="24"/>
          <w:lang w:val="en-US" w:eastAsia="zh-CN"/>
        </w:rPr>
        <w:t>1.1本技术规范书适用于浙能伊犁新天煤化工有限责任公司气化渣沟铸铁板安装施工服务工程招标。</w:t>
      </w:r>
    </w:p>
    <w:p w14:paraId="7C3EE8D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1.2 本技术规范书提出的是最低限度的技术要求，并未对一切技术细节作出规定，也未充分引述有关标准和规范。投标方必须保证提供符合本技术规范书和相关的国家标准的优质服务。对国家有关安全、环保等强制性标准，必须满足要求。</w:t>
      </w:r>
    </w:p>
    <w:p w14:paraId="3666410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1.3 如未对本技术规范书提出偏差，将认为投标方提供的服务符合技术规范和标准的要求。偏差（无论多少）都必须清楚地表示在“差异表”中。</w:t>
      </w:r>
    </w:p>
    <w:p w14:paraId="1D46958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1.4招标方不接受带有试制性质的工程服务。</w:t>
      </w:r>
    </w:p>
    <w:p w14:paraId="0B1B195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1.5 工程项目中采用的专利涉及到的全部费用均被认为已包含在报价中，投标方应保证招标方不承担有关专利的一切责任。</w:t>
      </w:r>
    </w:p>
    <w:p w14:paraId="0A96C08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1.6 投标方资质的要求，投标方提供的工程服务应是经验丰富、成熟可靠、技术先进。</w:t>
      </w:r>
    </w:p>
    <w:p w14:paraId="1EC8BFD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1.7 工程项目中所涉及到的技术规范和标准必须遵循现行最新版本的国家标准。投标方应提供所使用的标准。本技术规范书所使用的标准如遇与投标方所执行的标准发生矛盾时，应按较高标准执行。</w:t>
      </w:r>
    </w:p>
    <w:p w14:paraId="35B9E34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1.8 在签订合同之后，招标方有权提出因规范标准和规程发生变化而产生的一些补充要求，具体项目由招标方和投标方共同商定。</w:t>
      </w:r>
    </w:p>
    <w:p w14:paraId="08D2F84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1.9 本技术规范书将为订货合同的附件，与合同正文具有同等效力。</w:t>
      </w:r>
    </w:p>
    <w:p w14:paraId="26EDC75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1.10 未尽事宜，双方友好协商解决。</w:t>
      </w:r>
    </w:p>
    <w:p w14:paraId="4139A2A6">
      <w:pPr>
        <w:pStyle w:val="2"/>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rPr>
      </w:pPr>
      <w:bookmarkStart w:id="6" w:name="_Toc15101"/>
      <w:r>
        <w:rPr>
          <w:rFonts w:hint="eastAsia"/>
          <w:sz w:val="28"/>
          <w:szCs w:val="13"/>
        </w:rPr>
        <w:t>2 项目概况</w:t>
      </w:r>
      <w:bookmarkEnd w:id="6"/>
    </w:p>
    <w:p w14:paraId="459C7C59">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88"/>
          <w:rFonts w:hint="eastAsia" w:ascii="宋体" w:hAnsi="宋体"/>
          <w:sz w:val="24"/>
          <w:szCs w:val="24"/>
          <w:highlight w:val="none"/>
        </w:rPr>
      </w:pPr>
      <w:r>
        <w:rPr>
          <w:rStyle w:val="88"/>
          <w:rFonts w:hint="eastAsia" w:ascii="宋体" w:hAnsi="宋体"/>
          <w:sz w:val="24"/>
          <w:szCs w:val="24"/>
          <w:highlight w:val="none"/>
        </w:rPr>
        <w:t xml:space="preserve">公司建于新疆维吾尔自治区伊宁市巴彦岱镇火龙洞以北，北靠天山支脉科古琴山，南临伊犁河，厂址地形高差较大，北高南低，海拔标高约1000-1080m 之间，东西向中部大部分地段较为平缓。土地属于半荒漠草场。 </w:t>
      </w:r>
    </w:p>
    <w:p w14:paraId="54B298EC">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88"/>
          <w:rFonts w:hint="eastAsia" w:ascii="宋体" w:hAnsi="宋体"/>
          <w:sz w:val="24"/>
          <w:szCs w:val="24"/>
          <w:highlight w:val="none"/>
        </w:rPr>
      </w:pPr>
      <w:r>
        <w:rPr>
          <w:rStyle w:val="88"/>
          <w:rFonts w:hint="eastAsia" w:ascii="宋体" w:hAnsi="宋体"/>
          <w:sz w:val="24"/>
          <w:szCs w:val="24"/>
          <w:highlight w:val="none"/>
        </w:rPr>
        <w:t>该地区属大陆性气候，因地形关系，经常形成多雨雪的天气。冬季寒冷，夏季炎热，7 月份极端最高气温为 39.2℃；1 月份最低气温为-30.9℃，极端最低气温为-36℃，全年平均气温9℃；年平均降水量269mm；年平均蒸发量为1604.3mm；空气平均相对湿度65%；50年一遇基本雪压1.0kPa，最大积雪厚度79cm。最大冻结深度120cm。常年主导风向为东风和偏西风，50年一遇基本风压0.6kPa。</w:t>
      </w:r>
    </w:p>
    <w:p w14:paraId="1EA4AF5C">
      <w:pPr>
        <w:pStyle w:val="2"/>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highlight w:val="none"/>
        </w:rPr>
      </w:pPr>
      <w:bookmarkStart w:id="7" w:name="_Toc88426850"/>
      <w:bookmarkStart w:id="8" w:name="_Toc282"/>
      <w:bookmarkStart w:id="9" w:name="_Toc96092451"/>
      <w:r>
        <w:rPr>
          <w:rFonts w:hint="eastAsia"/>
          <w:sz w:val="28"/>
          <w:szCs w:val="13"/>
          <w:highlight w:val="none"/>
        </w:rPr>
        <w:t>3 执行的标准与规范</w:t>
      </w:r>
      <w:bookmarkEnd w:id="7"/>
      <w:bookmarkEnd w:id="8"/>
      <w:bookmarkEnd w:id="9"/>
    </w:p>
    <w:p w14:paraId="18C071D0">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88"/>
          <w:rFonts w:hint="eastAsia" w:ascii="宋体" w:hAnsi="宋体"/>
          <w:sz w:val="24"/>
          <w:szCs w:val="24"/>
          <w:highlight w:val="none"/>
          <w:lang w:val="en-US" w:eastAsia="zh-CN"/>
        </w:rPr>
      </w:pPr>
      <w:r>
        <w:rPr>
          <w:rStyle w:val="88"/>
          <w:rFonts w:hint="eastAsia" w:ascii="宋体" w:hAnsi="宋体"/>
          <w:sz w:val="24"/>
          <w:szCs w:val="24"/>
          <w:highlight w:val="none"/>
          <w:lang w:val="en-US" w:eastAsia="zh-CN"/>
        </w:rPr>
        <w:t>本项目执行的标准规范包括但不限于下述内容，如果采用其它标准，其要求不得低于下述标准。以下标准和规范均应采用最新版本，如下述标准和规范之间，或它们与本技术规范书之间有重大原则性冲突时，投标人应及时用书面形式向招标方提出解决方法的建议，并由双方共同协商处理。从合同签订之日起至投标方开始施工之前的这段时间内，如果因规范、标准发生修改或变化，招标方有权提出补充要求，投标方应满足并遵守这些要求。</w:t>
      </w:r>
    </w:p>
    <w:p w14:paraId="0B5496F1">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88"/>
          <w:rFonts w:hint="eastAsia" w:ascii="宋体" w:hAnsi="宋体"/>
          <w:sz w:val="24"/>
          <w:szCs w:val="24"/>
          <w:highlight w:val="none"/>
          <w:lang w:val="en-US" w:eastAsia="zh-CN"/>
        </w:rPr>
      </w:pPr>
      <w:r>
        <w:rPr>
          <w:rStyle w:val="88"/>
          <w:rFonts w:hint="eastAsia" w:ascii="宋体" w:hAnsi="宋体"/>
          <w:sz w:val="24"/>
          <w:szCs w:val="24"/>
          <w:highlight w:val="none"/>
          <w:lang w:val="en-US" w:eastAsia="zh-CN"/>
        </w:rPr>
        <w:t xml:space="preserve">JB/T3223   《焊接材料质量管理规定》                       </w:t>
      </w:r>
    </w:p>
    <w:p w14:paraId="7111C921">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88"/>
          <w:rFonts w:hint="eastAsia" w:ascii="宋体" w:hAnsi="宋体"/>
          <w:sz w:val="24"/>
          <w:szCs w:val="24"/>
          <w:highlight w:val="none"/>
          <w:lang w:val="en-US" w:eastAsia="zh-CN"/>
        </w:rPr>
      </w:pPr>
      <w:r>
        <w:rPr>
          <w:rStyle w:val="88"/>
          <w:rFonts w:hint="eastAsia" w:ascii="宋体" w:hAnsi="宋体"/>
          <w:sz w:val="24"/>
          <w:szCs w:val="24"/>
          <w:highlight w:val="none"/>
          <w:lang w:val="en-US" w:eastAsia="zh-CN"/>
        </w:rPr>
        <w:t>GB50235    《工业金属管道施工及验收规范》</w:t>
      </w:r>
      <w:r>
        <w:rPr>
          <w:rStyle w:val="88"/>
          <w:rFonts w:hint="eastAsia" w:ascii="宋体" w:hAnsi="宋体"/>
          <w:sz w:val="24"/>
          <w:szCs w:val="24"/>
          <w:highlight w:val="none"/>
          <w:lang w:val="en-US" w:eastAsia="zh-CN"/>
        </w:rPr>
        <w:tab/>
      </w:r>
    </w:p>
    <w:p w14:paraId="5CD30E09">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88"/>
          <w:rFonts w:hint="eastAsia" w:ascii="宋体" w:hAnsi="宋体"/>
          <w:sz w:val="24"/>
          <w:szCs w:val="24"/>
          <w:highlight w:val="none"/>
          <w:lang w:val="en-US" w:eastAsia="zh-CN"/>
        </w:rPr>
      </w:pPr>
      <w:r>
        <w:rPr>
          <w:rStyle w:val="88"/>
          <w:rFonts w:hint="eastAsia" w:ascii="宋体" w:hAnsi="宋体"/>
          <w:sz w:val="24"/>
          <w:szCs w:val="24"/>
          <w:highlight w:val="none"/>
          <w:lang w:val="en-US" w:eastAsia="zh-CN"/>
        </w:rPr>
        <w:t xml:space="preserve">GB50236    《现场设备、工业管道焊接工程施工及验收规范》  </w:t>
      </w:r>
    </w:p>
    <w:p w14:paraId="781EAE49">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88"/>
          <w:rFonts w:hint="eastAsia" w:ascii="宋体" w:hAnsi="宋体"/>
          <w:sz w:val="24"/>
          <w:szCs w:val="24"/>
          <w:highlight w:val="none"/>
          <w:lang w:val="en-US" w:eastAsia="zh-CN"/>
        </w:rPr>
      </w:pPr>
      <w:r>
        <w:rPr>
          <w:rStyle w:val="88"/>
          <w:rFonts w:hint="eastAsia" w:ascii="宋体" w:hAnsi="宋体"/>
          <w:sz w:val="24"/>
          <w:szCs w:val="24"/>
          <w:highlight w:val="none"/>
          <w:lang w:val="en-US" w:eastAsia="zh-CN"/>
        </w:rPr>
        <w:t>GB50202    《建筑地基基础工程施工质量验收规范》</w:t>
      </w:r>
    </w:p>
    <w:p w14:paraId="467B135C">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88"/>
          <w:rFonts w:hint="eastAsia" w:ascii="宋体" w:hAnsi="宋体"/>
          <w:sz w:val="24"/>
          <w:szCs w:val="24"/>
          <w:highlight w:val="none"/>
          <w:lang w:val="en-US" w:eastAsia="zh-CN"/>
        </w:rPr>
      </w:pPr>
      <w:r>
        <w:rPr>
          <w:rStyle w:val="88"/>
          <w:rFonts w:hint="eastAsia" w:ascii="宋体" w:hAnsi="宋体"/>
          <w:sz w:val="24"/>
          <w:szCs w:val="24"/>
          <w:highlight w:val="none"/>
          <w:lang w:val="en-US" w:eastAsia="zh-CN"/>
        </w:rPr>
        <w:t>GB50204    《混凝土结构工程施工质量验收规范》</w:t>
      </w:r>
    </w:p>
    <w:p w14:paraId="125F7E91">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88"/>
          <w:rFonts w:hint="eastAsia" w:ascii="宋体" w:hAnsi="宋体"/>
          <w:sz w:val="24"/>
          <w:szCs w:val="24"/>
          <w:highlight w:val="none"/>
          <w:lang w:val="en-US" w:eastAsia="zh-CN"/>
        </w:rPr>
      </w:pPr>
      <w:r>
        <w:rPr>
          <w:rStyle w:val="88"/>
          <w:rFonts w:hint="eastAsia" w:ascii="宋体" w:hAnsi="宋体"/>
          <w:sz w:val="24"/>
          <w:szCs w:val="24"/>
          <w:highlight w:val="none"/>
          <w:lang w:val="en-US" w:eastAsia="zh-CN"/>
        </w:rPr>
        <w:t>GB50208    《地下防水工程施工质量验收规范》</w:t>
      </w:r>
    </w:p>
    <w:p w14:paraId="56E00E2B">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Fonts w:hint="eastAsia"/>
          <w:sz w:val="28"/>
          <w:szCs w:val="13"/>
          <w:highlight w:val="none"/>
        </w:rPr>
      </w:pPr>
      <w:r>
        <w:rPr>
          <w:rStyle w:val="88"/>
          <w:rFonts w:hint="eastAsia" w:ascii="宋体" w:hAnsi="宋体"/>
          <w:sz w:val="24"/>
          <w:szCs w:val="24"/>
          <w:highlight w:val="none"/>
          <w:lang w:val="en-US" w:eastAsia="zh-CN"/>
        </w:rPr>
        <w:t>执行的标准规范包括但不限于上述内容，如果采用其它标准，其要求不得低于上述标准，如有新版本，以最新的版本为准。</w:t>
      </w:r>
    </w:p>
    <w:p w14:paraId="6049CE1F">
      <w:pPr>
        <w:pStyle w:val="2"/>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highlight w:val="none"/>
          <w:lang w:eastAsia="zh-CN"/>
        </w:rPr>
      </w:pPr>
      <w:bookmarkStart w:id="10" w:name="_Toc25724"/>
      <w:r>
        <w:rPr>
          <w:rFonts w:hint="eastAsia"/>
          <w:sz w:val="28"/>
          <w:szCs w:val="13"/>
          <w:highlight w:val="none"/>
          <w:lang w:val="en-US" w:eastAsia="zh-CN"/>
        </w:rPr>
        <w:t>4 项目</w:t>
      </w:r>
      <w:r>
        <w:rPr>
          <w:rFonts w:hint="eastAsia"/>
          <w:sz w:val="28"/>
          <w:szCs w:val="13"/>
          <w:highlight w:val="none"/>
        </w:rPr>
        <w:t>范围</w:t>
      </w:r>
      <w:bookmarkEnd w:id="10"/>
    </w:p>
    <w:p w14:paraId="31BDC1D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eastAsia="宋体" w:cs="Times New Roman"/>
          <w:sz w:val="24"/>
          <w:szCs w:val="24"/>
          <w:highlight w:val="none"/>
          <w:lang w:val="en-US" w:eastAsia="zh-CN"/>
        </w:rPr>
      </w:pPr>
      <w:r>
        <w:rPr>
          <w:rFonts w:hint="eastAsia" w:ascii="宋体" w:hAnsi="宋体" w:cs="Times New Roman"/>
          <w:sz w:val="24"/>
          <w:szCs w:val="24"/>
          <w:highlight w:val="none"/>
          <w:lang w:val="en-US" w:eastAsia="zh-CN"/>
        </w:rPr>
        <w:t>4</w:t>
      </w:r>
      <w:r>
        <w:rPr>
          <w:rFonts w:hint="eastAsia" w:ascii="宋体" w:hAnsi="宋体" w:eastAsia="宋体" w:cs="Times New Roman"/>
          <w:sz w:val="24"/>
          <w:szCs w:val="24"/>
          <w:highlight w:val="none"/>
          <w:lang w:val="en-US" w:eastAsia="zh-CN"/>
        </w:rPr>
        <w:t>.1</w:t>
      </w:r>
      <w:r>
        <w:rPr>
          <w:rFonts w:hint="eastAsia" w:ascii="宋体" w:hAnsi="宋体" w:cs="Times New Roman"/>
          <w:sz w:val="24"/>
          <w:szCs w:val="24"/>
          <w:highlight w:val="none"/>
          <w:lang w:val="en-US" w:eastAsia="zh-CN"/>
        </w:rPr>
        <w:t>项目</w:t>
      </w:r>
      <w:r>
        <w:rPr>
          <w:rFonts w:hint="eastAsia" w:ascii="宋体" w:hAnsi="宋体" w:eastAsia="宋体" w:cs="Times New Roman"/>
          <w:sz w:val="24"/>
          <w:szCs w:val="24"/>
          <w:highlight w:val="none"/>
          <w:lang w:val="en-US" w:eastAsia="zh-CN"/>
        </w:rPr>
        <w:t>范围</w:t>
      </w:r>
    </w:p>
    <w:p w14:paraId="66B28ABC">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88"/>
          <w:rFonts w:hint="eastAsia" w:ascii="宋体" w:hAnsi="宋体"/>
          <w:sz w:val="24"/>
          <w:szCs w:val="24"/>
          <w:highlight w:val="none"/>
        </w:rPr>
      </w:pPr>
      <w:r>
        <w:rPr>
          <w:rStyle w:val="88"/>
          <w:rFonts w:hint="eastAsia" w:ascii="宋体" w:hAnsi="宋体"/>
          <w:sz w:val="24"/>
          <w:szCs w:val="24"/>
          <w:highlight w:val="none"/>
        </w:rPr>
        <w:t>伊犁新天煤化工有限公司20亿方煤制天然气项目，气化装置共建有22台气化炉，由中国化学、赛鼎工程有限责任公司总承包。气化炉按三个框架布置，其中A、C框架各为7台气化炉，B框架为8台气化炉。</w:t>
      </w:r>
    </w:p>
    <w:p w14:paraId="2C06BE9D">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88"/>
          <w:rFonts w:hint="eastAsia" w:ascii="宋体" w:hAnsi="宋体"/>
          <w:sz w:val="24"/>
          <w:szCs w:val="24"/>
          <w:highlight w:val="none"/>
        </w:rPr>
      </w:pPr>
      <w:r>
        <w:rPr>
          <w:rStyle w:val="88"/>
          <w:rFonts w:hint="eastAsia" w:ascii="宋体" w:hAnsi="宋体"/>
          <w:sz w:val="24"/>
          <w:szCs w:val="24"/>
          <w:highlight w:val="none"/>
        </w:rPr>
        <w:t>气化炉灰锁排出的灰渣经竖灰管排入渣沟，渣沟上设有10个激流喷嘴，渣沟最端头喷嘴及管线最大，喷嘴为50mm，其余较小为30mm，喷嘴方向和渣沟水流方向一致，喷头喷出的高压水将灰渣冲向渣池。</w:t>
      </w:r>
    </w:p>
    <w:p w14:paraId="551402A1">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88"/>
          <w:rFonts w:hint="eastAsia" w:ascii="宋体" w:hAnsi="宋体"/>
          <w:sz w:val="24"/>
          <w:szCs w:val="24"/>
          <w:highlight w:val="none"/>
        </w:rPr>
      </w:pPr>
      <w:r>
        <w:rPr>
          <w:rStyle w:val="88"/>
          <w:rFonts w:hint="eastAsia" w:ascii="宋体" w:hAnsi="宋体"/>
          <w:sz w:val="24"/>
          <w:szCs w:val="24"/>
          <w:highlight w:val="none"/>
        </w:rPr>
        <w:t>灰水在流向渣池过程中，对渣沟产生了高速冲刷、磨削、高温化学腐蚀的作用，导致渣沟铸石板冲刷、磨蚀，尤其是厂房与渣池之间的2个90度弯道处，因灰水流速逐步加快，同时受离心力的影响较大，灰水对铸石板的冲刷、腐蚀作用加剧，渣沟铸石板减薄、脱落。在2021年大修期间进入渣沟检查时，发现每个渣沟90度弯道处的铸石板都已严重减薄，部分铸石板脱落，影响灰水系统的正常运行，同时可能造成灰水渗漏，导致建筑物基础塌陷。</w:t>
      </w:r>
    </w:p>
    <w:p w14:paraId="57101EAA">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sz w:val="24"/>
          <w:szCs w:val="24"/>
        </w:rPr>
      </w:pPr>
      <w:r>
        <w:rPr>
          <w:rStyle w:val="88"/>
          <w:rFonts w:hint="eastAsia" w:ascii="宋体" w:hAnsi="宋体"/>
          <w:sz w:val="24"/>
          <w:szCs w:val="24"/>
          <w:highlight w:val="none"/>
        </w:rPr>
        <w:t>基于上述情况，需对3个渣沟的90度弯道处的铸石板进行更换。</w:t>
      </w:r>
    </w:p>
    <w:p w14:paraId="276271D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sz w:val="24"/>
          <w:szCs w:val="24"/>
          <w:highlight w:val="none"/>
          <w:lang w:val="en-US" w:eastAsia="zh-CN"/>
        </w:rPr>
      </w:pPr>
      <w:r>
        <w:rPr>
          <w:rFonts w:hint="eastAsia" w:ascii="宋体" w:hAnsi="宋体"/>
          <w:sz w:val="24"/>
          <w:szCs w:val="24"/>
          <w:highlight w:val="none"/>
          <w:lang w:val="en-US" w:eastAsia="zh-CN"/>
        </w:rPr>
        <w:t>4</w:t>
      </w:r>
      <w:r>
        <w:rPr>
          <w:rFonts w:hint="default" w:ascii="宋体" w:hAnsi="宋体"/>
          <w:sz w:val="24"/>
          <w:szCs w:val="24"/>
          <w:highlight w:val="none"/>
          <w:lang w:val="en-US" w:eastAsia="zh-CN"/>
        </w:rPr>
        <w:t>.</w:t>
      </w:r>
      <w:r>
        <w:rPr>
          <w:rFonts w:hint="eastAsia" w:ascii="宋体" w:hAnsi="宋体"/>
          <w:sz w:val="24"/>
          <w:szCs w:val="24"/>
          <w:highlight w:val="none"/>
          <w:lang w:val="en-US" w:eastAsia="zh-CN"/>
        </w:rPr>
        <w:t>2 项目工期</w:t>
      </w:r>
    </w:p>
    <w:p w14:paraId="3F50C37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4.2.1 为保证整个施工过程的总进度，必须服从招标人的要求，3条渣沟根据工艺交出的时间，采用平行施工的方法，依次开工，有序施工，同时进行，在30天内完成3条渣沟铸铁板的安装。</w:t>
      </w:r>
    </w:p>
    <w:p w14:paraId="4A7AE31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4.2.2 投标方不仅要保证自己承担工作的进度，同时和招标方一起协调与其它外包系统设备的连接项目等施工进度，确保整体进度。</w:t>
      </w:r>
    </w:p>
    <w:p w14:paraId="4C6B311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4.2.3 服务工期内，以生产装置现场实际情况为指导，同时应服从招标方协调指挥要求，作。</w:t>
      </w:r>
    </w:p>
    <w:p w14:paraId="1D831688">
      <w:pPr>
        <w:pStyle w:val="2"/>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highlight w:val="none"/>
        </w:rPr>
      </w:pPr>
      <w:bookmarkStart w:id="11" w:name="_Toc18331"/>
      <w:r>
        <w:rPr>
          <w:rFonts w:hint="eastAsia"/>
          <w:sz w:val="28"/>
          <w:szCs w:val="13"/>
          <w:highlight w:val="none"/>
          <w:lang w:val="en-US" w:eastAsia="zh-CN"/>
        </w:rPr>
        <w:t>5</w:t>
      </w:r>
      <w:r>
        <w:rPr>
          <w:rFonts w:hint="eastAsia"/>
          <w:sz w:val="28"/>
          <w:szCs w:val="13"/>
          <w:highlight w:val="none"/>
        </w:rPr>
        <w:t xml:space="preserve"> </w:t>
      </w:r>
      <w:r>
        <w:rPr>
          <w:rFonts w:hint="eastAsia"/>
          <w:sz w:val="28"/>
          <w:szCs w:val="13"/>
          <w:highlight w:val="none"/>
          <w:lang w:val="en-US" w:eastAsia="zh-CN"/>
        </w:rPr>
        <w:t>项目内容及</w:t>
      </w:r>
      <w:r>
        <w:rPr>
          <w:rFonts w:hint="eastAsia"/>
          <w:sz w:val="28"/>
          <w:szCs w:val="13"/>
          <w:highlight w:val="none"/>
        </w:rPr>
        <w:t>要求</w:t>
      </w:r>
      <w:bookmarkEnd w:id="11"/>
    </w:p>
    <w:p w14:paraId="22E4AC8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highlight w:val="none"/>
          <w:lang w:eastAsia="zh-CN"/>
        </w:rPr>
      </w:pPr>
      <w:r>
        <w:rPr>
          <w:rFonts w:hint="eastAsia" w:ascii="宋体" w:hAnsi="宋体" w:cs="Times New Roman"/>
          <w:sz w:val="24"/>
          <w:szCs w:val="24"/>
          <w:highlight w:val="none"/>
          <w:lang w:val="en-US" w:eastAsia="zh-CN"/>
        </w:rPr>
        <w:t xml:space="preserve">5.1 </w:t>
      </w:r>
      <w:r>
        <w:rPr>
          <w:rFonts w:hint="eastAsia" w:ascii="宋体" w:hAnsi="宋体"/>
          <w:sz w:val="24"/>
          <w:szCs w:val="24"/>
        </w:rPr>
        <w:t>将气化A/B/C</w:t>
      </w:r>
      <w:r>
        <w:rPr>
          <w:rFonts w:hint="eastAsia" w:ascii="宋体" w:hAnsi="宋体"/>
          <w:sz w:val="24"/>
          <w:szCs w:val="24"/>
          <w:lang w:val="en-US" w:eastAsia="zh-CN"/>
        </w:rPr>
        <w:t>框架3</w:t>
      </w:r>
      <w:r>
        <w:rPr>
          <w:rFonts w:hint="eastAsia" w:ascii="宋体" w:hAnsi="宋体"/>
          <w:sz w:val="24"/>
          <w:szCs w:val="24"/>
        </w:rPr>
        <w:t>条渣沟、共6个90度弯道处的原铸石板拆除，更换为铸铁板。渣沟底面自东向西、由北至南，深度逐渐加大，为倾斜面（详见附图3）。</w:t>
      </w:r>
    </w:p>
    <w:p w14:paraId="3410042D">
      <w:pPr>
        <w:pStyle w:val="69"/>
        <w:numPr>
          <w:ilvl w:val="0"/>
          <w:numId w:val="0"/>
        </w:numPr>
        <w:spacing w:line="360" w:lineRule="auto"/>
        <w:jc w:val="center"/>
        <w:rPr>
          <w:rFonts w:hint="eastAsia" w:ascii="宋体" w:hAnsi="宋体" w:eastAsia="宋体" w:cs="Times New Roman"/>
          <w:kern w:val="2"/>
          <w:sz w:val="24"/>
          <w:szCs w:val="24"/>
          <w:highlight w:val="none"/>
          <w:lang w:val="en-US" w:eastAsia="zh-CN" w:bidi="ar-SA"/>
        </w:rPr>
      </w:pPr>
      <w:r>
        <w:pict>
          <v:shape id="_x0000_i1026" o:spt="75" type="#_x0000_t75" style="height:355.2pt;width:465pt;rotation:5898240f;" filled="f" o:preferrelative="t" stroked="f" coordsize="21600,21600">
            <v:path/>
            <v:fill on="f" focussize="0,0"/>
            <v:stroke on="f"/>
            <v:imagedata r:id="rId6" r:href="rId7" o:title=""/>
            <o:lock v:ext="edit" rotation="t" aspectratio="t"/>
            <w10:wrap type="none"/>
            <w10:anchorlock/>
          </v:shape>
        </w:pict>
      </w:r>
    </w:p>
    <w:p w14:paraId="0369EE3E">
      <w:pPr>
        <w:pStyle w:val="69"/>
        <w:numPr>
          <w:ilvl w:val="0"/>
          <w:numId w:val="0"/>
        </w:numPr>
        <w:spacing w:line="360" w:lineRule="auto"/>
        <w:rPr>
          <w:rFonts w:hint="eastAsia" w:ascii="宋体" w:hAnsi="宋体" w:eastAsia="宋体" w:cs="Times New Roman"/>
          <w:kern w:val="2"/>
          <w:sz w:val="24"/>
          <w:szCs w:val="24"/>
          <w:highlight w:val="none"/>
          <w:lang w:val="en-US" w:eastAsia="zh-CN" w:bidi="ar-SA"/>
        </w:rPr>
      </w:pPr>
    </w:p>
    <w:p w14:paraId="4FAE09DF">
      <w:pPr>
        <w:pStyle w:val="69"/>
        <w:numPr>
          <w:ilvl w:val="0"/>
          <w:numId w:val="0"/>
        </w:numPr>
        <w:spacing w:line="360" w:lineRule="auto"/>
        <w:rPr>
          <w:rFonts w:hint="default"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5.2 本项目工作内容为：</w:t>
      </w:r>
    </w:p>
    <w:p w14:paraId="417DA50F">
      <w:pPr>
        <w:pStyle w:val="68"/>
        <w:numPr>
          <w:ilvl w:val="4"/>
          <w:numId w:val="0"/>
        </w:numPr>
        <w:spacing w:line="360" w:lineRule="auto"/>
        <w:jc w:val="left"/>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5</w:t>
      </w:r>
      <w:r>
        <w:rPr>
          <w:rFonts w:hint="default" w:ascii="宋体" w:hAnsi="宋体" w:eastAsia="宋体"/>
          <w:sz w:val="24"/>
          <w:szCs w:val="24"/>
          <w:highlight w:val="none"/>
          <w:lang w:val="en-US" w:eastAsia="zh-CN"/>
        </w:rPr>
        <w:t>.</w:t>
      </w:r>
      <w:r>
        <w:rPr>
          <w:rFonts w:hint="eastAsia" w:ascii="宋体" w:hAnsi="宋体" w:eastAsia="宋体"/>
          <w:sz w:val="24"/>
          <w:szCs w:val="24"/>
          <w:highlight w:val="none"/>
          <w:lang w:val="en-US" w:eastAsia="zh-CN"/>
        </w:rPr>
        <w:t>2</w:t>
      </w:r>
      <w:r>
        <w:rPr>
          <w:rFonts w:hint="default" w:ascii="宋体" w:hAnsi="宋体" w:eastAsia="宋体"/>
          <w:sz w:val="24"/>
          <w:szCs w:val="24"/>
          <w:highlight w:val="none"/>
          <w:lang w:val="en-US" w:eastAsia="zh-CN"/>
        </w:rPr>
        <w:t>.1将气化A/B/C厂房西侧进入渣沟的临时排渣管线开挖、割除，吊至地面。1条临时排渣管线周围需开挖的土方约为（长2.5米×宽2.5米×深2米）12.5立方米，3条临时排渣管线周围需开挖的土方共计37.5立方米；临时排渣管线为DN800的钢管，每条临时排渣管线需拆除约7米，共计21米（4160千克）；</w:t>
      </w:r>
    </w:p>
    <w:p w14:paraId="40255C7A">
      <w:pPr>
        <w:pStyle w:val="68"/>
        <w:numPr>
          <w:ilvl w:val="4"/>
          <w:numId w:val="0"/>
        </w:numPr>
        <w:spacing w:line="360" w:lineRule="auto"/>
        <w:jc w:val="left"/>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5</w:t>
      </w:r>
      <w:r>
        <w:rPr>
          <w:rFonts w:hint="default" w:ascii="宋体" w:hAnsi="宋体" w:eastAsia="宋体"/>
          <w:sz w:val="24"/>
          <w:szCs w:val="24"/>
          <w:highlight w:val="none"/>
          <w:lang w:val="en-US" w:eastAsia="zh-CN"/>
        </w:rPr>
        <w:t>.</w:t>
      </w:r>
      <w:r>
        <w:rPr>
          <w:rFonts w:hint="eastAsia" w:ascii="宋体" w:hAnsi="宋体" w:eastAsia="宋体"/>
          <w:sz w:val="24"/>
          <w:szCs w:val="24"/>
          <w:highlight w:val="none"/>
          <w:lang w:val="en-US" w:eastAsia="zh-CN"/>
        </w:rPr>
        <w:t>2</w:t>
      </w:r>
      <w:r>
        <w:rPr>
          <w:rFonts w:hint="default" w:ascii="宋体" w:hAnsi="宋体" w:eastAsia="宋体"/>
          <w:sz w:val="24"/>
          <w:szCs w:val="24"/>
          <w:highlight w:val="none"/>
          <w:lang w:val="en-US" w:eastAsia="zh-CN"/>
        </w:rPr>
        <w:t>.2割除气化A/B/C渣沟从厂房至渣池的灰水喷头，每条渣沟内2个喷头，共6个喷头（灰水喷头详图见附图5）；</w:t>
      </w:r>
    </w:p>
    <w:p w14:paraId="703DEF1C">
      <w:pPr>
        <w:pStyle w:val="68"/>
        <w:numPr>
          <w:ilvl w:val="4"/>
          <w:numId w:val="0"/>
        </w:numPr>
        <w:spacing w:line="360" w:lineRule="auto"/>
        <w:jc w:val="left"/>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5</w:t>
      </w:r>
      <w:r>
        <w:rPr>
          <w:rFonts w:hint="default" w:ascii="宋体" w:hAnsi="宋体" w:eastAsia="宋体"/>
          <w:sz w:val="24"/>
          <w:szCs w:val="24"/>
          <w:highlight w:val="none"/>
          <w:lang w:val="en-US" w:eastAsia="zh-CN"/>
        </w:rPr>
        <w:t>.</w:t>
      </w:r>
      <w:r>
        <w:rPr>
          <w:rFonts w:hint="eastAsia" w:ascii="宋体" w:hAnsi="宋体" w:eastAsia="宋体"/>
          <w:sz w:val="24"/>
          <w:szCs w:val="24"/>
          <w:highlight w:val="none"/>
          <w:lang w:val="en-US" w:eastAsia="zh-CN"/>
        </w:rPr>
        <w:t>2</w:t>
      </w:r>
      <w:r>
        <w:rPr>
          <w:rFonts w:hint="default" w:ascii="宋体" w:hAnsi="宋体" w:eastAsia="宋体"/>
          <w:sz w:val="24"/>
          <w:szCs w:val="24"/>
          <w:highlight w:val="none"/>
          <w:lang w:val="en-US" w:eastAsia="zh-CN"/>
        </w:rPr>
        <w:t>.3拆除气化A/B/C渣沟从厂房至渣池的90度弯道及弯道两端处的铸石板/铸铁板，一共6个弯道，弯道半径2.5米，每个弯道长3.925米，弯道两端各拆除1.5米，1个弯道处需拆除6.925米，6个弯道共拆除长度41.55米。铸石板/铸铁板宽×高为：0.6×0.5米，6个弯道共需拆除12.465立方米，将拆除的铸石板/铸铁板吊出，运至招标人指定的场地；</w:t>
      </w:r>
    </w:p>
    <w:p w14:paraId="2D68F3D3">
      <w:pPr>
        <w:pStyle w:val="68"/>
        <w:numPr>
          <w:ilvl w:val="4"/>
          <w:numId w:val="0"/>
        </w:numPr>
        <w:spacing w:line="360" w:lineRule="auto"/>
        <w:jc w:val="left"/>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5</w:t>
      </w:r>
      <w:r>
        <w:rPr>
          <w:rFonts w:hint="default" w:ascii="宋体" w:hAnsi="宋体" w:eastAsia="宋体"/>
          <w:sz w:val="24"/>
          <w:szCs w:val="24"/>
          <w:highlight w:val="none"/>
          <w:lang w:val="en-US" w:eastAsia="zh-CN"/>
        </w:rPr>
        <w:t>.</w:t>
      </w:r>
      <w:r>
        <w:rPr>
          <w:rFonts w:hint="eastAsia" w:ascii="宋体" w:hAnsi="宋体" w:eastAsia="宋体"/>
          <w:sz w:val="24"/>
          <w:szCs w:val="24"/>
          <w:highlight w:val="none"/>
          <w:lang w:val="en-US" w:eastAsia="zh-CN"/>
        </w:rPr>
        <w:t>2</w:t>
      </w:r>
      <w:r>
        <w:rPr>
          <w:rFonts w:hint="default" w:ascii="宋体" w:hAnsi="宋体" w:eastAsia="宋体"/>
          <w:sz w:val="24"/>
          <w:szCs w:val="24"/>
          <w:highlight w:val="none"/>
          <w:lang w:val="en-US" w:eastAsia="zh-CN"/>
        </w:rPr>
        <w:t>.4将渣沟原铸石板周边的C15混凝土进行清除，需清除的C15混凝土体积为：[（0.2+0.27）×0.5]×41.55=9.76立方米，将拆除的混凝土吊出，运至招标人指定的场地。若渣沟底、壁的混凝土有冲蚀、孔洞等缺陷，必须按招标人要求进行修补后，方可进行下一步施工（渣沟截面图详见附图4）；</w:t>
      </w:r>
    </w:p>
    <w:p w14:paraId="54B56205">
      <w:pPr>
        <w:pStyle w:val="68"/>
        <w:numPr>
          <w:ilvl w:val="4"/>
          <w:numId w:val="0"/>
        </w:numPr>
        <w:spacing w:line="360" w:lineRule="auto"/>
        <w:jc w:val="left"/>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5</w:t>
      </w:r>
      <w:r>
        <w:rPr>
          <w:rFonts w:hint="default" w:ascii="宋体" w:hAnsi="宋体" w:eastAsia="宋体"/>
          <w:sz w:val="24"/>
          <w:szCs w:val="24"/>
          <w:highlight w:val="none"/>
          <w:lang w:val="en-US" w:eastAsia="zh-CN"/>
        </w:rPr>
        <w:t>.</w:t>
      </w:r>
      <w:r>
        <w:rPr>
          <w:rFonts w:hint="eastAsia" w:ascii="宋体" w:hAnsi="宋体" w:eastAsia="宋体"/>
          <w:sz w:val="24"/>
          <w:szCs w:val="24"/>
          <w:highlight w:val="none"/>
          <w:lang w:val="en-US" w:eastAsia="zh-CN"/>
        </w:rPr>
        <w:t>2</w:t>
      </w:r>
      <w:r>
        <w:rPr>
          <w:rFonts w:hint="default" w:ascii="宋体" w:hAnsi="宋体" w:eastAsia="宋体"/>
          <w:sz w:val="24"/>
          <w:szCs w:val="24"/>
          <w:highlight w:val="none"/>
          <w:lang w:val="en-US" w:eastAsia="zh-CN"/>
        </w:rPr>
        <w:t>.5安装新铸铁板之前，先将墙体保护层（灰面）清理，再对渣沟墙体及沟底做防渗水处理（材料采用结晶型防渗水涂料）；粉刷两遍，厚度不小于2mm。施工面积=（墙体高1米×2+沟底宽1米）×渣沟施工段长度41.55米=124.65平方米；</w:t>
      </w:r>
    </w:p>
    <w:p w14:paraId="0DAB3746">
      <w:pPr>
        <w:pStyle w:val="68"/>
        <w:numPr>
          <w:ilvl w:val="4"/>
          <w:numId w:val="0"/>
        </w:numPr>
        <w:spacing w:line="360" w:lineRule="auto"/>
        <w:jc w:val="left"/>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5</w:t>
      </w:r>
      <w:r>
        <w:rPr>
          <w:rFonts w:hint="default" w:ascii="宋体" w:hAnsi="宋体" w:eastAsia="宋体"/>
          <w:sz w:val="24"/>
          <w:szCs w:val="24"/>
          <w:highlight w:val="none"/>
          <w:lang w:val="en-US" w:eastAsia="zh-CN"/>
        </w:rPr>
        <w:t>.</w:t>
      </w:r>
      <w:r>
        <w:rPr>
          <w:rFonts w:hint="eastAsia" w:ascii="宋体" w:hAnsi="宋体" w:eastAsia="宋体"/>
          <w:sz w:val="24"/>
          <w:szCs w:val="24"/>
          <w:highlight w:val="none"/>
          <w:lang w:val="en-US" w:eastAsia="zh-CN"/>
        </w:rPr>
        <w:t>2</w:t>
      </w:r>
      <w:r>
        <w:rPr>
          <w:rFonts w:hint="default" w:ascii="宋体" w:hAnsi="宋体" w:eastAsia="宋体"/>
          <w:sz w:val="24"/>
          <w:szCs w:val="24"/>
          <w:highlight w:val="none"/>
          <w:lang w:val="en-US" w:eastAsia="zh-CN"/>
        </w:rPr>
        <w:t>.6揭开厂房西侧渣沟顶部的盖板，将新铸铁板吊入渣沟，运至作业点处，每个弯道需耐磨铸铁板（直流道）4块，耐磨铸铁板（弯流道）6块，每块铸铁板质量约530千克。气化厂房西侧吊入/吊出口至出厂房的第一个90度弯道距离12.6米，至第二个90度弯道距离75.8米；</w:t>
      </w:r>
    </w:p>
    <w:p w14:paraId="3ED7BB18">
      <w:pPr>
        <w:pStyle w:val="68"/>
        <w:numPr>
          <w:ilvl w:val="4"/>
          <w:numId w:val="0"/>
        </w:numPr>
        <w:spacing w:line="360" w:lineRule="auto"/>
        <w:jc w:val="left"/>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5</w:t>
      </w:r>
      <w:r>
        <w:rPr>
          <w:rFonts w:hint="default" w:ascii="宋体" w:hAnsi="宋体" w:eastAsia="宋体"/>
          <w:sz w:val="24"/>
          <w:szCs w:val="24"/>
          <w:highlight w:val="none"/>
          <w:lang w:val="en-US" w:eastAsia="zh-CN"/>
        </w:rPr>
        <w:t>.</w:t>
      </w:r>
      <w:r>
        <w:rPr>
          <w:rFonts w:hint="eastAsia" w:ascii="宋体" w:hAnsi="宋体" w:eastAsia="宋体"/>
          <w:sz w:val="24"/>
          <w:szCs w:val="24"/>
          <w:highlight w:val="none"/>
          <w:lang w:val="en-US" w:eastAsia="zh-CN"/>
        </w:rPr>
        <w:t>2</w:t>
      </w:r>
      <w:r>
        <w:rPr>
          <w:rFonts w:hint="default" w:ascii="宋体" w:hAnsi="宋体" w:eastAsia="宋体"/>
          <w:sz w:val="24"/>
          <w:szCs w:val="24"/>
          <w:highlight w:val="none"/>
          <w:lang w:val="en-US" w:eastAsia="zh-CN"/>
        </w:rPr>
        <w:t>.7安装铸铁板按照设计镶嵌（凸凹）结构组对，并在组对铸铁板之间的镶嵌缝隙处采用聚氨酯密封膏填充（铸铁板见附图1、附图2）。</w:t>
      </w:r>
    </w:p>
    <w:p w14:paraId="5A93B325">
      <w:pPr>
        <w:pStyle w:val="68"/>
        <w:numPr>
          <w:ilvl w:val="4"/>
          <w:numId w:val="0"/>
        </w:numPr>
        <w:spacing w:line="360" w:lineRule="auto"/>
        <w:jc w:val="left"/>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5</w:t>
      </w:r>
      <w:r>
        <w:rPr>
          <w:rFonts w:hint="default" w:ascii="宋体" w:hAnsi="宋体" w:eastAsia="宋体"/>
          <w:sz w:val="24"/>
          <w:szCs w:val="24"/>
          <w:highlight w:val="none"/>
          <w:lang w:val="en-US" w:eastAsia="zh-CN"/>
        </w:rPr>
        <w:t>.</w:t>
      </w:r>
      <w:r>
        <w:rPr>
          <w:rFonts w:hint="eastAsia" w:ascii="宋体" w:hAnsi="宋体" w:eastAsia="宋体"/>
          <w:sz w:val="24"/>
          <w:szCs w:val="24"/>
          <w:highlight w:val="none"/>
          <w:lang w:val="en-US" w:eastAsia="zh-CN"/>
        </w:rPr>
        <w:t>2</w:t>
      </w:r>
      <w:r>
        <w:rPr>
          <w:rFonts w:hint="default" w:ascii="宋体" w:hAnsi="宋体" w:eastAsia="宋体"/>
          <w:sz w:val="24"/>
          <w:szCs w:val="24"/>
          <w:highlight w:val="none"/>
          <w:lang w:val="en-US" w:eastAsia="zh-CN"/>
        </w:rPr>
        <w:t>.8铸铁板安装前，在渣沟底部摆放2条平行的50×50的角钢（共41.55米），每隔1米距离，在2条角钢之间焊接1道横栏，做成一平放的梯子形状，防止两条角钢倾倒，然后将铸铁板安放在角钢上，找平找正，确保铸铁板与渣沟混凝土基层对地同一倾角；</w:t>
      </w:r>
    </w:p>
    <w:p w14:paraId="6513C406">
      <w:pPr>
        <w:pStyle w:val="68"/>
        <w:numPr>
          <w:ilvl w:val="4"/>
          <w:numId w:val="0"/>
        </w:numPr>
        <w:spacing w:line="360" w:lineRule="auto"/>
        <w:jc w:val="left"/>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5</w:t>
      </w:r>
      <w:r>
        <w:rPr>
          <w:rFonts w:hint="default" w:ascii="宋体" w:hAnsi="宋体" w:eastAsia="宋体"/>
          <w:sz w:val="24"/>
          <w:szCs w:val="24"/>
          <w:highlight w:val="none"/>
          <w:lang w:val="en-US" w:eastAsia="zh-CN"/>
        </w:rPr>
        <w:t>.</w:t>
      </w:r>
      <w:r>
        <w:rPr>
          <w:rFonts w:hint="eastAsia" w:ascii="宋体" w:hAnsi="宋体" w:eastAsia="宋体"/>
          <w:sz w:val="24"/>
          <w:szCs w:val="24"/>
          <w:highlight w:val="none"/>
          <w:lang w:val="en-US" w:eastAsia="zh-CN"/>
        </w:rPr>
        <w:t>2</w:t>
      </w:r>
      <w:r>
        <w:rPr>
          <w:rFonts w:hint="default" w:ascii="宋体" w:hAnsi="宋体" w:eastAsia="宋体"/>
          <w:sz w:val="24"/>
          <w:szCs w:val="24"/>
          <w:highlight w:val="none"/>
          <w:lang w:val="en-US" w:eastAsia="zh-CN"/>
        </w:rPr>
        <w:t>.9铸铁板组对完成后，采用C25混凝土将其浇筑固定；新安装的铸铁板与渣沟内原装的铸石板必须紧密相接，若确实无法保持紧密连接，同招标人共同确定施工方案，经招标人同意后方可施工。如下图：</w:t>
      </w:r>
    </w:p>
    <w:p w14:paraId="7F8432F8">
      <w:pPr>
        <w:pStyle w:val="68"/>
        <w:numPr>
          <w:ilvl w:val="4"/>
          <w:numId w:val="0"/>
        </w:numPr>
        <w:spacing w:line="360" w:lineRule="auto"/>
        <w:jc w:val="center"/>
        <w:rPr>
          <w:rFonts w:hint="default" w:ascii="宋体" w:hAnsi="宋体" w:eastAsia="宋体"/>
          <w:sz w:val="24"/>
          <w:szCs w:val="24"/>
          <w:highlight w:val="none"/>
          <w:lang w:val="en-US" w:eastAsia="zh-CN"/>
        </w:rPr>
      </w:pPr>
      <w:r>
        <w:rPr>
          <w:rFonts w:ascii="仿宋" w:hAnsi="仿宋" w:eastAsia="仿宋"/>
          <w:sz w:val="28"/>
          <w:szCs w:val="28"/>
        </w:rPr>
        <w:pict>
          <v:shape id="_x0000_i1027" o:spt="75" type="#_x0000_t75" style="height:306.65pt;width:446.4pt;" filled="f" o:preferrelative="t" stroked="f" coordsize="21600,21600">
            <v:path/>
            <v:fill on="f" focussize="0,0"/>
            <v:stroke on="f"/>
            <v:imagedata r:id="rId8" o:title=""/>
            <o:lock v:ext="edit" aspectratio="t"/>
            <w10:wrap type="none"/>
            <w10:anchorlock/>
          </v:shape>
        </w:pict>
      </w:r>
    </w:p>
    <w:p w14:paraId="5357322A">
      <w:pPr>
        <w:pStyle w:val="68"/>
        <w:numPr>
          <w:ilvl w:val="4"/>
          <w:numId w:val="0"/>
        </w:numPr>
        <w:spacing w:line="360" w:lineRule="auto"/>
        <w:jc w:val="left"/>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5</w:t>
      </w:r>
      <w:r>
        <w:rPr>
          <w:rFonts w:hint="default" w:ascii="宋体" w:hAnsi="宋体" w:eastAsia="宋体"/>
          <w:sz w:val="24"/>
          <w:szCs w:val="24"/>
          <w:highlight w:val="none"/>
          <w:lang w:val="en-US" w:eastAsia="zh-CN"/>
        </w:rPr>
        <w:t>.</w:t>
      </w:r>
      <w:r>
        <w:rPr>
          <w:rFonts w:hint="eastAsia" w:ascii="宋体" w:hAnsi="宋体" w:eastAsia="宋体"/>
          <w:sz w:val="24"/>
          <w:szCs w:val="24"/>
          <w:highlight w:val="none"/>
          <w:lang w:val="en-US" w:eastAsia="zh-CN"/>
        </w:rPr>
        <w:t>2</w:t>
      </w:r>
      <w:r>
        <w:rPr>
          <w:rFonts w:hint="default" w:ascii="宋体" w:hAnsi="宋体" w:eastAsia="宋体"/>
          <w:sz w:val="24"/>
          <w:szCs w:val="24"/>
          <w:highlight w:val="none"/>
          <w:lang w:val="en-US" w:eastAsia="zh-CN"/>
        </w:rPr>
        <w:t>.10铸铁板安装完毕后，恢复割除的6个灰水喷头，恢复割除的临时排渣管线，并在其穿出渣沟顶部盖板的上方拼焊一块2×2米钢板（厚度20mm），钢板上下两面涂刷5mm厚的沥青；回填临时排渣管线；</w:t>
      </w:r>
    </w:p>
    <w:p w14:paraId="2766379F">
      <w:pPr>
        <w:pStyle w:val="68"/>
        <w:numPr>
          <w:ilvl w:val="4"/>
          <w:numId w:val="0"/>
        </w:numPr>
        <w:spacing w:line="360" w:lineRule="auto"/>
        <w:jc w:val="left"/>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5</w:t>
      </w:r>
      <w:r>
        <w:rPr>
          <w:rFonts w:hint="default" w:ascii="宋体" w:hAnsi="宋体" w:eastAsia="宋体"/>
          <w:sz w:val="24"/>
          <w:szCs w:val="24"/>
          <w:highlight w:val="none"/>
          <w:lang w:val="en-US" w:eastAsia="zh-CN"/>
        </w:rPr>
        <w:t>.</w:t>
      </w:r>
      <w:r>
        <w:rPr>
          <w:rFonts w:hint="eastAsia" w:ascii="宋体" w:hAnsi="宋体" w:eastAsia="宋体"/>
          <w:sz w:val="24"/>
          <w:szCs w:val="24"/>
          <w:highlight w:val="none"/>
          <w:lang w:val="en-US" w:eastAsia="zh-CN"/>
        </w:rPr>
        <w:t>2</w:t>
      </w:r>
      <w:r>
        <w:rPr>
          <w:rFonts w:hint="default" w:ascii="宋体" w:hAnsi="宋体" w:eastAsia="宋体"/>
          <w:sz w:val="24"/>
          <w:szCs w:val="24"/>
          <w:highlight w:val="none"/>
          <w:lang w:val="en-US" w:eastAsia="zh-CN"/>
        </w:rPr>
        <w:t>.11在进入渣池前的90度弯道处，有一道渣沟变形缝，施工时需注意不得伤及，若有伤及，按设计图纸要求恢复（详情见附图6）</w:t>
      </w:r>
    </w:p>
    <w:p w14:paraId="7F0EB6B3">
      <w:pPr>
        <w:pStyle w:val="68"/>
        <w:numPr>
          <w:ilvl w:val="4"/>
          <w:numId w:val="0"/>
        </w:numPr>
        <w:spacing w:line="360" w:lineRule="auto"/>
        <w:jc w:val="left"/>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5</w:t>
      </w:r>
      <w:r>
        <w:rPr>
          <w:rFonts w:hint="default" w:ascii="宋体" w:hAnsi="宋体" w:eastAsia="宋体"/>
          <w:sz w:val="24"/>
          <w:szCs w:val="24"/>
          <w:highlight w:val="none"/>
          <w:lang w:val="en-US" w:eastAsia="zh-CN"/>
        </w:rPr>
        <w:t>.</w:t>
      </w:r>
      <w:r>
        <w:rPr>
          <w:rFonts w:hint="eastAsia" w:ascii="宋体" w:hAnsi="宋体" w:eastAsia="宋体"/>
          <w:sz w:val="24"/>
          <w:szCs w:val="24"/>
          <w:highlight w:val="none"/>
          <w:lang w:val="en-US" w:eastAsia="zh-CN"/>
        </w:rPr>
        <w:t>2</w:t>
      </w:r>
      <w:r>
        <w:rPr>
          <w:rFonts w:hint="default" w:ascii="宋体" w:hAnsi="宋体" w:eastAsia="宋体"/>
          <w:sz w:val="24"/>
          <w:szCs w:val="24"/>
          <w:highlight w:val="none"/>
          <w:lang w:val="en-US" w:eastAsia="zh-CN"/>
        </w:rPr>
        <w:t>.12清理渣沟施工段的垃圾、物料及工器具等，恢复厂房西侧的渣沟盖板，并用水泥抹封盖板接缝；</w:t>
      </w:r>
    </w:p>
    <w:p w14:paraId="5ACCEBF7">
      <w:pPr>
        <w:pStyle w:val="68"/>
        <w:numPr>
          <w:ilvl w:val="4"/>
          <w:numId w:val="0"/>
        </w:numPr>
        <w:spacing w:line="360" w:lineRule="auto"/>
        <w:jc w:val="left"/>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5</w:t>
      </w:r>
      <w:r>
        <w:rPr>
          <w:rFonts w:hint="default" w:ascii="宋体" w:hAnsi="宋体" w:eastAsia="宋体"/>
          <w:sz w:val="24"/>
          <w:szCs w:val="24"/>
          <w:highlight w:val="none"/>
          <w:lang w:val="en-US" w:eastAsia="zh-CN"/>
        </w:rPr>
        <w:t>.</w:t>
      </w:r>
      <w:r>
        <w:rPr>
          <w:rFonts w:hint="eastAsia" w:ascii="宋体" w:hAnsi="宋体" w:eastAsia="宋体"/>
          <w:sz w:val="24"/>
          <w:szCs w:val="24"/>
          <w:highlight w:val="none"/>
          <w:lang w:val="en-US" w:eastAsia="zh-CN"/>
        </w:rPr>
        <w:t>2</w:t>
      </w:r>
      <w:r>
        <w:rPr>
          <w:rFonts w:hint="default" w:ascii="宋体" w:hAnsi="宋体" w:eastAsia="宋体"/>
          <w:sz w:val="24"/>
          <w:szCs w:val="24"/>
          <w:highlight w:val="none"/>
          <w:lang w:val="en-US" w:eastAsia="zh-CN"/>
        </w:rPr>
        <w:t>.13完工交付后，启动渣浆泵试运行，观察运行情况；正常后投用；</w:t>
      </w:r>
    </w:p>
    <w:p w14:paraId="242C55A9">
      <w:pPr>
        <w:pStyle w:val="68"/>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5</w:t>
      </w:r>
      <w:r>
        <w:rPr>
          <w:rFonts w:hint="default" w:ascii="宋体" w:hAnsi="宋体" w:eastAsia="宋体"/>
          <w:sz w:val="24"/>
          <w:szCs w:val="24"/>
          <w:highlight w:val="none"/>
          <w:lang w:val="en-US" w:eastAsia="zh-CN"/>
        </w:rPr>
        <w:t>.</w:t>
      </w:r>
      <w:r>
        <w:rPr>
          <w:rFonts w:hint="eastAsia" w:ascii="宋体" w:hAnsi="宋体" w:eastAsia="宋体"/>
          <w:sz w:val="24"/>
          <w:szCs w:val="24"/>
          <w:highlight w:val="none"/>
          <w:lang w:val="en-US" w:eastAsia="zh-CN"/>
        </w:rPr>
        <w:t>5</w:t>
      </w:r>
      <w:r>
        <w:rPr>
          <w:rFonts w:hint="default" w:ascii="宋体" w:hAnsi="宋体" w:eastAsia="宋体"/>
          <w:sz w:val="24"/>
          <w:szCs w:val="24"/>
          <w:highlight w:val="none"/>
          <w:lang w:val="en-US" w:eastAsia="zh-CN"/>
        </w:rPr>
        <w:t xml:space="preserve"> </w:t>
      </w:r>
      <w:r>
        <w:rPr>
          <w:rFonts w:hint="eastAsia" w:ascii="宋体" w:hAnsi="宋体" w:eastAsia="宋体"/>
          <w:sz w:val="24"/>
          <w:szCs w:val="24"/>
          <w:highlight w:val="none"/>
          <w:lang w:val="en-US" w:eastAsia="zh-CN"/>
        </w:rPr>
        <w:t>检修项目及工日</w:t>
      </w:r>
    </w:p>
    <w:p w14:paraId="70C49EBF">
      <w:pPr>
        <w:pStyle w:val="68"/>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5.5.1具体工作清单如下：</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34"/>
        <w:gridCol w:w="1307"/>
        <w:gridCol w:w="6421"/>
        <w:gridCol w:w="1138"/>
      </w:tblGrid>
      <w:tr w14:paraId="4CD8E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7"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14:paraId="6C308FCA">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序号</w:t>
            </w:r>
          </w:p>
        </w:tc>
        <w:tc>
          <w:tcPr>
            <w:tcW w:w="1307" w:type="dxa"/>
            <w:tcBorders>
              <w:top w:val="single" w:color="auto" w:sz="4" w:space="0"/>
              <w:left w:val="single" w:color="auto" w:sz="4" w:space="0"/>
              <w:bottom w:val="single" w:color="auto" w:sz="4" w:space="0"/>
              <w:right w:val="single" w:color="auto" w:sz="4" w:space="0"/>
            </w:tcBorders>
            <w:shd w:val="clear" w:color="auto" w:fill="auto"/>
            <w:vAlign w:val="center"/>
          </w:tcPr>
          <w:p w14:paraId="4072D332">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项目</w:t>
            </w:r>
          </w:p>
        </w:tc>
        <w:tc>
          <w:tcPr>
            <w:tcW w:w="6421" w:type="dxa"/>
            <w:tcBorders>
              <w:top w:val="single" w:color="auto" w:sz="4" w:space="0"/>
              <w:left w:val="single" w:color="auto" w:sz="4" w:space="0"/>
              <w:bottom w:val="single" w:color="auto" w:sz="4" w:space="0"/>
              <w:right w:val="single" w:color="auto" w:sz="4" w:space="0"/>
            </w:tcBorders>
            <w:shd w:val="clear" w:color="auto" w:fill="auto"/>
            <w:vAlign w:val="center"/>
          </w:tcPr>
          <w:p w14:paraId="5EF46E60">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工作内容及数量</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14:paraId="31380F91">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工日</w:t>
            </w:r>
          </w:p>
        </w:tc>
      </w:tr>
      <w:tr w14:paraId="24EDC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7"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14:paraId="61C5E5AB">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default" w:ascii="Times New Roman" w:hAnsi="Times New Roman" w:eastAsia="宋体" w:cs="Times New Roman"/>
                <w:kern w:val="2"/>
                <w:sz w:val="24"/>
                <w:szCs w:val="24"/>
                <w:lang w:val="en-US" w:eastAsia="zh-CN" w:bidi="ar"/>
              </w:rPr>
              <w:t>1</w:t>
            </w:r>
          </w:p>
        </w:tc>
        <w:tc>
          <w:tcPr>
            <w:tcW w:w="1307" w:type="dxa"/>
            <w:tcBorders>
              <w:top w:val="single" w:color="auto" w:sz="4" w:space="0"/>
              <w:left w:val="single" w:color="auto" w:sz="4" w:space="0"/>
              <w:bottom w:val="single" w:color="auto" w:sz="4" w:space="0"/>
              <w:right w:val="single" w:color="auto" w:sz="4" w:space="0"/>
            </w:tcBorders>
            <w:shd w:val="clear" w:color="auto" w:fill="auto"/>
            <w:vAlign w:val="center"/>
          </w:tcPr>
          <w:p w14:paraId="03970C81">
            <w:pPr>
              <w:keepNext w:val="0"/>
              <w:keepLines w:val="0"/>
              <w:widowControl w:val="0"/>
              <w:suppressLineNumbers w:val="0"/>
              <w:spacing w:before="0" w:beforeAutospacing="0" w:after="0" w:afterAutospacing="0"/>
              <w:ind w:left="0" w:right="0"/>
              <w:jc w:val="center"/>
              <w:rPr>
                <w:rFonts w:hint="default" w:ascii="Times New Roman" w:hAnsi="Times New Roman" w:cs="宋体"/>
                <w:kern w:val="2"/>
                <w:sz w:val="24"/>
                <w:szCs w:val="24"/>
              </w:rPr>
            </w:pPr>
            <w:r>
              <w:rPr>
                <w:rFonts w:hint="eastAsia" w:ascii="宋体" w:hAnsi="宋体" w:eastAsia="宋体" w:cs="宋体"/>
                <w:kern w:val="2"/>
                <w:sz w:val="24"/>
                <w:szCs w:val="24"/>
                <w:lang w:val="en-US" w:eastAsia="zh-CN" w:bidi="ar"/>
              </w:rPr>
              <w:t>入场安全培训</w:t>
            </w:r>
          </w:p>
        </w:tc>
        <w:tc>
          <w:tcPr>
            <w:tcW w:w="6421" w:type="dxa"/>
            <w:tcBorders>
              <w:top w:val="single" w:color="auto" w:sz="4" w:space="0"/>
              <w:left w:val="single" w:color="auto" w:sz="4" w:space="0"/>
              <w:bottom w:val="single" w:color="auto" w:sz="4" w:space="0"/>
              <w:right w:val="single" w:color="auto" w:sz="4" w:space="0"/>
            </w:tcBorders>
            <w:shd w:val="clear" w:color="auto" w:fill="auto"/>
            <w:vAlign w:val="center"/>
          </w:tcPr>
          <w:p w14:paraId="3D72B669">
            <w:pPr>
              <w:keepNext w:val="0"/>
              <w:keepLines w:val="0"/>
              <w:widowControl w:val="0"/>
              <w:suppressLineNumbers w:val="0"/>
              <w:spacing w:before="0" w:beforeAutospacing="0" w:after="0" w:afterAutospacing="0"/>
              <w:ind w:left="0" w:right="0"/>
              <w:jc w:val="left"/>
              <w:rPr>
                <w:rFonts w:hint="default" w:ascii="Times New Roman" w:hAnsi="Times New Roman" w:cs="宋体"/>
                <w:kern w:val="2"/>
                <w:sz w:val="24"/>
                <w:szCs w:val="24"/>
                <w:highlight w:val="none"/>
              </w:rPr>
            </w:pPr>
            <w:r>
              <w:rPr>
                <w:rFonts w:hint="eastAsia" w:ascii="宋体" w:hAnsi="宋体" w:eastAsia="宋体" w:cs="宋体"/>
                <w:kern w:val="2"/>
                <w:sz w:val="24"/>
                <w:szCs w:val="24"/>
                <w:highlight w:val="none"/>
                <w:lang w:val="en-US" w:eastAsia="zh-CN" w:bidi="ar"/>
              </w:rPr>
              <w:t>单个框架作业人员</w:t>
            </w:r>
            <w:r>
              <w:rPr>
                <w:rFonts w:hint="default" w:ascii="Times New Roman" w:hAnsi="Times New Roman" w:eastAsia="宋体" w:cs="Times New Roman"/>
                <w:kern w:val="2"/>
                <w:sz w:val="24"/>
                <w:szCs w:val="24"/>
                <w:highlight w:val="none"/>
                <w:lang w:val="en-US" w:eastAsia="zh-CN" w:bidi="ar"/>
              </w:rPr>
              <w:t>20</w:t>
            </w:r>
            <w:r>
              <w:rPr>
                <w:rFonts w:hint="eastAsia" w:ascii="宋体" w:hAnsi="宋体" w:eastAsia="宋体" w:cs="宋体"/>
                <w:kern w:val="2"/>
                <w:sz w:val="24"/>
                <w:szCs w:val="24"/>
                <w:highlight w:val="none"/>
                <w:lang w:val="en-US" w:eastAsia="zh-CN" w:bidi="ar"/>
              </w:rPr>
              <w:t>人，共计</w:t>
            </w:r>
            <w:r>
              <w:rPr>
                <w:rFonts w:hint="default" w:ascii="Times New Roman" w:hAnsi="Times New Roman" w:eastAsia="宋体" w:cs="Times New Roman"/>
                <w:kern w:val="2"/>
                <w:sz w:val="24"/>
                <w:szCs w:val="24"/>
                <w:highlight w:val="none"/>
                <w:lang w:val="en-US" w:eastAsia="zh-CN" w:bidi="ar"/>
              </w:rPr>
              <w:t>6</w:t>
            </w:r>
            <w:r>
              <w:rPr>
                <w:rFonts w:hint="eastAsia" w:cs="Times New Roman"/>
                <w:kern w:val="2"/>
                <w:sz w:val="24"/>
                <w:szCs w:val="24"/>
                <w:highlight w:val="none"/>
                <w:lang w:val="en-US" w:eastAsia="zh-CN" w:bidi="ar"/>
              </w:rPr>
              <w:t>0</w:t>
            </w:r>
            <w:r>
              <w:rPr>
                <w:rFonts w:hint="eastAsia" w:ascii="宋体" w:hAnsi="宋体" w:eastAsia="宋体" w:cs="宋体"/>
                <w:kern w:val="2"/>
                <w:sz w:val="24"/>
                <w:szCs w:val="24"/>
                <w:highlight w:val="none"/>
                <w:lang w:val="en-US" w:eastAsia="zh-CN" w:bidi="ar"/>
              </w:rPr>
              <w:t>人，安全培训</w:t>
            </w:r>
            <w:r>
              <w:rPr>
                <w:rFonts w:hint="default" w:ascii="Times New Roman" w:hAnsi="Times New Roman" w:eastAsia="宋体" w:cs="Times New Roman"/>
                <w:kern w:val="2"/>
                <w:sz w:val="24"/>
                <w:szCs w:val="24"/>
                <w:highlight w:val="none"/>
                <w:lang w:val="en-US" w:eastAsia="zh-CN" w:bidi="ar"/>
              </w:rPr>
              <w:t>3</w:t>
            </w:r>
            <w:r>
              <w:rPr>
                <w:rFonts w:hint="eastAsia" w:ascii="宋体" w:hAnsi="宋体" w:eastAsia="宋体" w:cs="宋体"/>
                <w:kern w:val="2"/>
                <w:sz w:val="24"/>
                <w:szCs w:val="24"/>
                <w:highlight w:val="none"/>
                <w:lang w:val="en-US" w:eastAsia="zh-CN" w:bidi="ar"/>
              </w:rPr>
              <w:t>天</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14:paraId="52A3F888">
            <w:pPr>
              <w:keepNext w:val="0"/>
              <w:keepLines w:val="0"/>
              <w:widowControl/>
              <w:suppressLineNumbers w:val="0"/>
              <w:spacing w:before="0" w:beforeAutospacing="0" w:after="0" w:afterAutospacing="0"/>
              <w:ind w:left="0" w:right="0"/>
              <w:jc w:val="center"/>
              <w:textAlignment w:val="bottom"/>
              <w:rPr>
                <w:rFonts w:hint="default" w:ascii="Times New Roman" w:hAnsi="Times New Roman" w:eastAsia="宋体" w:cs="宋体"/>
                <w:kern w:val="2"/>
                <w:sz w:val="24"/>
                <w:szCs w:val="24"/>
                <w:highlight w:val="none"/>
                <w:lang w:val="en-US"/>
              </w:rPr>
            </w:pPr>
            <w:r>
              <w:rPr>
                <w:rFonts w:hint="default" w:ascii="Times New Roman" w:hAnsi="Times New Roman" w:eastAsia="宋体" w:cs="Times New Roman"/>
                <w:i w:val="0"/>
                <w:iCs w:val="0"/>
                <w:color w:val="000000"/>
                <w:kern w:val="0"/>
                <w:sz w:val="24"/>
                <w:szCs w:val="24"/>
                <w:highlight w:val="none"/>
                <w:lang w:val="en-US" w:eastAsia="zh-CN" w:bidi="ar"/>
              </w:rPr>
              <w:t>18</w:t>
            </w:r>
            <w:r>
              <w:rPr>
                <w:rFonts w:hint="eastAsia" w:cs="Times New Roman"/>
                <w:i w:val="0"/>
                <w:iCs w:val="0"/>
                <w:color w:val="000000"/>
                <w:kern w:val="0"/>
                <w:sz w:val="24"/>
                <w:szCs w:val="24"/>
                <w:highlight w:val="none"/>
                <w:lang w:val="en-US" w:eastAsia="zh-CN" w:bidi="ar"/>
              </w:rPr>
              <w:t>0</w:t>
            </w:r>
          </w:p>
        </w:tc>
      </w:tr>
      <w:tr w14:paraId="6B7D0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2"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14:paraId="50823FBF">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default" w:ascii="Times New Roman" w:hAnsi="Times New Roman" w:eastAsia="宋体" w:cs="Times New Roman"/>
                <w:kern w:val="2"/>
                <w:sz w:val="24"/>
                <w:szCs w:val="24"/>
                <w:lang w:val="en-US" w:eastAsia="zh-CN" w:bidi="ar"/>
              </w:rPr>
              <w:t>2</w:t>
            </w:r>
          </w:p>
        </w:tc>
        <w:tc>
          <w:tcPr>
            <w:tcW w:w="1307" w:type="dxa"/>
            <w:tcBorders>
              <w:top w:val="single" w:color="auto" w:sz="4" w:space="0"/>
              <w:left w:val="single" w:color="auto" w:sz="4" w:space="0"/>
              <w:bottom w:val="single" w:color="auto" w:sz="4" w:space="0"/>
              <w:right w:val="single" w:color="auto" w:sz="4" w:space="0"/>
            </w:tcBorders>
            <w:shd w:val="clear" w:color="auto" w:fill="auto"/>
            <w:vAlign w:val="center"/>
          </w:tcPr>
          <w:p w14:paraId="3B10E735">
            <w:pPr>
              <w:keepNext w:val="0"/>
              <w:keepLines w:val="0"/>
              <w:widowControl w:val="0"/>
              <w:suppressLineNumbers w:val="0"/>
              <w:spacing w:before="0" w:beforeAutospacing="0" w:after="0" w:afterAutospacing="0"/>
              <w:ind w:left="0" w:right="0"/>
              <w:jc w:val="center"/>
              <w:rPr>
                <w:rFonts w:hint="default" w:ascii="Times New Roman" w:hAnsi="Times New Roman" w:eastAsia="宋体" w:cs="宋体"/>
                <w:kern w:val="2"/>
                <w:sz w:val="24"/>
                <w:szCs w:val="24"/>
              </w:rPr>
            </w:pPr>
            <w:r>
              <w:rPr>
                <w:rFonts w:hint="eastAsia" w:ascii="宋体" w:hAnsi="宋体" w:eastAsia="宋体" w:cs="宋体"/>
                <w:kern w:val="2"/>
                <w:sz w:val="24"/>
                <w:szCs w:val="24"/>
                <w:lang w:val="en-US" w:eastAsia="zh-CN" w:bidi="ar"/>
              </w:rPr>
              <w:t>割除竖灰管</w:t>
            </w:r>
          </w:p>
        </w:tc>
        <w:tc>
          <w:tcPr>
            <w:tcW w:w="6421" w:type="dxa"/>
            <w:tcBorders>
              <w:top w:val="single" w:color="auto" w:sz="4" w:space="0"/>
              <w:left w:val="single" w:color="auto" w:sz="4" w:space="0"/>
              <w:bottom w:val="single" w:color="auto" w:sz="4" w:space="0"/>
              <w:right w:val="single" w:color="auto" w:sz="4" w:space="0"/>
            </w:tcBorders>
            <w:shd w:val="clear" w:color="auto" w:fill="auto"/>
            <w:vAlign w:val="center"/>
          </w:tcPr>
          <w:p w14:paraId="604D8650">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割除</w:t>
            </w:r>
            <w:r>
              <w:rPr>
                <w:rFonts w:hint="default" w:ascii="Times New Roman" w:hAnsi="Times New Roman" w:eastAsia="宋体" w:cs="Times New Roman"/>
                <w:kern w:val="2"/>
                <w:sz w:val="24"/>
                <w:szCs w:val="24"/>
                <w:lang w:val="en-US" w:eastAsia="zh-CN" w:bidi="ar"/>
              </w:rPr>
              <w:t>22</w:t>
            </w:r>
            <w:r>
              <w:rPr>
                <w:rFonts w:hint="eastAsia" w:ascii="宋体" w:hAnsi="宋体" w:eastAsia="宋体" w:cs="宋体"/>
                <w:kern w:val="2"/>
                <w:sz w:val="24"/>
                <w:szCs w:val="24"/>
                <w:lang w:val="en-US" w:eastAsia="zh-CN" w:bidi="ar"/>
              </w:rPr>
              <w:t>台炉竖灰管（</w:t>
            </w:r>
            <w:r>
              <w:rPr>
                <w:rFonts w:hint="default" w:ascii="Times New Roman" w:hAnsi="Times New Roman" w:eastAsia="宋体" w:cs="Times New Roman"/>
                <w:kern w:val="2"/>
                <w:sz w:val="24"/>
                <w:szCs w:val="24"/>
                <w:lang w:val="en-US" w:eastAsia="zh-CN" w:bidi="ar"/>
              </w:rPr>
              <w:t>DN600</w:t>
            </w:r>
            <w:r>
              <w:rPr>
                <w:rFonts w:hint="eastAsia" w:ascii="宋体" w:hAnsi="宋体" w:eastAsia="宋体" w:cs="宋体"/>
                <w:kern w:val="2"/>
                <w:sz w:val="24"/>
                <w:szCs w:val="24"/>
                <w:lang w:val="en-US" w:eastAsia="zh-CN" w:bidi="ar"/>
              </w:rPr>
              <w:t>）插入渣沟部分，共</w:t>
            </w:r>
            <w:r>
              <w:rPr>
                <w:rFonts w:hint="default" w:ascii="Times New Roman" w:hAnsi="Times New Roman" w:eastAsia="宋体" w:cs="Times New Roman"/>
                <w:kern w:val="2"/>
                <w:sz w:val="24"/>
                <w:szCs w:val="24"/>
                <w:lang w:val="en-US" w:eastAsia="zh-CN" w:bidi="ar"/>
              </w:rPr>
              <w:t>22</w:t>
            </w:r>
            <w:r>
              <w:rPr>
                <w:rFonts w:hint="eastAsia" w:ascii="宋体" w:hAnsi="宋体" w:eastAsia="宋体" w:cs="宋体"/>
                <w:kern w:val="2"/>
                <w:sz w:val="24"/>
                <w:szCs w:val="24"/>
                <w:lang w:val="en-US" w:eastAsia="zh-CN" w:bidi="ar"/>
              </w:rPr>
              <w:t>段，均长</w:t>
            </w:r>
            <w:r>
              <w:rPr>
                <w:rFonts w:hint="default" w:ascii="Times New Roman" w:hAnsi="Times New Roman" w:eastAsia="宋体" w:cs="Times New Roman"/>
                <w:kern w:val="2"/>
                <w:sz w:val="24"/>
                <w:szCs w:val="24"/>
                <w:lang w:val="en-US" w:eastAsia="zh-CN" w:bidi="ar"/>
              </w:rPr>
              <w:t>2</w:t>
            </w:r>
            <w:r>
              <w:rPr>
                <w:rFonts w:hint="eastAsia" w:ascii="宋体" w:hAnsi="宋体" w:eastAsia="宋体" w:cs="宋体"/>
                <w:kern w:val="2"/>
                <w:sz w:val="24"/>
                <w:szCs w:val="24"/>
                <w:lang w:val="en-US" w:eastAsia="zh-CN" w:bidi="ar"/>
              </w:rPr>
              <w:t>米</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14:paraId="3C0780F5">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kern w:val="2"/>
                <w:sz w:val="24"/>
                <w:szCs w:val="24"/>
              </w:rPr>
            </w:pPr>
            <w:r>
              <w:rPr>
                <w:rFonts w:hint="eastAsia" w:ascii="宋体" w:hAnsi="宋体" w:eastAsia="宋体" w:cs="宋体"/>
                <w:i w:val="0"/>
                <w:iCs w:val="0"/>
                <w:color w:val="000000"/>
                <w:kern w:val="0"/>
                <w:sz w:val="24"/>
                <w:szCs w:val="24"/>
                <w:lang w:val="en-US" w:eastAsia="zh-CN" w:bidi="ar"/>
              </w:rPr>
              <w:t>66</w:t>
            </w:r>
          </w:p>
        </w:tc>
      </w:tr>
      <w:tr w14:paraId="5E9D3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14:paraId="0C4DA448">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default" w:ascii="Times New Roman" w:hAnsi="Times New Roman" w:eastAsia="宋体" w:cs="Times New Roman"/>
                <w:kern w:val="2"/>
                <w:sz w:val="24"/>
                <w:szCs w:val="24"/>
                <w:lang w:val="en-US" w:eastAsia="zh-CN" w:bidi="ar"/>
              </w:rPr>
              <w:t>3</w:t>
            </w:r>
          </w:p>
        </w:tc>
        <w:tc>
          <w:tcPr>
            <w:tcW w:w="1307" w:type="dxa"/>
            <w:tcBorders>
              <w:top w:val="single" w:color="auto" w:sz="4" w:space="0"/>
              <w:left w:val="single" w:color="auto" w:sz="4" w:space="0"/>
              <w:bottom w:val="single" w:color="auto" w:sz="4" w:space="0"/>
              <w:right w:val="single" w:color="auto" w:sz="4" w:space="0"/>
            </w:tcBorders>
            <w:shd w:val="clear" w:color="auto" w:fill="auto"/>
            <w:vAlign w:val="center"/>
          </w:tcPr>
          <w:p w14:paraId="68949000">
            <w:pPr>
              <w:keepNext w:val="0"/>
              <w:keepLines w:val="0"/>
              <w:widowControl w:val="0"/>
              <w:suppressLineNumbers w:val="0"/>
              <w:spacing w:before="0" w:beforeAutospacing="0" w:after="0" w:afterAutospacing="0"/>
              <w:ind w:left="0" w:right="0"/>
              <w:jc w:val="center"/>
              <w:rPr>
                <w:rFonts w:hint="default" w:ascii="Times New Roman" w:hAnsi="Times New Roman" w:eastAsia="宋体" w:cs="宋体"/>
                <w:kern w:val="2"/>
                <w:sz w:val="24"/>
                <w:szCs w:val="24"/>
              </w:rPr>
            </w:pPr>
            <w:r>
              <w:rPr>
                <w:rFonts w:hint="eastAsia" w:ascii="宋体" w:hAnsi="宋体" w:eastAsia="宋体" w:cs="宋体"/>
                <w:kern w:val="2"/>
                <w:sz w:val="24"/>
                <w:szCs w:val="24"/>
                <w:lang w:val="en-US" w:eastAsia="zh-CN" w:bidi="ar"/>
              </w:rPr>
              <w:t>割除灰水管</w:t>
            </w:r>
          </w:p>
        </w:tc>
        <w:tc>
          <w:tcPr>
            <w:tcW w:w="6421" w:type="dxa"/>
            <w:tcBorders>
              <w:top w:val="single" w:color="auto" w:sz="4" w:space="0"/>
              <w:left w:val="single" w:color="auto" w:sz="4" w:space="0"/>
              <w:bottom w:val="single" w:color="auto" w:sz="4" w:space="0"/>
              <w:right w:val="single" w:color="auto" w:sz="4" w:space="0"/>
            </w:tcBorders>
            <w:shd w:val="clear" w:color="auto" w:fill="auto"/>
            <w:vAlign w:val="center"/>
          </w:tcPr>
          <w:p w14:paraId="5ABD4225">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割除灰水管线（</w:t>
            </w:r>
            <w:r>
              <w:rPr>
                <w:rFonts w:hint="default" w:ascii="Times New Roman" w:hAnsi="Times New Roman" w:eastAsia="宋体" w:cs="Times New Roman"/>
                <w:kern w:val="2"/>
                <w:sz w:val="24"/>
                <w:szCs w:val="24"/>
                <w:lang w:val="en-US" w:eastAsia="zh-CN" w:bidi="ar"/>
              </w:rPr>
              <w:t>DN65</w:t>
            </w:r>
            <w:r>
              <w:rPr>
                <w:rFonts w:hint="eastAsia" w:ascii="宋体" w:hAnsi="宋体" w:eastAsia="宋体" w:cs="宋体"/>
                <w:kern w:val="2"/>
                <w:sz w:val="24"/>
                <w:szCs w:val="24"/>
                <w:lang w:val="en-US" w:eastAsia="zh-CN" w:bidi="ar"/>
              </w:rPr>
              <w:t>）插入渣沟部分，共</w:t>
            </w:r>
            <w:r>
              <w:rPr>
                <w:rFonts w:hint="default" w:ascii="Times New Roman" w:hAnsi="Times New Roman" w:eastAsia="宋体" w:cs="Times New Roman"/>
                <w:kern w:val="2"/>
                <w:sz w:val="24"/>
                <w:szCs w:val="24"/>
                <w:lang w:val="en-US" w:eastAsia="zh-CN" w:bidi="ar"/>
              </w:rPr>
              <w:t>22</w:t>
            </w:r>
            <w:r>
              <w:rPr>
                <w:rFonts w:hint="eastAsia" w:ascii="宋体" w:hAnsi="宋体" w:eastAsia="宋体" w:cs="宋体"/>
                <w:kern w:val="2"/>
                <w:sz w:val="24"/>
                <w:szCs w:val="24"/>
                <w:lang w:val="en-US" w:eastAsia="zh-CN" w:bidi="ar"/>
              </w:rPr>
              <w:t>段，均长</w:t>
            </w:r>
            <w:r>
              <w:rPr>
                <w:rFonts w:hint="default" w:ascii="Times New Roman" w:hAnsi="Times New Roman" w:eastAsia="宋体" w:cs="Times New Roman"/>
                <w:kern w:val="2"/>
                <w:sz w:val="24"/>
                <w:szCs w:val="24"/>
                <w:lang w:val="en-US" w:eastAsia="zh-CN" w:bidi="ar"/>
              </w:rPr>
              <w:t>2</w:t>
            </w:r>
            <w:r>
              <w:rPr>
                <w:rFonts w:hint="eastAsia" w:ascii="宋体" w:hAnsi="宋体" w:eastAsia="宋体" w:cs="宋体"/>
                <w:kern w:val="2"/>
                <w:sz w:val="24"/>
                <w:szCs w:val="24"/>
                <w:lang w:val="en-US" w:eastAsia="zh-CN" w:bidi="ar"/>
              </w:rPr>
              <w:t>米</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14:paraId="14540C0D">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kern w:val="2"/>
                <w:sz w:val="24"/>
                <w:szCs w:val="24"/>
              </w:rPr>
            </w:pPr>
            <w:r>
              <w:rPr>
                <w:rFonts w:hint="eastAsia" w:ascii="宋体" w:hAnsi="宋体" w:eastAsia="宋体" w:cs="宋体"/>
                <w:i w:val="0"/>
                <w:iCs w:val="0"/>
                <w:color w:val="000000"/>
                <w:kern w:val="0"/>
                <w:sz w:val="24"/>
                <w:szCs w:val="24"/>
                <w:lang w:val="en-US" w:eastAsia="zh-CN" w:bidi="ar"/>
              </w:rPr>
              <w:t>44</w:t>
            </w:r>
          </w:p>
        </w:tc>
      </w:tr>
      <w:tr w14:paraId="0F380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03"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14:paraId="6D3440C6">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default" w:ascii="Times New Roman" w:hAnsi="Times New Roman" w:eastAsia="宋体" w:cs="Times New Roman"/>
                <w:kern w:val="2"/>
                <w:sz w:val="24"/>
                <w:szCs w:val="24"/>
                <w:lang w:val="en-US" w:eastAsia="zh-CN" w:bidi="ar"/>
              </w:rPr>
              <w:t>4</w:t>
            </w:r>
          </w:p>
        </w:tc>
        <w:tc>
          <w:tcPr>
            <w:tcW w:w="1307" w:type="dxa"/>
            <w:tcBorders>
              <w:top w:val="single" w:color="auto" w:sz="4" w:space="0"/>
              <w:left w:val="single" w:color="auto" w:sz="4" w:space="0"/>
              <w:bottom w:val="single" w:color="auto" w:sz="4" w:space="0"/>
              <w:right w:val="single" w:color="auto" w:sz="4" w:space="0"/>
            </w:tcBorders>
            <w:shd w:val="clear" w:color="auto" w:fill="auto"/>
            <w:vAlign w:val="center"/>
          </w:tcPr>
          <w:p w14:paraId="18C87D27">
            <w:pPr>
              <w:keepNext w:val="0"/>
              <w:keepLines w:val="0"/>
              <w:widowControl w:val="0"/>
              <w:suppressLineNumbers w:val="0"/>
              <w:spacing w:before="0" w:beforeAutospacing="0" w:after="0" w:afterAutospacing="0"/>
              <w:ind w:left="0" w:right="0"/>
              <w:jc w:val="center"/>
              <w:rPr>
                <w:rFonts w:hint="default" w:ascii="Times New Roman" w:hAnsi="Times New Roman" w:eastAsia="宋体" w:cs="宋体"/>
                <w:kern w:val="2"/>
                <w:sz w:val="24"/>
                <w:szCs w:val="24"/>
              </w:rPr>
            </w:pPr>
            <w:r>
              <w:rPr>
                <w:rFonts w:hint="eastAsia" w:ascii="宋体" w:hAnsi="宋体" w:eastAsia="宋体" w:cs="宋体"/>
                <w:kern w:val="2"/>
                <w:sz w:val="24"/>
                <w:szCs w:val="24"/>
                <w:lang w:val="en-US" w:eastAsia="zh-CN" w:bidi="ar"/>
              </w:rPr>
              <w:t>移出竖灰管、灰水管</w:t>
            </w:r>
          </w:p>
        </w:tc>
        <w:tc>
          <w:tcPr>
            <w:tcW w:w="6421" w:type="dxa"/>
            <w:tcBorders>
              <w:top w:val="single" w:color="auto" w:sz="4" w:space="0"/>
              <w:left w:val="single" w:color="auto" w:sz="4" w:space="0"/>
              <w:bottom w:val="single" w:color="auto" w:sz="4" w:space="0"/>
              <w:right w:val="single" w:color="auto" w:sz="4" w:space="0"/>
            </w:tcBorders>
            <w:shd w:val="clear" w:color="auto" w:fill="auto"/>
            <w:vAlign w:val="center"/>
          </w:tcPr>
          <w:p w14:paraId="08103A37">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将</w:t>
            </w:r>
            <w:r>
              <w:rPr>
                <w:rFonts w:hint="default" w:ascii="Times New Roman" w:hAnsi="Times New Roman" w:eastAsia="宋体" w:cs="Times New Roman"/>
                <w:kern w:val="2"/>
                <w:sz w:val="24"/>
                <w:szCs w:val="24"/>
                <w:lang w:val="en-US" w:eastAsia="zh-CN" w:bidi="ar"/>
              </w:rPr>
              <w:t>22</w:t>
            </w:r>
            <w:r>
              <w:rPr>
                <w:rFonts w:hint="eastAsia" w:ascii="宋体" w:hAnsi="宋体" w:eastAsia="宋体" w:cs="宋体"/>
                <w:kern w:val="2"/>
                <w:sz w:val="24"/>
                <w:szCs w:val="24"/>
                <w:lang w:val="en-US" w:eastAsia="zh-CN" w:bidi="ar"/>
              </w:rPr>
              <w:t>台炉竖灰管（</w:t>
            </w:r>
            <w:r>
              <w:rPr>
                <w:rFonts w:hint="default" w:ascii="Times New Roman" w:hAnsi="Times New Roman" w:eastAsia="宋体" w:cs="Times New Roman"/>
                <w:kern w:val="2"/>
                <w:sz w:val="24"/>
                <w:szCs w:val="24"/>
                <w:lang w:val="en-US" w:eastAsia="zh-CN" w:bidi="ar"/>
              </w:rPr>
              <w:t>DN600</w:t>
            </w:r>
            <w:r>
              <w:rPr>
                <w:rFonts w:hint="eastAsia" w:ascii="宋体" w:hAnsi="宋体" w:eastAsia="宋体" w:cs="宋体"/>
                <w:kern w:val="2"/>
                <w:sz w:val="24"/>
                <w:szCs w:val="24"/>
                <w:lang w:val="en-US" w:eastAsia="zh-CN" w:bidi="ar"/>
              </w:rPr>
              <w:t>）、灰水管线（</w:t>
            </w:r>
            <w:r>
              <w:rPr>
                <w:rFonts w:hint="default" w:ascii="Times New Roman" w:hAnsi="Times New Roman" w:eastAsia="宋体" w:cs="Times New Roman"/>
                <w:kern w:val="2"/>
                <w:sz w:val="24"/>
                <w:szCs w:val="24"/>
                <w:lang w:val="en-US" w:eastAsia="zh-CN" w:bidi="ar"/>
              </w:rPr>
              <w:t>DN65</w:t>
            </w:r>
            <w:r>
              <w:rPr>
                <w:rFonts w:hint="eastAsia" w:ascii="宋体" w:hAnsi="宋体" w:eastAsia="宋体" w:cs="宋体"/>
                <w:kern w:val="2"/>
                <w:sz w:val="24"/>
                <w:szCs w:val="24"/>
                <w:lang w:val="en-US" w:eastAsia="zh-CN" w:bidi="ar"/>
              </w:rPr>
              <w:t>）插入渣沟部分移出渣沟，各</w:t>
            </w:r>
            <w:r>
              <w:rPr>
                <w:rFonts w:hint="default" w:ascii="Times New Roman" w:hAnsi="Times New Roman" w:eastAsia="宋体" w:cs="Times New Roman"/>
                <w:kern w:val="2"/>
                <w:sz w:val="24"/>
                <w:szCs w:val="24"/>
                <w:lang w:val="en-US" w:eastAsia="zh-CN" w:bidi="ar"/>
              </w:rPr>
              <w:t>22</w:t>
            </w:r>
            <w:r>
              <w:rPr>
                <w:rFonts w:hint="eastAsia" w:ascii="宋体" w:hAnsi="宋体" w:eastAsia="宋体" w:cs="宋体"/>
                <w:kern w:val="2"/>
                <w:sz w:val="24"/>
                <w:szCs w:val="24"/>
                <w:lang w:val="en-US" w:eastAsia="zh-CN" w:bidi="ar"/>
              </w:rPr>
              <w:t>段，均长</w:t>
            </w:r>
            <w:r>
              <w:rPr>
                <w:rFonts w:hint="default" w:ascii="Times New Roman" w:hAnsi="Times New Roman" w:eastAsia="宋体" w:cs="Times New Roman"/>
                <w:kern w:val="2"/>
                <w:sz w:val="24"/>
                <w:szCs w:val="24"/>
                <w:lang w:val="en-US" w:eastAsia="zh-CN" w:bidi="ar"/>
              </w:rPr>
              <w:t>2</w:t>
            </w:r>
            <w:r>
              <w:rPr>
                <w:rFonts w:hint="eastAsia" w:ascii="宋体" w:hAnsi="宋体" w:eastAsia="宋体" w:cs="宋体"/>
                <w:kern w:val="2"/>
                <w:sz w:val="24"/>
                <w:szCs w:val="24"/>
                <w:lang w:val="en-US" w:eastAsia="zh-CN" w:bidi="ar"/>
              </w:rPr>
              <w:t>米</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14:paraId="4C9C3B78">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kern w:val="2"/>
                <w:sz w:val="24"/>
                <w:szCs w:val="24"/>
              </w:rPr>
            </w:pPr>
            <w:r>
              <w:rPr>
                <w:rFonts w:hint="eastAsia" w:ascii="宋体" w:hAnsi="宋体" w:eastAsia="宋体" w:cs="宋体"/>
                <w:i w:val="0"/>
                <w:iCs w:val="0"/>
                <w:color w:val="000000"/>
                <w:kern w:val="0"/>
                <w:sz w:val="24"/>
                <w:szCs w:val="24"/>
                <w:lang w:val="en-US" w:eastAsia="zh-CN" w:bidi="ar"/>
              </w:rPr>
              <w:t>33</w:t>
            </w:r>
          </w:p>
        </w:tc>
      </w:tr>
      <w:tr w14:paraId="67C4A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42"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14:paraId="6A96351C">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default" w:ascii="Times New Roman" w:hAnsi="Times New Roman" w:eastAsia="宋体" w:cs="Times New Roman"/>
                <w:kern w:val="2"/>
                <w:sz w:val="24"/>
                <w:szCs w:val="24"/>
                <w:lang w:val="en-US" w:eastAsia="zh-CN" w:bidi="ar"/>
              </w:rPr>
              <w:t>5</w:t>
            </w:r>
          </w:p>
        </w:tc>
        <w:tc>
          <w:tcPr>
            <w:tcW w:w="1307" w:type="dxa"/>
            <w:tcBorders>
              <w:top w:val="single" w:color="auto" w:sz="4" w:space="0"/>
              <w:left w:val="single" w:color="auto" w:sz="4" w:space="0"/>
              <w:bottom w:val="single" w:color="auto" w:sz="4" w:space="0"/>
              <w:right w:val="single" w:color="auto" w:sz="4" w:space="0"/>
            </w:tcBorders>
            <w:shd w:val="clear" w:color="auto" w:fill="auto"/>
            <w:vAlign w:val="center"/>
          </w:tcPr>
          <w:p w14:paraId="181C196F">
            <w:pPr>
              <w:keepNext w:val="0"/>
              <w:keepLines w:val="0"/>
              <w:widowControl w:val="0"/>
              <w:suppressLineNumbers w:val="0"/>
              <w:spacing w:before="0" w:beforeAutospacing="0" w:after="0" w:afterAutospacing="0"/>
              <w:ind w:left="0" w:right="0"/>
              <w:jc w:val="center"/>
              <w:rPr>
                <w:rFonts w:hint="default" w:ascii="Times New Roman" w:hAnsi="Times New Roman" w:eastAsia="宋体" w:cs="宋体"/>
                <w:kern w:val="2"/>
                <w:sz w:val="24"/>
                <w:szCs w:val="24"/>
              </w:rPr>
            </w:pPr>
            <w:r>
              <w:rPr>
                <w:rFonts w:hint="eastAsia" w:ascii="宋体" w:hAnsi="宋体" w:eastAsia="宋体" w:cs="宋体"/>
                <w:kern w:val="2"/>
                <w:sz w:val="24"/>
                <w:szCs w:val="24"/>
                <w:lang w:val="en-US" w:eastAsia="zh-CN" w:bidi="ar"/>
              </w:rPr>
              <w:t>拆除直流道铸铁板</w:t>
            </w:r>
          </w:p>
        </w:tc>
        <w:tc>
          <w:tcPr>
            <w:tcW w:w="6421" w:type="dxa"/>
            <w:tcBorders>
              <w:top w:val="single" w:color="auto" w:sz="4" w:space="0"/>
              <w:left w:val="single" w:color="auto" w:sz="4" w:space="0"/>
              <w:bottom w:val="single" w:color="auto" w:sz="4" w:space="0"/>
              <w:right w:val="single" w:color="auto" w:sz="4" w:space="0"/>
            </w:tcBorders>
            <w:shd w:val="clear" w:color="auto" w:fill="auto"/>
            <w:vAlign w:val="center"/>
          </w:tcPr>
          <w:p w14:paraId="217E0125">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拆除22台气化炉竖灰管下方的铸铁板，共计44块、26.4米</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14:paraId="17B8CB19">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kern w:val="2"/>
                <w:sz w:val="24"/>
                <w:szCs w:val="24"/>
              </w:rPr>
            </w:pPr>
            <w:r>
              <w:rPr>
                <w:rFonts w:hint="eastAsia" w:ascii="宋体" w:hAnsi="宋体" w:eastAsia="宋体" w:cs="宋体"/>
                <w:i w:val="0"/>
                <w:iCs w:val="0"/>
                <w:color w:val="000000"/>
                <w:kern w:val="0"/>
                <w:sz w:val="24"/>
                <w:szCs w:val="24"/>
                <w:lang w:val="en-US" w:eastAsia="zh-CN" w:bidi="ar"/>
              </w:rPr>
              <w:t>176</w:t>
            </w:r>
          </w:p>
        </w:tc>
      </w:tr>
      <w:tr w14:paraId="75C14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87"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14:paraId="3FD08FCB">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default" w:ascii="Times New Roman" w:hAnsi="Times New Roman" w:eastAsia="宋体" w:cs="Times New Roman"/>
                <w:kern w:val="2"/>
                <w:sz w:val="24"/>
                <w:szCs w:val="24"/>
                <w:lang w:val="en-US" w:eastAsia="zh-CN" w:bidi="ar"/>
              </w:rPr>
              <w:t>6</w:t>
            </w:r>
          </w:p>
        </w:tc>
        <w:tc>
          <w:tcPr>
            <w:tcW w:w="1307" w:type="dxa"/>
            <w:tcBorders>
              <w:top w:val="single" w:color="auto" w:sz="4" w:space="0"/>
              <w:left w:val="single" w:color="auto" w:sz="4" w:space="0"/>
              <w:bottom w:val="single" w:color="auto" w:sz="4" w:space="0"/>
              <w:right w:val="single" w:color="auto" w:sz="4" w:space="0"/>
            </w:tcBorders>
            <w:shd w:val="clear" w:color="auto" w:fill="auto"/>
            <w:vAlign w:val="center"/>
          </w:tcPr>
          <w:p w14:paraId="7E9B4DF5">
            <w:pPr>
              <w:keepNext w:val="0"/>
              <w:keepLines w:val="0"/>
              <w:widowControl w:val="0"/>
              <w:suppressLineNumbers w:val="0"/>
              <w:spacing w:before="0" w:beforeAutospacing="0" w:after="0" w:afterAutospacing="0"/>
              <w:ind w:left="0" w:right="0"/>
              <w:jc w:val="center"/>
              <w:rPr>
                <w:rFonts w:hint="default" w:ascii="Times New Roman" w:hAnsi="Times New Roman" w:eastAsia="宋体" w:cs="宋体"/>
                <w:kern w:val="2"/>
                <w:sz w:val="24"/>
                <w:szCs w:val="24"/>
              </w:rPr>
            </w:pPr>
            <w:r>
              <w:rPr>
                <w:rFonts w:hint="eastAsia" w:ascii="宋体" w:hAnsi="宋体" w:eastAsia="宋体" w:cs="宋体"/>
                <w:kern w:val="2"/>
                <w:sz w:val="24"/>
                <w:szCs w:val="24"/>
                <w:lang w:val="en-US" w:eastAsia="zh-CN" w:bidi="ar"/>
              </w:rPr>
              <w:t>拆除弯道处铸铁板</w:t>
            </w:r>
          </w:p>
        </w:tc>
        <w:tc>
          <w:tcPr>
            <w:tcW w:w="6421" w:type="dxa"/>
            <w:tcBorders>
              <w:top w:val="single" w:color="auto" w:sz="4" w:space="0"/>
              <w:left w:val="single" w:color="auto" w:sz="4" w:space="0"/>
              <w:bottom w:val="single" w:color="auto" w:sz="4" w:space="0"/>
              <w:right w:val="single" w:color="auto" w:sz="4" w:space="0"/>
            </w:tcBorders>
            <w:shd w:val="clear" w:color="auto" w:fill="auto"/>
            <w:vAlign w:val="center"/>
          </w:tcPr>
          <w:p w14:paraId="57967B39">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拆除3条渣沟6个弯道处的铸铁板，共计36块、23.55米</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14:paraId="40B1DA3F">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kern w:val="2"/>
                <w:sz w:val="24"/>
                <w:szCs w:val="24"/>
              </w:rPr>
            </w:pPr>
            <w:r>
              <w:rPr>
                <w:rFonts w:hint="eastAsia" w:ascii="宋体" w:hAnsi="宋体" w:eastAsia="宋体" w:cs="宋体"/>
                <w:i w:val="0"/>
                <w:iCs w:val="0"/>
                <w:color w:val="000000"/>
                <w:kern w:val="0"/>
                <w:sz w:val="24"/>
                <w:szCs w:val="24"/>
                <w:lang w:val="en-US" w:eastAsia="zh-CN" w:bidi="ar"/>
              </w:rPr>
              <w:t>144</w:t>
            </w:r>
          </w:p>
        </w:tc>
      </w:tr>
      <w:tr w14:paraId="594AE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7"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14:paraId="7E05B953">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default" w:ascii="Times New Roman" w:hAnsi="Times New Roman" w:eastAsia="宋体" w:cs="Times New Roman"/>
                <w:kern w:val="2"/>
                <w:sz w:val="24"/>
                <w:szCs w:val="24"/>
                <w:lang w:val="en-US" w:eastAsia="zh-CN" w:bidi="ar"/>
              </w:rPr>
              <w:t>7</w:t>
            </w:r>
          </w:p>
        </w:tc>
        <w:tc>
          <w:tcPr>
            <w:tcW w:w="1307" w:type="dxa"/>
            <w:tcBorders>
              <w:top w:val="single" w:color="auto" w:sz="4" w:space="0"/>
              <w:left w:val="single" w:color="auto" w:sz="4" w:space="0"/>
              <w:bottom w:val="single" w:color="auto" w:sz="4" w:space="0"/>
              <w:right w:val="single" w:color="auto" w:sz="4" w:space="0"/>
            </w:tcBorders>
            <w:shd w:val="clear" w:color="auto" w:fill="auto"/>
            <w:vAlign w:val="center"/>
          </w:tcPr>
          <w:p w14:paraId="1F59DBCD">
            <w:pPr>
              <w:keepNext w:val="0"/>
              <w:keepLines w:val="0"/>
              <w:widowControl w:val="0"/>
              <w:suppressLineNumbers w:val="0"/>
              <w:spacing w:before="0" w:beforeAutospacing="0" w:after="0" w:afterAutospacing="0"/>
              <w:ind w:left="0" w:right="0"/>
              <w:jc w:val="center"/>
              <w:rPr>
                <w:rFonts w:hint="default" w:ascii="Times New Roman" w:hAnsi="Times New Roman" w:eastAsia="宋体" w:cs="宋体"/>
                <w:kern w:val="2"/>
                <w:sz w:val="24"/>
                <w:szCs w:val="24"/>
              </w:rPr>
            </w:pPr>
            <w:r>
              <w:rPr>
                <w:rFonts w:hint="eastAsia" w:ascii="宋体" w:hAnsi="宋体" w:eastAsia="宋体" w:cs="宋体"/>
                <w:kern w:val="2"/>
                <w:sz w:val="24"/>
                <w:szCs w:val="24"/>
                <w:lang w:val="en-US" w:eastAsia="zh-CN" w:bidi="ar"/>
              </w:rPr>
              <w:t>放入新铸铁板</w:t>
            </w:r>
          </w:p>
        </w:tc>
        <w:tc>
          <w:tcPr>
            <w:tcW w:w="6421" w:type="dxa"/>
            <w:tcBorders>
              <w:top w:val="single" w:color="auto" w:sz="4" w:space="0"/>
              <w:left w:val="single" w:color="auto" w:sz="4" w:space="0"/>
              <w:bottom w:val="single" w:color="auto" w:sz="4" w:space="0"/>
              <w:right w:val="single" w:color="auto" w:sz="4" w:space="0"/>
            </w:tcBorders>
            <w:shd w:val="clear" w:color="auto" w:fill="auto"/>
            <w:vAlign w:val="center"/>
          </w:tcPr>
          <w:p w14:paraId="3BC8D373">
            <w:pPr>
              <w:keepNext w:val="0"/>
              <w:keepLines w:val="0"/>
              <w:widowControl w:val="0"/>
              <w:suppressLineNumbers w:val="0"/>
              <w:spacing w:before="0" w:beforeAutospacing="0" w:after="0" w:afterAutospacing="0"/>
              <w:ind w:left="0" w:right="0"/>
              <w:jc w:val="left"/>
              <w:rPr>
                <w:rFonts w:hint="default" w:ascii="Times New Roman" w:hAnsi="Times New Roman" w:eastAsia="宋体" w:cs="宋体"/>
                <w:kern w:val="2"/>
                <w:sz w:val="24"/>
                <w:szCs w:val="24"/>
              </w:rPr>
            </w:pPr>
            <w:r>
              <w:rPr>
                <w:rFonts w:hint="eastAsia" w:ascii="宋体" w:hAnsi="宋体" w:eastAsia="宋体" w:cs="宋体"/>
                <w:kern w:val="2"/>
                <w:sz w:val="24"/>
                <w:szCs w:val="24"/>
                <w:lang w:val="en-US" w:eastAsia="zh-CN" w:bidi="ar"/>
              </w:rPr>
              <w:t>将新铸铁板吊入渣沟，运至作业点处（44块、26.4米的直流通道铸铁板，36块、23.55米长的弯道铸铁板）</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14:paraId="63844540">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kern w:val="2"/>
                <w:sz w:val="24"/>
                <w:szCs w:val="24"/>
              </w:rPr>
            </w:pPr>
            <w:r>
              <w:rPr>
                <w:rFonts w:hint="eastAsia" w:ascii="宋体" w:hAnsi="宋体" w:eastAsia="宋体" w:cs="宋体"/>
                <w:i w:val="0"/>
                <w:iCs w:val="0"/>
                <w:color w:val="000000"/>
                <w:kern w:val="0"/>
                <w:sz w:val="24"/>
                <w:szCs w:val="24"/>
                <w:lang w:val="en-US" w:eastAsia="zh-CN" w:bidi="ar"/>
              </w:rPr>
              <w:t>80</w:t>
            </w:r>
          </w:p>
        </w:tc>
      </w:tr>
      <w:tr w14:paraId="762E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8"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14:paraId="71FEFE41">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default" w:ascii="Times New Roman" w:hAnsi="Times New Roman" w:eastAsia="宋体" w:cs="Times New Roman"/>
                <w:kern w:val="2"/>
                <w:sz w:val="24"/>
                <w:szCs w:val="24"/>
                <w:lang w:val="en-US" w:eastAsia="zh-CN" w:bidi="ar"/>
              </w:rPr>
              <w:t>8</w:t>
            </w:r>
          </w:p>
        </w:tc>
        <w:tc>
          <w:tcPr>
            <w:tcW w:w="1307" w:type="dxa"/>
            <w:tcBorders>
              <w:top w:val="single" w:color="auto" w:sz="4" w:space="0"/>
              <w:left w:val="single" w:color="auto" w:sz="4" w:space="0"/>
              <w:bottom w:val="single" w:color="auto" w:sz="4" w:space="0"/>
              <w:right w:val="single" w:color="auto" w:sz="4" w:space="0"/>
            </w:tcBorders>
            <w:shd w:val="clear" w:color="auto" w:fill="auto"/>
            <w:vAlign w:val="center"/>
          </w:tcPr>
          <w:p w14:paraId="390E9A70">
            <w:pPr>
              <w:keepNext w:val="0"/>
              <w:keepLines w:val="0"/>
              <w:widowControl w:val="0"/>
              <w:suppressLineNumbers w:val="0"/>
              <w:spacing w:before="0" w:beforeAutospacing="0" w:after="0" w:afterAutospacing="0"/>
              <w:ind w:left="0" w:right="0"/>
              <w:jc w:val="center"/>
              <w:rPr>
                <w:rFonts w:hint="default" w:ascii="Times New Roman" w:hAnsi="Times New Roman" w:eastAsia="宋体" w:cs="宋体"/>
                <w:kern w:val="2"/>
                <w:sz w:val="24"/>
                <w:szCs w:val="24"/>
              </w:rPr>
            </w:pPr>
            <w:r>
              <w:rPr>
                <w:rFonts w:hint="eastAsia" w:ascii="宋体" w:hAnsi="宋体" w:eastAsia="宋体" w:cs="宋体"/>
                <w:kern w:val="2"/>
                <w:sz w:val="24"/>
                <w:szCs w:val="24"/>
                <w:lang w:val="en-US" w:eastAsia="zh-CN" w:bidi="ar"/>
              </w:rPr>
              <w:t>焊接铸铁板底部支撑</w:t>
            </w:r>
          </w:p>
        </w:tc>
        <w:tc>
          <w:tcPr>
            <w:tcW w:w="6421" w:type="dxa"/>
            <w:tcBorders>
              <w:top w:val="single" w:color="auto" w:sz="4" w:space="0"/>
              <w:left w:val="single" w:color="auto" w:sz="4" w:space="0"/>
              <w:bottom w:val="single" w:color="auto" w:sz="4" w:space="0"/>
              <w:right w:val="single" w:color="auto" w:sz="4" w:space="0"/>
            </w:tcBorders>
            <w:shd w:val="clear" w:color="auto" w:fill="auto"/>
            <w:vAlign w:val="center"/>
          </w:tcPr>
          <w:p w14:paraId="111A6FE6">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在渣沟底部摆放</w:t>
            </w:r>
            <w:r>
              <w:rPr>
                <w:rFonts w:hint="default" w:ascii="Times New Roman" w:hAnsi="Times New Roman" w:eastAsia="宋体" w:cs="Times New Roman"/>
                <w:kern w:val="2"/>
                <w:sz w:val="24"/>
                <w:szCs w:val="24"/>
                <w:lang w:val="en-US" w:eastAsia="zh-CN" w:bidi="ar"/>
              </w:rPr>
              <w:t>2</w:t>
            </w:r>
            <w:r>
              <w:rPr>
                <w:rFonts w:hint="eastAsia" w:ascii="宋体" w:hAnsi="宋体" w:eastAsia="宋体" w:cs="宋体"/>
                <w:kern w:val="2"/>
                <w:sz w:val="24"/>
                <w:szCs w:val="24"/>
                <w:lang w:val="en-US" w:eastAsia="zh-CN" w:bidi="ar"/>
              </w:rPr>
              <w:t>条平行的</w:t>
            </w:r>
            <w:r>
              <w:rPr>
                <w:rFonts w:hint="default" w:ascii="Times New Roman" w:hAnsi="Times New Roman" w:eastAsia="宋体" w:cs="Times New Roman"/>
                <w:kern w:val="2"/>
                <w:sz w:val="24"/>
                <w:szCs w:val="24"/>
                <w:lang w:val="en-US" w:eastAsia="zh-CN" w:bidi="ar"/>
              </w:rPr>
              <w:t>50</w:t>
            </w:r>
            <w:r>
              <w:rPr>
                <w:rFonts w:hint="eastAsia" w:ascii="宋体" w:hAnsi="宋体" w:eastAsia="宋体" w:cs="宋体"/>
                <w:kern w:val="2"/>
                <w:sz w:val="24"/>
                <w:szCs w:val="24"/>
                <w:lang w:val="en-US" w:eastAsia="zh-CN" w:bidi="ar"/>
              </w:rPr>
              <w:t>×</w:t>
            </w:r>
            <w:r>
              <w:rPr>
                <w:rFonts w:hint="default" w:ascii="Times New Roman" w:hAnsi="Times New Roman" w:eastAsia="宋体" w:cs="Times New Roman"/>
                <w:kern w:val="2"/>
                <w:sz w:val="24"/>
                <w:szCs w:val="24"/>
                <w:lang w:val="en-US" w:eastAsia="zh-CN" w:bidi="ar"/>
              </w:rPr>
              <w:t>50</w:t>
            </w:r>
            <w:r>
              <w:rPr>
                <w:rFonts w:hint="eastAsia" w:ascii="宋体" w:hAnsi="宋体" w:eastAsia="宋体" w:cs="宋体"/>
                <w:kern w:val="2"/>
                <w:sz w:val="24"/>
                <w:szCs w:val="24"/>
                <w:lang w:val="en-US" w:eastAsia="zh-CN" w:bidi="ar"/>
              </w:rPr>
              <w:t>的角钢（共</w:t>
            </w:r>
            <w:r>
              <w:rPr>
                <w:rFonts w:hint="default" w:ascii="Times New Roman" w:hAnsi="Times New Roman" w:eastAsia="宋体" w:cs="Times New Roman"/>
                <w:kern w:val="2"/>
                <w:sz w:val="24"/>
                <w:szCs w:val="24"/>
                <w:lang w:val="en-US" w:eastAsia="zh-CN" w:bidi="ar"/>
              </w:rPr>
              <w:t>49.95m</w:t>
            </w:r>
            <w:r>
              <w:rPr>
                <w:rFonts w:hint="eastAsia" w:ascii="宋体" w:hAnsi="宋体" w:eastAsia="宋体" w:cs="宋体"/>
                <w:kern w:val="2"/>
                <w:sz w:val="24"/>
                <w:szCs w:val="24"/>
                <w:lang w:val="en-US" w:eastAsia="zh-CN" w:bidi="ar"/>
              </w:rPr>
              <w:t>），每隔</w:t>
            </w:r>
            <w:r>
              <w:rPr>
                <w:rFonts w:hint="default" w:ascii="Times New Roman" w:hAnsi="Times New Roman" w:eastAsia="宋体" w:cs="Times New Roman"/>
                <w:kern w:val="2"/>
                <w:sz w:val="24"/>
                <w:szCs w:val="24"/>
                <w:lang w:val="en-US" w:eastAsia="zh-CN" w:bidi="ar"/>
              </w:rPr>
              <w:t>1</w:t>
            </w:r>
            <w:r>
              <w:rPr>
                <w:rFonts w:hint="eastAsia" w:ascii="宋体" w:hAnsi="宋体" w:eastAsia="宋体" w:cs="宋体"/>
                <w:kern w:val="2"/>
                <w:sz w:val="24"/>
                <w:szCs w:val="24"/>
                <w:lang w:val="en-US" w:eastAsia="zh-CN" w:bidi="ar"/>
              </w:rPr>
              <w:t>米距离，在</w:t>
            </w:r>
            <w:r>
              <w:rPr>
                <w:rFonts w:hint="default" w:ascii="Times New Roman" w:hAnsi="Times New Roman" w:eastAsia="宋体" w:cs="Times New Roman"/>
                <w:kern w:val="2"/>
                <w:sz w:val="24"/>
                <w:szCs w:val="24"/>
                <w:lang w:val="en-US" w:eastAsia="zh-CN" w:bidi="ar"/>
              </w:rPr>
              <w:t>2</w:t>
            </w:r>
            <w:r>
              <w:rPr>
                <w:rFonts w:hint="eastAsia" w:ascii="宋体" w:hAnsi="宋体" w:eastAsia="宋体" w:cs="宋体"/>
                <w:kern w:val="2"/>
                <w:sz w:val="24"/>
                <w:szCs w:val="24"/>
                <w:lang w:val="en-US" w:eastAsia="zh-CN" w:bidi="ar"/>
              </w:rPr>
              <w:t>条角钢之间焊接</w:t>
            </w:r>
            <w:r>
              <w:rPr>
                <w:rFonts w:hint="default" w:ascii="Times New Roman" w:hAnsi="Times New Roman" w:eastAsia="宋体" w:cs="Times New Roman"/>
                <w:kern w:val="2"/>
                <w:sz w:val="24"/>
                <w:szCs w:val="24"/>
                <w:lang w:val="en-US" w:eastAsia="zh-CN" w:bidi="ar"/>
              </w:rPr>
              <w:t>1</w:t>
            </w:r>
            <w:r>
              <w:rPr>
                <w:rFonts w:hint="eastAsia" w:ascii="宋体" w:hAnsi="宋体" w:eastAsia="宋体" w:cs="宋体"/>
                <w:kern w:val="2"/>
                <w:sz w:val="24"/>
                <w:szCs w:val="24"/>
                <w:lang w:val="en-US" w:eastAsia="zh-CN" w:bidi="ar"/>
              </w:rPr>
              <w:t>道横栏，做成一平放的梯子形状，以支撑铸铁板</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14:paraId="6F504677">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kern w:val="2"/>
                <w:sz w:val="24"/>
                <w:szCs w:val="24"/>
              </w:rPr>
            </w:pPr>
            <w:r>
              <w:rPr>
                <w:rFonts w:hint="eastAsia" w:ascii="宋体" w:hAnsi="宋体" w:eastAsia="宋体" w:cs="宋体"/>
                <w:i w:val="0"/>
                <w:iCs w:val="0"/>
                <w:color w:val="000000"/>
                <w:kern w:val="0"/>
                <w:sz w:val="24"/>
                <w:szCs w:val="24"/>
                <w:lang w:val="en-US" w:eastAsia="zh-CN" w:bidi="ar"/>
              </w:rPr>
              <w:t>40</w:t>
            </w:r>
          </w:p>
        </w:tc>
      </w:tr>
      <w:tr w14:paraId="542CE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97"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14:paraId="28E1E889">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default" w:ascii="Times New Roman" w:hAnsi="Times New Roman" w:eastAsia="宋体" w:cs="Times New Roman"/>
                <w:kern w:val="2"/>
                <w:sz w:val="24"/>
                <w:szCs w:val="24"/>
                <w:lang w:val="en-US" w:eastAsia="zh-CN" w:bidi="ar"/>
              </w:rPr>
              <w:t>9</w:t>
            </w:r>
          </w:p>
        </w:tc>
        <w:tc>
          <w:tcPr>
            <w:tcW w:w="1307" w:type="dxa"/>
            <w:tcBorders>
              <w:top w:val="single" w:color="auto" w:sz="4" w:space="0"/>
              <w:left w:val="single" w:color="auto" w:sz="4" w:space="0"/>
              <w:bottom w:val="single" w:color="auto" w:sz="4" w:space="0"/>
              <w:right w:val="single" w:color="auto" w:sz="4" w:space="0"/>
            </w:tcBorders>
            <w:shd w:val="clear" w:color="auto" w:fill="auto"/>
            <w:vAlign w:val="center"/>
          </w:tcPr>
          <w:p w14:paraId="2DCBC0B4">
            <w:pPr>
              <w:keepNext w:val="0"/>
              <w:keepLines w:val="0"/>
              <w:widowControl w:val="0"/>
              <w:suppressLineNumbers w:val="0"/>
              <w:spacing w:before="0" w:beforeAutospacing="0" w:after="0" w:afterAutospacing="0"/>
              <w:ind w:left="0" w:right="0"/>
              <w:jc w:val="center"/>
              <w:rPr>
                <w:rFonts w:hint="default" w:ascii="Times New Roman" w:hAnsi="Times New Roman" w:eastAsia="宋体" w:cs="宋体"/>
                <w:kern w:val="2"/>
                <w:sz w:val="24"/>
                <w:szCs w:val="24"/>
              </w:rPr>
            </w:pPr>
            <w:r>
              <w:rPr>
                <w:rFonts w:hint="eastAsia" w:ascii="宋体" w:hAnsi="宋体" w:eastAsia="宋体" w:cs="宋体"/>
                <w:kern w:val="2"/>
                <w:sz w:val="24"/>
                <w:szCs w:val="24"/>
                <w:lang w:val="en-US" w:eastAsia="zh-CN" w:bidi="ar"/>
              </w:rPr>
              <w:t>安装铸铁板</w:t>
            </w:r>
          </w:p>
        </w:tc>
        <w:tc>
          <w:tcPr>
            <w:tcW w:w="6421" w:type="dxa"/>
            <w:tcBorders>
              <w:top w:val="single" w:color="auto" w:sz="4" w:space="0"/>
              <w:left w:val="single" w:color="auto" w:sz="4" w:space="0"/>
              <w:bottom w:val="single" w:color="auto" w:sz="4" w:space="0"/>
              <w:right w:val="single" w:color="auto" w:sz="4" w:space="0"/>
            </w:tcBorders>
            <w:shd w:val="clear" w:color="auto" w:fill="auto"/>
            <w:vAlign w:val="center"/>
          </w:tcPr>
          <w:p w14:paraId="6CAA9930">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安装铸铁板按照设计镶嵌（凸凹）结构组对</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14:paraId="48D6DC3A">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kern w:val="2"/>
                <w:sz w:val="24"/>
                <w:szCs w:val="24"/>
              </w:rPr>
            </w:pPr>
            <w:r>
              <w:rPr>
                <w:rFonts w:hint="eastAsia" w:ascii="宋体" w:hAnsi="宋体" w:eastAsia="宋体" w:cs="宋体"/>
                <w:i w:val="0"/>
                <w:iCs w:val="0"/>
                <w:color w:val="000000"/>
                <w:kern w:val="0"/>
                <w:sz w:val="24"/>
                <w:szCs w:val="24"/>
                <w:lang w:val="en-US" w:eastAsia="zh-CN" w:bidi="ar"/>
              </w:rPr>
              <w:t>40</w:t>
            </w:r>
          </w:p>
        </w:tc>
      </w:tr>
      <w:tr w14:paraId="1DBD0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27"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14:paraId="1EE3529B">
            <w:pPr>
              <w:keepNext w:val="0"/>
              <w:keepLines w:val="0"/>
              <w:widowControl w:val="0"/>
              <w:suppressLineNumbers w:val="0"/>
              <w:spacing w:before="0" w:beforeAutospacing="0" w:after="0" w:afterAutospacing="0"/>
              <w:ind w:left="0" w:right="0"/>
              <w:jc w:val="center"/>
              <w:rPr>
                <w:rFonts w:hint="default" w:ascii="Times New Roman" w:hAnsi="Times New Roman" w:eastAsia="宋体" w:cs="宋体"/>
                <w:kern w:val="2"/>
                <w:sz w:val="24"/>
                <w:szCs w:val="24"/>
              </w:rPr>
            </w:pPr>
            <w:r>
              <w:rPr>
                <w:rFonts w:hint="default" w:ascii="Times New Roman" w:hAnsi="Times New Roman" w:eastAsia="宋体" w:cs="Times New Roman"/>
                <w:kern w:val="2"/>
                <w:sz w:val="24"/>
                <w:szCs w:val="24"/>
                <w:lang w:val="en-US" w:eastAsia="zh-CN" w:bidi="ar"/>
              </w:rPr>
              <w:t>10</w:t>
            </w:r>
          </w:p>
        </w:tc>
        <w:tc>
          <w:tcPr>
            <w:tcW w:w="1307" w:type="dxa"/>
            <w:tcBorders>
              <w:top w:val="single" w:color="auto" w:sz="4" w:space="0"/>
              <w:left w:val="single" w:color="auto" w:sz="4" w:space="0"/>
              <w:bottom w:val="single" w:color="auto" w:sz="4" w:space="0"/>
              <w:right w:val="single" w:color="auto" w:sz="4" w:space="0"/>
            </w:tcBorders>
            <w:shd w:val="clear" w:color="auto" w:fill="auto"/>
            <w:vAlign w:val="center"/>
          </w:tcPr>
          <w:p w14:paraId="5B8652EA">
            <w:pPr>
              <w:keepNext w:val="0"/>
              <w:keepLines w:val="0"/>
              <w:widowControl w:val="0"/>
              <w:suppressLineNumbers w:val="0"/>
              <w:spacing w:before="0" w:beforeAutospacing="0" w:after="0" w:afterAutospacing="0"/>
              <w:ind w:left="0" w:right="0"/>
              <w:jc w:val="center"/>
              <w:rPr>
                <w:rFonts w:hint="default" w:ascii="Times New Roman" w:hAnsi="Times New Roman" w:eastAsia="宋体" w:cs="宋体"/>
                <w:kern w:val="2"/>
                <w:sz w:val="24"/>
                <w:szCs w:val="24"/>
              </w:rPr>
            </w:pPr>
            <w:r>
              <w:rPr>
                <w:rFonts w:hint="eastAsia" w:ascii="宋体" w:hAnsi="宋体" w:eastAsia="宋体" w:cs="宋体"/>
                <w:kern w:val="2"/>
                <w:sz w:val="24"/>
                <w:szCs w:val="24"/>
                <w:lang w:val="en-US" w:eastAsia="zh-CN" w:bidi="ar"/>
              </w:rPr>
              <w:t>恢复竖灰管</w:t>
            </w:r>
          </w:p>
        </w:tc>
        <w:tc>
          <w:tcPr>
            <w:tcW w:w="6421" w:type="dxa"/>
            <w:tcBorders>
              <w:top w:val="single" w:color="auto" w:sz="4" w:space="0"/>
              <w:left w:val="single" w:color="auto" w:sz="4" w:space="0"/>
              <w:bottom w:val="single" w:color="auto" w:sz="4" w:space="0"/>
              <w:right w:val="single" w:color="auto" w:sz="4" w:space="0"/>
            </w:tcBorders>
            <w:shd w:val="clear" w:color="auto" w:fill="auto"/>
            <w:vAlign w:val="center"/>
          </w:tcPr>
          <w:p w14:paraId="5A9D1B35">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恢复割除</w:t>
            </w:r>
            <w:r>
              <w:rPr>
                <w:rFonts w:hint="default" w:ascii="Times New Roman" w:hAnsi="Times New Roman" w:eastAsia="宋体" w:cs="Times New Roman"/>
                <w:kern w:val="2"/>
                <w:sz w:val="24"/>
                <w:szCs w:val="24"/>
                <w:lang w:val="en-US" w:eastAsia="zh-CN" w:bidi="ar"/>
              </w:rPr>
              <w:t>22</w:t>
            </w:r>
            <w:r>
              <w:rPr>
                <w:rFonts w:hint="eastAsia" w:ascii="宋体" w:hAnsi="宋体" w:eastAsia="宋体" w:cs="宋体"/>
                <w:kern w:val="2"/>
                <w:sz w:val="24"/>
                <w:szCs w:val="24"/>
                <w:lang w:val="en-US" w:eastAsia="zh-CN" w:bidi="ar"/>
              </w:rPr>
              <w:t>台炉竖灰管（</w:t>
            </w:r>
            <w:r>
              <w:rPr>
                <w:rFonts w:hint="default" w:ascii="Times New Roman" w:hAnsi="Times New Roman" w:eastAsia="宋体" w:cs="Times New Roman"/>
                <w:kern w:val="2"/>
                <w:sz w:val="24"/>
                <w:szCs w:val="24"/>
                <w:lang w:val="en-US" w:eastAsia="zh-CN" w:bidi="ar"/>
              </w:rPr>
              <w:t>DN600</w:t>
            </w:r>
            <w:r>
              <w:rPr>
                <w:rFonts w:hint="eastAsia" w:ascii="宋体" w:hAnsi="宋体" w:eastAsia="宋体" w:cs="宋体"/>
                <w:kern w:val="2"/>
                <w:sz w:val="24"/>
                <w:szCs w:val="24"/>
                <w:lang w:val="en-US" w:eastAsia="zh-CN" w:bidi="ar"/>
              </w:rPr>
              <w:t>）插入渣沟部分，共</w:t>
            </w:r>
            <w:r>
              <w:rPr>
                <w:rFonts w:hint="default" w:ascii="Times New Roman" w:hAnsi="Times New Roman" w:eastAsia="宋体" w:cs="Times New Roman"/>
                <w:kern w:val="2"/>
                <w:sz w:val="24"/>
                <w:szCs w:val="24"/>
                <w:lang w:val="en-US" w:eastAsia="zh-CN" w:bidi="ar"/>
              </w:rPr>
              <w:t>22</w:t>
            </w:r>
            <w:r>
              <w:rPr>
                <w:rFonts w:hint="eastAsia" w:ascii="宋体" w:hAnsi="宋体" w:eastAsia="宋体" w:cs="宋体"/>
                <w:kern w:val="2"/>
                <w:sz w:val="24"/>
                <w:szCs w:val="24"/>
                <w:lang w:val="en-US" w:eastAsia="zh-CN" w:bidi="ar"/>
              </w:rPr>
              <w:t>段，均长</w:t>
            </w:r>
            <w:r>
              <w:rPr>
                <w:rFonts w:hint="default" w:ascii="Times New Roman" w:hAnsi="Times New Roman" w:eastAsia="宋体" w:cs="Times New Roman"/>
                <w:kern w:val="2"/>
                <w:sz w:val="24"/>
                <w:szCs w:val="24"/>
                <w:lang w:val="en-US" w:eastAsia="zh-CN" w:bidi="ar"/>
              </w:rPr>
              <w:t>2</w:t>
            </w:r>
            <w:r>
              <w:rPr>
                <w:rFonts w:hint="eastAsia" w:ascii="宋体" w:hAnsi="宋体" w:eastAsia="宋体" w:cs="宋体"/>
                <w:kern w:val="2"/>
                <w:sz w:val="24"/>
                <w:szCs w:val="24"/>
                <w:lang w:val="en-US" w:eastAsia="zh-CN" w:bidi="ar"/>
              </w:rPr>
              <w:t>米</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14:paraId="0FCEEFC6">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kern w:val="2"/>
                <w:sz w:val="24"/>
                <w:szCs w:val="24"/>
              </w:rPr>
            </w:pPr>
            <w:r>
              <w:rPr>
                <w:rFonts w:hint="eastAsia" w:ascii="宋体" w:hAnsi="宋体" w:eastAsia="宋体" w:cs="宋体"/>
                <w:i w:val="0"/>
                <w:iCs w:val="0"/>
                <w:color w:val="000000"/>
                <w:kern w:val="0"/>
                <w:sz w:val="24"/>
                <w:szCs w:val="24"/>
                <w:lang w:val="en-US" w:eastAsia="zh-CN" w:bidi="ar"/>
              </w:rPr>
              <w:t>110</w:t>
            </w:r>
          </w:p>
        </w:tc>
      </w:tr>
      <w:tr w14:paraId="604B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87"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14:paraId="66B0F688">
            <w:pPr>
              <w:keepNext w:val="0"/>
              <w:keepLines w:val="0"/>
              <w:widowControl w:val="0"/>
              <w:suppressLineNumbers w:val="0"/>
              <w:spacing w:before="0" w:beforeAutospacing="0" w:after="0" w:afterAutospacing="0"/>
              <w:ind w:left="0" w:right="0"/>
              <w:jc w:val="center"/>
              <w:rPr>
                <w:rFonts w:hint="default" w:ascii="Times New Roman" w:hAnsi="Times New Roman" w:eastAsia="宋体" w:cs="宋体"/>
                <w:kern w:val="2"/>
                <w:sz w:val="24"/>
                <w:szCs w:val="24"/>
              </w:rPr>
            </w:pPr>
            <w:r>
              <w:rPr>
                <w:rFonts w:hint="default" w:ascii="Times New Roman" w:hAnsi="Times New Roman" w:eastAsia="宋体" w:cs="Times New Roman"/>
                <w:kern w:val="2"/>
                <w:sz w:val="24"/>
                <w:szCs w:val="24"/>
                <w:lang w:val="en-US" w:eastAsia="zh-CN" w:bidi="ar"/>
              </w:rPr>
              <w:t>11</w:t>
            </w:r>
          </w:p>
        </w:tc>
        <w:tc>
          <w:tcPr>
            <w:tcW w:w="1307" w:type="dxa"/>
            <w:tcBorders>
              <w:top w:val="single" w:color="auto" w:sz="4" w:space="0"/>
              <w:left w:val="single" w:color="auto" w:sz="4" w:space="0"/>
              <w:bottom w:val="single" w:color="auto" w:sz="4" w:space="0"/>
              <w:right w:val="single" w:color="auto" w:sz="4" w:space="0"/>
            </w:tcBorders>
            <w:shd w:val="clear" w:color="auto" w:fill="auto"/>
            <w:vAlign w:val="center"/>
          </w:tcPr>
          <w:p w14:paraId="7879C275">
            <w:pPr>
              <w:keepNext w:val="0"/>
              <w:keepLines w:val="0"/>
              <w:widowControl w:val="0"/>
              <w:suppressLineNumbers w:val="0"/>
              <w:spacing w:before="0" w:beforeAutospacing="0" w:after="0" w:afterAutospacing="0"/>
              <w:ind w:left="0" w:right="0"/>
              <w:jc w:val="center"/>
              <w:rPr>
                <w:rFonts w:hint="default" w:ascii="Times New Roman" w:hAnsi="Times New Roman" w:eastAsia="宋体" w:cs="宋体"/>
                <w:kern w:val="2"/>
                <w:sz w:val="24"/>
                <w:szCs w:val="24"/>
              </w:rPr>
            </w:pPr>
            <w:r>
              <w:rPr>
                <w:rFonts w:hint="eastAsia" w:ascii="宋体" w:hAnsi="宋体" w:eastAsia="宋体" w:cs="宋体"/>
                <w:kern w:val="2"/>
                <w:sz w:val="24"/>
                <w:szCs w:val="24"/>
                <w:lang w:val="en-US" w:eastAsia="zh-CN" w:bidi="ar"/>
              </w:rPr>
              <w:t>恢复灰水管</w:t>
            </w:r>
          </w:p>
        </w:tc>
        <w:tc>
          <w:tcPr>
            <w:tcW w:w="6421" w:type="dxa"/>
            <w:tcBorders>
              <w:top w:val="single" w:color="auto" w:sz="4" w:space="0"/>
              <w:left w:val="single" w:color="auto" w:sz="4" w:space="0"/>
              <w:bottom w:val="single" w:color="auto" w:sz="4" w:space="0"/>
              <w:right w:val="single" w:color="auto" w:sz="4" w:space="0"/>
            </w:tcBorders>
            <w:shd w:val="clear" w:color="auto" w:fill="auto"/>
            <w:vAlign w:val="center"/>
          </w:tcPr>
          <w:p w14:paraId="64EC3440">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恢复割除的灰水管线（</w:t>
            </w:r>
            <w:r>
              <w:rPr>
                <w:rFonts w:hint="default" w:ascii="Times New Roman" w:hAnsi="Times New Roman" w:eastAsia="宋体" w:cs="Times New Roman"/>
                <w:kern w:val="2"/>
                <w:sz w:val="24"/>
                <w:szCs w:val="24"/>
                <w:lang w:val="en-US" w:eastAsia="zh-CN" w:bidi="ar"/>
              </w:rPr>
              <w:t>DN65</w:t>
            </w:r>
            <w:r>
              <w:rPr>
                <w:rFonts w:hint="eastAsia" w:ascii="宋体" w:hAnsi="宋体" w:eastAsia="宋体" w:cs="宋体"/>
                <w:kern w:val="2"/>
                <w:sz w:val="24"/>
                <w:szCs w:val="24"/>
                <w:lang w:val="en-US" w:eastAsia="zh-CN" w:bidi="ar"/>
              </w:rPr>
              <w:t>）插入渣沟部分，共</w:t>
            </w:r>
            <w:r>
              <w:rPr>
                <w:rFonts w:hint="default" w:ascii="Times New Roman" w:hAnsi="Times New Roman" w:eastAsia="宋体" w:cs="Times New Roman"/>
                <w:kern w:val="2"/>
                <w:sz w:val="24"/>
                <w:szCs w:val="24"/>
                <w:lang w:val="en-US" w:eastAsia="zh-CN" w:bidi="ar"/>
              </w:rPr>
              <w:t>22</w:t>
            </w:r>
            <w:r>
              <w:rPr>
                <w:rFonts w:hint="eastAsia" w:ascii="宋体" w:hAnsi="宋体" w:eastAsia="宋体" w:cs="宋体"/>
                <w:kern w:val="2"/>
                <w:sz w:val="24"/>
                <w:szCs w:val="24"/>
                <w:lang w:val="en-US" w:eastAsia="zh-CN" w:bidi="ar"/>
              </w:rPr>
              <w:t>段，均长</w:t>
            </w:r>
            <w:r>
              <w:rPr>
                <w:rFonts w:hint="default" w:ascii="Times New Roman" w:hAnsi="Times New Roman" w:eastAsia="宋体" w:cs="Times New Roman"/>
                <w:kern w:val="2"/>
                <w:sz w:val="24"/>
                <w:szCs w:val="24"/>
                <w:lang w:val="en-US" w:eastAsia="zh-CN" w:bidi="ar"/>
              </w:rPr>
              <w:t>2</w:t>
            </w:r>
            <w:r>
              <w:rPr>
                <w:rFonts w:hint="eastAsia" w:ascii="宋体" w:hAnsi="宋体" w:eastAsia="宋体" w:cs="宋体"/>
                <w:kern w:val="2"/>
                <w:sz w:val="24"/>
                <w:szCs w:val="24"/>
                <w:lang w:val="en-US" w:eastAsia="zh-CN" w:bidi="ar"/>
              </w:rPr>
              <w:t>米</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14:paraId="3A1287E8">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kern w:val="2"/>
                <w:sz w:val="24"/>
                <w:szCs w:val="24"/>
              </w:rPr>
            </w:pPr>
            <w:r>
              <w:rPr>
                <w:rFonts w:hint="eastAsia" w:ascii="宋体" w:hAnsi="宋体" w:eastAsia="宋体" w:cs="宋体"/>
                <w:i w:val="0"/>
                <w:iCs w:val="0"/>
                <w:color w:val="000000"/>
                <w:kern w:val="0"/>
                <w:sz w:val="24"/>
                <w:szCs w:val="24"/>
                <w:lang w:val="en-US" w:eastAsia="zh-CN" w:bidi="ar"/>
              </w:rPr>
              <w:t>66</w:t>
            </w:r>
          </w:p>
        </w:tc>
      </w:tr>
      <w:tr w14:paraId="6817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6"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14:paraId="169377D4">
            <w:pPr>
              <w:keepNext w:val="0"/>
              <w:keepLines w:val="0"/>
              <w:widowControl w:val="0"/>
              <w:suppressLineNumbers w:val="0"/>
              <w:spacing w:before="0" w:beforeAutospacing="0" w:after="0" w:afterAutospacing="0"/>
              <w:ind w:left="0" w:right="0"/>
              <w:jc w:val="center"/>
              <w:rPr>
                <w:rFonts w:hint="default" w:ascii="Times New Roman" w:hAnsi="Times New Roman" w:eastAsia="宋体" w:cs="宋体"/>
                <w:kern w:val="2"/>
                <w:sz w:val="24"/>
                <w:szCs w:val="24"/>
              </w:rPr>
            </w:pPr>
            <w:r>
              <w:rPr>
                <w:rFonts w:hint="default" w:ascii="Times New Roman" w:hAnsi="Times New Roman" w:eastAsia="宋体" w:cs="Times New Roman"/>
                <w:kern w:val="2"/>
                <w:sz w:val="24"/>
                <w:szCs w:val="24"/>
                <w:lang w:val="en-US" w:eastAsia="zh-CN" w:bidi="ar"/>
              </w:rPr>
              <w:t>12</w:t>
            </w:r>
          </w:p>
        </w:tc>
        <w:tc>
          <w:tcPr>
            <w:tcW w:w="1307" w:type="dxa"/>
            <w:tcBorders>
              <w:top w:val="single" w:color="auto" w:sz="4" w:space="0"/>
              <w:left w:val="single" w:color="auto" w:sz="4" w:space="0"/>
              <w:bottom w:val="single" w:color="auto" w:sz="4" w:space="0"/>
              <w:right w:val="single" w:color="auto" w:sz="4" w:space="0"/>
            </w:tcBorders>
            <w:shd w:val="clear" w:color="auto" w:fill="auto"/>
            <w:vAlign w:val="center"/>
          </w:tcPr>
          <w:p w14:paraId="529CEF82">
            <w:pPr>
              <w:keepNext w:val="0"/>
              <w:keepLines w:val="0"/>
              <w:widowControl w:val="0"/>
              <w:suppressLineNumbers w:val="0"/>
              <w:spacing w:before="0" w:beforeAutospacing="0" w:after="0" w:afterAutospacing="0"/>
              <w:ind w:left="0" w:right="0"/>
              <w:jc w:val="center"/>
              <w:rPr>
                <w:rFonts w:hint="default" w:ascii="Times New Roman" w:hAnsi="Times New Roman" w:eastAsia="宋体" w:cs="宋体"/>
                <w:kern w:val="2"/>
                <w:sz w:val="24"/>
                <w:szCs w:val="24"/>
              </w:rPr>
            </w:pPr>
            <w:r>
              <w:rPr>
                <w:rFonts w:hint="eastAsia" w:ascii="宋体" w:hAnsi="宋体" w:eastAsia="宋体" w:cs="宋体"/>
                <w:kern w:val="2"/>
                <w:sz w:val="24"/>
                <w:szCs w:val="24"/>
                <w:lang w:val="en-US" w:eastAsia="zh-CN" w:bidi="ar"/>
              </w:rPr>
              <w:t>清理渣沟</w:t>
            </w:r>
          </w:p>
        </w:tc>
        <w:tc>
          <w:tcPr>
            <w:tcW w:w="6421" w:type="dxa"/>
            <w:tcBorders>
              <w:top w:val="single" w:color="auto" w:sz="4" w:space="0"/>
              <w:left w:val="single" w:color="auto" w:sz="4" w:space="0"/>
              <w:bottom w:val="single" w:color="auto" w:sz="4" w:space="0"/>
              <w:right w:val="single" w:color="auto" w:sz="4" w:space="0"/>
            </w:tcBorders>
            <w:shd w:val="clear" w:color="auto" w:fill="auto"/>
            <w:vAlign w:val="center"/>
          </w:tcPr>
          <w:p w14:paraId="7F677376">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清理渣沟施工段的垃圾、物料及工器具等</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14:paraId="202B556E">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kern w:val="2"/>
                <w:sz w:val="24"/>
                <w:szCs w:val="24"/>
              </w:rPr>
            </w:pPr>
            <w:r>
              <w:rPr>
                <w:rFonts w:hint="eastAsia" w:ascii="宋体" w:hAnsi="宋体" w:eastAsia="宋体" w:cs="宋体"/>
                <w:i w:val="0"/>
                <w:iCs w:val="0"/>
                <w:color w:val="000000"/>
                <w:kern w:val="0"/>
                <w:sz w:val="24"/>
                <w:szCs w:val="24"/>
                <w:lang w:val="en-US" w:eastAsia="zh-CN" w:bidi="ar"/>
              </w:rPr>
              <w:t>31</w:t>
            </w:r>
          </w:p>
        </w:tc>
      </w:tr>
      <w:tr w14:paraId="000C6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12"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14:paraId="7EE4F33B">
            <w:pPr>
              <w:keepNext w:val="0"/>
              <w:keepLines w:val="0"/>
              <w:widowControl w:val="0"/>
              <w:suppressLineNumbers w:val="0"/>
              <w:spacing w:before="0" w:beforeAutospacing="0" w:after="0" w:afterAutospacing="0"/>
              <w:ind w:left="0" w:right="0"/>
              <w:jc w:val="center"/>
              <w:rPr>
                <w:rFonts w:hint="default" w:ascii="Times New Roman" w:hAnsi="Times New Roman" w:eastAsia="宋体" w:cs="宋体"/>
                <w:kern w:val="2"/>
                <w:sz w:val="24"/>
                <w:szCs w:val="24"/>
              </w:rPr>
            </w:pPr>
            <w:r>
              <w:rPr>
                <w:rFonts w:hint="default" w:ascii="Times New Roman" w:hAnsi="Times New Roman" w:eastAsia="宋体" w:cs="Times New Roman"/>
                <w:kern w:val="2"/>
                <w:sz w:val="24"/>
                <w:szCs w:val="24"/>
                <w:lang w:val="en-US" w:eastAsia="zh-CN" w:bidi="ar"/>
              </w:rPr>
              <w:t>13</w:t>
            </w:r>
          </w:p>
        </w:tc>
        <w:tc>
          <w:tcPr>
            <w:tcW w:w="1307" w:type="dxa"/>
            <w:tcBorders>
              <w:top w:val="single" w:color="auto" w:sz="4" w:space="0"/>
              <w:left w:val="single" w:color="auto" w:sz="4" w:space="0"/>
              <w:bottom w:val="single" w:color="auto" w:sz="4" w:space="0"/>
              <w:right w:val="single" w:color="auto" w:sz="4" w:space="0"/>
            </w:tcBorders>
            <w:shd w:val="clear" w:color="auto" w:fill="auto"/>
            <w:vAlign w:val="center"/>
          </w:tcPr>
          <w:p w14:paraId="4C3438B8">
            <w:pPr>
              <w:keepNext w:val="0"/>
              <w:keepLines w:val="0"/>
              <w:widowControl w:val="0"/>
              <w:suppressLineNumbers w:val="0"/>
              <w:spacing w:before="0" w:beforeAutospacing="0" w:after="0" w:afterAutospacing="0"/>
              <w:ind w:left="0" w:right="0"/>
              <w:jc w:val="center"/>
              <w:rPr>
                <w:rFonts w:hint="default" w:ascii="Times New Roman" w:hAnsi="Times New Roman" w:eastAsia="宋体" w:cs="宋体"/>
                <w:kern w:val="2"/>
                <w:sz w:val="24"/>
                <w:szCs w:val="24"/>
              </w:rPr>
            </w:pPr>
            <w:r>
              <w:rPr>
                <w:rFonts w:hint="eastAsia" w:ascii="宋体" w:hAnsi="宋体" w:eastAsia="宋体" w:cs="宋体"/>
                <w:kern w:val="2"/>
                <w:sz w:val="24"/>
                <w:szCs w:val="24"/>
                <w:lang w:val="en-US" w:eastAsia="zh-CN" w:bidi="ar"/>
              </w:rPr>
              <w:t>恢复渣沟盖板</w:t>
            </w:r>
          </w:p>
        </w:tc>
        <w:tc>
          <w:tcPr>
            <w:tcW w:w="6421" w:type="dxa"/>
            <w:tcBorders>
              <w:top w:val="single" w:color="auto" w:sz="4" w:space="0"/>
              <w:left w:val="single" w:color="auto" w:sz="4" w:space="0"/>
              <w:bottom w:val="single" w:color="auto" w:sz="4" w:space="0"/>
              <w:right w:val="single" w:color="auto" w:sz="4" w:space="0"/>
            </w:tcBorders>
            <w:shd w:val="clear" w:color="auto" w:fill="auto"/>
            <w:vAlign w:val="center"/>
          </w:tcPr>
          <w:p w14:paraId="3DF7EB92">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恢复渣沟盖板</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14:paraId="5B332FB2">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kern w:val="2"/>
                <w:sz w:val="24"/>
                <w:szCs w:val="24"/>
              </w:rPr>
            </w:pPr>
            <w:r>
              <w:rPr>
                <w:rFonts w:hint="eastAsia" w:ascii="宋体" w:hAnsi="宋体" w:eastAsia="宋体" w:cs="宋体"/>
                <w:i w:val="0"/>
                <w:iCs w:val="0"/>
                <w:color w:val="000000"/>
                <w:kern w:val="0"/>
                <w:sz w:val="24"/>
                <w:szCs w:val="24"/>
                <w:lang w:val="en-US" w:eastAsia="zh-CN" w:bidi="ar"/>
              </w:rPr>
              <w:t>31</w:t>
            </w:r>
          </w:p>
        </w:tc>
      </w:tr>
      <w:tr w14:paraId="60BF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96" w:hRule="atLeast"/>
        </w:trPr>
        <w:tc>
          <w:tcPr>
            <w:tcW w:w="826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65D4BE1">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合计</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14:paraId="21149442">
            <w:pPr>
              <w:keepNext w:val="0"/>
              <w:keepLines w:val="0"/>
              <w:widowControl w:val="0"/>
              <w:suppressLineNumbers w:val="0"/>
              <w:spacing w:before="0" w:beforeAutospacing="0" w:after="0" w:afterAutospacing="0"/>
              <w:ind w:left="0" w:right="0"/>
              <w:jc w:val="center"/>
              <w:rPr>
                <w:rFonts w:hint="default" w:ascii="Times New Roman" w:hAnsi="Times New Roman" w:eastAsia="宋体" w:cs="宋体"/>
                <w:kern w:val="2"/>
                <w:sz w:val="24"/>
                <w:szCs w:val="24"/>
                <w:lang w:val="en-US"/>
              </w:rPr>
            </w:pPr>
            <w:r>
              <w:rPr>
                <w:rFonts w:hint="default" w:ascii="Times New Roman" w:hAnsi="Times New Roman" w:eastAsia="宋体" w:cs="Times New Roman"/>
                <w:kern w:val="2"/>
                <w:sz w:val="24"/>
                <w:szCs w:val="24"/>
                <w:highlight w:val="none"/>
                <w:lang w:val="en-US" w:eastAsia="zh-CN" w:bidi="ar"/>
              </w:rPr>
              <w:t>10</w:t>
            </w:r>
            <w:r>
              <w:rPr>
                <w:rFonts w:hint="eastAsia" w:cs="Times New Roman"/>
                <w:kern w:val="2"/>
                <w:sz w:val="24"/>
                <w:szCs w:val="24"/>
                <w:highlight w:val="none"/>
                <w:lang w:val="en-US" w:eastAsia="zh-CN" w:bidi="ar"/>
              </w:rPr>
              <w:t>41</w:t>
            </w:r>
          </w:p>
        </w:tc>
      </w:tr>
    </w:tbl>
    <w:p w14:paraId="62118F27">
      <w:pPr>
        <w:pStyle w:val="75"/>
        <w:spacing w:line="360" w:lineRule="auto"/>
        <w:ind w:firstLine="0" w:firstLineChars="0"/>
        <w:rPr>
          <w:rFonts w:hint="eastAsia" w:hAnsi="宋体"/>
          <w:sz w:val="24"/>
          <w:szCs w:val="24"/>
        </w:rPr>
      </w:pPr>
    </w:p>
    <w:p w14:paraId="45696A1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highlight w:val="none"/>
          <w:lang w:val="en-US" w:eastAsia="zh-CN"/>
        </w:rPr>
      </w:pPr>
      <w:r>
        <w:rPr>
          <w:rFonts w:hint="eastAsia" w:ascii="宋体" w:hAnsi="宋体" w:cs="Times New Roman"/>
          <w:sz w:val="24"/>
          <w:szCs w:val="24"/>
          <w:highlight w:val="none"/>
          <w:lang w:val="en-US" w:eastAsia="zh-CN"/>
        </w:rPr>
        <w:t>5.5.2 本项目中不包括铸铁板更换作业时的土建配合工作。</w:t>
      </w:r>
    </w:p>
    <w:p w14:paraId="6E4F657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sz w:val="24"/>
          <w:szCs w:val="24"/>
          <w:highlight w:val="none"/>
          <w:lang w:val="en-US" w:eastAsia="zh-CN"/>
        </w:rPr>
      </w:pPr>
      <w:bookmarkStart w:id="12" w:name="_Toc80271046"/>
      <w:bookmarkEnd w:id="12"/>
      <w:bookmarkStart w:id="13" w:name="_Toc80271047"/>
      <w:bookmarkEnd w:id="13"/>
      <w:r>
        <w:rPr>
          <w:rFonts w:hint="eastAsia" w:ascii="宋体" w:hAnsi="宋体" w:cs="Times New Roman"/>
          <w:sz w:val="24"/>
          <w:szCs w:val="24"/>
          <w:highlight w:val="none"/>
          <w:lang w:val="en-US" w:eastAsia="zh-CN"/>
        </w:rPr>
        <w:t>5.6项目技术要求</w:t>
      </w:r>
    </w:p>
    <w:p w14:paraId="7F4166B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ascii="宋体" w:hAnsi="宋体"/>
          <w:sz w:val="24"/>
          <w:szCs w:val="24"/>
          <w:highlight w:val="none"/>
        </w:rPr>
      </w:pPr>
      <w:r>
        <w:rPr>
          <w:rFonts w:hint="eastAsia" w:ascii="宋体" w:hAnsi="宋体"/>
          <w:sz w:val="24"/>
          <w:szCs w:val="24"/>
          <w:highlight w:val="none"/>
          <w:lang w:val="en-US" w:eastAsia="zh-CN"/>
        </w:rPr>
        <w:t xml:space="preserve">5.6.1 </w:t>
      </w:r>
      <w:r>
        <w:rPr>
          <w:rFonts w:hint="eastAsia" w:ascii="宋体" w:hAnsi="宋体"/>
          <w:sz w:val="24"/>
          <w:szCs w:val="24"/>
          <w:highlight w:val="none"/>
        </w:rPr>
        <w:t>材料供应</w:t>
      </w:r>
    </w:p>
    <w:p w14:paraId="22655E5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ascii="宋体" w:hAnsi="宋体"/>
          <w:sz w:val="24"/>
          <w:szCs w:val="24"/>
          <w:highlight w:val="none"/>
        </w:rPr>
      </w:pPr>
      <w:r>
        <w:rPr>
          <w:rFonts w:hint="eastAsia" w:ascii="宋体" w:hAnsi="宋体"/>
          <w:sz w:val="24"/>
          <w:szCs w:val="24"/>
          <w:highlight w:val="none"/>
          <w:lang w:val="en-US" w:eastAsia="zh-CN"/>
        </w:rPr>
        <w:t>5.6.1</w:t>
      </w:r>
      <w:r>
        <w:rPr>
          <w:rFonts w:hint="eastAsia" w:ascii="宋体" w:hAnsi="宋体"/>
          <w:sz w:val="24"/>
          <w:szCs w:val="24"/>
          <w:highlight w:val="none"/>
        </w:rPr>
        <w:t>.1由招标人供应的材料</w:t>
      </w:r>
      <w:bookmarkStart w:id="14" w:name="_Toc417761709"/>
      <w:r>
        <w:rPr>
          <w:rFonts w:hint="eastAsia" w:ascii="宋体" w:hAnsi="宋体"/>
          <w:sz w:val="24"/>
          <w:szCs w:val="24"/>
          <w:highlight w:val="none"/>
          <w:lang w:eastAsia="zh-CN"/>
        </w:rPr>
        <w:t>，</w:t>
      </w:r>
      <w:bookmarkEnd w:id="14"/>
    </w:p>
    <w:tbl>
      <w:tblPr>
        <w:tblStyle w:val="29"/>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3275"/>
        <w:gridCol w:w="1970"/>
        <w:gridCol w:w="1090"/>
        <w:gridCol w:w="765"/>
        <w:gridCol w:w="1545"/>
      </w:tblGrid>
      <w:tr w14:paraId="0112D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715" w:type="dxa"/>
            <w:shd w:val="clear" w:color="auto" w:fill="auto"/>
            <w:noWrap w:val="0"/>
            <w:vAlign w:val="center"/>
          </w:tcPr>
          <w:p w14:paraId="14657478">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序号</w:t>
            </w:r>
          </w:p>
        </w:tc>
        <w:tc>
          <w:tcPr>
            <w:tcW w:w="3275" w:type="dxa"/>
            <w:shd w:val="clear" w:color="auto" w:fill="auto"/>
            <w:noWrap w:val="0"/>
            <w:vAlign w:val="center"/>
          </w:tcPr>
          <w:p w14:paraId="5E9A3C30">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名称</w:t>
            </w:r>
          </w:p>
        </w:tc>
        <w:tc>
          <w:tcPr>
            <w:tcW w:w="1970" w:type="dxa"/>
            <w:shd w:val="clear" w:color="auto" w:fill="auto"/>
            <w:noWrap w:val="0"/>
            <w:vAlign w:val="center"/>
          </w:tcPr>
          <w:p w14:paraId="338C1AFD">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规格型号</w:t>
            </w:r>
          </w:p>
        </w:tc>
        <w:tc>
          <w:tcPr>
            <w:tcW w:w="1090" w:type="dxa"/>
            <w:shd w:val="clear" w:color="auto" w:fill="auto"/>
            <w:noWrap w:val="0"/>
            <w:vAlign w:val="center"/>
          </w:tcPr>
          <w:p w14:paraId="6640BF05">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数量</w:t>
            </w:r>
          </w:p>
        </w:tc>
        <w:tc>
          <w:tcPr>
            <w:tcW w:w="765" w:type="dxa"/>
            <w:shd w:val="clear" w:color="auto" w:fill="auto"/>
            <w:noWrap w:val="0"/>
            <w:vAlign w:val="center"/>
          </w:tcPr>
          <w:p w14:paraId="04817823">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单位</w:t>
            </w:r>
          </w:p>
        </w:tc>
        <w:tc>
          <w:tcPr>
            <w:tcW w:w="1545" w:type="dxa"/>
            <w:shd w:val="clear" w:color="auto" w:fill="auto"/>
            <w:noWrap w:val="0"/>
            <w:vAlign w:val="center"/>
          </w:tcPr>
          <w:p w14:paraId="0CB892F8">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供应方</w:t>
            </w:r>
          </w:p>
        </w:tc>
      </w:tr>
      <w:tr w14:paraId="4655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15" w:type="dxa"/>
            <w:shd w:val="clear" w:color="auto" w:fill="auto"/>
            <w:noWrap w:val="0"/>
            <w:vAlign w:val="center"/>
          </w:tcPr>
          <w:p w14:paraId="41480C79">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3275" w:type="dxa"/>
            <w:shd w:val="clear" w:color="auto" w:fill="auto"/>
            <w:noWrap w:val="0"/>
            <w:vAlign w:val="center"/>
          </w:tcPr>
          <w:p w14:paraId="116FCD83">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耐磨铸铁板（直流道）</w:t>
            </w:r>
          </w:p>
        </w:tc>
        <w:tc>
          <w:tcPr>
            <w:tcW w:w="1970" w:type="dxa"/>
            <w:shd w:val="clear" w:color="auto" w:fill="auto"/>
            <w:noWrap w:val="0"/>
            <w:vAlign w:val="center"/>
          </w:tcPr>
          <w:p w14:paraId="2348E9B6">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详见附图</w:t>
            </w:r>
          </w:p>
        </w:tc>
        <w:tc>
          <w:tcPr>
            <w:tcW w:w="1090" w:type="dxa"/>
            <w:shd w:val="clear" w:color="auto" w:fill="auto"/>
            <w:noWrap w:val="0"/>
            <w:vAlign w:val="center"/>
          </w:tcPr>
          <w:p w14:paraId="1B0DDC41">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24</w:t>
            </w:r>
          </w:p>
        </w:tc>
        <w:tc>
          <w:tcPr>
            <w:tcW w:w="765" w:type="dxa"/>
            <w:shd w:val="clear" w:color="auto" w:fill="auto"/>
            <w:noWrap w:val="0"/>
            <w:vAlign w:val="center"/>
          </w:tcPr>
          <w:p w14:paraId="7171723E">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块</w:t>
            </w:r>
          </w:p>
        </w:tc>
        <w:tc>
          <w:tcPr>
            <w:tcW w:w="1545" w:type="dxa"/>
            <w:shd w:val="clear" w:color="auto" w:fill="auto"/>
            <w:noWrap w:val="0"/>
            <w:vAlign w:val="center"/>
          </w:tcPr>
          <w:p w14:paraId="38E0B6AD">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招标人</w:t>
            </w:r>
          </w:p>
        </w:tc>
      </w:tr>
      <w:tr w14:paraId="76B25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715" w:type="dxa"/>
            <w:shd w:val="clear" w:color="auto" w:fill="auto"/>
            <w:noWrap w:val="0"/>
            <w:vAlign w:val="center"/>
          </w:tcPr>
          <w:p w14:paraId="64A21A65">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3275" w:type="dxa"/>
            <w:shd w:val="clear" w:color="auto" w:fill="auto"/>
            <w:noWrap w:val="0"/>
            <w:vAlign w:val="center"/>
          </w:tcPr>
          <w:p w14:paraId="62AA262E">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耐磨铸铁板（弯流道）</w:t>
            </w:r>
          </w:p>
        </w:tc>
        <w:tc>
          <w:tcPr>
            <w:tcW w:w="1970" w:type="dxa"/>
            <w:shd w:val="clear" w:color="auto" w:fill="auto"/>
            <w:noWrap w:val="0"/>
            <w:vAlign w:val="center"/>
          </w:tcPr>
          <w:p w14:paraId="3BB80729">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详见附图</w:t>
            </w:r>
          </w:p>
        </w:tc>
        <w:tc>
          <w:tcPr>
            <w:tcW w:w="1090" w:type="dxa"/>
            <w:shd w:val="clear" w:color="auto" w:fill="auto"/>
            <w:noWrap w:val="0"/>
            <w:vAlign w:val="center"/>
          </w:tcPr>
          <w:p w14:paraId="2EFA1DFF">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36</w:t>
            </w:r>
          </w:p>
        </w:tc>
        <w:tc>
          <w:tcPr>
            <w:tcW w:w="765" w:type="dxa"/>
            <w:shd w:val="clear" w:color="auto" w:fill="auto"/>
            <w:noWrap w:val="0"/>
            <w:vAlign w:val="center"/>
          </w:tcPr>
          <w:p w14:paraId="3F71941B">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块</w:t>
            </w:r>
          </w:p>
        </w:tc>
        <w:tc>
          <w:tcPr>
            <w:tcW w:w="1545" w:type="dxa"/>
            <w:shd w:val="clear" w:color="auto" w:fill="auto"/>
            <w:noWrap w:val="0"/>
            <w:vAlign w:val="center"/>
          </w:tcPr>
          <w:p w14:paraId="75364556">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招标人</w:t>
            </w:r>
          </w:p>
        </w:tc>
      </w:tr>
      <w:tr w14:paraId="57A35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15" w:type="dxa"/>
            <w:shd w:val="clear" w:color="auto" w:fill="auto"/>
            <w:noWrap w:val="0"/>
            <w:vAlign w:val="center"/>
          </w:tcPr>
          <w:p w14:paraId="15A455A1">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3275" w:type="dxa"/>
            <w:shd w:val="clear" w:color="auto" w:fill="auto"/>
            <w:noWrap w:val="0"/>
            <w:vAlign w:val="center"/>
          </w:tcPr>
          <w:p w14:paraId="6D96CE79">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灰水喷头</w:t>
            </w:r>
          </w:p>
        </w:tc>
        <w:tc>
          <w:tcPr>
            <w:tcW w:w="1970" w:type="dxa"/>
            <w:shd w:val="clear" w:color="auto" w:fill="auto"/>
            <w:noWrap w:val="0"/>
            <w:vAlign w:val="center"/>
          </w:tcPr>
          <w:p w14:paraId="6BC061DA">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DN20</w:t>
            </w:r>
          </w:p>
        </w:tc>
        <w:tc>
          <w:tcPr>
            <w:tcW w:w="1090" w:type="dxa"/>
            <w:shd w:val="clear" w:color="auto" w:fill="auto"/>
            <w:noWrap w:val="0"/>
            <w:vAlign w:val="center"/>
          </w:tcPr>
          <w:p w14:paraId="00C3470D">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6</w:t>
            </w:r>
          </w:p>
        </w:tc>
        <w:tc>
          <w:tcPr>
            <w:tcW w:w="765" w:type="dxa"/>
            <w:shd w:val="clear" w:color="auto" w:fill="auto"/>
            <w:noWrap w:val="0"/>
            <w:vAlign w:val="center"/>
          </w:tcPr>
          <w:p w14:paraId="5936A7F5">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个</w:t>
            </w:r>
          </w:p>
        </w:tc>
        <w:tc>
          <w:tcPr>
            <w:tcW w:w="1545" w:type="dxa"/>
            <w:shd w:val="clear" w:color="auto" w:fill="auto"/>
            <w:noWrap w:val="0"/>
            <w:vAlign w:val="center"/>
          </w:tcPr>
          <w:p w14:paraId="3CBA47DD">
            <w:pPr>
              <w:keepNext w:val="0"/>
              <w:keepLines w:val="0"/>
              <w:suppressLineNumbers w:val="0"/>
              <w:spacing w:before="0" w:beforeAutospacing="0" w:after="0" w:afterAutospacing="0" w:line="276" w:lineRule="auto"/>
              <w:ind w:left="0" w:right="0"/>
              <w:jc w:val="center"/>
              <w:rPr>
                <w:rFonts w:hint="eastAsia" w:ascii="宋体" w:hAnsi="宋体" w:eastAsia="宋体" w:cs="宋体"/>
                <w:sz w:val="24"/>
                <w:szCs w:val="24"/>
              </w:rPr>
            </w:pPr>
            <w:r>
              <w:rPr>
                <w:rFonts w:hint="eastAsia" w:ascii="宋体" w:hAnsi="宋体" w:eastAsia="宋体" w:cs="宋体"/>
                <w:kern w:val="0"/>
                <w:sz w:val="24"/>
                <w:szCs w:val="24"/>
              </w:rPr>
              <w:t>招标人</w:t>
            </w:r>
          </w:p>
        </w:tc>
      </w:tr>
      <w:tr w14:paraId="78C8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15" w:type="dxa"/>
            <w:shd w:val="clear" w:color="auto" w:fill="auto"/>
            <w:noWrap w:val="0"/>
            <w:vAlign w:val="center"/>
          </w:tcPr>
          <w:p w14:paraId="7ECBDAF2">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3275" w:type="dxa"/>
            <w:shd w:val="clear" w:color="auto" w:fill="auto"/>
            <w:noWrap w:val="0"/>
            <w:vAlign w:val="center"/>
          </w:tcPr>
          <w:p w14:paraId="3DE547AC">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无缝钢管</w:t>
            </w:r>
          </w:p>
        </w:tc>
        <w:tc>
          <w:tcPr>
            <w:tcW w:w="1970" w:type="dxa"/>
            <w:shd w:val="clear" w:color="auto" w:fill="auto"/>
            <w:noWrap w:val="0"/>
            <w:vAlign w:val="center"/>
          </w:tcPr>
          <w:p w14:paraId="2175B8B6">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DN65</w:t>
            </w:r>
          </w:p>
        </w:tc>
        <w:tc>
          <w:tcPr>
            <w:tcW w:w="1090" w:type="dxa"/>
            <w:shd w:val="clear" w:color="auto" w:fill="auto"/>
            <w:noWrap w:val="0"/>
            <w:vAlign w:val="center"/>
          </w:tcPr>
          <w:p w14:paraId="62294C44">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8</w:t>
            </w:r>
          </w:p>
        </w:tc>
        <w:tc>
          <w:tcPr>
            <w:tcW w:w="765" w:type="dxa"/>
            <w:shd w:val="clear" w:color="auto" w:fill="auto"/>
            <w:noWrap w:val="0"/>
            <w:vAlign w:val="center"/>
          </w:tcPr>
          <w:p w14:paraId="7977F756">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米</w:t>
            </w:r>
          </w:p>
        </w:tc>
        <w:tc>
          <w:tcPr>
            <w:tcW w:w="1545" w:type="dxa"/>
            <w:shd w:val="clear" w:color="auto" w:fill="auto"/>
            <w:noWrap w:val="0"/>
            <w:vAlign w:val="center"/>
          </w:tcPr>
          <w:p w14:paraId="5F33B716">
            <w:pPr>
              <w:keepNext w:val="0"/>
              <w:keepLines w:val="0"/>
              <w:suppressLineNumbers w:val="0"/>
              <w:spacing w:before="0" w:beforeAutospacing="0" w:after="0" w:afterAutospacing="0" w:line="276" w:lineRule="auto"/>
              <w:ind w:left="0" w:right="0"/>
              <w:jc w:val="center"/>
              <w:rPr>
                <w:rFonts w:hint="eastAsia" w:ascii="宋体" w:hAnsi="宋体" w:eastAsia="宋体" w:cs="宋体"/>
                <w:sz w:val="24"/>
                <w:szCs w:val="24"/>
              </w:rPr>
            </w:pPr>
            <w:r>
              <w:rPr>
                <w:rFonts w:hint="eastAsia" w:ascii="宋体" w:hAnsi="宋体" w:eastAsia="宋体" w:cs="宋体"/>
                <w:kern w:val="0"/>
                <w:sz w:val="24"/>
                <w:szCs w:val="24"/>
              </w:rPr>
              <w:t>招标人</w:t>
            </w:r>
          </w:p>
        </w:tc>
      </w:tr>
      <w:tr w14:paraId="7B48C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15" w:type="dxa"/>
            <w:shd w:val="clear" w:color="auto" w:fill="auto"/>
            <w:noWrap w:val="0"/>
            <w:vAlign w:val="center"/>
          </w:tcPr>
          <w:p w14:paraId="42E27BD1">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5</w:t>
            </w:r>
          </w:p>
        </w:tc>
        <w:tc>
          <w:tcPr>
            <w:tcW w:w="3275" w:type="dxa"/>
            <w:shd w:val="clear" w:color="auto" w:fill="auto"/>
            <w:noWrap w:val="0"/>
            <w:vAlign w:val="center"/>
          </w:tcPr>
          <w:p w14:paraId="3725543E">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异径弯头</w:t>
            </w:r>
          </w:p>
        </w:tc>
        <w:tc>
          <w:tcPr>
            <w:tcW w:w="1970" w:type="dxa"/>
            <w:shd w:val="clear" w:color="auto" w:fill="auto"/>
            <w:noWrap w:val="0"/>
            <w:vAlign w:val="center"/>
          </w:tcPr>
          <w:p w14:paraId="51CCEBBF">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DN100/DN65</w:t>
            </w:r>
          </w:p>
        </w:tc>
        <w:tc>
          <w:tcPr>
            <w:tcW w:w="1090" w:type="dxa"/>
            <w:shd w:val="clear" w:color="auto" w:fill="auto"/>
            <w:noWrap w:val="0"/>
            <w:vAlign w:val="center"/>
          </w:tcPr>
          <w:p w14:paraId="649DCCA2">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6</w:t>
            </w:r>
          </w:p>
        </w:tc>
        <w:tc>
          <w:tcPr>
            <w:tcW w:w="765" w:type="dxa"/>
            <w:shd w:val="clear" w:color="auto" w:fill="auto"/>
            <w:noWrap w:val="0"/>
            <w:vAlign w:val="center"/>
          </w:tcPr>
          <w:p w14:paraId="3A47B738">
            <w:pPr>
              <w:keepNext w:val="0"/>
              <w:keepLines w:val="0"/>
              <w:suppressLineNumbers w:val="0"/>
              <w:adjustRightInd w:val="0"/>
              <w:spacing w:before="0" w:beforeAutospacing="0" w:after="0" w:afterAutospacing="0" w:line="276" w:lineRule="auto"/>
              <w:ind w:left="0" w:right="0"/>
              <w:jc w:val="center"/>
              <w:textAlignment w:val="baseline"/>
              <w:rPr>
                <w:rFonts w:hint="eastAsia" w:ascii="宋体" w:hAnsi="宋体" w:eastAsia="宋体" w:cs="宋体"/>
                <w:kern w:val="0"/>
                <w:sz w:val="24"/>
                <w:szCs w:val="24"/>
              </w:rPr>
            </w:pPr>
            <w:r>
              <w:rPr>
                <w:rFonts w:hint="eastAsia" w:ascii="宋体" w:hAnsi="宋体" w:eastAsia="宋体" w:cs="宋体"/>
                <w:kern w:val="0"/>
                <w:sz w:val="24"/>
                <w:szCs w:val="24"/>
              </w:rPr>
              <w:t>个</w:t>
            </w:r>
          </w:p>
        </w:tc>
        <w:tc>
          <w:tcPr>
            <w:tcW w:w="1545" w:type="dxa"/>
            <w:shd w:val="clear" w:color="auto" w:fill="auto"/>
            <w:noWrap w:val="0"/>
            <w:vAlign w:val="center"/>
          </w:tcPr>
          <w:p w14:paraId="648562BA">
            <w:pPr>
              <w:keepNext w:val="0"/>
              <w:keepLines w:val="0"/>
              <w:suppressLineNumbers w:val="0"/>
              <w:spacing w:before="0" w:beforeAutospacing="0" w:after="0" w:afterAutospacing="0" w:line="276" w:lineRule="auto"/>
              <w:ind w:left="0" w:right="0"/>
              <w:jc w:val="center"/>
              <w:rPr>
                <w:rFonts w:hint="eastAsia" w:ascii="宋体" w:hAnsi="宋体" w:eastAsia="宋体" w:cs="宋体"/>
                <w:sz w:val="24"/>
                <w:szCs w:val="24"/>
              </w:rPr>
            </w:pPr>
            <w:r>
              <w:rPr>
                <w:rFonts w:hint="eastAsia" w:ascii="宋体" w:hAnsi="宋体" w:eastAsia="宋体" w:cs="宋体"/>
                <w:kern w:val="0"/>
                <w:sz w:val="24"/>
                <w:szCs w:val="24"/>
              </w:rPr>
              <w:t>招标人</w:t>
            </w:r>
          </w:p>
        </w:tc>
      </w:tr>
    </w:tbl>
    <w:p w14:paraId="058D643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ascii="宋体" w:hAnsi="宋体"/>
          <w:sz w:val="24"/>
          <w:szCs w:val="24"/>
          <w:highlight w:val="none"/>
        </w:rPr>
      </w:pPr>
    </w:p>
    <w:p w14:paraId="32274D8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5.6.1.2 由投标人提供的物资及工器具</w:t>
      </w:r>
    </w:p>
    <w:p w14:paraId="7B8E53C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5.6.1.2.1 除5.6.1.1中的物资之外，所有施工所用的电动葫芦、钢丝绳、水泥、沙子、焊条、钢板、角钢、铁锹等所需的一切物资均由投标人提供。</w:t>
      </w:r>
    </w:p>
    <w:p w14:paraId="4E16FC1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sz w:val="24"/>
          <w:szCs w:val="24"/>
          <w:highlight w:val="none"/>
          <w:lang w:val="en-US" w:eastAsia="zh-CN"/>
        </w:rPr>
        <w:t>5.6.1.2.2 投标人人员的食宿等生活问题由投标人自己解决。</w:t>
      </w:r>
    </w:p>
    <w:p w14:paraId="37ABB55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 xml:space="preserve">5.6.2 </w:t>
      </w:r>
      <w:r>
        <w:rPr>
          <w:rFonts w:hint="eastAsia" w:ascii="宋体" w:hAnsi="宋体" w:eastAsia="宋体" w:cs="宋体"/>
          <w:sz w:val="24"/>
          <w:szCs w:val="24"/>
          <w:highlight w:val="none"/>
        </w:rPr>
        <w:t>施工要求</w:t>
      </w:r>
    </w:p>
    <w:p w14:paraId="105FEDF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 xml:space="preserve">5.6.2.1 </w:t>
      </w:r>
      <w:r>
        <w:rPr>
          <w:rFonts w:hint="eastAsia" w:ascii="宋体" w:hAnsi="宋体" w:eastAsia="宋体" w:cs="宋体"/>
          <w:sz w:val="24"/>
          <w:szCs w:val="24"/>
          <w:highlight w:val="none"/>
        </w:rPr>
        <w:t>负责检修区域内的卫生保洁清扫，对施工产生的废料和垃圾进行处理，其中报废的备件类物资返回招标人的物资库，其它垃圾由投标人负责运送到</w:t>
      </w:r>
      <w:r>
        <w:rPr>
          <w:rFonts w:hint="eastAsia" w:ascii="宋体" w:hAnsi="宋体" w:cs="宋体"/>
          <w:sz w:val="24"/>
          <w:szCs w:val="24"/>
          <w:highlight w:val="none"/>
          <w:lang w:val="en-US" w:eastAsia="zh-CN"/>
        </w:rPr>
        <w:t>招标方</w:t>
      </w:r>
      <w:r>
        <w:rPr>
          <w:rFonts w:hint="eastAsia" w:ascii="宋体" w:hAnsi="宋体" w:eastAsia="宋体" w:cs="宋体"/>
          <w:sz w:val="24"/>
          <w:szCs w:val="24"/>
          <w:highlight w:val="none"/>
        </w:rPr>
        <w:t>指定的垃圾场。</w:t>
      </w:r>
    </w:p>
    <w:p w14:paraId="2849F3D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 xml:space="preserve">5.6.2.2 </w:t>
      </w:r>
      <w:r>
        <w:rPr>
          <w:rFonts w:hint="eastAsia" w:ascii="宋体" w:hAnsi="宋体" w:eastAsia="宋体" w:cs="宋体"/>
          <w:sz w:val="24"/>
          <w:szCs w:val="24"/>
          <w:highlight w:val="none"/>
        </w:rPr>
        <w:t>配合完成检修中和检修结束后需进行的各种试验和调试。</w:t>
      </w:r>
    </w:p>
    <w:p w14:paraId="4FE8F8B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 xml:space="preserve">5.6.2.3 </w:t>
      </w:r>
      <w:r>
        <w:rPr>
          <w:rFonts w:hint="eastAsia" w:ascii="宋体" w:hAnsi="宋体" w:eastAsia="宋体" w:cs="宋体"/>
          <w:sz w:val="24"/>
          <w:szCs w:val="24"/>
          <w:highlight w:val="none"/>
        </w:rPr>
        <w:t>投标人针对上述项目检修的所有技术资料、检修记录在竣工验收后应移交招标人。</w:t>
      </w:r>
    </w:p>
    <w:p w14:paraId="07D018B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 xml:space="preserve">5.6.2.4 </w:t>
      </w:r>
      <w:r>
        <w:rPr>
          <w:rFonts w:hint="eastAsia" w:ascii="宋体" w:hAnsi="宋体" w:eastAsia="宋体" w:cs="宋体"/>
          <w:sz w:val="24"/>
          <w:szCs w:val="24"/>
          <w:highlight w:val="none"/>
        </w:rPr>
        <w:t>无明确注明要求和未提到的任何细节，或在涉及技术要求的叙述中没有特殊规定的，都应被认为指的是采用国家颁布的有关规范、标准。</w:t>
      </w:r>
    </w:p>
    <w:p w14:paraId="5CD181D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highlight w:val="none"/>
        </w:rPr>
      </w:pPr>
      <w:r>
        <w:rPr>
          <w:rFonts w:hint="eastAsia" w:ascii="宋体" w:hAnsi="宋体" w:cs="宋体"/>
          <w:sz w:val="24"/>
          <w:szCs w:val="24"/>
          <w:highlight w:val="none"/>
          <w:lang w:val="en-US" w:eastAsia="zh-CN"/>
        </w:rPr>
        <w:t xml:space="preserve">5.6.2.5 </w:t>
      </w:r>
      <w:r>
        <w:rPr>
          <w:rFonts w:hint="eastAsia" w:ascii="宋体" w:hAnsi="宋体" w:eastAsia="宋体" w:cs="Times New Roman"/>
          <w:sz w:val="24"/>
          <w:szCs w:val="24"/>
          <w:highlight w:val="none"/>
        </w:rPr>
        <w:t>焊接时必须保证焊缝和熔合性，保证焊道质量</w:t>
      </w:r>
      <w:r>
        <w:rPr>
          <w:rFonts w:hint="eastAsia" w:ascii="宋体" w:hAnsi="宋体" w:eastAsia="宋体" w:cs="Times New Roman"/>
          <w:sz w:val="24"/>
          <w:szCs w:val="24"/>
          <w:highlight w:val="none"/>
          <w:lang w:val="zh-CN"/>
        </w:rPr>
        <w:t xml:space="preserve">。 </w:t>
      </w:r>
    </w:p>
    <w:p w14:paraId="2FBD510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highlight w:val="none"/>
        </w:rPr>
      </w:pPr>
      <w:r>
        <w:rPr>
          <w:rFonts w:hint="eastAsia" w:ascii="宋体" w:hAnsi="宋体" w:cs="宋体"/>
          <w:sz w:val="24"/>
          <w:szCs w:val="24"/>
          <w:highlight w:val="none"/>
          <w:lang w:val="en-US" w:eastAsia="zh-CN"/>
        </w:rPr>
        <w:t>5.6.2.6 焊接</w:t>
      </w:r>
      <w:r>
        <w:rPr>
          <w:rFonts w:hint="eastAsia" w:ascii="宋体" w:hAnsi="宋体" w:eastAsia="宋体" w:cs="Times New Roman"/>
          <w:sz w:val="24"/>
          <w:szCs w:val="24"/>
          <w:highlight w:val="none"/>
        </w:rPr>
        <w:t>层厚度均匀一致，外观平整，成形良好。</w:t>
      </w:r>
    </w:p>
    <w:p w14:paraId="1FB7D58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highlight w:val="none"/>
        </w:rPr>
      </w:pPr>
      <w:r>
        <w:rPr>
          <w:rFonts w:hint="eastAsia" w:ascii="宋体" w:hAnsi="宋体" w:cs="宋体"/>
          <w:sz w:val="24"/>
          <w:szCs w:val="24"/>
          <w:highlight w:val="none"/>
          <w:lang w:val="en-US" w:eastAsia="zh-CN"/>
        </w:rPr>
        <w:t>5.6.2.7</w:t>
      </w:r>
      <w:r>
        <w:rPr>
          <w:rFonts w:hint="eastAsia" w:ascii="宋体" w:hAnsi="宋体" w:eastAsia="宋体" w:cs="Times New Roman"/>
          <w:sz w:val="24"/>
          <w:szCs w:val="24"/>
          <w:highlight w:val="none"/>
        </w:rPr>
        <w:t xml:space="preserve"> 投标方施工过程，必须将剩余焊丝头、检修垃圾清除出炉，不得将焊丝头、检修垃圾留在</w:t>
      </w:r>
      <w:r>
        <w:rPr>
          <w:rFonts w:hint="eastAsia" w:ascii="宋体" w:hAnsi="宋体" w:cs="Times New Roman"/>
          <w:sz w:val="24"/>
          <w:szCs w:val="24"/>
          <w:highlight w:val="none"/>
          <w:lang w:val="en-US" w:eastAsia="zh-CN"/>
        </w:rPr>
        <w:t>坑内</w:t>
      </w:r>
      <w:r>
        <w:rPr>
          <w:rFonts w:hint="eastAsia" w:ascii="宋体" w:hAnsi="宋体" w:eastAsia="宋体" w:cs="Times New Roman"/>
          <w:sz w:val="24"/>
          <w:szCs w:val="24"/>
          <w:highlight w:val="none"/>
        </w:rPr>
        <w:t>，否则造成灰锁上下阀堵塞卡死所产生的检修费用，由投标方负责。</w:t>
      </w:r>
    </w:p>
    <w:p w14:paraId="3F3C9F3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宋体"/>
          <w:sz w:val="24"/>
          <w:szCs w:val="24"/>
          <w:highlight w:val="none"/>
          <w:lang w:val="en-US" w:eastAsia="zh-CN"/>
        </w:rPr>
        <w:t xml:space="preserve">5.6.2.8 </w:t>
      </w:r>
      <w:r>
        <w:rPr>
          <w:rFonts w:hint="eastAsia" w:ascii="宋体" w:hAnsi="宋体" w:eastAsia="宋体" w:cs="Times New Roman"/>
          <w:sz w:val="24"/>
          <w:szCs w:val="24"/>
          <w:highlight w:val="none"/>
        </w:rPr>
        <w:t>投标方应对本技术规范书提出的技术</w:t>
      </w:r>
      <w:r>
        <w:rPr>
          <w:rFonts w:hint="eastAsia" w:ascii="宋体" w:hAnsi="宋体" w:eastAsia="宋体" w:cs="Times New Roman"/>
          <w:sz w:val="24"/>
          <w:szCs w:val="24"/>
        </w:rPr>
        <w:t>要求逐条进行响应，对技术规范书的偏差必须反应在差异表中。</w:t>
      </w:r>
    </w:p>
    <w:p w14:paraId="36D7C0FB">
      <w:pPr>
        <w:pStyle w:val="2"/>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rPr>
      </w:pPr>
      <w:bookmarkStart w:id="15" w:name="_Toc11036"/>
      <w:r>
        <w:rPr>
          <w:rFonts w:hint="eastAsia"/>
          <w:sz w:val="28"/>
          <w:szCs w:val="13"/>
          <w:lang w:val="en-US" w:eastAsia="zh-CN"/>
        </w:rPr>
        <w:t>6 投标方应达到的目标</w:t>
      </w:r>
      <w:bookmarkEnd w:id="15"/>
    </w:p>
    <w:p w14:paraId="6E73504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6.1安全性指标</w:t>
      </w:r>
    </w:p>
    <w:p w14:paraId="6FCFA23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（1）不发生本项目部员工轻伤以上、急性中毒等各类人身事故。</w:t>
      </w:r>
    </w:p>
    <w:p w14:paraId="21D39E4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（2）不发生外包人员轻伤以上、急性中毒等各类人身事故。</w:t>
      </w:r>
    </w:p>
    <w:p w14:paraId="5C65CD1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（3）不发生负主责以上有人员受伤构成的交通事故。</w:t>
      </w:r>
    </w:p>
    <w:p w14:paraId="159E8ED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（4）不发生本项目部责任造成的火险事件。</w:t>
      </w:r>
    </w:p>
    <w:p w14:paraId="2B22DB2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（5）设备考核障碍及可靠性指标控制在以下范围（指非人为原因造成）：不发生考核障碍、一类障碍、二类障碍。</w:t>
      </w:r>
    </w:p>
    <w:p w14:paraId="2A5153E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（6）不发生误操作事件。</w:t>
      </w:r>
    </w:p>
    <w:p w14:paraId="7F18491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6.2 环保指标：</w:t>
      </w:r>
    </w:p>
    <w:p w14:paraId="64FD351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（1）不发生一般以上环境污染事件。</w:t>
      </w:r>
    </w:p>
    <w:p w14:paraId="6063255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（2）不发生本项目部责任造成的“三废”排放超标事件。</w:t>
      </w:r>
    </w:p>
    <w:p w14:paraId="0C0428C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（3）不发生本项目部责任造成的危废处置不合规、不合法事件。</w:t>
      </w:r>
    </w:p>
    <w:p w14:paraId="4FB9B70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（4）不发生本项目部责任造成的公司被上级单位、政府部门通报批评或罚款的环保事件。</w:t>
      </w:r>
    </w:p>
    <w:p w14:paraId="7A2EE3F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6.3不发生造成后果的危险化学品泄漏事件。</w:t>
      </w:r>
    </w:p>
    <w:p w14:paraId="03A80DB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6.4 职业卫生：</w:t>
      </w:r>
    </w:p>
    <w:p w14:paraId="03E9266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（1）不发生新增职业病病例。</w:t>
      </w:r>
    </w:p>
    <w:p w14:paraId="53D9B44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（2）职业病危害年度体检率100%。</w:t>
      </w:r>
    </w:p>
    <w:p w14:paraId="2D18672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6.5 不发生本项目部责任造成的公司被上级单位及政府部门下发的安全环保挂牌督办通知书、安全生产督（稽）查通知书要求整改的问题未及时整改的情况和上级单位及政府部门通报批评的事件。</w:t>
      </w:r>
    </w:p>
    <w:p w14:paraId="410D5EB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6.6 治安保卫：</w:t>
      </w:r>
    </w:p>
    <w:p w14:paraId="066FA43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（1）不发生本项目部责任造成的生产物资被盗抢案件。</w:t>
      </w:r>
    </w:p>
    <w:p w14:paraId="129F15B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（2）不发生危险物品（包括易制毒、放射品）被盗、丢失或被非法转让案件。</w:t>
      </w:r>
    </w:p>
    <w:p w14:paraId="7E77C3E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（3）公司区域内不发生有本项目部人员参与的群殴、群架事件。</w:t>
      </w:r>
    </w:p>
    <w:p w14:paraId="4E9CB7D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6.7 其他指标：</w:t>
      </w:r>
    </w:p>
    <w:p w14:paraId="3F1A6D8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（1）隐患整改率不低于95%。</w:t>
      </w:r>
    </w:p>
    <w:p w14:paraId="4495896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（2）不发生本项目部员工个人负主责的其他不安全事件。</w:t>
      </w:r>
    </w:p>
    <w:p w14:paraId="3B563F6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（3）员工三级安全培训率100%。</w:t>
      </w:r>
    </w:p>
    <w:p w14:paraId="5F6FCCD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 xml:space="preserve"> (4) 特种作业人员持证上岗率100%。</w:t>
      </w:r>
    </w:p>
    <w:p w14:paraId="161CBD7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6.8 经济性指标</w:t>
      </w:r>
    </w:p>
    <w:p w14:paraId="40872244">
      <w:pPr>
        <w:snapToGrid w:val="0"/>
        <w:spacing w:line="360" w:lineRule="auto"/>
        <w:ind w:firstLine="480" w:firstLineChars="200"/>
        <w:jc w:val="left"/>
        <w:rPr>
          <w:rStyle w:val="88"/>
          <w:rFonts w:ascii="宋体" w:hAnsi="宋体" w:cs="宋体"/>
          <w:bCs/>
        </w:rPr>
      </w:pPr>
      <w:r>
        <w:rPr>
          <w:rStyle w:val="88"/>
          <w:rFonts w:hint="eastAsia" w:ascii="宋体" w:hAnsi="宋体" w:cs="宋体"/>
          <w:bCs/>
        </w:rPr>
        <w:t>机组、设备达到铭牌出力；能耗、物耗达到招标方制定的当年计划指标。</w:t>
      </w:r>
    </w:p>
    <w:p w14:paraId="3FD9F6C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6.9 可靠性指标</w:t>
      </w:r>
    </w:p>
    <w:p w14:paraId="38915814">
      <w:pPr>
        <w:snapToGrid w:val="0"/>
        <w:spacing w:line="360" w:lineRule="auto"/>
        <w:ind w:firstLine="240" w:firstLineChars="100"/>
        <w:jc w:val="left"/>
        <w:rPr>
          <w:rStyle w:val="88"/>
          <w:rFonts w:ascii="宋体" w:hAnsi="宋体" w:cs="宋体"/>
          <w:bCs/>
        </w:rPr>
      </w:pPr>
      <w:r>
        <w:rPr>
          <w:rStyle w:val="88"/>
          <w:rFonts w:hint="eastAsia" w:ascii="宋体" w:hAnsi="宋体" w:cs="宋体"/>
          <w:bCs/>
        </w:rPr>
        <w:t>（1）非计划停运次数投标方责任0次/每年。</w:t>
      </w:r>
    </w:p>
    <w:p w14:paraId="3364F11A">
      <w:pPr>
        <w:snapToGrid w:val="0"/>
        <w:spacing w:line="360" w:lineRule="auto"/>
        <w:ind w:firstLine="240" w:firstLineChars="100"/>
        <w:jc w:val="left"/>
        <w:rPr>
          <w:rStyle w:val="88"/>
          <w:rFonts w:ascii="宋体" w:hAnsi="宋体" w:cs="宋体"/>
          <w:bCs/>
        </w:rPr>
      </w:pPr>
      <w:r>
        <w:rPr>
          <w:rStyle w:val="88"/>
          <w:rFonts w:hint="eastAsia" w:ascii="宋体" w:hAnsi="宋体" w:cs="宋体"/>
          <w:bCs/>
        </w:rPr>
        <w:t>（2）不发生考核障碍、一类障碍和二类障碍。</w:t>
      </w:r>
    </w:p>
    <w:p w14:paraId="3058AF0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6.10 环保指标</w:t>
      </w:r>
    </w:p>
    <w:p w14:paraId="22B6CCCC">
      <w:pPr>
        <w:snapToGrid w:val="0"/>
        <w:spacing w:line="360" w:lineRule="auto"/>
        <w:ind w:firstLine="480" w:firstLineChars="200"/>
        <w:jc w:val="left"/>
        <w:rPr>
          <w:rStyle w:val="88"/>
          <w:rFonts w:ascii="宋体" w:hAnsi="宋体" w:cs="宋体"/>
          <w:bCs/>
        </w:rPr>
      </w:pPr>
      <w:r>
        <w:rPr>
          <w:rStyle w:val="88"/>
          <w:rFonts w:hint="eastAsia" w:ascii="宋体" w:hAnsi="宋体" w:cs="宋体"/>
          <w:bCs/>
        </w:rPr>
        <w:t>现场作业过程要符合国家有关环保管理标准、技术规范及公司环保管理制度。</w:t>
      </w:r>
    </w:p>
    <w:p w14:paraId="428D881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6.11 生产管理目标:</w:t>
      </w:r>
    </w:p>
    <w:p w14:paraId="61CFDE38">
      <w:pPr>
        <w:snapToGrid w:val="0"/>
        <w:spacing w:line="360" w:lineRule="auto"/>
        <w:ind w:firstLine="240" w:firstLineChars="100"/>
        <w:jc w:val="left"/>
        <w:rPr>
          <w:rStyle w:val="88"/>
          <w:rFonts w:ascii="宋体" w:hAnsi="宋体" w:cs="宋体"/>
          <w:bCs/>
        </w:rPr>
      </w:pPr>
      <w:r>
        <w:rPr>
          <w:rStyle w:val="88"/>
          <w:rFonts w:hint="eastAsia" w:ascii="宋体" w:hAnsi="宋体" w:cs="宋体"/>
          <w:bCs/>
        </w:rPr>
        <w:t>（1）机组、设备要达到一流煤化工企业管理水平，设备管理达到无渗漏标准。</w:t>
      </w:r>
    </w:p>
    <w:p w14:paraId="7DE587A5">
      <w:pPr>
        <w:snapToGrid w:val="0"/>
        <w:spacing w:line="360" w:lineRule="auto"/>
        <w:ind w:firstLine="240" w:firstLineChars="100"/>
        <w:jc w:val="left"/>
        <w:rPr>
          <w:rStyle w:val="88"/>
          <w:rFonts w:ascii="宋体" w:hAnsi="宋体" w:cs="宋体"/>
          <w:bCs/>
        </w:rPr>
      </w:pPr>
      <w:r>
        <w:rPr>
          <w:rStyle w:val="88"/>
          <w:rFonts w:hint="eastAsia" w:ascii="宋体" w:hAnsi="宋体" w:cs="宋体"/>
          <w:bCs/>
        </w:rPr>
        <w:t>（2）设备大修后，连续运行时间在2</w:t>
      </w:r>
      <w:r>
        <w:rPr>
          <w:rStyle w:val="88"/>
          <w:rFonts w:ascii="宋体" w:hAnsi="宋体" w:cs="宋体"/>
          <w:bCs/>
        </w:rPr>
        <w:t>00</w:t>
      </w:r>
      <w:r>
        <w:rPr>
          <w:rStyle w:val="88"/>
          <w:rFonts w:hint="eastAsia" w:ascii="宋体" w:hAnsi="宋体" w:cs="宋体"/>
          <w:bCs/>
        </w:rPr>
        <w:t>天以上。</w:t>
      </w:r>
    </w:p>
    <w:p w14:paraId="19F5237A">
      <w:pPr>
        <w:snapToGrid w:val="0"/>
        <w:spacing w:line="360" w:lineRule="auto"/>
        <w:ind w:firstLine="240" w:firstLineChars="100"/>
        <w:jc w:val="left"/>
        <w:rPr>
          <w:rStyle w:val="88"/>
          <w:rFonts w:ascii="宋体" w:hAnsi="宋体" w:cs="宋体"/>
          <w:bCs/>
        </w:rPr>
      </w:pPr>
      <w:r>
        <w:rPr>
          <w:rStyle w:val="88"/>
          <w:rFonts w:hint="eastAsia" w:ascii="宋体" w:hAnsi="宋体" w:cs="宋体"/>
          <w:bCs/>
        </w:rPr>
        <w:t>（3）设备定修定检项目</w:t>
      </w:r>
      <w:r>
        <w:rPr>
          <w:rStyle w:val="88"/>
          <w:rFonts w:hint="eastAsia" w:ascii="宋体" w:hAnsi="宋体" w:cs="宋体"/>
          <w:bCs/>
          <w:lang w:val="en-US" w:eastAsia="zh-CN"/>
        </w:rPr>
        <w:t>完成</w:t>
      </w:r>
      <w:r>
        <w:rPr>
          <w:rStyle w:val="88"/>
          <w:rFonts w:hint="eastAsia" w:ascii="宋体" w:hAnsi="宋体" w:cs="宋体"/>
          <w:bCs/>
        </w:rPr>
        <w:t>率为</w:t>
      </w:r>
      <w:r>
        <w:rPr>
          <w:rStyle w:val="88"/>
          <w:rFonts w:hint="eastAsia" w:ascii="宋体" w:hAnsi="宋体" w:cs="宋体"/>
          <w:bCs/>
          <w:lang w:val="en-US" w:eastAsia="zh-CN"/>
        </w:rPr>
        <w:t>10</w:t>
      </w:r>
      <w:r>
        <w:rPr>
          <w:rStyle w:val="88"/>
          <w:rFonts w:hint="eastAsia" w:ascii="宋体" w:hAnsi="宋体" w:cs="宋体"/>
          <w:bCs/>
        </w:rPr>
        <w:t>0%。</w:t>
      </w:r>
    </w:p>
    <w:p w14:paraId="68055779">
      <w:pPr>
        <w:snapToGrid w:val="0"/>
        <w:spacing w:line="360" w:lineRule="auto"/>
        <w:ind w:firstLine="240" w:firstLineChars="100"/>
        <w:jc w:val="left"/>
        <w:rPr>
          <w:rStyle w:val="88"/>
          <w:rFonts w:ascii="宋体" w:hAnsi="宋体" w:cs="宋体"/>
          <w:bCs/>
        </w:rPr>
      </w:pPr>
      <w:r>
        <w:rPr>
          <w:rStyle w:val="88"/>
          <w:rFonts w:hint="eastAsia" w:ascii="宋体" w:hAnsi="宋体" w:cs="宋体"/>
          <w:bCs/>
        </w:rPr>
        <w:t>（4）完成招标方制定的相关生产指标。</w:t>
      </w:r>
    </w:p>
    <w:p w14:paraId="6DE4F677">
      <w:pPr>
        <w:keepNext w:val="0"/>
        <w:keepLines w:val="0"/>
        <w:pageBreakBefore w:val="0"/>
        <w:widowControl w:val="0"/>
        <w:kinsoku w:val="0"/>
        <w:wordWrap/>
        <w:overflowPunct/>
        <w:topLinePunct w:val="0"/>
        <w:autoSpaceDE/>
        <w:autoSpaceDN/>
        <w:bidi w:val="0"/>
        <w:adjustRightInd w:val="0"/>
        <w:snapToGrid/>
        <w:spacing w:line="360" w:lineRule="auto"/>
        <w:ind w:firstLine="240" w:firstLineChars="1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rPr>
        <w:t>（5）票证合格率100%</w:t>
      </w:r>
      <w:r>
        <w:rPr>
          <w:rFonts w:hint="eastAsia" w:ascii="宋体" w:hAnsi="宋体" w:cs="Times New Roman"/>
          <w:sz w:val="24"/>
          <w:szCs w:val="24"/>
          <w:lang w:eastAsia="zh-CN"/>
        </w:rPr>
        <w:t>。</w:t>
      </w:r>
    </w:p>
    <w:p w14:paraId="28FE7494">
      <w:pPr>
        <w:pStyle w:val="2"/>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rPr>
      </w:pPr>
      <w:bookmarkStart w:id="16" w:name="_Toc31724"/>
      <w:r>
        <w:rPr>
          <w:rFonts w:hint="eastAsia"/>
          <w:sz w:val="28"/>
          <w:szCs w:val="13"/>
          <w:lang w:val="en-US" w:eastAsia="zh-CN"/>
        </w:rPr>
        <w:t>7</w:t>
      </w:r>
      <w:r>
        <w:rPr>
          <w:rFonts w:hint="eastAsia"/>
          <w:sz w:val="28"/>
          <w:szCs w:val="13"/>
        </w:rPr>
        <w:t xml:space="preserve"> 资质</w:t>
      </w:r>
      <w:r>
        <w:rPr>
          <w:rFonts w:hint="eastAsia"/>
          <w:sz w:val="28"/>
          <w:szCs w:val="13"/>
          <w:lang w:val="en-US" w:eastAsia="zh-CN"/>
        </w:rPr>
        <w:t>条件</w:t>
      </w:r>
      <w:r>
        <w:rPr>
          <w:rFonts w:hint="eastAsia"/>
          <w:sz w:val="28"/>
          <w:szCs w:val="13"/>
        </w:rPr>
        <w:t>及人员要求</w:t>
      </w:r>
      <w:bookmarkEnd w:id="16"/>
    </w:p>
    <w:p w14:paraId="648D4A5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highlight w:val="none"/>
        </w:rPr>
      </w:pPr>
      <w:r>
        <w:rPr>
          <w:rFonts w:hint="eastAsia" w:ascii="宋体" w:hAnsi="宋体" w:cs="Times New Roman"/>
          <w:sz w:val="24"/>
          <w:szCs w:val="24"/>
          <w:highlight w:val="none"/>
          <w:lang w:val="en-US" w:eastAsia="zh-CN"/>
        </w:rPr>
        <w:t>7</w:t>
      </w:r>
      <w:r>
        <w:rPr>
          <w:rFonts w:hint="eastAsia" w:ascii="宋体" w:hAnsi="宋体" w:eastAsia="宋体" w:cs="Times New Roman"/>
          <w:sz w:val="24"/>
          <w:szCs w:val="24"/>
          <w:highlight w:val="none"/>
        </w:rPr>
        <w:t>.1</w:t>
      </w:r>
      <w:r>
        <w:rPr>
          <w:rFonts w:hint="eastAsia" w:ascii="宋体" w:hAnsi="宋体" w:cs="Times New Roman"/>
          <w:sz w:val="24"/>
          <w:szCs w:val="24"/>
          <w:highlight w:val="none"/>
          <w:lang w:val="en-US" w:eastAsia="zh-CN"/>
        </w:rPr>
        <w:t xml:space="preserve"> </w:t>
      </w:r>
      <w:r>
        <w:rPr>
          <w:rFonts w:hint="eastAsia" w:ascii="宋体" w:hAnsi="宋体" w:eastAsia="宋体" w:cs="Times New Roman"/>
          <w:sz w:val="24"/>
          <w:szCs w:val="24"/>
          <w:highlight w:val="none"/>
        </w:rPr>
        <w:t>投标方必须是在中华人民共和国境内依法注册、具有独立法人资格、具有履行合同所必需的财务、技术及相关服务等能力，且是浙能集团的合格供应商。</w:t>
      </w:r>
    </w:p>
    <w:p w14:paraId="41980DD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highlight w:val="none"/>
        </w:rPr>
      </w:pPr>
      <w:r>
        <w:rPr>
          <w:rFonts w:hint="eastAsia" w:ascii="宋体" w:hAnsi="宋体" w:cs="Times New Roman"/>
          <w:sz w:val="24"/>
          <w:szCs w:val="24"/>
          <w:highlight w:val="none"/>
          <w:lang w:val="en-US" w:eastAsia="zh-CN"/>
        </w:rPr>
        <w:t>7</w:t>
      </w:r>
      <w:r>
        <w:rPr>
          <w:rFonts w:hint="eastAsia" w:ascii="宋体" w:hAnsi="宋体" w:eastAsia="宋体" w:cs="Times New Roman"/>
          <w:sz w:val="24"/>
          <w:szCs w:val="24"/>
          <w:highlight w:val="none"/>
        </w:rPr>
        <w:t>.2</w:t>
      </w:r>
      <w:r>
        <w:rPr>
          <w:rFonts w:hint="eastAsia" w:ascii="宋体" w:hAnsi="宋体" w:cs="Times New Roman"/>
          <w:sz w:val="24"/>
          <w:szCs w:val="24"/>
          <w:highlight w:val="none"/>
          <w:lang w:val="en-US" w:eastAsia="zh-CN"/>
        </w:rPr>
        <w:t xml:space="preserve"> </w:t>
      </w:r>
      <w:r>
        <w:rPr>
          <w:rFonts w:hint="eastAsia" w:ascii="宋体" w:hAnsi="宋体" w:eastAsia="宋体" w:cs="Times New Roman"/>
          <w:sz w:val="24"/>
          <w:szCs w:val="24"/>
          <w:highlight w:val="none"/>
        </w:rPr>
        <w:t>参与项目的人员必须身体健康，具有从事</w:t>
      </w:r>
      <w:r>
        <w:rPr>
          <w:rFonts w:hint="eastAsia" w:ascii="宋体" w:hAnsi="宋体"/>
          <w:sz w:val="24"/>
          <w:szCs w:val="24"/>
          <w:highlight w:val="none"/>
          <w:lang w:val="en-US" w:eastAsia="zh-CN"/>
        </w:rPr>
        <w:t>化工设备</w:t>
      </w:r>
      <w:r>
        <w:rPr>
          <w:rFonts w:hint="eastAsia" w:ascii="宋体" w:hAnsi="宋体" w:eastAsia="宋体" w:cs="Times New Roman"/>
          <w:sz w:val="24"/>
          <w:szCs w:val="24"/>
          <w:highlight w:val="none"/>
        </w:rPr>
        <w:t xml:space="preserve">检修或安装工作经验3年以上。 </w:t>
      </w:r>
    </w:p>
    <w:p w14:paraId="7E4772B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eastAsia="宋体" w:cs="Times New Roman"/>
          <w:sz w:val="24"/>
          <w:szCs w:val="24"/>
          <w:highlight w:val="none"/>
          <w:lang w:val="en-US"/>
        </w:rPr>
      </w:pPr>
      <w:r>
        <w:rPr>
          <w:rFonts w:hint="eastAsia" w:ascii="宋体" w:hAnsi="宋体" w:cs="Times New Roman"/>
          <w:sz w:val="24"/>
          <w:szCs w:val="24"/>
          <w:highlight w:val="none"/>
          <w:lang w:val="en-US" w:eastAsia="zh-CN"/>
        </w:rPr>
        <w:t>7</w:t>
      </w:r>
      <w:r>
        <w:rPr>
          <w:rFonts w:hint="eastAsia" w:ascii="宋体" w:hAnsi="宋体" w:eastAsia="宋体" w:cs="Times New Roman"/>
          <w:sz w:val="24"/>
          <w:szCs w:val="24"/>
          <w:highlight w:val="none"/>
        </w:rPr>
        <w:t>.</w:t>
      </w:r>
      <w:r>
        <w:rPr>
          <w:rFonts w:hint="eastAsia" w:ascii="宋体" w:hAnsi="宋体" w:cs="Times New Roman"/>
          <w:sz w:val="24"/>
          <w:szCs w:val="24"/>
          <w:highlight w:val="none"/>
          <w:lang w:val="en-US" w:eastAsia="zh-CN"/>
        </w:rPr>
        <w:t>3 参加项目的主要专业技术人员需经招标人认可，主要技术人员从事化工设备检修或安装工作至少5年以上，并具有石化或化工类似设备的检修或安装经验。本项目所有参修人员需经过招标面试，合格后方可上岗作业。</w:t>
      </w:r>
    </w:p>
    <w:p w14:paraId="3D582EF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highlight w:val="none"/>
          <w:lang w:eastAsia="zh-CN"/>
        </w:rPr>
      </w:pPr>
      <w:r>
        <w:rPr>
          <w:rFonts w:hint="eastAsia" w:ascii="宋体" w:hAnsi="宋体" w:cs="Times New Roman"/>
          <w:sz w:val="24"/>
          <w:szCs w:val="24"/>
          <w:highlight w:val="none"/>
          <w:lang w:val="en-US" w:eastAsia="zh-CN"/>
        </w:rPr>
        <w:t>7</w:t>
      </w:r>
      <w:r>
        <w:rPr>
          <w:rFonts w:hint="eastAsia" w:ascii="宋体" w:hAnsi="宋体" w:eastAsia="宋体" w:cs="Times New Roman"/>
          <w:sz w:val="24"/>
          <w:szCs w:val="24"/>
          <w:highlight w:val="none"/>
        </w:rPr>
        <w:t>.</w:t>
      </w:r>
      <w:r>
        <w:rPr>
          <w:rFonts w:hint="eastAsia" w:ascii="宋体" w:hAnsi="宋体" w:cs="Times New Roman"/>
          <w:sz w:val="24"/>
          <w:szCs w:val="24"/>
          <w:highlight w:val="none"/>
          <w:lang w:val="en-US" w:eastAsia="zh-CN"/>
        </w:rPr>
        <w:t xml:space="preserve">4 </w:t>
      </w:r>
      <w:r>
        <w:rPr>
          <w:rFonts w:hint="eastAsia" w:ascii="宋体" w:hAnsi="宋体" w:eastAsia="宋体" w:cs="Times New Roman"/>
          <w:sz w:val="24"/>
          <w:szCs w:val="24"/>
          <w:highlight w:val="none"/>
        </w:rPr>
        <w:t>从事特种作业（特种设备作业）的人员至少应有该工种实际操作经验3年以上，并必须持有经相关部门核发的有效证书，且从事特种作业的人员技术数量必须达到能保证24小时连续作业的要求。特殊工种中焊工需经招标方实操考试合格后方可上岗</w:t>
      </w:r>
      <w:r>
        <w:rPr>
          <w:rFonts w:hint="eastAsia" w:ascii="宋体" w:hAnsi="宋体" w:cs="Times New Roman"/>
          <w:sz w:val="24"/>
          <w:szCs w:val="24"/>
          <w:highlight w:val="none"/>
          <w:lang w:eastAsia="zh-CN"/>
        </w:rPr>
        <w:t>。</w:t>
      </w:r>
    </w:p>
    <w:p w14:paraId="60154CB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highlight w:val="none"/>
          <w:lang w:val="en-US" w:eastAsia="zh-CN"/>
        </w:rPr>
        <w:t>7</w:t>
      </w:r>
      <w:r>
        <w:rPr>
          <w:rFonts w:hint="eastAsia" w:ascii="宋体" w:hAnsi="宋体" w:eastAsia="宋体" w:cs="Times New Roman"/>
          <w:sz w:val="24"/>
          <w:szCs w:val="24"/>
          <w:highlight w:val="none"/>
        </w:rPr>
        <w:t>.</w:t>
      </w:r>
      <w:r>
        <w:rPr>
          <w:rFonts w:hint="eastAsia" w:ascii="宋体" w:hAnsi="宋体" w:cs="Times New Roman"/>
          <w:sz w:val="24"/>
          <w:szCs w:val="24"/>
          <w:highlight w:val="none"/>
          <w:lang w:val="en-US" w:eastAsia="zh-CN"/>
        </w:rPr>
        <w:t xml:space="preserve">5 </w:t>
      </w:r>
      <w:r>
        <w:rPr>
          <w:rFonts w:hint="eastAsia" w:ascii="宋体" w:hAnsi="宋体"/>
          <w:sz w:val="24"/>
          <w:szCs w:val="24"/>
          <w:highlight w:val="none"/>
        </w:rPr>
        <w:t>投标人应具有完善的质量保证体系，投标人的焊工必须持有质监局发的《特种设备作业人员证》和安监局的《特种作业操作证》。</w:t>
      </w:r>
      <w:r>
        <w:rPr>
          <w:rFonts w:hint="eastAsia" w:ascii="宋体" w:hAnsi="宋体"/>
          <w:sz w:val="24"/>
          <w:szCs w:val="24"/>
          <w:highlight w:val="none"/>
          <w:lang w:val="en-US" w:eastAsia="zh-CN"/>
        </w:rPr>
        <w:t>焊工需接受招标方的入厂测试并合格后</w:t>
      </w:r>
      <w:r>
        <w:rPr>
          <w:rFonts w:hint="eastAsia" w:ascii="宋体" w:hAnsi="宋体"/>
          <w:sz w:val="24"/>
          <w:szCs w:val="24"/>
          <w:lang w:val="en-US" w:eastAsia="zh-CN"/>
        </w:rPr>
        <w:t>方可进入该项目进行焊接作业，未经招标方入厂测试的焊接严禁施工焊接。</w:t>
      </w:r>
    </w:p>
    <w:p w14:paraId="5BCD1D5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7.6 </w:t>
      </w:r>
      <w:r>
        <w:rPr>
          <w:rFonts w:hint="eastAsia" w:ascii="宋体" w:hAnsi="宋体" w:eastAsia="宋体" w:cs="Times New Roman"/>
          <w:sz w:val="24"/>
          <w:szCs w:val="24"/>
        </w:rPr>
        <w:t>需要进行高处作业的作业人员，需持有特种作业操作证（高处作业），且在有效期内。</w:t>
      </w:r>
    </w:p>
    <w:p w14:paraId="399192C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eastAsia="宋体"/>
          <w:sz w:val="24"/>
          <w:szCs w:val="24"/>
          <w:lang w:val="en-US" w:eastAsia="zh-CN"/>
        </w:rPr>
      </w:pPr>
      <w:r>
        <w:rPr>
          <w:rFonts w:hint="eastAsia" w:ascii="宋体" w:hAnsi="宋体" w:cs="Times New Roman"/>
          <w:sz w:val="24"/>
          <w:szCs w:val="24"/>
          <w:lang w:val="en-US" w:eastAsia="zh-CN"/>
        </w:rPr>
        <w:t>7</w:t>
      </w:r>
      <w:r>
        <w:rPr>
          <w:rFonts w:hint="eastAsia" w:ascii="宋体" w:hAnsi="宋体" w:eastAsia="宋体" w:cs="Times New Roman"/>
          <w:sz w:val="24"/>
          <w:szCs w:val="24"/>
        </w:rPr>
        <w:t>.</w:t>
      </w:r>
      <w:r>
        <w:rPr>
          <w:rFonts w:hint="eastAsia" w:ascii="宋体" w:hAnsi="宋体" w:cs="Times New Roman"/>
          <w:sz w:val="24"/>
          <w:szCs w:val="24"/>
          <w:lang w:val="en-US" w:eastAsia="zh-CN"/>
        </w:rPr>
        <w:t xml:space="preserve">7 </w:t>
      </w:r>
      <w:r>
        <w:rPr>
          <w:rFonts w:hint="eastAsia" w:ascii="宋体" w:hAnsi="宋体" w:eastAsia="宋体" w:cs="Times New Roman"/>
          <w:sz w:val="24"/>
          <w:szCs w:val="24"/>
        </w:rPr>
        <w:t>严禁使用未成年人和不适应现场安全施工要求的老、弱、病、残人员。</w:t>
      </w:r>
      <w:r>
        <w:rPr>
          <w:rFonts w:hint="eastAsia" w:ascii="宋体" w:hAnsi="宋体"/>
          <w:sz w:val="24"/>
          <w:szCs w:val="24"/>
        </w:rPr>
        <w:t xml:space="preserve"> </w:t>
      </w:r>
    </w:p>
    <w:p w14:paraId="00A9E1D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rPr>
      </w:pPr>
      <w:r>
        <w:rPr>
          <w:rFonts w:hint="eastAsia" w:ascii="宋体" w:hAnsi="宋体"/>
          <w:sz w:val="24"/>
          <w:szCs w:val="24"/>
          <w:lang w:val="en-US" w:eastAsia="zh-CN"/>
        </w:rPr>
        <w:t>7.8</w:t>
      </w:r>
      <w:r>
        <w:rPr>
          <w:rFonts w:hint="eastAsia" w:ascii="宋体" w:hAnsi="宋体"/>
          <w:sz w:val="24"/>
          <w:szCs w:val="24"/>
        </w:rPr>
        <w:t xml:space="preserve"> 投标人应严格按照合同、设计文件（图纸等）、技术规范的要求进行试验和检验。技术规范和图纸中的焊接结构及有关说明仅为原则性的，投标人应根据技术协议和图纸，制定焊接工艺评定、详细的焊接工艺、焊接结构选择，并取得招标人的同意。</w:t>
      </w:r>
    </w:p>
    <w:p w14:paraId="063D57F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rPr>
      </w:pPr>
      <w:r>
        <w:rPr>
          <w:rFonts w:hint="eastAsia" w:ascii="宋体" w:hAnsi="宋体"/>
          <w:sz w:val="24"/>
          <w:szCs w:val="24"/>
          <w:lang w:val="en-US" w:eastAsia="zh-CN"/>
        </w:rPr>
        <w:t>7.9</w:t>
      </w:r>
      <w:r>
        <w:rPr>
          <w:rFonts w:hint="eastAsia" w:ascii="宋体" w:hAnsi="宋体"/>
          <w:sz w:val="24"/>
          <w:szCs w:val="24"/>
        </w:rPr>
        <w:t xml:space="preserve"> 投标人应接受招标人以及招标人委托第三方检验机构的检验，任何因质量检验不合格而造成</w:t>
      </w:r>
      <w:r>
        <w:rPr>
          <w:rFonts w:hint="eastAsia" w:ascii="宋体" w:hAnsi="宋体"/>
          <w:sz w:val="24"/>
          <w:szCs w:val="24"/>
          <w:lang w:eastAsia="zh-CN"/>
        </w:rPr>
        <w:t>项目</w:t>
      </w:r>
      <w:r>
        <w:rPr>
          <w:rFonts w:hint="eastAsia" w:ascii="宋体" w:hAnsi="宋体"/>
          <w:sz w:val="24"/>
          <w:szCs w:val="24"/>
        </w:rPr>
        <w:t>进度的拖延，一切责任均由投标人负责。</w:t>
      </w:r>
    </w:p>
    <w:p w14:paraId="70B6CAD5">
      <w:pPr>
        <w:snapToGrid w:val="0"/>
        <w:spacing w:line="360" w:lineRule="auto"/>
        <w:jc w:val="left"/>
        <w:rPr>
          <w:rStyle w:val="88"/>
          <w:rFonts w:hint="eastAsia" w:ascii="宋体" w:hAnsi="宋体"/>
          <w:bCs/>
          <w:lang w:val="en-US" w:eastAsia="zh-CN"/>
        </w:rPr>
      </w:pPr>
      <w:r>
        <w:rPr>
          <w:rStyle w:val="88"/>
          <w:rFonts w:hint="eastAsia" w:ascii="宋体" w:hAnsi="宋体"/>
          <w:bCs/>
          <w:lang w:val="en-US" w:eastAsia="zh-CN"/>
        </w:rPr>
        <w:t>7.10 投标方检修人员的配备应在经招标方考核合格后方能上岗，且投标方的人员必须固定。投标方在现场的维护管理和技术人员名单应与合同确定的名单相符，任何情况下的人员变动都应提前通知招标方，并需征得招标方的同意。并将人员变动情况书面抄报招标方项目责任部门、现场监管部门。</w:t>
      </w:r>
    </w:p>
    <w:p w14:paraId="5FBAB18A">
      <w:pPr>
        <w:snapToGrid w:val="0"/>
        <w:spacing w:line="360" w:lineRule="auto"/>
        <w:jc w:val="left"/>
        <w:rPr>
          <w:rStyle w:val="88"/>
          <w:rFonts w:hint="eastAsia" w:ascii="宋体" w:hAnsi="宋体"/>
          <w:bCs/>
          <w:lang w:val="en-US" w:eastAsia="zh-CN"/>
        </w:rPr>
      </w:pPr>
      <w:r>
        <w:rPr>
          <w:rStyle w:val="88"/>
          <w:rFonts w:hint="eastAsia" w:ascii="宋体" w:hAnsi="宋体"/>
          <w:bCs/>
          <w:lang w:val="en-US" w:eastAsia="zh-CN"/>
        </w:rPr>
        <w:t>7.11 最低</w:t>
      </w:r>
      <w:r>
        <w:rPr>
          <w:rStyle w:val="88"/>
          <w:rFonts w:hint="eastAsia" w:ascii="宋体" w:hAnsi="宋体"/>
          <w:bCs/>
        </w:rPr>
        <w:t>人员配置</w:t>
      </w:r>
      <w:r>
        <w:rPr>
          <w:rStyle w:val="88"/>
          <w:rFonts w:hint="eastAsia" w:ascii="宋体" w:hAnsi="宋体"/>
          <w:bCs/>
          <w:lang w:eastAsia="zh-CN"/>
        </w:rPr>
        <w:t>：</w:t>
      </w:r>
      <w:r>
        <w:rPr>
          <w:rStyle w:val="88"/>
          <w:rFonts w:hint="eastAsia" w:ascii="宋体" w:hAnsi="宋体"/>
          <w:bCs/>
          <w:highlight w:val="none"/>
        </w:rPr>
        <w:t>本次投标方人员配置为：</w:t>
      </w:r>
      <w:r>
        <w:rPr>
          <w:rStyle w:val="88"/>
          <w:rFonts w:hint="eastAsia" w:ascii="宋体" w:hAnsi="宋体"/>
          <w:bCs/>
          <w:highlight w:val="none"/>
          <w:lang w:val="en-US" w:eastAsia="zh-CN"/>
        </w:rPr>
        <w:t>不少于39</w:t>
      </w:r>
      <w:r>
        <w:rPr>
          <w:rStyle w:val="88"/>
          <w:rFonts w:hint="eastAsia" w:ascii="宋体" w:hAnsi="宋体"/>
          <w:bCs/>
          <w:highlight w:val="none"/>
        </w:rPr>
        <w:t>人。具体</w:t>
      </w:r>
      <w:r>
        <w:rPr>
          <w:rStyle w:val="88"/>
          <w:rFonts w:hint="eastAsia" w:ascii="宋体" w:hAnsi="宋体"/>
          <w:bCs/>
        </w:rPr>
        <w:t>配置及人员要求</w:t>
      </w:r>
      <w:r>
        <w:rPr>
          <w:rStyle w:val="88"/>
          <w:rFonts w:hint="eastAsia" w:ascii="宋体" w:hAnsi="宋体"/>
          <w:bCs/>
          <w:lang w:eastAsia="zh-CN"/>
        </w:rPr>
        <w:t>。</w:t>
      </w:r>
    </w:p>
    <w:tbl>
      <w:tblPr>
        <w:tblStyle w:val="29"/>
        <w:tblW w:w="9369" w:type="dxa"/>
        <w:tblInd w:w="96" w:type="dxa"/>
        <w:tblLayout w:type="fixed"/>
        <w:tblCellMar>
          <w:top w:w="0" w:type="dxa"/>
          <w:left w:w="108" w:type="dxa"/>
          <w:bottom w:w="0" w:type="dxa"/>
          <w:right w:w="108" w:type="dxa"/>
        </w:tblCellMar>
      </w:tblPr>
      <w:tblGrid>
        <w:gridCol w:w="941"/>
        <w:gridCol w:w="1265"/>
        <w:gridCol w:w="729"/>
        <w:gridCol w:w="5534"/>
        <w:gridCol w:w="900"/>
      </w:tblGrid>
      <w:tr w14:paraId="52755DEC">
        <w:tblPrEx>
          <w:tblCellMar>
            <w:top w:w="0" w:type="dxa"/>
            <w:left w:w="108" w:type="dxa"/>
            <w:bottom w:w="0" w:type="dxa"/>
            <w:right w:w="108" w:type="dxa"/>
          </w:tblCellMar>
        </w:tblPrEx>
        <w:trPr>
          <w:trHeight w:val="780" w:hRule="atLeast"/>
        </w:trPr>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5E9281">
            <w:pPr>
              <w:keepNext w:val="0"/>
              <w:keepLines w:val="0"/>
              <w:suppressLineNumbers w:val="0"/>
              <w:spacing w:before="0" w:beforeAutospacing="0" w:after="0" w:afterAutospacing="0"/>
              <w:ind w:left="0" w:right="0"/>
              <w:jc w:val="center"/>
              <w:rPr>
                <w:rFonts w:hint="default" w:ascii="宋体" w:hAnsi="宋体"/>
                <w:b/>
                <w:bCs/>
                <w:color w:val="000000"/>
                <w:kern w:val="0"/>
                <w:lang w:bidi="ar"/>
              </w:rPr>
            </w:pPr>
            <w:r>
              <w:rPr>
                <w:rFonts w:hint="eastAsia" w:ascii="宋体" w:hAnsi="宋体"/>
                <w:b/>
                <w:bCs/>
                <w:color w:val="000000"/>
                <w:kern w:val="0"/>
                <w:lang w:bidi="ar"/>
              </w:rPr>
              <w:t>班组</w:t>
            </w: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5003B0">
            <w:pPr>
              <w:keepNext w:val="0"/>
              <w:keepLines w:val="0"/>
              <w:suppressLineNumbers w:val="0"/>
              <w:spacing w:before="0" w:beforeAutospacing="0" w:after="0" w:afterAutospacing="0"/>
              <w:ind w:left="0" w:right="0"/>
              <w:jc w:val="center"/>
              <w:rPr>
                <w:rFonts w:hint="default" w:ascii="宋体" w:hAnsi="宋体"/>
                <w:b/>
                <w:bCs/>
                <w:color w:val="000000"/>
                <w:kern w:val="0"/>
                <w:lang w:bidi="ar"/>
              </w:rPr>
            </w:pPr>
            <w:r>
              <w:rPr>
                <w:rFonts w:hint="eastAsia" w:ascii="宋体" w:hAnsi="宋体"/>
                <w:b/>
                <w:bCs/>
                <w:color w:val="000000"/>
                <w:kern w:val="0"/>
                <w:lang w:bidi="ar"/>
              </w:rPr>
              <w:t>岗位/工种</w:t>
            </w:r>
          </w:p>
        </w:tc>
        <w:tc>
          <w:tcPr>
            <w:tcW w:w="7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C4A23">
            <w:pPr>
              <w:keepNext w:val="0"/>
              <w:keepLines w:val="0"/>
              <w:suppressLineNumbers w:val="0"/>
              <w:spacing w:before="0" w:beforeAutospacing="0" w:after="0" w:afterAutospacing="0"/>
              <w:ind w:left="0" w:right="0"/>
              <w:jc w:val="center"/>
              <w:rPr>
                <w:rFonts w:hint="default" w:ascii="宋体" w:hAnsi="宋体"/>
                <w:b/>
                <w:bCs/>
                <w:color w:val="000000"/>
                <w:kern w:val="0"/>
                <w:lang w:bidi="ar"/>
              </w:rPr>
            </w:pPr>
            <w:r>
              <w:rPr>
                <w:rFonts w:hint="eastAsia" w:ascii="宋体" w:hAnsi="宋体"/>
                <w:b/>
                <w:bCs/>
                <w:color w:val="000000"/>
                <w:kern w:val="0"/>
                <w:lang w:bidi="ar"/>
              </w:rPr>
              <w:t>人数</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096E4">
            <w:pPr>
              <w:keepNext w:val="0"/>
              <w:keepLines w:val="0"/>
              <w:suppressLineNumbers w:val="0"/>
              <w:spacing w:before="0" w:beforeAutospacing="0" w:after="0" w:afterAutospacing="0"/>
              <w:ind w:left="0" w:right="0"/>
              <w:jc w:val="center"/>
              <w:rPr>
                <w:rFonts w:hint="default" w:ascii="宋体" w:hAnsi="宋体"/>
                <w:b/>
                <w:bCs/>
                <w:color w:val="000000"/>
                <w:kern w:val="0"/>
                <w:lang w:bidi="ar"/>
              </w:rPr>
            </w:pPr>
            <w:r>
              <w:rPr>
                <w:rFonts w:hint="eastAsia" w:ascii="宋体" w:hAnsi="宋体"/>
                <w:b/>
                <w:bCs/>
                <w:color w:val="000000"/>
                <w:kern w:val="0"/>
                <w:lang w:bidi="ar"/>
              </w:rPr>
              <w:t>人员要求</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AB879D">
            <w:pPr>
              <w:keepNext w:val="0"/>
              <w:keepLines w:val="0"/>
              <w:suppressLineNumbers w:val="0"/>
              <w:spacing w:before="0" w:beforeAutospacing="0" w:after="0" w:afterAutospacing="0"/>
              <w:ind w:left="0" w:right="0"/>
              <w:jc w:val="center"/>
              <w:rPr>
                <w:rFonts w:hint="default" w:ascii="宋体" w:hAnsi="宋体"/>
                <w:b/>
                <w:bCs/>
                <w:color w:val="000000"/>
                <w:kern w:val="0"/>
                <w:lang w:bidi="ar"/>
              </w:rPr>
            </w:pPr>
            <w:r>
              <w:rPr>
                <w:rFonts w:hint="eastAsia" w:ascii="宋体" w:hAnsi="宋体"/>
                <w:b/>
                <w:bCs/>
                <w:color w:val="000000"/>
                <w:kern w:val="0"/>
                <w:lang w:bidi="ar"/>
              </w:rPr>
              <w:t>备注</w:t>
            </w:r>
          </w:p>
        </w:tc>
      </w:tr>
      <w:tr w14:paraId="47ED8EF0">
        <w:tblPrEx>
          <w:tblCellMar>
            <w:top w:w="0" w:type="dxa"/>
            <w:left w:w="108" w:type="dxa"/>
            <w:bottom w:w="0" w:type="dxa"/>
            <w:right w:w="108" w:type="dxa"/>
          </w:tblCellMar>
        </w:tblPrEx>
        <w:trPr>
          <w:cantSplit/>
          <w:trHeight w:val="850" w:hRule="atLeast"/>
        </w:trPr>
        <w:tc>
          <w:tcPr>
            <w:tcW w:w="941" w:type="dxa"/>
            <w:vMerge w:val="restart"/>
            <w:tcBorders>
              <w:top w:val="single" w:color="000000" w:sz="4" w:space="0"/>
              <w:left w:val="single" w:color="000000" w:sz="4" w:space="0"/>
              <w:right w:val="single" w:color="000000" w:sz="4" w:space="0"/>
            </w:tcBorders>
            <w:shd w:val="clear" w:color="auto" w:fill="FFFFFF"/>
            <w:vAlign w:val="center"/>
          </w:tcPr>
          <w:p w14:paraId="4D73FD4D">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cs="宋体"/>
                <w:lang w:val="en-US" w:eastAsia="zh-CN"/>
              </w:rPr>
              <w:t>检修</w:t>
            </w:r>
            <w:r>
              <w:rPr>
                <w:rFonts w:hint="eastAsia" w:ascii="宋体" w:hAnsi="宋体" w:eastAsia="宋体" w:cs="宋体"/>
              </w:rPr>
              <w:t xml:space="preserve">  班组</w:t>
            </w: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5F2BD8">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项目负责人（技术）</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D5189">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cs="宋体"/>
                <w:lang w:val="en-US" w:eastAsia="zh-CN"/>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FCC6C0">
            <w:pPr>
              <w:keepNext w:val="0"/>
              <w:keepLines w:val="0"/>
              <w:suppressLineNumbers w:val="0"/>
              <w:spacing w:before="0" w:beforeAutospacing="0" w:after="0" w:afterAutospacing="0"/>
              <w:ind w:left="0" w:right="0"/>
              <w:rPr>
                <w:rFonts w:hint="eastAsia" w:ascii="宋体" w:hAnsi="宋体" w:eastAsia="宋体" w:cs="宋体"/>
                <w:highlight w:val="none"/>
              </w:rPr>
            </w:pPr>
            <w:r>
              <w:rPr>
                <w:rFonts w:hint="eastAsia" w:ascii="宋体" w:hAnsi="宋体" w:eastAsia="宋体" w:cs="宋体"/>
                <w:highlight w:val="none"/>
              </w:rPr>
              <w:t>5年以上石化或化工设备维护管理经验；须持有危险化学品生产单位安全生产管理人员考核合格证；掌握</w:t>
            </w:r>
            <w:r>
              <w:rPr>
                <w:rFonts w:hint="eastAsia" w:ascii="宋体" w:hAnsi="宋体" w:cs="宋体"/>
                <w:highlight w:val="none"/>
                <w:lang w:val="en-US" w:eastAsia="zh-CN"/>
              </w:rPr>
              <w:t>设备检修</w:t>
            </w:r>
            <w:r>
              <w:rPr>
                <w:rFonts w:hint="eastAsia" w:ascii="宋体" w:hAnsi="宋体" w:eastAsia="宋体" w:cs="宋体"/>
                <w:highlight w:val="none"/>
              </w:rPr>
              <w:t>必备的业务知识和安全知识、安全环保规章制度，且熟练掌握汉语语言。</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82F4620">
            <w:pPr>
              <w:keepNext w:val="0"/>
              <w:keepLines w:val="0"/>
              <w:suppressLineNumbers w:val="0"/>
              <w:spacing w:before="0" w:beforeAutospacing="0" w:after="0" w:afterAutospacing="0"/>
              <w:ind w:left="0" w:right="0"/>
              <w:jc w:val="center"/>
              <w:rPr>
                <w:rFonts w:hint="default" w:ascii="宋体" w:hAnsi="宋体"/>
                <w:color w:val="000000"/>
              </w:rPr>
            </w:pPr>
          </w:p>
        </w:tc>
      </w:tr>
      <w:tr w14:paraId="3EDC33ED">
        <w:tblPrEx>
          <w:tblCellMar>
            <w:top w:w="0" w:type="dxa"/>
            <w:left w:w="108" w:type="dxa"/>
            <w:bottom w:w="0" w:type="dxa"/>
            <w:right w:w="108" w:type="dxa"/>
          </w:tblCellMar>
        </w:tblPrEx>
        <w:trPr>
          <w:cantSplit/>
          <w:trHeight w:val="1265" w:hRule="atLeast"/>
        </w:trPr>
        <w:tc>
          <w:tcPr>
            <w:tcW w:w="941" w:type="dxa"/>
            <w:vMerge w:val="continue"/>
            <w:tcBorders>
              <w:left w:val="single" w:color="000000" w:sz="4" w:space="0"/>
              <w:right w:val="single" w:color="000000" w:sz="4" w:space="0"/>
            </w:tcBorders>
            <w:shd w:val="clear" w:color="auto" w:fill="FFFFFF"/>
            <w:vAlign w:val="center"/>
          </w:tcPr>
          <w:p w14:paraId="2C0D094B">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DD568">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lang w:val="en-US" w:eastAsia="zh-CN" w:bidi="ar-SA"/>
              </w:rPr>
            </w:pPr>
            <w:r>
              <w:rPr>
                <w:rFonts w:hint="eastAsia" w:ascii="宋体" w:hAnsi="宋体" w:eastAsia="宋体" w:cs="宋体"/>
              </w:rPr>
              <w:t>安全员</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07A375">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lang w:val="en-US" w:eastAsia="zh-CN" w:bidi="ar-SA"/>
              </w:rPr>
            </w:pPr>
            <w:r>
              <w:rPr>
                <w:rFonts w:hint="eastAsia" w:ascii="宋体" w:hAnsi="宋体" w:eastAsia="宋体" w:cs="宋体"/>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D9DF93">
            <w:pPr>
              <w:keepNext w:val="0"/>
              <w:keepLines w:val="0"/>
              <w:suppressLineNumbers w:val="0"/>
              <w:spacing w:before="0" w:beforeAutospacing="0" w:after="0" w:afterAutospacing="0"/>
              <w:ind w:left="0" w:right="0"/>
              <w:rPr>
                <w:rFonts w:hint="eastAsia" w:ascii="宋体" w:hAnsi="宋体" w:eastAsia="宋体" w:cs="宋体"/>
                <w:kern w:val="2"/>
                <w:sz w:val="24"/>
                <w:szCs w:val="24"/>
                <w:highlight w:val="none"/>
                <w:lang w:val="en-US" w:eastAsia="zh-CN" w:bidi="ar-SA"/>
              </w:rPr>
            </w:pPr>
            <w:r>
              <w:rPr>
                <w:rFonts w:hint="eastAsia" w:ascii="宋体" w:hAnsi="宋体" w:cs="宋体"/>
                <w:highlight w:val="none"/>
                <w:lang w:val="en-US" w:eastAsia="zh-CN"/>
              </w:rPr>
              <w:t>5</w:t>
            </w:r>
            <w:r>
              <w:rPr>
                <w:rFonts w:hint="eastAsia" w:ascii="宋体" w:hAnsi="宋体" w:eastAsia="宋体" w:cs="宋体"/>
                <w:highlight w:val="none"/>
              </w:rPr>
              <w:t>年以上石化或化工设备检修维护工作经验，有较好的组织管理能力，熟悉设备检修流程、检修经验丰富，能组织人员完成检修项目，保障检修工作安全有序进行。</w:t>
            </w:r>
          </w:p>
        </w:tc>
        <w:tc>
          <w:tcPr>
            <w:tcW w:w="900" w:type="dxa"/>
            <w:vMerge w:val="continue"/>
            <w:tcBorders>
              <w:left w:val="single" w:color="000000" w:sz="4" w:space="0"/>
              <w:right w:val="single" w:color="000000" w:sz="4" w:space="0"/>
            </w:tcBorders>
            <w:shd w:val="clear" w:color="auto" w:fill="FFFFFF"/>
            <w:vAlign w:val="center"/>
          </w:tcPr>
          <w:p w14:paraId="2F47EE60">
            <w:pPr>
              <w:keepNext w:val="0"/>
              <w:keepLines w:val="0"/>
              <w:suppressLineNumbers w:val="0"/>
              <w:spacing w:before="0" w:beforeAutospacing="0" w:after="0" w:afterAutospacing="0"/>
              <w:ind w:left="0" w:right="0"/>
              <w:jc w:val="center"/>
              <w:rPr>
                <w:rFonts w:hint="default" w:ascii="宋体" w:hAnsi="宋体"/>
                <w:color w:val="000000"/>
              </w:rPr>
            </w:pPr>
          </w:p>
        </w:tc>
      </w:tr>
      <w:tr w14:paraId="19FDC5F3">
        <w:tblPrEx>
          <w:tblCellMar>
            <w:top w:w="0" w:type="dxa"/>
            <w:left w:w="108" w:type="dxa"/>
            <w:bottom w:w="0" w:type="dxa"/>
            <w:right w:w="108" w:type="dxa"/>
          </w:tblCellMar>
        </w:tblPrEx>
        <w:trPr>
          <w:cantSplit/>
          <w:trHeight w:val="1076" w:hRule="atLeast"/>
        </w:trPr>
        <w:tc>
          <w:tcPr>
            <w:tcW w:w="941" w:type="dxa"/>
            <w:vMerge w:val="continue"/>
            <w:tcBorders>
              <w:left w:val="single" w:color="000000" w:sz="4" w:space="0"/>
              <w:right w:val="single" w:color="000000" w:sz="4" w:space="0"/>
            </w:tcBorders>
            <w:shd w:val="clear" w:color="auto" w:fill="FFFFFF"/>
            <w:vAlign w:val="center"/>
          </w:tcPr>
          <w:p w14:paraId="1A762E6D">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9C9A04">
            <w:pPr>
              <w:keepNext w:val="0"/>
              <w:keepLines w:val="0"/>
              <w:suppressLineNumbers w:val="0"/>
              <w:spacing w:before="0" w:beforeAutospacing="0" w:after="0" w:afterAutospacing="0"/>
              <w:ind w:left="0" w:right="0"/>
              <w:jc w:val="center"/>
              <w:rPr>
                <w:rFonts w:hint="default" w:ascii="宋体" w:hAnsi="宋体" w:eastAsia="宋体" w:cs="宋体"/>
                <w:kern w:val="2"/>
                <w:sz w:val="24"/>
                <w:szCs w:val="24"/>
                <w:lang w:val="en-US" w:eastAsia="zh-CN" w:bidi="ar-SA"/>
              </w:rPr>
            </w:pPr>
            <w:r>
              <w:rPr>
                <w:rFonts w:hint="eastAsia" w:ascii="宋体" w:hAnsi="宋体" w:eastAsia="宋体" w:cs="宋体"/>
              </w:rPr>
              <w:t>班长</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13B3C6">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lang w:val="en-US" w:eastAsia="zh-CN" w:bidi="ar-SA"/>
              </w:rPr>
            </w:pPr>
            <w:r>
              <w:rPr>
                <w:rFonts w:hint="eastAsia" w:ascii="宋体" w:hAnsi="宋体" w:eastAsia="宋体" w:cs="宋体"/>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23694F">
            <w:pPr>
              <w:keepNext w:val="0"/>
              <w:keepLines w:val="0"/>
              <w:suppressLineNumbers w:val="0"/>
              <w:spacing w:before="0" w:beforeAutospacing="0" w:after="0" w:afterAutospacing="0"/>
              <w:ind w:left="0" w:right="0"/>
              <w:rPr>
                <w:rFonts w:hint="eastAsia" w:ascii="宋体" w:hAnsi="宋体" w:eastAsia="宋体" w:cs="宋体"/>
                <w:kern w:val="2"/>
                <w:sz w:val="24"/>
                <w:szCs w:val="24"/>
                <w:highlight w:val="none"/>
                <w:lang w:val="en-US" w:eastAsia="zh-CN" w:bidi="ar-SA"/>
              </w:rPr>
            </w:pPr>
            <w:r>
              <w:rPr>
                <w:rFonts w:hint="eastAsia" w:ascii="宋体" w:hAnsi="宋体" w:eastAsia="宋体" w:cs="宋体"/>
                <w:highlight w:val="none"/>
              </w:rPr>
              <w:t>5年以上石化或化工检修维护工作经验，有较好的组织管理能力，熟悉设备检修流程、检修经验丰富，能组织人员完成每日检修项目。</w:t>
            </w:r>
          </w:p>
        </w:tc>
        <w:tc>
          <w:tcPr>
            <w:tcW w:w="900" w:type="dxa"/>
            <w:vMerge w:val="continue"/>
            <w:tcBorders>
              <w:left w:val="single" w:color="000000" w:sz="4" w:space="0"/>
              <w:right w:val="single" w:color="000000" w:sz="4" w:space="0"/>
            </w:tcBorders>
            <w:shd w:val="clear" w:color="auto" w:fill="FFFFFF"/>
            <w:vAlign w:val="center"/>
          </w:tcPr>
          <w:p w14:paraId="7A829E90">
            <w:pPr>
              <w:keepNext w:val="0"/>
              <w:keepLines w:val="0"/>
              <w:suppressLineNumbers w:val="0"/>
              <w:spacing w:before="0" w:beforeAutospacing="0" w:after="0" w:afterAutospacing="0"/>
              <w:ind w:left="0" w:right="0"/>
              <w:jc w:val="center"/>
              <w:rPr>
                <w:rFonts w:hint="default" w:ascii="宋体" w:hAnsi="宋体"/>
                <w:color w:val="000000"/>
              </w:rPr>
            </w:pPr>
          </w:p>
        </w:tc>
      </w:tr>
      <w:tr w14:paraId="1D95334E">
        <w:tblPrEx>
          <w:tblCellMar>
            <w:top w:w="0" w:type="dxa"/>
            <w:left w:w="108" w:type="dxa"/>
            <w:bottom w:w="0" w:type="dxa"/>
            <w:right w:w="108" w:type="dxa"/>
          </w:tblCellMar>
        </w:tblPrEx>
        <w:trPr>
          <w:cantSplit/>
          <w:trHeight w:val="1086" w:hRule="atLeast"/>
        </w:trPr>
        <w:tc>
          <w:tcPr>
            <w:tcW w:w="941" w:type="dxa"/>
            <w:vMerge w:val="continue"/>
            <w:tcBorders>
              <w:left w:val="single" w:color="000000" w:sz="4" w:space="0"/>
              <w:right w:val="single" w:color="000000" w:sz="4" w:space="0"/>
            </w:tcBorders>
            <w:vAlign w:val="center"/>
          </w:tcPr>
          <w:p w14:paraId="3B9D7107">
            <w:pPr>
              <w:keepNext w:val="0"/>
              <w:keepLines w:val="0"/>
              <w:suppressLineNumbers w:val="0"/>
              <w:spacing w:before="0" w:beforeAutospacing="0" w:after="0" w:afterAutospacing="0"/>
              <w:ind w:left="0" w:right="0"/>
              <w:rPr>
                <w:rFonts w:hint="eastAsia" w:ascii="宋体" w:hAnsi="宋体" w:eastAsia="宋体" w:cs="宋体"/>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EADB4D">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焊工</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EF19A5">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12</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04C7D7">
            <w:pPr>
              <w:keepNext w:val="0"/>
              <w:keepLines w:val="0"/>
              <w:suppressLineNumbers w:val="0"/>
              <w:spacing w:before="0" w:beforeAutospacing="0" w:after="0" w:afterAutospacing="0"/>
              <w:ind w:left="0" w:right="0"/>
              <w:rPr>
                <w:rFonts w:hint="eastAsia" w:ascii="宋体" w:hAnsi="宋体" w:eastAsia="宋体" w:cs="宋体"/>
                <w:highlight w:val="none"/>
              </w:rPr>
            </w:pPr>
            <w:r>
              <w:rPr>
                <w:rFonts w:hint="eastAsia" w:ascii="宋体" w:hAnsi="宋体" w:eastAsia="宋体" w:cs="宋体"/>
                <w:highlight w:val="none"/>
              </w:rPr>
              <w:t>持应急管理局颁发的焊接与热切割作业证及市场监督管理局颁发的特种设备焊接操作证，5年以上焊接工作经验，且熟练掌握汉语语言。</w:t>
            </w:r>
          </w:p>
        </w:tc>
        <w:tc>
          <w:tcPr>
            <w:tcW w:w="900" w:type="dxa"/>
            <w:vMerge w:val="continue"/>
            <w:tcBorders>
              <w:top w:val="single" w:color="000000" w:sz="4" w:space="0"/>
              <w:left w:val="single" w:color="000000" w:sz="4" w:space="0"/>
              <w:bottom w:val="single" w:color="000000" w:sz="4" w:space="0"/>
              <w:right w:val="single" w:color="000000" w:sz="4" w:space="0"/>
            </w:tcBorders>
            <w:vAlign w:val="center"/>
          </w:tcPr>
          <w:p w14:paraId="0203805B">
            <w:pPr>
              <w:keepNext w:val="0"/>
              <w:keepLines w:val="0"/>
              <w:suppressLineNumbers w:val="0"/>
              <w:spacing w:before="0" w:beforeAutospacing="0" w:after="0" w:afterAutospacing="0"/>
              <w:ind w:left="0" w:right="0"/>
              <w:jc w:val="left"/>
              <w:rPr>
                <w:rFonts w:hint="default" w:ascii="宋体" w:hAnsi="宋体"/>
                <w:color w:val="000000"/>
              </w:rPr>
            </w:pPr>
          </w:p>
        </w:tc>
      </w:tr>
      <w:tr w14:paraId="672ADF24">
        <w:tblPrEx>
          <w:tblCellMar>
            <w:top w:w="0" w:type="dxa"/>
            <w:left w:w="108" w:type="dxa"/>
            <w:bottom w:w="0" w:type="dxa"/>
            <w:right w:w="108" w:type="dxa"/>
          </w:tblCellMar>
        </w:tblPrEx>
        <w:trPr>
          <w:cantSplit/>
          <w:trHeight w:val="1385" w:hRule="atLeast"/>
        </w:trPr>
        <w:tc>
          <w:tcPr>
            <w:tcW w:w="941" w:type="dxa"/>
            <w:vMerge w:val="continue"/>
            <w:tcBorders>
              <w:left w:val="single" w:color="000000" w:sz="4" w:space="0"/>
              <w:bottom w:val="single" w:color="000000" w:sz="4" w:space="0"/>
              <w:right w:val="single" w:color="000000" w:sz="4" w:space="0"/>
            </w:tcBorders>
            <w:noWrap/>
            <w:vAlign w:val="center"/>
          </w:tcPr>
          <w:p w14:paraId="15CEAF0C">
            <w:pPr>
              <w:keepNext w:val="0"/>
              <w:keepLines w:val="0"/>
              <w:suppressLineNumbers w:val="0"/>
              <w:spacing w:before="0" w:beforeAutospacing="0" w:after="0" w:afterAutospacing="0"/>
              <w:ind w:left="0" w:right="0"/>
              <w:rPr>
                <w:rFonts w:hint="eastAsia" w:ascii="宋体" w:hAnsi="宋体" w:eastAsia="宋体" w:cs="宋体"/>
              </w:rPr>
            </w:pPr>
          </w:p>
        </w:tc>
        <w:tc>
          <w:tcPr>
            <w:tcW w:w="1265" w:type="dxa"/>
            <w:tcBorders>
              <w:top w:val="single" w:color="000000" w:sz="4" w:space="0"/>
              <w:left w:val="single" w:color="000000" w:sz="4" w:space="0"/>
              <w:bottom w:val="single" w:color="000000" w:sz="4" w:space="0"/>
              <w:right w:val="single" w:color="000000" w:sz="4" w:space="0"/>
            </w:tcBorders>
            <w:noWrap/>
            <w:vAlign w:val="center"/>
          </w:tcPr>
          <w:p w14:paraId="43F00FA5">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lang w:val="en-US" w:eastAsia="zh-CN"/>
              </w:rPr>
              <w:t>作业人员</w:t>
            </w:r>
          </w:p>
        </w:tc>
        <w:tc>
          <w:tcPr>
            <w:tcW w:w="729" w:type="dxa"/>
            <w:tcBorders>
              <w:top w:val="single" w:color="000000" w:sz="4" w:space="0"/>
              <w:left w:val="single" w:color="000000" w:sz="4" w:space="0"/>
              <w:bottom w:val="single" w:color="000000" w:sz="4" w:space="0"/>
              <w:right w:val="single" w:color="000000" w:sz="4" w:space="0"/>
            </w:tcBorders>
            <w:noWrap/>
            <w:vAlign w:val="center"/>
          </w:tcPr>
          <w:p w14:paraId="358FD7CF">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24</w:t>
            </w:r>
          </w:p>
        </w:tc>
        <w:tc>
          <w:tcPr>
            <w:tcW w:w="5534" w:type="dxa"/>
            <w:tcBorders>
              <w:top w:val="single" w:color="000000" w:sz="4" w:space="0"/>
              <w:left w:val="single" w:color="000000" w:sz="4" w:space="0"/>
              <w:bottom w:val="single" w:color="000000" w:sz="4" w:space="0"/>
              <w:right w:val="single" w:color="000000" w:sz="4" w:space="0"/>
            </w:tcBorders>
            <w:vAlign w:val="center"/>
          </w:tcPr>
          <w:p w14:paraId="10EF8F60">
            <w:pPr>
              <w:keepNext w:val="0"/>
              <w:keepLines w:val="0"/>
              <w:suppressLineNumbers w:val="0"/>
              <w:spacing w:before="0" w:beforeAutospacing="0" w:after="0" w:afterAutospacing="0"/>
              <w:ind w:left="0" w:right="0"/>
              <w:rPr>
                <w:rFonts w:hint="eastAsia" w:ascii="宋体" w:hAnsi="宋体" w:eastAsia="宋体" w:cs="宋体"/>
                <w:highlight w:val="none"/>
                <w:lang w:val="en-US" w:eastAsia="zh-CN"/>
              </w:rPr>
            </w:pPr>
            <w:r>
              <w:rPr>
                <w:rFonts w:hint="eastAsia" w:ascii="宋体" w:hAnsi="宋体" w:cs="宋体"/>
                <w:highlight w:val="none"/>
                <w:lang w:val="en-US" w:eastAsia="zh-CN"/>
              </w:rPr>
              <w:t>3</w:t>
            </w:r>
            <w:r>
              <w:rPr>
                <w:rFonts w:hint="eastAsia" w:ascii="宋体" w:hAnsi="宋体" w:eastAsia="宋体" w:cs="宋体"/>
                <w:highlight w:val="none"/>
              </w:rPr>
              <w:t>年以上设备检修维护工作经验，不少于</w:t>
            </w:r>
            <w:r>
              <w:rPr>
                <w:rFonts w:hint="eastAsia" w:ascii="宋体" w:hAnsi="宋体" w:eastAsia="宋体" w:cs="宋体"/>
                <w:highlight w:val="none"/>
                <w:lang w:val="en-US" w:eastAsia="zh-CN"/>
              </w:rPr>
              <w:t>3</w:t>
            </w:r>
            <w:r>
              <w:rPr>
                <w:rFonts w:hint="eastAsia" w:ascii="宋体" w:hAnsi="宋体" w:eastAsia="宋体" w:cs="宋体"/>
                <w:highlight w:val="none"/>
              </w:rPr>
              <w:t>人持有中级钳工及以上技能，且全员熟练掌握汉语语言。作业人员中50%以上人员必须在石化或化工装置从业的经历</w:t>
            </w:r>
            <w:r>
              <w:rPr>
                <w:rFonts w:hint="eastAsia" w:ascii="宋体" w:hAnsi="宋体" w:eastAsia="宋体" w:cs="宋体"/>
                <w:highlight w:val="none"/>
                <w:lang w:eastAsia="zh-CN"/>
              </w:rPr>
              <w:t>。</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DE7EE1">
            <w:pPr>
              <w:keepNext w:val="0"/>
              <w:keepLines w:val="0"/>
              <w:suppressLineNumbers w:val="0"/>
              <w:spacing w:before="0" w:beforeAutospacing="0" w:after="0" w:afterAutospacing="0"/>
              <w:ind w:left="0" w:right="0"/>
              <w:jc w:val="center"/>
              <w:rPr>
                <w:rFonts w:hint="default" w:ascii="宋体" w:hAnsi="宋体"/>
                <w:color w:val="000000"/>
                <w:kern w:val="0"/>
                <w:lang w:bidi="ar"/>
              </w:rPr>
            </w:pPr>
          </w:p>
        </w:tc>
      </w:tr>
    </w:tbl>
    <w:p w14:paraId="65FBE901">
      <w:pPr>
        <w:snapToGrid w:val="0"/>
        <w:spacing w:line="360" w:lineRule="auto"/>
        <w:jc w:val="left"/>
        <w:rPr>
          <w:rStyle w:val="88"/>
          <w:b/>
        </w:rPr>
      </w:pPr>
    </w:p>
    <w:p w14:paraId="0DE62D8D">
      <w:pPr>
        <w:pStyle w:val="2"/>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lang w:val="en-US" w:eastAsia="zh-CN"/>
        </w:rPr>
      </w:pPr>
      <w:bookmarkStart w:id="17" w:name="_Toc29112"/>
      <w:r>
        <w:rPr>
          <w:rFonts w:hint="eastAsia"/>
          <w:sz w:val="28"/>
          <w:szCs w:val="13"/>
          <w:lang w:val="en-US" w:eastAsia="zh-CN"/>
        </w:rPr>
        <w:t>8 安全要求</w:t>
      </w:r>
      <w:bookmarkEnd w:id="17"/>
    </w:p>
    <w:p w14:paraId="2AE215B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8.1入厂资料要求：</w:t>
      </w:r>
    </w:p>
    <w:p w14:paraId="49165FE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8.1.1 投标方应该建立归档资料如下：</w:t>
      </w:r>
    </w:p>
    <w:p w14:paraId="3064F48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8.1.2 投标方管理人员对作业人员的安全技术交底记录（全员覆盖，新入职人员及时进行安全技术交底，纸质版留档）。</w:t>
      </w:r>
    </w:p>
    <w:p w14:paraId="50DE2F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8.1.3 投标方组织员工培训学习公司相关制度、管理规定、事故案例的学习记录。（电子版备查，要求有清晰的照片能证明所学内容，有清晰的扫描签到表）</w:t>
      </w:r>
    </w:p>
    <w:p w14:paraId="164F4A4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8.1.4 三级安全教育台账以及整套资料。</w:t>
      </w:r>
    </w:p>
    <w:p w14:paraId="03DBAA5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8.1.5 项目主管单位对制度、管理规定、操作规程提供的确认表。（纸质版留档）</w:t>
      </w:r>
    </w:p>
    <w:p w14:paraId="77F9968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8.1.6 项目主管单位对投标方组织进行培训学习记录。（常年维保单位每月一次）。（电子版备查，要求有清晰的照片能证明所学内容，有清晰的扫描签到表）</w:t>
      </w:r>
    </w:p>
    <w:p w14:paraId="6671A47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8.1.7 安健环协议以及交叉协议。（纸质版留档）</w:t>
      </w:r>
    </w:p>
    <w:p w14:paraId="08901AE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8.1.8 项目开工前条件确认表。（纸质版留档）</w:t>
      </w:r>
    </w:p>
    <w:p w14:paraId="6870CD1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8.1.9 安全生产责任书（层层签订）（纸质版留档）</w:t>
      </w:r>
    </w:p>
    <w:p w14:paraId="603C28C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8.1.10 合同以及附件。（纸质版留档）</w:t>
      </w:r>
    </w:p>
    <w:p w14:paraId="1C7DF8E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8.1.11 企业资质、专业外包资质。（电子版备查）</w:t>
      </w:r>
    </w:p>
    <w:p w14:paraId="3AA8C8A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8.1.12 管理人员授权书、任命书。（纸质版留档）</w:t>
      </w:r>
    </w:p>
    <w:p w14:paraId="575495C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8.1.13 投标方全员安全生产责任制。（纸质版留档）</w:t>
      </w:r>
    </w:p>
    <w:p w14:paraId="62E18F5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8.1.14 投标方应急预案。（纸质版留档）</w:t>
      </w:r>
    </w:p>
    <w:p w14:paraId="5A6C020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8.1.15 外包项目人员台账（及时更新）以及特种作业人员台账（电子版及时更新）。</w:t>
      </w:r>
    </w:p>
    <w:p w14:paraId="4F94FC4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8.1.16 所有审核审批的方案存档。（纸质版留档）</w:t>
      </w:r>
    </w:p>
    <w:p w14:paraId="57AFC08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8.1.17 安全生产费用使用台账（电子版台账，必须提供相关佐证资料例如发票等）。</w:t>
      </w:r>
    </w:p>
    <w:p w14:paraId="4F9C75D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8.1.18 外包项目所有人员的入厂健康体检、职业病体检报告（纸质版留档）,详细要求见附件16。</w:t>
      </w:r>
    </w:p>
    <w:p w14:paraId="4BBA7DF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8.2安全要求：</w:t>
      </w:r>
    </w:p>
    <w:p w14:paraId="2161CC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8.2.1 检修人员进行设备检修工作时，必须办理合格的工作票及各种特殊作业票。</w:t>
      </w:r>
    </w:p>
    <w:p w14:paraId="1B1C139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8.2.2 检修人员如需在脚手架上工作，必须系安全带方能上脚手架，并将安全带挂在固定牢固部件上，高挂低用。</w:t>
      </w:r>
    </w:p>
    <w:p w14:paraId="3B99839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8.2.3 设备所有零部件，应按要求摆放在指定的地点, 妥善保管。工作中轻起轻落,不准将设备或零部件直接放在地面上，在检修现场必须垫上橡胶垫，以防工具、零件等掉在地上。</w:t>
      </w:r>
    </w:p>
    <w:p w14:paraId="4044E63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8.2.4 检修现场应尽量避免上下交叉作业，如无法避免，应在监护人的监督下，由工作负责人统一指挥，上方检修人员应系好安全带、所用工器具系好安全绳并确保防坠落安全措施已执行到位；下方检修人员，应在工作负责人确认安全措施已执行到位后，方可进入现场工作，并做好事故预想，工作时做到注意力集中，保持上下通信畅通。</w:t>
      </w:r>
    </w:p>
    <w:p w14:paraId="3371BEE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8.2.5 现场工作人员应精神状态良好、无有碍工作的疾病，并不得酒后上班。</w:t>
      </w:r>
    </w:p>
    <w:p w14:paraId="1EE496C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8.2.6 进入生产场所的所有人员包括管理人员必须戴好安全帽。</w:t>
      </w:r>
    </w:p>
    <w:p w14:paraId="1AA7489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8.2.7 动火作业按要求办理好动火作业工作票，注意火星的控制。</w:t>
      </w:r>
    </w:p>
    <w:p w14:paraId="287FE23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8.2.8 容器内作业注意通风，外部设专业监护，防止中毒窒息。</w:t>
      </w:r>
    </w:p>
    <w:p w14:paraId="1FA858B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8.2.9 必须严格遵守安全监察部制定的八大特殊作业等安全管理制度要求。</w:t>
      </w:r>
    </w:p>
    <w:p w14:paraId="3161D87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8.3 安全生产七大禁令</w:t>
      </w:r>
    </w:p>
    <w:p w14:paraId="2F6C98C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Style w:val="88"/>
          <w:rFonts w:hint="eastAsia"/>
          <w:b/>
        </w:rPr>
      </w:pPr>
      <w:r>
        <w:rPr>
          <w:rFonts w:hint="eastAsia" w:ascii="宋体" w:hAnsi="宋体"/>
          <w:sz w:val="24"/>
          <w:szCs w:val="24"/>
          <w:lang w:val="en-US" w:eastAsia="zh-CN"/>
        </w:rPr>
        <w:t>8.3.1 严禁在生产装置区内吸烟。</w:t>
      </w:r>
    </w:p>
    <w:p w14:paraId="2DAF0A1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8.3.2 严禁高处作业不使用安全带。</w:t>
      </w:r>
    </w:p>
    <w:p w14:paraId="23D1E00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8.3.3 严禁违章指挥、强令他人违章冒险作业。</w:t>
      </w:r>
    </w:p>
    <w:p w14:paraId="13B42A9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8.3.4 严禁未经许可进行受限空间作业、动火作业。</w:t>
      </w:r>
    </w:p>
    <w:p w14:paraId="7A81C47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8.3.5 严禁无证进行电气、架子、叉车、电气焊作业。</w:t>
      </w:r>
    </w:p>
    <w:p w14:paraId="0B2FF94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8.3.6 严禁未经审批或许可，取消或退出安全联锁。</w:t>
      </w:r>
    </w:p>
    <w:p w14:paraId="752ACB8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8.3.7 严禁未经许可关闭、破坏直接关系生产安全的报警、防护、救生设备、设施，不得篡改、销毁其相关数据、信息。</w:t>
      </w:r>
    </w:p>
    <w:p w14:paraId="2C830C05">
      <w:pPr>
        <w:rPr>
          <w:rStyle w:val="88"/>
          <w:b/>
        </w:rPr>
      </w:pPr>
    </w:p>
    <w:p w14:paraId="209FE9C6">
      <w:pPr>
        <w:pStyle w:val="2"/>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default"/>
          <w:sz w:val="28"/>
          <w:szCs w:val="13"/>
          <w:lang w:val="en-US" w:eastAsia="zh-CN"/>
        </w:rPr>
      </w:pPr>
      <w:bookmarkStart w:id="18" w:name="_Toc2314"/>
      <w:r>
        <w:rPr>
          <w:rFonts w:hint="eastAsia"/>
          <w:sz w:val="28"/>
          <w:szCs w:val="13"/>
          <w:lang w:val="en-US" w:eastAsia="zh-CN"/>
        </w:rPr>
        <w:t>9 双方职责</w:t>
      </w:r>
      <w:bookmarkEnd w:id="18"/>
    </w:p>
    <w:p w14:paraId="38ABCAB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sz w:val="24"/>
          <w:szCs w:val="24"/>
          <w:lang w:val="en-US" w:eastAsia="zh-CN"/>
        </w:rPr>
      </w:pPr>
      <w:r>
        <w:rPr>
          <w:rFonts w:hint="eastAsia" w:ascii="宋体" w:hAnsi="宋体"/>
          <w:sz w:val="24"/>
          <w:szCs w:val="24"/>
          <w:lang w:val="en-US" w:eastAsia="zh-CN"/>
        </w:rPr>
        <w:t>9.1 招标方职责</w:t>
      </w:r>
    </w:p>
    <w:p w14:paraId="1E323AF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9.1.1 对项目安全、质量及进度实施全过程管理，安全管理实行统一牵头、统一指挥、统一管理及考核，对存在的各类安全隐患及时督促整改。</w:t>
      </w:r>
    </w:p>
    <w:p w14:paraId="4F1AA1C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9.1.2 对投标方提出的各种技术方案进行审核和批准。</w:t>
      </w:r>
    </w:p>
    <w:p w14:paraId="5125423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sz w:val="24"/>
          <w:szCs w:val="24"/>
          <w:lang w:val="en-US" w:eastAsia="zh-CN"/>
        </w:rPr>
      </w:pPr>
      <w:r>
        <w:rPr>
          <w:rFonts w:hint="eastAsia" w:ascii="宋体" w:hAnsi="宋体"/>
          <w:sz w:val="24"/>
          <w:szCs w:val="24"/>
          <w:lang w:val="en-US" w:eastAsia="zh-CN"/>
        </w:rPr>
        <w:t>9.1.3 负责</w:t>
      </w:r>
      <w:r>
        <w:rPr>
          <w:rFonts w:hint="eastAsia" w:ascii="宋体" w:hAnsi="宋体" w:eastAsia="宋体" w:cs="Times New Roman"/>
          <w:sz w:val="24"/>
          <w:szCs w:val="24"/>
        </w:rPr>
        <w:t>报废物资和退库物资手续办理，投标方运送至指定地点。</w:t>
      </w:r>
    </w:p>
    <w:p w14:paraId="50F0EAE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eastAsia="宋体" w:cs="Times New Roman"/>
          <w:sz w:val="24"/>
          <w:szCs w:val="24"/>
          <w:lang w:val="en-US" w:eastAsia="zh-CN"/>
        </w:rPr>
      </w:pPr>
      <w:r>
        <w:rPr>
          <w:rFonts w:hint="eastAsia" w:ascii="宋体" w:hAnsi="宋体" w:cs="Times New Roman"/>
          <w:sz w:val="24"/>
          <w:szCs w:val="24"/>
          <w:lang w:val="en-US" w:eastAsia="zh-CN"/>
        </w:rPr>
        <w:t>9.1.5 负责</w:t>
      </w:r>
      <w:r>
        <w:rPr>
          <w:rFonts w:hint="default" w:ascii="宋体" w:hAnsi="宋体" w:eastAsia="宋体" w:cs="Times New Roman"/>
          <w:sz w:val="24"/>
          <w:szCs w:val="24"/>
          <w:lang w:val="en-US" w:eastAsia="zh-CN"/>
        </w:rPr>
        <w:t>检修项目涉及的水、电、脚手架搭设、保温的拆装、恢复等工作。</w:t>
      </w:r>
    </w:p>
    <w:p w14:paraId="09A797D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8.1.6 根据招标方的相关事故调查规定，当发生不安全情况时,必要时组织投标方进行事故调查处理。</w:t>
      </w:r>
    </w:p>
    <w:p w14:paraId="63BDAC0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9.1.7 向投标方提供有关设备资料及有关生产、管理需要的上级文件，并及时答复投标方提出的有关生产、管理中发生的问题。</w:t>
      </w:r>
    </w:p>
    <w:p w14:paraId="46F8300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9.1.8 负责组织内部检修协调会议，并负责投标方与其它相关单位的工作协调。</w:t>
      </w:r>
    </w:p>
    <w:p w14:paraId="3BF6CB6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9.1.9 为投标方提供本承包范围范围系统设备设计、制造、安装、调试、运行、维护的图纸资料（包括设备的技术规范、竣工图纸、运行及维护手册或说明书等投标方履行本合同所需的资料）的收集和管理便利，避免影响检修进度和质量。</w:t>
      </w:r>
    </w:p>
    <w:p w14:paraId="5690424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9.1.10 按本承包合同规定，及时向投标方支付各种费用。</w:t>
      </w:r>
    </w:p>
    <w:p w14:paraId="66B51F4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9.1.11 参加检修项目的验收工作。</w:t>
      </w:r>
    </w:p>
    <w:p w14:paraId="0291649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9.1.12 检修所需的项目车辆由招标方统一负责协调。</w:t>
      </w:r>
    </w:p>
    <w:p w14:paraId="40F7AE59">
      <w:pPr>
        <w:snapToGrid w:val="0"/>
        <w:spacing w:line="360" w:lineRule="auto"/>
        <w:jc w:val="left"/>
        <w:rPr>
          <w:rStyle w:val="88"/>
          <w:rFonts w:ascii="宋体" w:hAnsi="宋体" w:cs="宋体"/>
          <w:bCs/>
        </w:rPr>
      </w:pPr>
      <w:r>
        <w:rPr>
          <w:rStyle w:val="88"/>
          <w:rFonts w:hint="eastAsia" w:ascii="宋体" w:hAnsi="宋体" w:cs="宋体"/>
          <w:bCs/>
          <w:lang w:val="en-US" w:eastAsia="zh-CN"/>
        </w:rPr>
        <w:t>9</w:t>
      </w:r>
      <w:r>
        <w:rPr>
          <w:rStyle w:val="88"/>
          <w:rFonts w:hint="eastAsia" w:ascii="宋体" w:hAnsi="宋体" w:cs="宋体"/>
          <w:bCs/>
        </w:rPr>
        <w:t>.1.1</w:t>
      </w:r>
      <w:r>
        <w:rPr>
          <w:rStyle w:val="88"/>
          <w:rFonts w:hint="eastAsia" w:ascii="宋体" w:hAnsi="宋体" w:cs="宋体"/>
          <w:bCs/>
          <w:lang w:val="en-US" w:eastAsia="zh-CN"/>
        </w:rPr>
        <w:t xml:space="preserve">3 </w:t>
      </w:r>
      <w:r>
        <w:rPr>
          <w:rStyle w:val="88"/>
          <w:rFonts w:hint="eastAsia" w:ascii="宋体" w:hAnsi="宋体" w:cs="宋体"/>
          <w:bCs/>
        </w:rPr>
        <w:t>招标方有权收取提供给承包商生活使用的电费及食堂管理费。</w:t>
      </w:r>
    </w:p>
    <w:p w14:paraId="23B056D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sz w:val="24"/>
          <w:szCs w:val="24"/>
          <w:lang w:val="en-US" w:eastAsia="zh-CN"/>
        </w:rPr>
      </w:pPr>
      <w:r>
        <w:rPr>
          <w:rFonts w:hint="eastAsia" w:ascii="宋体" w:hAnsi="宋体"/>
          <w:sz w:val="24"/>
          <w:szCs w:val="24"/>
          <w:lang w:val="en-US" w:eastAsia="zh-CN"/>
        </w:rPr>
        <w:t>9.2 投标方职责</w:t>
      </w:r>
    </w:p>
    <w:p w14:paraId="65965F5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9.2.1投标方在接到中标通知书后1个月内，将本项目组织机构、质量措施、安全措施、组织措施等文件（不限上列内容）报招标方审核。在检修开始一周前将工作负责人及工作票签发人名单、工作人员名单、特殊工种人员名单及资质材料报招标方审核。</w:t>
      </w:r>
    </w:p>
    <w:p w14:paraId="62BC736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9.2.2</w:t>
      </w:r>
      <w:r>
        <w:rPr>
          <w:rFonts w:hint="eastAsia" w:ascii="宋体" w:hAnsi="宋体" w:eastAsia="宋体" w:cs="Times New Roman"/>
          <w:sz w:val="24"/>
          <w:szCs w:val="24"/>
        </w:rPr>
        <w:t xml:space="preserve"> 本项目所需要的票证办理、施工准备由投标方负责。</w:t>
      </w:r>
    </w:p>
    <w:p w14:paraId="77DF465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9.2</w:t>
      </w:r>
      <w:r>
        <w:rPr>
          <w:rFonts w:hint="eastAsia" w:ascii="宋体" w:hAnsi="宋体" w:eastAsia="宋体" w:cs="Times New Roman"/>
          <w:sz w:val="24"/>
          <w:szCs w:val="24"/>
        </w:rPr>
        <w:t>.3 投标人必须在开工前十天将</w:t>
      </w:r>
      <w:r>
        <w:rPr>
          <w:rFonts w:hint="eastAsia" w:ascii="宋体" w:hAnsi="宋体" w:cs="Times New Roman"/>
          <w:sz w:val="24"/>
          <w:szCs w:val="24"/>
          <w:lang w:val="en-US" w:eastAsia="zh-CN"/>
        </w:rPr>
        <w:t>检修</w:t>
      </w:r>
      <w:r>
        <w:rPr>
          <w:rFonts w:hint="eastAsia" w:ascii="宋体" w:hAnsi="宋体" w:eastAsia="宋体" w:cs="Times New Roman"/>
          <w:sz w:val="24"/>
          <w:szCs w:val="24"/>
        </w:rPr>
        <w:t>消耗性材料清单发给招标人审阅。且在开工前一周将工器具、消耗性材料运至招标人检修现场（由投标人自行保管）。</w:t>
      </w:r>
    </w:p>
    <w:p w14:paraId="21CD381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9.2</w:t>
      </w:r>
      <w:r>
        <w:rPr>
          <w:rFonts w:hint="eastAsia" w:ascii="宋体" w:hAnsi="宋体" w:eastAsia="宋体" w:cs="Times New Roman"/>
          <w:sz w:val="24"/>
          <w:szCs w:val="24"/>
        </w:rPr>
        <w:t>.4 本项目检修所用的工器具必须保证完好，且校验合格（现场使用的计量工器具，须有检验合格证及检验时间，过期未检验计量工器具严禁带入现场使用），投标人保证在施工过程中使用的工器具是安全和可靠的，不会造成事故，否则，投标人承担由此引起的相应责任。出厂前要按照清单进行清点，并由招标人签字认可，确保现场无施工遗留工具。</w:t>
      </w:r>
    </w:p>
    <w:p w14:paraId="64D0F65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9.2</w:t>
      </w:r>
      <w:r>
        <w:rPr>
          <w:rFonts w:hint="eastAsia" w:ascii="宋体" w:hAnsi="宋体" w:eastAsia="宋体" w:cs="Times New Roman"/>
          <w:sz w:val="24"/>
          <w:szCs w:val="24"/>
        </w:rPr>
        <w:t>.5 所有的耗材均需采购国内合格产品，凡是没有标签、生产日期的消耗性材料一律不得采用，杜绝伪劣产品使用在工作中。投标人提出新型材料的使用前必须报招标人批准后方可使用。</w:t>
      </w:r>
    </w:p>
    <w:p w14:paraId="6FB4BFD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9.2</w:t>
      </w:r>
      <w:r>
        <w:rPr>
          <w:rFonts w:hint="eastAsia" w:ascii="宋体" w:hAnsi="宋体" w:eastAsia="宋体" w:cs="Times New Roman"/>
          <w:sz w:val="24"/>
          <w:szCs w:val="24"/>
        </w:rPr>
        <w:t>.6 投标方负责做好承包维护设备范围内的装置性设施（如平台、栏杆、现场专用检修平台等）的维护及保养等工作, 保持设备及生产场地的清洁卫生。</w:t>
      </w:r>
    </w:p>
    <w:p w14:paraId="19FF50D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9.2.7 检修过程中产生的废料和垃圾的清理、转运由投标方负责（转运地点由招标方指定）。</w:t>
      </w:r>
    </w:p>
    <w:p w14:paraId="32CDBA5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9.2.8 负责完成机务专业检修中和检修结束后需进行的各种试验和调试（含电气、仪控专业需机务配合完成的项目）。</w:t>
      </w:r>
    </w:p>
    <w:p w14:paraId="4704B7F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sz w:val="24"/>
          <w:szCs w:val="24"/>
          <w:lang w:val="en-US" w:eastAsia="zh-CN"/>
        </w:rPr>
      </w:pPr>
      <w:r>
        <w:rPr>
          <w:rFonts w:hint="eastAsia" w:ascii="宋体" w:hAnsi="宋体" w:cs="Times New Roman"/>
          <w:sz w:val="24"/>
          <w:szCs w:val="24"/>
          <w:lang w:val="en-US" w:eastAsia="zh-CN"/>
        </w:rPr>
        <w:t>9.2.9 投标方应尽其最大努力减少维护人员的流动和更换，同时招标方有权建议更换任何不合适的人员。投标方在招用员工时要审查核实是否与另外单位项目用工重合。</w:t>
      </w:r>
    </w:p>
    <w:p w14:paraId="0A411A0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9.2.10 投标人应根据项目内容、时间进度和招标方要求，配置足够人员。</w:t>
      </w:r>
    </w:p>
    <w:p w14:paraId="3A8EFA6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9.2.11 投标人应及时将遇到的技术问题通知招标人，并积极处理和解决。</w:t>
      </w:r>
    </w:p>
    <w:p w14:paraId="61ECB8D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9.2.12 投标人应制订施工方案、焊接工艺卡和项目进度表。</w:t>
      </w:r>
    </w:p>
    <w:p w14:paraId="69468B8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9.2.13 投标方检修所做的各项检修技术记录、检查试验（校验）报告、安装调试文件、设计说明、测绘图纸及相关计算书等必须齐全准确、符合招标方归档要求，并及时提供给招标方。</w:t>
      </w:r>
    </w:p>
    <w:p w14:paraId="2CA019D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9.2.14 投标方所有人员薪金结算必须由第三方（银行）支付到员工。</w:t>
      </w:r>
    </w:p>
    <w:p w14:paraId="049504C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9.2.15 安全生产费用专款专用，必须用于安全相关费用支出。</w:t>
      </w:r>
    </w:p>
    <w:p w14:paraId="49D009E4">
      <w:pPr>
        <w:pStyle w:val="2"/>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default"/>
          <w:sz w:val="28"/>
          <w:szCs w:val="13"/>
          <w:lang w:val="en-US" w:eastAsia="zh-CN"/>
        </w:rPr>
      </w:pPr>
      <w:bookmarkStart w:id="19" w:name="_Toc1184"/>
      <w:r>
        <w:rPr>
          <w:rFonts w:hint="eastAsia"/>
          <w:sz w:val="28"/>
          <w:szCs w:val="13"/>
          <w:lang w:val="en-US" w:eastAsia="zh-CN"/>
        </w:rPr>
        <w:t xml:space="preserve">10 </w:t>
      </w:r>
      <w:r>
        <w:rPr>
          <w:rFonts w:hint="eastAsia"/>
          <w:sz w:val="28"/>
          <w:szCs w:val="13"/>
          <w:rPrChange w:id="0" w:author="段炯" w:date="2026-01-19T10:47:51Z">
            <w:rPr>
              <w:rFonts w:hint="eastAsia"/>
            </w:rPr>
          </w:rPrChange>
        </w:rPr>
        <w:t>安健环及文明施工、危险源（环境因素）控制要求</w:t>
      </w:r>
      <w:bookmarkEnd w:id="19"/>
    </w:p>
    <w:p w14:paraId="76B6FF1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10.1 贯彻“谁施工、谁负责安全”的管理原则。</w:t>
      </w:r>
    </w:p>
    <w:p w14:paraId="16C6B77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10.2 </w:t>
      </w:r>
      <w:r>
        <w:rPr>
          <w:rFonts w:hint="eastAsia" w:ascii="宋体" w:hAnsi="宋体" w:eastAsia="宋体" w:cs="Times New Roman"/>
          <w:sz w:val="24"/>
          <w:szCs w:val="24"/>
        </w:rPr>
        <w:t>所有作业人员必须经过安全培训方可上岗，作业时必须严格按照相关要求穿戴劳保用品；</w:t>
      </w:r>
    </w:p>
    <w:p w14:paraId="1AAFCEB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10.3 </w:t>
      </w:r>
      <w:r>
        <w:rPr>
          <w:rFonts w:hint="eastAsia" w:ascii="宋体" w:hAnsi="宋体" w:eastAsia="宋体" w:cs="Times New Roman"/>
          <w:sz w:val="24"/>
          <w:szCs w:val="24"/>
        </w:rPr>
        <w:t>涉及到高风险作业时，必须由投标人及招标人双方共同监护的情况下方可作业；</w:t>
      </w:r>
    </w:p>
    <w:p w14:paraId="1A6A656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lang w:eastAsia="zh-CN"/>
        </w:rPr>
      </w:pPr>
      <w:r>
        <w:rPr>
          <w:rFonts w:hint="eastAsia" w:ascii="宋体" w:hAnsi="宋体" w:cs="Times New Roman"/>
          <w:sz w:val="24"/>
          <w:szCs w:val="24"/>
          <w:lang w:val="en-US" w:eastAsia="zh-CN"/>
        </w:rPr>
        <w:t xml:space="preserve">10.4 </w:t>
      </w:r>
      <w:r>
        <w:rPr>
          <w:rFonts w:hint="eastAsia" w:ascii="宋体" w:hAnsi="宋体" w:eastAsia="宋体" w:cs="Times New Roman"/>
          <w:sz w:val="24"/>
          <w:szCs w:val="24"/>
        </w:rPr>
        <w:t>投标方的工作人员必须严格遵守招标方的管理要求，严格按安全规程文明施工，服从招标方生产调度，接受招标方文明生产考核。投标方必须有安全员，制定与本</w:t>
      </w:r>
      <w:r>
        <w:rPr>
          <w:rFonts w:hint="eastAsia" w:ascii="宋体" w:hAnsi="宋体" w:cs="Times New Roman"/>
          <w:sz w:val="24"/>
          <w:szCs w:val="24"/>
          <w:lang w:eastAsia="zh-CN"/>
        </w:rPr>
        <w:t>项目</w:t>
      </w:r>
      <w:r>
        <w:rPr>
          <w:rFonts w:hint="eastAsia" w:ascii="宋体" w:hAnsi="宋体" w:eastAsia="宋体" w:cs="Times New Roman"/>
          <w:sz w:val="24"/>
          <w:szCs w:val="24"/>
        </w:rPr>
        <w:t>有关的安全措施。针对有可能发生火灾、爆炸、触电、高空坠落、中毒、窒息、机械伤害、烧烫伤等危险或引起严重设备事故的施工，投标方应事先向招标方详细了解情况，并制定施工安全技术措施，经招标方确认后实施。针对高空作业、交叉、动火等特殊作业，必须制定并落实针对性的安全防范保护措施，确保人身、设备、施工机械的安全。投标方还应落实好保证消防安全的措施，施工时注意留出安全消防通道，不得妨碍交通</w:t>
      </w:r>
      <w:r>
        <w:rPr>
          <w:rFonts w:hint="eastAsia" w:ascii="宋体" w:hAnsi="宋体" w:cs="Times New Roman"/>
          <w:sz w:val="24"/>
          <w:szCs w:val="24"/>
          <w:lang w:eastAsia="zh-CN"/>
        </w:rPr>
        <w:t>、</w:t>
      </w:r>
      <w:r>
        <w:rPr>
          <w:rFonts w:hint="eastAsia" w:ascii="宋体" w:hAnsi="宋体" w:cs="Times New Roman"/>
          <w:sz w:val="24"/>
          <w:szCs w:val="24"/>
          <w:lang w:val="en-US" w:eastAsia="zh-CN"/>
        </w:rPr>
        <w:t>通行</w:t>
      </w:r>
      <w:r>
        <w:rPr>
          <w:rFonts w:hint="eastAsia" w:ascii="宋体" w:hAnsi="宋体" w:eastAsia="宋体" w:cs="Times New Roman"/>
          <w:sz w:val="24"/>
          <w:szCs w:val="24"/>
        </w:rPr>
        <w:t>。作业人员在作业区域内必须遵守招标方安全管理的有关规定和制度，佩好胸卡，戴好安全帽等个人安全器具，不准进入与作业无关的区域，并随时接受招标方的项目负责人的工作指导和安监人员现场的安全监督。</w:t>
      </w:r>
    </w:p>
    <w:p w14:paraId="3622FFB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10.5 </w:t>
      </w:r>
      <w:r>
        <w:rPr>
          <w:rFonts w:hint="eastAsia" w:ascii="宋体" w:hAnsi="宋体" w:eastAsia="宋体" w:cs="Times New Roman"/>
          <w:sz w:val="24"/>
          <w:szCs w:val="24"/>
        </w:rPr>
        <w:t>投标方</w:t>
      </w:r>
      <w:r>
        <w:rPr>
          <w:rFonts w:hint="eastAsia" w:ascii="宋体" w:hAnsi="宋体" w:cs="Times New Roman"/>
          <w:sz w:val="24"/>
          <w:szCs w:val="24"/>
          <w:lang w:eastAsia="zh-CN"/>
        </w:rPr>
        <w:t>项目负责人</w:t>
      </w:r>
      <w:r>
        <w:rPr>
          <w:rFonts w:hint="eastAsia" w:ascii="宋体" w:hAnsi="宋体" w:eastAsia="宋体" w:cs="Times New Roman"/>
          <w:sz w:val="24"/>
          <w:szCs w:val="24"/>
        </w:rPr>
        <w:t>是本</w:t>
      </w:r>
      <w:r>
        <w:rPr>
          <w:rFonts w:hint="eastAsia" w:ascii="宋体" w:hAnsi="宋体" w:cs="Times New Roman"/>
          <w:sz w:val="24"/>
          <w:szCs w:val="24"/>
          <w:lang w:val="en-US" w:eastAsia="zh-CN"/>
        </w:rPr>
        <w:t>项目</w:t>
      </w:r>
      <w:r>
        <w:rPr>
          <w:rFonts w:hint="eastAsia" w:ascii="宋体" w:hAnsi="宋体" w:eastAsia="宋体" w:cs="Times New Roman"/>
          <w:sz w:val="24"/>
          <w:szCs w:val="24"/>
        </w:rPr>
        <w:t>的安全工作的第一责任人，对本</w:t>
      </w:r>
      <w:r>
        <w:rPr>
          <w:rFonts w:hint="eastAsia" w:ascii="宋体" w:hAnsi="宋体" w:cs="Times New Roman"/>
          <w:sz w:val="24"/>
          <w:szCs w:val="24"/>
          <w:lang w:val="en-US" w:eastAsia="zh-CN"/>
        </w:rPr>
        <w:t>项目</w:t>
      </w:r>
      <w:r>
        <w:rPr>
          <w:rFonts w:hint="eastAsia" w:ascii="宋体" w:hAnsi="宋体" w:eastAsia="宋体" w:cs="Times New Roman"/>
          <w:sz w:val="24"/>
          <w:szCs w:val="24"/>
        </w:rPr>
        <w:t>工作期间所有施工项目的实施过程中涉及的安全负责，以及施工现场、施工过程中的安全负责。投标方参加施工的特种作业人员和特种设备作业人员必须具备政府主管部门（车间）颁发的有效证书或证明，提交招标方审核、备案。</w:t>
      </w:r>
    </w:p>
    <w:p w14:paraId="050A708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10.6 投标方负责对本单位施工人员进行安全生产教育和安全考试，考试合格后方可参与项目相关工作。安全教育培训应形成书面记录，并由本人签名确认。未经安全生产教育以及培训考核不合格的工作人员，不得上岗作业。受教育人员的名单和考试成绩必须报招标方安全环保部备案，凡增补或调换人员，更换工种，必须及时进行安全教育和考试，考试成绩报招标方安全环保部备案。未接受安全教育和安全考试不合格者不得进入现场施工。</w:t>
      </w:r>
    </w:p>
    <w:p w14:paraId="262FAF7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10.7 投标方应接受招标方的监督、检查和指导。对于招标方查出的隐患及问题，投标方必须限期整改。当招标方认为确实有必要暂停施工，并提出要求投标方暂停施工意见后，投标方应当按招标方要求停止施工。投标方实施处理意见后，以书面形式向招标方提出复工要求。在招标方组织验收并签字同意后，投标方重新施工。对招标方违反安全生产规定、制度的要求，投标方有权拒绝执行，有权要求招标方改进。</w:t>
      </w:r>
    </w:p>
    <w:p w14:paraId="0C89ED6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default" w:ascii="宋体" w:hAnsi="宋体" w:cs="Times New Roman"/>
          <w:sz w:val="24"/>
          <w:szCs w:val="24"/>
          <w:lang w:val="en-US" w:eastAsia="zh-CN"/>
        </w:rPr>
      </w:pPr>
      <w:r>
        <w:rPr>
          <w:rFonts w:hint="eastAsia" w:ascii="宋体" w:hAnsi="宋体" w:cs="Times New Roman"/>
          <w:sz w:val="24"/>
          <w:szCs w:val="24"/>
          <w:lang w:val="en-US" w:eastAsia="zh-CN"/>
        </w:rPr>
        <w:t>10.8 各种安全防护设施如：遮栏、安全标志牌、警告牌、接地线、脚手架结构等不得擅自拆除、变更。如确实需要拆除、变更的，必须经招标方项目主管部门负责人和上述安全设施、标志设置单位（人员）同意，采取必要、可靠的安全措施后，方能拆除、变更现场安全防护设施。投标方因施工需要设置的安全防护设施、安全标志牌，其他人员不得擅自拆除，投方在项目完成后应及时拆除，不得无故延误。</w:t>
      </w:r>
    </w:p>
    <w:p w14:paraId="72A58A3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10.9 </w:t>
      </w:r>
      <w:r>
        <w:rPr>
          <w:rFonts w:hint="eastAsia" w:ascii="宋体" w:hAnsi="宋体" w:eastAsia="宋体" w:cs="Times New Roman"/>
          <w:sz w:val="24"/>
          <w:szCs w:val="24"/>
        </w:rPr>
        <w:t>招标人已经将水、电源提供到检修区就近的地方，投标人必须按照国家有关规范、安全的要求自行连接到使用地点，并负责水、电线路及装置日常维护和管理。</w:t>
      </w:r>
    </w:p>
    <w:p w14:paraId="21AD945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10.10 </w:t>
      </w:r>
      <w:r>
        <w:rPr>
          <w:rFonts w:hint="eastAsia" w:ascii="宋体" w:hAnsi="宋体" w:eastAsia="宋体" w:cs="Times New Roman"/>
          <w:sz w:val="24"/>
          <w:szCs w:val="24"/>
        </w:rPr>
        <w:t>投标人必须按国家颁布的安全规范及要求进行施工。</w:t>
      </w:r>
    </w:p>
    <w:p w14:paraId="0204731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10.11 </w:t>
      </w:r>
      <w:r>
        <w:rPr>
          <w:rFonts w:hint="eastAsia" w:ascii="宋体" w:hAnsi="宋体" w:eastAsia="宋体" w:cs="Times New Roman"/>
          <w:sz w:val="24"/>
          <w:szCs w:val="24"/>
        </w:rPr>
        <w:t>投标人在规定的施工场地内施工，不得随意占用厂内的主干道。施工的临时设施，各类加工场地及堆棚、用电、用水，要符合安全要求，要有管理制度。各类施工机具堆放整齐，要设有安全及文明安装的标牌。</w:t>
      </w:r>
    </w:p>
    <w:p w14:paraId="76E6201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10.12 </w:t>
      </w:r>
      <w:r>
        <w:rPr>
          <w:rFonts w:hint="eastAsia" w:ascii="宋体" w:hAnsi="宋体" w:eastAsia="宋体" w:cs="Times New Roman"/>
          <w:sz w:val="24"/>
          <w:szCs w:val="24"/>
        </w:rPr>
        <w:t>保证安装现场清洁整齐，材料分类堆码整齐，施工剩余物资、边角余料、垃圾等均由投标人收集并运到招标人指定地点，并不得增加任何费用。</w:t>
      </w:r>
    </w:p>
    <w:p w14:paraId="6F39FDB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10.13 </w:t>
      </w:r>
      <w:r>
        <w:rPr>
          <w:rFonts w:hint="eastAsia" w:ascii="宋体" w:hAnsi="宋体" w:eastAsia="宋体" w:cs="Times New Roman"/>
          <w:sz w:val="24"/>
          <w:szCs w:val="24"/>
        </w:rPr>
        <w:t>投标人负责施工区域的安全、保卫工作及施工照明，采取有效措施确保施工安全，杜绝重大人身伤亡及设备事故。如因投标人安全措施不到位而发生责任事故，全部损失由投标人承担。</w:t>
      </w:r>
    </w:p>
    <w:p w14:paraId="7551C5B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10.14 </w:t>
      </w:r>
      <w:r>
        <w:rPr>
          <w:rFonts w:hint="eastAsia" w:ascii="宋体" w:hAnsi="宋体" w:eastAsia="宋体" w:cs="Times New Roman"/>
          <w:sz w:val="24"/>
          <w:szCs w:val="24"/>
        </w:rPr>
        <w:t>投标人必须具备安装所需的各类规范、国家标准，各类有关的技术标准等技术资料，招标人认为有必要时，必须无条件提供。</w:t>
      </w:r>
    </w:p>
    <w:p w14:paraId="16A19D5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10.15 </w:t>
      </w:r>
      <w:r>
        <w:rPr>
          <w:rFonts w:hint="eastAsia" w:ascii="宋体" w:hAnsi="宋体" w:eastAsia="宋体" w:cs="Times New Roman"/>
          <w:sz w:val="24"/>
          <w:szCs w:val="24"/>
        </w:rPr>
        <w:t>投标人必须在合同意向确认后，立即组织有关施工人员进驻现场，向招标人提供开工报告、组织施工方案、安全承诺书、质量保证措施，及各项施工准备（机具和人员）。</w:t>
      </w:r>
    </w:p>
    <w:p w14:paraId="66DB560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cs="宋体"/>
          <w:sz w:val="24"/>
          <w:szCs w:val="24"/>
          <w:lang w:val="en-US" w:eastAsia="zh-CN"/>
        </w:rPr>
        <w:t>10.16 项目</w:t>
      </w:r>
      <w:r>
        <w:rPr>
          <w:rFonts w:hint="eastAsia" w:ascii="宋体" w:hAnsi="宋体" w:eastAsia="宋体" w:cs="宋体"/>
          <w:sz w:val="24"/>
          <w:szCs w:val="24"/>
        </w:rPr>
        <w:t>开工后，投标人要与招标人单位密切配合，为施工创造条件；施工交叉作业时，要服从招标人的统一协调安排。</w:t>
      </w:r>
    </w:p>
    <w:p w14:paraId="5844F62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cs="宋体"/>
          <w:sz w:val="24"/>
          <w:szCs w:val="24"/>
          <w:lang w:val="en-US" w:eastAsia="zh-CN"/>
        </w:rPr>
        <w:t xml:space="preserve">10.17 </w:t>
      </w:r>
      <w:r>
        <w:rPr>
          <w:rFonts w:hint="eastAsia" w:ascii="宋体" w:hAnsi="宋体" w:eastAsia="宋体" w:cs="宋体"/>
          <w:sz w:val="24"/>
          <w:szCs w:val="24"/>
        </w:rPr>
        <w:t>全体施工工作人员必须严格遵守施工</w:t>
      </w:r>
      <w:r>
        <w:rPr>
          <w:rFonts w:hint="eastAsia" w:ascii="宋体" w:hAnsi="宋体" w:cs="宋体"/>
          <w:sz w:val="24"/>
          <w:szCs w:val="24"/>
          <w:lang w:eastAsia="zh-CN"/>
        </w:rPr>
        <w:t>项目</w:t>
      </w:r>
      <w:r>
        <w:rPr>
          <w:rFonts w:hint="eastAsia" w:ascii="宋体" w:hAnsi="宋体" w:eastAsia="宋体" w:cs="宋体"/>
          <w:sz w:val="24"/>
          <w:szCs w:val="24"/>
        </w:rPr>
        <w:t>所在地的有关规定，由于违反规定而发生的一切后果由投标人自负。</w:t>
      </w:r>
    </w:p>
    <w:p w14:paraId="3D2A7E0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cs="宋体"/>
          <w:sz w:val="24"/>
          <w:szCs w:val="24"/>
          <w:lang w:val="en-US" w:eastAsia="zh-CN"/>
        </w:rPr>
        <w:t xml:space="preserve">10.18 </w:t>
      </w:r>
      <w:r>
        <w:rPr>
          <w:rFonts w:hint="eastAsia" w:ascii="宋体" w:hAnsi="宋体" w:eastAsia="宋体" w:cs="宋体"/>
          <w:sz w:val="24"/>
          <w:szCs w:val="24"/>
        </w:rPr>
        <w:t>投标人在容器内施工应符合安全规范，并做好上下交叉作业的安全措施。</w:t>
      </w:r>
    </w:p>
    <w:p w14:paraId="098F861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lang w:val="zh-CN"/>
        </w:rPr>
      </w:pPr>
      <w:bookmarkStart w:id="20" w:name="_Toc80271054"/>
      <w:r>
        <w:rPr>
          <w:rFonts w:hint="eastAsia" w:ascii="宋体" w:hAnsi="宋体" w:cs="宋体"/>
          <w:sz w:val="24"/>
          <w:szCs w:val="24"/>
          <w:lang w:val="en-US" w:eastAsia="zh-CN"/>
        </w:rPr>
        <w:t>10</w:t>
      </w:r>
      <w:r>
        <w:rPr>
          <w:rFonts w:hint="eastAsia" w:ascii="宋体" w:hAnsi="宋体" w:eastAsia="宋体" w:cs="宋体"/>
          <w:sz w:val="24"/>
          <w:szCs w:val="24"/>
          <w:lang w:val="en-US" w:eastAsia="zh-CN"/>
        </w:rPr>
        <w:t xml:space="preserve">.19 </w:t>
      </w:r>
      <w:r>
        <w:rPr>
          <w:rFonts w:hint="eastAsia" w:ascii="宋体" w:hAnsi="宋体" w:eastAsia="宋体" w:cs="宋体"/>
          <w:sz w:val="24"/>
          <w:szCs w:val="24"/>
          <w:lang w:val="zh-CN"/>
        </w:rPr>
        <w:t>由于招标方原因造成投标方人身或设备事故，投标方负责处理，招标方承担责任并配合处理。</w:t>
      </w:r>
    </w:p>
    <w:p w14:paraId="3AC88DA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lang w:val="zh-CN" w:eastAsia="zh-CN"/>
        </w:rPr>
      </w:pPr>
      <w:r>
        <w:rPr>
          <w:rFonts w:hint="eastAsia" w:ascii="宋体" w:hAnsi="宋体" w:cs="宋体"/>
          <w:sz w:val="24"/>
          <w:szCs w:val="24"/>
          <w:lang w:val="en-US" w:eastAsia="zh-CN"/>
        </w:rPr>
        <w:t>10</w:t>
      </w:r>
      <w:r>
        <w:rPr>
          <w:rFonts w:hint="eastAsia" w:ascii="宋体" w:hAnsi="宋体" w:eastAsia="宋体" w:cs="宋体"/>
          <w:sz w:val="24"/>
          <w:szCs w:val="24"/>
          <w:lang w:val="en-US" w:eastAsia="zh-CN"/>
        </w:rPr>
        <w:t>.20</w:t>
      </w:r>
      <w:r>
        <w:rPr>
          <w:rFonts w:hint="eastAsia" w:ascii="宋体" w:hAnsi="宋体" w:eastAsia="宋体" w:cs="宋体"/>
          <w:sz w:val="24"/>
          <w:szCs w:val="24"/>
        </w:rPr>
        <w:t xml:space="preserve"> </w:t>
      </w:r>
      <w:r>
        <w:rPr>
          <w:rFonts w:hint="eastAsia" w:ascii="宋体" w:hAnsi="宋体" w:eastAsia="宋体" w:cs="宋体"/>
          <w:sz w:val="24"/>
          <w:szCs w:val="24"/>
          <w:lang w:val="zh-CN"/>
        </w:rPr>
        <w:t>在检修过程中出现的被更换下来的任何废旧设备、配件和装置性材料均为招标方所有，应妥善保护并及时向招标方移交被更换下来的设备或材料。应每天对施工现场的废物、垃圾进行</w:t>
      </w:r>
      <w:r>
        <w:rPr>
          <w:rFonts w:hint="eastAsia" w:ascii="宋体" w:hAnsi="宋体" w:eastAsia="宋体" w:cs="宋体"/>
          <w:sz w:val="24"/>
          <w:szCs w:val="24"/>
          <w:lang w:val="zh-CN" w:eastAsia="zh-CN"/>
        </w:rPr>
        <w:t>一次清理，并将其集中堆放在招标方同意的地点。</w:t>
      </w:r>
    </w:p>
    <w:p w14:paraId="5CF8136C">
      <w:pPr>
        <w:pStyle w:val="2"/>
        <w:keepNext w:val="0"/>
        <w:keepLines w:val="0"/>
        <w:pageBreakBefore w:val="0"/>
        <w:widowControl w:val="0"/>
        <w:kinsoku w:val="0"/>
        <w:wordWrap/>
        <w:overflowPunct/>
        <w:topLinePunct w:val="0"/>
        <w:autoSpaceDE/>
        <w:autoSpaceDN/>
        <w:bidi w:val="0"/>
        <w:adjustRightInd w:val="0"/>
        <w:snapToGrid w:val="0"/>
        <w:ind w:firstLine="562" w:firstLineChars="200"/>
        <w:jc w:val="left"/>
        <w:textAlignment w:val="auto"/>
        <w:rPr>
          <w:rFonts w:hint="default"/>
          <w:sz w:val="28"/>
          <w:szCs w:val="13"/>
          <w:lang w:val="en-US" w:eastAsia="zh-CN"/>
        </w:rPr>
      </w:pPr>
      <w:bookmarkStart w:id="21" w:name="_Toc2607"/>
      <w:r>
        <w:rPr>
          <w:rFonts w:hint="eastAsia"/>
          <w:sz w:val="28"/>
          <w:szCs w:val="13"/>
          <w:lang w:val="en-US" w:eastAsia="zh-CN"/>
        </w:rPr>
        <w:t>11 考核范围</w:t>
      </w:r>
      <w:bookmarkEnd w:id="21"/>
    </w:p>
    <w:p w14:paraId="239367C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11.1 本办法规定了对该项目的管理考核、维修质量与可靠性、进度、文明生产等考核及奖励办法详见附件13：《考核标准及奖励标准（检修类）》。</w:t>
      </w:r>
    </w:p>
    <w:p w14:paraId="2EC0ECAC">
      <w:pPr>
        <w:pStyle w:val="2"/>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lang w:val="en-US" w:eastAsia="zh-CN"/>
        </w:rPr>
      </w:pPr>
      <w:bookmarkStart w:id="22" w:name="_Toc6592"/>
      <w:r>
        <w:rPr>
          <w:rFonts w:hint="eastAsia"/>
          <w:sz w:val="28"/>
          <w:szCs w:val="13"/>
          <w:lang w:val="en-US" w:eastAsia="zh-CN"/>
        </w:rPr>
        <w:t>12 附则</w:t>
      </w:r>
      <w:bookmarkEnd w:id="22"/>
    </w:p>
    <w:p w14:paraId="4B18A85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12.1 本办法是合同协议书的附件，作为合同的构成部分。本项目中的施工质量与可靠性、作业安全等相关工作，虽经（或未经）招标方管理人员的验收，均不能免除投标方的相关责任。</w:t>
      </w:r>
    </w:p>
    <w:p w14:paraId="6B88389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12.2 投标方应在投标之前就本办法的内容进行研究并考虑相关风险，在招标澄清时提请解释或提出相关的协商意见。一旦投标，将被认为已熟悉了本办法并双方同意，在执行时有关条款的度量权为招标方。</w:t>
      </w:r>
    </w:p>
    <w:p w14:paraId="12AC49D2">
      <w:pPr>
        <w:pStyle w:val="2"/>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lang w:val="en-US" w:eastAsia="zh-CN"/>
        </w:rPr>
      </w:pPr>
      <w:bookmarkStart w:id="23" w:name="_Toc11968"/>
      <w:r>
        <w:rPr>
          <w:rFonts w:hint="eastAsia"/>
          <w:sz w:val="28"/>
          <w:szCs w:val="13"/>
          <w:lang w:val="en-US" w:eastAsia="zh-CN"/>
        </w:rPr>
        <w:t>12 附录附表</w:t>
      </w:r>
      <w:bookmarkEnd w:id="23"/>
    </w:p>
    <w:p w14:paraId="6F90669F">
      <w:pPr>
        <w:snapToGrid w:val="0"/>
        <w:spacing w:line="360" w:lineRule="auto"/>
        <w:jc w:val="left"/>
        <w:rPr>
          <w:rStyle w:val="88"/>
          <w:rFonts w:ascii="黑体" w:hAnsi="黑体" w:eastAsia="黑体" w:cs="黑体"/>
          <w:bCs/>
        </w:rPr>
      </w:pPr>
      <w:r>
        <w:rPr>
          <w:rStyle w:val="88"/>
          <w:rFonts w:hint="eastAsia" w:ascii="黑体" w:hAnsi="黑体" w:eastAsia="黑体" w:cs="黑体"/>
          <w:bCs/>
        </w:rPr>
        <w:t>附录A  差异表</w:t>
      </w:r>
    </w:p>
    <w:p w14:paraId="499FDB25">
      <w:pPr>
        <w:snapToGrid w:val="0"/>
        <w:spacing w:line="360" w:lineRule="auto"/>
        <w:jc w:val="left"/>
        <w:rPr>
          <w:rStyle w:val="88"/>
          <w:rFonts w:ascii="黑体" w:hAnsi="黑体" w:eastAsia="黑体" w:cs="黑体"/>
          <w:bCs/>
        </w:rPr>
      </w:pPr>
      <w:r>
        <w:rPr>
          <w:rStyle w:val="88"/>
          <w:rFonts w:hint="eastAsia" w:ascii="黑体" w:hAnsi="黑体" w:eastAsia="黑体" w:cs="黑体"/>
          <w:bCs/>
        </w:rPr>
        <w:t>附录B  主要技术、管理人员情况表</w:t>
      </w:r>
    </w:p>
    <w:p w14:paraId="197D9BCE">
      <w:pPr>
        <w:snapToGrid w:val="0"/>
        <w:spacing w:line="360" w:lineRule="auto"/>
        <w:jc w:val="left"/>
        <w:rPr>
          <w:rStyle w:val="88"/>
          <w:rFonts w:hint="default" w:ascii="黑体" w:hAnsi="黑体" w:eastAsia="黑体" w:cs="黑体"/>
          <w:bCs/>
          <w:lang w:val="en-US" w:eastAsia="zh-CN"/>
        </w:rPr>
        <w:sectPr>
          <w:endnotePr>
            <w:numFmt w:val="decimal"/>
          </w:endnotePr>
          <w:pgSz w:w="11906" w:h="16838"/>
          <w:pgMar w:top="1418" w:right="1134" w:bottom="1134" w:left="1418" w:header="851" w:footer="641" w:gutter="0"/>
          <w:pgNumType w:fmt="decimal"/>
          <w:cols w:space="720" w:num="1"/>
          <w:docGrid w:linePitch="312" w:charSpace="0"/>
        </w:sectPr>
      </w:pPr>
      <w:r>
        <w:rPr>
          <w:rStyle w:val="88"/>
          <w:rFonts w:hint="eastAsia" w:ascii="黑体" w:hAnsi="黑体" w:eastAsia="黑体" w:cs="黑体"/>
          <w:bCs/>
          <w:lang w:val="en-US" w:eastAsia="zh-CN"/>
        </w:rPr>
        <w:t xml:space="preserve">附录C  图纸 </w:t>
      </w:r>
    </w:p>
    <w:p w14:paraId="6A21A436">
      <w:pPr>
        <w:snapToGrid w:val="0"/>
        <w:spacing w:line="360" w:lineRule="auto"/>
        <w:jc w:val="left"/>
        <w:rPr>
          <w:rStyle w:val="88"/>
          <w:rFonts w:ascii="黑体" w:hAnsi="黑体" w:eastAsia="黑体" w:cs="黑体"/>
          <w:bCs/>
        </w:rPr>
      </w:pPr>
      <w:r>
        <w:rPr>
          <w:rStyle w:val="88"/>
          <w:rFonts w:hint="eastAsia" w:ascii="黑体" w:hAnsi="黑体" w:eastAsia="黑体" w:cs="黑体"/>
          <w:bCs/>
        </w:rPr>
        <w:t>附录A  差异表</w:t>
      </w:r>
    </w:p>
    <w:tbl>
      <w:tblPr>
        <w:tblStyle w:val="29"/>
        <w:tblW w:w="93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68"/>
        <w:gridCol w:w="1566"/>
        <w:gridCol w:w="2145"/>
        <w:gridCol w:w="1377"/>
        <w:gridCol w:w="3079"/>
      </w:tblGrid>
      <w:tr w14:paraId="469698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6B02894D">
            <w:pPr>
              <w:keepNext w:val="0"/>
              <w:keepLines w:val="0"/>
              <w:suppressLineNumbers w:val="0"/>
              <w:spacing w:before="0" w:beforeAutospacing="0" w:after="0" w:afterAutospacing="0"/>
              <w:ind w:left="0" w:right="0"/>
              <w:rPr>
                <w:rFonts w:hint="default"/>
              </w:rPr>
            </w:pPr>
          </w:p>
        </w:tc>
        <w:tc>
          <w:tcPr>
            <w:tcW w:w="3711" w:type="dxa"/>
            <w:gridSpan w:val="2"/>
            <w:tcBorders>
              <w:top w:val="single" w:color="000000" w:sz="6" w:space="0"/>
              <w:left w:val="single" w:color="000000" w:sz="6" w:space="0"/>
              <w:bottom w:val="single" w:color="000000" w:sz="6" w:space="0"/>
              <w:right w:val="single" w:color="000000" w:sz="6" w:space="0"/>
            </w:tcBorders>
            <w:vAlign w:val="center"/>
          </w:tcPr>
          <w:p w14:paraId="17178C55">
            <w:pPr>
              <w:keepNext w:val="0"/>
              <w:keepLines w:val="0"/>
              <w:suppressLineNumbers w:val="0"/>
              <w:spacing w:before="0" w:beforeAutospacing="0" w:after="0" w:afterAutospacing="0"/>
              <w:ind w:left="0" w:right="0"/>
              <w:jc w:val="center"/>
              <w:rPr>
                <w:rFonts w:hint="default"/>
              </w:rPr>
            </w:pPr>
            <w:r>
              <w:rPr>
                <w:rFonts w:hint="eastAsia"/>
              </w:rPr>
              <w:t>技术规范书</w:t>
            </w:r>
          </w:p>
        </w:tc>
        <w:tc>
          <w:tcPr>
            <w:tcW w:w="4456" w:type="dxa"/>
            <w:gridSpan w:val="2"/>
            <w:tcBorders>
              <w:top w:val="single" w:color="000000" w:sz="6" w:space="0"/>
              <w:left w:val="single" w:color="000000" w:sz="6" w:space="0"/>
              <w:bottom w:val="single" w:color="000000" w:sz="6" w:space="0"/>
              <w:right w:val="single" w:color="000000" w:sz="6" w:space="0"/>
            </w:tcBorders>
            <w:vAlign w:val="center"/>
          </w:tcPr>
          <w:p w14:paraId="0410B4F3">
            <w:pPr>
              <w:keepNext w:val="0"/>
              <w:keepLines w:val="0"/>
              <w:suppressLineNumbers w:val="0"/>
              <w:spacing w:before="0" w:beforeAutospacing="0" w:after="0" w:afterAutospacing="0"/>
              <w:ind w:left="0" w:right="0"/>
              <w:jc w:val="center"/>
              <w:rPr>
                <w:rFonts w:hint="default"/>
              </w:rPr>
            </w:pPr>
            <w:r>
              <w:rPr>
                <w:rFonts w:hint="eastAsia"/>
              </w:rPr>
              <w:t>投标技术文件</w:t>
            </w:r>
          </w:p>
        </w:tc>
      </w:tr>
      <w:tr w14:paraId="5560B9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3EABCBD6">
            <w:pPr>
              <w:keepNext w:val="0"/>
              <w:keepLines w:val="0"/>
              <w:suppressLineNumbers w:val="0"/>
              <w:spacing w:before="0" w:beforeAutospacing="0" w:after="0" w:afterAutospacing="0"/>
              <w:ind w:left="0" w:right="0"/>
              <w:jc w:val="center"/>
              <w:rPr>
                <w:rFonts w:hint="default"/>
              </w:rPr>
            </w:pPr>
            <w:r>
              <w:rPr>
                <w:rFonts w:hint="eastAsia"/>
              </w:rPr>
              <w:t>序号</w:t>
            </w:r>
          </w:p>
        </w:tc>
        <w:tc>
          <w:tcPr>
            <w:tcW w:w="1566" w:type="dxa"/>
            <w:tcBorders>
              <w:top w:val="single" w:color="000000" w:sz="6" w:space="0"/>
              <w:left w:val="single" w:color="000000" w:sz="6" w:space="0"/>
              <w:bottom w:val="single" w:color="000000" w:sz="6" w:space="0"/>
              <w:right w:val="single" w:color="000000" w:sz="6" w:space="0"/>
            </w:tcBorders>
            <w:vAlign w:val="center"/>
          </w:tcPr>
          <w:p w14:paraId="621ECB33">
            <w:pPr>
              <w:keepNext w:val="0"/>
              <w:keepLines w:val="0"/>
              <w:suppressLineNumbers w:val="0"/>
              <w:spacing w:before="0" w:beforeAutospacing="0" w:after="0" w:afterAutospacing="0"/>
              <w:ind w:left="0" w:right="0"/>
              <w:jc w:val="center"/>
              <w:rPr>
                <w:rFonts w:hint="default"/>
              </w:rPr>
            </w:pPr>
            <w:r>
              <w:rPr>
                <w:rFonts w:hint="eastAsia"/>
              </w:rPr>
              <w:t>条目</w:t>
            </w:r>
          </w:p>
        </w:tc>
        <w:tc>
          <w:tcPr>
            <w:tcW w:w="2145" w:type="dxa"/>
            <w:tcBorders>
              <w:top w:val="single" w:color="000000" w:sz="6" w:space="0"/>
              <w:left w:val="single" w:color="000000" w:sz="6" w:space="0"/>
              <w:bottom w:val="single" w:color="000000" w:sz="6" w:space="0"/>
              <w:right w:val="single" w:color="000000" w:sz="6" w:space="0"/>
            </w:tcBorders>
            <w:vAlign w:val="center"/>
          </w:tcPr>
          <w:p w14:paraId="6AA6D3F7">
            <w:pPr>
              <w:keepNext w:val="0"/>
              <w:keepLines w:val="0"/>
              <w:suppressLineNumbers w:val="0"/>
              <w:spacing w:before="0" w:beforeAutospacing="0" w:after="0" w:afterAutospacing="0"/>
              <w:ind w:left="0" w:right="0"/>
              <w:jc w:val="center"/>
              <w:rPr>
                <w:rFonts w:hint="default"/>
              </w:rPr>
            </w:pPr>
            <w:r>
              <w:rPr>
                <w:rFonts w:hint="eastAsia"/>
              </w:rPr>
              <w:t>简要内容</w:t>
            </w:r>
          </w:p>
        </w:tc>
        <w:tc>
          <w:tcPr>
            <w:tcW w:w="1377" w:type="dxa"/>
            <w:tcBorders>
              <w:top w:val="single" w:color="000000" w:sz="6" w:space="0"/>
              <w:left w:val="single" w:color="000000" w:sz="6" w:space="0"/>
              <w:bottom w:val="single" w:color="000000" w:sz="6" w:space="0"/>
              <w:right w:val="single" w:color="000000" w:sz="6" w:space="0"/>
            </w:tcBorders>
            <w:vAlign w:val="center"/>
          </w:tcPr>
          <w:p w14:paraId="14346268">
            <w:pPr>
              <w:keepNext w:val="0"/>
              <w:keepLines w:val="0"/>
              <w:suppressLineNumbers w:val="0"/>
              <w:spacing w:before="0" w:beforeAutospacing="0" w:after="0" w:afterAutospacing="0"/>
              <w:ind w:left="0" w:right="0"/>
              <w:jc w:val="center"/>
              <w:rPr>
                <w:rFonts w:hint="default"/>
              </w:rPr>
            </w:pPr>
            <w:r>
              <w:rPr>
                <w:rFonts w:hint="eastAsia"/>
              </w:rPr>
              <w:t>条目</w:t>
            </w:r>
          </w:p>
        </w:tc>
        <w:tc>
          <w:tcPr>
            <w:tcW w:w="3079" w:type="dxa"/>
            <w:tcBorders>
              <w:top w:val="single" w:color="000000" w:sz="6" w:space="0"/>
              <w:left w:val="single" w:color="000000" w:sz="6" w:space="0"/>
              <w:bottom w:val="single" w:color="000000" w:sz="6" w:space="0"/>
              <w:right w:val="single" w:color="000000" w:sz="6" w:space="0"/>
            </w:tcBorders>
            <w:vAlign w:val="center"/>
          </w:tcPr>
          <w:p w14:paraId="5E6A5D2A">
            <w:pPr>
              <w:keepNext w:val="0"/>
              <w:keepLines w:val="0"/>
              <w:suppressLineNumbers w:val="0"/>
              <w:spacing w:before="0" w:beforeAutospacing="0" w:after="0" w:afterAutospacing="0"/>
              <w:ind w:left="0" w:right="0"/>
              <w:jc w:val="center"/>
              <w:rPr>
                <w:rFonts w:hint="default"/>
              </w:rPr>
            </w:pPr>
            <w:r>
              <w:rPr>
                <w:rFonts w:hint="eastAsia"/>
              </w:rPr>
              <w:t>简要内容</w:t>
            </w:r>
          </w:p>
        </w:tc>
      </w:tr>
      <w:tr w14:paraId="6FD97B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084D128A">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60457E0F">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1E2F4532">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3E7A3BD7">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09EB443C">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r>
      <w:tr w14:paraId="76BCA6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05CE094F">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7C7A7693">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76192560">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48B88D12">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24795DE3">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r>
      <w:tr w14:paraId="0D4942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572999EA">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73CF50F8">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3D138619">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0E67302B">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433E9719">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r>
      <w:tr w14:paraId="4E9FCB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2F00C8FD">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09428222">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3BD09943">
            <w:pPr>
              <w:keepNext w:val="0"/>
              <w:keepLines w:val="0"/>
              <w:suppressLineNumbers w:val="0"/>
              <w:snapToGrid w:val="0"/>
              <w:spacing w:before="0" w:beforeAutospacing="0" w:after="0" w:afterAutospacing="0" w:line="360" w:lineRule="auto"/>
              <w:ind w:left="0" w:right="0"/>
              <w:jc w:val="left"/>
              <w:rPr>
                <w:rStyle w:val="88"/>
                <w:rFonts w:hint="default" w:ascii="宋体" w:hAnsi="宋体"/>
                <w:caps/>
                <w:sz w:val="21"/>
                <w:szCs w:val="21"/>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3566CA70">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0698C324">
            <w:pPr>
              <w:keepNext w:val="0"/>
              <w:keepLines w:val="0"/>
              <w:suppressLineNumbers w:val="0"/>
              <w:snapToGrid w:val="0"/>
              <w:spacing w:before="0" w:beforeAutospacing="0" w:after="0" w:afterAutospacing="0" w:line="360" w:lineRule="auto"/>
              <w:ind w:left="0" w:right="0"/>
              <w:jc w:val="left"/>
              <w:rPr>
                <w:rStyle w:val="88"/>
                <w:rFonts w:hint="default" w:ascii="宋体" w:hAnsi="宋体"/>
                <w:sz w:val="21"/>
                <w:szCs w:val="21"/>
              </w:rPr>
            </w:pPr>
          </w:p>
        </w:tc>
      </w:tr>
    </w:tbl>
    <w:p w14:paraId="0C889EED">
      <w:pPr>
        <w:snapToGrid w:val="0"/>
        <w:spacing w:line="360" w:lineRule="auto"/>
        <w:jc w:val="left"/>
        <w:rPr>
          <w:rStyle w:val="88"/>
          <w:rFonts w:ascii="宋体" w:hAnsi="宋体"/>
          <w:b/>
        </w:rPr>
      </w:pPr>
    </w:p>
    <w:p w14:paraId="4B7ED0A4">
      <w:pPr>
        <w:snapToGrid w:val="0"/>
        <w:spacing w:line="360" w:lineRule="auto"/>
        <w:jc w:val="left"/>
        <w:rPr>
          <w:rStyle w:val="88"/>
          <w:rFonts w:ascii="宋体" w:hAnsi="宋体"/>
          <w:b/>
        </w:rPr>
      </w:pPr>
    </w:p>
    <w:p w14:paraId="1E0F6BAD">
      <w:pPr>
        <w:pStyle w:val="108"/>
        <w:snapToGrid w:val="0"/>
        <w:spacing w:line="360" w:lineRule="auto"/>
        <w:ind w:firstLine="0"/>
        <w:jc w:val="left"/>
        <w:rPr>
          <w:rStyle w:val="88"/>
          <w:rFonts w:ascii="黑体" w:hAnsi="黑体"/>
          <w:b w:val="0"/>
          <w:szCs w:val="24"/>
        </w:rPr>
      </w:pPr>
      <w:r>
        <w:rPr>
          <w:rStyle w:val="88"/>
          <w:rFonts w:hint="eastAsia" w:ascii="黑体" w:hAnsi="黑体"/>
          <w:b w:val="0"/>
          <w:szCs w:val="24"/>
        </w:rPr>
        <w:t>附录B  主要技术、管理人员情况表</w:t>
      </w:r>
    </w:p>
    <w:tbl>
      <w:tblPr>
        <w:tblStyle w:val="29"/>
        <w:tblW w:w="93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7"/>
        <w:gridCol w:w="1445"/>
        <w:gridCol w:w="1890"/>
        <w:gridCol w:w="1112"/>
        <w:gridCol w:w="1400"/>
        <w:gridCol w:w="1269"/>
        <w:gridCol w:w="1567"/>
      </w:tblGrid>
      <w:tr w14:paraId="103D20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6" w:hRule="atLeast"/>
          <w:jc w:val="center"/>
        </w:trPr>
        <w:tc>
          <w:tcPr>
            <w:tcW w:w="677" w:type="dxa"/>
            <w:tcBorders>
              <w:top w:val="single" w:color="000000" w:sz="4" w:space="0"/>
              <w:left w:val="single" w:color="000000" w:sz="4" w:space="0"/>
              <w:bottom w:val="single" w:color="000000" w:sz="4" w:space="0"/>
              <w:right w:val="single" w:color="000000" w:sz="4" w:space="0"/>
            </w:tcBorders>
            <w:vAlign w:val="center"/>
          </w:tcPr>
          <w:p w14:paraId="6906A35E">
            <w:pPr>
              <w:keepNext w:val="0"/>
              <w:keepLines w:val="0"/>
              <w:suppressLineNumbers w:val="0"/>
              <w:spacing w:before="0" w:beforeAutospacing="0" w:after="0" w:afterAutospacing="0"/>
              <w:ind w:left="0" w:right="0"/>
              <w:jc w:val="center"/>
              <w:rPr>
                <w:rFonts w:hint="default"/>
              </w:rPr>
            </w:pPr>
            <w:r>
              <w:rPr>
                <w:rFonts w:hint="eastAsia"/>
              </w:rPr>
              <w:t>序号</w:t>
            </w:r>
          </w:p>
        </w:tc>
        <w:tc>
          <w:tcPr>
            <w:tcW w:w="1445" w:type="dxa"/>
            <w:tcBorders>
              <w:top w:val="single" w:color="000000" w:sz="4" w:space="0"/>
              <w:left w:val="single" w:color="000000" w:sz="4" w:space="0"/>
              <w:bottom w:val="single" w:color="000000" w:sz="4" w:space="0"/>
              <w:right w:val="single" w:color="000000" w:sz="4" w:space="0"/>
            </w:tcBorders>
            <w:vAlign w:val="center"/>
          </w:tcPr>
          <w:p w14:paraId="2BA4B0EF">
            <w:pPr>
              <w:keepNext w:val="0"/>
              <w:keepLines w:val="0"/>
              <w:suppressLineNumbers w:val="0"/>
              <w:spacing w:before="0" w:beforeAutospacing="0" w:after="0" w:afterAutospacing="0"/>
              <w:ind w:left="0" w:right="0"/>
              <w:jc w:val="center"/>
              <w:rPr>
                <w:rFonts w:hint="default"/>
              </w:rPr>
            </w:pPr>
            <w:r>
              <w:rPr>
                <w:rFonts w:hint="eastAsia"/>
              </w:rPr>
              <w:t>姓 名</w:t>
            </w:r>
          </w:p>
        </w:tc>
        <w:tc>
          <w:tcPr>
            <w:tcW w:w="1890" w:type="dxa"/>
            <w:tcBorders>
              <w:top w:val="single" w:color="000000" w:sz="4" w:space="0"/>
              <w:left w:val="single" w:color="000000" w:sz="4" w:space="0"/>
              <w:bottom w:val="single" w:color="000000" w:sz="4" w:space="0"/>
              <w:right w:val="single" w:color="000000" w:sz="4" w:space="0"/>
            </w:tcBorders>
            <w:vAlign w:val="center"/>
          </w:tcPr>
          <w:p w14:paraId="0B30F6EC">
            <w:pPr>
              <w:keepNext w:val="0"/>
              <w:keepLines w:val="0"/>
              <w:suppressLineNumbers w:val="0"/>
              <w:spacing w:before="0" w:beforeAutospacing="0" w:after="0" w:afterAutospacing="0"/>
              <w:ind w:left="0" w:right="0"/>
              <w:jc w:val="center"/>
              <w:rPr>
                <w:rFonts w:hint="default"/>
              </w:rPr>
            </w:pPr>
            <w:r>
              <w:rPr>
                <w:rFonts w:hint="eastAsia"/>
              </w:rPr>
              <w:t>拟 任 职 务</w:t>
            </w:r>
          </w:p>
        </w:tc>
        <w:tc>
          <w:tcPr>
            <w:tcW w:w="1112" w:type="dxa"/>
            <w:tcBorders>
              <w:top w:val="single" w:color="000000" w:sz="4" w:space="0"/>
              <w:left w:val="single" w:color="000000" w:sz="4" w:space="0"/>
              <w:bottom w:val="single" w:color="000000" w:sz="4" w:space="0"/>
              <w:right w:val="single" w:color="000000" w:sz="4" w:space="0"/>
            </w:tcBorders>
            <w:vAlign w:val="center"/>
          </w:tcPr>
          <w:p w14:paraId="4176418C">
            <w:pPr>
              <w:keepNext w:val="0"/>
              <w:keepLines w:val="0"/>
              <w:suppressLineNumbers w:val="0"/>
              <w:spacing w:before="0" w:beforeAutospacing="0" w:after="0" w:afterAutospacing="0"/>
              <w:ind w:left="0" w:right="0"/>
              <w:jc w:val="center"/>
              <w:rPr>
                <w:rFonts w:hint="default"/>
              </w:rPr>
            </w:pPr>
            <w:r>
              <w:rPr>
                <w:rFonts w:hint="eastAsia"/>
              </w:rPr>
              <w:t>年 龄</w:t>
            </w:r>
          </w:p>
        </w:tc>
        <w:tc>
          <w:tcPr>
            <w:tcW w:w="1400" w:type="dxa"/>
            <w:tcBorders>
              <w:top w:val="single" w:color="000000" w:sz="4" w:space="0"/>
              <w:left w:val="single" w:color="000000" w:sz="4" w:space="0"/>
              <w:bottom w:val="single" w:color="000000" w:sz="4" w:space="0"/>
              <w:right w:val="single" w:color="000000" w:sz="4" w:space="0"/>
            </w:tcBorders>
            <w:vAlign w:val="center"/>
          </w:tcPr>
          <w:p w14:paraId="28B0803C">
            <w:pPr>
              <w:keepNext w:val="0"/>
              <w:keepLines w:val="0"/>
              <w:suppressLineNumbers w:val="0"/>
              <w:spacing w:before="0" w:beforeAutospacing="0" w:after="0" w:afterAutospacing="0"/>
              <w:ind w:left="0" w:right="0"/>
              <w:jc w:val="center"/>
              <w:rPr>
                <w:rFonts w:hint="default"/>
              </w:rPr>
            </w:pPr>
            <w:r>
              <w:rPr>
                <w:rFonts w:hint="eastAsia"/>
              </w:rPr>
              <w:t>职 称</w:t>
            </w:r>
          </w:p>
        </w:tc>
        <w:tc>
          <w:tcPr>
            <w:tcW w:w="1269" w:type="dxa"/>
            <w:tcBorders>
              <w:top w:val="single" w:color="000000" w:sz="4" w:space="0"/>
              <w:left w:val="single" w:color="000000" w:sz="4" w:space="0"/>
              <w:bottom w:val="single" w:color="000000" w:sz="4" w:space="0"/>
              <w:right w:val="single" w:color="000000" w:sz="4" w:space="0"/>
            </w:tcBorders>
            <w:vAlign w:val="center"/>
          </w:tcPr>
          <w:p w14:paraId="49C5E9EE">
            <w:pPr>
              <w:keepNext w:val="0"/>
              <w:keepLines w:val="0"/>
              <w:suppressLineNumbers w:val="0"/>
              <w:spacing w:before="0" w:beforeAutospacing="0" w:after="0" w:afterAutospacing="0"/>
              <w:ind w:left="0" w:right="0"/>
              <w:jc w:val="center"/>
              <w:rPr>
                <w:rFonts w:hint="default"/>
              </w:rPr>
            </w:pPr>
            <w:r>
              <w:rPr>
                <w:rFonts w:hint="eastAsia"/>
              </w:rPr>
              <w:t>学 历</w:t>
            </w:r>
          </w:p>
        </w:tc>
        <w:tc>
          <w:tcPr>
            <w:tcW w:w="1567" w:type="dxa"/>
            <w:tcBorders>
              <w:top w:val="single" w:color="000000" w:sz="4" w:space="0"/>
              <w:left w:val="single" w:color="000000" w:sz="4" w:space="0"/>
              <w:bottom w:val="single" w:color="000000" w:sz="4" w:space="0"/>
              <w:right w:val="single" w:color="000000" w:sz="4" w:space="0"/>
            </w:tcBorders>
            <w:vAlign w:val="center"/>
          </w:tcPr>
          <w:p w14:paraId="17658DFE">
            <w:pPr>
              <w:keepNext w:val="0"/>
              <w:keepLines w:val="0"/>
              <w:suppressLineNumbers w:val="0"/>
              <w:spacing w:before="0" w:beforeAutospacing="0" w:after="0" w:afterAutospacing="0"/>
              <w:ind w:left="0" w:right="0"/>
              <w:jc w:val="center"/>
              <w:rPr>
                <w:rFonts w:hint="default"/>
              </w:rPr>
            </w:pPr>
            <w:r>
              <w:rPr>
                <w:rFonts w:hint="eastAsia"/>
              </w:rPr>
              <w:t>专 业</w:t>
            </w:r>
          </w:p>
        </w:tc>
      </w:tr>
      <w:tr w14:paraId="569C1E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88" w:hRule="atLeast"/>
          <w:jc w:val="center"/>
        </w:trPr>
        <w:tc>
          <w:tcPr>
            <w:tcW w:w="677" w:type="dxa"/>
            <w:vMerge w:val="restart"/>
            <w:tcBorders>
              <w:top w:val="single" w:color="000000" w:sz="4" w:space="0"/>
              <w:left w:val="single" w:color="000000" w:sz="4" w:space="0"/>
              <w:bottom w:val="single" w:color="000000" w:sz="4" w:space="0"/>
              <w:right w:val="single" w:color="000000" w:sz="4" w:space="0"/>
            </w:tcBorders>
            <w:vAlign w:val="center"/>
          </w:tcPr>
          <w:p w14:paraId="79050E6A">
            <w:pPr>
              <w:keepNext w:val="0"/>
              <w:keepLines w:val="0"/>
              <w:suppressLineNumbers w:val="0"/>
              <w:spacing w:before="0" w:beforeAutospacing="0" w:after="0" w:afterAutospacing="0"/>
              <w:ind w:left="0" w:right="0"/>
              <w:jc w:val="center"/>
              <w:rPr>
                <w:rFonts w:hint="eastAsia" w:eastAsia="宋体"/>
                <w:lang w:val="en-US" w:eastAsia="zh-CN"/>
              </w:rPr>
            </w:pPr>
            <w:r>
              <w:rPr>
                <w:rFonts w:hint="eastAsia"/>
                <w:lang w:val="en-US" w:eastAsia="zh-CN"/>
              </w:rPr>
              <w:t>1</w:t>
            </w:r>
          </w:p>
        </w:tc>
        <w:tc>
          <w:tcPr>
            <w:tcW w:w="1445" w:type="dxa"/>
            <w:tcBorders>
              <w:top w:val="single" w:color="000000" w:sz="4" w:space="0"/>
              <w:left w:val="single" w:color="000000" w:sz="4" w:space="0"/>
              <w:bottom w:val="single" w:color="000000" w:sz="4" w:space="0"/>
              <w:right w:val="single" w:color="000000" w:sz="4" w:space="0"/>
            </w:tcBorders>
            <w:vAlign w:val="center"/>
          </w:tcPr>
          <w:p w14:paraId="21D696A4">
            <w:pPr>
              <w:keepNext w:val="0"/>
              <w:keepLines w:val="0"/>
              <w:suppressLineNumbers w:val="0"/>
              <w:spacing w:before="0" w:beforeAutospacing="0" w:after="0" w:afterAutospacing="0"/>
              <w:ind w:left="0" w:right="0"/>
              <w:rPr>
                <w:rFonts w:hint="default"/>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475DF6E9">
            <w:pPr>
              <w:keepNext w:val="0"/>
              <w:keepLines w:val="0"/>
              <w:suppressLineNumbers w:val="0"/>
              <w:spacing w:before="0" w:beforeAutospacing="0" w:after="0" w:afterAutospacing="0"/>
              <w:ind w:left="0" w:right="0"/>
              <w:rPr>
                <w:rFonts w:hint="default"/>
              </w:rPr>
            </w:pPr>
          </w:p>
        </w:tc>
        <w:tc>
          <w:tcPr>
            <w:tcW w:w="1112" w:type="dxa"/>
            <w:tcBorders>
              <w:top w:val="single" w:color="000000" w:sz="4" w:space="0"/>
              <w:left w:val="single" w:color="000000" w:sz="4" w:space="0"/>
              <w:bottom w:val="single" w:color="000000" w:sz="4" w:space="0"/>
              <w:right w:val="single" w:color="000000" w:sz="4" w:space="0"/>
            </w:tcBorders>
            <w:vAlign w:val="center"/>
          </w:tcPr>
          <w:p w14:paraId="75FAE94B">
            <w:pPr>
              <w:keepNext w:val="0"/>
              <w:keepLines w:val="0"/>
              <w:suppressLineNumbers w:val="0"/>
              <w:spacing w:before="0" w:beforeAutospacing="0" w:after="0" w:afterAutospacing="0"/>
              <w:ind w:left="0" w:right="0"/>
              <w:rPr>
                <w:rFonts w:hint="default"/>
              </w:rPr>
            </w:pPr>
          </w:p>
        </w:tc>
        <w:tc>
          <w:tcPr>
            <w:tcW w:w="1400" w:type="dxa"/>
            <w:tcBorders>
              <w:top w:val="single" w:color="000000" w:sz="4" w:space="0"/>
              <w:left w:val="single" w:color="000000" w:sz="4" w:space="0"/>
              <w:bottom w:val="single" w:color="000000" w:sz="4" w:space="0"/>
              <w:right w:val="single" w:color="000000" w:sz="4" w:space="0"/>
            </w:tcBorders>
            <w:vAlign w:val="center"/>
          </w:tcPr>
          <w:p w14:paraId="4553FC28">
            <w:pPr>
              <w:keepNext w:val="0"/>
              <w:keepLines w:val="0"/>
              <w:suppressLineNumbers w:val="0"/>
              <w:spacing w:before="0" w:beforeAutospacing="0" w:after="0" w:afterAutospacing="0"/>
              <w:ind w:left="0" w:right="0"/>
              <w:rPr>
                <w:rFonts w:hint="default"/>
              </w:rPr>
            </w:pPr>
          </w:p>
        </w:tc>
        <w:tc>
          <w:tcPr>
            <w:tcW w:w="1269" w:type="dxa"/>
            <w:tcBorders>
              <w:top w:val="single" w:color="000000" w:sz="4" w:space="0"/>
              <w:left w:val="single" w:color="000000" w:sz="4" w:space="0"/>
              <w:bottom w:val="single" w:color="000000" w:sz="4" w:space="0"/>
              <w:right w:val="single" w:color="000000" w:sz="4" w:space="0"/>
            </w:tcBorders>
            <w:vAlign w:val="center"/>
          </w:tcPr>
          <w:p w14:paraId="63689C3C">
            <w:pPr>
              <w:keepNext w:val="0"/>
              <w:keepLines w:val="0"/>
              <w:suppressLineNumbers w:val="0"/>
              <w:spacing w:before="0" w:beforeAutospacing="0" w:after="0" w:afterAutospacing="0"/>
              <w:ind w:left="0" w:right="0"/>
              <w:rPr>
                <w:rFonts w:hint="default"/>
              </w:rPr>
            </w:pPr>
          </w:p>
        </w:tc>
        <w:tc>
          <w:tcPr>
            <w:tcW w:w="1567" w:type="dxa"/>
            <w:tcBorders>
              <w:top w:val="single" w:color="000000" w:sz="4" w:space="0"/>
              <w:left w:val="single" w:color="000000" w:sz="4" w:space="0"/>
              <w:bottom w:val="single" w:color="000000" w:sz="4" w:space="0"/>
              <w:right w:val="single" w:color="000000" w:sz="4" w:space="0"/>
            </w:tcBorders>
            <w:vAlign w:val="center"/>
          </w:tcPr>
          <w:p w14:paraId="70720EF3">
            <w:pPr>
              <w:keepNext w:val="0"/>
              <w:keepLines w:val="0"/>
              <w:suppressLineNumbers w:val="0"/>
              <w:spacing w:before="0" w:beforeAutospacing="0" w:after="0" w:afterAutospacing="0"/>
              <w:ind w:left="0" w:right="0"/>
              <w:rPr>
                <w:rFonts w:hint="default"/>
              </w:rPr>
            </w:pPr>
          </w:p>
        </w:tc>
      </w:tr>
      <w:tr w14:paraId="1136CC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2061" w:hRule="atLeast"/>
          <w:jc w:val="center"/>
        </w:trPr>
        <w:tc>
          <w:tcPr>
            <w:tcW w:w="677" w:type="dxa"/>
            <w:vMerge w:val="continue"/>
            <w:tcBorders>
              <w:top w:val="single" w:color="000000" w:sz="4" w:space="0"/>
              <w:left w:val="single" w:color="000000" w:sz="4" w:space="0"/>
              <w:bottom w:val="single" w:color="000000" w:sz="4" w:space="0"/>
              <w:right w:val="single" w:color="000000" w:sz="4" w:space="0"/>
            </w:tcBorders>
            <w:vAlign w:val="center"/>
          </w:tcPr>
          <w:p w14:paraId="7A9BEE35">
            <w:pPr>
              <w:keepNext w:val="0"/>
              <w:keepLines w:val="0"/>
              <w:suppressLineNumbers w:val="0"/>
              <w:spacing w:before="0" w:beforeAutospacing="0" w:after="0" w:afterAutospacing="0"/>
              <w:ind w:left="0" w:right="0"/>
              <w:jc w:val="center"/>
              <w:rPr>
                <w:rFonts w:hint="default"/>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25B89DD6">
            <w:pPr>
              <w:keepNext w:val="0"/>
              <w:keepLines w:val="0"/>
              <w:suppressLineNumbers w:val="0"/>
              <w:spacing w:before="0" w:beforeAutospacing="0" w:after="0" w:afterAutospacing="0"/>
              <w:ind w:left="0" w:right="0"/>
              <w:jc w:val="center"/>
              <w:rPr>
                <w:rFonts w:hint="default"/>
              </w:rPr>
            </w:pPr>
            <w:r>
              <w:rPr>
                <w:rFonts w:hint="eastAsia"/>
              </w:rPr>
              <w:t>工作简历</w:t>
            </w:r>
          </w:p>
        </w:tc>
        <w:tc>
          <w:tcPr>
            <w:tcW w:w="7238" w:type="dxa"/>
            <w:gridSpan w:val="5"/>
            <w:tcBorders>
              <w:top w:val="single" w:color="000000" w:sz="4" w:space="0"/>
              <w:left w:val="single" w:color="000000" w:sz="4" w:space="0"/>
              <w:bottom w:val="single" w:color="000000" w:sz="4" w:space="0"/>
              <w:right w:val="single" w:color="000000" w:sz="4" w:space="0"/>
            </w:tcBorders>
            <w:vAlign w:val="center"/>
          </w:tcPr>
          <w:p w14:paraId="62A0E97C">
            <w:pPr>
              <w:keepNext w:val="0"/>
              <w:keepLines w:val="0"/>
              <w:suppressLineNumbers w:val="0"/>
              <w:spacing w:before="0" w:beforeAutospacing="0" w:after="0" w:afterAutospacing="0"/>
              <w:ind w:left="0" w:right="0"/>
              <w:rPr>
                <w:rFonts w:hint="default"/>
              </w:rPr>
            </w:pPr>
          </w:p>
        </w:tc>
      </w:tr>
      <w:tr w14:paraId="7E3F7E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96" w:hRule="atLeast"/>
          <w:jc w:val="center"/>
        </w:trPr>
        <w:tc>
          <w:tcPr>
            <w:tcW w:w="677" w:type="dxa"/>
            <w:vMerge w:val="restart"/>
            <w:tcBorders>
              <w:top w:val="single" w:color="000000" w:sz="4" w:space="0"/>
              <w:left w:val="single" w:color="000000" w:sz="4" w:space="0"/>
              <w:bottom w:val="single" w:color="000000" w:sz="4" w:space="0"/>
              <w:right w:val="single" w:color="000000" w:sz="4" w:space="0"/>
            </w:tcBorders>
            <w:vAlign w:val="center"/>
          </w:tcPr>
          <w:p w14:paraId="7F1D4A4B">
            <w:pPr>
              <w:keepNext w:val="0"/>
              <w:keepLines w:val="0"/>
              <w:suppressLineNumbers w:val="0"/>
              <w:spacing w:before="0" w:beforeAutospacing="0" w:after="0" w:afterAutospacing="0"/>
              <w:ind w:left="0" w:right="0"/>
              <w:jc w:val="center"/>
              <w:rPr>
                <w:rFonts w:hint="eastAsia" w:eastAsia="宋体"/>
                <w:lang w:val="en-US" w:eastAsia="zh-CN"/>
              </w:rPr>
            </w:pPr>
            <w:r>
              <w:rPr>
                <w:rFonts w:hint="eastAsia"/>
                <w:lang w:val="en-US" w:eastAsia="zh-CN"/>
              </w:rPr>
              <w:t>2</w:t>
            </w:r>
          </w:p>
        </w:tc>
        <w:tc>
          <w:tcPr>
            <w:tcW w:w="1445" w:type="dxa"/>
            <w:tcBorders>
              <w:top w:val="single" w:color="000000" w:sz="4" w:space="0"/>
              <w:left w:val="single" w:color="000000" w:sz="4" w:space="0"/>
              <w:bottom w:val="single" w:color="000000" w:sz="4" w:space="0"/>
              <w:right w:val="single" w:color="000000" w:sz="4" w:space="0"/>
            </w:tcBorders>
            <w:vAlign w:val="center"/>
          </w:tcPr>
          <w:p w14:paraId="09D42A34">
            <w:pPr>
              <w:keepNext w:val="0"/>
              <w:keepLines w:val="0"/>
              <w:suppressLineNumbers w:val="0"/>
              <w:spacing w:before="0" w:beforeAutospacing="0" w:after="0" w:afterAutospacing="0"/>
              <w:ind w:left="0" w:right="0"/>
              <w:rPr>
                <w:rFonts w:hint="default"/>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7930E07C">
            <w:pPr>
              <w:keepNext w:val="0"/>
              <w:keepLines w:val="0"/>
              <w:suppressLineNumbers w:val="0"/>
              <w:spacing w:before="0" w:beforeAutospacing="0" w:after="0" w:afterAutospacing="0"/>
              <w:ind w:left="0" w:right="0"/>
              <w:rPr>
                <w:rFonts w:hint="default"/>
              </w:rPr>
            </w:pPr>
          </w:p>
        </w:tc>
        <w:tc>
          <w:tcPr>
            <w:tcW w:w="1112" w:type="dxa"/>
            <w:tcBorders>
              <w:top w:val="single" w:color="000000" w:sz="4" w:space="0"/>
              <w:left w:val="single" w:color="000000" w:sz="4" w:space="0"/>
              <w:bottom w:val="single" w:color="000000" w:sz="4" w:space="0"/>
              <w:right w:val="single" w:color="000000" w:sz="4" w:space="0"/>
            </w:tcBorders>
            <w:vAlign w:val="center"/>
          </w:tcPr>
          <w:p w14:paraId="5E184D44">
            <w:pPr>
              <w:keepNext w:val="0"/>
              <w:keepLines w:val="0"/>
              <w:suppressLineNumbers w:val="0"/>
              <w:spacing w:before="0" w:beforeAutospacing="0" w:after="0" w:afterAutospacing="0"/>
              <w:ind w:left="0" w:right="0"/>
              <w:rPr>
                <w:rFonts w:hint="default"/>
              </w:rPr>
            </w:pPr>
          </w:p>
        </w:tc>
        <w:tc>
          <w:tcPr>
            <w:tcW w:w="1400" w:type="dxa"/>
            <w:tcBorders>
              <w:top w:val="single" w:color="000000" w:sz="4" w:space="0"/>
              <w:left w:val="single" w:color="000000" w:sz="4" w:space="0"/>
              <w:bottom w:val="single" w:color="000000" w:sz="4" w:space="0"/>
              <w:right w:val="single" w:color="000000" w:sz="4" w:space="0"/>
            </w:tcBorders>
            <w:vAlign w:val="center"/>
          </w:tcPr>
          <w:p w14:paraId="217B61FC">
            <w:pPr>
              <w:keepNext w:val="0"/>
              <w:keepLines w:val="0"/>
              <w:suppressLineNumbers w:val="0"/>
              <w:spacing w:before="0" w:beforeAutospacing="0" w:after="0" w:afterAutospacing="0"/>
              <w:ind w:left="0" w:right="0"/>
              <w:rPr>
                <w:rFonts w:hint="default"/>
              </w:rPr>
            </w:pPr>
          </w:p>
        </w:tc>
        <w:tc>
          <w:tcPr>
            <w:tcW w:w="1269" w:type="dxa"/>
            <w:tcBorders>
              <w:top w:val="single" w:color="000000" w:sz="4" w:space="0"/>
              <w:left w:val="single" w:color="000000" w:sz="4" w:space="0"/>
              <w:bottom w:val="single" w:color="000000" w:sz="4" w:space="0"/>
              <w:right w:val="single" w:color="000000" w:sz="4" w:space="0"/>
            </w:tcBorders>
            <w:vAlign w:val="center"/>
          </w:tcPr>
          <w:p w14:paraId="461A8053">
            <w:pPr>
              <w:keepNext w:val="0"/>
              <w:keepLines w:val="0"/>
              <w:suppressLineNumbers w:val="0"/>
              <w:spacing w:before="0" w:beforeAutospacing="0" w:after="0" w:afterAutospacing="0"/>
              <w:ind w:left="0" w:right="0"/>
              <w:rPr>
                <w:rFonts w:hint="default"/>
              </w:rPr>
            </w:pPr>
          </w:p>
        </w:tc>
        <w:tc>
          <w:tcPr>
            <w:tcW w:w="1567" w:type="dxa"/>
            <w:tcBorders>
              <w:top w:val="single" w:color="000000" w:sz="4" w:space="0"/>
              <w:left w:val="single" w:color="000000" w:sz="4" w:space="0"/>
              <w:bottom w:val="single" w:color="000000" w:sz="4" w:space="0"/>
              <w:right w:val="single" w:color="000000" w:sz="4" w:space="0"/>
            </w:tcBorders>
            <w:vAlign w:val="center"/>
          </w:tcPr>
          <w:p w14:paraId="54E7C1C6">
            <w:pPr>
              <w:keepNext w:val="0"/>
              <w:keepLines w:val="0"/>
              <w:suppressLineNumbers w:val="0"/>
              <w:spacing w:before="0" w:beforeAutospacing="0" w:after="0" w:afterAutospacing="0"/>
              <w:ind w:left="0" w:right="0"/>
              <w:rPr>
                <w:rFonts w:hint="default"/>
              </w:rPr>
            </w:pPr>
          </w:p>
        </w:tc>
      </w:tr>
      <w:tr w14:paraId="3FB8F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564" w:hRule="atLeast"/>
          <w:jc w:val="center"/>
        </w:trPr>
        <w:tc>
          <w:tcPr>
            <w:tcW w:w="677" w:type="dxa"/>
            <w:vMerge w:val="continue"/>
            <w:tcBorders>
              <w:top w:val="single" w:color="000000" w:sz="4" w:space="0"/>
              <w:left w:val="single" w:color="000000" w:sz="4" w:space="0"/>
              <w:bottom w:val="single" w:color="000000" w:sz="4" w:space="0"/>
              <w:right w:val="single" w:color="000000" w:sz="4" w:space="0"/>
            </w:tcBorders>
            <w:vAlign w:val="center"/>
          </w:tcPr>
          <w:p w14:paraId="4D8162EB">
            <w:pPr>
              <w:keepNext w:val="0"/>
              <w:keepLines w:val="0"/>
              <w:suppressLineNumbers w:val="0"/>
              <w:spacing w:before="0" w:beforeAutospacing="0" w:after="0" w:afterAutospacing="0"/>
              <w:ind w:left="0" w:right="0"/>
              <w:rPr>
                <w:rFonts w:hint="default"/>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4952C550">
            <w:pPr>
              <w:keepNext w:val="0"/>
              <w:keepLines w:val="0"/>
              <w:suppressLineNumbers w:val="0"/>
              <w:spacing w:before="0" w:beforeAutospacing="0" w:after="0" w:afterAutospacing="0"/>
              <w:ind w:left="0" w:right="0"/>
              <w:jc w:val="center"/>
              <w:rPr>
                <w:rFonts w:hint="default"/>
              </w:rPr>
            </w:pPr>
            <w:r>
              <w:rPr>
                <w:rFonts w:hint="eastAsia"/>
              </w:rPr>
              <w:t>工作简历</w:t>
            </w:r>
          </w:p>
        </w:tc>
        <w:tc>
          <w:tcPr>
            <w:tcW w:w="7238" w:type="dxa"/>
            <w:gridSpan w:val="5"/>
            <w:tcBorders>
              <w:top w:val="single" w:color="000000" w:sz="4" w:space="0"/>
              <w:left w:val="single" w:color="000000" w:sz="4" w:space="0"/>
              <w:bottom w:val="single" w:color="000000" w:sz="4" w:space="0"/>
              <w:right w:val="single" w:color="000000" w:sz="4" w:space="0"/>
            </w:tcBorders>
            <w:vAlign w:val="center"/>
          </w:tcPr>
          <w:p w14:paraId="47D59CE4">
            <w:pPr>
              <w:keepNext w:val="0"/>
              <w:keepLines w:val="0"/>
              <w:suppressLineNumbers w:val="0"/>
              <w:spacing w:before="0" w:beforeAutospacing="0" w:after="0" w:afterAutospacing="0"/>
              <w:ind w:left="0" w:right="0"/>
              <w:rPr>
                <w:rFonts w:hint="default"/>
              </w:rPr>
            </w:pPr>
          </w:p>
        </w:tc>
      </w:tr>
    </w:tbl>
    <w:p w14:paraId="59272449">
      <w:pPr>
        <w:snapToGrid w:val="0"/>
        <w:spacing w:line="360" w:lineRule="auto"/>
        <w:jc w:val="left"/>
        <w:rPr>
          <w:rStyle w:val="88"/>
          <w:rFonts w:ascii="宋体" w:hAnsi="宋体"/>
        </w:rPr>
      </w:pPr>
    </w:p>
    <w:p w14:paraId="41D6E9DC">
      <w:pPr>
        <w:rPr>
          <w:rStyle w:val="88"/>
          <w:rFonts w:ascii="等线 Light" w:hAnsi="宋体"/>
          <w:b/>
        </w:rPr>
      </w:pPr>
    </w:p>
    <w:bookmarkEnd w:id="20"/>
    <w:p w14:paraId="48E3B7EA">
      <w:pPr>
        <w:sectPr>
          <w:endnotePr>
            <w:numFmt w:val="decimal"/>
          </w:endnotePr>
          <w:pgSz w:w="11906" w:h="16838"/>
          <w:pgMar w:top="1418" w:right="1134" w:bottom="1134" w:left="1418" w:header="851" w:footer="641" w:gutter="0"/>
          <w:pgNumType w:fmt="decimal"/>
          <w:cols w:space="720" w:num="1"/>
          <w:docGrid w:linePitch="312" w:charSpace="0"/>
        </w:sectPr>
      </w:pPr>
      <w:bookmarkStart w:id="24" w:name="_Toc80271055"/>
      <w:bookmarkEnd w:id="24"/>
    </w:p>
    <w:p w14:paraId="0ECEE5F1">
      <w:pPr>
        <w:pStyle w:val="4"/>
        <w:rPr>
          <w:rFonts w:hint="default" w:eastAsia="宋体"/>
          <w:lang w:val="en-US" w:eastAsia="zh-CN"/>
        </w:rPr>
      </w:pPr>
      <w:bookmarkStart w:id="25" w:name="_Toc30546"/>
      <w:bookmarkStart w:id="26" w:name="_Toc96092458"/>
      <w:r>
        <w:rPr>
          <w:rFonts w:hint="eastAsia"/>
          <w:lang w:val="en-US" w:eastAsia="zh-CN"/>
        </w:rPr>
        <w:t>附录C  图纸</w:t>
      </w:r>
      <w:bookmarkEnd w:id="25"/>
    </w:p>
    <w:p w14:paraId="66E31272">
      <w:pPr>
        <w:pStyle w:val="4"/>
        <w:rPr>
          <w:rFonts w:hint="eastAsia"/>
        </w:rPr>
      </w:pPr>
      <w:bookmarkStart w:id="27" w:name="_Toc20185"/>
      <w:r>
        <w:rPr>
          <w:rFonts w:hint="eastAsia"/>
        </w:rPr>
        <w:t>附图1  耐磨铸铁板（直流道）</w:t>
      </w:r>
      <w:bookmarkEnd w:id="26"/>
      <w:bookmarkEnd w:id="27"/>
    </w:p>
    <w:p w14:paraId="4140DEEC">
      <w:pPr>
        <w:rPr>
          <w:rFonts w:hint="eastAsia"/>
        </w:rPr>
      </w:pPr>
    </w:p>
    <w:p w14:paraId="0EE5157C">
      <w:pPr>
        <w:rPr>
          <w:rFonts w:ascii="宋体" w:hAnsi="宋体" w:cs="宋体"/>
          <w:kern w:val="0"/>
          <w:sz w:val="24"/>
        </w:rPr>
      </w:pPr>
      <w:r>
        <w:rPr>
          <w:rFonts w:ascii="宋体" w:hAnsi="宋体" w:cs="宋体"/>
          <w:kern w:val="0"/>
          <w:sz w:val="24"/>
        </w:rPr>
        <w:pict>
          <v:shape id="_x0000_i1028" o:spt="75" alt="说明: C:\Users\xtmhg\AppData\Roaming\Tencent\Users\562293043\QQ\WinTemp\RichOle\{[E0(A4MNEB1PSSKOTOB2~M.png" type="#_x0000_t75" style="height:518.2pt;width:448.25pt;" filled="f" o:preferrelative="t" stroked="f" coordsize="21600,21600">
            <v:path/>
            <v:fill on="f" focussize="0,0"/>
            <v:stroke on="f"/>
            <v:imagedata r:id="rId9" o:title="{[E0(A4MNEB1PSSKOTOB2~M"/>
            <o:lock v:ext="edit" aspectratio="t"/>
            <w10:wrap type="none"/>
            <w10:anchorlock/>
          </v:shape>
        </w:pict>
      </w:r>
    </w:p>
    <w:p w14:paraId="33DF1EA4">
      <w:pPr>
        <w:rPr>
          <w:rFonts w:ascii="宋体" w:hAnsi="宋体" w:cs="宋体"/>
          <w:kern w:val="0"/>
          <w:sz w:val="24"/>
        </w:rPr>
        <w:sectPr>
          <w:endnotePr>
            <w:numFmt w:val="decimal"/>
          </w:endnotePr>
          <w:pgSz w:w="11906" w:h="16838"/>
          <w:pgMar w:top="1418" w:right="1134" w:bottom="1134" w:left="1418" w:header="851" w:footer="641" w:gutter="0"/>
          <w:pgNumType w:fmt="decimal"/>
          <w:cols w:space="720" w:num="1"/>
          <w:docGrid w:linePitch="312" w:charSpace="0"/>
        </w:sectPr>
      </w:pPr>
    </w:p>
    <w:p w14:paraId="2900CB98">
      <w:pPr>
        <w:pStyle w:val="4"/>
        <w:rPr>
          <w:rFonts w:hint="eastAsia"/>
        </w:rPr>
      </w:pPr>
      <w:bookmarkStart w:id="28" w:name="_Toc96092459"/>
      <w:bookmarkStart w:id="29" w:name="_Toc7358"/>
      <w:r>
        <w:rPr>
          <w:rFonts w:hint="eastAsia"/>
        </w:rPr>
        <w:t>附图2  耐磨铸铁板（弯流道）</w:t>
      </w:r>
      <w:bookmarkEnd w:id="28"/>
      <w:bookmarkEnd w:id="29"/>
    </w:p>
    <w:p w14:paraId="2DA358E7">
      <w:pPr>
        <w:rPr>
          <w:rFonts w:hint="eastAsia"/>
        </w:rPr>
      </w:pPr>
    </w:p>
    <w:p w14:paraId="66F0D18D">
      <w:pPr>
        <w:rPr>
          <w:rFonts w:ascii="宋体" w:hAnsi="宋体" w:cs="宋体"/>
          <w:kern w:val="0"/>
          <w:sz w:val="24"/>
        </w:rPr>
      </w:pPr>
      <w:r>
        <w:rPr>
          <w:rFonts w:ascii="宋体" w:hAnsi="宋体" w:cs="宋体"/>
          <w:kern w:val="0"/>
          <w:sz w:val="24"/>
        </w:rPr>
        <w:pict>
          <v:shape id="_x0000_i1029" o:spt="75" alt="说明: C:\Users\xtmhg\AppData\Roaming\Tencent\Users\562293043\QQ\WinTemp\RichOle\1PRYARAR}FD$4TRTOA6]B@U.png" type="#_x0000_t75" style="height:524.45pt;width:425.25pt;" filled="f" o:preferrelative="t" stroked="f" coordsize="21600,21600">
            <v:path/>
            <v:fill on="f" focussize="0,0"/>
            <v:stroke on="f"/>
            <v:imagedata r:id="rId10" o:title="1PRYARAR}FD$4TRTOA6]B@U"/>
            <o:lock v:ext="edit" aspectratio="t"/>
            <w10:wrap type="none"/>
            <w10:anchorlock/>
          </v:shape>
        </w:pict>
      </w:r>
    </w:p>
    <w:p w14:paraId="0D7EFCBA">
      <w:pPr>
        <w:rPr>
          <w:rFonts w:ascii="宋体" w:hAnsi="宋体" w:cs="宋体"/>
          <w:kern w:val="0"/>
          <w:sz w:val="24"/>
        </w:rPr>
        <w:sectPr>
          <w:endnotePr>
            <w:numFmt w:val="decimal"/>
          </w:endnotePr>
          <w:pgSz w:w="11906" w:h="16838"/>
          <w:pgMar w:top="1418" w:right="1134" w:bottom="1134" w:left="1418" w:header="851" w:footer="641" w:gutter="0"/>
          <w:pgNumType w:fmt="decimal"/>
          <w:cols w:space="720" w:num="1"/>
          <w:docGrid w:linePitch="312" w:charSpace="0"/>
        </w:sectPr>
      </w:pPr>
    </w:p>
    <w:p w14:paraId="7AAF555F">
      <w:pPr>
        <w:pStyle w:val="4"/>
        <w:rPr>
          <w:rFonts w:hint="eastAsia"/>
        </w:rPr>
      </w:pPr>
      <w:bookmarkStart w:id="30" w:name="_Toc15629"/>
      <w:bookmarkStart w:id="31" w:name="_Toc96092460"/>
      <w:r>
        <w:rPr>
          <w:rFonts w:hint="eastAsia"/>
        </w:rPr>
        <w:t>附图3  室外排渣沟平面布置图</w:t>
      </w:r>
      <w:bookmarkEnd w:id="30"/>
      <w:bookmarkEnd w:id="31"/>
    </w:p>
    <w:p w14:paraId="7AEB6810">
      <w:pPr>
        <w:sectPr>
          <w:endnotePr>
            <w:numFmt w:val="decimal"/>
          </w:endnotePr>
          <w:pgSz w:w="11906" w:h="16838"/>
          <w:pgMar w:top="1418" w:right="1134" w:bottom="1134" w:left="1418" w:header="851" w:footer="641" w:gutter="0"/>
          <w:pgNumType w:fmt="decimal"/>
          <w:cols w:space="720" w:num="1"/>
          <w:docGrid w:linePitch="312" w:charSpace="0"/>
        </w:sectPr>
      </w:pPr>
      <w:r>
        <w:pict>
          <v:shape id="_x0000_i1030" o:spt="75" type="#_x0000_t75" style="height:380.65pt;width:640.15pt;rotation:5898240f;" filled="f" o:preferrelative="t" stroked="f" coordsize="21600,21600">
            <v:path/>
            <v:fill on="f" focussize="0,0"/>
            <v:stroke on="f"/>
            <v:imagedata r:id="rId6" r:href="rId7" o:title=""/>
            <o:lock v:ext="edit" rotation="t" aspectratio="t"/>
            <w10:wrap type="none"/>
            <w10:anchorlock/>
          </v:shape>
        </w:pict>
      </w:r>
    </w:p>
    <w:p w14:paraId="6BE47B3A">
      <w:pPr>
        <w:pStyle w:val="4"/>
        <w:rPr>
          <w:rFonts w:hint="eastAsia"/>
        </w:rPr>
      </w:pPr>
      <w:bookmarkStart w:id="32" w:name="_Toc26580"/>
      <w:bookmarkStart w:id="33" w:name="_Toc96092461"/>
      <w:r>
        <w:rPr>
          <w:rFonts w:hint="eastAsia"/>
        </w:rPr>
        <w:t>附图4  渣沟横截面图</w:t>
      </w:r>
      <w:bookmarkEnd w:id="32"/>
      <w:bookmarkEnd w:id="33"/>
    </w:p>
    <w:p w14:paraId="7438DBC2">
      <w:pPr>
        <w:widowControl/>
        <w:jc w:val="left"/>
        <w:rPr>
          <w:rFonts w:hint="eastAsia" w:ascii="宋体" w:hAnsi="宋体" w:cs="宋体"/>
          <w:kern w:val="0"/>
          <w:sz w:val="24"/>
          <w:szCs w:val="24"/>
        </w:rPr>
      </w:pPr>
    </w:p>
    <w:p w14:paraId="15C55683">
      <w:pPr>
        <w:jc w:val="left"/>
        <w:rPr>
          <w:rFonts w:ascii="宋体" w:hAnsi="宋体" w:cs="宋体"/>
          <w:kern w:val="0"/>
          <w:sz w:val="24"/>
          <w:szCs w:val="24"/>
        </w:rPr>
        <w:sectPr>
          <w:endnotePr>
            <w:numFmt w:val="decimal"/>
          </w:endnotePr>
          <w:pgSz w:w="11906" w:h="16838"/>
          <w:pgMar w:top="1418" w:right="1134" w:bottom="1134" w:left="1418" w:header="851" w:footer="641" w:gutter="0"/>
          <w:pgNumType w:fmt="decimal"/>
          <w:cols w:space="720" w:num="1"/>
          <w:docGrid w:linePitch="312" w:charSpace="0"/>
        </w:sectPr>
      </w:pPr>
      <w:r>
        <w:rPr>
          <w:rFonts w:ascii="宋体" w:hAnsi="宋体" w:cs="宋体"/>
          <w:kern w:val="0"/>
          <w:sz w:val="24"/>
          <w:szCs w:val="24"/>
        </w:rPr>
        <w:fldChar w:fldCharType="begin"/>
      </w:r>
      <w:r>
        <w:rPr>
          <w:rFonts w:ascii="宋体" w:hAnsi="宋体" w:cs="宋体"/>
          <w:kern w:val="0"/>
          <w:sz w:val="24"/>
          <w:szCs w:val="24"/>
        </w:rPr>
        <w:instrText xml:space="preserve"> INCLUDEPICTURE "C:\\Users\\xtmhg\\AppData\\Roaming\\Tencent\\Users\\562293043\\QQ\\WinTemp\\RichOle\\MU`73MZQM8%RJ45)ZH[6BY8.png" \* MERGEFORMATINET </w:instrText>
      </w:r>
      <w:r>
        <w:rPr>
          <w:rFonts w:ascii="宋体" w:hAnsi="宋体" w:cs="宋体"/>
          <w:kern w:val="0"/>
          <w:sz w:val="24"/>
          <w:szCs w:val="24"/>
        </w:rPr>
        <w:fldChar w:fldCharType="separate"/>
      </w:r>
      <w:r>
        <w:rPr>
          <w:rFonts w:ascii="宋体" w:hAnsi="宋体" w:cs="宋体"/>
          <w:kern w:val="0"/>
          <w:sz w:val="24"/>
          <w:szCs w:val="24"/>
        </w:rPr>
        <w:pict>
          <v:shape id="_x0000_i1031" o:spt="75" alt="MU`73MZQM8%RJ45)ZH[6BY8" type="#_x0000_t75" style="height:531.05pt;width:469.7pt;" filled="f" o:preferrelative="t" stroked="f" coordsize="21600,21600">
            <v:path/>
            <v:fill on="f" focussize="0,0"/>
            <v:stroke on="f"/>
            <v:imagedata r:id="rId11" o:title="MU`73MZQM8%RJ45)ZH[6BY8"/>
            <o:lock v:ext="edit" aspectratio="t"/>
            <w10:wrap type="none"/>
            <w10:anchorlock/>
          </v:shape>
        </w:pict>
      </w:r>
      <w:r>
        <w:rPr>
          <w:rFonts w:ascii="宋体" w:hAnsi="宋体" w:cs="宋体"/>
          <w:kern w:val="0"/>
          <w:sz w:val="24"/>
          <w:szCs w:val="24"/>
        </w:rPr>
        <w:fldChar w:fldCharType="end"/>
      </w:r>
    </w:p>
    <w:p w14:paraId="03EC42C5">
      <w:pPr>
        <w:pStyle w:val="4"/>
        <w:rPr>
          <w:rFonts w:hint="eastAsia"/>
        </w:rPr>
      </w:pPr>
      <w:bookmarkStart w:id="34" w:name="_Toc96092462"/>
      <w:bookmarkStart w:id="35" w:name="_Toc1876"/>
      <w:r>
        <w:rPr>
          <w:rFonts w:hint="eastAsia"/>
        </w:rPr>
        <w:t>附图5  渣沟灰水喷头安装图</w:t>
      </w:r>
      <w:bookmarkEnd w:id="34"/>
      <w:bookmarkEnd w:id="35"/>
    </w:p>
    <w:p w14:paraId="25BE3E37">
      <w:pPr>
        <w:rPr>
          <w:rFonts w:hint="eastAsia"/>
        </w:rPr>
      </w:pPr>
    </w:p>
    <w:p w14:paraId="53FA6D5E">
      <w:pPr>
        <w:rPr>
          <w:rFonts w:hint="eastAsia"/>
        </w:rPr>
      </w:pPr>
    </w:p>
    <w:p w14:paraId="2551E823">
      <w:pPr>
        <w:rPr>
          <w:rFonts w:hint="eastAsia"/>
        </w:rPr>
      </w:pPr>
    </w:p>
    <w:p w14:paraId="576C3323">
      <w:pPr>
        <w:rPr>
          <w:rFonts w:hint="eastAsia"/>
        </w:rPr>
      </w:pPr>
    </w:p>
    <w:p w14:paraId="2628E48E">
      <w:pPr>
        <w:jc w:val="left"/>
        <w:rPr>
          <w:rFonts w:ascii="宋体" w:hAnsi="宋体" w:cs="宋体"/>
          <w:kern w:val="0"/>
          <w:sz w:val="24"/>
          <w:szCs w:val="24"/>
        </w:rPr>
        <w:sectPr>
          <w:endnotePr>
            <w:numFmt w:val="decimal"/>
          </w:endnotePr>
          <w:pgSz w:w="11906" w:h="16838"/>
          <w:pgMar w:top="1418" w:right="1134" w:bottom="1134" w:left="1418" w:header="851" w:footer="641" w:gutter="0"/>
          <w:pgNumType w:fmt="decimal"/>
          <w:cols w:space="720" w:num="1"/>
          <w:docGrid w:linePitch="312" w:charSpace="0"/>
        </w:sectPr>
      </w:pPr>
      <w:r>
        <w:rPr>
          <w:rFonts w:ascii="宋体" w:hAnsi="宋体" w:cs="宋体"/>
          <w:kern w:val="0"/>
          <w:sz w:val="24"/>
          <w:szCs w:val="24"/>
        </w:rPr>
        <w:fldChar w:fldCharType="begin"/>
      </w:r>
      <w:r>
        <w:rPr>
          <w:rFonts w:ascii="宋体" w:hAnsi="宋体" w:cs="宋体"/>
          <w:kern w:val="0"/>
          <w:sz w:val="24"/>
          <w:szCs w:val="24"/>
        </w:rPr>
        <w:instrText xml:space="preserve"> INCLUDEPICTURE "C:\\Users\\xtmhg\\AppData\\Roaming\\Tencent\\Users\\562293043\\QQ\\WinTemp\\RichOle\\I`}TZS1_U8]6IVP6{OB{KWX.png" \* MERGEFORMATINET </w:instrText>
      </w:r>
      <w:r>
        <w:rPr>
          <w:rFonts w:ascii="宋体" w:hAnsi="宋体" w:cs="宋体"/>
          <w:kern w:val="0"/>
          <w:sz w:val="24"/>
          <w:szCs w:val="24"/>
        </w:rPr>
        <w:fldChar w:fldCharType="separate"/>
      </w:r>
      <w:r>
        <w:rPr>
          <w:rFonts w:ascii="宋体" w:hAnsi="宋体" w:cs="宋体"/>
          <w:kern w:val="0"/>
          <w:sz w:val="24"/>
          <w:szCs w:val="24"/>
        </w:rPr>
        <w:pict>
          <v:shape id="_x0000_i1032" o:spt="75" alt="I`}TZS1_U8]6IVP6{OB{KWX" type="#_x0000_t75" style="height:377.35pt;width:431.35pt;" filled="f" o:preferrelative="t" stroked="f" coordsize="21600,21600">
            <v:path/>
            <v:fill on="f" focussize="0,0"/>
            <v:stroke on="f"/>
            <v:imagedata r:id="rId12" o:title="I`}TZS1_U8]6IVP6{OB{KWX"/>
            <o:lock v:ext="edit" aspectratio="t"/>
            <w10:wrap type="none"/>
            <w10:anchorlock/>
          </v:shape>
        </w:pict>
      </w:r>
      <w:r>
        <w:rPr>
          <w:rFonts w:ascii="宋体" w:hAnsi="宋体" w:cs="宋体"/>
          <w:kern w:val="0"/>
          <w:sz w:val="24"/>
          <w:szCs w:val="24"/>
        </w:rPr>
        <w:fldChar w:fldCharType="end"/>
      </w:r>
    </w:p>
    <w:p w14:paraId="6FA7E413">
      <w:pPr>
        <w:pStyle w:val="4"/>
        <w:rPr>
          <w:rFonts w:hint="eastAsia"/>
        </w:rPr>
      </w:pPr>
      <w:r>
        <w:rPr>
          <w:rFonts w:hint="eastAsia"/>
        </w:rPr>
        <w:t>附图6  渣沟沟壁与沟底变形缝</w:t>
      </w:r>
    </w:p>
    <w:p w14:paraId="50EDF242">
      <w:pPr>
        <w:widowControl/>
        <w:jc w:val="left"/>
        <w:rPr>
          <w:rFonts w:ascii="宋体" w:hAnsi="宋体" w:cs="宋体"/>
          <w:kern w:val="0"/>
          <w:sz w:val="24"/>
          <w:szCs w:val="24"/>
        </w:rPr>
      </w:pPr>
      <w:r>
        <w:rPr>
          <w:rFonts w:ascii="宋体" w:hAnsi="宋体" w:cs="宋体"/>
          <w:kern w:val="0"/>
          <w:sz w:val="24"/>
          <w:szCs w:val="24"/>
        </w:rPr>
        <w:fldChar w:fldCharType="begin"/>
      </w:r>
      <w:r>
        <w:rPr>
          <w:rFonts w:ascii="宋体" w:hAnsi="宋体" w:cs="宋体"/>
          <w:kern w:val="0"/>
          <w:sz w:val="24"/>
          <w:szCs w:val="24"/>
        </w:rPr>
        <w:instrText xml:space="preserve"> INCLUDEPICTURE "C:\\Users\\xtmhg\\AppData\\Roaming\\Tencent\\Users\\562293043\\QQ\\WinTemp\\RichOle\\[SA%{KZK~52K1PRC[$_2SBU.png" \* MERGEFORMATINET </w:instrText>
      </w:r>
      <w:r>
        <w:rPr>
          <w:rFonts w:ascii="宋体" w:hAnsi="宋体" w:cs="宋体"/>
          <w:kern w:val="0"/>
          <w:sz w:val="24"/>
          <w:szCs w:val="24"/>
        </w:rPr>
        <w:fldChar w:fldCharType="separate"/>
      </w:r>
      <w:r>
        <w:rPr>
          <w:rFonts w:ascii="宋体" w:hAnsi="宋体" w:cs="宋体"/>
          <w:kern w:val="0"/>
          <w:sz w:val="24"/>
          <w:szCs w:val="24"/>
        </w:rPr>
        <w:pict>
          <v:shape id="_x0000_i1033" o:spt="75" alt="[SA%{KZK~52K1PRC[$_2SBU" type="#_x0000_t75" style="height:333.2pt;width:461.2pt;" filled="f" o:preferrelative="t" stroked="f" coordsize="21600,21600">
            <v:path/>
            <v:fill on="f" focussize="0,0"/>
            <v:stroke on="f"/>
            <v:imagedata r:id="rId13" o:title="[SA%{KZK~52K1PRC[$_2SBU"/>
            <o:lock v:ext="edit" aspectratio="t"/>
            <w10:wrap type="none"/>
            <w10:anchorlock/>
          </v:shape>
        </w:pict>
      </w:r>
      <w:r>
        <w:rPr>
          <w:rFonts w:ascii="宋体" w:hAnsi="宋体" w:cs="宋体"/>
          <w:kern w:val="0"/>
          <w:sz w:val="24"/>
          <w:szCs w:val="24"/>
        </w:rPr>
        <w:fldChar w:fldCharType="end"/>
      </w:r>
    </w:p>
    <w:p w14:paraId="660AC41A">
      <w:pPr>
        <w:rPr>
          <w:rFonts w:hint="eastAsia"/>
        </w:rPr>
      </w:pPr>
    </w:p>
    <w:p w14:paraId="13B0BF82">
      <w:pPr>
        <w:jc w:val="left"/>
        <w:rPr>
          <w:rFonts w:ascii="宋体" w:hAnsi="宋体" w:cs="宋体"/>
          <w:kern w:val="0"/>
          <w:sz w:val="24"/>
          <w:szCs w:val="24"/>
        </w:rPr>
      </w:pPr>
      <w:r>
        <w:rPr>
          <w:rFonts w:hint="eastAsia" w:ascii="宋体" w:hAnsi="宋体" w:cs="宋体"/>
          <w:kern w:val="0"/>
          <w:sz w:val="24"/>
          <w:szCs w:val="24"/>
        </w:rPr>
        <w:t xml:space="preserve">    </w:t>
      </w:r>
      <w:r>
        <w:rPr>
          <w:rFonts w:ascii="宋体" w:hAnsi="宋体" w:cs="宋体"/>
          <w:kern w:val="0"/>
          <w:sz w:val="24"/>
          <w:szCs w:val="24"/>
        </w:rPr>
        <w:fldChar w:fldCharType="begin"/>
      </w:r>
      <w:r>
        <w:rPr>
          <w:rFonts w:ascii="宋体" w:hAnsi="宋体" w:cs="宋体"/>
          <w:kern w:val="0"/>
          <w:sz w:val="24"/>
          <w:szCs w:val="24"/>
        </w:rPr>
        <w:instrText xml:space="preserve"> INCLUDEPICTURE "C:\\Users\\xtmhg\\AppData\\Roaming\\Tencent\\Users\\562293043\\QQ\\WinTemp\\RichOle\\JQE7B2W19B{RRQ`UN_V@S%8.png" \* MERGEFORMATINET </w:instrText>
      </w:r>
      <w:r>
        <w:rPr>
          <w:rFonts w:ascii="宋体" w:hAnsi="宋体" w:cs="宋体"/>
          <w:kern w:val="0"/>
          <w:sz w:val="24"/>
          <w:szCs w:val="24"/>
        </w:rPr>
        <w:fldChar w:fldCharType="separate"/>
      </w:r>
      <w:r>
        <w:rPr>
          <w:rFonts w:ascii="宋体" w:hAnsi="宋体" w:cs="宋体"/>
          <w:kern w:val="0"/>
          <w:sz w:val="24"/>
          <w:szCs w:val="24"/>
        </w:rPr>
        <w:pict>
          <v:shape id="_x0000_i1034" o:spt="75" alt="JQE7B2W19B{RRQ`UN_V@S%8" type="#_x0000_t75" style="height:295.5pt;width:413pt;" filled="f" o:preferrelative="t" stroked="f" coordsize="21600,21600">
            <v:path/>
            <v:fill on="f" focussize="0,0"/>
            <v:stroke on="f"/>
            <v:imagedata r:id="rId14" o:title="JQE7B2W19B{RRQ`UN_V@S%8"/>
            <o:lock v:ext="edit" aspectratio="t"/>
            <w10:wrap type="none"/>
            <w10:anchorlock/>
          </v:shape>
        </w:pict>
      </w:r>
      <w:r>
        <w:rPr>
          <w:rFonts w:ascii="宋体" w:hAnsi="宋体" w:cs="宋体"/>
          <w:kern w:val="0"/>
          <w:sz w:val="24"/>
          <w:szCs w:val="24"/>
        </w:rPr>
        <w:fldChar w:fldCharType="end"/>
      </w:r>
    </w:p>
    <w:sectPr>
      <w:pgSz w:w="11906" w:h="16838"/>
      <w:pgMar w:top="1440" w:right="1800" w:bottom="1440" w:left="1800" w:header="851" w:footer="992" w:gutter="0"/>
      <w:pgNumType w:fmt="decimal"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宋体"/>
    <w:panose1 w:val="00000000000000000000"/>
    <w:charset w:val="86"/>
    <w:family w:val="modern"/>
    <w:pitch w:val="default"/>
    <w:sig w:usb0="00000000" w:usb1="00000000" w:usb2="00000010" w:usb3="00000000" w:csb0="00040000" w:csb1="00000000"/>
  </w:font>
  <w:font w:name="PingFang SC">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Dotum">
    <w:altName w:val="Malgun Gothic"/>
    <w:panose1 w:val="020B0600000101010101"/>
    <w:charset w:val="81"/>
    <w:family w:val="moder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KSOFF9CBECC6">
    <w:panose1 w:val="02010609060101010101"/>
    <w:charset w:val="86"/>
    <w:family w:val="auto"/>
    <w:pitch w:val="default"/>
    <w:sig w:usb0="00000001" w:usb1="00000000" w:usb2="00000000" w:usb3="00000000" w:csb0="00040001" w:csb1="00000000"/>
  </w:font>
  <w:font w:name="KSOF9FD03A85">
    <w:panose1 w:val="020B0503020000020004"/>
    <w:charset w:val="81"/>
    <w:family w:val="auto"/>
    <w:pitch w:val="default"/>
    <w:sig w:usb0="00000001" w:usb1="00000000" w:usb2="0000000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29E3D">
    <w:pPr>
      <w:pStyle w:val="22"/>
      <w:ind w:left="960"/>
      <w:jc w:val="center"/>
    </w:pPr>
    <w:r>
      <w:rPr>
        <w:sz w:val="18"/>
      </w:rPr>
      <w:pict>
        <v:shape id="_x0000_s3078" o:spid="_x0000_s307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8F8A07E">
                <w:pPr>
                  <w:pStyle w:val="22"/>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0668E">
    <w:pPr>
      <w:pStyle w:val="23"/>
      <w:pBdr>
        <w:bottom w:val="single" w:color="000000" w:sz="6" w:space="6"/>
      </w:pBdr>
      <w:jc w:val="left"/>
      <w:rPr>
        <w:rFonts w:ascii="楷体_GB2312" w:eastAsia="楷体_GB2312"/>
        <w:sz w:val="24"/>
        <w:szCs w:val="24"/>
      </w:rPr>
    </w:pPr>
    <w:r>
      <w:rPr>
        <w:rFonts w:hint="eastAsia" w:ascii="楷体_GB2312" w:eastAsia="楷体_GB2312"/>
        <w:sz w:val="24"/>
        <w:szCs w:val="24"/>
      </w:rPr>
      <w:t xml:space="preserve">气化炉大修和内筒体及下灰室锥体部分堆焊维保服务技术规范书 </w:t>
    </w:r>
    <w:r>
      <w:rPr>
        <w:rFonts w:hint="eastAsia" w:ascii="楷体_GB2312" w:eastAsia="楷体_GB231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A87B9C"/>
    <w:multiLevelType w:val="multilevel"/>
    <w:tmpl w:val="58A87B9C"/>
    <w:lvl w:ilvl="0" w:tentative="0">
      <w:start w:val="1"/>
      <w:numFmt w:val="decimal"/>
      <w:suff w:val="nothing"/>
      <w:lvlText w:val="%1."/>
      <w:lvlJc w:val="left"/>
      <w:rPr>
        <w:rFonts w:hint="eastAsia"/>
      </w:rPr>
    </w:lvl>
    <w:lvl w:ilvl="1" w:tentative="0">
      <w:start w:val="1"/>
      <w:numFmt w:val="decimal"/>
      <w:suff w:val="nothing"/>
      <w:lvlText w:val="%1.%2"/>
      <w:lvlJc w:val="left"/>
      <w:rPr>
        <w:rFonts w:hint="eastAsia"/>
      </w:rPr>
    </w:lvl>
    <w:lvl w:ilvl="2" w:tentative="0">
      <w:start w:val="1"/>
      <w:numFmt w:val="chineseCountingThousand"/>
      <w:suff w:val="nothing"/>
      <w:lvlText w:val="附件%3："/>
      <w:lvlJc w:val="left"/>
      <w:rPr>
        <w:rFonts w:hint="eastAsia"/>
      </w:rPr>
    </w:lvl>
    <w:lvl w:ilvl="3" w:tentative="0">
      <w:start w:val="1"/>
      <w:numFmt w:val="decimal"/>
      <w:suff w:val="nothing"/>
      <w:lvlText w:val="%4."/>
      <w:lvlJc w:val="left"/>
      <w:rPr>
        <w:rFonts w:hint="eastAsia"/>
      </w:rPr>
    </w:lvl>
    <w:lvl w:ilvl="4" w:tentative="0">
      <w:start w:val="1"/>
      <w:numFmt w:val="decimal"/>
      <w:pStyle w:val="6"/>
      <w:suff w:val="nothing"/>
      <w:lvlText w:val="%4.%5"/>
      <w:lvlJc w:val="left"/>
      <w:rPr>
        <w:rFonts w:hint="eastAsia"/>
      </w:rPr>
    </w:lvl>
    <w:lvl w:ilvl="5" w:tentative="0">
      <w:start w:val="1"/>
      <w:numFmt w:val="decimal"/>
      <w:pStyle w:val="7"/>
      <w:suff w:val="nothing"/>
      <w:lvlText w:val=""/>
      <w:lvlJc w:val="left"/>
      <w:rPr>
        <w:rFonts w:hint="eastAsia"/>
      </w:rPr>
    </w:lvl>
    <w:lvl w:ilvl="6" w:tentative="0">
      <w:start w:val="1"/>
      <w:numFmt w:val="decimal"/>
      <w:pStyle w:val="8"/>
      <w:suff w:val="nothing"/>
      <w:lvlText w:val=""/>
      <w:lvlJc w:val="left"/>
      <w:rPr>
        <w:rFonts w:hint="eastAsia"/>
      </w:rPr>
    </w:lvl>
    <w:lvl w:ilvl="7" w:tentative="0">
      <w:start w:val="1"/>
      <w:numFmt w:val="decimal"/>
      <w:pStyle w:val="9"/>
      <w:suff w:val="nothing"/>
      <w:lvlText w:val=""/>
      <w:lvlJc w:val="left"/>
      <w:rPr>
        <w:rFonts w:hint="eastAsia"/>
      </w:rPr>
    </w:lvl>
    <w:lvl w:ilvl="8" w:tentative="0">
      <w:start w:val="1"/>
      <w:numFmt w:val="decimal"/>
      <w:pStyle w:val="10"/>
      <w:suff w:val="nothing"/>
      <w:lvlText w:val=""/>
      <w:lvlJc w:val="left"/>
      <w:rPr>
        <w:rFonts w:hint="eastAsia"/>
      </w:rPr>
    </w:lvl>
  </w:abstractNum>
  <w:abstractNum w:abstractNumId="1">
    <w:nsid w:val="6CEA2025"/>
    <w:multiLevelType w:val="multilevel"/>
    <w:tmpl w:val="6CEA2025"/>
    <w:lvl w:ilvl="0" w:tentative="0">
      <w:start w:val="1"/>
      <w:numFmt w:val="decimal"/>
      <w:suff w:val="nothing"/>
      <w:lvlText w:val="%1"/>
      <w:lvlJc w:val="left"/>
      <w:pPr>
        <w:ind w:left="0" w:firstLine="0"/>
      </w:pPr>
      <w:rPr>
        <w:rFonts w:ascii="Times New Roman" w:hAnsi="Times New Roman"/>
        <w:b/>
        <w:i w:val="0"/>
        <w:sz w:val="21"/>
      </w:rPr>
    </w:lvl>
    <w:lvl w:ilvl="1" w:tentative="0">
      <w:start w:val="1"/>
      <w:numFmt w:val="decimal"/>
      <w:pStyle w:val="71"/>
      <w:suff w:val="nothing"/>
      <w:lvlText w:val="%1%2　"/>
      <w:lvlJc w:val="left"/>
      <w:pPr>
        <w:ind w:left="0" w:firstLine="0"/>
      </w:pPr>
      <w:rPr>
        <w:rFonts w:hint="eastAsia" w:ascii="宋体" w:hAnsi="宋体" w:eastAsia="宋体"/>
        <w:b w:val="0"/>
        <w:i w:val="0"/>
        <w:sz w:val="21"/>
      </w:rPr>
    </w:lvl>
    <w:lvl w:ilvl="2" w:tentative="0">
      <w:start w:val="1"/>
      <w:numFmt w:val="decimal"/>
      <w:pStyle w:val="70"/>
      <w:suff w:val="nothing"/>
      <w:lvlText w:val="%1%2.%3　"/>
      <w:lvlJc w:val="left"/>
      <w:pPr>
        <w:ind w:left="0" w:firstLine="0"/>
      </w:pPr>
      <w:rPr>
        <w:rFonts w:hint="eastAsia" w:ascii="宋体" w:hAnsi="宋体" w:eastAsia="宋体"/>
        <w:b w:val="0"/>
        <w:i w:val="0"/>
        <w:sz w:val="21"/>
      </w:rPr>
    </w:lvl>
    <w:lvl w:ilvl="3" w:tentative="0">
      <w:start w:val="1"/>
      <w:numFmt w:val="decimal"/>
      <w:pStyle w:val="69"/>
      <w:suff w:val="nothing"/>
      <w:lvlText w:val="%1%2.%3.%4　"/>
      <w:lvlJc w:val="left"/>
      <w:pPr>
        <w:ind w:left="630" w:firstLine="0"/>
      </w:pPr>
      <w:rPr>
        <w:rFonts w:hint="eastAsia" w:ascii="宋体" w:hAnsi="宋体" w:eastAsia="宋体"/>
        <w:b w:val="0"/>
        <w:i w:val="0"/>
        <w:sz w:val="21"/>
      </w:rPr>
    </w:lvl>
    <w:lvl w:ilvl="4" w:tentative="0">
      <w:start w:val="1"/>
      <w:numFmt w:val="decimal"/>
      <w:pStyle w:val="68"/>
      <w:suff w:val="nothing"/>
      <w:lvlText w:val="%1%2.%3.%4.%5　"/>
      <w:lvlJc w:val="left"/>
      <w:pPr>
        <w:ind w:left="840" w:firstLine="0"/>
      </w:pPr>
      <w:rPr>
        <w:rFonts w:hint="eastAsia" w:ascii="宋体" w:hAnsi="宋体" w:eastAsia="宋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74F53DD4"/>
    <w:multiLevelType w:val="multilevel"/>
    <w:tmpl w:val="74F53DD4"/>
    <w:lvl w:ilvl="0" w:tentative="0">
      <w:start w:val="0"/>
      <w:numFmt w:val="decimal"/>
      <w:pStyle w:val="5"/>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段炯">
    <w15:presenceInfo w15:providerId="WPS Office" w15:userId="5961114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isplayHorizontalDrawingGridEvery w:val="1"/>
  <w:displayVerticalDrawingGridEvery w:val="1"/>
  <w:noPunctuationKerning w:val="1"/>
  <w:characterSpacingControl w:val="doNotCompress"/>
  <w:hdrShapeDefaults>
    <o:shapelayout v:ext="edit">
      <o:idmap v:ext="edit" data="3"/>
    </o:shapelayout>
  </w:hdrShapeDefaults>
  <w:endnotePr>
    <w:numFmt w:val="decimal"/>
  </w:endnotePr>
  <w:compat>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c4OTgwMzk3Y2VhNmEyYmRlNjEyMjIxODM3NzI2OTQifQ=="/>
  </w:docVars>
  <w:rsids>
    <w:rsidRoot w:val="006D20F7"/>
    <w:rsid w:val="000A0F0C"/>
    <w:rsid w:val="000D1D22"/>
    <w:rsid w:val="000E5609"/>
    <w:rsid w:val="001023C0"/>
    <w:rsid w:val="00120E96"/>
    <w:rsid w:val="00130662"/>
    <w:rsid w:val="00160BCA"/>
    <w:rsid w:val="00164F15"/>
    <w:rsid w:val="0017237C"/>
    <w:rsid w:val="002D11AC"/>
    <w:rsid w:val="00307188"/>
    <w:rsid w:val="00315544"/>
    <w:rsid w:val="00334AF3"/>
    <w:rsid w:val="0041399B"/>
    <w:rsid w:val="0044341B"/>
    <w:rsid w:val="00493FE1"/>
    <w:rsid w:val="004E1977"/>
    <w:rsid w:val="004F245F"/>
    <w:rsid w:val="005764C9"/>
    <w:rsid w:val="005D1C8A"/>
    <w:rsid w:val="005F1D49"/>
    <w:rsid w:val="00670767"/>
    <w:rsid w:val="00676AD9"/>
    <w:rsid w:val="006B1A11"/>
    <w:rsid w:val="006C0A86"/>
    <w:rsid w:val="006D20F7"/>
    <w:rsid w:val="007C0F2D"/>
    <w:rsid w:val="00830B0D"/>
    <w:rsid w:val="008406DF"/>
    <w:rsid w:val="00856905"/>
    <w:rsid w:val="00867FFD"/>
    <w:rsid w:val="008E36CE"/>
    <w:rsid w:val="00923DE1"/>
    <w:rsid w:val="00970BC6"/>
    <w:rsid w:val="009A72AF"/>
    <w:rsid w:val="00A21F08"/>
    <w:rsid w:val="00A24741"/>
    <w:rsid w:val="00A530CB"/>
    <w:rsid w:val="00A70547"/>
    <w:rsid w:val="00A87F63"/>
    <w:rsid w:val="00AF4C84"/>
    <w:rsid w:val="00B11A45"/>
    <w:rsid w:val="00B36754"/>
    <w:rsid w:val="00B418B3"/>
    <w:rsid w:val="00B634F5"/>
    <w:rsid w:val="00B85624"/>
    <w:rsid w:val="00BC760C"/>
    <w:rsid w:val="00BF0E19"/>
    <w:rsid w:val="00C20D5E"/>
    <w:rsid w:val="00C31762"/>
    <w:rsid w:val="00C332ED"/>
    <w:rsid w:val="00C81AA4"/>
    <w:rsid w:val="00CA194E"/>
    <w:rsid w:val="00D459E4"/>
    <w:rsid w:val="00D85933"/>
    <w:rsid w:val="00DE0416"/>
    <w:rsid w:val="00E07BDA"/>
    <w:rsid w:val="00E42EBA"/>
    <w:rsid w:val="00E67C00"/>
    <w:rsid w:val="00EA08D7"/>
    <w:rsid w:val="00EB07B1"/>
    <w:rsid w:val="00F652DD"/>
    <w:rsid w:val="00FD5BA3"/>
    <w:rsid w:val="01416DF2"/>
    <w:rsid w:val="015513F4"/>
    <w:rsid w:val="016F45ED"/>
    <w:rsid w:val="01E66FA5"/>
    <w:rsid w:val="02007D6E"/>
    <w:rsid w:val="023615AF"/>
    <w:rsid w:val="025D6B3C"/>
    <w:rsid w:val="02753C88"/>
    <w:rsid w:val="02754CC0"/>
    <w:rsid w:val="02B26E88"/>
    <w:rsid w:val="02BD28BB"/>
    <w:rsid w:val="02C24BF1"/>
    <w:rsid w:val="02E828A9"/>
    <w:rsid w:val="02ED6112"/>
    <w:rsid w:val="02F23728"/>
    <w:rsid w:val="02FB220D"/>
    <w:rsid w:val="030A0A72"/>
    <w:rsid w:val="03194AE8"/>
    <w:rsid w:val="0327603E"/>
    <w:rsid w:val="03305FFE"/>
    <w:rsid w:val="035C2CE7"/>
    <w:rsid w:val="036C573B"/>
    <w:rsid w:val="037C68DF"/>
    <w:rsid w:val="03804A54"/>
    <w:rsid w:val="038A570F"/>
    <w:rsid w:val="0390448C"/>
    <w:rsid w:val="03B31109"/>
    <w:rsid w:val="03CA56CE"/>
    <w:rsid w:val="03D50C16"/>
    <w:rsid w:val="03DA5489"/>
    <w:rsid w:val="04115E30"/>
    <w:rsid w:val="042B250C"/>
    <w:rsid w:val="042F62B6"/>
    <w:rsid w:val="043438CC"/>
    <w:rsid w:val="043B2EAD"/>
    <w:rsid w:val="04545D1C"/>
    <w:rsid w:val="048B6CCD"/>
    <w:rsid w:val="049368E6"/>
    <w:rsid w:val="04BF2C00"/>
    <w:rsid w:val="04C42EA2"/>
    <w:rsid w:val="04C44C50"/>
    <w:rsid w:val="04D37589"/>
    <w:rsid w:val="04F31198"/>
    <w:rsid w:val="05030FE3"/>
    <w:rsid w:val="050339CA"/>
    <w:rsid w:val="050F7790"/>
    <w:rsid w:val="052027CE"/>
    <w:rsid w:val="057448C8"/>
    <w:rsid w:val="05A47C83"/>
    <w:rsid w:val="063D026D"/>
    <w:rsid w:val="0643687B"/>
    <w:rsid w:val="06482F2B"/>
    <w:rsid w:val="067B57E2"/>
    <w:rsid w:val="067D411E"/>
    <w:rsid w:val="06837593"/>
    <w:rsid w:val="069E6B22"/>
    <w:rsid w:val="06AA0FF0"/>
    <w:rsid w:val="06AC5AB4"/>
    <w:rsid w:val="06BC02D5"/>
    <w:rsid w:val="06C4362D"/>
    <w:rsid w:val="06D15581"/>
    <w:rsid w:val="06E521B8"/>
    <w:rsid w:val="06ED4932"/>
    <w:rsid w:val="070B300A"/>
    <w:rsid w:val="07116774"/>
    <w:rsid w:val="072B7D8D"/>
    <w:rsid w:val="076E61E5"/>
    <w:rsid w:val="07C338E5"/>
    <w:rsid w:val="07D63618"/>
    <w:rsid w:val="08444A26"/>
    <w:rsid w:val="086A3D60"/>
    <w:rsid w:val="087028C8"/>
    <w:rsid w:val="087150EF"/>
    <w:rsid w:val="08A4332D"/>
    <w:rsid w:val="08BA1BA4"/>
    <w:rsid w:val="08ED51DC"/>
    <w:rsid w:val="08FA50E4"/>
    <w:rsid w:val="08FD32B2"/>
    <w:rsid w:val="09265ED9"/>
    <w:rsid w:val="09594501"/>
    <w:rsid w:val="09645F3F"/>
    <w:rsid w:val="09921B1B"/>
    <w:rsid w:val="09C9255A"/>
    <w:rsid w:val="09D61B19"/>
    <w:rsid w:val="09F47679"/>
    <w:rsid w:val="0A083831"/>
    <w:rsid w:val="0A0A2A5D"/>
    <w:rsid w:val="0A122902"/>
    <w:rsid w:val="0A1F1B6F"/>
    <w:rsid w:val="0A4A5BF8"/>
    <w:rsid w:val="0A6071C9"/>
    <w:rsid w:val="0A79028B"/>
    <w:rsid w:val="0AA25A34"/>
    <w:rsid w:val="0AA41DFA"/>
    <w:rsid w:val="0AA608D1"/>
    <w:rsid w:val="0ABB409C"/>
    <w:rsid w:val="0AC91212"/>
    <w:rsid w:val="0B04049C"/>
    <w:rsid w:val="0B0560D8"/>
    <w:rsid w:val="0B095AB3"/>
    <w:rsid w:val="0B106E41"/>
    <w:rsid w:val="0B7F7B23"/>
    <w:rsid w:val="0B9F6417"/>
    <w:rsid w:val="0BB646A7"/>
    <w:rsid w:val="0BC55E54"/>
    <w:rsid w:val="0BD27F6A"/>
    <w:rsid w:val="0BEF6A57"/>
    <w:rsid w:val="0C146C99"/>
    <w:rsid w:val="0C3D1EB8"/>
    <w:rsid w:val="0C463D95"/>
    <w:rsid w:val="0C932CD6"/>
    <w:rsid w:val="0CC5653B"/>
    <w:rsid w:val="0D147C55"/>
    <w:rsid w:val="0D1A3FA7"/>
    <w:rsid w:val="0D312C9C"/>
    <w:rsid w:val="0D330BC5"/>
    <w:rsid w:val="0DB241E0"/>
    <w:rsid w:val="0DB5782C"/>
    <w:rsid w:val="0DD759F4"/>
    <w:rsid w:val="0E227C47"/>
    <w:rsid w:val="0E565112"/>
    <w:rsid w:val="0E5957AA"/>
    <w:rsid w:val="0E664D3A"/>
    <w:rsid w:val="0E7E5F33"/>
    <w:rsid w:val="0E8772D2"/>
    <w:rsid w:val="0E9503CA"/>
    <w:rsid w:val="0EAE2BD9"/>
    <w:rsid w:val="0ECC0A79"/>
    <w:rsid w:val="0ED61957"/>
    <w:rsid w:val="0EDD34DE"/>
    <w:rsid w:val="0F0C553F"/>
    <w:rsid w:val="0F1F58A5"/>
    <w:rsid w:val="0F2B4FAF"/>
    <w:rsid w:val="0FA20284"/>
    <w:rsid w:val="0FA24596"/>
    <w:rsid w:val="0FD146C5"/>
    <w:rsid w:val="0FE35C25"/>
    <w:rsid w:val="101E60BC"/>
    <w:rsid w:val="10405E6E"/>
    <w:rsid w:val="10725EEA"/>
    <w:rsid w:val="109D6377"/>
    <w:rsid w:val="10BF4A70"/>
    <w:rsid w:val="10F92125"/>
    <w:rsid w:val="11020FDA"/>
    <w:rsid w:val="11027767"/>
    <w:rsid w:val="11101499"/>
    <w:rsid w:val="11105EB6"/>
    <w:rsid w:val="111725AC"/>
    <w:rsid w:val="11290C5D"/>
    <w:rsid w:val="11427629"/>
    <w:rsid w:val="118E6D12"/>
    <w:rsid w:val="1191235E"/>
    <w:rsid w:val="119223E6"/>
    <w:rsid w:val="1198193E"/>
    <w:rsid w:val="11B13CB0"/>
    <w:rsid w:val="11EA4C32"/>
    <w:rsid w:val="11FE5B0A"/>
    <w:rsid w:val="12170AB5"/>
    <w:rsid w:val="12273E41"/>
    <w:rsid w:val="122D1840"/>
    <w:rsid w:val="125E0645"/>
    <w:rsid w:val="12641821"/>
    <w:rsid w:val="12694AAA"/>
    <w:rsid w:val="12695089"/>
    <w:rsid w:val="128F1814"/>
    <w:rsid w:val="12AD31C8"/>
    <w:rsid w:val="12CE78BA"/>
    <w:rsid w:val="12D93FBD"/>
    <w:rsid w:val="12E07FA3"/>
    <w:rsid w:val="13070594"/>
    <w:rsid w:val="132609DD"/>
    <w:rsid w:val="133A105E"/>
    <w:rsid w:val="13635E90"/>
    <w:rsid w:val="13734411"/>
    <w:rsid w:val="13806B2E"/>
    <w:rsid w:val="139C0507"/>
    <w:rsid w:val="13A527C2"/>
    <w:rsid w:val="13B01DD4"/>
    <w:rsid w:val="13E64BE3"/>
    <w:rsid w:val="142676D5"/>
    <w:rsid w:val="14280D4F"/>
    <w:rsid w:val="1476310A"/>
    <w:rsid w:val="14B70B0D"/>
    <w:rsid w:val="14BB6070"/>
    <w:rsid w:val="14E135FC"/>
    <w:rsid w:val="14E629C1"/>
    <w:rsid w:val="14FE278E"/>
    <w:rsid w:val="150572EB"/>
    <w:rsid w:val="1534372C"/>
    <w:rsid w:val="156C55BC"/>
    <w:rsid w:val="15730AB5"/>
    <w:rsid w:val="15900F24"/>
    <w:rsid w:val="15B028DA"/>
    <w:rsid w:val="15B64A89"/>
    <w:rsid w:val="161D385D"/>
    <w:rsid w:val="16391314"/>
    <w:rsid w:val="165247B2"/>
    <w:rsid w:val="165E2A90"/>
    <w:rsid w:val="16A85011"/>
    <w:rsid w:val="16BB42B4"/>
    <w:rsid w:val="16F51CB1"/>
    <w:rsid w:val="17103D25"/>
    <w:rsid w:val="17131952"/>
    <w:rsid w:val="171802A5"/>
    <w:rsid w:val="17215F32"/>
    <w:rsid w:val="1736755D"/>
    <w:rsid w:val="178070FD"/>
    <w:rsid w:val="17BD5C5B"/>
    <w:rsid w:val="17C121EB"/>
    <w:rsid w:val="17C14C83"/>
    <w:rsid w:val="17D15BAA"/>
    <w:rsid w:val="17E9660E"/>
    <w:rsid w:val="17F96B12"/>
    <w:rsid w:val="180E295A"/>
    <w:rsid w:val="182A43C3"/>
    <w:rsid w:val="1840688C"/>
    <w:rsid w:val="18475E6C"/>
    <w:rsid w:val="18556173"/>
    <w:rsid w:val="185D3728"/>
    <w:rsid w:val="185E72EB"/>
    <w:rsid w:val="188B3FAB"/>
    <w:rsid w:val="189C617C"/>
    <w:rsid w:val="18A00F71"/>
    <w:rsid w:val="18B02996"/>
    <w:rsid w:val="18C474BD"/>
    <w:rsid w:val="18D74235"/>
    <w:rsid w:val="192166BD"/>
    <w:rsid w:val="1955613D"/>
    <w:rsid w:val="19722A75"/>
    <w:rsid w:val="19792055"/>
    <w:rsid w:val="198F3627"/>
    <w:rsid w:val="19911254"/>
    <w:rsid w:val="19AC0E79"/>
    <w:rsid w:val="19B65058"/>
    <w:rsid w:val="19BE3676"/>
    <w:rsid w:val="19C257AA"/>
    <w:rsid w:val="19CD556F"/>
    <w:rsid w:val="19ED659F"/>
    <w:rsid w:val="19FB69EE"/>
    <w:rsid w:val="1A09570F"/>
    <w:rsid w:val="1A0E0DD3"/>
    <w:rsid w:val="1A4C1518"/>
    <w:rsid w:val="1A533F79"/>
    <w:rsid w:val="1A74270C"/>
    <w:rsid w:val="1A756CC1"/>
    <w:rsid w:val="1A8769F4"/>
    <w:rsid w:val="1A8C5A32"/>
    <w:rsid w:val="1AC94917"/>
    <w:rsid w:val="1AE6196C"/>
    <w:rsid w:val="1B160EE2"/>
    <w:rsid w:val="1B2B21A0"/>
    <w:rsid w:val="1B4D0145"/>
    <w:rsid w:val="1B697EA8"/>
    <w:rsid w:val="1BA22C27"/>
    <w:rsid w:val="1BA500C9"/>
    <w:rsid w:val="1BAF676E"/>
    <w:rsid w:val="1BAF7FB0"/>
    <w:rsid w:val="1BC577D4"/>
    <w:rsid w:val="1BE51C24"/>
    <w:rsid w:val="1BE7599C"/>
    <w:rsid w:val="1BEC2FB3"/>
    <w:rsid w:val="1BF97D57"/>
    <w:rsid w:val="1C253579"/>
    <w:rsid w:val="1C654519"/>
    <w:rsid w:val="1C7B7E93"/>
    <w:rsid w:val="1C8036FB"/>
    <w:rsid w:val="1C817B9F"/>
    <w:rsid w:val="1CB924A3"/>
    <w:rsid w:val="1CB93479"/>
    <w:rsid w:val="1CDB4ADE"/>
    <w:rsid w:val="1CFE203E"/>
    <w:rsid w:val="1D021561"/>
    <w:rsid w:val="1D2642A2"/>
    <w:rsid w:val="1D282738"/>
    <w:rsid w:val="1D2D73DF"/>
    <w:rsid w:val="1D305121"/>
    <w:rsid w:val="1D314D7C"/>
    <w:rsid w:val="1D350989"/>
    <w:rsid w:val="1D371EE0"/>
    <w:rsid w:val="1D41732E"/>
    <w:rsid w:val="1D5030CD"/>
    <w:rsid w:val="1D656664"/>
    <w:rsid w:val="1D8611E5"/>
    <w:rsid w:val="1D9867B6"/>
    <w:rsid w:val="1DDB32DF"/>
    <w:rsid w:val="1DE3579B"/>
    <w:rsid w:val="1DFE521F"/>
    <w:rsid w:val="1E4744D0"/>
    <w:rsid w:val="1E4B6FE6"/>
    <w:rsid w:val="1E6257AE"/>
    <w:rsid w:val="1EB15BB6"/>
    <w:rsid w:val="1EEC5078"/>
    <w:rsid w:val="1EFB52BB"/>
    <w:rsid w:val="1F1258A0"/>
    <w:rsid w:val="1F2C36C6"/>
    <w:rsid w:val="1F5350F7"/>
    <w:rsid w:val="1F70574E"/>
    <w:rsid w:val="1F707E40"/>
    <w:rsid w:val="1F831430"/>
    <w:rsid w:val="1F8654CC"/>
    <w:rsid w:val="1FA459E8"/>
    <w:rsid w:val="1FA65DD9"/>
    <w:rsid w:val="1FDA47EF"/>
    <w:rsid w:val="1FF22B62"/>
    <w:rsid w:val="20120487"/>
    <w:rsid w:val="20176124"/>
    <w:rsid w:val="202D5948"/>
    <w:rsid w:val="20364B19"/>
    <w:rsid w:val="20427645"/>
    <w:rsid w:val="20486F2E"/>
    <w:rsid w:val="20580C17"/>
    <w:rsid w:val="20665FED"/>
    <w:rsid w:val="207B3859"/>
    <w:rsid w:val="20831A0C"/>
    <w:rsid w:val="20AA5E94"/>
    <w:rsid w:val="20D859DB"/>
    <w:rsid w:val="2107263D"/>
    <w:rsid w:val="21112757"/>
    <w:rsid w:val="214376EF"/>
    <w:rsid w:val="216B737C"/>
    <w:rsid w:val="21C346E9"/>
    <w:rsid w:val="21EB1616"/>
    <w:rsid w:val="221A1EFC"/>
    <w:rsid w:val="225B49EE"/>
    <w:rsid w:val="22630F17"/>
    <w:rsid w:val="227710FC"/>
    <w:rsid w:val="22A85433"/>
    <w:rsid w:val="22AB1BF2"/>
    <w:rsid w:val="22BD7DA9"/>
    <w:rsid w:val="22C95B68"/>
    <w:rsid w:val="22D24A4D"/>
    <w:rsid w:val="230A01C2"/>
    <w:rsid w:val="232C0139"/>
    <w:rsid w:val="2355492B"/>
    <w:rsid w:val="236C60A9"/>
    <w:rsid w:val="2381633C"/>
    <w:rsid w:val="239A6F02"/>
    <w:rsid w:val="23F029F9"/>
    <w:rsid w:val="23F10CC8"/>
    <w:rsid w:val="23FE3883"/>
    <w:rsid w:val="24023A5F"/>
    <w:rsid w:val="24253506"/>
    <w:rsid w:val="24395DDA"/>
    <w:rsid w:val="24515A5A"/>
    <w:rsid w:val="24532B5A"/>
    <w:rsid w:val="24681644"/>
    <w:rsid w:val="247104F9"/>
    <w:rsid w:val="24822706"/>
    <w:rsid w:val="24997A50"/>
    <w:rsid w:val="24CA7B0C"/>
    <w:rsid w:val="24D13BD8"/>
    <w:rsid w:val="24D15DC3"/>
    <w:rsid w:val="24F85B7C"/>
    <w:rsid w:val="251470D6"/>
    <w:rsid w:val="251558A5"/>
    <w:rsid w:val="2536704D"/>
    <w:rsid w:val="257B7155"/>
    <w:rsid w:val="2584425C"/>
    <w:rsid w:val="25893D68"/>
    <w:rsid w:val="25BF7042"/>
    <w:rsid w:val="25EE5DB4"/>
    <w:rsid w:val="26151358"/>
    <w:rsid w:val="26180D74"/>
    <w:rsid w:val="262B0B7B"/>
    <w:rsid w:val="263B7010"/>
    <w:rsid w:val="264A7253"/>
    <w:rsid w:val="265C6062"/>
    <w:rsid w:val="265E685B"/>
    <w:rsid w:val="2673294D"/>
    <w:rsid w:val="26875194"/>
    <w:rsid w:val="26A76454"/>
    <w:rsid w:val="26B446CD"/>
    <w:rsid w:val="26FC4AB8"/>
    <w:rsid w:val="272A498F"/>
    <w:rsid w:val="272C03B2"/>
    <w:rsid w:val="273D2914"/>
    <w:rsid w:val="27716A62"/>
    <w:rsid w:val="278C3C3F"/>
    <w:rsid w:val="27D25752"/>
    <w:rsid w:val="27D53F19"/>
    <w:rsid w:val="27DA15AB"/>
    <w:rsid w:val="27EA5D50"/>
    <w:rsid w:val="2832410A"/>
    <w:rsid w:val="283A32F8"/>
    <w:rsid w:val="28AD4C20"/>
    <w:rsid w:val="28B409B4"/>
    <w:rsid w:val="28C44FE8"/>
    <w:rsid w:val="28C803E7"/>
    <w:rsid w:val="28DC615D"/>
    <w:rsid w:val="290C6A42"/>
    <w:rsid w:val="293715E5"/>
    <w:rsid w:val="295E5B46"/>
    <w:rsid w:val="29613A86"/>
    <w:rsid w:val="296F5223"/>
    <w:rsid w:val="297B5976"/>
    <w:rsid w:val="298A5B5C"/>
    <w:rsid w:val="29916F47"/>
    <w:rsid w:val="2996630C"/>
    <w:rsid w:val="2A3A75DF"/>
    <w:rsid w:val="2A6D052C"/>
    <w:rsid w:val="2A9A28C1"/>
    <w:rsid w:val="2AAA2395"/>
    <w:rsid w:val="2AE82B97"/>
    <w:rsid w:val="2B0D4CF3"/>
    <w:rsid w:val="2B3039F8"/>
    <w:rsid w:val="2B380B20"/>
    <w:rsid w:val="2B381D70"/>
    <w:rsid w:val="2B405F6E"/>
    <w:rsid w:val="2B65243A"/>
    <w:rsid w:val="2B885500"/>
    <w:rsid w:val="2B887662"/>
    <w:rsid w:val="2B8F5708"/>
    <w:rsid w:val="2BAF6427"/>
    <w:rsid w:val="2BC41856"/>
    <w:rsid w:val="2C0A355D"/>
    <w:rsid w:val="2C2C2F57"/>
    <w:rsid w:val="2C387B4E"/>
    <w:rsid w:val="2C416A03"/>
    <w:rsid w:val="2C512191"/>
    <w:rsid w:val="2C5A42B6"/>
    <w:rsid w:val="2C74487D"/>
    <w:rsid w:val="2C880B0F"/>
    <w:rsid w:val="2C9E7F33"/>
    <w:rsid w:val="2CA22D54"/>
    <w:rsid w:val="2CA84DCF"/>
    <w:rsid w:val="2CAB47C4"/>
    <w:rsid w:val="2CC43190"/>
    <w:rsid w:val="2CC633AC"/>
    <w:rsid w:val="2CDA0C05"/>
    <w:rsid w:val="2D23435A"/>
    <w:rsid w:val="2D546C0A"/>
    <w:rsid w:val="2D6A3274"/>
    <w:rsid w:val="2D6C3F53"/>
    <w:rsid w:val="2D7B7CF2"/>
    <w:rsid w:val="2D8C1F00"/>
    <w:rsid w:val="2DC07DFB"/>
    <w:rsid w:val="2DD77618"/>
    <w:rsid w:val="2E016E80"/>
    <w:rsid w:val="2E0F48DF"/>
    <w:rsid w:val="2E7532AE"/>
    <w:rsid w:val="2E8C76CD"/>
    <w:rsid w:val="2EB37960"/>
    <w:rsid w:val="2EC35C05"/>
    <w:rsid w:val="2EC4391B"/>
    <w:rsid w:val="2EC90F31"/>
    <w:rsid w:val="2ECA280E"/>
    <w:rsid w:val="2ECD27D0"/>
    <w:rsid w:val="2EDC2A13"/>
    <w:rsid w:val="2EF35FAE"/>
    <w:rsid w:val="2F191EB9"/>
    <w:rsid w:val="2F2257D4"/>
    <w:rsid w:val="2F3320DE"/>
    <w:rsid w:val="2F3A781F"/>
    <w:rsid w:val="2F4E2E79"/>
    <w:rsid w:val="2F6B6A34"/>
    <w:rsid w:val="2F6D3FB3"/>
    <w:rsid w:val="2F781F4F"/>
    <w:rsid w:val="2F7D2448"/>
    <w:rsid w:val="2F7E018B"/>
    <w:rsid w:val="2FB33015"/>
    <w:rsid w:val="2FB50143"/>
    <w:rsid w:val="2FF62FBA"/>
    <w:rsid w:val="2FF817EF"/>
    <w:rsid w:val="306A22A0"/>
    <w:rsid w:val="30766201"/>
    <w:rsid w:val="307D1FD3"/>
    <w:rsid w:val="307D6477"/>
    <w:rsid w:val="30881BCD"/>
    <w:rsid w:val="308E66BB"/>
    <w:rsid w:val="309C68FD"/>
    <w:rsid w:val="309D61D2"/>
    <w:rsid w:val="309F63EE"/>
    <w:rsid w:val="30A13C02"/>
    <w:rsid w:val="30B9756B"/>
    <w:rsid w:val="30BD4AC6"/>
    <w:rsid w:val="30C61BCC"/>
    <w:rsid w:val="30EA2B1C"/>
    <w:rsid w:val="30F34576"/>
    <w:rsid w:val="30FE3148"/>
    <w:rsid w:val="310A7113"/>
    <w:rsid w:val="31551635"/>
    <w:rsid w:val="31567147"/>
    <w:rsid w:val="3179376D"/>
    <w:rsid w:val="31864EB8"/>
    <w:rsid w:val="31885988"/>
    <w:rsid w:val="319C292D"/>
    <w:rsid w:val="31CF7105"/>
    <w:rsid w:val="31F35DD7"/>
    <w:rsid w:val="31F77B64"/>
    <w:rsid w:val="320F75A3"/>
    <w:rsid w:val="32140715"/>
    <w:rsid w:val="32180206"/>
    <w:rsid w:val="322E1536"/>
    <w:rsid w:val="32566F80"/>
    <w:rsid w:val="32A3397A"/>
    <w:rsid w:val="32AD722B"/>
    <w:rsid w:val="32BD6C42"/>
    <w:rsid w:val="32EE540A"/>
    <w:rsid w:val="32F3657D"/>
    <w:rsid w:val="331029F1"/>
    <w:rsid w:val="331035D3"/>
    <w:rsid w:val="332130EA"/>
    <w:rsid w:val="333746BC"/>
    <w:rsid w:val="33597F69"/>
    <w:rsid w:val="3371744F"/>
    <w:rsid w:val="33775400"/>
    <w:rsid w:val="33A87367"/>
    <w:rsid w:val="33C66680"/>
    <w:rsid w:val="33CA5530"/>
    <w:rsid w:val="341132A5"/>
    <w:rsid w:val="34272469"/>
    <w:rsid w:val="344165C4"/>
    <w:rsid w:val="34592D57"/>
    <w:rsid w:val="347B4A7C"/>
    <w:rsid w:val="347C2968"/>
    <w:rsid w:val="34812418"/>
    <w:rsid w:val="34850DEF"/>
    <w:rsid w:val="34AC10D9"/>
    <w:rsid w:val="34DF500B"/>
    <w:rsid w:val="34E24AFB"/>
    <w:rsid w:val="34EE34A0"/>
    <w:rsid w:val="34F32864"/>
    <w:rsid w:val="34FA62E8"/>
    <w:rsid w:val="350729A5"/>
    <w:rsid w:val="351F5D4F"/>
    <w:rsid w:val="3538296D"/>
    <w:rsid w:val="35466E38"/>
    <w:rsid w:val="355D23D3"/>
    <w:rsid w:val="35846234"/>
    <w:rsid w:val="359F0C3E"/>
    <w:rsid w:val="35CB558F"/>
    <w:rsid w:val="35D83F6D"/>
    <w:rsid w:val="35DC59EE"/>
    <w:rsid w:val="36202716"/>
    <w:rsid w:val="36257DF1"/>
    <w:rsid w:val="36462E68"/>
    <w:rsid w:val="364F191D"/>
    <w:rsid w:val="368A701A"/>
    <w:rsid w:val="368E559E"/>
    <w:rsid w:val="36A52284"/>
    <w:rsid w:val="36CE77FC"/>
    <w:rsid w:val="36E56B24"/>
    <w:rsid w:val="37092813"/>
    <w:rsid w:val="37106FD4"/>
    <w:rsid w:val="375241BA"/>
    <w:rsid w:val="37AB1B1C"/>
    <w:rsid w:val="37AB2D0E"/>
    <w:rsid w:val="37C52BDE"/>
    <w:rsid w:val="37F82010"/>
    <w:rsid w:val="380134EA"/>
    <w:rsid w:val="38883C0B"/>
    <w:rsid w:val="38933AF0"/>
    <w:rsid w:val="3897205D"/>
    <w:rsid w:val="38B82442"/>
    <w:rsid w:val="38BB3D60"/>
    <w:rsid w:val="38D93E6C"/>
    <w:rsid w:val="38EA0087"/>
    <w:rsid w:val="38F60D15"/>
    <w:rsid w:val="39AC4C55"/>
    <w:rsid w:val="39AF6E3D"/>
    <w:rsid w:val="39B36A66"/>
    <w:rsid w:val="39BB3F1A"/>
    <w:rsid w:val="39BF365D"/>
    <w:rsid w:val="39CD3FCC"/>
    <w:rsid w:val="39CE1AF2"/>
    <w:rsid w:val="39DB72F7"/>
    <w:rsid w:val="39E40E4E"/>
    <w:rsid w:val="3A5244D1"/>
    <w:rsid w:val="3A527C44"/>
    <w:rsid w:val="3A667F7C"/>
    <w:rsid w:val="3AAF1923"/>
    <w:rsid w:val="3ACB58D1"/>
    <w:rsid w:val="3ACF5B21"/>
    <w:rsid w:val="3ADB0022"/>
    <w:rsid w:val="3AE55345"/>
    <w:rsid w:val="3AE570F3"/>
    <w:rsid w:val="3B0A02FF"/>
    <w:rsid w:val="3B6C426B"/>
    <w:rsid w:val="3B9B5A04"/>
    <w:rsid w:val="3B9F696A"/>
    <w:rsid w:val="3BA50630"/>
    <w:rsid w:val="3BD91A6F"/>
    <w:rsid w:val="3BDA477E"/>
    <w:rsid w:val="3BE455FD"/>
    <w:rsid w:val="3C5A61D8"/>
    <w:rsid w:val="3C7B06AE"/>
    <w:rsid w:val="3CF508FB"/>
    <w:rsid w:val="3CFE26EE"/>
    <w:rsid w:val="3CFF1DF0"/>
    <w:rsid w:val="3D3B749E"/>
    <w:rsid w:val="3D895657"/>
    <w:rsid w:val="3D934BE4"/>
    <w:rsid w:val="3DDB349C"/>
    <w:rsid w:val="3DE11DF4"/>
    <w:rsid w:val="3E0E2161"/>
    <w:rsid w:val="3E24222C"/>
    <w:rsid w:val="3E285C74"/>
    <w:rsid w:val="3E2E615A"/>
    <w:rsid w:val="3E49060B"/>
    <w:rsid w:val="3E4D1237"/>
    <w:rsid w:val="3E714241"/>
    <w:rsid w:val="3E716647"/>
    <w:rsid w:val="3E787CFC"/>
    <w:rsid w:val="3E7F1BB7"/>
    <w:rsid w:val="3EB05C6A"/>
    <w:rsid w:val="3EBA2645"/>
    <w:rsid w:val="3ED41958"/>
    <w:rsid w:val="3EEF7B10"/>
    <w:rsid w:val="3EF20E4E"/>
    <w:rsid w:val="3F023EFF"/>
    <w:rsid w:val="3F190246"/>
    <w:rsid w:val="3F2153CD"/>
    <w:rsid w:val="3F2B709E"/>
    <w:rsid w:val="3F36673B"/>
    <w:rsid w:val="3F3B53F7"/>
    <w:rsid w:val="3F584337"/>
    <w:rsid w:val="3F5A27C7"/>
    <w:rsid w:val="3F604F9A"/>
    <w:rsid w:val="3F8A64BB"/>
    <w:rsid w:val="3F934A87"/>
    <w:rsid w:val="3FA27361"/>
    <w:rsid w:val="3FCE63A8"/>
    <w:rsid w:val="40092958"/>
    <w:rsid w:val="400C3C00"/>
    <w:rsid w:val="40185875"/>
    <w:rsid w:val="4030282F"/>
    <w:rsid w:val="403E380E"/>
    <w:rsid w:val="40507E8F"/>
    <w:rsid w:val="40A47108"/>
    <w:rsid w:val="40B557B9"/>
    <w:rsid w:val="40C16A7C"/>
    <w:rsid w:val="40D42EE0"/>
    <w:rsid w:val="40D565A8"/>
    <w:rsid w:val="40DE086C"/>
    <w:rsid w:val="410D73A4"/>
    <w:rsid w:val="412D5350"/>
    <w:rsid w:val="41344930"/>
    <w:rsid w:val="413606A8"/>
    <w:rsid w:val="41362456"/>
    <w:rsid w:val="413C37E5"/>
    <w:rsid w:val="41A2189A"/>
    <w:rsid w:val="41F12885"/>
    <w:rsid w:val="41FF1B86"/>
    <w:rsid w:val="42881557"/>
    <w:rsid w:val="42903DE8"/>
    <w:rsid w:val="42A374A4"/>
    <w:rsid w:val="42B1586B"/>
    <w:rsid w:val="42B22C97"/>
    <w:rsid w:val="43242582"/>
    <w:rsid w:val="43284021"/>
    <w:rsid w:val="432F476F"/>
    <w:rsid w:val="434B5F61"/>
    <w:rsid w:val="435724EB"/>
    <w:rsid w:val="43572B58"/>
    <w:rsid w:val="4386591D"/>
    <w:rsid w:val="43887DD0"/>
    <w:rsid w:val="438F11EC"/>
    <w:rsid w:val="43AA712C"/>
    <w:rsid w:val="43B92C85"/>
    <w:rsid w:val="43D16466"/>
    <w:rsid w:val="43DF200D"/>
    <w:rsid w:val="43E53CC0"/>
    <w:rsid w:val="43E91D8A"/>
    <w:rsid w:val="44037A98"/>
    <w:rsid w:val="441D5B50"/>
    <w:rsid w:val="44384FBA"/>
    <w:rsid w:val="443F7D0C"/>
    <w:rsid w:val="444B56D1"/>
    <w:rsid w:val="44614003"/>
    <w:rsid w:val="4469669F"/>
    <w:rsid w:val="449D272E"/>
    <w:rsid w:val="44A23EE3"/>
    <w:rsid w:val="44CA01D5"/>
    <w:rsid w:val="44D501D8"/>
    <w:rsid w:val="44F22952"/>
    <w:rsid w:val="44F56185"/>
    <w:rsid w:val="45140D01"/>
    <w:rsid w:val="45144027"/>
    <w:rsid w:val="453B6B56"/>
    <w:rsid w:val="45593C1F"/>
    <w:rsid w:val="456A2EB2"/>
    <w:rsid w:val="45774DEB"/>
    <w:rsid w:val="458149EC"/>
    <w:rsid w:val="45967968"/>
    <w:rsid w:val="45A8769B"/>
    <w:rsid w:val="45AA3413"/>
    <w:rsid w:val="45B01E02"/>
    <w:rsid w:val="45B86B34"/>
    <w:rsid w:val="45C85647"/>
    <w:rsid w:val="45E32481"/>
    <w:rsid w:val="45E6202B"/>
    <w:rsid w:val="45F34DBA"/>
    <w:rsid w:val="45F621B4"/>
    <w:rsid w:val="464949DA"/>
    <w:rsid w:val="465810C1"/>
    <w:rsid w:val="468839D7"/>
    <w:rsid w:val="46933EA7"/>
    <w:rsid w:val="46B1432D"/>
    <w:rsid w:val="46DA3884"/>
    <w:rsid w:val="46F755C5"/>
    <w:rsid w:val="47226FD9"/>
    <w:rsid w:val="47266AC9"/>
    <w:rsid w:val="47290367"/>
    <w:rsid w:val="47372A84"/>
    <w:rsid w:val="47372EBD"/>
    <w:rsid w:val="474E0314"/>
    <w:rsid w:val="475E44B5"/>
    <w:rsid w:val="478F7F92"/>
    <w:rsid w:val="47BA6588"/>
    <w:rsid w:val="47E14962"/>
    <w:rsid w:val="47E2428C"/>
    <w:rsid w:val="47FD6976"/>
    <w:rsid w:val="47FF2591"/>
    <w:rsid w:val="480E3F0E"/>
    <w:rsid w:val="481729E6"/>
    <w:rsid w:val="483906A7"/>
    <w:rsid w:val="48425B85"/>
    <w:rsid w:val="484A67E7"/>
    <w:rsid w:val="48693111"/>
    <w:rsid w:val="489F488D"/>
    <w:rsid w:val="48AD5394"/>
    <w:rsid w:val="48CC36A0"/>
    <w:rsid w:val="4901159C"/>
    <w:rsid w:val="490C0208"/>
    <w:rsid w:val="49235125"/>
    <w:rsid w:val="49325BF9"/>
    <w:rsid w:val="493D00FA"/>
    <w:rsid w:val="4948216F"/>
    <w:rsid w:val="495F00C6"/>
    <w:rsid w:val="49625A84"/>
    <w:rsid w:val="49A22B70"/>
    <w:rsid w:val="49AA20BF"/>
    <w:rsid w:val="49B517A5"/>
    <w:rsid w:val="4A05330E"/>
    <w:rsid w:val="4A1932A7"/>
    <w:rsid w:val="4A3753B6"/>
    <w:rsid w:val="4A4F62B5"/>
    <w:rsid w:val="4A5E1059"/>
    <w:rsid w:val="4A7E6C1C"/>
    <w:rsid w:val="4A976671"/>
    <w:rsid w:val="4AA21D66"/>
    <w:rsid w:val="4ABC1D3E"/>
    <w:rsid w:val="4AD618B2"/>
    <w:rsid w:val="4ADB547B"/>
    <w:rsid w:val="4AE202C8"/>
    <w:rsid w:val="4AE57855"/>
    <w:rsid w:val="4AE63646"/>
    <w:rsid w:val="4B047121"/>
    <w:rsid w:val="4B100CB1"/>
    <w:rsid w:val="4B1F5D09"/>
    <w:rsid w:val="4B324C3A"/>
    <w:rsid w:val="4B4301C6"/>
    <w:rsid w:val="4B6322C3"/>
    <w:rsid w:val="4B942491"/>
    <w:rsid w:val="4BBC3A7A"/>
    <w:rsid w:val="4BE4423C"/>
    <w:rsid w:val="4BEB79AC"/>
    <w:rsid w:val="4C0575F5"/>
    <w:rsid w:val="4C070814"/>
    <w:rsid w:val="4C2A2BB8"/>
    <w:rsid w:val="4C4D2D4A"/>
    <w:rsid w:val="4C5941EA"/>
    <w:rsid w:val="4C7107E7"/>
    <w:rsid w:val="4C72630D"/>
    <w:rsid w:val="4C7A24D7"/>
    <w:rsid w:val="4C93238C"/>
    <w:rsid w:val="4C9646F1"/>
    <w:rsid w:val="4CA15D2F"/>
    <w:rsid w:val="4CCC1EC1"/>
    <w:rsid w:val="4CCF7EC2"/>
    <w:rsid w:val="4CE4545C"/>
    <w:rsid w:val="4D07739D"/>
    <w:rsid w:val="4D0A4797"/>
    <w:rsid w:val="4D0E4287"/>
    <w:rsid w:val="4D19541A"/>
    <w:rsid w:val="4D317F76"/>
    <w:rsid w:val="4D9B070C"/>
    <w:rsid w:val="4DBF7A04"/>
    <w:rsid w:val="4DC74CFA"/>
    <w:rsid w:val="4DDC010C"/>
    <w:rsid w:val="4DFF1E22"/>
    <w:rsid w:val="4DFF3A26"/>
    <w:rsid w:val="4E0A0EF3"/>
    <w:rsid w:val="4E0B4C6B"/>
    <w:rsid w:val="4E105D47"/>
    <w:rsid w:val="4E20297D"/>
    <w:rsid w:val="4E204980"/>
    <w:rsid w:val="4E3D1E8A"/>
    <w:rsid w:val="4E4D0DDF"/>
    <w:rsid w:val="4E5F470C"/>
    <w:rsid w:val="4EAB1F97"/>
    <w:rsid w:val="4EC2357B"/>
    <w:rsid w:val="4ECB50D3"/>
    <w:rsid w:val="4ECB7FBD"/>
    <w:rsid w:val="4ED418AD"/>
    <w:rsid w:val="4EDE7D5F"/>
    <w:rsid w:val="4EE92CB2"/>
    <w:rsid w:val="4F477F24"/>
    <w:rsid w:val="4F4C1097"/>
    <w:rsid w:val="4F714FA1"/>
    <w:rsid w:val="4F781E8C"/>
    <w:rsid w:val="4F7C6826"/>
    <w:rsid w:val="4F906A7A"/>
    <w:rsid w:val="4F942109"/>
    <w:rsid w:val="4FA113E3"/>
    <w:rsid w:val="4FA72771"/>
    <w:rsid w:val="4FA9473B"/>
    <w:rsid w:val="4FCF4B53"/>
    <w:rsid w:val="4FE12B5B"/>
    <w:rsid w:val="4FE439C5"/>
    <w:rsid w:val="4FE90FDC"/>
    <w:rsid w:val="4FF52BAA"/>
    <w:rsid w:val="50144132"/>
    <w:rsid w:val="50267B3A"/>
    <w:rsid w:val="505301A3"/>
    <w:rsid w:val="507C1E50"/>
    <w:rsid w:val="50812FC2"/>
    <w:rsid w:val="50952F83"/>
    <w:rsid w:val="50EA0B67"/>
    <w:rsid w:val="50EB3F82"/>
    <w:rsid w:val="50F66036"/>
    <w:rsid w:val="51114346"/>
    <w:rsid w:val="512247A5"/>
    <w:rsid w:val="512330E3"/>
    <w:rsid w:val="513242BC"/>
    <w:rsid w:val="51383FC9"/>
    <w:rsid w:val="514566E6"/>
    <w:rsid w:val="518333A6"/>
    <w:rsid w:val="518B6549"/>
    <w:rsid w:val="51D05FAF"/>
    <w:rsid w:val="51DF057C"/>
    <w:rsid w:val="51F779E0"/>
    <w:rsid w:val="51F9484E"/>
    <w:rsid w:val="51FF6894"/>
    <w:rsid w:val="52253394"/>
    <w:rsid w:val="52312D27"/>
    <w:rsid w:val="524424F9"/>
    <w:rsid w:val="52480E5C"/>
    <w:rsid w:val="52846FEF"/>
    <w:rsid w:val="529671F9"/>
    <w:rsid w:val="52C04276"/>
    <w:rsid w:val="52FA36B8"/>
    <w:rsid w:val="53527320"/>
    <w:rsid w:val="535675C7"/>
    <w:rsid w:val="536A7F0B"/>
    <w:rsid w:val="53752D34"/>
    <w:rsid w:val="53AC47FA"/>
    <w:rsid w:val="544D7D8B"/>
    <w:rsid w:val="54C73E79"/>
    <w:rsid w:val="550D4D66"/>
    <w:rsid w:val="5529453F"/>
    <w:rsid w:val="552A1E7A"/>
    <w:rsid w:val="55466588"/>
    <w:rsid w:val="55482300"/>
    <w:rsid w:val="554856A7"/>
    <w:rsid w:val="5572737D"/>
    <w:rsid w:val="55855303"/>
    <w:rsid w:val="558E48F3"/>
    <w:rsid w:val="56101DE7"/>
    <w:rsid w:val="561D19DF"/>
    <w:rsid w:val="56682C5A"/>
    <w:rsid w:val="567333AD"/>
    <w:rsid w:val="567710EF"/>
    <w:rsid w:val="5684380C"/>
    <w:rsid w:val="56B458BB"/>
    <w:rsid w:val="56B71F92"/>
    <w:rsid w:val="56C65BD3"/>
    <w:rsid w:val="56CE4A87"/>
    <w:rsid w:val="56FC7846"/>
    <w:rsid w:val="57864E12"/>
    <w:rsid w:val="578A2ADE"/>
    <w:rsid w:val="57A6230D"/>
    <w:rsid w:val="57C93082"/>
    <w:rsid w:val="57CB25AC"/>
    <w:rsid w:val="57E52089"/>
    <w:rsid w:val="58390A99"/>
    <w:rsid w:val="583C0A10"/>
    <w:rsid w:val="5849318A"/>
    <w:rsid w:val="584A3BB7"/>
    <w:rsid w:val="586E6522"/>
    <w:rsid w:val="58AA6296"/>
    <w:rsid w:val="58B57CAD"/>
    <w:rsid w:val="58CE6FC1"/>
    <w:rsid w:val="58D971B2"/>
    <w:rsid w:val="58DC16DE"/>
    <w:rsid w:val="58F5082B"/>
    <w:rsid w:val="58F5279F"/>
    <w:rsid w:val="59126EAD"/>
    <w:rsid w:val="591470C9"/>
    <w:rsid w:val="5919342E"/>
    <w:rsid w:val="596E04E4"/>
    <w:rsid w:val="59886B03"/>
    <w:rsid w:val="59C77FBD"/>
    <w:rsid w:val="59E22D24"/>
    <w:rsid w:val="5A1924BD"/>
    <w:rsid w:val="5A1D5B0A"/>
    <w:rsid w:val="5A34505B"/>
    <w:rsid w:val="5A4625AB"/>
    <w:rsid w:val="5A561E8A"/>
    <w:rsid w:val="5A5A6D5E"/>
    <w:rsid w:val="5A627236"/>
    <w:rsid w:val="5A712320"/>
    <w:rsid w:val="5A7616BE"/>
    <w:rsid w:val="5A9658BC"/>
    <w:rsid w:val="5ABB2007"/>
    <w:rsid w:val="5ACE32A8"/>
    <w:rsid w:val="5AD73B2D"/>
    <w:rsid w:val="5AFC7E15"/>
    <w:rsid w:val="5B4D68C3"/>
    <w:rsid w:val="5B90388B"/>
    <w:rsid w:val="5BC8419B"/>
    <w:rsid w:val="5BEA2E5D"/>
    <w:rsid w:val="5C777C09"/>
    <w:rsid w:val="5CB3754B"/>
    <w:rsid w:val="5CD03307"/>
    <w:rsid w:val="5D432DCC"/>
    <w:rsid w:val="5D4C593F"/>
    <w:rsid w:val="5D804D2D"/>
    <w:rsid w:val="5D891708"/>
    <w:rsid w:val="5D8A5BAC"/>
    <w:rsid w:val="5D982A5F"/>
    <w:rsid w:val="5DB85B94"/>
    <w:rsid w:val="5DC015CE"/>
    <w:rsid w:val="5DC25D91"/>
    <w:rsid w:val="5DC80482"/>
    <w:rsid w:val="5DE30E18"/>
    <w:rsid w:val="5DF72B16"/>
    <w:rsid w:val="5E16313D"/>
    <w:rsid w:val="5E3B6EA6"/>
    <w:rsid w:val="5E654F3A"/>
    <w:rsid w:val="5E6C0AD8"/>
    <w:rsid w:val="5E8F3152"/>
    <w:rsid w:val="5E9B16F3"/>
    <w:rsid w:val="5EA04F5B"/>
    <w:rsid w:val="5EA902B4"/>
    <w:rsid w:val="5EAD0763"/>
    <w:rsid w:val="5ED05841"/>
    <w:rsid w:val="5EEA0DD4"/>
    <w:rsid w:val="5F121FCF"/>
    <w:rsid w:val="5F166FCB"/>
    <w:rsid w:val="5F1A4D0E"/>
    <w:rsid w:val="5F221E14"/>
    <w:rsid w:val="5F2D4A41"/>
    <w:rsid w:val="5F356BE6"/>
    <w:rsid w:val="5F4E2C09"/>
    <w:rsid w:val="5F577D10"/>
    <w:rsid w:val="5F802EF2"/>
    <w:rsid w:val="5FB07420"/>
    <w:rsid w:val="5FB707AE"/>
    <w:rsid w:val="5FC42B81"/>
    <w:rsid w:val="601E0D25"/>
    <w:rsid w:val="602B6AA7"/>
    <w:rsid w:val="60695F4D"/>
    <w:rsid w:val="60DF22ED"/>
    <w:rsid w:val="60E54FE5"/>
    <w:rsid w:val="6103342B"/>
    <w:rsid w:val="6109503A"/>
    <w:rsid w:val="610C68D8"/>
    <w:rsid w:val="61112140"/>
    <w:rsid w:val="61390342"/>
    <w:rsid w:val="61BC0D8B"/>
    <w:rsid w:val="61C13B66"/>
    <w:rsid w:val="6223037D"/>
    <w:rsid w:val="62580A2F"/>
    <w:rsid w:val="626F7694"/>
    <w:rsid w:val="629D7D01"/>
    <w:rsid w:val="62D83797"/>
    <w:rsid w:val="62E90D48"/>
    <w:rsid w:val="63043E87"/>
    <w:rsid w:val="63073C66"/>
    <w:rsid w:val="63432522"/>
    <w:rsid w:val="63604CB9"/>
    <w:rsid w:val="636649C5"/>
    <w:rsid w:val="6371005D"/>
    <w:rsid w:val="63846BFA"/>
    <w:rsid w:val="63864720"/>
    <w:rsid w:val="63B0096C"/>
    <w:rsid w:val="63C40AEC"/>
    <w:rsid w:val="63C4349A"/>
    <w:rsid w:val="63E63410"/>
    <w:rsid w:val="63FE5EBF"/>
    <w:rsid w:val="640035D2"/>
    <w:rsid w:val="64065A90"/>
    <w:rsid w:val="64192F7B"/>
    <w:rsid w:val="64436AB5"/>
    <w:rsid w:val="644751C1"/>
    <w:rsid w:val="64733328"/>
    <w:rsid w:val="64875941"/>
    <w:rsid w:val="6488096B"/>
    <w:rsid w:val="64AA6B34"/>
    <w:rsid w:val="64AF46D3"/>
    <w:rsid w:val="64CF20F6"/>
    <w:rsid w:val="651118CC"/>
    <w:rsid w:val="6555561D"/>
    <w:rsid w:val="655D2457"/>
    <w:rsid w:val="65622F6B"/>
    <w:rsid w:val="65751BC4"/>
    <w:rsid w:val="658C09B8"/>
    <w:rsid w:val="659352FA"/>
    <w:rsid w:val="65EE47FE"/>
    <w:rsid w:val="65FF07B9"/>
    <w:rsid w:val="66080D5A"/>
    <w:rsid w:val="661E3335"/>
    <w:rsid w:val="66391F1D"/>
    <w:rsid w:val="667F49FC"/>
    <w:rsid w:val="66994E73"/>
    <w:rsid w:val="66AB2A9B"/>
    <w:rsid w:val="66E63727"/>
    <w:rsid w:val="66FF579F"/>
    <w:rsid w:val="670713B3"/>
    <w:rsid w:val="67107E12"/>
    <w:rsid w:val="674072DB"/>
    <w:rsid w:val="676B07FC"/>
    <w:rsid w:val="67753429"/>
    <w:rsid w:val="6793247A"/>
    <w:rsid w:val="67950A2E"/>
    <w:rsid w:val="679F1888"/>
    <w:rsid w:val="67C62B4B"/>
    <w:rsid w:val="67D16185"/>
    <w:rsid w:val="67EE18E9"/>
    <w:rsid w:val="680010CD"/>
    <w:rsid w:val="680358A4"/>
    <w:rsid w:val="68060525"/>
    <w:rsid w:val="68097F4A"/>
    <w:rsid w:val="68165B6A"/>
    <w:rsid w:val="6826679A"/>
    <w:rsid w:val="682A0E4E"/>
    <w:rsid w:val="684D3A5E"/>
    <w:rsid w:val="686F7E78"/>
    <w:rsid w:val="687A681D"/>
    <w:rsid w:val="68817BAC"/>
    <w:rsid w:val="68C006D4"/>
    <w:rsid w:val="68CD4B9F"/>
    <w:rsid w:val="68D92CCD"/>
    <w:rsid w:val="68E7091D"/>
    <w:rsid w:val="690B56C7"/>
    <w:rsid w:val="6914506A"/>
    <w:rsid w:val="69325C13"/>
    <w:rsid w:val="694A4441"/>
    <w:rsid w:val="69616496"/>
    <w:rsid w:val="6966563A"/>
    <w:rsid w:val="69AA7DCC"/>
    <w:rsid w:val="69E6019D"/>
    <w:rsid w:val="6A050B73"/>
    <w:rsid w:val="6A14139D"/>
    <w:rsid w:val="6A1A02B8"/>
    <w:rsid w:val="6A2904FB"/>
    <w:rsid w:val="6AA87672"/>
    <w:rsid w:val="6AC34955"/>
    <w:rsid w:val="6AE740AC"/>
    <w:rsid w:val="6AF34358"/>
    <w:rsid w:val="6AF5553D"/>
    <w:rsid w:val="6AFC66FE"/>
    <w:rsid w:val="6B1906BD"/>
    <w:rsid w:val="6B2E2BC2"/>
    <w:rsid w:val="6B3F7A46"/>
    <w:rsid w:val="6B56531F"/>
    <w:rsid w:val="6B751A4F"/>
    <w:rsid w:val="6B834AAA"/>
    <w:rsid w:val="6BC32289"/>
    <w:rsid w:val="6BF07ABB"/>
    <w:rsid w:val="6C3A254B"/>
    <w:rsid w:val="6C3D64DF"/>
    <w:rsid w:val="6C3F1694"/>
    <w:rsid w:val="6C6A6651"/>
    <w:rsid w:val="6CA409AC"/>
    <w:rsid w:val="6CA77F9A"/>
    <w:rsid w:val="6CB73B9C"/>
    <w:rsid w:val="6CDC3602"/>
    <w:rsid w:val="6CE1330F"/>
    <w:rsid w:val="6CF31062"/>
    <w:rsid w:val="6D31091A"/>
    <w:rsid w:val="6D401485"/>
    <w:rsid w:val="6D6A3304"/>
    <w:rsid w:val="6D8D155E"/>
    <w:rsid w:val="6DA12829"/>
    <w:rsid w:val="6DA34120"/>
    <w:rsid w:val="6DBC462A"/>
    <w:rsid w:val="6DC04CD2"/>
    <w:rsid w:val="6DC742B3"/>
    <w:rsid w:val="6DDE7A63"/>
    <w:rsid w:val="6DF57072"/>
    <w:rsid w:val="6E003BE2"/>
    <w:rsid w:val="6E3336F6"/>
    <w:rsid w:val="6E4F12B7"/>
    <w:rsid w:val="6E667E5D"/>
    <w:rsid w:val="6E761484"/>
    <w:rsid w:val="6E7B6E4B"/>
    <w:rsid w:val="6E7D2BC3"/>
    <w:rsid w:val="6E9B1D02"/>
    <w:rsid w:val="6ED36C87"/>
    <w:rsid w:val="6EDC1FE0"/>
    <w:rsid w:val="6EDF6561"/>
    <w:rsid w:val="6F006616"/>
    <w:rsid w:val="6F2130AA"/>
    <w:rsid w:val="6F2B4B68"/>
    <w:rsid w:val="6F4B2B3B"/>
    <w:rsid w:val="6F5F177E"/>
    <w:rsid w:val="6F7A7103"/>
    <w:rsid w:val="6FB72105"/>
    <w:rsid w:val="6FBD59CD"/>
    <w:rsid w:val="6FCE7B7A"/>
    <w:rsid w:val="6FE169C0"/>
    <w:rsid w:val="6FE54EC4"/>
    <w:rsid w:val="6FF9271D"/>
    <w:rsid w:val="703B4AE4"/>
    <w:rsid w:val="70885E3F"/>
    <w:rsid w:val="71066EA0"/>
    <w:rsid w:val="710A087F"/>
    <w:rsid w:val="712F35F6"/>
    <w:rsid w:val="713A0A6A"/>
    <w:rsid w:val="717177A6"/>
    <w:rsid w:val="718971D8"/>
    <w:rsid w:val="71EF33B5"/>
    <w:rsid w:val="71F87FE7"/>
    <w:rsid w:val="72000B39"/>
    <w:rsid w:val="72007D93"/>
    <w:rsid w:val="72935A5F"/>
    <w:rsid w:val="729A1F96"/>
    <w:rsid w:val="72A3216D"/>
    <w:rsid w:val="72A7120C"/>
    <w:rsid w:val="72C62D8B"/>
    <w:rsid w:val="72D336FA"/>
    <w:rsid w:val="72E231CE"/>
    <w:rsid w:val="730E64E0"/>
    <w:rsid w:val="73557F00"/>
    <w:rsid w:val="7364600D"/>
    <w:rsid w:val="73670AD3"/>
    <w:rsid w:val="73693E74"/>
    <w:rsid w:val="736D1458"/>
    <w:rsid w:val="736D76AA"/>
    <w:rsid w:val="739C3AEB"/>
    <w:rsid w:val="73C66DBA"/>
    <w:rsid w:val="73E96378"/>
    <w:rsid w:val="73FF181C"/>
    <w:rsid w:val="74161AF0"/>
    <w:rsid w:val="741840A2"/>
    <w:rsid w:val="743B1556"/>
    <w:rsid w:val="74A54C22"/>
    <w:rsid w:val="74AE1D28"/>
    <w:rsid w:val="74CB28DA"/>
    <w:rsid w:val="74CC0400"/>
    <w:rsid w:val="74D379E1"/>
    <w:rsid w:val="74FD4A5E"/>
    <w:rsid w:val="75051799"/>
    <w:rsid w:val="75271ADB"/>
    <w:rsid w:val="755550E4"/>
    <w:rsid w:val="755C0BB7"/>
    <w:rsid w:val="757840E4"/>
    <w:rsid w:val="758B02BC"/>
    <w:rsid w:val="759E127A"/>
    <w:rsid w:val="75C56D6B"/>
    <w:rsid w:val="75E37373"/>
    <w:rsid w:val="76283289"/>
    <w:rsid w:val="7630676D"/>
    <w:rsid w:val="76361CF9"/>
    <w:rsid w:val="76742AFE"/>
    <w:rsid w:val="76AC2297"/>
    <w:rsid w:val="76B4114C"/>
    <w:rsid w:val="76DC52E9"/>
    <w:rsid w:val="76EB31C8"/>
    <w:rsid w:val="77536BB7"/>
    <w:rsid w:val="775545EE"/>
    <w:rsid w:val="77AA0F4D"/>
    <w:rsid w:val="77BD2282"/>
    <w:rsid w:val="77E00A18"/>
    <w:rsid w:val="77F4039A"/>
    <w:rsid w:val="78047EB1"/>
    <w:rsid w:val="78076CB5"/>
    <w:rsid w:val="78130702"/>
    <w:rsid w:val="781835DD"/>
    <w:rsid w:val="782F4F2E"/>
    <w:rsid w:val="78542BE7"/>
    <w:rsid w:val="785904E4"/>
    <w:rsid w:val="78656BA2"/>
    <w:rsid w:val="78723FE5"/>
    <w:rsid w:val="787F1E99"/>
    <w:rsid w:val="78911745"/>
    <w:rsid w:val="78C50F1A"/>
    <w:rsid w:val="78C7785D"/>
    <w:rsid w:val="78F20DB9"/>
    <w:rsid w:val="79124886"/>
    <w:rsid w:val="792D03EF"/>
    <w:rsid w:val="793D526F"/>
    <w:rsid w:val="79442C5B"/>
    <w:rsid w:val="795409C4"/>
    <w:rsid w:val="795C61F7"/>
    <w:rsid w:val="79777A55"/>
    <w:rsid w:val="797A667D"/>
    <w:rsid w:val="79B157C1"/>
    <w:rsid w:val="79E63D12"/>
    <w:rsid w:val="79F301DD"/>
    <w:rsid w:val="79F707EE"/>
    <w:rsid w:val="79FE3F6F"/>
    <w:rsid w:val="7A2C2AC4"/>
    <w:rsid w:val="7A552C46"/>
    <w:rsid w:val="7A785899"/>
    <w:rsid w:val="7AEE7323"/>
    <w:rsid w:val="7B275EB5"/>
    <w:rsid w:val="7B2C31E8"/>
    <w:rsid w:val="7B332F87"/>
    <w:rsid w:val="7B6C59DB"/>
    <w:rsid w:val="7B9F061D"/>
    <w:rsid w:val="7BC736D0"/>
    <w:rsid w:val="7C3866D8"/>
    <w:rsid w:val="7C741AA9"/>
    <w:rsid w:val="7C8A4E29"/>
    <w:rsid w:val="7C8B1F44"/>
    <w:rsid w:val="7CCB0C2A"/>
    <w:rsid w:val="7CEC1C73"/>
    <w:rsid w:val="7CFA4979"/>
    <w:rsid w:val="7D00036C"/>
    <w:rsid w:val="7D2A2168"/>
    <w:rsid w:val="7D470F6C"/>
    <w:rsid w:val="7D545437"/>
    <w:rsid w:val="7D6B6208"/>
    <w:rsid w:val="7D831878"/>
    <w:rsid w:val="7D9E63EA"/>
    <w:rsid w:val="7DA0067C"/>
    <w:rsid w:val="7DC776BE"/>
    <w:rsid w:val="7DD4121B"/>
    <w:rsid w:val="7E3059FB"/>
    <w:rsid w:val="7E3C43E9"/>
    <w:rsid w:val="7E3F6FF9"/>
    <w:rsid w:val="7E4159BB"/>
    <w:rsid w:val="7E6B35AE"/>
    <w:rsid w:val="7E81400A"/>
    <w:rsid w:val="7E941F8F"/>
    <w:rsid w:val="7EB3766C"/>
    <w:rsid w:val="7ED22AB7"/>
    <w:rsid w:val="7EE03426"/>
    <w:rsid w:val="7EE30820"/>
    <w:rsid w:val="7EF06BBC"/>
    <w:rsid w:val="7EF173E1"/>
    <w:rsid w:val="7F076C05"/>
    <w:rsid w:val="7F0F0B8A"/>
    <w:rsid w:val="7F144E7E"/>
    <w:rsid w:val="7F156363"/>
    <w:rsid w:val="7F1C1A54"/>
    <w:rsid w:val="7F1C47E2"/>
    <w:rsid w:val="7F231011"/>
    <w:rsid w:val="7F463DDA"/>
    <w:rsid w:val="7F4734A5"/>
    <w:rsid w:val="7F787468"/>
    <w:rsid w:val="7F8850C1"/>
    <w:rsid w:val="7FAC519F"/>
    <w:rsid w:val="7FF0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link w:val="50"/>
    <w:qFormat/>
    <w:uiPriority w:val="9"/>
    <w:pPr>
      <w:keepNext/>
      <w:keepLines/>
      <w:spacing w:line="360" w:lineRule="auto"/>
      <w:outlineLvl w:val="0"/>
    </w:pPr>
    <w:rPr>
      <w:rFonts w:ascii="宋体"/>
      <w:b/>
      <w:kern w:val="44"/>
      <w:sz w:val="44"/>
      <w:szCs w:val="20"/>
    </w:rPr>
  </w:style>
  <w:style w:type="paragraph" w:styleId="3">
    <w:name w:val="heading 2"/>
    <w:basedOn w:val="1"/>
    <w:next w:val="1"/>
    <w:link w:val="92"/>
    <w:semiHidden/>
    <w:unhideWhenUsed/>
    <w:qFormat/>
    <w:uiPriority w:val="0"/>
    <w:pPr>
      <w:keepNext/>
      <w:keepLines/>
      <w:spacing w:before="260" w:after="260" w:line="416" w:lineRule="atLeast"/>
      <w:outlineLvl w:val="1"/>
    </w:pPr>
    <w:rPr>
      <w:rFonts w:ascii="宋体"/>
      <w:b/>
      <w:kern w:val="44"/>
      <w:sz w:val="28"/>
      <w:szCs w:val="20"/>
    </w:rPr>
  </w:style>
  <w:style w:type="paragraph" w:styleId="4">
    <w:name w:val="heading 3"/>
    <w:basedOn w:val="1"/>
    <w:next w:val="1"/>
    <w:semiHidden/>
    <w:unhideWhenUsed/>
    <w:qFormat/>
    <w:uiPriority w:val="9"/>
    <w:pPr>
      <w:tabs>
        <w:tab w:val="left" w:pos="680"/>
        <w:tab w:val="left" w:pos="907"/>
        <w:tab w:val="left" w:pos="1134"/>
        <w:tab w:val="left" w:pos="1361"/>
        <w:tab w:val="right" w:pos="6804"/>
        <w:tab w:val="left" w:pos="7088"/>
      </w:tabs>
      <w:spacing w:before="120" w:line="360" w:lineRule="atLeast"/>
      <w:jc w:val="left"/>
      <w:outlineLvl w:val="2"/>
    </w:pPr>
    <w:rPr>
      <w:rFonts w:ascii="Arial" w:hAnsi="Arial"/>
      <w:b/>
      <w:kern w:val="0"/>
    </w:rPr>
  </w:style>
  <w:style w:type="paragraph" w:styleId="5">
    <w:name w:val="heading 4"/>
    <w:basedOn w:val="1"/>
    <w:semiHidden/>
    <w:unhideWhenUsed/>
    <w:qFormat/>
    <w:uiPriority w:val="9"/>
    <w:pPr>
      <w:keepNext/>
      <w:numPr>
        <w:ilvl w:val="0"/>
        <w:numId w:val="1"/>
      </w:numPr>
      <w:spacing w:line="360" w:lineRule="auto"/>
      <w:ind w:left="454"/>
      <w:jc w:val="left"/>
      <w:outlineLvl w:val="3"/>
    </w:pPr>
    <w:rPr>
      <w:rFonts w:ascii="宋体"/>
      <w:i/>
      <w:kern w:val="0"/>
      <w:szCs w:val="20"/>
    </w:rPr>
  </w:style>
  <w:style w:type="paragraph" w:styleId="6">
    <w:name w:val="heading 5"/>
    <w:basedOn w:val="1"/>
    <w:semiHidden/>
    <w:unhideWhenUsed/>
    <w:qFormat/>
    <w:uiPriority w:val="9"/>
    <w:pPr>
      <w:keepNext/>
      <w:keepLines/>
      <w:numPr>
        <w:ilvl w:val="4"/>
        <w:numId w:val="2"/>
      </w:numPr>
      <w:spacing w:before="120" w:after="120"/>
      <w:outlineLvl w:val="4"/>
    </w:pPr>
    <w:rPr>
      <w:rFonts w:ascii="小标宋"/>
      <w:szCs w:val="20"/>
    </w:rPr>
  </w:style>
  <w:style w:type="paragraph" w:styleId="7">
    <w:name w:val="heading 6"/>
    <w:basedOn w:val="1"/>
    <w:semiHidden/>
    <w:unhideWhenUsed/>
    <w:qFormat/>
    <w:uiPriority w:val="9"/>
    <w:pPr>
      <w:keepNext/>
      <w:keepLines/>
      <w:numPr>
        <w:ilvl w:val="5"/>
        <w:numId w:val="2"/>
      </w:numPr>
      <w:spacing w:before="240" w:after="64" w:line="320" w:lineRule="auto"/>
      <w:outlineLvl w:val="5"/>
    </w:pPr>
    <w:rPr>
      <w:rFonts w:ascii="Arial" w:hAnsi="Arial" w:eastAsia="黑体"/>
      <w:szCs w:val="20"/>
    </w:rPr>
  </w:style>
  <w:style w:type="paragraph" w:styleId="8">
    <w:name w:val="heading 7"/>
    <w:basedOn w:val="1"/>
    <w:qFormat/>
    <w:uiPriority w:val="0"/>
    <w:pPr>
      <w:keepNext/>
      <w:keepLines/>
      <w:numPr>
        <w:ilvl w:val="6"/>
        <w:numId w:val="2"/>
      </w:numPr>
      <w:spacing w:before="240" w:after="64" w:line="320" w:lineRule="auto"/>
      <w:outlineLvl w:val="6"/>
    </w:pPr>
    <w:rPr>
      <w:rFonts w:ascii="宋体"/>
      <w:szCs w:val="20"/>
    </w:rPr>
  </w:style>
  <w:style w:type="paragraph" w:styleId="9">
    <w:name w:val="heading 8"/>
    <w:basedOn w:val="1"/>
    <w:qFormat/>
    <w:uiPriority w:val="0"/>
    <w:pPr>
      <w:keepNext/>
      <w:keepLines/>
      <w:numPr>
        <w:ilvl w:val="7"/>
        <w:numId w:val="2"/>
      </w:numPr>
      <w:spacing w:before="240" w:after="64" w:line="320" w:lineRule="auto"/>
      <w:outlineLvl w:val="7"/>
    </w:pPr>
    <w:rPr>
      <w:rFonts w:ascii="Arial" w:hAnsi="Arial" w:eastAsia="黑体"/>
      <w:b/>
      <w:szCs w:val="20"/>
    </w:rPr>
  </w:style>
  <w:style w:type="paragraph" w:styleId="10">
    <w:name w:val="heading 9"/>
    <w:basedOn w:val="1"/>
    <w:qFormat/>
    <w:uiPriority w:val="0"/>
    <w:pPr>
      <w:keepNext/>
      <w:keepLines/>
      <w:numPr>
        <w:ilvl w:val="8"/>
        <w:numId w:val="2"/>
      </w:numPr>
      <w:spacing w:before="240" w:after="64" w:line="320" w:lineRule="auto"/>
      <w:outlineLvl w:val="8"/>
    </w:pPr>
    <w:rPr>
      <w:rFonts w:ascii="Arial" w:hAnsi="Arial" w:eastAsia="黑体"/>
      <w:b/>
      <w:szCs w:val="20"/>
    </w:r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Normal Indent"/>
    <w:basedOn w:val="1"/>
    <w:qFormat/>
    <w:uiPriority w:val="0"/>
    <w:pPr>
      <w:spacing w:line="360" w:lineRule="atLeast"/>
      <w:ind w:firstLine="420"/>
      <w:jc w:val="left"/>
    </w:pPr>
    <w:rPr>
      <w:kern w:val="0"/>
      <w:szCs w:val="20"/>
    </w:rPr>
  </w:style>
  <w:style w:type="paragraph" w:styleId="12">
    <w:name w:val="Document Map"/>
    <w:basedOn w:val="1"/>
    <w:semiHidden/>
    <w:qFormat/>
    <w:uiPriority w:val="0"/>
    <w:pPr>
      <w:shd w:val="clear" w:color="auto" w:fill="000080"/>
    </w:pPr>
  </w:style>
  <w:style w:type="paragraph" w:styleId="13">
    <w:name w:val="annotation text"/>
    <w:basedOn w:val="1"/>
    <w:link w:val="94"/>
    <w:semiHidden/>
    <w:qFormat/>
    <w:uiPriority w:val="0"/>
    <w:pPr>
      <w:jc w:val="left"/>
    </w:pPr>
  </w:style>
  <w:style w:type="paragraph" w:styleId="14">
    <w:name w:val="Body Text 3"/>
    <w:basedOn w:val="1"/>
    <w:qFormat/>
    <w:uiPriority w:val="0"/>
    <w:pPr>
      <w:spacing w:line="360" w:lineRule="auto"/>
      <w:jc w:val="center"/>
    </w:pPr>
    <w:rPr>
      <w:rFonts w:ascii="宋体"/>
      <w:b/>
      <w:color w:val="FF0000"/>
      <w:kern w:val="0"/>
      <w:szCs w:val="20"/>
      <w:u w:val="single"/>
    </w:rPr>
  </w:style>
  <w:style w:type="paragraph" w:styleId="15">
    <w:name w:val="Body Text"/>
    <w:basedOn w:val="1"/>
    <w:qFormat/>
    <w:uiPriority w:val="0"/>
    <w:pPr>
      <w:spacing w:after="120"/>
    </w:pPr>
  </w:style>
  <w:style w:type="paragraph" w:styleId="16">
    <w:name w:val="Body Text Indent"/>
    <w:basedOn w:val="1"/>
    <w:qFormat/>
    <w:uiPriority w:val="0"/>
    <w:pPr>
      <w:spacing w:line="360" w:lineRule="auto"/>
      <w:ind w:firstLine="480"/>
      <w:jc w:val="left"/>
    </w:pPr>
    <w:rPr>
      <w:rFonts w:ascii="宋体"/>
      <w:color w:val="0000FF"/>
      <w:kern w:val="0"/>
      <w:szCs w:val="20"/>
    </w:rPr>
  </w:style>
  <w:style w:type="paragraph" w:styleId="17">
    <w:name w:val="toc 3"/>
    <w:basedOn w:val="1"/>
    <w:next w:val="1"/>
    <w:semiHidden/>
    <w:unhideWhenUsed/>
    <w:qFormat/>
    <w:uiPriority w:val="39"/>
    <w:pPr>
      <w:ind w:left="840" w:leftChars="400"/>
    </w:pPr>
  </w:style>
  <w:style w:type="paragraph" w:styleId="18">
    <w:name w:val="Plain Text"/>
    <w:basedOn w:val="1"/>
    <w:qFormat/>
    <w:uiPriority w:val="0"/>
    <w:rPr>
      <w:rFonts w:ascii="宋体" w:hAnsi="Courier New"/>
      <w:szCs w:val="21"/>
    </w:rPr>
  </w:style>
  <w:style w:type="paragraph" w:styleId="19">
    <w:name w:val="Date"/>
    <w:basedOn w:val="1"/>
    <w:link w:val="96"/>
    <w:qFormat/>
    <w:uiPriority w:val="0"/>
    <w:pPr>
      <w:spacing w:line="360" w:lineRule="atLeast"/>
    </w:pPr>
    <w:rPr>
      <w:rFonts w:ascii="宋体"/>
      <w:kern w:val="0"/>
      <w:sz w:val="28"/>
      <w:szCs w:val="20"/>
    </w:rPr>
  </w:style>
  <w:style w:type="paragraph" w:styleId="20">
    <w:name w:val="Body Text Indent 2"/>
    <w:basedOn w:val="1"/>
    <w:qFormat/>
    <w:uiPriority w:val="0"/>
    <w:pPr>
      <w:spacing w:line="0" w:lineRule="atLeast"/>
      <w:ind w:right="202" w:firstLine="630" w:firstLineChars="225"/>
      <w:jc w:val="left"/>
    </w:pPr>
    <w:rPr>
      <w:rFonts w:ascii="宋体"/>
      <w:spacing w:val="20"/>
      <w:kern w:val="0"/>
      <w:position w:val="20"/>
      <w:szCs w:val="20"/>
    </w:rPr>
  </w:style>
  <w:style w:type="paragraph" w:styleId="21">
    <w:name w:val="Balloon Text"/>
    <w:basedOn w:val="1"/>
    <w:link w:val="98"/>
    <w:semiHidden/>
    <w:qFormat/>
    <w:uiPriority w:val="0"/>
    <w:rPr>
      <w:sz w:val="18"/>
      <w:szCs w:val="18"/>
    </w:rPr>
  </w:style>
  <w:style w:type="paragraph" w:styleId="22">
    <w:name w:val="footer"/>
    <w:basedOn w:val="1"/>
    <w:link w:val="86"/>
    <w:qFormat/>
    <w:uiPriority w:val="0"/>
    <w:pPr>
      <w:tabs>
        <w:tab w:val="center" w:pos="4153"/>
        <w:tab w:val="right" w:pos="8306"/>
      </w:tabs>
      <w:spacing w:line="240" w:lineRule="atLeast"/>
      <w:jc w:val="left"/>
    </w:pPr>
    <w:rPr>
      <w:kern w:val="0"/>
      <w:sz w:val="18"/>
      <w:szCs w:val="20"/>
      <w:lang w:eastAsia="en-US"/>
    </w:rPr>
  </w:style>
  <w:style w:type="paragraph" w:styleId="23">
    <w:name w:val="header"/>
    <w:basedOn w:val="1"/>
    <w:link w:val="95"/>
    <w:qFormat/>
    <w:uiPriority w:val="0"/>
    <w:pPr>
      <w:pBdr>
        <w:bottom w:val="single" w:color="000000" w:sz="6" w:space="1"/>
      </w:pBdr>
      <w:tabs>
        <w:tab w:val="center" w:pos="4153"/>
        <w:tab w:val="right" w:pos="8306"/>
      </w:tabs>
      <w:snapToGrid w:val="0"/>
      <w:spacing w:line="240" w:lineRule="atLeast"/>
      <w:jc w:val="center"/>
    </w:pPr>
    <w:rPr>
      <w:kern w:val="0"/>
      <w:sz w:val="18"/>
      <w:szCs w:val="20"/>
    </w:rPr>
  </w:style>
  <w:style w:type="paragraph" w:styleId="24">
    <w:name w:val="toc 1"/>
    <w:basedOn w:val="1"/>
    <w:next w:val="1"/>
    <w:unhideWhenUsed/>
    <w:qFormat/>
    <w:uiPriority w:val="39"/>
  </w:style>
  <w:style w:type="paragraph" w:styleId="25">
    <w:name w:val="Body Text Indent 3"/>
    <w:basedOn w:val="1"/>
    <w:qFormat/>
    <w:uiPriority w:val="0"/>
    <w:pPr>
      <w:spacing w:line="360" w:lineRule="auto"/>
      <w:ind w:firstLine="780" w:firstLineChars="300"/>
      <w:jc w:val="left"/>
    </w:pPr>
    <w:rPr>
      <w:color w:val="FF0000"/>
      <w:spacing w:val="10"/>
      <w:kern w:val="0"/>
      <w:szCs w:val="20"/>
      <w:u w:val="single"/>
    </w:rPr>
  </w:style>
  <w:style w:type="paragraph" w:styleId="26">
    <w:name w:val="toc 2"/>
    <w:basedOn w:val="1"/>
    <w:next w:val="1"/>
    <w:unhideWhenUsed/>
    <w:qFormat/>
    <w:uiPriority w:val="39"/>
    <w:pPr>
      <w:ind w:left="420" w:leftChars="200"/>
    </w:pPr>
  </w:style>
  <w:style w:type="paragraph" w:styleId="27">
    <w:name w:val="Normal (Web)"/>
    <w:basedOn w:val="1"/>
    <w:qFormat/>
    <w:uiPriority w:val="0"/>
    <w:pPr>
      <w:spacing w:after="150" w:line="450" w:lineRule="atLeast"/>
      <w:ind w:firstLine="420"/>
      <w:jc w:val="left"/>
    </w:pPr>
    <w:rPr>
      <w:kern w:val="0"/>
    </w:rPr>
  </w:style>
  <w:style w:type="paragraph" w:styleId="28">
    <w:name w:val="annotation subject"/>
    <w:basedOn w:val="13"/>
    <w:link w:val="97"/>
    <w:semiHidden/>
    <w:qFormat/>
    <w:uiPriority w:val="0"/>
    <w:rPr>
      <w:b/>
      <w:bCs/>
    </w:rPr>
  </w:style>
  <w:style w:type="table" w:styleId="30">
    <w:name w:val="Table Grid"/>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page number"/>
    <w:basedOn w:val="31"/>
    <w:qFormat/>
    <w:uiPriority w:val="0"/>
  </w:style>
  <w:style w:type="character" w:styleId="33">
    <w:name w:val="FollowedHyperlink"/>
    <w:semiHidden/>
    <w:unhideWhenUsed/>
    <w:qFormat/>
    <w:uiPriority w:val="0"/>
    <w:rPr>
      <w:color w:val="800080"/>
      <w:u w:val="single"/>
    </w:rPr>
  </w:style>
  <w:style w:type="character" w:styleId="34">
    <w:name w:val="Emphasis"/>
    <w:qFormat/>
    <w:uiPriority w:val="0"/>
    <w:rPr>
      <w:color w:val="CC0000"/>
      <w:kern w:val="0"/>
    </w:rPr>
  </w:style>
  <w:style w:type="character" w:styleId="35">
    <w:name w:val="HTML Definition"/>
    <w:qFormat/>
    <w:uiPriority w:val="0"/>
    <w:rPr>
      <w:kern w:val="0"/>
    </w:rPr>
  </w:style>
  <w:style w:type="character" w:styleId="36">
    <w:name w:val="HTML Variable"/>
    <w:qFormat/>
    <w:uiPriority w:val="0"/>
    <w:rPr>
      <w:kern w:val="0"/>
    </w:rPr>
  </w:style>
  <w:style w:type="character" w:styleId="37">
    <w:name w:val="Hyperlink"/>
    <w:qFormat/>
    <w:uiPriority w:val="99"/>
    <w:rPr>
      <w:color w:val="3F88BF"/>
      <w:kern w:val="0"/>
      <w:u w:val="none"/>
    </w:rPr>
  </w:style>
  <w:style w:type="character" w:styleId="38">
    <w:name w:val="HTML Code"/>
    <w:qFormat/>
    <w:uiPriority w:val="0"/>
    <w:rPr>
      <w:rFonts w:ascii="PingFang SC" w:hAnsi="PingFang SC" w:eastAsia="PingFang SC"/>
      <w:kern w:val="0"/>
      <w:sz w:val="20"/>
    </w:rPr>
  </w:style>
  <w:style w:type="character" w:styleId="39">
    <w:name w:val="annotation reference"/>
    <w:semiHidden/>
    <w:qFormat/>
    <w:uiPriority w:val="0"/>
    <w:rPr>
      <w:kern w:val="0"/>
      <w:sz w:val="21"/>
      <w:szCs w:val="21"/>
    </w:rPr>
  </w:style>
  <w:style w:type="character" w:styleId="40">
    <w:name w:val="HTML Cite"/>
    <w:qFormat/>
    <w:uiPriority w:val="0"/>
    <w:rPr>
      <w:color w:val="008000"/>
      <w:kern w:val="0"/>
    </w:rPr>
  </w:style>
  <w:style w:type="character" w:styleId="41">
    <w:name w:val="HTML Keyboard"/>
    <w:qFormat/>
    <w:uiPriority w:val="0"/>
    <w:rPr>
      <w:rFonts w:ascii="PingFang SC" w:hAnsi="PingFang SC" w:eastAsia="PingFang SC"/>
      <w:kern w:val="0"/>
      <w:sz w:val="20"/>
    </w:rPr>
  </w:style>
  <w:style w:type="character" w:styleId="42">
    <w:name w:val="HTML Sample"/>
    <w:qFormat/>
    <w:uiPriority w:val="0"/>
    <w:rPr>
      <w:rFonts w:ascii="PingFang SC" w:hAnsi="PingFang SC" w:eastAsia="PingFang SC"/>
      <w:kern w:val="0"/>
    </w:rPr>
  </w:style>
  <w:style w:type="character" w:customStyle="1" w:styleId="43">
    <w:name w:val="已访问的超链接1"/>
    <w:qFormat/>
    <w:uiPriority w:val="0"/>
    <w:rPr>
      <w:color w:val="3F88BF"/>
      <w:kern w:val="0"/>
      <w:u w:val="none"/>
    </w:rPr>
  </w:style>
  <w:style w:type="character" w:customStyle="1" w:styleId="44">
    <w:name w:val="num10"/>
    <w:qFormat/>
    <w:uiPriority w:val="0"/>
    <w:rPr>
      <w:b/>
      <w:color w:val="FF7800"/>
      <w:kern w:val="0"/>
    </w:rPr>
  </w:style>
  <w:style w:type="character" w:customStyle="1" w:styleId="45">
    <w:name w:val="标题 1 Char1"/>
    <w:qFormat/>
    <w:uiPriority w:val="0"/>
    <w:rPr>
      <w:rFonts w:ascii="宋体" w:eastAsia="宋体"/>
      <w:b/>
      <w:kern w:val="44"/>
      <w:sz w:val="32"/>
      <w:lang w:val="en-US" w:eastAsia="zh-CN" w:bidi="ar-SA"/>
    </w:rPr>
  </w:style>
  <w:style w:type="character" w:customStyle="1" w:styleId="46">
    <w:name w:val="num"/>
    <w:qFormat/>
    <w:uiPriority w:val="0"/>
    <w:rPr>
      <w:b/>
      <w:color w:val="FF7800"/>
      <w:kern w:val="0"/>
    </w:rPr>
  </w:style>
  <w:style w:type="character" w:customStyle="1" w:styleId="47">
    <w:name w:val="legend"/>
    <w:qFormat/>
    <w:uiPriority w:val="0"/>
    <w:rPr>
      <w:rFonts w:ascii="Arial" w:hAnsi="Arial"/>
      <w:b/>
      <w:color w:val="73B304"/>
      <w:kern w:val="0"/>
      <w:sz w:val="21"/>
      <w:szCs w:val="21"/>
      <w:shd w:val="clear" w:color="auto" w:fill="FFFFFF"/>
    </w:rPr>
  </w:style>
  <w:style w:type="character" w:customStyle="1" w:styleId="48">
    <w:name w:val="answer-title12"/>
    <w:basedOn w:val="31"/>
    <w:qFormat/>
    <w:uiPriority w:val="0"/>
  </w:style>
  <w:style w:type="character" w:customStyle="1" w:styleId="49">
    <w:name w:val="release-day"/>
    <w:qFormat/>
    <w:uiPriority w:val="0"/>
    <w:rPr>
      <w:kern w:val="0"/>
      <w:bdr w:val="single" w:color="000000" w:sz="6" w:space="0"/>
      <w:shd w:val="clear" w:color="auto" w:fill="F5FFF1"/>
    </w:rPr>
  </w:style>
  <w:style w:type="character" w:customStyle="1" w:styleId="50">
    <w:name w:val="标题 1 Char"/>
    <w:link w:val="2"/>
    <w:qFormat/>
    <w:uiPriority w:val="0"/>
    <w:rPr>
      <w:rFonts w:ascii="宋体" w:eastAsia="宋体"/>
      <w:b/>
      <w:kern w:val="44"/>
      <w:sz w:val="44"/>
      <w:lang w:val="en-US" w:eastAsia="zh-CN" w:bidi="ar-SA"/>
    </w:rPr>
  </w:style>
  <w:style w:type="paragraph" w:customStyle="1" w:styleId="51">
    <w:name w:val="目录 11"/>
    <w:basedOn w:val="1"/>
    <w:qFormat/>
    <w:uiPriority w:val="0"/>
    <w:pPr>
      <w:tabs>
        <w:tab w:val="right" w:leader="dot" w:pos="8820"/>
      </w:tabs>
      <w:spacing w:line="360" w:lineRule="auto"/>
      <w:jc w:val="left"/>
    </w:pPr>
    <w:rPr>
      <w:rFonts w:ascii="宋体" w:hAnsi="宋体"/>
      <w:b/>
      <w:kern w:val="0"/>
      <w:sz w:val="30"/>
      <w:szCs w:val="30"/>
    </w:rPr>
  </w:style>
  <w:style w:type="paragraph" w:customStyle="1" w:styleId="52">
    <w:name w:val="目录 21"/>
    <w:basedOn w:val="1"/>
    <w:semiHidden/>
    <w:qFormat/>
    <w:uiPriority w:val="0"/>
    <w:pPr>
      <w:tabs>
        <w:tab w:val="right" w:leader="dot" w:pos="9000"/>
      </w:tabs>
      <w:spacing w:line="360" w:lineRule="atLeast"/>
      <w:ind w:left="420"/>
      <w:jc w:val="left"/>
    </w:pPr>
    <w:rPr>
      <w:kern w:val="0"/>
      <w:sz w:val="20"/>
      <w:szCs w:val="20"/>
    </w:rPr>
  </w:style>
  <w:style w:type="paragraph" w:styleId="53">
    <w:name w:val="List Paragraph"/>
    <w:basedOn w:val="1"/>
    <w:qFormat/>
    <w:uiPriority w:val="0"/>
    <w:pPr>
      <w:ind w:firstLine="420" w:firstLineChars="200"/>
    </w:pPr>
    <w:rPr>
      <w:rFonts w:hint="eastAsia"/>
      <w:sz w:val="21"/>
    </w:rPr>
  </w:style>
  <w:style w:type="paragraph" w:customStyle="1" w:styleId="54">
    <w:name w:val="Char"/>
    <w:basedOn w:val="1"/>
    <w:qFormat/>
    <w:uiPriority w:val="0"/>
    <w:pPr>
      <w:spacing w:line="360" w:lineRule="auto"/>
    </w:pPr>
    <w:rPr>
      <w:kern w:val="0"/>
    </w:rPr>
  </w:style>
  <w:style w:type="paragraph" w:customStyle="1" w:styleId="55">
    <w:name w:val="Char Char Char Char1"/>
    <w:basedOn w:val="1"/>
    <w:qFormat/>
    <w:uiPriority w:val="0"/>
    <w:pPr>
      <w:spacing w:line="360" w:lineRule="auto"/>
      <w:ind w:firstLine="200" w:firstLineChars="200"/>
    </w:pPr>
    <w:rPr>
      <w:rFonts w:ascii="宋体" w:hAnsi="宋体"/>
    </w:rPr>
  </w:style>
  <w:style w:type="paragraph" w:customStyle="1" w:styleId="56">
    <w:name w:val="p0"/>
    <w:basedOn w:val="1"/>
    <w:qFormat/>
    <w:uiPriority w:val="0"/>
    <w:pPr>
      <w:widowControl/>
      <w:spacing w:line="560" w:lineRule="atLeast"/>
      <w:ind w:left="839" w:firstLine="200" w:firstLineChars="200"/>
    </w:pPr>
    <w:rPr>
      <w:rFonts w:ascii="Calibri" w:hAnsi="Calibri"/>
      <w:kern w:val="0"/>
      <w:szCs w:val="21"/>
    </w:rPr>
  </w:style>
  <w:style w:type="paragraph" w:customStyle="1" w:styleId="57">
    <w:name w:val="正文1"/>
    <w:basedOn w:val="1"/>
    <w:qFormat/>
    <w:uiPriority w:val="0"/>
    <w:pPr>
      <w:spacing w:line="360" w:lineRule="atLeast"/>
      <w:jc w:val="left"/>
    </w:pPr>
    <w:rPr>
      <w:rFonts w:ascii="宋体"/>
      <w:kern w:val="0"/>
      <w:szCs w:val="20"/>
    </w:rPr>
  </w:style>
  <w:style w:type="paragraph" w:customStyle="1" w:styleId="58">
    <w:name w:val="Char1 Char Char Char Char Char Char Char Char Char"/>
    <w:basedOn w:val="1"/>
    <w:qFormat/>
    <w:uiPriority w:val="0"/>
    <w:rPr>
      <w:sz w:val="21"/>
    </w:rPr>
  </w:style>
  <w:style w:type="paragraph" w:customStyle="1" w:styleId="59">
    <w:name w:val="Char Char Char Char1 Char Char Char Char Char Char Char"/>
    <w:basedOn w:val="1"/>
    <w:qFormat/>
    <w:uiPriority w:val="0"/>
    <w:pPr>
      <w:spacing w:line="360" w:lineRule="auto"/>
      <w:ind w:firstLine="200" w:firstLineChars="200"/>
    </w:pPr>
    <w:rPr>
      <w:rFonts w:ascii="宋体" w:hAnsi="宋体"/>
    </w:rPr>
  </w:style>
  <w:style w:type="paragraph" w:customStyle="1" w:styleId="60">
    <w:name w:val="Char Char Char Char1 Char Char Char"/>
    <w:basedOn w:val="1"/>
    <w:qFormat/>
    <w:uiPriority w:val="0"/>
    <w:pPr>
      <w:spacing w:line="360" w:lineRule="auto"/>
      <w:ind w:firstLine="200" w:firstLineChars="200"/>
    </w:pPr>
    <w:rPr>
      <w:rFonts w:ascii="宋体" w:hAnsi="宋体"/>
    </w:rPr>
  </w:style>
  <w:style w:type="paragraph" w:customStyle="1" w:styleId="61">
    <w:name w:val="Char Char1"/>
    <w:basedOn w:val="1"/>
    <w:qFormat/>
    <w:uiPriority w:val="0"/>
    <w:pPr>
      <w:spacing w:line="360" w:lineRule="atLeast"/>
      <w:jc w:val="left"/>
    </w:pPr>
    <w:rPr>
      <w:kern w:val="0"/>
    </w:rPr>
  </w:style>
  <w:style w:type="paragraph" w:customStyle="1" w:styleId="62">
    <w:name w:val="Char1 Char"/>
    <w:basedOn w:val="1"/>
    <w:qFormat/>
    <w:uiPriority w:val="0"/>
    <w:pPr>
      <w:spacing w:line="360" w:lineRule="atLeast"/>
      <w:jc w:val="left"/>
    </w:pPr>
    <w:rPr>
      <w:kern w:val="0"/>
    </w:rPr>
  </w:style>
  <w:style w:type="paragraph" w:customStyle="1" w:styleId="63">
    <w:name w:val="样式2"/>
    <w:basedOn w:val="1"/>
    <w:qFormat/>
    <w:uiPriority w:val="0"/>
    <w:pPr>
      <w:spacing w:line="360" w:lineRule="auto"/>
    </w:pPr>
    <w:rPr>
      <w:kern w:val="0"/>
      <w:sz w:val="28"/>
      <w:szCs w:val="20"/>
    </w:rPr>
  </w:style>
  <w:style w:type="paragraph" w:customStyle="1" w:styleId="64">
    <w:name w:val="Char Char"/>
    <w:basedOn w:val="1"/>
    <w:qFormat/>
    <w:uiPriority w:val="0"/>
    <w:pPr>
      <w:spacing w:line="360" w:lineRule="atLeast"/>
      <w:jc w:val="left"/>
    </w:pPr>
    <w:rPr>
      <w:kern w:val="0"/>
    </w:rPr>
  </w:style>
  <w:style w:type="paragraph" w:customStyle="1" w:styleId="65">
    <w:name w:val="Char Char Char Char"/>
    <w:basedOn w:val="1"/>
    <w:qFormat/>
    <w:uiPriority w:val="0"/>
    <w:pPr>
      <w:spacing w:line="360" w:lineRule="auto"/>
    </w:pPr>
    <w:rPr>
      <w:kern w:val="0"/>
      <w:szCs w:val="20"/>
    </w:rPr>
  </w:style>
  <w:style w:type="paragraph" w:customStyle="1" w:styleId="66">
    <w:name w:val="样式1"/>
    <w:basedOn w:val="1"/>
    <w:qFormat/>
    <w:uiPriority w:val="0"/>
    <w:pPr>
      <w:spacing w:line="420" w:lineRule="auto"/>
      <w:jc w:val="center"/>
    </w:pPr>
    <w:rPr>
      <w:rFonts w:ascii="宋体"/>
      <w:kern w:val="0"/>
      <w:szCs w:val="20"/>
    </w:rPr>
  </w:style>
  <w:style w:type="paragraph" w:customStyle="1" w:styleId="67">
    <w:name w:val="A"/>
    <w:basedOn w:val="1"/>
    <w:qFormat/>
    <w:uiPriority w:val="0"/>
    <w:pPr>
      <w:spacing w:line="480" w:lineRule="atLeast"/>
      <w:jc w:val="center"/>
    </w:pPr>
    <w:rPr>
      <w:rFonts w:ascii="宋体"/>
      <w:kern w:val="0"/>
      <w:sz w:val="32"/>
      <w:szCs w:val="20"/>
    </w:rPr>
  </w:style>
  <w:style w:type="paragraph" w:customStyle="1" w:styleId="68">
    <w:name w:val="三级条标题"/>
    <w:basedOn w:val="69"/>
    <w:qFormat/>
    <w:uiPriority w:val="0"/>
    <w:pPr>
      <w:numPr>
        <w:ilvl w:val="4"/>
      </w:numPr>
      <w:outlineLvl w:val="4"/>
    </w:pPr>
  </w:style>
  <w:style w:type="paragraph" w:customStyle="1" w:styleId="69">
    <w:name w:val="二级条标题"/>
    <w:basedOn w:val="70"/>
    <w:qFormat/>
    <w:uiPriority w:val="0"/>
    <w:pPr>
      <w:numPr>
        <w:ilvl w:val="3"/>
      </w:numPr>
      <w:outlineLvl w:val="3"/>
    </w:pPr>
  </w:style>
  <w:style w:type="paragraph" w:customStyle="1" w:styleId="70">
    <w:name w:val="一级条标题"/>
    <w:basedOn w:val="71"/>
    <w:qFormat/>
    <w:uiPriority w:val="0"/>
    <w:pPr>
      <w:numPr>
        <w:ilvl w:val="2"/>
      </w:numPr>
      <w:spacing w:before="0" w:after="0"/>
      <w:outlineLvl w:val="2"/>
    </w:pPr>
  </w:style>
  <w:style w:type="paragraph" w:customStyle="1" w:styleId="71">
    <w:name w:val="章标题"/>
    <w:qFormat/>
    <w:uiPriority w:val="0"/>
    <w:pPr>
      <w:numPr>
        <w:ilvl w:val="1"/>
        <w:numId w:val="3"/>
      </w:numPr>
      <w:spacing w:before="50" w:after="50"/>
      <w:jc w:val="both"/>
      <w:outlineLvl w:val="1"/>
    </w:pPr>
    <w:rPr>
      <w:rFonts w:ascii="黑体" w:hAnsi="Times New Roman" w:eastAsia="黑体" w:cs="Times New Roman"/>
      <w:sz w:val="21"/>
      <w:szCs w:val="22"/>
      <w:lang w:val="en-US" w:eastAsia="zh-CN" w:bidi="ar-SA"/>
    </w:rPr>
  </w:style>
  <w:style w:type="paragraph" w:customStyle="1" w:styleId="72">
    <w:name w:val="Char Char1 Char Char Char Char Char Char Char Char Char"/>
    <w:basedOn w:val="1"/>
    <w:semiHidden/>
    <w:qFormat/>
    <w:uiPriority w:val="0"/>
    <w:rPr>
      <w:sz w:val="21"/>
    </w:rPr>
  </w:style>
  <w:style w:type="paragraph" w:customStyle="1" w:styleId="73">
    <w:name w:val="正文报告"/>
    <w:basedOn w:val="1"/>
    <w:qFormat/>
    <w:uiPriority w:val="0"/>
    <w:pPr>
      <w:tabs>
        <w:tab w:val="left" w:pos="510"/>
      </w:tabs>
      <w:spacing w:line="460" w:lineRule="exact"/>
      <w:ind w:firstLine="482"/>
    </w:pPr>
    <w:rPr>
      <w:kern w:val="0"/>
      <w:szCs w:val="20"/>
    </w:rPr>
  </w:style>
  <w:style w:type="paragraph" w:customStyle="1" w:styleId="74">
    <w:name w:val="字母编号列项（一级）"/>
    <w:qFormat/>
    <w:uiPriority w:val="0"/>
    <w:pPr>
      <w:ind w:left="840" w:leftChars="200" w:hanging="420" w:hangingChars="200"/>
      <w:jc w:val="both"/>
    </w:pPr>
    <w:rPr>
      <w:rFonts w:ascii="宋体" w:hAnsi="Times New Roman" w:eastAsia="宋体" w:cs="Times New Roman"/>
      <w:sz w:val="21"/>
      <w:szCs w:val="22"/>
      <w:lang w:val="en-US" w:eastAsia="zh-CN" w:bidi="ar-SA"/>
    </w:rPr>
  </w:style>
  <w:style w:type="paragraph" w:customStyle="1" w:styleId="75">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76">
    <w:name w:val="Char Char Char"/>
    <w:basedOn w:val="1"/>
    <w:qFormat/>
    <w:uiPriority w:val="0"/>
    <w:pPr>
      <w:spacing w:line="360" w:lineRule="auto"/>
      <w:ind w:firstLine="200" w:firstLineChars="200"/>
    </w:pPr>
    <w:rPr>
      <w:rFonts w:ascii="宋体" w:hAnsi="宋体"/>
    </w:rPr>
  </w:style>
  <w:style w:type="paragraph" w:customStyle="1" w:styleId="77">
    <w:name w:val="默认段落字体 Para Char Char Char Char"/>
    <w:basedOn w:val="1"/>
    <w:qFormat/>
    <w:uiPriority w:val="0"/>
    <w:rPr>
      <w:sz w:val="21"/>
    </w:rPr>
  </w:style>
  <w:style w:type="paragraph" w:customStyle="1" w:styleId="78">
    <w:name w:val="Default"/>
    <w:qFormat/>
    <w:uiPriority w:val="0"/>
    <w:pPr>
      <w:widowControl w:val="0"/>
      <w:autoSpaceDE w:val="0"/>
      <w:autoSpaceDN w:val="0"/>
    </w:pPr>
    <w:rPr>
      <w:rFonts w:ascii="Times New Roman" w:hAnsi="Times New Roman" w:eastAsia="宋体" w:cs="Times New Roman"/>
      <w:color w:val="000000"/>
      <w:sz w:val="24"/>
      <w:szCs w:val="24"/>
      <w:lang w:val="en-US" w:eastAsia="zh-CN" w:bidi="ar-SA"/>
    </w:rPr>
  </w:style>
  <w:style w:type="paragraph" w:customStyle="1" w:styleId="79">
    <w:name w:val="Char Char11"/>
    <w:basedOn w:val="1"/>
    <w:qFormat/>
    <w:uiPriority w:val="0"/>
    <w:rPr>
      <w:sz w:val="21"/>
    </w:rPr>
  </w:style>
  <w:style w:type="paragraph" w:customStyle="1" w:styleId="80">
    <w:name w:val="Char Char1 Char Char Char"/>
    <w:basedOn w:val="1"/>
    <w:semiHidden/>
    <w:qFormat/>
    <w:uiPriority w:val="0"/>
    <w:rPr>
      <w:sz w:val="21"/>
    </w:rPr>
  </w:style>
  <w:style w:type="paragraph" w:customStyle="1" w:styleId="81">
    <w:name w:val="1"/>
    <w:basedOn w:val="1"/>
    <w:qFormat/>
    <w:uiPriority w:val="0"/>
    <w:pPr>
      <w:spacing w:line="360" w:lineRule="atLeast"/>
      <w:jc w:val="left"/>
    </w:pPr>
    <w:rPr>
      <w:kern w:val="0"/>
    </w:rPr>
  </w:style>
  <w:style w:type="paragraph" w:customStyle="1" w:styleId="82">
    <w:name w:val="Char1"/>
    <w:basedOn w:val="1"/>
    <w:qFormat/>
    <w:uiPriority w:val="0"/>
  </w:style>
  <w:style w:type="paragraph" w:customStyle="1" w:styleId="83">
    <w:name w:val="默认段落字体 Para Char Char Char Char Char Char Char Char Char Char"/>
    <w:basedOn w:val="1"/>
    <w:qFormat/>
    <w:uiPriority w:val="0"/>
    <w:rPr>
      <w:sz w:val="21"/>
    </w:rPr>
  </w:style>
  <w:style w:type="paragraph" w:customStyle="1" w:styleId="84">
    <w:name w:val="目录 31"/>
    <w:basedOn w:val="1"/>
    <w:qFormat/>
    <w:uiPriority w:val="0"/>
    <w:pPr>
      <w:ind w:left="840" w:leftChars="400"/>
    </w:pPr>
  </w:style>
  <w:style w:type="paragraph" w:customStyle="1" w:styleId="85">
    <w:name w:val="TOC 标题1"/>
    <w:basedOn w:val="2"/>
    <w:semiHidden/>
    <w:qFormat/>
    <w:uiPriority w:val="0"/>
    <w:pPr>
      <w:widowControl/>
      <w:spacing w:before="480" w:line="276" w:lineRule="auto"/>
      <w:jc w:val="left"/>
      <w:outlineLvl w:val="9"/>
    </w:pPr>
    <w:rPr>
      <w:rFonts w:ascii="Cambria" w:hAnsi="Cambria"/>
      <w:bCs/>
      <w:color w:val="365F91"/>
      <w:kern w:val="0"/>
      <w:sz w:val="28"/>
      <w:szCs w:val="28"/>
    </w:rPr>
  </w:style>
  <w:style w:type="character" w:customStyle="1" w:styleId="86">
    <w:name w:val="页脚 Char"/>
    <w:link w:val="22"/>
    <w:qFormat/>
    <w:uiPriority w:val="0"/>
    <w:rPr>
      <w:sz w:val="18"/>
    </w:rPr>
  </w:style>
  <w:style w:type="paragraph" w:customStyle="1" w:styleId="87">
    <w:name w:val="UserStyle_12"/>
    <w:basedOn w:val="1"/>
    <w:qFormat/>
    <w:uiPriority w:val="0"/>
    <w:pPr>
      <w:widowControl/>
      <w:spacing w:line="360" w:lineRule="atLeast"/>
      <w:jc w:val="left"/>
    </w:pPr>
    <w:rPr>
      <w:rFonts w:ascii="宋体"/>
      <w:kern w:val="0"/>
      <w:szCs w:val="20"/>
    </w:rPr>
  </w:style>
  <w:style w:type="character" w:customStyle="1" w:styleId="88">
    <w:name w:val="NormalCharacter"/>
    <w:semiHidden/>
    <w:qFormat/>
    <w:uiPriority w:val="0"/>
  </w:style>
  <w:style w:type="character" w:customStyle="1" w:styleId="89">
    <w:name w:val="font11"/>
    <w:qFormat/>
    <w:uiPriority w:val="0"/>
    <w:rPr>
      <w:rFonts w:hint="eastAsia" w:ascii="宋体" w:hAnsi="宋体" w:eastAsia="宋体"/>
      <w:color w:val="000000"/>
      <w:kern w:val="0"/>
      <w:sz w:val="24"/>
      <w:szCs w:val="24"/>
      <w:u w:val="none"/>
    </w:rPr>
  </w:style>
  <w:style w:type="paragraph" w:customStyle="1" w:styleId="90">
    <w:name w:val="HtmlNormal"/>
    <w:basedOn w:val="1"/>
    <w:qFormat/>
    <w:uiPriority w:val="0"/>
    <w:pPr>
      <w:widowControl/>
      <w:jc w:val="left"/>
    </w:pPr>
    <w:rPr>
      <w:kern w:val="0"/>
    </w:rPr>
  </w:style>
  <w:style w:type="paragraph" w:customStyle="1" w:styleId="91">
    <w:name w:val="UserStyle_10"/>
    <w:basedOn w:val="1"/>
    <w:qFormat/>
    <w:uiPriority w:val="0"/>
    <w:pPr>
      <w:widowControl/>
      <w:ind w:firstLine="420" w:firstLineChars="200"/>
    </w:pPr>
  </w:style>
  <w:style w:type="character" w:customStyle="1" w:styleId="92">
    <w:name w:val="标题 2 Char"/>
    <w:link w:val="3"/>
    <w:semiHidden/>
    <w:qFormat/>
    <w:uiPriority w:val="0"/>
    <w:rPr>
      <w:rFonts w:ascii="宋体"/>
      <w:b/>
      <w:kern w:val="44"/>
      <w:sz w:val="28"/>
    </w:rPr>
  </w:style>
  <w:style w:type="paragraph" w:customStyle="1" w:styleId="93">
    <w:name w:val="msonormal"/>
    <w:basedOn w:val="1"/>
    <w:qFormat/>
    <w:uiPriority w:val="0"/>
    <w:pPr>
      <w:widowControl/>
      <w:spacing w:before="100" w:beforeAutospacing="1" w:after="100" w:afterAutospacing="1"/>
      <w:jc w:val="left"/>
    </w:pPr>
    <w:rPr>
      <w:rFonts w:ascii="宋体" w:hAnsi="宋体" w:cs="宋体"/>
      <w:kern w:val="0"/>
    </w:rPr>
  </w:style>
  <w:style w:type="character" w:customStyle="1" w:styleId="94">
    <w:name w:val="批注文字 Char"/>
    <w:link w:val="13"/>
    <w:semiHidden/>
    <w:qFormat/>
    <w:uiPriority w:val="0"/>
    <w:rPr>
      <w:kern w:val="2"/>
      <w:sz w:val="24"/>
      <w:szCs w:val="24"/>
    </w:rPr>
  </w:style>
  <w:style w:type="character" w:customStyle="1" w:styleId="95">
    <w:name w:val="页眉 Char"/>
    <w:link w:val="23"/>
    <w:qFormat/>
    <w:uiPriority w:val="0"/>
    <w:rPr>
      <w:sz w:val="18"/>
    </w:rPr>
  </w:style>
  <w:style w:type="character" w:customStyle="1" w:styleId="96">
    <w:name w:val="日期 Char"/>
    <w:link w:val="19"/>
    <w:qFormat/>
    <w:uiPriority w:val="0"/>
    <w:rPr>
      <w:rFonts w:ascii="宋体"/>
      <w:sz w:val="28"/>
    </w:rPr>
  </w:style>
  <w:style w:type="character" w:customStyle="1" w:styleId="97">
    <w:name w:val="批注主题 Char"/>
    <w:link w:val="28"/>
    <w:semiHidden/>
    <w:qFormat/>
    <w:uiPriority w:val="0"/>
    <w:rPr>
      <w:b/>
      <w:bCs/>
      <w:kern w:val="2"/>
      <w:sz w:val="24"/>
      <w:szCs w:val="24"/>
    </w:rPr>
  </w:style>
  <w:style w:type="character" w:customStyle="1" w:styleId="98">
    <w:name w:val="批注框文本 Char"/>
    <w:link w:val="21"/>
    <w:semiHidden/>
    <w:qFormat/>
    <w:uiPriority w:val="0"/>
    <w:rPr>
      <w:kern w:val="2"/>
      <w:sz w:val="18"/>
      <w:szCs w:val="18"/>
    </w:rPr>
  </w:style>
  <w:style w:type="paragraph" w:customStyle="1" w:styleId="99">
    <w:name w:val="Heading2"/>
    <w:basedOn w:val="1"/>
    <w:next w:val="1"/>
    <w:qFormat/>
    <w:uiPriority w:val="0"/>
    <w:pPr>
      <w:keepNext/>
      <w:keepLines/>
      <w:widowControl/>
      <w:spacing w:before="260" w:after="260" w:line="416" w:lineRule="atLeast"/>
    </w:pPr>
    <w:rPr>
      <w:rFonts w:ascii="宋体"/>
      <w:b/>
      <w:kern w:val="44"/>
      <w:sz w:val="28"/>
      <w:szCs w:val="20"/>
    </w:rPr>
  </w:style>
  <w:style w:type="character" w:customStyle="1" w:styleId="100">
    <w:name w:val="UserStyle_0"/>
    <w:link w:val="101"/>
    <w:qFormat/>
    <w:locked/>
    <w:uiPriority w:val="0"/>
    <w:rPr>
      <w:rFonts w:ascii="宋体" w:hAnsi="宋体"/>
      <w:b/>
      <w:kern w:val="44"/>
      <w:sz w:val="32"/>
    </w:rPr>
  </w:style>
  <w:style w:type="paragraph" w:customStyle="1" w:styleId="101">
    <w:name w:val="Heading1"/>
    <w:basedOn w:val="1"/>
    <w:next w:val="1"/>
    <w:link w:val="100"/>
    <w:qFormat/>
    <w:uiPriority w:val="0"/>
    <w:pPr>
      <w:keepNext/>
      <w:keepLines/>
      <w:widowControl/>
      <w:spacing w:line="360" w:lineRule="auto"/>
    </w:pPr>
    <w:rPr>
      <w:rFonts w:ascii="宋体" w:hAnsi="宋体"/>
      <w:b/>
      <w:kern w:val="44"/>
      <w:sz w:val="32"/>
      <w:szCs w:val="20"/>
    </w:rPr>
  </w:style>
  <w:style w:type="paragraph" w:customStyle="1" w:styleId="102">
    <w:name w:val="Heading3"/>
    <w:basedOn w:val="1"/>
    <w:next w:val="1"/>
    <w:qFormat/>
    <w:uiPriority w:val="0"/>
    <w:pPr>
      <w:keepNext/>
      <w:keepLines/>
      <w:widowControl/>
      <w:spacing w:before="260" w:after="260" w:line="416" w:lineRule="atLeast"/>
    </w:pPr>
    <w:rPr>
      <w:b/>
      <w:sz w:val="32"/>
    </w:rPr>
  </w:style>
  <w:style w:type="paragraph" w:customStyle="1" w:styleId="103">
    <w:name w:val="NormalIndent"/>
    <w:basedOn w:val="1"/>
    <w:qFormat/>
    <w:uiPriority w:val="0"/>
    <w:pPr>
      <w:widowControl/>
      <w:spacing w:line="360" w:lineRule="atLeast"/>
      <w:ind w:firstLine="420"/>
      <w:jc w:val="left"/>
    </w:pPr>
    <w:rPr>
      <w:kern w:val="0"/>
      <w:szCs w:val="20"/>
    </w:rPr>
  </w:style>
  <w:style w:type="paragraph" w:customStyle="1" w:styleId="104">
    <w:name w:val="Heading4"/>
    <w:basedOn w:val="1"/>
    <w:next w:val="103"/>
    <w:qFormat/>
    <w:uiPriority w:val="0"/>
    <w:pPr>
      <w:keepNext/>
      <w:widowControl/>
      <w:spacing w:line="360" w:lineRule="auto"/>
      <w:ind w:left="454"/>
      <w:jc w:val="left"/>
    </w:pPr>
    <w:rPr>
      <w:rFonts w:ascii="宋体"/>
      <w:i/>
      <w:kern w:val="0"/>
      <w:szCs w:val="20"/>
    </w:rPr>
  </w:style>
  <w:style w:type="paragraph" w:customStyle="1" w:styleId="105">
    <w:name w:val="Heading5"/>
    <w:basedOn w:val="1"/>
    <w:next w:val="103"/>
    <w:qFormat/>
    <w:uiPriority w:val="0"/>
    <w:pPr>
      <w:keepNext/>
      <w:keepLines/>
      <w:widowControl/>
      <w:spacing w:before="120" w:after="120"/>
      <w:ind w:firstLine="400"/>
    </w:pPr>
    <w:rPr>
      <w:rFonts w:ascii="小标宋"/>
      <w:szCs w:val="20"/>
    </w:rPr>
  </w:style>
  <w:style w:type="paragraph" w:customStyle="1" w:styleId="106">
    <w:name w:val="Heading6"/>
    <w:basedOn w:val="1"/>
    <w:next w:val="103"/>
    <w:qFormat/>
    <w:uiPriority w:val="0"/>
    <w:pPr>
      <w:keepNext/>
      <w:keepLines/>
      <w:widowControl/>
      <w:spacing w:before="240" w:after="64" w:line="319" w:lineRule="auto"/>
      <w:ind w:firstLine="400"/>
    </w:pPr>
    <w:rPr>
      <w:rFonts w:ascii="Arial" w:hAnsi="Arial" w:eastAsia="黑体"/>
      <w:szCs w:val="20"/>
    </w:rPr>
  </w:style>
  <w:style w:type="paragraph" w:customStyle="1" w:styleId="107">
    <w:name w:val="Heading7"/>
    <w:basedOn w:val="1"/>
    <w:next w:val="103"/>
    <w:qFormat/>
    <w:uiPriority w:val="0"/>
    <w:pPr>
      <w:keepNext/>
      <w:keepLines/>
      <w:widowControl/>
      <w:spacing w:before="240" w:after="64" w:line="319" w:lineRule="auto"/>
      <w:ind w:firstLine="400"/>
    </w:pPr>
    <w:rPr>
      <w:rFonts w:ascii="宋体"/>
      <w:szCs w:val="20"/>
    </w:rPr>
  </w:style>
  <w:style w:type="paragraph" w:customStyle="1" w:styleId="108">
    <w:name w:val="Heading8"/>
    <w:basedOn w:val="1"/>
    <w:next w:val="103"/>
    <w:qFormat/>
    <w:uiPriority w:val="0"/>
    <w:pPr>
      <w:keepNext/>
      <w:keepLines/>
      <w:widowControl/>
      <w:spacing w:before="240" w:after="64" w:line="319" w:lineRule="auto"/>
      <w:ind w:firstLine="400"/>
    </w:pPr>
    <w:rPr>
      <w:rFonts w:ascii="Arial" w:hAnsi="Arial" w:eastAsia="黑体"/>
      <w:b/>
      <w:szCs w:val="20"/>
    </w:rPr>
  </w:style>
  <w:style w:type="paragraph" w:customStyle="1" w:styleId="109">
    <w:name w:val="Heading9"/>
    <w:basedOn w:val="1"/>
    <w:next w:val="103"/>
    <w:qFormat/>
    <w:uiPriority w:val="0"/>
    <w:pPr>
      <w:keepNext/>
      <w:keepLines/>
      <w:widowControl/>
      <w:spacing w:before="240" w:after="64" w:line="319" w:lineRule="auto"/>
      <w:ind w:firstLine="400"/>
    </w:pPr>
    <w:rPr>
      <w:rFonts w:ascii="Arial" w:hAnsi="Arial" w:eastAsia="黑体"/>
      <w:b/>
      <w:szCs w:val="20"/>
    </w:rPr>
  </w:style>
  <w:style w:type="paragraph" w:customStyle="1" w:styleId="110">
    <w:name w:val="NavPane"/>
    <w:basedOn w:val="1"/>
    <w:semiHidden/>
    <w:qFormat/>
    <w:uiPriority w:val="0"/>
    <w:pPr>
      <w:widowControl/>
    </w:pPr>
  </w:style>
  <w:style w:type="paragraph" w:customStyle="1" w:styleId="111">
    <w:name w:val="AnnotationText"/>
    <w:basedOn w:val="1"/>
    <w:semiHidden/>
    <w:qFormat/>
    <w:uiPriority w:val="0"/>
    <w:pPr>
      <w:widowControl/>
      <w:jc w:val="left"/>
    </w:pPr>
  </w:style>
  <w:style w:type="paragraph" w:customStyle="1" w:styleId="112">
    <w:name w:val="BodyText"/>
    <w:basedOn w:val="1"/>
    <w:qFormat/>
    <w:uiPriority w:val="0"/>
    <w:pPr>
      <w:widowControl/>
      <w:spacing w:after="120"/>
    </w:pPr>
  </w:style>
  <w:style w:type="paragraph" w:customStyle="1" w:styleId="113">
    <w:name w:val="BodyTextIndent"/>
    <w:basedOn w:val="1"/>
    <w:qFormat/>
    <w:uiPriority w:val="0"/>
    <w:pPr>
      <w:widowControl/>
      <w:spacing w:line="360" w:lineRule="auto"/>
      <w:ind w:firstLine="480"/>
      <w:jc w:val="left"/>
    </w:pPr>
    <w:rPr>
      <w:rFonts w:ascii="宋体"/>
      <w:color w:val="0000FF"/>
      <w:kern w:val="0"/>
      <w:szCs w:val="20"/>
    </w:rPr>
  </w:style>
  <w:style w:type="paragraph" w:customStyle="1" w:styleId="114">
    <w:name w:val="PlainText"/>
    <w:basedOn w:val="1"/>
    <w:qFormat/>
    <w:uiPriority w:val="0"/>
    <w:pPr>
      <w:widowControl/>
    </w:pPr>
    <w:rPr>
      <w:rFonts w:ascii="宋体" w:hAnsi="Courier New"/>
      <w:szCs w:val="20"/>
    </w:rPr>
  </w:style>
  <w:style w:type="paragraph" w:customStyle="1" w:styleId="115">
    <w:name w:val="BodyTextIndent2"/>
    <w:basedOn w:val="1"/>
    <w:qFormat/>
    <w:uiPriority w:val="0"/>
    <w:pPr>
      <w:widowControl/>
      <w:spacing w:line="240" w:lineRule="atLeast"/>
      <w:ind w:right="202" w:firstLine="630" w:firstLineChars="225"/>
      <w:jc w:val="left"/>
    </w:pPr>
    <w:rPr>
      <w:rFonts w:ascii="宋体"/>
      <w:spacing w:val="20"/>
      <w:kern w:val="0"/>
      <w:position w:val="20"/>
      <w:szCs w:val="20"/>
    </w:rPr>
  </w:style>
  <w:style w:type="paragraph" w:customStyle="1" w:styleId="116">
    <w:name w:val="Acetate"/>
    <w:basedOn w:val="1"/>
    <w:semiHidden/>
    <w:qFormat/>
    <w:uiPriority w:val="0"/>
    <w:pPr>
      <w:widowControl/>
    </w:pPr>
    <w:rPr>
      <w:sz w:val="18"/>
      <w:szCs w:val="18"/>
    </w:rPr>
  </w:style>
  <w:style w:type="paragraph" w:customStyle="1" w:styleId="117">
    <w:name w:val="TOC1"/>
    <w:basedOn w:val="1"/>
    <w:next w:val="1"/>
    <w:semiHidden/>
    <w:qFormat/>
    <w:uiPriority w:val="0"/>
    <w:pPr>
      <w:widowControl/>
      <w:tabs>
        <w:tab w:val="right" w:leader="dot" w:pos="8820"/>
      </w:tabs>
      <w:spacing w:line="360" w:lineRule="auto"/>
      <w:jc w:val="left"/>
    </w:pPr>
    <w:rPr>
      <w:rFonts w:ascii="宋体" w:hAnsi="宋体"/>
      <w:b/>
      <w:kern w:val="0"/>
      <w:sz w:val="30"/>
      <w:szCs w:val="30"/>
    </w:rPr>
  </w:style>
  <w:style w:type="paragraph" w:customStyle="1" w:styleId="118">
    <w:name w:val="BodyTextIndent3"/>
    <w:basedOn w:val="1"/>
    <w:qFormat/>
    <w:uiPriority w:val="0"/>
    <w:pPr>
      <w:widowControl/>
      <w:spacing w:line="360" w:lineRule="auto"/>
      <w:ind w:firstLine="780" w:firstLineChars="300"/>
      <w:jc w:val="left"/>
    </w:pPr>
    <w:rPr>
      <w:color w:val="FF0000"/>
      <w:spacing w:val="10"/>
      <w:kern w:val="0"/>
      <w:szCs w:val="20"/>
      <w:u w:val="single"/>
    </w:rPr>
  </w:style>
  <w:style w:type="paragraph" w:customStyle="1" w:styleId="119">
    <w:name w:val="TOC2"/>
    <w:basedOn w:val="1"/>
    <w:next w:val="1"/>
    <w:semiHidden/>
    <w:qFormat/>
    <w:uiPriority w:val="0"/>
    <w:pPr>
      <w:widowControl/>
      <w:tabs>
        <w:tab w:val="right" w:leader="dot" w:pos="9000"/>
      </w:tabs>
      <w:spacing w:line="360" w:lineRule="atLeast"/>
      <w:ind w:left="420"/>
      <w:jc w:val="left"/>
    </w:pPr>
    <w:rPr>
      <w:smallCaps/>
      <w:kern w:val="0"/>
      <w:sz w:val="20"/>
      <w:szCs w:val="20"/>
    </w:rPr>
  </w:style>
  <w:style w:type="paragraph" w:customStyle="1" w:styleId="120">
    <w:name w:val="AnnotationSubject"/>
    <w:basedOn w:val="111"/>
    <w:semiHidden/>
    <w:qFormat/>
    <w:uiPriority w:val="0"/>
    <w:rPr>
      <w:b/>
      <w:bCs/>
    </w:rPr>
  </w:style>
  <w:style w:type="paragraph" w:customStyle="1" w:styleId="121">
    <w:name w:val="UserStyle_5"/>
    <w:basedOn w:val="1"/>
    <w:qFormat/>
    <w:uiPriority w:val="0"/>
    <w:pPr>
      <w:widowControl/>
    </w:pPr>
    <w:rPr>
      <w:sz w:val="21"/>
    </w:rPr>
  </w:style>
  <w:style w:type="paragraph" w:customStyle="1" w:styleId="122">
    <w:name w:val="UserStyle_6"/>
    <w:basedOn w:val="1"/>
    <w:qFormat/>
    <w:uiPriority w:val="0"/>
    <w:pPr>
      <w:widowControl/>
      <w:spacing w:line="360" w:lineRule="auto"/>
      <w:jc w:val="center"/>
    </w:pPr>
    <w:rPr>
      <w:rFonts w:ascii="宋体"/>
      <w:b/>
      <w:color w:val="FF0000"/>
      <w:kern w:val="0"/>
      <w:szCs w:val="20"/>
      <w:u w:val="single"/>
    </w:rPr>
  </w:style>
  <w:style w:type="paragraph" w:customStyle="1" w:styleId="123">
    <w:name w:val="UserStyle_7"/>
    <w:basedOn w:val="1"/>
    <w:qFormat/>
    <w:uiPriority w:val="0"/>
    <w:pPr>
      <w:widowControl/>
      <w:spacing w:line="480" w:lineRule="atLeast"/>
      <w:jc w:val="center"/>
    </w:pPr>
    <w:rPr>
      <w:rFonts w:ascii="宋体"/>
      <w:kern w:val="0"/>
      <w:sz w:val="32"/>
      <w:szCs w:val="20"/>
    </w:rPr>
  </w:style>
  <w:style w:type="paragraph" w:customStyle="1" w:styleId="124">
    <w:name w:val="UserStyle_8"/>
    <w:basedOn w:val="1"/>
    <w:qFormat/>
    <w:uiPriority w:val="0"/>
    <w:pPr>
      <w:widowControl/>
      <w:spacing w:line="360" w:lineRule="auto"/>
      <w:ind w:firstLine="200" w:firstLineChars="200"/>
    </w:pPr>
    <w:rPr>
      <w:rFonts w:ascii="宋体" w:hAnsi="宋体"/>
    </w:rPr>
  </w:style>
  <w:style w:type="paragraph" w:customStyle="1" w:styleId="125">
    <w:name w:val="UserStyle_9"/>
    <w:basedOn w:val="1"/>
    <w:semiHidden/>
    <w:qFormat/>
    <w:uiPriority w:val="0"/>
    <w:pPr>
      <w:widowControl/>
    </w:pPr>
    <w:rPr>
      <w:sz w:val="21"/>
    </w:rPr>
  </w:style>
  <w:style w:type="paragraph" w:customStyle="1" w:styleId="126">
    <w:name w:val="UserStyle_11"/>
    <w:basedOn w:val="1"/>
    <w:qFormat/>
    <w:uiPriority w:val="0"/>
    <w:pPr>
      <w:widowControl/>
    </w:pPr>
  </w:style>
  <w:style w:type="paragraph" w:customStyle="1" w:styleId="127">
    <w:name w:val="179"/>
    <w:basedOn w:val="1"/>
    <w:qFormat/>
    <w:uiPriority w:val="0"/>
    <w:pPr>
      <w:widowControl/>
      <w:ind w:firstLine="420" w:firstLineChars="200"/>
    </w:pPr>
  </w:style>
  <w:style w:type="paragraph" w:customStyle="1" w:styleId="128">
    <w:name w:val="UserStyle_13"/>
    <w:basedOn w:val="1"/>
    <w:semiHidden/>
    <w:qFormat/>
    <w:uiPriority w:val="0"/>
    <w:pPr>
      <w:widowControl/>
    </w:pPr>
    <w:rPr>
      <w:sz w:val="21"/>
    </w:rPr>
  </w:style>
  <w:style w:type="paragraph" w:customStyle="1" w:styleId="129">
    <w:name w:val="UserStyle_14"/>
    <w:basedOn w:val="1"/>
    <w:qFormat/>
    <w:uiPriority w:val="0"/>
    <w:pPr>
      <w:widowControl/>
      <w:spacing w:line="360" w:lineRule="auto"/>
      <w:jc w:val="center"/>
    </w:pPr>
    <w:rPr>
      <w:rFonts w:ascii="宋体"/>
      <w:b/>
      <w:color w:val="FF0000"/>
      <w:kern w:val="0"/>
      <w:szCs w:val="20"/>
      <w:u w:val="single"/>
    </w:rPr>
  </w:style>
  <w:style w:type="paragraph" w:customStyle="1" w:styleId="130">
    <w:name w:val="UserStyle_15"/>
    <w:basedOn w:val="1"/>
    <w:qFormat/>
    <w:uiPriority w:val="0"/>
    <w:pPr>
      <w:widowControl/>
    </w:pPr>
    <w:rPr>
      <w:sz w:val="21"/>
    </w:rPr>
  </w:style>
  <w:style w:type="paragraph" w:customStyle="1" w:styleId="131">
    <w:name w:val="UserStyle_16"/>
    <w:basedOn w:val="1"/>
    <w:qFormat/>
    <w:uiPriority w:val="0"/>
    <w:pPr>
      <w:widowControl/>
      <w:spacing w:line="360" w:lineRule="atLeast"/>
      <w:jc w:val="left"/>
    </w:pPr>
    <w:rPr>
      <w:kern w:val="0"/>
    </w:rPr>
  </w:style>
  <w:style w:type="paragraph" w:customStyle="1" w:styleId="132">
    <w:name w:val="UserStyle_17"/>
    <w:basedOn w:val="1"/>
    <w:qFormat/>
    <w:uiPriority w:val="0"/>
    <w:pPr>
      <w:widowControl/>
      <w:spacing w:line="360" w:lineRule="auto"/>
      <w:ind w:firstLine="200" w:firstLineChars="200"/>
    </w:pPr>
    <w:rPr>
      <w:rFonts w:ascii="宋体" w:hAnsi="宋体"/>
    </w:rPr>
  </w:style>
  <w:style w:type="paragraph" w:customStyle="1" w:styleId="133">
    <w:name w:val="UserStyle_18"/>
    <w:qFormat/>
    <w:uiPriority w:val="0"/>
    <w:rPr>
      <w:rFonts w:ascii="Times New Roman" w:hAnsi="Times New Roman" w:eastAsia="宋体" w:cs="Times New Roman"/>
      <w:color w:val="000000"/>
      <w:sz w:val="24"/>
      <w:szCs w:val="24"/>
      <w:lang w:val="en-US" w:eastAsia="zh-CN" w:bidi="ar-SA"/>
    </w:rPr>
  </w:style>
  <w:style w:type="paragraph" w:customStyle="1" w:styleId="134">
    <w:name w:val="UserStyle_19"/>
    <w:basedOn w:val="1"/>
    <w:qFormat/>
    <w:uiPriority w:val="0"/>
    <w:pPr>
      <w:widowControl/>
      <w:spacing w:line="360" w:lineRule="auto"/>
    </w:pPr>
    <w:rPr>
      <w:kern w:val="0"/>
    </w:rPr>
  </w:style>
  <w:style w:type="paragraph" w:customStyle="1" w:styleId="135">
    <w:name w:val="UserStyle_20"/>
    <w:basedOn w:val="1"/>
    <w:qFormat/>
    <w:uiPriority w:val="0"/>
    <w:pPr>
      <w:widowControl/>
      <w:spacing w:line="360" w:lineRule="auto"/>
    </w:pPr>
    <w:rPr>
      <w:kern w:val="0"/>
      <w:szCs w:val="20"/>
    </w:rPr>
  </w:style>
  <w:style w:type="paragraph" w:customStyle="1" w:styleId="136">
    <w:name w:val="UserStyle_21"/>
    <w:basedOn w:val="1"/>
    <w:qFormat/>
    <w:uiPriority w:val="0"/>
    <w:pPr>
      <w:widowControl/>
      <w:spacing w:line="360" w:lineRule="auto"/>
    </w:pPr>
    <w:rPr>
      <w:kern w:val="0"/>
      <w:sz w:val="28"/>
      <w:szCs w:val="20"/>
    </w:rPr>
  </w:style>
  <w:style w:type="paragraph" w:customStyle="1" w:styleId="137">
    <w:name w:val="UserStyle_22"/>
    <w:basedOn w:val="1"/>
    <w:qFormat/>
    <w:uiPriority w:val="0"/>
    <w:pPr>
      <w:widowControl/>
      <w:spacing w:line="360" w:lineRule="auto"/>
      <w:ind w:firstLine="200" w:firstLineChars="200"/>
    </w:pPr>
    <w:rPr>
      <w:rFonts w:ascii="宋体" w:hAnsi="宋体"/>
    </w:rPr>
  </w:style>
  <w:style w:type="paragraph" w:customStyle="1" w:styleId="138">
    <w:name w:val="UserStyle_23"/>
    <w:basedOn w:val="1"/>
    <w:qFormat/>
    <w:uiPriority w:val="0"/>
    <w:pPr>
      <w:widowControl/>
      <w:spacing w:line="360" w:lineRule="atLeast"/>
      <w:jc w:val="left"/>
    </w:pPr>
    <w:rPr>
      <w:kern w:val="0"/>
    </w:rPr>
  </w:style>
  <w:style w:type="paragraph" w:customStyle="1" w:styleId="139">
    <w:name w:val="UserStyle_24"/>
    <w:basedOn w:val="1"/>
    <w:qFormat/>
    <w:uiPriority w:val="0"/>
    <w:pPr>
      <w:widowControl/>
    </w:pPr>
    <w:rPr>
      <w:sz w:val="21"/>
    </w:rPr>
  </w:style>
  <w:style w:type="paragraph" w:customStyle="1" w:styleId="140">
    <w:name w:val="UserStyle_25"/>
    <w:basedOn w:val="1"/>
    <w:next w:val="112"/>
    <w:qFormat/>
    <w:uiPriority w:val="0"/>
    <w:pPr>
      <w:widowControl/>
    </w:pPr>
    <w:rPr>
      <w:rFonts w:ascii="宋体" w:hAnsi="宋体"/>
      <w:bCs/>
    </w:rPr>
  </w:style>
  <w:style w:type="paragraph" w:customStyle="1" w:styleId="141">
    <w:name w:val="UserStyle_26"/>
    <w:basedOn w:val="1"/>
    <w:qFormat/>
    <w:uiPriority w:val="0"/>
    <w:pPr>
      <w:widowControl/>
      <w:tabs>
        <w:tab w:val="left" w:pos="510"/>
      </w:tabs>
      <w:spacing w:line="460" w:lineRule="exact"/>
      <w:ind w:firstLine="482"/>
    </w:pPr>
    <w:rPr>
      <w:kern w:val="0"/>
      <w:szCs w:val="20"/>
    </w:rPr>
  </w:style>
  <w:style w:type="paragraph" w:customStyle="1" w:styleId="142">
    <w:name w:val="UserStyle_27"/>
    <w:basedOn w:val="1"/>
    <w:qFormat/>
    <w:uiPriority w:val="0"/>
    <w:pPr>
      <w:widowControl/>
      <w:spacing w:line="360" w:lineRule="atLeast"/>
      <w:jc w:val="left"/>
    </w:pPr>
    <w:rPr>
      <w:kern w:val="0"/>
    </w:rPr>
  </w:style>
  <w:style w:type="paragraph" w:customStyle="1" w:styleId="143">
    <w:name w:val="UserStyle_28"/>
    <w:basedOn w:val="1"/>
    <w:qFormat/>
    <w:uiPriority w:val="0"/>
    <w:pPr>
      <w:widowControl/>
      <w:spacing w:line="360" w:lineRule="atLeast"/>
      <w:jc w:val="left"/>
    </w:pPr>
    <w:rPr>
      <w:kern w:val="0"/>
    </w:rPr>
  </w:style>
  <w:style w:type="paragraph" w:customStyle="1" w:styleId="144">
    <w:name w:val="UserStyle_29"/>
    <w:basedOn w:val="1"/>
    <w:qFormat/>
    <w:uiPriority w:val="0"/>
    <w:pPr>
      <w:widowControl/>
    </w:pPr>
    <w:rPr>
      <w:sz w:val="21"/>
    </w:rPr>
  </w:style>
  <w:style w:type="paragraph" w:customStyle="1" w:styleId="145">
    <w:name w:val="UserStyle_30"/>
    <w:basedOn w:val="1"/>
    <w:qFormat/>
    <w:uiPriority w:val="0"/>
    <w:pPr>
      <w:widowControl/>
      <w:spacing w:line="420" w:lineRule="auto"/>
      <w:jc w:val="center"/>
    </w:pPr>
    <w:rPr>
      <w:rFonts w:ascii="宋体"/>
      <w:kern w:val="0"/>
      <w:szCs w:val="20"/>
    </w:rPr>
  </w:style>
  <w:style w:type="paragraph" w:customStyle="1" w:styleId="146">
    <w:name w:val="UserStyle_31"/>
    <w:basedOn w:val="1"/>
    <w:qFormat/>
    <w:uiPriority w:val="0"/>
    <w:pPr>
      <w:widowControl/>
      <w:spacing w:line="360" w:lineRule="auto"/>
      <w:ind w:firstLine="200" w:firstLineChars="200"/>
    </w:pPr>
    <w:rPr>
      <w:rFonts w:ascii="宋体" w:hAnsi="宋体"/>
    </w:rPr>
  </w:style>
  <w:style w:type="paragraph" w:customStyle="1" w:styleId="147">
    <w:name w:val="180"/>
    <w:basedOn w:val="1"/>
    <w:next w:val="1"/>
    <w:qFormat/>
    <w:uiPriority w:val="0"/>
    <w:pPr>
      <w:widowControl/>
      <w:spacing w:line="320" w:lineRule="exact"/>
      <w:jc w:val="center"/>
    </w:pPr>
    <w:rPr>
      <w:rFonts w:ascii="黑体" w:hAnsi="Calibri" w:eastAsia="黑体"/>
      <w:iCs/>
      <w:color w:val="000000"/>
      <w:sz w:val="21"/>
    </w:rPr>
  </w:style>
  <w:style w:type="paragraph" w:customStyle="1" w:styleId="148">
    <w:name w:val="181"/>
    <w:basedOn w:val="1"/>
    <w:next w:val="1"/>
    <w:qFormat/>
    <w:uiPriority w:val="0"/>
    <w:pPr>
      <w:widowControl/>
    </w:pPr>
    <w:rPr>
      <w:rFonts w:ascii="宋体" w:hAnsi="Calibri"/>
      <w:bCs/>
      <w:iCs/>
      <w:sz w:val="18"/>
    </w:rPr>
  </w:style>
  <w:style w:type="paragraph" w:customStyle="1" w:styleId="149">
    <w:name w:val="UserStyle_32"/>
    <w:qFormat/>
    <w:uiPriority w:val="0"/>
    <w:rPr>
      <w:rFonts w:ascii="Times New Roman" w:hAnsi="Times New Roman" w:eastAsia="宋体" w:cs="Times New Roman"/>
      <w:lang w:val="en-US" w:eastAsia="zh-CN" w:bidi="ar-SA"/>
    </w:rPr>
  </w:style>
  <w:style w:type="character" w:customStyle="1" w:styleId="150">
    <w:name w:val="PageNumber"/>
    <w:basedOn w:val="88"/>
    <w:qFormat/>
    <w:uiPriority w:val="0"/>
  </w:style>
  <w:style w:type="character" w:customStyle="1" w:styleId="151">
    <w:name w:val="AnnotationReference"/>
    <w:semiHidden/>
    <w:qFormat/>
    <w:uiPriority w:val="0"/>
    <w:rPr>
      <w:sz w:val="21"/>
      <w:szCs w:val="21"/>
    </w:rPr>
  </w:style>
  <w:style w:type="character" w:customStyle="1" w:styleId="152">
    <w:name w:val="UserStyle_2"/>
    <w:qFormat/>
    <w:uiPriority w:val="0"/>
    <w:rPr>
      <w:rFonts w:hint="eastAsia" w:ascii="宋体" w:hAnsi="宋体" w:eastAsia="宋体"/>
      <w:color w:val="000000"/>
      <w:sz w:val="24"/>
      <w:szCs w:val="24"/>
      <w:vertAlign w:val="superscript"/>
    </w:rPr>
  </w:style>
  <w:style w:type="character" w:customStyle="1" w:styleId="153">
    <w:name w:val="UserStyle_3"/>
    <w:qFormat/>
    <w:uiPriority w:val="0"/>
    <w:rPr>
      <w:rFonts w:hint="eastAsia" w:ascii="宋体" w:hAnsi="宋体" w:eastAsia="宋体"/>
      <w:color w:val="000000"/>
      <w:sz w:val="20"/>
      <w:szCs w:val="20"/>
    </w:rPr>
  </w:style>
  <w:style w:type="character" w:customStyle="1" w:styleId="154">
    <w:name w:val="UserStyle_4"/>
    <w:qFormat/>
    <w:uiPriority w:val="0"/>
    <w:rPr>
      <w:rFonts w:hint="eastAsia" w:ascii="Dotum" w:hAnsi="Dotum" w:eastAsia="Dotum"/>
      <w:color w:val="000000"/>
      <w:sz w:val="20"/>
      <w:szCs w:val="20"/>
    </w:rPr>
  </w:style>
  <w:style w:type="character" w:customStyle="1" w:styleId="155">
    <w:name w:val="font81"/>
    <w:qFormat/>
    <w:uiPriority w:val="0"/>
    <w:rPr>
      <w:rFonts w:hint="eastAsia" w:ascii="宋体" w:hAnsi="宋体" w:eastAsia="宋体" w:cs="宋体"/>
      <w:color w:val="000000"/>
      <w:sz w:val="18"/>
      <w:szCs w:val="18"/>
      <w:u w:val="none"/>
    </w:rPr>
  </w:style>
  <w:style w:type="character" w:customStyle="1" w:styleId="156">
    <w:name w:val="font111"/>
    <w:qFormat/>
    <w:uiPriority w:val="0"/>
    <w:rPr>
      <w:rFonts w:hint="eastAsia" w:ascii="宋体" w:hAnsi="宋体" w:eastAsia="宋体" w:cs="宋体"/>
      <w:color w:val="FF0000"/>
      <w:sz w:val="18"/>
      <w:szCs w:val="18"/>
      <w:u w:val="none"/>
    </w:rPr>
  </w:style>
  <w:style w:type="character" w:customStyle="1" w:styleId="157">
    <w:name w:val="font21"/>
    <w:qFormat/>
    <w:uiPriority w:val="0"/>
    <w:rPr>
      <w:rFonts w:hint="eastAsia" w:ascii="宋体" w:hAnsi="宋体" w:eastAsia="宋体" w:cs="宋体"/>
      <w:color w:val="000000"/>
      <w:sz w:val="24"/>
      <w:szCs w:val="24"/>
      <w:u w:val="none"/>
    </w:rPr>
  </w:style>
  <w:style w:type="character" w:customStyle="1" w:styleId="158">
    <w:name w:val="font31"/>
    <w:qFormat/>
    <w:uiPriority w:val="0"/>
    <w:rPr>
      <w:rFonts w:hint="eastAsia" w:ascii="宋体" w:hAnsi="宋体" w:eastAsia="宋体" w:cs="宋体"/>
      <w:color w:val="000000"/>
      <w:sz w:val="24"/>
      <w:szCs w:val="24"/>
      <w:u w:val="none"/>
    </w:rPr>
  </w:style>
  <w:style w:type="table" w:customStyle="1" w:styleId="159">
    <w:name w:val="TableNormal"/>
    <w:semiHidden/>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file:///C:\Users\xtmhg\AppData\Roaming\Tencent\Users\562293043\QQ\WinTemp\RichOle\@1%2525252525252525252560Q@6Z@MPI2%252525252525252525255BUO32Y6_84X.png"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307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24</Pages>
  <Words>11054</Words>
  <Characters>12027</Characters>
  <Lines>233</Lines>
  <Paragraphs>65</Paragraphs>
  <TotalTime>921</TotalTime>
  <ScaleCrop>false</ScaleCrop>
  <LinksUpToDate>false</LinksUpToDate>
  <CharactersWithSpaces>12308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2023-07-17T04:54:00Z</dcterms:created>
  <dc:creator>李鸿</dc:creator>
  <cp:lastModifiedBy>万锦然</cp:lastModifiedBy>
  <cp:lastPrinted>2026-03-06T09:55:00Z</cp:lastPrinted>
  <dcterms:modified xsi:type="dcterms:W3CDTF">2026-04-08T02:00:45Z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9F03854EC4FC4D0F9B6FFEBAECD63E0A_12</vt:lpwstr>
  </property>
  <property fmtid="{D5CDD505-2E9C-101B-9397-08002B2CF9AE}" pid="4" name="KSOTemplateDocerSaveRecord">
    <vt:lpwstr>eyJoZGlkIjoiZGE2Mjg2YTZkZTMyMTYwY2M1OTQ5YzJlN2MyYmRjOGEiLCJ1c2VySWQiOiIxNTY5NDgyOTQ1In0=</vt:lpwstr>
  </property>
</Properties>
</file>