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5FB9F">
      <w:pPr>
        <w:spacing w:line="240" w:lineRule="auto"/>
        <w:jc w:val="left"/>
        <w:rPr>
          <w:rFonts w:hint="default" w:ascii="Calibri" w:hAnsi="Calibri" w:eastAsia="宋体" w:cs="Times New Roman"/>
          <w:b/>
          <w:kern w:val="44"/>
          <w:sz w:val="28"/>
          <w:szCs w:val="22"/>
          <w:lang w:val="en-US" w:eastAsia="zh-CN"/>
        </w:rPr>
      </w:pPr>
      <w:r>
        <w:rPr>
          <w:rFonts w:hint="eastAsia" w:ascii="Calibri" w:hAnsi="Calibri" w:eastAsia="宋体" w:cs="Times New Roman"/>
          <w:b/>
          <w:kern w:val="44"/>
          <w:sz w:val="28"/>
          <w:szCs w:val="22"/>
          <w:lang w:val="en-US" w:eastAsia="zh-CN"/>
        </w:rPr>
        <w:t>附件13：架空线路清单及巡检维护要求</w:t>
      </w:r>
      <w:bookmarkStart w:id="2" w:name="_GoBack"/>
      <w:bookmarkEnd w:id="2"/>
    </w:p>
    <w:p w14:paraId="0A5DF7C2">
      <w:pPr>
        <w:pStyle w:val="2"/>
        <w:bidi w:val="0"/>
        <w:rPr>
          <w:rFonts w:hint="eastAsia"/>
          <w:sz w:val="24"/>
          <w:szCs w:val="24"/>
        </w:rPr>
      </w:pPr>
      <w:r>
        <w:rPr>
          <w:rFonts w:hint="eastAsia"/>
          <w:sz w:val="24"/>
          <w:szCs w:val="24"/>
        </w:rPr>
        <w:t>1</w:t>
      </w:r>
      <w:r>
        <w:rPr>
          <w:rFonts w:hint="eastAsia"/>
          <w:sz w:val="24"/>
          <w:szCs w:val="24"/>
          <w:lang w:val="en-US" w:eastAsia="zh-CN"/>
        </w:rPr>
        <w:t>.</w:t>
      </w:r>
      <w:r>
        <w:rPr>
          <w:rFonts w:hint="eastAsia"/>
          <w:sz w:val="24"/>
          <w:szCs w:val="24"/>
        </w:rPr>
        <w:t>架空线路设备维保清单</w:t>
      </w:r>
    </w:p>
    <w:tbl>
      <w:tblPr>
        <w:tblStyle w:val="5"/>
        <w:tblW w:w="9256" w:type="dxa"/>
        <w:jc w:val="center"/>
        <w:tblLayout w:type="autofit"/>
        <w:tblCellMar>
          <w:top w:w="0" w:type="dxa"/>
          <w:left w:w="108" w:type="dxa"/>
          <w:bottom w:w="0" w:type="dxa"/>
          <w:right w:w="108" w:type="dxa"/>
        </w:tblCellMar>
      </w:tblPr>
      <w:tblGrid>
        <w:gridCol w:w="792"/>
        <w:gridCol w:w="5186"/>
        <w:gridCol w:w="643"/>
        <w:gridCol w:w="991"/>
        <w:gridCol w:w="1644"/>
      </w:tblGrid>
      <w:tr w14:paraId="7553DE24">
        <w:tblPrEx>
          <w:tblCellMar>
            <w:top w:w="0" w:type="dxa"/>
            <w:left w:w="108" w:type="dxa"/>
            <w:bottom w:w="0" w:type="dxa"/>
            <w:right w:w="108" w:type="dxa"/>
          </w:tblCellMar>
        </w:tblPrEx>
        <w:trPr>
          <w:trHeight w:val="6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131FCE9C">
            <w:pPr>
              <w:widowControl/>
              <w:spacing w:line="360" w:lineRule="auto"/>
              <w:jc w:val="center"/>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序号</w:t>
            </w:r>
          </w:p>
        </w:tc>
        <w:tc>
          <w:tcPr>
            <w:tcW w:w="5186" w:type="dxa"/>
            <w:tcBorders>
              <w:top w:val="single" w:color="auto" w:sz="4" w:space="0"/>
              <w:left w:val="nil"/>
              <w:bottom w:val="single" w:color="auto" w:sz="4" w:space="0"/>
              <w:right w:val="single" w:color="auto" w:sz="4" w:space="0"/>
            </w:tcBorders>
            <w:noWrap/>
            <w:vAlign w:val="center"/>
          </w:tcPr>
          <w:p w14:paraId="6D41948D">
            <w:pPr>
              <w:widowControl/>
              <w:spacing w:line="360" w:lineRule="auto"/>
              <w:jc w:val="center"/>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项目名称</w:t>
            </w:r>
          </w:p>
        </w:tc>
        <w:tc>
          <w:tcPr>
            <w:tcW w:w="643" w:type="dxa"/>
            <w:tcBorders>
              <w:top w:val="single" w:color="auto" w:sz="4" w:space="0"/>
              <w:left w:val="nil"/>
              <w:bottom w:val="single" w:color="auto" w:sz="4" w:space="0"/>
              <w:right w:val="single" w:color="auto" w:sz="4" w:space="0"/>
            </w:tcBorders>
            <w:noWrap/>
            <w:vAlign w:val="center"/>
          </w:tcPr>
          <w:p w14:paraId="436019E4">
            <w:pPr>
              <w:widowControl/>
              <w:spacing w:line="360" w:lineRule="auto"/>
              <w:jc w:val="center"/>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单位</w:t>
            </w:r>
          </w:p>
        </w:tc>
        <w:tc>
          <w:tcPr>
            <w:tcW w:w="991" w:type="dxa"/>
            <w:tcBorders>
              <w:top w:val="single" w:color="auto" w:sz="4" w:space="0"/>
              <w:left w:val="nil"/>
              <w:bottom w:val="single" w:color="auto" w:sz="4" w:space="0"/>
              <w:right w:val="single" w:color="auto" w:sz="4" w:space="0"/>
            </w:tcBorders>
            <w:noWrap/>
            <w:vAlign w:val="center"/>
          </w:tcPr>
          <w:p w14:paraId="36BE9D5A">
            <w:pPr>
              <w:widowControl/>
              <w:spacing w:line="360" w:lineRule="auto"/>
              <w:jc w:val="center"/>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数量</w:t>
            </w:r>
          </w:p>
        </w:tc>
        <w:tc>
          <w:tcPr>
            <w:tcW w:w="1644" w:type="dxa"/>
            <w:tcBorders>
              <w:top w:val="single" w:color="auto" w:sz="4" w:space="0"/>
              <w:left w:val="nil"/>
              <w:bottom w:val="single" w:color="auto" w:sz="4" w:space="0"/>
              <w:right w:val="single" w:color="auto" w:sz="4" w:space="0"/>
            </w:tcBorders>
            <w:noWrap/>
            <w:vAlign w:val="center"/>
          </w:tcPr>
          <w:p w14:paraId="074D0371">
            <w:pPr>
              <w:widowControl/>
              <w:spacing w:line="360" w:lineRule="auto"/>
              <w:jc w:val="center"/>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备注</w:t>
            </w:r>
          </w:p>
        </w:tc>
      </w:tr>
      <w:tr w14:paraId="0E8082B1">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28F9671E">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一、　</w:t>
            </w:r>
          </w:p>
        </w:tc>
        <w:tc>
          <w:tcPr>
            <w:tcW w:w="5186" w:type="dxa"/>
            <w:tcBorders>
              <w:top w:val="nil"/>
              <w:left w:val="nil"/>
              <w:bottom w:val="single" w:color="auto" w:sz="4" w:space="0"/>
              <w:right w:val="single" w:color="auto" w:sz="4" w:space="0"/>
            </w:tcBorders>
            <w:noWrap/>
            <w:vAlign w:val="top"/>
          </w:tcPr>
          <w:p w14:paraId="6C61AC6D">
            <w:pPr>
              <w:widowControl/>
              <w:spacing w:line="360" w:lineRule="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110kV彦新线</w:t>
            </w:r>
          </w:p>
        </w:tc>
        <w:tc>
          <w:tcPr>
            <w:tcW w:w="643" w:type="dxa"/>
            <w:tcBorders>
              <w:top w:val="nil"/>
              <w:left w:val="nil"/>
              <w:bottom w:val="single" w:color="auto" w:sz="4" w:space="0"/>
              <w:right w:val="single" w:color="auto" w:sz="4" w:space="0"/>
            </w:tcBorders>
            <w:noWrap/>
            <w:vAlign w:val="center"/>
          </w:tcPr>
          <w:p w14:paraId="2DE22C7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991" w:type="dxa"/>
            <w:tcBorders>
              <w:top w:val="nil"/>
              <w:left w:val="nil"/>
              <w:bottom w:val="single" w:color="auto" w:sz="4" w:space="0"/>
              <w:right w:val="single" w:color="auto" w:sz="4" w:space="0"/>
            </w:tcBorders>
            <w:noWrap/>
            <w:vAlign w:val="center"/>
          </w:tcPr>
          <w:p w14:paraId="55DB2A16">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1644" w:type="dxa"/>
            <w:tcBorders>
              <w:top w:val="nil"/>
              <w:left w:val="nil"/>
              <w:bottom w:val="single" w:color="auto" w:sz="4" w:space="0"/>
              <w:right w:val="single" w:color="auto" w:sz="4" w:space="0"/>
            </w:tcBorders>
            <w:noWrap/>
            <w:vAlign w:val="center"/>
          </w:tcPr>
          <w:p w14:paraId="70EDCDC2">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3AFD48D7">
        <w:tblPrEx>
          <w:tblCellMar>
            <w:top w:w="0" w:type="dxa"/>
            <w:left w:w="108" w:type="dxa"/>
            <w:bottom w:w="0" w:type="dxa"/>
            <w:right w:w="108" w:type="dxa"/>
          </w:tblCellMar>
        </w:tblPrEx>
        <w:trPr>
          <w:trHeight w:val="675" w:hRule="atLeast"/>
          <w:jc w:val="center"/>
        </w:trPr>
        <w:tc>
          <w:tcPr>
            <w:tcW w:w="792" w:type="dxa"/>
            <w:tcBorders>
              <w:top w:val="nil"/>
              <w:left w:val="single" w:color="auto" w:sz="4" w:space="0"/>
              <w:bottom w:val="single" w:color="auto" w:sz="4" w:space="0"/>
              <w:right w:val="single" w:color="auto" w:sz="4" w:space="0"/>
            </w:tcBorders>
            <w:noWrap/>
            <w:vAlign w:val="center"/>
          </w:tcPr>
          <w:p w14:paraId="1FA8C7B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nil"/>
              <w:left w:val="nil"/>
              <w:bottom w:val="single" w:color="auto" w:sz="4" w:space="0"/>
              <w:right w:val="single" w:color="auto" w:sz="4" w:space="0"/>
            </w:tcBorders>
            <w:noWrap/>
            <w:vAlign w:val="center"/>
          </w:tcPr>
          <w:p w14:paraId="79266765">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110kV架空线路(LGJ-300/40)及光缆，同塔双回。</w:t>
            </w:r>
          </w:p>
        </w:tc>
        <w:tc>
          <w:tcPr>
            <w:tcW w:w="643" w:type="dxa"/>
            <w:tcBorders>
              <w:top w:val="nil"/>
              <w:left w:val="nil"/>
              <w:bottom w:val="single" w:color="auto" w:sz="4" w:space="0"/>
              <w:right w:val="single" w:color="auto" w:sz="4" w:space="0"/>
            </w:tcBorders>
            <w:noWrap/>
            <w:vAlign w:val="center"/>
          </w:tcPr>
          <w:p w14:paraId="35EBC1E6">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nil"/>
              <w:left w:val="nil"/>
              <w:bottom w:val="single" w:color="auto" w:sz="4" w:space="0"/>
              <w:right w:val="single" w:color="auto" w:sz="4" w:space="0"/>
            </w:tcBorders>
            <w:noWrap/>
            <w:vAlign w:val="center"/>
          </w:tcPr>
          <w:p w14:paraId="03EF7BCF">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15.7</w:t>
            </w:r>
          </w:p>
        </w:tc>
        <w:tc>
          <w:tcPr>
            <w:tcW w:w="1644" w:type="dxa"/>
            <w:tcBorders>
              <w:top w:val="nil"/>
              <w:left w:val="nil"/>
              <w:bottom w:val="single" w:color="auto" w:sz="4" w:space="0"/>
              <w:right w:val="single" w:color="auto" w:sz="4" w:space="0"/>
            </w:tcBorders>
            <w:noWrap/>
            <w:vAlign w:val="center"/>
          </w:tcPr>
          <w:p w14:paraId="3CF55728">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钢芯铝绞线</w:t>
            </w:r>
          </w:p>
        </w:tc>
      </w:tr>
      <w:tr w14:paraId="4D797766">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54EBE9B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nil"/>
              <w:left w:val="nil"/>
              <w:bottom w:val="single" w:color="auto" w:sz="4" w:space="0"/>
              <w:right w:val="single" w:color="auto" w:sz="4" w:space="0"/>
            </w:tcBorders>
            <w:noWrap/>
            <w:vAlign w:val="center"/>
          </w:tcPr>
          <w:p w14:paraId="2A801130">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钢管塔及接地装置</w:t>
            </w:r>
          </w:p>
        </w:tc>
        <w:tc>
          <w:tcPr>
            <w:tcW w:w="643" w:type="dxa"/>
            <w:tcBorders>
              <w:top w:val="nil"/>
              <w:left w:val="nil"/>
              <w:bottom w:val="single" w:color="auto" w:sz="4" w:space="0"/>
              <w:right w:val="single" w:color="auto" w:sz="4" w:space="0"/>
            </w:tcBorders>
            <w:noWrap/>
            <w:vAlign w:val="center"/>
          </w:tcPr>
          <w:p w14:paraId="28D75FF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5219C1BA">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12</w:t>
            </w:r>
          </w:p>
        </w:tc>
        <w:tc>
          <w:tcPr>
            <w:tcW w:w="1644" w:type="dxa"/>
            <w:tcBorders>
              <w:top w:val="nil"/>
              <w:left w:val="nil"/>
              <w:bottom w:val="single" w:color="auto" w:sz="4" w:space="0"/>
              <w:right w:val="single" w:color="auto" w:sz="4" w:space="0"/>
            </w:tcBorders>
            <w:noWrap/>
            <w:vAlign w:val="center"/>
          </w:tcPr>
          <w:p w14:paraId="0652FB58">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01661630">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3C672C55">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nil"/>
              <w:left w:val="nil"/>
              <w:bottom w:val="single" w:color="auto" w:sz="4" w:space="0"/>
              <w:right w:val="single" w:color="auto" w:sz="4" w:space="0"/>
            </w:tcBorders>
            <w:noWrap/>
            <w:vAlign w:val="center"/>
          </w:tcPr>
          <w:p w14:paraId="4ABD37A1">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角钢塔及接地装置（其中4基塔使用接地模块）</w:t>
            </w:r>
          </w:p>
        </w:tc>
        <w:tc>
          <w:tcPr>
            <w:tcW w:w="643" w:type="dxa"/>
            <w:tcBorders>
              <w:top w:val="nil"/>
              <w:left w:val="nil"/>
              <w:bottom w:val="single" w:color="auto" w:sz="4" w:space="0"/>
              <w:right w:val="single" w:color="auto" w:sz="4" w:space="0"/>
            </w:tcBorders>
            <w:noWrap/>
            <w:vAlign w:val="center"/>
          </w:tcPr>
          <w:p w14:paraId="2C34D4E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488AB8A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41</w:t>
            </w:r>
          </w:p>
        </w:tc>
        <w:tc>
          <w:tcPr>
            <w:tcW w:w="1644" w:type="dxa"/>
            <w:tcBorders>
              <w:top w:val="nil"/>
              <w:left w:val="nil"/>
              <w:bottom w:val="single" w:color="auto" w:sz="4" w:space="0"/>
              <w:right w:val="single" w:color="auto" w:sz="4" w:space="0"/>
            </w:tcBorders>
            <w:noWrap/>
            <w:vAlign w:val="center"/>
          </w:tcPr>
          <w:p w14:paraId="7EFDEDBE">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1E4DF81B">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46B5A275">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w:t>
            </w:r>
          </w:p>
        </w:tc>
        <w:tc>
          <w:tcPr>
            <w:tcW w:w="5186" w:type="dxa"/>
            <w:tcBorders>
              <w:top w:val="nil"/>
              <w:left w:val="nil"/>
              <w:bottom w:val="single" w:color="auto" w:sz="4" w:space="0"/>
              <w:right w:val="single" w:color="auto" w:sz="4" w:space="0"/>
            </w:tcBorders>
            <w:noWrap/>
            <w:vAlign w:val="center"/>
          </w:tcPr>
          <w:p w14:paraId="2DB2CE7F">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水泥门型杆</w:t>
            </w:r>
          </w:p>
        </w:tc>
        <w:tc>
          <w:tcPr>
            <w:tcW w:w="643" w:type="dxa"/>
            <w:tcBorders>
              <w:top w:val="nil"/>
              <w:left w:val="nil"/>
              <w:bottom w:val="single" w:color="auto" w:sz="4" w:space="0"/>
              <w:right w:val="single" w:color="auto" w:sz="4" w:space="0"/>
            </w:tcBorders>
            <w:noWrap/>
            <w:vAlign w:val="center"/>
          </w:tcPr>
          <w:p w14:paraId="6F30087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2A01B40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1644" w:type="dxa"/>
            <w:tcBorders>
              <w:top w:val="nil"/>
              <w:left w:val="nil"/>
              <w:bottom w:val="single" w:color="auto" w:sz="4" w:space="0"/>
              <w:right w:val="single" w:color="auto" w:sz="4" w:space="0"/>
            </w:tcBorders>
            <w:noWrap/>
            <w:vAlign w:val="center"/>
          </w:tcPr>
          <w:p w14:paraId="759F492A">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581475C5">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563D184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二、　</w:t>
            </w:r>
          </w:p>
        </w:tc>
        <w:tc>
          <w:tcPr>
            <w:tcW w:w="5186" w:type="dxa"/>
            <w:tcBorders>
              <w:top w:val="nil"/>
              <w:left w:val="nil"/>
              <w:bottom w:val="single" w:color="auto" w:sz="4" w:space="0"/>
              <w:right w:val="single" w:color="auto" w:sz="4" w:space="0"/>
            </w:tcBorders>
            <w:noWrap/>
            <w:vAlign w:val="top"/>
          </w:tcPr>
          <w:p w14:paraId="2071C027">
            <w:pPr>
              <w:widowControl/>
              <w:spacing w:line="360" w:lineRule="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35kV坡苏线（一级泵站1#线路）</w:t>
            </w:r>
          </w:p>
        </w:tc>
        <w:tc>
          <w:tcPr>
            <w:tcW w:w="643" w:type="dxa"/>
            <w:tcBorders>
              <w:top w:val="nil"/>
              <w:left w:val="nil"/>
              <w:bottom w:val="single" w:color="auto" w:sz="4" w:space="0"/>
              <w:right w:val="single" w:color="auto" w:sz="4" w:space="0"/>
            </w:tcBorders>
            <w:noWrap/>
            <w:vAlign w:val="center"/>
          </w:tcPr>
          <w:p w14:paraId="04F56518">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991" w:type="dxa"/>
            <w:tcBorders>
              <w:top w:val="nil"/>
              <w:left w:val="nil"/>
              <w:bottom w:val="single" w:color="auto" w:sz="4" w:space="0"/>
              <w:right w:val="single" w:color="auto" w:sz="4" w:space="0"/>
            </w:tcBorders>
            <w:noWrap/>
            <w:vAlign w:val="center"/>
          </w:tcPr>
          <w:p w14:paraId="7219B892">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1644" w:type="dxa"/>
            <w:tcBorders>
              <w:top w:val="nil"/>
              <w:left w:val="nil"/>
              <w:bottom w:val="single" w:color="auto" w:sz="4" w:space="0"/>
              <w:right w:val="single" w:color="auto" w:sz="4" w:space="0"/>
            </w:tcBorders>
            <w:noWrap/>
            <w:vAlign w:val="center"/>
          </w:tcPr>
          <w:p w14:paraId="46B3DD42">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4E8CEA4E">
        <w:tblPrEx>
          <w:tblCellMar>
            <w:top w:w="0" w:type="dxa"/>
            <w:left w:w="108" w:type="dxa"/>
            <w:bottom w:w="0" w:type="dxa"/>
            <w:right w:w="108" w:type="dxa"/>
          </w:tblCellMar>
        </w:tblPrEx>
        <w:trPr>
          <w:trHeight w:val="1008" w:hRule="atLeast"/>
          <w:jc w:val="center"/>
        </w:trPr>
        <w:tc>
          <w:tcPr>
            <w:tcW w:w="792" w:type="dxa"/>
            <w:tcBorders>
              <w:top w:val="nil"/>
              <w:left w:val="single" w:color="auto" w:sz="4" w:space="0"/>
              <w:bottom w:val="single" w:color="auto" w:sz="4" w:space="0"/>
              <w:right w:val="single" w:color="auto" w:sz="4" w:space="0"/>
            </w:tcBorders>
            <w:noWrap/>
            <w:vAlign w:val="center"/>
          </w:tcPr>
          <w:p w14:paraId="00BCEE8D">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nil"/>
              <w:left w:val="nil"/>
              <w:bottom w:val="single" w:color="auto" w:sz="4" w:space="0"/>
              <w:right w:val="single" w:color="auto" w:sz="4" w:space="0"/>
            </w:tcBorders>
            <w:noWrap/>
            <w:vAlign w:val="center"/>
          </w:tcPr>
          <w:p w14:paraId="43124081">
            <w:pPr>
              <w:widowControl/>
              <w:spacing w:line="360" w:lineRule="auto"/>
              <w:jc w:val="left"/>
              <w:rPr>
                <w:rFonts w:hint="eastAsia" w:ascii="宋体" w:hAnsi="宋体" w:cs="宋体"/>
                <w:b/>
                <w:bCs/>
                <w:color w:val="000000"/>
                <w:kern w:val="0"/>
                <w:sz w:val="24"/>
                <w:szCs w:val="24"/>
                <w:highlight w:val="none"/>
              </w:rPr>
            </w:pPr>
            <w:r>
              <w:rPr>
                <w:rFonts w:hint="eastAsia" w:ascii="宋体" w:hAnsi="宋体" w:cs="宋体"/>
                <w:color w:val="000000"/>
                <w:kern w:val="0"/>
                <w:sz w:val="24"/>
                <w:szCs w:val="24"/>
                <w:highlight w:val="none"/>
              </w:rPr>
              <w:t>35kV坡苏线(导线240mm</w:t>
            </w:r>
            <w:r>
              <w:rPr>
                <w:rFonts w:hint="eastAsia" w:ascii="宋体" w:hAnsi="宋体" w:cs="宋体"/>
                <w:color w:val="000000"/>
                <w:kern w:val="0"/>
                <w:sz w:val="24"/>
                <w:szCs w:val="24"/>
                <w:highlight w:val="none"/>
                <w:vertAlign w:val="superscript"/>
              </w:rPr>
              <w:t>2</w:t>
            </w:r>
            <w:r>
              <w:rPr>
                <w:rFonts w:hint="eastAsia" w:ascii="宋体" w:hAnsi="宋体" w:cs="宋体"/>
                <w:color w:val="000000"/>
                <w:kern w:val="0"/>
                <w:sz w:val="24"/>
                <w:szCs w:val="24"/>
                <w:highlight w:val="none"/>
              </w:rPr>
              <w:t>)</w:t>
            </w:r>
          </w:p>
        </w:tc>
        <w:tc>
          <w:tcPr>
            <w:tcW w:w="643" w:type="dxa"/>
            <w:tcBorders>
              <w:top w:val="nil"/>
              <w:left w:val="nil"/>
              <w:bottom w:val="single" w:color="auto" w:sz="4" w:space="0"/>
              <w:right w:val="single" w:color="auto" w:sz="4" w:space="0"/>
            </w:tcBorders>
            <w:noWrap/>
            <w:vAlign w:val="center"/>
          </w:tcPr>
          <w:p w14:paraId="1A7B4C2D">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nil"/>
              <w:left w:val="nil"/>
              <w:bottom w:val="single" w:color="auto" w:sz="4" w:space="0"/>
              <w:right w:val="single" w:color="auto" w:sz="4" w:space="0"/>
            </w:tcBorders>
            <w:noWrap/>
            <w:vAlign w:val="center"/>
          </w:tcPr>
          <w:p w14:paraId="1220F8E0">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4.745</w:t>
            </w:r>
          </w:p>
        </w:tc>
        <w:tc>
          <w:tcPr>
            <w:tcW w:w="1644" w:type="dxa"/>
            <w:tcBorders>
              <w:top w:val="nil"/>
              <w:left w:val="nil"/>
              <w:bottom w:val="single" w:color="auto" w:sz="4" w:space="0"/>
              <w:right w:val="single" w:color="auto" w:sz="4" w:space="0"/>
            </w:tcBorders>
            <w:noWrap/>
            <w:vAlign w:val="center"/>
          </w:tcPr>
          <w:p w14:paraId="6049A156">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1-10，21-34钢芯铝绞线</w:t>
            </w:r>
          </w:p>
        </w:tc>
      </w:tr>
      <w:tr w14:paraId="0E82E0E8">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484D6AB8">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nil"/>
              <w:left w:val="nil"/>
              <w:bottom w:val="single" w:color="auto" w:sz="4" w:space="0"/>
              <w:right w:val="single" w:color="auto" w:sz="4" w:space="0"/>
            </w:tcBorders>
            <w:noWrap/>
            <w:vAlign w:val="center"/>
          </w:tcPr>
          <w:p w14:paraId="2278E246">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35kV坡苏线新天水厂支线(导线120mm</w:t>
            </w:r>
            <w:r>
              <w:rPr>
                <w:rFonts w:hint="eastAsia" w:ascii="宋体" w:hAnsi="宋体" w:cs="宋体"/>
                <w:color w:val="000000"/>
                <w:kern w:val="0"/>
                <w:sz w:val="24"/>
                <w:szCs w:val="24"/>
                <w:highlight w:val="none"/>
                <w:vertAlign w:val="superscript"/>
              </w:rPr>
              <w:t>2</w:t>
            </w:r>
            <w:r>
              <w:rPr>
                <w:rFonts w:hint="eastAsia" w:ascii="宋体" w:hAnsi="宋体" w:cs="宋体"/>
                <w:color w:val="000000"/>
                <w:kern w:val="0"/>
                <w:sz w:val="24"/>
                <w:szCs w:val="24"/>
                <w:highlight w:val="none"/>
              </w:rPr>
              <w:t>)</w:t>
            </w:r>
          </w:p>
        </w:tc>
        <w:tc>
          <w:tcPr>
            <w:tcW w:w="643" w:type="dxa"/>
            <w:tcBorders>
              <w:top w:val="nil"/>
              <w:left w:val="nil"/>
              <w:bottom w:val="single" w:color="auto" w:sz="4" w:space="0"/>
              <w:right w:val="single" w:color="auto" w:sz="4" w:space="0"/>
            </w:tcBorders>
            <w:noWrap/>
            <w:vAlign w:val="center"/>
          </w:tcPr>
          <w:p w14:paraId="3F16F3B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nil"/>
              <w:left w:val="nil"/>
              <w:bottom w:val="single" w:color="auto" w:sz="4" w:space="0"/>
              <w:right w:val="single" w:color="auto" w:sz="4" w:space="0"/>
            </w:tcBorders>
            <w:noWrap/>
            <w:vAlign w:val="center"/>
          </w:tcPr>
          <w:p w14:paraId="12987099">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2.15</w:t>
            </w:r>
          </w:p>
        </w:tc>
        <w:tc>
          <w:tcPr>
            <w:tcW w:w="1644" w:type="dxa"/>
            <w:tcBorders>
              <w:top w:val="nil"/>
              <w:left w:val="nil"/>
              <w:bottom w:val="single" w:color="auto" w:sz="4" w:space="0"/>
              <w:right w:val="single" w:color="auto" w:sz="4" w:space="0"/>
            </w:tcBorders>
            <w:noWrap/>
            <w:vAlign w:val="center"/>
          </w:tcPr>
          <w:p w14:paraId="408D242E">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06242FDB">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6CC457F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nil"/>
              <w:left w:val="nil"/>
              <w:bottom w:val="single" w:color="auto" w:sz="4" w:space="0"/>
              <w:right w:val="single" w:color="auto" w:sz="4" w:space="0"/>
            </w:tcBorders>
            <w:noWrap/>
            <w:vAlign w:val="center"/>
          </w:tcPr>
          <w:p w14:paraId="51411D94">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钢管塔及接地装置</w:t>
            </w:r>
          </w:p>
        </w:tc>
        <w:tc>
          <w:tcPr>
            <w:tcW w:w="643" w:type="dxa"/>
            <w:tcBorders>
              <w:top w:val="nil"/>
              <w:left w:val="nil"/>
              <w:bottom w:val="single" w:color="auto" w:sz="4" w:space="0"/>
              <w:right w:val="single" w:color="auto" w:sz="4" w:space="0"/>
            </w:tcBorders>
            <w:noWrap/>
            <w:vAlign w:val="center"/>
          </w:tcPr>
          <w:p w14:paraId="2957DEAF">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2183F2E6">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w:t>
            </w:r>
          </w:p>
        </w:tc>
        <w:tc>
          <w:tcPr>
            <w:tcW w:w="1644" w:type="dxa"/>
            <w:tcBorders>
              <w:top w:val="nil"/>
              <w:left w:val="nil"/>
              <w:bottom w:val="single" w:color="auto" w:sz="4" w:space="0"/>
              <w:right w:val="single" w:color="auto" w:sz="4" w:space="0"/>
            </w:tcBorders>
            <w:noWrap/>
            <w:vAlign w:val="center"/>
          </w:tcPr>
          <w:p w14:paraId="42960898">
            <w:pPr>
              <w:widowControl/>
              <w:spacing w:line="360" w:lineRule="auto"/>
              <w:jc w:val="left"/>
              <w:rPr>
                <w:rFonts w:hint="eastAsia" w:ascii="宋体" w:hAnsi="宋体" w:cs="宋体"/>
                <w:color w:val="000000"/>
                <w:kern w:val="0"/>
                <w:sz w:val="24"/>
                <w:szCs w:val="24"/>
                <w:highlight w:val="none"/>
              </w:rPr>
            </w:pPr>
          </w:p>
        </w:tc>
      </w:tr>
      <w:tr w14:paraId="7EBD709A">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188FE5B0">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w:t>
            </w:r>
          </w:p>
        </w:tc>
        <w:tc>
          <w:tcPr>
            <w:tcW w:w="5186" w:type="dxa"/>
            <w:tcBorders>
              <w:top w:val="nil"/>
              <w:left w:val="nil"/>
              <w:bottom w:val="single" w:color="auto" w:sz="4" w:space="0"/>
              <w:right w:val="single" w:color="auto" w:sz="4" w:space="0"/>
            </w:tcBorders>
            <w:noWrap/>
            <w:vAlign w:val="center"/>
          </w:tcPr>
          <w:p w14:paraId="104ED702">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角钢塔及接地装置</w:t>
            </w:r>
          </w:p>
        </w:tc>
        <w:tc>
          <w:tcPr>
            <w:tcW w:w="643" w:type="dxa"/>
            <w:tcBorders>
              <w:top w:val="nil"/>
              <w:left w:val="nil"/>
              <w:bottom w:val="single" w:color="auto" w:sz="4" w:space="0"/>
              <w:right w:val="single" w:color="auto" w:sz="4" w:space="0"/>
            </w:tcBorders>
            <w:noWrap/>
            <w:vAlign w:val="center"/>
          </w:tcPr>
          <w:p w14:paraId="1515684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23D4D84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1644" w:type="dxa"/>
            <w:tcBorders>
              <w:top w:val="nil"/>
              <w:left w:val="nil"/>
              <w:bottom w:val="single" w:color="auto" w:sz="4" w:space="0"/>
              <w:right w:val="single" w:color="auto" w:sz="4" w:space="0"/>
            </w:tcBorders>
            <w:noWrap/>
            <w:vAlign w:val="center"/>
          </w:tcPr>
          <w:p w14:paraId="0821ED74">
            <w:pPr>
              <w:widowControl/>
              <w:spacing w:line="360" w:lineRule="auto"/>
              <w:jc w:val="left"/>
              <w:rPr>
                <w:rFonts w:hint="eastAsia" w:ascii="宋体" w:hAnsi="宋体" w:cs="宋体"/>
                <w:color w:val="000000"/>
                <w:kern w:val="0"/>
                <w:sz w:val="24"/>
                <w:szCs w:val="24"/>
                <w:highlight w:val="none"/>
              </w:rPr>
            </w:pPr>
          </w:p>
        </w:tc>
      </w:tr>
      <w:tr w14:paraId="1DF42A73">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1C672FE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5</w:t>
            </w:r>
          </w:p>
        </w:tc>
        <w:tc>
          <w:tcPr>
            <w:tcW w:w="5186" w:type="dxa"/>
            <w:tcBorders>
              <w:top w:val="nil"/>
              <w:left w:val="nil"/>
              <w:bottom w:val="single" w:color="auto" w:sz="4" w:space="0"/>
              <w:right w:val="single" w:color="auto" w:sz="4" w:space="0"/>
            </w:tcBorders>
            <w:noWrap/>
            <w:vAlign w:val="center"/>
          </w:tcPr>
          <w:p w14:paraId="79FAA95A">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水泥单杆</w:t>
            </w:r>
          </w:p>
        </w:tc>
        <w:tc>
          <w:tcPr>
            <w:tcW w:w="643" w:type="dxa"/>
            <w:tcBorders>
              <w:top w:val="nil"/>
              <w:left w:val="nil"/>
              <w:bottom w:val="single" w:color="auto" w:sz="4" w:space="0"/>
              <w:right w:val="single" w:color="auto" w:sz="4" w:space="0"/>
            </w:tcBorders>
            <w:noWrap/>
            <w:vAlign w:val="center"/>
          </w:tcPr>
          <w:p w14:paraId="50B2FBC9">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1365C787">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1644" w:type="dxa"/>
            <w:tcBorders>
              <w:top w:val="nil"/>
              <w:left w:val="nil"/>
              <w:bottom w:val="single" w:color="auto" w:sz="4" w:space="0"/>
              <w:right w:val="single" w:color="auto" w:sz="4" w:space="0"/>
            </w:tcBorders>
            <w:noWrap/>
            <w:vAlign w:val="center"/>
          </w:tcPr>
          <w:p w14:paraId="1787CBBD">
            <w:pPr>
              <w:widowControl/>
              <w:spacing w:line="360" w:lineRule="auto"/>
              <w:jc w:val="left"/>
              <w:rPr>
                <w:rFonts w:hint="eastAsia" w:ascii="宋体" w:hAnsi="宋体" w:cs="宋体"/>
                <w:color w:val="000000"/>
                <w:kern w:val="0"/>
                <w:sz w:val="24"/>
                <w:szCs w:val="24"/>
                <w:highlight w:val="none"/>
              </w:rPr>
            </w:pPr>
          </w:p>
        </w:tc>
      </w:tr>
      <w:tr w14:paraId="7100A150">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27AE522D">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w:t>
            </w:r>
          </w:p>
        </w:tc>
        <w:tc>
          <w:tcPr>
            <w:tcW w:w="5186" w:type="dxa"/>
            <w:tcBorders>
              <w:top w:val="nil"/>
              <w:left w:val="nil"/>
              <w:bottom w:val="single" w:color="auto" w:sz="4" w:space="0"/>
              <w:right w:val="single" w:color="auto" w:sz="4" w:space="0"/>
            </w:tcBorders>
            <w:noWrap/>
            <w:vAlign w:val="center"/>
          </w:tcPr>
          <w:p w14:paraId="6ED86CD5">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水泥门型杆</w:t>
            </w:r>
          </w:p>
        </w:tc>
        <w:tc>
          <w:tcPr>
            <w:tcW w:w="643" w:type="dxa"/>
            <w:tcBorders>
              <w:top w:val="nil"/>
              <w:left w:val="nil"/>
              <w:bottom w:val="single" w:color="auto" w:sz="4" w:space="0"/>
              <w:right w:val="single" w:color="auto" w:sz="4" w:space="0"/>
            </w:tcBorders>
            <w:noWrap/>
            <w:vAlign w:val="center"/>
          </w:tcPr>
          <w:p w14:paraId="69518C1F">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3B629F1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w:t>
            </w:r>
          </w:p>
        </w:tc>
        <w:tc>
          <w:tcPr>
            <w:tcW w:w="1644" w:type="dxa"/>
            <w:tcBorders>
              <w:top w:val="nil"/>
              <w:left w:val="nil"/>
              <w:bottom w:val="single" w:color="auto" w:sz="4" w:space="0"/>
              <w:right w:val="single" w:color="auto" w:sz="4" w:space="0"/>
            </w:tcBorders>
            <w:noWrap/>
            <w:vAlign w:val="center"/>
          </w:tcPr>
          <w:p w14:paraId="0D8E7562">
            <w:pPr>
              <w:widowControl/>
              <w:spacing w:line="360" w:lineRule="auto"/>
              <w:jc w:val="left"/>
              <w:rPr>
                <w:rFonts w:hint="eastAsia" w:ascii="宋体" w:hAnsi="宋体" w:cs="宋体"/>
                <w:color w:val="000000"/>
                <w:kern w:val="0"/>
                <w:sz w:val="24"/>
                <w:szCs w:val="24"/>
                <w:highlight w:val="none"/>
              </w:rPr>
            </w:pPr>
          </w:p>
        </w:tc>
      </w:tr>
      <w:tr w14:paraId="16034ADA">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69DC01C1">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三、</w:t>
            </w:r>
          </w:p>
        </w:tc>
        <w:tc>
          <w:tcPr>
            <w:tcW w:w="5186" w:type="dxa"/>
            <w:tcBorders>
              <w:top w:val="nil"/>
              <w:left w:val="nil"/>
              <w:bottom w:val="single" w:color="auto" w:sz="4" w:space="0"/>
              <w:right w:val="single" w:color="auto" w:sz="4" w:space="0"/>
            </w:tcBorders>
            <w:noWrap/>
            <w:vAlign w:val="top"/>
          </w:tcPr>
          <w:p w14:paraId="0350E295">
            <w:pPr>
              <w:widowControl/>
              <w:spacing w:line="360" w:lineRule="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35kV台水线（一级泵站线路）</w:t>
            </w:r>
          </w:p>
        </w:tc>
        <w:tc>
          <w:tcPr>
            <w:tcW w:w="643" w:type="dxa"/>
            <w:tcBorders>
              <w:top w:val="nil"/>
              <w:left w:val="nil"/>
              <w:bottom w:val="single" w:color="auto" w:sz="4" w:space="0"/>
              <w:right w:val="single" w:color="auto" w:sz="4" w:space="0"/>
            </w:tcBorders>
            <w:noWrap/>
            <w:vAlign w:val="center"/>
          </w:tcPr>
          <w:p w14:paraId="71AAE2F2">
            <w:pPr>
              <w:widowControl/>
              <w:spacing w:line="360" w:lineRule="auto"/>
              <w:jc w:val="center"/>
              <w:rPr>
                <w:rFonts w:hint="eastAsia" w:ascii="宋体" w:hAnsi="宋体" w:cs="宋体"/>
                <w:color w:val="000000"/>
                <w:kern w:val="0"/>
                <w:sz w:val="24"/>
                <w:szCs w:val="24"/>
                <w:highlight w:val="none"/>
              </w:rPr>
            </w:pPr>
          </w:p>
        </w:tc>
        <w:tc>
          <w:tcPr>
            <w:tcW w:w="991" w:type="dxa"/>
            <w:tcBorders>
              <w:top w:val="nil"/>
              <w:left w:val="nil"/>
              <w:bottom w:val="single" w:color="auto" w:sz="4" w:space="0"/>
              <w:right w:val="single" w:color="auto" w:sz="4" w:space="0"/>
            </w:tcBorders>
            <w:noWrap/>
            <w:vAlign w:val="center"/>
          </w:tcPr>
          <w:p w14:paraId="1AD100C8">
            <w:pPr>
              <w:widowControl/>
              <w:spacing w:line="360" w:lineRule="auto"/>
              <w:jc w:val="center"/>
              <w:rPr>
                <w:rFonts w:hint="eastAsia" w:ascii="宋体" w:hAnsi="宋体" w:cs="宋体"/>
                <w:color w:val="000000"/>
                <w:kern w:val="0"/>
                <w:sz w:val="24"/>
                <w:szCs w:val="24"/>
                <w:highlight w:val="none"/>
              </w:rPr>
            </w:pPr>
          </w:p>
        </w:tc>
        <w:tc>
          <w:tcPr>
            <w:tcW w:w="1644" w:type="dxa"/>
            <w:tcBorders>
              <w:top w:val="nil"/>
              <w:left w:val="nil"/>
              <w:bottom w:val="single" w:color="auto" w:sz="4" w:space="0"/>
              <w:right w:val="single" w:color="auto" w:sz="4" w:space="0"/>
            </w:tcBorders>
            <w:noWrap/>
            <w:vAlign w:val="center"/>
          </w:tcPr>
          <w:p w14:paraId="5A5919B4">
            <w:pPr>
              <w:widowControl/>
              <w:spacing w:line="360" w:lineRule="auto"/>
              <w:jc w:val="left"/>
              <w:rPr>
                <w:rFonts w:hint="eastAsia" w:ascii="宋体" w:hAnsi="宋体" w:cs="宋体"/>
                <w:color w:val="000000"/>
                <w:kern w:val="0"/>
                <w:sz w:val="24"/>
                <w:szCs w:val="24"/>
                <w:highlight w:val="none"/>
              </w:rPr>
            </w:pPr>
          </w:p>
        </w:tc>
      </w:tr>
      <w:tr w14:paraId="35703734">
        <w:tblPrEx>
          <w:tblCellMar>
            <w:top w:w="0" w:type="dxa"/>
            <w:left w:w="108" w:type="dxa"/>
            <w:bottom w:w="0" w:type="dxa"/>
            <w:right w:w="108" w:type="dxa"/>
          </w:tblCellMar>
        </w:tblPrEx>
        <w:trPr>
          <w:trHeight w:val="675" w:hRule="atLeast"/>
          <w:jc w:val="center"/>
        </w:trPr>
        <w:tc>
          <w:tcPr>
            <w:tcW w:w="792" w:type="dxa"/>
            <w:tcBorders>
              <w:top w:val="nil"/>
              <w:left w:val="single" w:color="auto" w:sz="4" w:space="0"/>
              <w:bottom w:val="single" w:color="auto" w:sz="4" w:space="0"/>
              <w:right w:val="single" w:color="auto" w:sz="4" w:space="0"/>
            </w:tcBorders>
            <w:noWrap/>
            <w:vAlign w:val="center"/>
          </w:tcPr>
          <w:p w14:paraId="34848AE2">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nil"/>
              <w:left w:val="nil"/>
              <w:bottom w:val="single" w:color="auto" w:sz="4" w:space="0"/>
              <w:right w:val="single" w:color="auto" w:sz="4" w:space="0"/>
            </w:tcBorders>
            <w:noWrap/>
            <w:vAlign w:val="center"/>
          </w:tcPr>
          <w:p w14:paraId="3F4E9788">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南台子变电站至台水线1号钢管杆电缆</w:t>
            </w:r>
          </w:p>
          <w:p w14:paraId="00C40052">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（YJV22-26/35-3*150 mm</w:t>
            </w:r>
            <w:r>
              <w:rPr>
                <w:rFonts w:hint="eastAsia" w:ascii="宋体" w:hAnsi="宋体" w:cs="宋体"/>
                <w:bCs/>
                <w:kern w:val="0"/>
                <w:sz w:val="24"/>
                <w:szCs w:val="24"/>
                <w:highlight w:val="none"/>
                <w:vertAlign w:val="superscript"/>
              </w:rPr>
              <w:t>2</w:t>
            </w:r>
            <w:r>
              <w:rPr>
                <w:rFonts w:hint="eastAsia" w:ascii="宋体" w:hAnsi="宋体" w:cs="宋体"/>
                <w:bCs/>
                <w:kern w:val="0"/>
                <w:sz w:val="24"/>
                <w:szCs w:val="24"/>
                <w:highlight w:val="none"/>
              </w:rPr>
              <w:t>/1根）</w:t>
            </w:r>
          </w:p>
        </w:tc>
        <w:tc>
          <w:tcPr>
            <w:tcW w:w="643" w:type="dxa"/>
            <w:tcBorders>
              <w:top w:val="nil"/>
              <w:left w:val="nil"/>
              <w:bottom w:val="single" w:color="auto" w:sz="4" w:space="0"/>
              <w:right w:val="single" w:color="auto" w:sz="4" w:space="0"/>
            </w:tcBorders>
            <w:noWrap/>
            <w:vAlign w:val="center"/>
          </w:tcPr>
          <w:p w14:paraId="41ADE338">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kM</w:t>
            </w:r>
          </w:p>
        </w:tc>
        <w:tc>
          <w:tcPr>
            <w:tcW w:w="991" w:type="dxa"/>
            <w:tcBorders>
              <w:top w:val="nil"/>
              <w:left w:val="nil"/>
              <w:bottom w:val="single" w:color="auto" w:sz="4" w:space="0"/>
              <w:right w:val="single" w:color="auto" w:sz="4" w:space="0"/>
            </w:tcBorders>
            <w:noWrap/>
            <w:vAlign w:val="center"/>
          </w:tcPr>
          <w:p w14:paraId="7389446D">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1.824</w:t>
            </w:r>
          </w:p>
        </w:tc>
        <w:tc>
          <w:tcPr>
            <w:tcW w:w="1644" w:type="dxa"/>
            <w:tcBorders>
              <w:top w:val="nil"/>
              <w:left w:val="nil"/>
              <w:bottom w:val="single" w:color="auto" w:sz="4" w:space="0"/>
              <w:right w:val="single" w:color="auto" w:sz="4" w:space="0"/>
            </w:tcBorders>
            <w:noWrap/>
            <w:vAlign w:val="center"/>
          </w:tcPr>
          <w:p w14:paraId="710D117F">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地埋电缆</w:t>
            </w:r>
          </w:p>
        </w:tc>
      </w:tr>
      <w:tr w14:paraId="55F54334">
        <w:tblPrEx>
          <w:tblCellMar>
            <w:top w:w="0" w:type="dxa"/>
            <w:left w:w="108" w:type="dxa"/>
            <w:bottom w:w="0" w:type="dxa"/>
            <w:right w:w="108" w:type="dxa"/>
          </w:tblCellMar>
        </w:tblPrEx>
        <w:trPr>
          <w:trHeight w:val="675" w:hRule="atLeast"/>
          <w:jc w:val="center"/>
        </w:trPr>
        <w:tc>
          <w:tcPr>
            <w:tcW w:w="792" w:type="dxa"/>
            <w:tcBorders>
              <w:top w:val="nil"/>
              <w:left w:val="single" w:color="auto" w:sz="4" w:space="0"/>
              <w:bottom w:val="single" w:color="auto" w:sz="4" w:space="0"/>
              <w:right w:val="single" w:color="auto" w:sz="4" w:space="0"/>
            </w:tcBorders>
            <w:noWrap/>
            <w:vAlign w:val="center"/>
          </w:tcPr>
          <w:p w14:paraId="75AA3A6A">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nil"/>
              <w:left w:val="nil"/>
              <w:bottom w:val="single" w:color="auto" w:sz="4" w:space="0"/>
              <w:right w:val="single" w:color="auto" w:sz="4" w:space="0"/>
            </w:tcBorders>
            <w:noWrap/>
            <w:vAlign w:val="center"/>
          </w:tcPr>
          <w:p w14:paraId="7E726C27">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1号钢管杆至19号钢管杆之间架空线路</w:t>
            </w:r>
          </w:p>
        </w:tc>
        <w:tc>
          <w:tcPr>
            <w:tcW w:w="643" w:type="dxa"/>
            <w:tcBorders>
              <w:top w:val="nil"/>
              <w:left w:val="nil"/>
              <w:bottom w:val="single" w:color="auto" w:sz="4" w:space="0"/>
              <w:right w:val="single" w:color="auto" w:sz="4" w:space="0"/>
            </w:tcBorders>
            <w:noWrap/>
            <w:vAlign w:val="center"/>
          </w:tcPr>
          <w:p w14:paraId="00BE10BF">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kM</w:t>
            </w:r>
          </w:p>
        </w:tc>
        <w:tc>
          <w:tcPr>
            <w:tcW w:w="991" w:type="dxa"/>
            <w:tcBorders>
              <w:top w:val="nil"/>
              <w:left w:val="nil"/>
              <w:bottom w:val="single" w:color="auto" w:sz="4" w:space="0"/>
              <w:right w:val="single" w:color="auto" w:sz="4" w:space="0"/>
            </w:tcBorders>
            <w:noWrap/>
            <w:vAlign w:val="center"/>
          </w:tcPr>
          <w:p w14:paraId="66AA7514">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1.18</w:t>
            </w:r>
          </w:p>
        </w:tc>
        <w:tc>
          <w:tcPr>
            <w:tcW w:w="1644" w:type="dxa"/>
            <w:tcBorders>
              <w:top w:val="nil"/>
              <w:left w:val="nil"/>
              <w:bottom w:val="single" w:color="auto" w:sz="4" w:space="0"/>
              <w:right w:val="single" w:color="auto" w:sz="4" w:space="0"/>
            </w:tcBorders>
            <w:noWrap/>
            <w:vAlign w:val="center"/>
          </w:tcPr>
          <w:p w14:paraId="6B73B894">
            <w:pPr>
              <w:widowControl/>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钢芯铝绞线</w:t>
            </w:r>
          </w:p>
        </w:tc>
      </w:tr>
      <w:tr w14:paraId="7B241DDF">
        <w:tblPrEx>
          <w:tblCellMar>
            <w:top w:w="0" w:type="dxa"/>
            <w:left w:w="108" w:type="dxa"/>
            <w:bottom w:w="0" w:type="dxa"/>
            <w:right w:w="108" w:type="dxa"/>
          </w:tblCellMar>
        </w:tblPrEx>
        <w:trPr>
          <w:trHeight w:val="675" w:hRule="atLeast"/>
          <w:jc w:val="center"/>
        </w:trPr>
        <w:tc>
          <w:tcPr>
            <w:tcW w:w="792" w:type="dxa"/>
            <w:tcBorders>
              <w:top w:val="nil"/>
              <w:left w:val="single" w:color="auto" w:sz="4" w:space="0"/>
              <w:bottom w:val="single" w:color="auto" w:sz="4" w:space="0"/>
              <w:right w:val="single" w:color="auto" w:sz="4" w:space="0"/>
            </w:tcBorders>
            <w:noWrap/>
            <w:vAlign w:val="center"/>
          </w:tcPr>
          <w:p w14:paraId="588F5957">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nil"/>
              <w:left w:val="nil"/>
              <w:bottom w:val="single" w:color="auto" w:sz="4" w:space="0"/>
              <w:right w:val="single" w:color="auto" w:sz="4" w:space="0"/>
            </w:tcBorders>
            <w:noWrap/>
            <w:vAlign w:val="center"/>
          </w:tcPr>
          <w:p w14:paraId="07CFA690">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12号钢管杆与13号钢管杆间的跨接电缆（YJV22-3*150 mm</w:t>
            </w:r>
            <w:r>
              <w:rPr>
                <w:rFonts w:hint="eastAsia" w:ascii="宋体" w:hAnsi="宋体" w:cs="宋体"/>
                <w:bCs/>
                <w:kern w:val="0"/>
                <w:sz w:val="24"/>
                <w:szCs w:val="24"/>
                <w:highlight w:val="none"/>
                <w:vertAlign w:val="superscript"/>
              </w:rPr>
              <w:t>2</w:t>
            </w:r>
            <w:r>
              <w:rPr>
                <w:rFonts w:hint="eastAsia" w:ascii="宋体" w:hAnsi="宋体" w:cs="宋体"/>
                <w:bCs/>
                <w:kern w:val="0"/>
                <w:sz w:val="24"/>
                <w:szCs w:val="24"/>
                <w:highlight w:val="none"/>
              </w:rPr>
              <w:t>/1根）</w:t>
            </w:r>
          </w:p>
        </w:tc>
        <w:tc>
          <w:tcPr>
            <w:tcW w:w="643" w:type="dxa"/>
            <w:tcBorders>
              <w:top w:val="nil"/>
              <w:left w:val="nil"/>
              <w:bottom w:val="single" w:color="auto" w:sz="4" w:space="0"/>
              <w:right w:val="single" w:color="auto" w:sz="4" w:space="0"/>
            </w:tcBorders>
            <w:noWrap/>
            <w:vAlign w:val="center"/>
          </w:tcPr>
          <w:p w14:paraId="3919E4BF">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m</w:t>
            </w:r>
          </w:p>
        </w:tc>
        <w:tc>
          <w:tcPr>
            <w:tcW w:w="991" w:type="dxa"/>
            <w:tcBorders>
              <w:top w:val="nil"/>
              <w:left w:val="nil"/>
              <w:bottom w:val="single" w:color="auto" w:sz="4" w:space="0"/>
              <w:right w:val="single" w:color="auto" w:sz="4" w:space="0"/>
            </w:tcBorders>
            <w:noWrap/>
            <w:vAlign w:val="center"/>
          </w:tcPr>
          <w:p w14:paraId="5462030C">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148</w:t>
            </w:r>
          </w:p>
        </w:tc>
        <w:tc>
          <w:tcPr>
            <w:tcW w:w="1644" w:type="dxa"/>
            <w:tcBorders>
              <w:top w:val="nil"/>
              <w:left w:val="nil"/>
              <w:bottom w:val="single" w:color="auto" w:sz="4" w:space="0"/>
              <w:right w:val="single" w:color="auto" w:sz="4" w:space="0"/>
            </w:tcBorders>
            <w:noWrap/>
            <w:vAlign w:val="center"/>
          </w:tcPr>
          <w:p w14:paraId="08B0D531">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地埋电缆</w:t>
            </w:r>
          </w:p>
        </w:tc>
      </w:tr>
      <w:tr w14:paraId="1B67780B">
        <w:tblPrEx>
          <w:tblCellMar>
            <w:top w:w="0" w:type="dxa"/>
            <w:left w:w="108" w:type="dxa"/>
            <w:bottom w:w="0" w:type="dxa"/>
            <w:right w:w="108" w:type="dxa"/>
          </w:tblCellMar>
        </w:tblPrEx>
        <w:trPr>
          <w:trHeight w:val="675" w:hRule="atLeast"/>
          <w:jc w:val="center"/>
        </w:trPr>
        <w:tc>
          <w:tcPr>
            <w:tcW w:w="792" w:type="dxa"/>
            <w:tcBorders>
              <w:top w:val="nil"/>
              <w:left w:val="single" w:color="auto" w:sz="4" w:space="0"/>
              <w:bottom w:val="single" w:color="auto" w:sz="4" w:space="0"/>
              <w:right w:val="single" w:color="auto" w:sz="4" w:space="0"/>
            </w:tcBorders>
            <w:noWrap/>
            <w:vAlign w:val="center"/>
          </w:tcPr>
          <w:p w14:paraId="4C86215D">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w:t>
            </w:r>
          </w:p>
        </w:tc>
        <w:tc>
          <w:tcPr>
            <w:tcW w:w="5186" w:type="dxa"/>
            <w:tcBorders>
              <w:top w:val="nil"/>
              <w:left w:val="nil"/>
              <w:bottom w:val="single" w:color="auto" w:sz="4" w:space="0"/>
              <w:right w:val="single" w:color="auto" w:sz="4" w:space="0"/>
            </w:tcBorders>
            <w:noWrap/>
            <w:vAlign w:val="center"/>
          </w:tcPr>
          <w:p w14:paraId="1959B267">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19号钢管杆至水泥门型杆电缆</w:t>
            </w:r>
          </w:p>
          <w:p w14:paraId="027D89FB">
            <w:pPr>
              <w:widowControl/>
              <w:spacing w:line="360" w:lineRule="auto"/>
              <w:rPr>
                <w:rFonts w:hint="eastAsia" w:ascii="宋体" w:hAnsi="宋体" w:cs="宋体"/>
                <w:bCs/>
                <w:kern w:val="0"/>
                <w:sz w:val="24"/>
                <w:szCs w:val="24"/>
                <w:highlight w:val="none"/>
              </w:rPr>
            </w:pPr>
            <w:r>
              <w:rPr>
                <w:rFonts w:hint="eastAsia" w:ascii="宋体" w:hAnsi="宋体" w:cs="宋体"/>
                <w:bCs/>
                <w:kern w:val="0"/>
                <w:sz w:val="24"/>
                <w:szCs w:val="24"/>
                <w:highlight w:val="none"/>
              </w:rPr>
              <w:t>（YJV22-3*150 mm</w:t>
            </w:r>
            <w:r>
              <w:rPr>
                <w:rFonts w:hint="eastAsia" w:ascii="宋体" w:hAnsi="宋体" w:cs="宋体"/>
                <w:bCs/>
                <w:kern w:val="0"/>
                <w:sz w:val="24"/>
                <w:szCs w:val="24"/>
                <w:highlight w:val="none"/>
                <w:vertAlign w:val="superscript"/>
              </w:rPr>
              <w:t>2</w:t>
            </w:r>
            <w:r>
              <w:rPr>
                <w:rFonts w:hint="eastAsia" w:ascii="宋体" w:hAnsi="宋体" w:cs="宋体"/>
                <w:bCs/>
                <w:kern w:val="0"/>
                <w:sz w:val="24"/>
                <w:szCs w:val="24"/>
                <w:highlight w:val="none"/>
              </w:rPr>
              <w:t>/1根）</w:t>
            </w:r>
          </w:p>
        </w:tc>
        <w:tc>
          <w:tcPr>
            <w:tcW w:w="643" w:type="dxa"/>
            <w:tcBorders>
              <w:top w:val="nil"/>
              <w:left w:val="nil"/>
              <w:bottom w:val="single" w:color="auto" w:sz="4" w:space="0"/>
              <w:right w:val="single" w:color="auto" w:sz="4" w:space="0"/>
            </w:tcBorders>
            <w:noWrap/>
            <w:vAlign w:val="center"/>
          </w:tcPr>
          <w:p w14:paraId="77ADDC5C">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m</w:t>
            </w:r>
          </w:p>
        </w:tc>
        <w:tc>
          <w:tcPr>
            <w:tcW w:w="991" w:type="dxa"/>
            <w:tcBorders>
              <w:top w:val="nil"/>
              <w:left w:val="nil"/>
              <w:bottom w:val="single" w:color="auto" w:sz="4" w:space="0"/>
              <w:right w:val="single" w:color="auto" w:sz="4" w:space="0"/>
            </w:tcBorders>
            <w:noWrap/>
            <w:vAlign w:val="center"/>
          </w:tcPr>
          <w:p w14:paraId="4E2CEB6C">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180</w:t>
            </w:r>
          </w:p>
        </w:tc>
        <w:tc>
          <w:tcPr>
            <w:tcW w:w="1644" w:type="dxa"/>
            <w:tcBorders>
              <w:top w:val="nil"/>
              <w:left w:val="nil"/>
              <w:bottom w:val="single" w:color="auto" w:sz="4" w:space="0"/>
              <w:right w:val="single" w:color="auto" w:sz="4" w:space="0"/>
            </w:tcBorders>
            <w:noWrap/>
            <w:vAlign w:val="center"/>
          </w:tcPr>
          <w:p w14:paraId="5C00A1F3">
            <w:pPr>
              <w:widowControl/>
              <w:spacing w:line="360" w:lineRule="auto"/>
              <w:jc w:val="left"/>
              <w:rPr>
                <w:rFonts w:hint="eastAsia" w:ascii="宋体" w:hAnsi="宋体" w:cs="宋体"/>
                <w:kern w:val="0"/>
                <w:sz w:val="24"/>
                <w:szCs w:val="24"/>
                <w:highlight w:val="none"/>
              </w:rPr>
            </w:pPr>
          </w:p>
        </w:tc>
      </w:tr>
      <w:tr w14:paraId="6F1D1FAB">
        <w:tblPrEx>
          <w:tblCellMar>
            <w:top w:w="0" w:type="dxa"/>
            <w:left w:w="108" w:type="dxa"/>
            <w:bottom w:w="0" w:type="dxa"/>
            <w:right w:w="108" w:type="dxa"/>
          </w:tblCellMar>
        </w:tblPrEx>
        <w:trPr>
          <w:trHeight w:val="341" w:hRule="atLeast"/>
          <w:jc w:val="center"/>
        </w:trPr>
        <w:tc>
          <w:tcPr>
            <w:tcW w:w="792" w:type="dxa"/>
            <w:tcBorders>
              <w:top w:val="nil"/>
              <w:left w:val="single" w:color="auto" w:sz="4" w:space="0"/>
              <w:bottom w:val="single" w:color="auto" w:sz="4" w:space="0"/>
              <w:right w:val="single" w:color="auto" w:sz="4" w:space="0"/>
            </w:tcBorders>
            <w:noWrap/>
            <w:vAlign w:val="center"/>
          </w:tcPr>
          <w:p w14:paraId="3AC642F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5</w:t>
            </w:r>
          </w:p>
        </w:tc>
        <w:tc>
          <w:tcPr>
            <w:tcW w:w="5186" w:type="dxa"/>
            <w:tcBorders>
              <w:top w:val="nil"/>
              <w:left w:val="nil"/>
              <w:bottom w:val="single" w:color="auto" w:sz="4" w:space="0"/>
              <w:right w:val="single" w:color="auto" w:sz="4" w:space="0"/>
            </w:tcBorders>
            <w:noWrap/>
            <w:vAlign w:val="center"/>
          </w:tcPr>
          <w:p w14:paraId="2C5A136D">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钢管杆及接地装置</w:t>
            </w:r>
          </w:p>
        </w:tc>
        <w:tc>
          <w:tcPr>
            <w:tcW w:w="643" w:type="dxa"/>
            <w:tcBorders>
              <w:top w:val="nil"/>
              <w:left w:val="nil"/>
              <w:bottom w:val="single" w:color="auto" w:sz="4" w:space="0"/>
              <w:right w:val="single" w:color="auto" w:sz="4" w:space="0"/>
            </w:tcBorders>
            <w:noWrap/>
            <w:vAlign w:val="center"/>
          </w:tcPr>
          <w:p w14:paraId="02CAF55C">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基</w:t>
            </w:r>
          </w:p>
        </w:tc>
        <w:tc>
          <w:tcPr>
            <w:tcW w:w="991" w:type="dxa"/>
            <w:tcBorders>
              <w:top w:val="nil"/>
              <w:left w:val="nil"/>
              <w:bottom w:val="single" w:color="auto" w:sz="4" w:space="0"/>
              <w:right w:val="single" w:color="auto" w:sz="4" w:space="0"/>
            </w:tcBorders>
            <w:noWrap/>
            <w:vAlign w:val="center"/>
          </w:tcPr>
          <w:p w14:paraId="51C58660">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19</w:t>
            </w:r>
          </w:p>
        </w:tc>
        <w:tc>
          <w:tcPr>
            <w:tcW w:w="1644" w:type="dxa"/>
            <w:tcBorders>
              <w:top w:val="nil"/>
              <w:left w:val="nil"/>
              <w:bottom w:val="single" w:color="auto" w:sz="4" w:space="0"/>
              <w:right w:val="single" w:color="auto" w:sz="4" w:space="0"/>
            </w:tcBorders>
            <w:noWrap/>
            <w:vAlign w:val="center"/>
          </w:tcPr>
          <w:p w14:paraId="23187724">
            <w:pPr>
              <w:widowControl/>
              <w:spacing w:line="360" w:lineRule="auto"/>
              <w:jc w:val="left"/>
              <w:rPr>
                <w:rFonts w:hint="eastAsia" w:ascii="宋体" w:hAnsi="宋体" w:cs="宋体"/>
                <w:kern w:val="0"/>
                <w:sz w:val="24"/>
                <w:szCs w:val="24"/>
                <w:highlight w:val="none"/>
              </w:rPr>
            </w:pPr>
          </w:p>
        </w:tc>
      </w:tr>
      <w:tr w14:paraId="43E37943">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7BAA1A25">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　</w:t>
            </w:r>
          </w:p>
        </w:tc>
        <w:tc>
          <w:tcPr>
            <w:tcW w:w="5186" w:type="dxa"/>
            <w:tcBorders>
              <w:top w:val="single" w:color="auto" w:sz="4" w:space="0"/>
              <w:left w:val="nil"/>
              <w:bottom w:val="single" w:color="auto" w:sz="4" w:space="0"/>
              <w:right w:val="single" w:color="auto" w:sz="4" w:space="0"/>
            </w:tcBorders>
            <w:noWrap/>
            <w:vAlign w:val="center"/>
          </w:tcPr>
          <w:p w14:paraId="2539FF62">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水泥门型杆</w:t>
            </w:r>
          </w:p>
        </w:tc>
        <w:tc>
          <w:tcPr>
            <w:tcW w:w="643" w:type="dxa"/>
            <w:tcBorders>
              <w:top w:val="single" w:color="auto" w:sz="4" w:space="0"/>
              <w:left w:val="nil"/>
              <w:bottom w:val="single" w:color="auto" w:sz="4" w:space="0"/>
              <w:right w:val="single" w:color="auto" w:sz="4" w:space="0"/>
            </w:tcBorders>
            <w:noWrap/>
            <w:vAlign w:val="center"/>
          </w:tcPr>
          <w:p w14:paraId="29E0BB93">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基</w:t>
            </w:r>
          </w:p>
        </w:tc>
        <w:tc>
          <w:tcPr>
            <w:tcW w:w="991" w:type="dxa"/>
            <w:tcBorders>
              <w:top w:val="single" w:color="auto" w:sz="4" w:space="0"/>
              <w:left w:val="nil"/>
              <w:bottom w:val="single" w:color="auto" w:sz="4" w:space="0"/>
              <w:right w:val="single" w:color="auto" w:sz="4" w:space="0"/>
            </w:tcBorders>
            <w:noWrap/>
            <w:vAlign w:val="center"/>
          </w:tcPr>
          <w:p w14:paraId="7A693633">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1</w:t>
            </w:r>
          </w:p>
        </w:tc>
        <w:tc>
          <w:tcPr>
            <w:tcW w:w="1644" w:type="dxa"/>
            <w:tcBorders>
              <w:top w:val="single" w:color="auto" w:sz="4" w:space="0"/>
              <w:left w:val="nil"/>
              <w:bottom w:val="single" w:color="auto" w:sz="4" w:space="0"/>
              <w:right w:val="single" w:color="auto" w:sz="4" w:space="0"/>
            </w:tcBorders>
            <w:noWrap/>
            <w:vAlign w:val="center"/>
          </w:tcPr>
          <w:p w14:paraId="1130937F">
            <w:pPr>
              <w:widowControl/>
              <w:spacing w:line="360" w:lineRule="auto"/>
              <w:jc w:val="left"/>
              <w:rPr>
                <w:rFonts w:hint="eastAsia" w:ascii="宋体" w:hAnsi="宋体" w:cs="宋体"/>
                <w:kern w:val="0"/>
                <w:sz w:val="24"/>
                <w:szCs w:val="24"/>
                <w:highlight w:val="none"/>
              </w:rPr>
            </w:pPr>
          </w:p>
        </w:tc>
      </w:tr>
      <w:tr w14:paraId="4282B970">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B67F6F8">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7</w:t>
            </w:r>
          </w:p>
        </w:tc>
        <w:tc>
          <w:tcPr>
            <w:tcW w:w="5186" w:type="dxa"/>
            <w:tcBorders>
              <w:top w:val="single" w:color="auto" w:sz="4" w:space="0"/>
              <w:left w:val="nil"/>
              <w:bottom w:val="single" w:color="auto" w:sz="4" w:space="0"/>
              <w:right w:val="single" w:color="auto" w:sz="4" w:space="0"/>
            </w:tcBorders>
            <w:noWrap/>
            <w:vAlign w:val="center"/>
          </w:tcPr>
          <w:p w14:paraId="327EE417">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电缆井</w:t>
            </w:r>
          </w:p>
        </w:tc>
        <w:tc>
          <w:tcPr>
            <w:tcW w:w="643" w:type="dxa"/>
            <w:tcBorders>
              <w:top w:val="single" w:color="auto" w:sz="4" w:space="0"/>
              <w:left w:val="nil"/>
              <w:bottom w:val="single" w:color="auto" w:sz="4" w:space="0"/>
              <w:right w:val="single" w:color="auto" w:sz="4" w:space="0"/>
            </w:tcBorders>
            <w:noWrap/>
            <w:vAlign w:val="center"/>
          </w:tcPr>
          <w:p w14:paraId="19E5EA94">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口</w:t>
            </w:r>
          </w:p>
        </w:tc>
        <w:tc>
          <w:tcPr>
            <w:tcW w:w="991" w:type="dxa"/>
            <w:tcBorders>
              <w:top w:val="single" w:color="auto" w:sz="4" w:space="0"/>
              <w:left w:val="nil"/>
              <w:bottom w:val="single" w:color="auto" w:sz="4" w:space="0"/>
              <w:right w:val="single" w:color="auto" w:sz="4" w:space="0"/>
            </w:tcBorders>
            <w:noWrap/>
            <w:vAlign w:val="center"/>
          </w:tcPr>
          <w:p w14:paraId="708747F4">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25</w:t>
            </w:r>
          </w:p>
        </w:tc>
        <w:tc>
          <w:tcPr>
            <w:tcW w:w="1644" w:type="dxa"/>
            <w:tcBorders>
              <w:top w:val="single" w:color="auto" w:sz="4" w:space="0"/>
              <w:left w:val="nil"/>
              <w:bottom w:val="single" w:color="auto" w:sz="4" w:space="0"/>
              <w:right w:val="single" w:color="auto" w:sz="4" w:space="0"/>
            </w:tcBorders>
            <w:noWrap/>
            <w:vAlign w:val="center"/>
          </w:tcPr>
          <w:p w14:paraId="793B171A">
            <w:pPr>
              <w:widowControl/>
              <w:spacing w:line="360" w:lineRule="auto"/>
              <w:jc w:val="left"/>
              <w:rPr>
                <w:rFonts w:hint="eastAsia" w:ascii="宋体" w:hAnsi="宋体" w:cs="宋体"/>
                <w:kern w:val="0"/>
                <w:sz w:val="24"/>
                <w:szCs w:val="24"/>
                <w:highlight w:val="none"/>
              </w:rPr>
            </w:pPr>
          </w:p>
        </w:tc>
      </w:tr>
      <w:tr w14:paraId="77DD5277">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3BEEF43E">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8</w:t>
            </w:r>
          </w:p>
        </w:tc>
        <w:tc>
          <w:tcPr>
            <w:tcW w:w="5186" w:type="dxa"/>
            <w:tcBorders>
              <w:top w:val="single" w:color="auto" w:sz="4" w:space="0"/>
              <w:left w:val="nil"/>
              <w:bottom w:val="single" w:color="auto" w:sz="4" w:space="0"/>
              <w:right w:val="single" w:color="auto" w:sz="4" w:space="0"/>
            </w:tcBorders>
            <w:noWrap/>
            <w:vAlign w:val="center"/>
          </w:tcPr>
          <w:p w14:paraId="2251FD13">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台水线光缆</w:t>
            </w:r>
          </w:p>
        </w:tc>
        <w:tc>
          <w:tcPr>
            <w:tcW w:w="643" w:type="dxa"/>
            <w:tcBorders>
              <w:top w:val="single" w:color="auto" w:sz="4" w:space="0"/>
              <w:left w:val="nil"/>
              <w:bottom w:val="single" w:color="auto" w:sz="4" w:space="0"/>
              <w:right w:val="single" w:color="auto" w:sz="4" w:space="0"/>
            </w:tcBorders>
            <w:noWrap/>
            <w:vAlign w:val="center"/>
          </w:tcPr>
          <w:p w14:paraId="222BE85A">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m</w:t>
            </w:r>
          </w:p>
        </w:tc>
        <w:tc>
          <w:tcPr>
            <w:tcW w:w="991" w:type="dxa"/>
            <w:tcBorders>
              <w:top w:val="single" w:color="auto" w:sz="4" w:space="0"/>
              <w:left w:val="nil"/>
              <w:bottom w:val="single" w:color="auto" w:sz="4" w:space="0"/>
              <w:right w:val="single" w:color="auto" w:sz="4" w:space="0"/>
            </w:tcBorders>
            <w:noWrap/>
            <w:vAlign w:val="center"/>
          </w:tcPr>
          <w:p w14:paraId="5F5B6D8A">
            <w:pPr>
              <w:widowControl/>
              <w:spacing w:line="360" w:lineRule="auto"/>
              <w:jc w:val="center"/>
              <w:rPr>
                <w:rFonts w:hint="eastAsia" w:ascii="宋体" w:hAnsi="宋体" w:cs="宋体"/>
                <w:kern w:val="0"/>
                <w:sz w:val="24"/>
                <w:szCs w:val="24"/>
                <w:highlight w:val="none"/>
              </w:rPr>
            </w:pPr>
            <w:r>
              <w:rPr>
                <w:rFonts w:hint="eastAsia" w:ascii="宋体" w:hAnsi="宋体" w:cs="宋体"/>
                <w:kern w:val="0"/>
                <w:sz w:val="24"/>
                <w:szCs w:val="24"/>
                <w:highlight w:val="none"/>
              </w:rPr>
              <w:t>3332</w:t>
            </w:r>
          </w:p>
        </w:tc>
        <w:tc>
          <w:tcPr>
            <w:tcW w:w="1644" w:type="dxa"/>
            <w:tcBorders>
              <w:top w:val="single" w:color="auto" w:sz="4" w:space="0"/>
              <w:left w:val="nil"/>
              <w:bottom w:val="single" w:color="auto" w:sz="4" w:space="0"/>
              <w:right w:val="single" w:color="auto" w:sz="4" w:space="0"/>
            </w:tcBorders>
            <w:noWrap/>
            <w:vAlign w:val="center"/>
          </w:tcPr>
          <w:p w14:paraId="13CDDB14">
            <w:pPr>
              <w:widowControl/>
              <w:spacing w:line="360" w:lineRule="auto"/>
              <w:jc w:val="left"/>
              <w:rPr>
                <w:rFonts w:hint="eastAsia" w:ascii="宋体" w:hAnsi="宋体" w:cs="宋体"/>
                <w:kern w:val="0"/>
                <w:sz w:val="24"/>
                <w:szCs w:val="24"/>
                <w:highlight w:val="none"/>
              </w:rPr>
            </w:pPr>
          </w:p>
        </w:tc>
      </w:tr>
      <w:tr w14:paraId="48EF982D">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284BFA9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四、　</w:t>
            </w:r>
          </w:p>
        </w:tc>
        <w:tc>
          <w:tcPr>
            <w:tcW w:w="5186" w:type="dxa"/>
            <w:tcBorders>
              <w:top w:val="single" w:color="auto" w:sz="4" w:space="0"/>
              <w:left w:val="nil"/>
              <w:bottom w:val="single" w:color="auto" w:sz="4" w:space="0"/>
              <w:right w:val="single" w:color="auto" w:sz="4" w:space="0"/>
            </w:tcBorders>
            <w:noWrap/>
            <w:vAlign w:val="center"/>
          </w:tcPr>
          <w:p w14:paraId="74CED55B">
            <w:pPr>
              <w:widowControl/>
              <w:spacing w:line="360" w:lineRule="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35kV三级泵站架空线路</w:t>
            </w:r>
          </w:p>
        </w:tc>
        <w:tc>
          <w:tcPr>
            <w:tcW w:w="643" w:type="dxa"/>
            <w:tcBorders>
              <w:top w:val="single" w:color="auto" w:sz="4" w:space="0"/>
              <w:left w:val="nil"/>
              <w:bottom w:val="single" w:color="auto" w:sz="4" w:space="0"/>
              <w:right w:val="single" w:color="auto" w:sz="4" w:space="0"/>
            </w:tcBorders>
            <w:noWrap/>
            <w:vAlign w:val="center"/>
          </w:tcPr>
          <w:p w14:paraId="197FF1EB">
            <w:pPr>
              <w:widowControl/>
              <w:spacing w:line="360" w:lineRule="auto"/>
              <w:jc w:val="center"/>
              <w:rPr>
                <w:rFonts w:hint="eastAsia" w:ascii="宋体" w:hAnsi="宋体" w:cs="宋体"/>
                <w:kern w:val="0"/>
                <w:sz w:val="24"/>
                <w:szCs w:val="24"/>
                <w:highlight w:val="none"/>
              </w:rPr>
            </w:pPr>
          </w:p>
        </w:tc>
        <w:tc>
          <w:tcPr>
            <w:tcW w:w="991" w:type="dxa"/>
            <w:tcBorders>
              <w:top w:val="single" w:color="auto" w:sz="4" w:space="0"/>
              <w:left w:val="nil"/>
              <w:bottom w:val="single" w:color="auto" w:sz="4" w:space="0"/>
              <w:right w:val="single" w:color="auto" w:sz="4" w:space="0"/>
            </w:tcBorders>
            <w:noWrap/>
            <w:vAlign w:val="center"/>
          </w:tcPr>
          <w:p w14:paraId="2BE782D5">
            <w:pPr>
              <w:widowControl/>
              <w:spacing w:line="360" w:lineRule="auto"/>
              <w:jc w:val="center"/>
              <w:rPr>
                <w:rFonts w:hint="eastAsia" w:ascii="宋体" w:hAnsi="宋体" w:cs="宋体"/>
                <w:kern w:val="0"/>
                <w:sz w:val="24"/>
                <w:szCs w:val="24"/>
                <w:highlight w:val="none"/>
              </w:rPr>
            </w:pPr>
          </w:p>
        </w:tc>
        <w:tc>
          <w:tcPr>
            <w:tcW w:w="1644" w:type="dxa"/>
            <w:tcBorders>
              <w:top w:val="single" w:color="auto" w:sz="4" w:space="0"/>
              <w:left w:val="nil"/>
              <w:bottom w:val="single" w:color="auto" w:sz="4" w:space="0"/>
              <w:right w:val="single" w:color="auto" w:sz="4" w:space="0"/>
            </w:tcBorders>
            <w:noWrap/>
            <w:vAlign w:val="center"/>
          </w:tcPr>
          <w:p w14:paraId="29D2E2DF">
            <w:pPr>
              <w:widowControl/>
              <w:spacing w:line="360" w:lineRule="auto"/>
              <w:jc w:val="left"/>
              <w:rPr>
                <w:rFonts w:hint="eastAsia" w:ascii="宋体" w:hAnsi="宋体" w:cs="宋体"/>
                <w:kern w:val="0"/>
                <w:sz w:val="24"/>
                <w:szCs w:val="24"/>
                <w:highlight w:val="none"/>
              </w:rPr>
            </w:pPr>
          </w:p>
        </w:tc>
      </w:tr>
      <w:tr w14:paraId="55925691">
        <w:tblPrEx>
          <w:tblCellMar>
            <w:top w:w="0" w:type="dxa"/>
            <w:left w:w="108" w:type="dxa"/>
            <w:bottom w:w="0" w:type="dxa"/>
            <w:right w:w="108" w:type="dxa"/>
          </w:tblCellMar>
        </w:tblPrEx>
        <w:trPr>
          <w:trHeight w:val="6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6EFA2A1">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single" w:color="auto" w:sz="4" w:space="0"/>
              <w:left w:val="nil"/>
              <w:bottom w:val="single" w:color="auto" w:sz="4" w:space="0"/>
              <w:right w:val="single" w:color="auto" w:sz="4" w:space="0"/>
            </w:tcBorders>
            <w:noWrap/>
            <w:vAlign w:val="center"/>
          </w:tcPr>
          <w:p w14:paraId="435F670A">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35kV架空线路及光缆，同塔双回路。</w:t>
            </w:r>
          </w:p>
        </w:tc>
        <w:tc>
          <w:tcPr>
            <w:tcW w:w="643" w:type="dxa"/>
            <w:tcBorders>
              <w:top w:val="single" w:color="auto" w:sz="4" w:space="0"/>
              <w:left w:val="nil"/>
              <w:bottom w:val="single" w:color="auto" w:sz="4" w:space="0"/>
              <w:right w:val="single" w:color="auto" w:sz="4" w:space="0"/>
            </w:tcBorders>
            <w:noWrap/>
            <w:vAlign w:val="center"/>
          </w:tcPr>
          <w:p w14:paraId="00C4A247">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single" w:color="auto" w:sz="4" w:space="0"/>
              <w:left w:val="nil"/>
              <w:bottom w:val="single" w:color="auto" w:sz="4" w:space="0"/>
              <w:right w:val="single" w:color="auto" w:sz="4" w:space="0"/>
            </w:tcBorders>
            <w:noWrap/>
            <w:vAlign w:val="center"/>
          </w:tcPr>
          <w:p w14:paraId="2A15A65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3.8</w:t>
            </w:r>
          </w:p>
        </w:tc>
        <w:tc>
          <w:tcPr>
            <w:tcW w:w="1644" w:type="dxa"/>
            <w:tcBorders>
              <w:top w:val="single" w:color="auto" w:sz="4" w:space="0"/>
              <w:left w:val="nil"/>
              <w:bottom w:val="single" w:color="auto" w:sz="4" w:space="0"/>
              <w:right w:val="single" w:color="auto" w:sz="4" w:space="0"/>
            </w:tcBorders>
            <w:noWrap/>
            <w:vAlign w:val="center"/>
          </w:tcPr>
          <w:p w14:paraId="3C3C1990">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钢芯铝绞线</w:t>
            </w:r>
          </w:p>
        </w:tc>
      </w:tr>
      <w:tr w14:paraId="0AD5FC5B">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74D5E94A">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single" w:color="auto" w:sz="4" w:space="0"/>
              <w:left w:val="nil"/>
              <w:bottom w:val="single" w:color="auto" w:sz="4" w:space="0"/>
              <w:right w:val="single" w:color="auto" w:sz="4" w:space="0"/>
            </w:tcBorders>
            <w:noWrap/>
            <w:vAlign w:val="center"/>
          </w:tcPr>
          <w:p w14:paraId="50C4E7D3">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线路铁塔及接地装置</w:t>
            </w:r>
          </w:p>
        </w:tc>
        <w:tc>
          <w:tcPr>
            <w:tcW w:w="643" w:type="dxa"/>
            <w:tcBorders>
              <w:top w:val="single" w:color="auto" w:sz="4" w:space="0"/>
              <w:left w:val="nil"/>
              <w:bottom w:val="single" w:color="auto" w:sz="4" w:space="0"/>
              <w:right w:val="single" w:color="auto" w:sz="4" w:space="0"/>
            </w:tcBorders>
            <w:noWrap/>
            <w:vAlign w:val="center"/>
          </w:tcPr>
          <w:p w14:paraId="1F52AB8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single" w:color="auto" w:sz="4" w:space="0"/>
              <w:left w:val="nil"/>
              <w:bottom w:val="single" w:color="auto" w:sz="4" w:space="0"/>
              <w:right w:val="single" w:color="auto" w:sz="4" w:space="0"/>
            </w:tcBorders>
            <w:noWrap/>
            <w:vAlign w:val="center"/>
          </w:tcPr>
          <w:p w14:paraId="21FAB0D1">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17</w:t>
            </w:r>
          </w:p>
        </w:tc>
        <w:tc>
          <w:tcPr>
            <w:tcW w:w="1644" w:type="dxa"/>
            <w:tcBorders>
              <w:top w:val="single" w:color="auto" w:sz="4" w:space="0"/>
              <w:left w:val="nil"/>
              <w:bottom w:val="single" w:color="auto" w:sz="4" w:space="0"/>
              <w:right w:val="single" w:color="auto" w:sz="4" w:space="0"/>
            </w:tcBorders>
            <w:noWrap/>
            <w:vAlign w:val="center"/>
          </w:tcPr>
          <w:p w14:paraId="665369AD">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129CE7E7">
        <w:tblPrEx>
          <w:tblCellMar>
            <w:top w:w="0" w:type="dxa"/>
            <w:left w:w="108" w:type="dxa"/>
            <w:bottom w:w="0" w:type="dxa"/>
            <w:right w:w="108" w:type="dxa"/>
          </w:tblCellMar>
        </w:tblPrEx>
        <w:trPr>
          <w:trHeight w:val="6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683E0318">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single" w:color="auto" w:sz="4" w:space="0"/>
              <w:left w:val="nil"/>
              <w:bottom w:val="single" w:color="auto" w:sz="4" w:space="0"/>
              <w:right w:val="single" w:color="auto" w:sz="4" w:space="0"/>
            </w:tcBorders>
            <w:noWrap/>
            <w:vAlign w:val="center"/>
          </w:tcPr>
          <w:p w14:paraId="089CF9CB">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连接电缆（ZR-YJV22-3*240 mm</w:t>
            </w:r>
            <w:r>
              <w:rPr>
                <w:rFonts w:hint="eastAsia" w:ascii="宋体" w:hAnsi="宋体" w:cs="宋体"/>
                <w:color w:val="000000"/>
                <w:kern w:val="0"/>
                <w:sz w:val="24"/>
                <w:szCs w:val="24"/>
                <w:highlight w:val="none"/>
                <w:vertAlign w:val="superscript"/>
              </w:rPr>
              <w:t>2</w:t>
            </w:r>
            <w:r>
              <w:rPr>
                <w:rFonts w:hint="eastAsia" w:ascii="宋体" w:hAnsi="宋体" w:cs="宋体"/>
                <w:color w:val="000000"/>
                <w:kern w:val="0"/>
                <w:sz w:val="24"/>
                <w:szCs w:val="24"/>
                <w:highlight w:val="none"/>
              </w:rPr>
              <w:t>）（6根）</w:t>
            </w:r>
          </w:p>
        </w:tc>
        <w:tc>
          <w:tcPr>
            <w:tcW w:w="643" w:type="dxa"/>
            <w:tcBorders>
              <w:top w:val="single" w:color="auto" w:sz="4" w:space="0"/>
              <w:left w:val="nil"/>
              <w:bottom w:val="single" w:color="auto" w:sz="4" w:space="0"/>
              <w:right w:val="single" w:color="auto" w:sz="4" w:space="0"/>
            </w:tcBorders>
            <w:noWrap/>
            <w:vAlign w:val="center"/>
          </w:tcPr>
          <w:p w14:paraId="3E6FB385">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米</w:t>
            </w:r>
          </w:p>
        </w:tc>
        <w:tc>
          <w:tcPr>
            <w:tcW w:w="991" w:type="dxa"/>
            <w:tcBorders>
              <w:top w:val="single" w:color="auto" w:sz="4" w:space="0"/>
              <w:left w:val="nil"/>
              <w:bottom w:val="single" w:color="auto" w:sz="4" w:space="0"/>
              <w:right w:val="single" w:color="auto" w:sz="4" w:space="0"/>
            </w:tcBorders>
            <w:noWrap/>
            <w:vAlign w:val="center"/>
          </w:tcPr>
          <w:p w14:paraId="0030BEE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500</w:t>
            </w:r>
          </w:p>
        </w:tc>
        <w:tc>
          <w:tcPr>
            <w:tcW w:w="1644" w:type="dxa"/>
            <w:tcBorders>
              <w:top w:val="single" w:color="auto" w:sz="4" w:space="0"/>
              <w:left w:val="nil"/>
              <w:bottom w:val="single" w:color="auto" w:sz="4" w:space="0"/>
              <w:right w:val="single" w:color="auto" w:sz="4" w:space="0"/>
            </w:tcBorders>
            <w:noWrap/>
            <w:vAlign w:val="center"/>
          </w:tcPr>
          <w:p w14:paraId="2987C31E">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lang w:val="en-US" w:eastAsia="zh-CN"/>
              </w:rPr>
              <w:t>地埋</w:t>
            </w:r>
            <w:r>
              <w:rPr>
                <w:rFonts w:hint="eastAsia" w:ascii="宋体" w:hAnsi="宋体" w:cs="宋体"/>
                <w:color w:val="000000"/>
                <w:kern w:val="0"/>
                <w:sz w:val="24"/>
                <w:szCs w:val="24"/>
                <w:highlight w:val="none"/>
              </w:rPr>
              <w:t>/桥架敷设</w:t>
            </w:r>
          </w:p>
        </w:tc>
      </w:tr>
      <w:tr w14:paraId="13424433">
        <w:tblPrEx>
          <w:tblCellMar>
            <w:top w:w="0" w:type="dxa"/>
            <w:left w:w="108" w:type="dxa"/>
            <w:bottom w:w="0" w:type="dxa"/>
            <w:right w:w="108" w:type="dxa"/>
          </w:tblCellMar>
        </w:tblPrEx>
        <w:trPr>
          <w:trHeight w:val="6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3A99F50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五、</w:t>
            </w:r>
          </w:p>
        </w:tc>
        <w:tc>
          <w:tcPr>
            <w:tcW w:w="5186" w:type="dxa"/>
            <w:tcBorders>
              <w:top w:val="single" w:color="auto" w:sz="4" w:space="0"/>
              <w:left w:val="nil"/>
              <w:bottom w:val="single" w:color="auto" w:sz="4" w:space="0"/>
              <w:right w:val="single" w:color="auto" w:sz="4" w:space="0"/>
            </w:tcBorders>
            <w:noWrap/>
            <w:vAlign w:val="center"/>
          </w:tcPr>
          <w:p w14:paraId="21EE6874">
            <w:pPr>
              <w:widowControl/>
              <w:spacing w:line="360" w:lineRule="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10kV三级泵站至二级泵站线路</w:t>
            </w:r>
          </w:p>
        </w:tc>
        <w:tc>
          <w:tcPr>
            <w:tcW w:w="643" w:type="dxa"/>
            <w:tcBorders>
              <w:top w:val="single" w:color="auto" w:sz="4" w:space="0"/>
              <w:left w:val="nil"/>
              <w:bottom w:val="single" w:color="auto" w:sz="4" w:space="0"/>
              <w:right w:val="single" w:color="auto" w:sz="4" w:space="0"/>
            </w:tcBorders>
            <w:noWrap/>
            <w:vAlign w:val="center"/>
          </w:tcPr>
          <w:p w14:paraId="7EF374E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991" w:type="dxa"/>
            <w:tcBorders>
              <w:top w:val="single" w:color="auto" w:sz="4" w:space="0"/>
              <w:left w:val="nil"/>
              <w:bottom w:val="single" w:color="auto" w:sz="4" w:space="0"/>
              <w:right w:val="single" w:color="auto" w:sz="4" w:space="0"/>
            </w:tcBorders>
            <w:noWrap/>
            <w:vAlign w:val="center"/>
          </w:tcPr>
          <w:p w14:paraId="5277B27E">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c>
          <w:tcPr>
            <w:tcW w:w="1644" w:type="dxa"/>
            <w:tcBorders>
              <w:top w:val="single" w:color="auto" w:sz="4" w:space="0"/>
              <w:left w:val="nil"/>
              <w:bottom w:val="single" w:color="auto" w:sz="4" w:space="0"/>
              <w:right w:val="single" w:color="auto" w:sz="4" w:space="0"/>
            </w:tcBorders>
            <w:noWrap/>
            <w:vAlign w:val="center"/>
          </w:tcPr>
          <w:p w14:paraId="3C52F1E4">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09F5A245">
        <w:tblPrEx>
          <w:tblCellMar>
            <w:top w:w="0" w:type="dxa"/>
            <w:left w:w="108" w:type="dxa"/>
            <w:bottom w:w="0" w:type="dxa"/>
            <w:right w:w="108" w:type="dxa"/>
          </w:tblCellMar>
        </w:tblPrEx>
        <w:trPr>
          <w:trHeight w:val="6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74FE3D70">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single" w:color="auto" w:sz="4" w:space="0"/>
              <w:left w:val="nil"/>
              <w:bottom w:val="single" w:color="auto" w:sz="4" w:space="0"/>
              <w:right w:val="single" w:color="auto" w:sz="4" w:space="0"/>
            </w:tcBorders>
            <w:noWrap/>
            <w:vAlign w:val="center"/>
          </w:tcPr>
          <w:p w14:paraId="5183D621">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10kV架空线路，双回路。</w:t>
            </w:r>
          </w:p>
        </w:tc>
        <w:tc>
          <w:tcPr>
            <w:tcW w:w="643" w:type="dxa"/>
            <w:tcBorders>
              <w:top w:val="single" w:color="auto" w:sz="4" w:space="0"/>
              <w:left w:val="nil"/>
              <w:bottom w:val="single" w:color="auto" w:sz="4" w:space="0"/>
              <w:right w:val="single" w:color="auto" w:sz="4" w:space="0"/>
            </w:tcBorders>
            <w:noWrap/>
            <w:vAlign w:val="center"/>
          </w:tcPr>
          <w:p w14:paraId="7D9DFC3A">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single" w:color="auto" w:sz="4" w:space="0"/>
              <w:left w:val="nil"/>
              <w:bottom w:val="single" w:color="auto" w:sz="4" w:space="0"/>
              <w:right w:val="single" w:color="auto" w:sz="4" w:space="0"/>
            </w:tcBorders>
            <w:noWrap/>
            <w:vAlign w:val="center"/>
          </w:tcPr>
          <w:p w14:paraId="2EFE2AF2">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6.32</w:t>
            </w:r>
          </w:p>
        </w:tc>
        <w:tc>
          <w:tcPr>
            <w:tcW w:w="1644" w:type="dxa"/>
            <w:tcBorders>
              <w:top w:val="single" w:color="auto" w:sz="4" w:space="0"/>
              <w:left w:val="nil"/>
              <w:bottom w:val="single" w:color="auto" w:sz="4" w:space="0"/>
              <w:right w:val="single" w:color="auto" w:sz="4" w:space="0"/>
            </w:tcBorders>
            <w:noWrap/>
            <w:vAlign w:val="center"/>
          </w:tcPr>
          <w:p w14:paraId="14E08FE4">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钢芯铝绞线</w:t>
            </w:r>
          </w:p>
        </w:tc>
      </w:tr>
      <w:tr w14:paraId="6DC23112">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46F1D82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single" w:color="auto" w:sz="4" w:space="0"/>
              <w:left w:val="nil"/>
              <w:bottom w:val="single" w:color="auto" w:sz="4" w:space="0"/>
              <w:right w:val="single" w:color="auto" w:sz="4" w:space="0"/>
            </w:tcBorders>
            <w:noWrap/>
            <w:vAlign w:val="center"/>
          </w:tcPr>
          <w:p w14:paraId="619CC2A8">
            <w:pPr>
              <w:widowControl/>
              <w:spacing w:line="360" w:lineRule="auto"/>
              <w:jc w:val="left"/>
              <w:rPr>
                <w:rFonts w:hint="eastAsia" w:ascii="宋体" w:hAnsi="宋体" w:cs="宋体"/>
                <w:kern w:val="0"/>
                <w:sz w:val="24"/>
                <w:szCs w:val="24"/>
                <w:highlight w:val="none"/>
              </w:rPr>
            </w:pPr>
            <w:r>
              <w:rPr>
                <w:rFonts w:hint="eastAsia" w:ascii="宋体" w:hAnsi="宋体" w:cs="宋体"/>
                <w:kern w:val="0"/>
                <w:sz w:val="24"/>
                <w:szCs w:val="24"/>
                <w:highlight w:val="none"/>
              </w:rPr>
              <w:t>线路铁塔及接地装置</w:t>
            </w:r>
          </w:p>
        </w:tc>
        <w:tc>
          <w:tcPr>
            <w:tcW w:w="643" w:type="dxa"/>
            <w:tcBorders>
              <w:top w:val="single" w:color="auto" w:sz="4" w:space="0"/>
              <w:left w:val="nil"/>
              <w:bottom w:val="single" w:color="auto" w:sz="4" w:space="0"/>
              <w:right w:val="single" w:color="auto" w:sz="4" w:space="0"/>
            </w:tcBorders>
            <w:noWrap/>
            <w:vAlign w:val="center"/>
          </w:tcPr>
          <w:p w14:paraId="520577F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single" w:color="auto" w:sz="4" w:space="0"/>
              <w:left w:val="nil"/>
              <w:bottom w:val="single" w:color="auto" w:sz="4" w:space="0"/>
              <w:right w:val="single" w:color="auto" w:sz="4" w:space="0"/>
            </w:tcBorders>
            <w:noWrap/>
            <w:vAlign w:val="center"/>
          </w:tcPr>
          <w:p w14:paraId="74250687">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12</w:t>
            </w:r>
          </w:p>
        </w:tc>
        <w:tc>
          <w:tcPr>
            <w:tcW w:w="1644" w:type="dxa"/>
            <w:tcBorders>
              <w:top w:val="single" w:color="auto" w:sz="4" w:space="0"/>
              <w:left w:val="nil"/>
              <w:bottom w:val="single" w:color="auto" w:sz="4" w:space="0"/>
              <w:right w:val="single" w:color="auto" w:sz="4" w:space="0"/>
            </w:tcBorders>
            <w:noWrap/>
            <w:vAlign w:val="center"/>
          </w:tcPr>
          <w:p w14:paraId="4B844DA4">
            <w:pPr>
              <w:widowControl/>
              <w:spacing w:line="360" w:lineRule="auto"/>
              <w:jc w:val="left"/>
              <w:rPr>
                <w:rFonts w:hint="eastAsia" w:ascii="宋体" w:hAnsi="宋体" w:cs="宋体"/>
                <w:color w:val="000000"/>
                <w:kern w:val="0"/>
                <w:sz w:val="24"/>
                <w:szCs w:val="24"/>
                <w:highlight w:val="none"/>
              </w:rPr>
            </w:pPr>
          </w:p>
        </w:tc>
      </w:tr>
      <w:tr w14:paraId="050CB618">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61D213B">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single" w:color="auto" w:sz="4" w:space="0"/>
              <w:left w:val="nil"/>
              <w:bottom w:val="single" w:color="auto" w:sz="4" w:space="0"/>
              <w:right w:val="single" w:color="auto" w:sz="4" w:space="0"/>
            </w:tcBorders>
            <w:noWrap/>
            <w:vAlign w:val="center"/>
          </w:tcPr>
          <w:p w14:paraId="52B41A47">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水泥单杆</w:t>
            </w:r>
          </w:p>
        </w:tc>
        <w:tc>
          <w:tcPr>
            <w:tcW w:w="643" w:type="dxa"/>
            <w:tcBorders>
              <w:top w:val="single" w:color="auto" w:sz="4" w:space="0"/>
              <w:left w:val="nil"/>
              <w:bottom w:val="single" w:color="auto" w:sz="4" w:space="0"/>
              <w:right w:val="single" w:color="auto" w:sz="4" w:space="0"/>
            </w:tcBorders>
            <w:noWrap/>
            <w:vAlign w:val="center"/>
          </w:tcPr>
          <w:p w14:paraId="33649E9F">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single" w:color="auto" w:sz="4" w:space="0"/>
              <w:left w:val="nil"/>
              <w:bottom w:val="single" w:color="auto" w:sz="4" w:space="0"/>
              <w:right w:val="single" w:color="auto" w:sz="4" w:space="0"/>
            </w:tcBorders>
            <w:noWrap/>
            <w:vAlign w:val="center"/>
          </w:tcPr>
          <w:p w14:paraId="12F8534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65</w:t>
            </w:r>
          </w:p>
        </w:tc>
        <w:tc>
          <w:tcPr>
            <w:tcW w:w="1644" w:type="dxa"/>
            <w:tcBorders>
              <w:top w:val="single" w:color="auto" w:sz="4" w:space="0"/>
              <w:left w:val="nil"/>
              <w:bottom w:val="single" w:color="auto" w:sz="4" w:space="0"/>
              <w:right w:val="single" w:color="auto" w:sz="4" w:space="0"/>
            </w:tcBorders>
            <w:noWrap/>
            <w:vAlign w:val="center"/>
          </w:tcPr>
          <w:p w14:paraId="49EAC6CF">
            <w:pPr>
              <w:widowControl/>
              <w:spacing w:line="360" w:lineRule="auto"/>
              <w:jc w:val="left"/>
              <w:rPr>
                <w:rFonts w:hint="eastAsia" w:ascii="宋体" w:hAnsi="宋体" w:cs="宋体"/>
                <w:color w:val="000000"/>
                <w:kern w:val="0"/>
                <w:sz w:val="24"/>
                <w:szCs w:val="24"/>
                <w:highlight w:val="none"/>
              </w:rPr>
            </w:pPr>
          </w:p>
        </w:tc>
      </w:tr>
      <w:tr w14:paraId="1461949C">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1FF20A55">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w:t>
            </w:r>
          </w:p>
        </w:tc>
        <w:tc>
          <w:tcPr>
            <w:tcW w:w="5186" w:type="dxa"/>
            <w:tcBorders>
              <w:top w:val="single" w:color="auto" w:sz="4" w:space="0"/>
              <w:left w:val="nil"/>
              <w:bottom w:val="single" w:color="auto" w:sz="4" w:space="0"/>
              <w:right w:val="single" w:color="auto" w:sz="4" w:space="0"/>
            </w:tcBorders>
            <w:noWrap/>
            <w:vAlign w:val="center"/>
          </w:tcPr>
          <w:p w14:paraId="183D4DE5">
            <w:pPr>
              <w:widowControl/>
              <w:spacing w:line="360" w:lineRule="auto"/>
              <w:rPr>
                <w:rFonts w:hint="eastAsia" w:ascii="宋体" w:hAnsi="宋体" w:cs="宋体"/>
                <w:bCs/>
                <w:color w:val="000000"/>
                <w:kern w:val="0"/>
                <w:sz w:val="24"/>
                <w:szCs w:val="24"/>
                <w:highlight w:val="none"/>
              </w:rPr>
            </w:pPr>
            <w:r>
              <w:rPr>
                <w:rFonts w:hint="eastAsia" w:ascii="宋体" w:hAnsi="宋体" w:cs="宋体"/>
                <w:bCs/>
                <w:color w:val="000000"/>
                <w:kern w:val="0"/>
                <w:sz w:val="24"/>
                <w:szCs w:val="24"/>
                <w:highlight w:val="none"/>
              </w:rPr>
              <w:t>终端进出线电缆（4根）</w:t>
            </w:r>
          </w:p>
        </w:tc>
        <w:tc>
          <w:tcPr>
            <w:tcW w:w="643" w:type="dxa"/>
            <w:tcBorders>
              <w:top w:val="single" w:color="auto" w:sz="4" w:space="0"/>
              <w:left w:val="nil"/>
              <w:bottom w:val="single" w:color="auto" w:sz="4" w:space="0"/>
              <w:right w:val="single" w:color="auto" w:sz="4" w:space="0"/>
            </w:tcBorders>
            <w:noWrap/>
            <w:vAlign w:val="center"/>
          </w:tcPr>
          <w:p w14:paraId="0595A94F">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米</w:t>
            </w:r>
          </w:p>
        </w:tc>
        <w:tc>
          <w:tcPr>
            <w:tcW w:w="991" w:type="dxa"/>
            <w:tcBorders>
              <w:top w:val="single" w:color="auto" w:sz="4" w:space="0"/>
              <w:left w:val="nil"/>
              <w:bottom w:val="single" w:color="auto" w:sz="4" w:space="0"/>
              <w:right w:val="single" w:color="auto" w:sz="4" w:space="0"/>
            </w:tcBorders>
            <w:noWrap/>
            <w:vAlign w:val="center"/>
          </w:tcPr>
          <w:p w14:paraId="02C5ACC7">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300</w:t>
            </w:r>
          </w:p>
        </w:tc>
        <w:tc>
          <w:tcPr>
            <w:tcW w:w="1644" w:type="dxa"/>
            <w:tcBorders>
              <w:top w:val="single" w:color="auto" w:sz="4" w:space="0"/>
              <w:left w:val="nil"/>
              <w:bottom w:val="single" w:color="auto" w:sz="4" w:space="0"/>
              <w:right w:val="single" w:color="auto" w:sz="4" w:space="0"/>
            </w:tcBorders>
            <w:noWrap/>
            <w:vAlign w:val="center"/>
          </w:tcPr>
          <w:p w14:paraId="347CFDCB">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地埋电缆</w:t>
            </w:r>
          </w:p>
        </w:tc>
      </w:tr>
      <w:tr w14:paraId="2A338F62">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14059091">
            <w:pPr>
              <w:widowControl/>
              <w:spacing w:line="360" w:lineRule="auto"/>
              <w:jc w:val="center"/>
              <w:rPr>
                <w:rFonts w:hint="eastAsia" w:ascii="宋体" w:hAnsi="宋体" w:cs="宋体"/>
                <w:b/>
                <w:color w:val="000000"/>
                <w:kern w:val="0"/>
                <w:sz w:val="24"/>
                <w:szCs w:val="24"/>
                <w:highlight w:val="none"/>
              </w:rPr>
            </w:pPr>
            <w:r>
              <w:rPr>
                <w:rFonts w:hint="eastAsia" w:ascii="宋体" w:hAnsi="宋体" w:cs="宋体"/>
                <w:b/>
                <w:color w:val="000000"/>
                <w:kern w:val="0"/>
                <w:sz w:val="24"/>
                <w:szCs w:val="24"/>
                <w:highlight w:val="none"/>
              </w:rPr>
              <w:t>六、</w:t>
            </w:r>
          </w:p>
        </w:tc>
        <w:tc>
          <w:tcPr>
            <w:tcW w:w="5186" w:type="dxa"/>
            <w:tcBorders>
              <w:top w:val="single" w:color="auto" w:sz="4" w:space="0"/>
              <w:left w:val="nil"/>
              <w:bottom w:val="single" w:color="auto" w:sz="4" w:space="0"/>
              <w:right w:val="single" w:color="auto" w:sz="4" w:space="0"/>
            </w:tcBorders>
            <w:noWrap/>
            <w:vAlign w:val="center"/>
          </w:tcPr>
          <w:p w14:paraId="5DE32895">
            <w:pPr>
              <w:widowControl/>
              <w:spacing w:line="360" w:lineRule="auto"/>
              <w:rPr>
                <w:rFonts w:hint="eastAsia" w:ascii="宋体" w:hAnsi="宋体" w:cs="宋体"/>
                <w:b/>
                <w:color w:val="000000"/>
                <w:kern w:val="0"/>
                <w:sz w:val="24"/>
                <w:szCs w:val="24"/>
                <w:highlight w:val="none"/>
              </w:rPr>
            </w:pPr>
            <w:r>
              <w:rPr>
                <w:rFonts w:hint="eastAsia" w:ascii="宋体" w:hAnsi="宋体" w:cs="宋体"/>
                <w:b/>
                <w:color w:val="000000"/>
                <w:kern w:val="0"/>
                <w:sz w:val="24"/>
                <w:szCs w:val="24"/>
                <w:highlight w:val="none"/>
              </w:rPr>
              <w:t>10kV渣场、蒸发塘、碳汇林线路</w:t>
            </w:r>
          </w:p>
        </w:tc>
        <w:tc>
          <w:tcPr>
            <w:tcW w:w="643" w:type="dxa"/>
            <w:tcBorders>
              <w:top w:val="single" w:color="auto" w:sz="4" w:space="0"/>
              <w:left w:val="nil"/>
              <w:bottom w:val="single" w:color="auto" w:sz="4" w:space="0"/>
              <w:right w:val="single" w:color="auto" w:sz="4" w:space="0"/>
            </w:tcBorders>
            <w:noWrap/>
            <w:vAlign w:val="center"/>
          </w:tcPr>
          <w:p w14:paraId="16A53A15">
            <w:pPr>
              <w:widowControl/>
              <w:spacing w:line="360" w:lineRule="auto"/>
              <w:jc w:val="center"/>
              <w:rPr>
                <w:rFonts w:hint="eastAsia" w:ascii="宋体" w:hAnsi="宋体" w:cs="宋体"/>
                <w:b/>
                <w:color w:val="000000"/>
                <w:kern w:val="0"/>
                <w:sz w:val="24"/>
                <w:szCs w:val="24"/>
                <w:highlight w:val="none"/>
              </w:rPr>
            </w:pPr>
          </w:p>
        </w:tc>
        <w:tc>
          <w:tcPr>
            <w:tcW w:w="991" w:type="dxa"/>
            <w:tcBorders>
              <w:top w:val="single" w:color="auto" w:sz="4" w:space="0"/>
              <w:left w:val="nil"/>
              <w:bottom w:val="single" w:color="auto" w:sz="4" w:space="0"/>
              <w:right w:val="single" w:color="auto" w:sz="4" w:space="0"/>
            </w:tcBorders>
            <w:noWrap/>
            <w:vAlign w:val="center"/>
          </w:tcPr>
          <w:p w14:paraId="079E8249">
            <w:pPr>
              <w:widowControl/>
              <w:spacing w:line="360" w:lineRule="auto"/>
              <w:jc w:val="center"/>
              <w:rPr>
                <w:rFonts w:hint="eastAsia" w:ascii="宋体" w:hAnsi="宋体" w:cs="宋体"/>
                <w:b/>
                <w:color w:val="000000"/>
                <w:kern w:val="0"/>
                <w:sz w:val="24"/>
                <w:szCs w:val="24"/>
                <w:highlight w:val="none"/>
              </w:rPr>
            </w:pPr>
          </w:p>
        </w:tc>
        <w:tc>
          <w:tcPr>
            <w:tcW w:w="1644" w:type="dxa"/>
            <w:tcBorders>
              <w:top w:val="single" w:color="auto" w:sz="4" w:space="0"/>
              <w:left w:val="nil"/>
              <w:bottom w:val="single" w:color="auto" w:sz="4" w:space="0"/>
              <w:right w:val="single" w:color="auto" w:sz="4" w:space="0"/>
            </w:tcBorders>
            <w:noWrap/>
            <w:vAlign w:val="center"/>
          </w:tcPr>
          <w:p w14:paraId="4956AC00">
            <w:pPr>
              <w:widowControl/>
              <w:spacing w:line="360" w:lineRule="auto"/>
              <w:jc w:val="center"/>
              <w:rPr>
                <w:rFonts w:hint="eastAsia" w:ascii="宋体" w:hAnsi="宋体" w:cs="宋体"/>
                <w:b/>
                <w:color w:val="000000"/>
                <w:kern w:val="0"/>
                <w:sz w:val="24"/>
                <w:szCs w:val="24"/>
                <w:highlight w:val="none"/>
              </w:rPr>
            </w:pPr>
          </w:p>
        </w:tc>
      </w:tr>
      <w:tr w14:paraId="316E5350">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6054CF90">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w:t>
            </w:r>
          </w:p>
        </w:tc>
        <w:tc>
          <w:tcPr>
            <w:tcW w:w="5186" w:type="dxa"/>
            <w:tcBorders>
              <w:top w:val="single" w:color="auto" w:sz="4" w:space="0"/>
              <w:left w:val="nil"/>
              <w:bottom w:val="single" w:color="auto" w:sz="4" w:space="0"/>
              <w:right w:val="single" w:color="auto" w:sz="4" w:space="0"/>
            </w:tcBorders>
            <w:noWrap/>
            <w:vAlign w:val="center"/>
          </w:tcPr>
          <w:p w14:paraId="208F7630">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10kV架空线路，单回路。</w:t>
            </w:r>
          </w:p>
        </w:tc>
        <w:tc>
          <w:tcPr>
            <w:tcW w:w="643" w:type="dxa"/>
            <w:tcBorders>
              <w:top w:val="single" w:color="auto" w:sz="4" w:space="0"/>
              <w:left w:val="nil"/>
              <w:bottom w:val="single" w:color="auto" w:sz="4" w:space="0"/>
              <w:right w:val="single" w:color="auto" w:sz="4" w:space="0"/>
            </w:tcBorders>
            <w:noWrap/>
            <w:vAlign w:val="center"/>
          </w:tcPr>
          <w:p w14:paraId="0E1B25CD">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kM</w:t>
            </w:r>
          </w:p>
        </w:tc>
        <w:tc>
          <w:tcPr>
            <w:tcW w:w="991" w:type="dxa"/>
            <w:tcBorders>
              <w:top w:val="single" w:color="auto" w:sz="4" w:space="0"/>
              <w:left w:val="nil"/>
              <w:bottom w:val="single" w:color="auto" w:sz="4" w:space="0"/>
              <w:right w:val="single" w:color="auto" w:sz="4" w:space="0"/>
            </w:tcBorders>
            <w:noWrap/>
            <w:vAlign w:val="center"/>
          </w:tcPr>
          <w:p w14:paraId="007A98A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4.248</w:t>
            </w:r>
          </w:p>
        </w:tc>
        <w:tc>
          <w:tcPr>
            <w:tcW w:w="1644" w:type="dxa"/>
            <w:tcBorders>
              <w:top w:val="single" w:color="auto" w:sz="4" w:space="0"/>
              <w:left w:val="nil"/>
              <w:bottom w:val="single" w:color="auto" w:sz="4" w:space="0"/>
              <w:right w:val="single" w:color="auto" w:sz="4" w:space="0"/>
            </w:tcBorders>
            <w:noWrap/>
            <w:vAlign w:val="center"/>
          </w:tcPr>
          <w:p w14:paraId="1B2202A2">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绝缘导线</w:t>
            </w:r>
          </w:p>
        </w:tc>
      </w:tr>
      <w:tr w14:paraId="66675AA7">
        <w:tblPrEx>
          <w:tblCellMar>
            <w:top w:w="0" w:type="dxa"/>
            <w:left w:w="108" w:type="dxa"/>
            <w:bottom w:w="0" w:type="dxa"/>
            <w:right w:w="108" w:type="dxa"/>
          </w:tblCellMar>
        </w:tblPrEx>
        <w:trPr>
          <w:trHeight w:val="341"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0C808D8C">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w:t>
            </w:r>
          </w:p>
        </w:tc>
        <w:tc>
          <w:tcPr>
            <w:tcW w:w="5186" w:type="dxa"/>
            <w:tcBorders>
              <w:top w:val="single" w:color="auto" w:sz="4" w:space="0"/>
              <w:left w:val="nil"/>
              <w:bottom w:val="single" w:color="auto" w:sz="4" w:space="0"/>
              <w:right w:val="single" w:color="auto" w:sz="4" w:space="0"/>
            </w:tcBorders>
            <w:noWrap/>
            <w:vAlign w:val="center"/>
          </w:tcPr>
          <w:p w14:paraId="7231D718">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水泥单杆</w:t>
            </w:r>
          </w:p>
        </w:tc>
        <w:tc>
          <w:tcPr>
            <w:tcW w:w="643" w:type="dxa"/>
            <w:tcBorders>
              <w:top w:val="single" w:color="auto" w:sz="4" w:space="0"/>
              <w:left w:val="nil"/>
              <w:bottom w:val="single" w:color="auto" w:sz="4" w:space="0"/>
              <w:right w:val="single" w:color="auto" w:sz="4" w:space="0"/>
            </w:tcBorders>
            <w:noWrap/>
            <w:vAlign w:val="center"/>
          </w:tcPr>
          <w:p w14:paraId="4725AEB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基</w:t>
            </w:r>
          </w:p>
        </w:tc>
        <w:tc>
          <w:tcPr>
            <w:tcW w:w="991" w:type="dxa"/>
            <w:tcBorders>
              <w:top w:val="single" w:color="auto" w:sz="4" w:space="0"/>
              <w:left w:val="nil"/>
              <w:bottom w:val="single" w:color="auto" w:sz="4" w:space="0"/>
              <w:right w:val="single" w:color="auto" w:sz="4" w:space="0"/>
            </w:tcBorders>
            <w:noWrap/>
            <w:vAlign w:val="center"/>
          </w:tcPr>
          <w:p w14:paraId="0C114CF6">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58</w:t>
            </w:r>
          </w:p>
        </w:tc>
        <w:tc>
          <w:tcPr>
            <w:tcW w:w="1644" w:type="dxa"/>
            <w:tcBorders>
              <w:top w:val="single" w:color="auto" w:sz="4" w:space="0"/>
              <w:left w:val="nil"/>
              <w:bottom w:val="single" w:color="auto" w:sz="4" w:space="0"/>
              <w:right w:val="single" w:color="auto" w:sz="4" w:space="0"/>
            </w:tcBorders>
            <w:noWrap/>
            <w:vAlign w:val="center"/>
          </w:tcPr>
          <w:p w14:paraId="5BE6FDDE">
            <w:pPr>
              <w:widowControl/>
              <w:spacing w:line="360" w:lineRule="auto"/>
              <w:jc w:val="left"/>
              <w:rPr>
                <w:rFonts w:hint="eastAsia" w:ascii="宋体" w:hAnsi="宋体" w:cs="宋体"/>
                <w:color w:val="000000"/>
                <w:kern w:val="0"/>
                <w:sz w:val="24"/>
                <w:szCs w:val="24"/>
                <w:highlight w:val="none"/>
              </w:rPr>
            </w:pPr>
          </w:p>
        </w:tc>
      </w:tr>
      <w:tr w14:paraId="51D34926">
        <w:tblPrEx>
          <w:tblCellMar>
            <w:top w:w="0" w:type="dxa"/>
            <w:left w:w="108" w:type="dxa"/>
            <w:bottom w:w="0" w:type="dxa"/>
            <w:right w:w="108" w:type="dxa"/>
          </w:tblCellMar>
        </w:tblPrEx>
        <w:trPr>
          <w:trHeight w:val="348"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242328C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w:t>
            </w:r>
          </w:p>
        </w:tc>
        <w:tc>
          <w:tcPr>
            <w:tcW w:w="5186" w:type="dxa"/>
            <w:tcBorders>
              <w:top w:val="single" w:color="auto" w:sz="4" w:space="0"/>
              <w:left w:val="nil"/>
              <w:bottom w:val="single" w:color="auto" w:sz="4" w:space="0"/>
              <w:right w:val="single" w:color="auto" w:sz="4" w:space="0"/>
            </w:tcBorders>
            <w:noWrap/>
            <w:vAlign w:val="center"/>
          </w:tcPr>
          <w:p w14:paraId="322FA55A">
            <w:pPr>
              <w:widowControl/>
              <w:spacing w:line="360" w:lineRule="auto"/>
              <w:jc w:val="left"/>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电缆线路（5根）</w:t>
            </w:r>
          </w:p>
        </w:tc>
        <w:tc>
          <w:tcPr>
            <w:tcW w:w="643" w:type="dxa"/>
            <w:tcBorders>
              <w:top w:val="single" w:color="auto" w:sz="4" w:space="0"/>
              <w:left w:val="nil"/>
              <w:bottom w:val="single" w:color="auto" w:sz="4" w:space="0"/>
              <w:right w:val="single" w:color="auto" w:sz="4" w:space="0"/>
            </w:tcBorders>
            <w:noWrap/>
            <w:vAlign w:val="center"/>
          </w:tcPr>
          <w:p w14:paraId="40945214">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米</w:t>
            </w:r>
          </w:p>
        </w:tc>
        <w:tc>
          <w:tcPr>
            <w:tcW w:w="991" w:type="dxa"/>
            <w:tcBorders>
              <w:top w:val="single" w:color="auto" w:sz="4" w:space="0"/>
              <w:left w:val="nil"/>
              <w:bottom w:val="single" w:color="auto" w:sz="4" w:space="0"/>
              <w:right w:val="single" w:color="auto" w:sz="4" w:space="0"/>
            </w:tcBorders>
            <w:noWrap/>
            <w:vAlign w:val="center"/>
          </w:tcPr>
          <w:p w14:paraId="3AA06103">
            <w:pPr>
              <w:widowControl/>
              <w:spacing w:line="360" w:lineRule="auto"/>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680</w:t>
            </w:r>
          </w:p>
        </w:tc>
        <w:tc>
          <w:tcPr>
            <w:tcW w:w="1644" w:type="dxa"/>
            <w:tcBorders>
              <w:top w:val="single" w:color="auto" w:sz="4" w:space="0"/>
              <w:left w:val="nil"/>
              <w:bottom w:val="single" w:color="auto" w:sz="4" w:space="0"/>
              <w:right w:val="single" w:color="auto" w:sz="4" w:space="0"/>
            </w:tcBorders>
            <w:noWrap/>
            <w:vAlign w:val="center"/>
          </w:tcPr>
          <w:p w14:paraId="0064ADFF">
            <w:pPr>
              <w:widowControl/>
              <w:spacing w:line="360" w:lineRule="auto"/>
              <w:jc w:val="left"/>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地埋电缆</w:t>
            </w:r>
          </w:p>
        </w:tc>
      </w:tr>
    </w:tbl>
    <w:p w14:paraId="3CD41962">
      <w:pPr>
        <w:pStyle w:val="2"/>
        <w:bidi w:val="0"/>
        <w:rPr>
          <w:rFonts w:hint="eastAsia"/>
          <w:sz w:val="24"/>
          <w:szCs w:val="24"/>
        </w:rPr>
      </w:pPr>
      <w:bookmarkStart w:id="0" w:name="_Toc13459"/>
      <w:bookmarkStart w:id="1" w:name="_Toc15162"/>
      <w:r>
        <w:rPr>
          <w:rFonts w:hint="eastAsia"/>
          <w:sz w:val="24"/>
          <w:szCs w:val="24"/>
          <w:lang w:val="en-US" w:eastAsia="zh-CN"/>
        </w:rPr>
        <w:t>2.</w:t>
      </w:r>
      <w:r>
        <w:rPr>
          <w:rFonts w:hint="eastAsia"/>
          <w:sz w:val="24"/>
          <w:szCs w:val="24"/>
        </w:rPr>
        <w:t>维保工作的内容及要求</w:t>
      </w:r>
      <w:bookmarkEnd w:id="0"/>
      <w:bookmarkEnd w:id="1"/>
    </w:p>
    <w:p w14:paraId="31978A23">
      <w:pPr>
        <w:spacing w:line="360" w:lineRule="auto"/>
        <w:rPr>
          <w:rFonts w:hint="eastAsia" w:ascii="宋体" w:hAnsi="宋体" w:cs="宋体"/>
          <w:bCs/>
          <w:sz w:val="24"/>
          <w:szCs w:val="24"/>
          <w:highlight w:val="none"/>
        </w:rPr>
      </w:pPr>
      <w:r>
        <w:rPr>
          <w:rFonts w:hint="eastAsia" w:ascii="宋体" w:hAnsi="宋体" w:cs="宋体"/>
          <w:bCs/>
          <w:sz w:val="24"/>
          <w:szCs w:val="24"/>
          <w:highlight w:val="none"/>
          <w:lang w:val="en-US" w:eastAsia="zh-CN"/>
        </w:rPr>
        <w:t>2</w:t>
      </w:r>
      <w:r>
        <w:rPr>
          <w:rFonts w:hint="eastAsia" w:ascii="宋体" w:hAnsi="宋体" w:cs="宋体"/>
          <w:bCs/>
          <w:sz w:val="24"/>
          <w:szCs w:val="24"/>
          <w:highlight w:val="none"/>
        </w:rPr>
        <w:t>.1 线路巡检内容</w:t>
      </w:r>
    </w:p>
    <w:p w14:paraId="0FB1BB7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为掌握线路的运行情况，及时发现线路本体、附属设施以及线路保护区出现的缺陷或隐患，并为线路检修、维护及状态评价（评估）等提供依据，近距离对线路进行观测、检查、记录的工作</w:t>
      </w:r>
      <w:r>
        <w:rPr>
          <w:rFonts w:hint="eastAsia" w:ascii="宋体" w:hAnsi="宋体" w:cs="宋体"/>
          <w:sz w:val="24"/>
          <w:szCs w:val="24"/>
          <w:highlight w:val="none"/>
          <w:lang w:eastAsia="zh-CN"/>
        </w:rPr>
        <w:t>。</w:t>
      </w:r>
    </w:p>
    <w:p w14:paraId="0A5E6E97">
      <w:pPr>
        <w:spacing w:line="360" w:lineRule="auto"/>
        <w:rPr>
          <w:rFonts w:hint="eastAsia" w:ascii="宋体" w:hAnsi="宋体" w:cs="宋体"/>
          <w:bCs/>
          <w:kern w:val="44"/>
          <w:sz w:val="24"/>
          <w:szCs w:val="24"/>
          <w:highlight w:val="none"/>
        </w:rPr>
      </w:pPr>
      <w:r>
        <w:rPr>
          <w:rFonts w:hint="eastAsia" w:ascii="宋体" w:hAnsi="宋体" w:cs="宋体"/>
          <w:sz w:val="24"/>
          <w:szCs w:val="24"/>
          <w:highlight w:val="none"/>
          <w:lang w:eastAsia="zh-CN"/>
        </w:rPr>
        <w:t>2.1</w:t>
      </w:r>
      <w:r>
        <w:rPr>
          <w:rFonts w:hint="eastAsia" w:ascii="宋体" w:hAnsi="宋体" w:cs="宋体"/>
          <w:sz w:val="24"/>
          <w:szCs w:val="24"/>
          <w:highlight w:val="none"/>
        </w:rPr>
        <w:t>.1 地面人工巡视：线路巡视人员</w:t>
      </w:r>
      <w:r>
        <w:rPr>
          <w:rFonts w:hint="eastAsia" w:ascii="宋体" w:hAnsi="宋体" w:cs="宋体"/>
          <w:bCs/>
          <w:sz w:val="24"/>
          <w:szCs w:val="24"/>
          <w:highlight w:val="none"/>
          <w:lang w:val="en-US" w:eastAsia="zh-CN"/>
        </w:rPr>
        <w:t>按</w:t>
      </w:r>
      <w:r>
        <w:rPr>
          <w:rFonts w:hint="eastAsia" w:ascii="宋体" w:hAnsi="宋体" w:cs="宋体"/>
          <w:bCs/>
          <w:sz w:val="24"/>
          <w:szCs w:val="24"/>
          <w:highlight w:val="none"/>
        </w:rPr>
        <w:t>5.2 巡视周期</w:t>
      </w:r>
      <w:r>
        <w:rPr>
          <w:rFonts w:hint="eastAsia" w:ascii="宋体" w:hAnsi="宋体" w:cs="宋体"/>
          <w:bCs/>
          <w:sz w:val="24"/>
          <w:szCs w:val="24"/>
          <w:highlight w:val="none"/>
          <w:lang w:val="en-US" w:eastAsia="zh-CN"/>
        </w:rPr>
        <w:t>条款要求</w:t>
      </w:r>
      <w:r>
        <w:rPr>
          <w:rFonts w:hint="eastAsia" w:ascii="宋体" w:hAnsi="宋体" w:cs="宋体"/>
          <w:sz w:val="24"/>
          <w:szCs w:val="24"/>
          <w:highlight w:val="none"/>
        </w:rPr>
        <w:t>对线路所进行的巡视，包括对线路设备</w:t>
      </w:r>
      <w:r>
        <w:rPr>
          <w:rFonts w:hint="eastAsia" w:ascii="宋体" w:hAnsi="宋体" w:cs="宋体"/>
          <w:bCs/>
          <w:kern w:val="44"/>
          <w:sz w:val="24"/>
          <w:szCs w:val="24"/>
          <w:highlight w:val="none"/>
        </w:rPr>
        <w:t>（指线路本体和附属设备）和线路保护区（线路通道）所进行的巡视。</w:t>
      </w:r>
    </w:p>
    <w:p w14:paraId="14ACF158">
      <w:pPr>
        <w:spacing w:line="360" w:lineRule="auto"/>
        <w:rPr>
          <w:rFonts w:hint="eastAsia" w:ascii="宋体" w:hAnsi="宋体" w:cs="宋体"/>
          <w:bCs/>
          <w:kern w:val="44"/>
          <w:sz w:val="24"/>
          <w:szCs w:val="24"/>
          <w:highlight w:val="none"/>
        </w:rPr>
      </w:pPr>
      <w:r>
        <w:rPr>
          <w:rFonts w:hint="eastAsia" w:ascii="宋体" w:hAnsi="宋体" w:cs="宋体"/>
          <w:bCs/>
          <w:kern w:val="44"/>
          <w:sz w:val="24"/>
          <w:szCs w:val="24"/>
          <w:highlight w:val="none"/>
          <w:lang w:eastAsia="zh-CN"/>
        </w:rPr>
        <w:t>2.1</w:t>
      </w:r>
      <w:r>
        <w:rPr>
          <w:rFonts w:hint="eastAsia" w:ascii="宋体" w:hAnsi="宋体" w:cs="宋体"/>
          <w:bCs/>
          <w:kern w:val="44"/>
          <w:sz w:val="24"/>
          <w:szCs w:val="24"/>
          <w:highlight w:val="none"/>
        </w:rPr>
        <w:t>.1.1设备要求</w:t>
      </w:r>
    </w:p>
    <w:p w14:paraId="3E3DEF51">
      <w:pPr>
        <w:spacing w:line="360" w:lineRule="auto"/>
        <w:rPr>
          <w:rFonts w:hint="eastAsia"/>
          <w:sz w:val="24"/>
          <w:szCs w:val="24"/>
          <w:highlight w:val="none"/>
        </w:rPr>
      </w:pPr>
      <w:r>
        <w:rPr>
          <w:sz w:val="24"/>
          <w:szCs w:val="24"/>
          <w:highlight w:val="none"/>
        </w:rPr>
        <w:t>携带必要工具（如望远镜、红外测温仪、接地电阻测试仪、巡检记录仪、通讯设备</w:t>
      </w:r>
      <w:r>
        <w:rPr>
          <w:rFonts w:hint="eastAsia"/>
          <w:sz w:val="24"/>
          <w:szCs w:val="24"/>
          <w:highlight w:val="none"/>
        </w:rPr>
        <w:t>）</w:t>
      </w:r>
    </w:p>
    <w:p w14:paraId="76F909C8">
      <w:pPr>
        <w:pStyle w:val="3"/>
        <w:spacing w:line="360" w:lineRule="auto"/>
        <w:jc w:val="both"/>
        <w:rPr>
          <w:rFonts w:hint="eastAsia" w:ascii="宋体" w:hAnsi="宋体" w:cs="宋体"/>
          <w:b w:val="0"/>
          <w:bCs/>
          <w:sz w:val="24"/>
          <w:szCs w:val="24"/>
          <w:highlight w:val="none"/>
        </w:rPr>
      </w:pPr>
      <w:r>
        <w:rPr>
          <w:rFonts w:hint="eastAsia" w:ascii="宋体" w:hAnsi="宋体" w:cs="宋体"/>
          <w:b w:val="0"/>
          <w:bCs/>
          <w:sz w:val="24"/>
          <w:szCs w:val="24"/>
          <w:highlight w:val="none"/>
          <w:lang w:eastAsia="zh-CN"/>
        </w:rPr>
        <w:t>2.1</w:t>
      </w:r>
      <w:r>
        <w:rPr>
          <w:rFonts w:hint="eastAsia" w:ascii="宋体" w:hAnsi="宋体" w:cs="宋体"/>
          <w:b w:val="0"/>
          <w:bCs/>
          <w:sz w:val="24"/>
          <w:szCs w:val="24"/>
          <w:highlight w:val="none"/>
        </w:rPr>
        <w:t>.1.2安全要求</w:t>
      </w:r>
    </w:p>
    <w:p w14:paraId="53241032">
      <w:pPr>
        <w:spacing w:line="360" w:lineRule="auto"/>
        <w:rPr>
          <w:sz w:val="24"/>
          <w:szCs w:val="24"/>
          <w:highlight w:val="none"/>
        </w:rPr>
      </w:pPr>
      <w:r>
        <w:rPr>
          <w:rFonts w:hint="eastAsia"/>
          <w:sz w:val="24"/>
          <w:szCs w:val="24"/>
          <w:highlight w:val="none"/>
        </w:rPr>
        <w:t>a）</w:t>
      </w:r>
      <w:r>
        <w:rPr>
          <w:sz w:val="24"/>
          <w:szCs w:val="24"/>
          <w:highlight w:val="none"/>
        </w:rPr>
        <w:t>严禁在杆塔上攀爬（除非有专项检修任务并采取安全措施），严禁跨越线路保护区内的围栏、警示带；</w:t>
      </w:r>
    </w:p>
    <w:p w14:paraId="49E4BA61">
      <w:pPr>
        <w:spacing w:line="360" w:lineRule="auto"/>
        <w:rPr>
          <w:sz w:val="24"/>
          <w:szCs w:val="24"/>
          <w:highlight w:val="none"/>
        </w:rPr>
      </w:pPr>
      <w:r>
        <w:rPr>
          <w:rFonts w:hint="eastAsia"/>
          <w:sz w:val="24"/>
          <w:szCs w:val="24"/>
          <w:highlight w:val="none"/>
        </w:rPr>
        <w:t>b）</w:t>
      </w:r>
      <w:r>
        <w:rPr>
          <w:sz w:val="24"/>
          <w:szCs w:val="24"/>
          <w:highlight w:val="none"/>
        </w:rPr>
        <w:t>穿越山区、林区时需注意防滑、防蛇虫，避免进入未探明的危险区域（如跨越果园、牧区、山体、鸿沟、冬雪集聚）；</w:t>
      </w:r>
    </w:p>
    <w:p w14:paraId="70A1BE8F">
      <w:pPr>
        <w:spacing w:line="360" w:lineRule="auto"/>
        <w:rPr>
          <w:sz w:val="24"/>
          <w:szCs w:val="24"/>
          <w:highlight w:val="none"/>
        </w:rPr>
      </w:pPr>
      <w:r>
        <w:rPr>
          <w:sz w:val="24"/>
          <w:szCs w:val="24"/>
          <w:highlight w:val="none"/>
        </w:rPr>
        <w:t>雷雨天气严禁在杆塔附近停留，需远离线路下方，避免跨步电压风险。</w:t>
      </w:r>
    </w:p>
    <w:p w14:paraId="6C4CAB1D">
      <w:pPr>
        <w:pStyle w:val="3"/>
        <w:spacing w:line="360" w:lineRule="auto"/>
        <w:jc w:val="both"/>
        <w:rPr>
          <w:rFonts w:hint="eastAsia" w:ascii="宋体" w:hAnsi="宋体" w:cs="宋体"/>
          <w:b w:val="0"/>
          <w:bCs/>
          <w:sz w:val="24"/>
          <w:szCs w:val="24"/>
          <w:highlight w:val="none"/>
        </w:rPr>
      </w:pPr>
      <w:r>
        <w:rPr>
          <w:rFonts w:hint="eastAsia" w:ascii="宋体" w:hAnsi="宋体" w:cs="宋体"/>
          <w:b w:val="0"/>
          <w:bCs/>
          <w:sz w:val="24"/>
          <w:szCs w:val="24"/>
          <w:highlight w:val="none"/>
          <w:lang w:eastAsia="zh-CN"/>
        </w:rPr>
        <w:t>2.1</w:t>
      </w:r>
      <w:r>
        <w:rPr>
          <w:rFonts w:hint="eastAsia" w:ascii="宋体" w:hAnsi="宋体" w:cs="宋体"/>
          <w:b w:val="0"/>
          <w:bCs/>
          <w:sz w:val="24"/>
          <w:szCs w:val="24"/>
          <w:highlight w:val="none"/>
        </w:rPr>
        <w:t>.1.3质量要求</w:t>
      </w:r>
    </w:p>
    <w:p w14:paraId="34D258E9">
      <w:pPr>
        <w:spacing w:line="360" w:lineRule="auto"/>
        <w:rPr>
          <w:rFonts w:hint="eastAsia"/>
          <w:sz w:val="24"/>
          <w:szCs w:val="24"/>
          <w:highlight w:val="none"/>
          <w:lang w:val="en-US" w:eastAsia="zh-CN"/>
        </w:rPr>
      </w:pPr>
      <w:r>
        <w:rPr>
          <w:rFonts w:hint="eastAsia"/>
          <w:sz w:val="24"/>
          <w:szCs w:val="24"/>
          <w:highlight w:val="none"/>
          <w:lang w:val="en-US" w:eastAsia="zh-CN"/>
        </w:rPr>
        <w:t>一、纸质记录表核心信息填写要求​</w:t>
      </w:r>
    </w:p>
    <w:p w14:paraId="2D267FAC">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用纸质记录表实时记录巡检信息时，需准确填写各项内容，线路名称严格按照线路命名填写完整名称，禁止缩写或简称；杆塔号填写完整编号。</w:t>
      </w:r>
    </w:p>
    <w:p w14:paraId="01FD3A30">
      <w:pPr>
        <w:pStyle w:val="2"/>
        <w:bidi w:val="0"/>
        <w:rPr>
          <w:rFonts w:hint="eastAsia"/>
          <w:sz w:val="24"/>
          <w:szCs w:val="24"/>
          <w:lang w:val="en-US" w:eastAsia="zh-CN"/>
        </w:rPr>
      </w:pPr>
      <w:r>
        <w:rPr>
          <w:rFonts w:hint="eastAsia"/>
          <w:sz w:val="24"/>
          <w:szCs w:val="24"/>
          <w:lang w:val="en-US" w:eastAsia="zh-CN"/>
        </w:rPr>
        <w:t>3.巡检资料文件夹建立与归档规范​</w:t>
      </w:r>
    </w:p>
    <w:p w14:paraId="7FD4A1D6">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每条线路需单独制作一个名为 “电力线路巡检资料 - 线路名称” 的文件夹用于资料保存，文件夹下按 “YYYY-MM-DD ”格式建立巡检子文件夹，巡检子文件夹内再分设纸质记录表扫描件、照片资料、视频资料三个子目录，巡检当日需完成资料整理归档，纸质记录表交存管理部门，电子资料（扫描件、照片、视频）同步上传至班组电脑，确保纸质与电子资料一一对应。​</w:t>
      </w:r>
    </w:p>
    <w:p w14:paraId="2EC85662">
      <w:pPr>
        <w:spacing w:line="360" w:lineRule="auto"/>
        <w:rPr>
          <w:rFonts w:hint="eastAsia"/>
          <w:sz w:val="24"/>
          <w:szCs w:val="24"/>
          <w:highlight w:val="none"/>
          <w:lang w:val="en-US" w:eastAsia="zh-CN"/>
        </w:rPr>
      </w:pPr>
      <w:r>
        <w:rPr>
          <w:rFonts w:hint="eastAsia"/>
          <w:sz w:val="24"/>
          <w:szCs w:val="24"/>
          <w:highlight w:val="none"/>
          <w:lang w:val="en-US" w:eastAsia="zh-CN"/>
        </w:rPr>
        <w:t>三、现场拍照记录及拍摄要求​</w:t>
      </w:r>
    </w:p>
    <w:p w14:paraId="2C65FCF5">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巡检过程中，相邻杆塔之间的树障以及通道内新、改、扩建筑物需及时拍照记录：所有照片需添加不可篡改水印，水印位置统一在照片右下角且不遮挡核心观察部位；除相邻杆塔之间的照片外，每个铁塔的连接部分包括绝缘子、连接金具等需单独附照片，且在照片不影响观察的左上角标注相应的杆塔号及部位、通道内新、改、扩建筑物需拍摄全景、与线路的相对位置及高度/规模特写，同时记录建筑物名称（无名称则描述具体位置及类型）和建设进度。​</w:t>
      </w:r>
    </w:p>
    <w:p w14:paraId="45BD8C5B">
      <w:pPr>
        <w:spacing w:line="360" w:lineRule="auto"/>
        <w:rPr>
          <w:rFonts w:hint="eastAsia"/>
          <w:sz w:val="24"/>
          <w:szCs w:val="24"/>
          <w:highlight w:val="none"/>
          <w:lang w:val="en-US" w:eastAsia="zh-CN"/>
        </w:rPr>
      </w:pPr>
      <w:r>
        <w:rPr>
          <w:rFonts w:hint="eastAsia"/>
          <w:sz w:val="24"/>
          <w:szCs w:val="24"/>
          <w:highlight w:val="none"/>
          <w:lang w:val="en-US" w:eastAsia="zh-CN"/>
        </w:rPr>
        <w:t>四、特殊情况处理与补充要求​</w:t>
      </w:r>
    </w:p>
    <w:p w14:paraId="1A3D5D77">
      <w:pPr>
        <w:spacing w:line="360" w:lineRule="auto"/>
        <w:ind w:firstLine="480" w:firstLineChars="200"/>
        <w:rPr>
          <w:rFonts w:hint="eastAsia"/>
          <w:sz w:val="24"/>
          <w:szCs w:val="24"/>
          <w:highlight w:val="none"/>
        </w:rPr>
      </w:pPr>
      <w:r>
        <w:rPr>
          <w:rFonts w:hint="eastAsia"/>
          <w:sz w:val="24"/>
          <w:szCs w:val="24"/>
          <w:highlight w:val="none"/>
          <w:lang w:val="en-US" w:eastAsia="zh-CN"/>
        </w:rPr>
        <w:t>对无法判断树障与导线距离时，需采用多方位拍摄从各个角度分析，至少拍摄水平视角、仰视视角、远距离全景视角3个不同角度，照片中可放置巡检工具、已知长度的标杆等参照物辅助后期测量，禁止仅拍单一角度，禁止拍摄模糊、无水印、未标注的资料</w:t>
      </w:r>
      <w:r>
        <w:rPr>
          <w:rFonts w:hint="eastAsia"/>
          <w:sz w:val="24"/>
          <w:szCs w:val="24"/>
          <w:highlight w:val="none"/>
        </w:rPr>
        <w:t>。</w:t>
      </w:r>
    </w:p>
    <w:p w14:paraId="0CAE3FE8">
      <w:pPr>
        <w:spacing w:line="360" w:lineRule="auto"/>
        <w:ind w:firstLine="480" w:firstLineChars="200"/>
        <w:jc w:val="left"/>
        <w:rPr>
          <w:rFonts w:hint="eastAsia" w:ascii="Times New Roman" w:hAnsi="Times New Roman" w:eastAsia="宋体" w:cs="Times New Roman"/>
          <w:sz w:val="24"/>
          <w:szCs w:val="24"/>
          <w:highlight w:val="none"/>
        </w:rPr>
      </w:pPr>
      <w:r>
        <w:rPr>
          <w:rFonts w:hint="eastAsia" w:ascii="Times New Roman" w:hAnsi="Times New Roman" w:eastAsia="宋体" w:cs="Times New Roman"/>
          <w:strike w:val="0"/>
          <w:sz w:val="24"/>
          <w:szCs w:val="24"/>
          <w:highlight w:val="none"/>
          <w:lang w:val="en-US" w:eastAsia="zh-CN"/>
        </w:rPr>
        <w:t>投标方应按表2</w:t>
      </w:r>
      <w:r>
        <w:rPr>
          <w:rFonts w:hint="eastAsia" w:ascii="Times New Roman" w:hAnsi="Times New Roman" w:eastAsia="宋体" w:cs="Times New Roman"/>
          <w:sz w:val="24"/>
          <w:szCs w:val="24"/>
          <w:highlight w:val="none"/>
        </w:rPr>
        <w:t>架空输电线路巡检并消缺主要内容</w:t>
      </w:r>
      <w:r>
        <w:rPr>
          <w:rFonts w:hint="eastAsia" w:ascii="Times New Roman" w:hAnsi="Times New Roman" w:eastAsia="宋体" w:cs="Times New Roman"/>
          <w:sz w:val="24"/>
          <w:szCs w:val="24"/>
          <w:highlight w:val="none"/>
          <w:lang w:val="en-US" w:eastAsia="zh-CN"/>
        </w:rPr>
        <w:t>和</w:t>
      </w:r>
      <w:r>
        <w:rPr>
          <w:rFonts w:hint="eastAsia" w:ascii="Times New Roman" w:hAnsi="Times New Roman" w:eastAsia="宋体" w:cs="Times New Roman"/>
          <w:sz w:val="24"/>
          <w:szCs w:val="24"/>
          <w:highlight w:val="none"/>
        </w:rPr>
        <w:t>表3架空输电线路通道环境巡视并消缺主要内容</w:t>
      </w:r>
      <w:r>
        <w:rPr>
          <w:rFonts w:hint="eastAsia" w:ascii="Times New Roman" w:hAnsi="Times New Roman" w:eastAsia="宋体" w:cs="Times New Roman"/>
          <w:sz w:val="24"/>
          <w:szCs w:val="24"/>
          <w:highlight w:val="none"/>
          <w:lang w:val="en-US" w:eastAsia="zh-CN"/>
        </w:rPr>
        <w:t>所列，对输电线路进行巡检并消缺。应</w:t>
      </w:r>
      <w:r>
        <w:rPr>
          <w:rFonts w:hint="eastAsia" w:ascii="Times New Roman" w:hAnsi="Times New Roman" w:eastAsia="宋体" w:cs="Times New Roman"/>
          <w:strike w:val="0"/>
          <w:sz w:val="24"/>
          <w:szCs w:val="24"/>
          <w:highlight w:val="none"/>
          <w:lang w:val="en-US" w:eastAsia="zh-CN"/>
        </w:rPr>
        <w:t>对线路的绝缘连接件进行全面检查，并及时消缺，确保线路绝缘性能达标；应仔细核查标示牌等附属设施，对损坏、缺失的进行更换与补充，规范线路标识；应持续开展线路廊道的树障清理工作，消除树木对线路安全运行的潜在威胁。</w:t>
      </w:r>
    </w:p>
    <w:p w14:paraId="4FFFD02A">
      <w:pPr>
        <w:spacing w:line="360" w:lineRule="auto"/>
        <w:rPr>
          <w:rFonts w:hint="eastAsia"/>
          <w:sz w:val="24"/>
          <w:szCs w:val="24"/>
          <w:highlight w:val="none"/>
        </w:rPr>
      </w:pPr>
      <w:r>
        <w:rPr>
          <w:rFonts w:hint="eastAsia"/>
          <w:sz w:val="24"/>
          <w:szCs w:val="24"/>
          <w:highlight w:val="none"/>
        </w:rPr>
        <w:t>隐患闭环：</w:t>
      </w:r>
    </w:p>
    <w:p w14:paraId="63E5E5A1">
      <w:pPr>
        <w:spacing w:line="360" w:lineRule="auto"/>
        <w:rPr>
          <w:rFonts w:hint="eastAsia"/>
          <w:sz w:val="24"/>
          <w:szCs w:val="24"/>
          <w:highlight w:val="none"/>
        </w:rPr>
      </w:pPr>
      <w:r>
        <w:rPr>
          <w:rFonts w:hint="eastAsia"/>
          <w:sz w:val="24"/>
          <w:szCs w:val="24"/>
          <w:highlight w:val="none"/>
          <w:lang w:val="en-US" w:eastAsia="zh-CN"/>
        </w:rPr>
        <w:t>a</w:t>
      </w:r>
      <w:r>
        <w:rPr>
          <w:rFonts w:hint="eastAsia"/>
          <w:sz w:val="24"/>
          <w:szCs w:val="24"/>
          <w:highlight w:val="none"/>
        </w:rPr>
        <w:t>）一般隐患（如标识牌模糊）：需在 3 个工作日内完成整改；</w:t>
      </w:r>
    </w:p>
    <w:p w14:paraId="467C5D5B">
      <w:pPr>
        <w:spacing w:line="360" w:lineRule="auto"/>
        <w:rPr>
          <w:rFonts w:hint="eastAsia"/>
          <w:sz w:val="24"/>
          <w:szCs w:val="24"/>
          <w:highlight w:val="none"/>
        </w:rPr>
      </w:pPr>
      <w:r>
        <w:rPr>
          <w:rFonts w:hint="eastAsia"/>
          <w:sz w:val="24"/>
          <w:szCs w:val="24"/>
          <w:highlight w:val="none"/>
          <w:lang w:val="en-US" w:eastAsia="zh-CN"/>
        </w:rPr>
        <w:t>b</w:t>
      </w:r>
      <w:r>
        <w:rPr>
          <w:rFonts w:hint="eastAsia"/>
          <w:sz w:val="24"/>
          <w:szCs w:val="24"/>
          <w:highlight w:val="none"/>
        </w:rPr>
        <w:t>）重要隐患（如树障超限、金具螺栓松动）：需在 7 个工作日内制定整改方案并启动整改，整改期间需采取临时防护措施（如设置警示标识）；</w:t>
      </w:r>
    </w:p>
    <w:p w14:paraId="04019B71">
      <w:pPr>
        <w:spacing w:line="360" w:lineRule="auto"/>
        <w:rPr>
          <w:sz w:val="24"/>
          <w:szCs w:val="24"/>
          <w:highlight w:val="none"/>
        </w:rPr>
      </w:pPr>
      <w:r>
        <w:rPr>
          <w:rFonts w:hint="eastAsia"/>
          <w:sz w:val="24"/>
          <w:szCs w:val="24"/>
          <w:highlight w:val="none"/>
          <w:lang w:val="en-US" w:eastAsia="zh-CN"/>
        </w:rPr>
        <w:t>c</w:t>
      </w:r>
      <w:r>
        <w:rPr>
          <w:rFonts w:hint="eastAsia"/>
          <w:sz w:val="24"/>
          <w:szCs w:val="24"/>
          <w:highlight w:val="none"/>
        </w:rPr>
        <w:t>）紧急隐患（如导线断股、接地引下线断裂、重大外力破坏）：需立即停止线路运行（若有必要），并在 2 小时内上报车间内负责人，4 小时内到场处置，整改完成后需验收合格方可恢复运行；所有隐患需建立 “发现 - 上报 - 整改 - 验收 ” 全流程台账，确保无遗漏、无积压。</w:t>
      </w:r>
    </w:p>
    <w:p w14:paraId="5C503D35">
      <w:pPr>
        <w:spacing w:line="360" w:lineRule="auto"/>
        <w:jc w:val="center"/>
        <w:rPr>
          <w:rFonts w:hint="eastAsia" w:ascii="宋体" w:hAnsi="宋体" w:cs="宋体"/>
          <w:sz w:val="24"/>
          <w:szCs w:val="24"/>
          <w:highlight w:val="none"/>
        </w:rPr>
      </w:pPr>
    </w:p>
    <w:p w14:paraId="7BE77CD0">
      <w:pPr>
        <w:spacing w:line="360" w:lineRule="auto"/>
        <w:jc w:val="center"/>
        <w:rPr>
          <w:rFonts w:hint="eastAsia"/>
          <w:sz w:val="24"/>
          <w:szCs w:val="24"/>
          <w:highlight w:val="none"/>
        </w:rPr>
      </w:pPr>
      <w:r>
        <w:rPr>
          <w:rFonts w:hint="eastAsia" w:ascii="宋体" w:hAnsi="宋体" w:cs="宋体"/>
          <w:sz w:val="24"/>
          <w:szCs w:val="24"/>
          <w:highlight w:val="none"/>
        </w:rPr>
        <w:t>表</w:t>
      </w:r>
      <w:r>
        <w:rPr>
          <w:rFonts w:hint="eastAsia" w:ascii="宋体" w:hAnsi="宋体" w:cs="宋体"/>
          <w:sz w:val="24"/>
          <w:szCs w:val="24"/>
          <w:highlight w:val="none"/>
          <w:lang w:val="en-US" w:eastAsia="zh-CN"/>
        </w:rPr>
        <w:t>.</w:t>
      </w:r>
      <w:r>
        <w:rPr>
          <w:rFonts w:hint="eastAsia" w:ascii="宋体" w:hAnsi="宋体" w:cs="宋体"/>
          <w:sz w:val="24"/>
          <w:szCs w:val="24"/>
          <w:highlight w:val="none"/>
        </w:rPr>
        <w:t xml:space="preserve"> 架空输电线路巡检并消缺主要内容</w:t>
      </w:r>
    </w:p>
    <w:tbl>
      <w:tblPr>
        <w:tblStyle w:val="5"/>
        <w:tblW w:w="94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5"/>
        <w:gridCol w:w="2487"/>
        <w:gridCol w:w="6177"/>
      </w:tblGrid>
      <w:tr w14:paraId="1095D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3242" w:type="dxa"/>
            <w:gridSpan w:val="2"/>
            <w:noWrap w:val="0"/>
            <w:vAlign w:val="center"/>
          </w:tcPr>
          <w:p w14:paraId="79105DC2">
            <w:pPr>
              <w:pStyle w:val="9"/>
              <w:spacing w:line="360" w:lineRule="auto"/>
              <w:ind w:firstLine="0" w:firstLineChars="0"/>
              <w:jc w:val="center"/>
              <w:rPr>
                <w:rFonts w:hint="eastAsia" w:ascii="宋体" w:hAnsi="宋体" w:cs="宋体"/>
                <w:b/>
                <w:bCs/>
                <w:sz w:val="24"/>
                <w:szCs w:val="24"/>
                <w:highlight w:val="none"/>
              </w:rPr>
            </w:pPr>
            <w:r>
              <w:rPr>
                <w:rFonts w:hint="eastAsia" w:ascii="宋体" w:hAnsi="宋体" w:cs="宋体"/>
                <w:b/>
                <w:bCs/>
                <w:sz w:val="24"/>
                <w:szCs w:val="24"/>
                <w:highlight w:val="none"/>
              </w:rPr>
              <w:t>巡视对象</w:t>
            </w:r>
          </w:p>
        </w:tc>
        <w:tc>
          <w:tcPr>
            <w:tcW w:w="6177" w:type="dxa"/>
            <w:noWrap w:val="0"/>
            <w:vAlign w:val="center"/>
          </w:tcPr>
          <w:p w14:paraId="55950D4A">
            <w:pPr>
              <w:pStyle w:val="9"/>
              <w:spacing w:line="360" w:lineRule="auto"/>
              <w:ind w:firstLine="0" w:firstLineChars="0"/>
              <w:jc w:val="center"/>
              <w:rPr>
                <w:rFonts w:hint="eastAsia" w:ascii="宋体" w:hAnsi="宋体" w:cs="宋体"/>
                <w:b/>
                <w:bCs/>
                <w:sz w:val="24"/>
                <w:szCs w:val="24"/>
                <w:highlight w:val="none"/>
              </w:rPr>
            </w:pPr>
            <w:r>
              <w:rPr>
                <w:rFonts w:hint="eastAsia" w:ascii="宋体" w:hAnsi="宋体" w:cs="宋体"/>
                <w:b/>
                <w:bCs/>
                <w:sz w:val="24"/>
                <w:szCs w:val="24"/>
                <w:highlight w:val="none"/>
              </w:rPr>
              <w:t>检查线路本体和附属设施有无以下缺陷并消缺</w:t>
            </w:r>
          </w:p>
        </w:tc>
      </w:tr>
      <w:tr w14:paraId="1C733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755" w:type="dxa"/>
            <w:vMerge w:val="restart"/>
            <w:noWrap w:val="0"/>
            <w:vAlign w:val="center"/>
          </w:tcPr>
          <w:p w14:paraId="30F594FC">
            <w:pPr>
              <w:pStyle w:val="9"/>
              <w:spacing w:line="360" w:lineRule="auto"/>
              <w:ind w:firstLine="0" w:firstLineChars="0"/>
              <w:jc w:val="center"/>
              <w:rPr>
                <w:rFonts w:hint="eastAsia" w:ascii="宋体" w:hAnsi="宋体" w:cs="宋体"/>
                <w:kern w:val="0"/>
                <w:sz w:val="24"/>
                <w:szCs w:val="24"/>
                <w:highlight w:val="none"/>
              </w:rPr>
            </w:pPr>
            <w:r>
              <w:rPr>
                <w:rFonts w:hint="eastAsia" w:ascii="宋体" w:hAnsi="宋体" w:cs="宋体"/>
                <w:kern w:val="0"/>
                <w:sz w:val="24"/>
                <w:szCs w:val="24"/>
                <w:highlight w:val="none"/>
              </w:rPr>
              <w:t>线路本体</w:t>
            </w:r>
          </w:p>
        </w:tc>
        <w:tc>
          <w:tcPr>
            <w:tcW w:w="2487" w:type="dxa"/>
            <w:noWrap w:val="0"/>
            <w:vAlign w:val="center"/>
          </w:tcPr>
          <w:p w14:paraId="085554FB">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地基与基面</w:t>
            </w:r>
          </w:p>
        </w:tc>
        <w:tc>
          <w:tcPr>
            <w:tcW w:w="6177" w:type="dxa"/>
            <w:noWrap w:val="0"/>
            <w:vAlign w:val="center"/>
          </w:tcPr>
          <w:p w14:paraId="4F76DEB4">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回填土下沉或缺土、水淹、冻胀、堆积杂物等；</w:t>
            </w:r>
          </w:p>
        </w:tc>
      </w:tr>
      <w:tr w14:paraId="6DF0E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755" w:type="dxa"/>
            <w:vMerge w:val="continue"/>
            <w:noWrap w:val="0"/>
            <w:vAlign w:val="top"/>
          </w:tcPr>
          <w:p w14:paraId="6B75934D">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5CC1784A">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杆塔基础</w:t>
            </w:r>
          </w:p>
        </w:tc>
        <w:tc>
          <w:tcPr>
            <w:tcW w:w="6177" w:type="dxa"/>
            <w:noWrap w:val="0"/>
            <w:vAlign w:val="center"/>
          </w:tcPr>
          <w:p w14:paraId="43D5E03E">
            <w:pPr>
              <w:pStyle w:val="9"/>
              <w:spacing w:line="360" w:lineRule="auto"/>
              <w:ind w:firstLine="0" w:firstLineChars="0"/>
              <w:rPr>
                <w:rFonts w:hint="eastAsia" w:ascii="宋体" w:hAnsi="宋体" w:cs="宋体"/>
                <w:sz w:val="24"/>
                <w:szCs w:val="24"/>
                <w:highlight w:val="none"/>
              </w:rPr>
            </w:pPr>
            <w:r>
              <w:rPr>
                <w:rFonts w:hint="eastAsia" w:ascii="宋体" w:hAnsi="宋体" w:cs="宋体"/>
                <w:sz w:val="24"/>
                <w:szCs w:val="24"/>
                <w:highlight w:val="none"/>
              </w:rPr>
              <w:t>破损、酥松、裂纹、漏筋、基础下沉、保护帽破损、边坡保护不够等；</w:t>
            </w:r>
          </w:p>
        </w:tc>
      </w:tr>
      <w:tr w14:paraId="1FA2C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1" w:hRule="atLeast"/>
          <w:jc w:val="center"/>
        </w:trPr>
        <w:tc>
          <w:tcPr>
            <w:tcW w:w="755" w:type="dxa"/>
            <w:vMerge w:val="continue"/>
            <w:noWrap w:val="0"/>
            <w:vAlign w:val="top"/>
          </w:tcPr>
          <w:p w14:paraId="776BACE8">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5361DA69">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杆塔</w:t>
            </w:r>
          </w:p>
        </w:tc>
        <w:tc>
          <w:tcPr>
            <w:tcW w:w="6177" w:type="dxa"/>
            <w:noWrap w:val="0"/>
            <w:vAlign w:val="center"/>
          </w:tcPr>
          <w:p w14:paraId="1B2A981A">
            <w:pPr>
              <w:pStyle w:val="9"/>
              <w:spacing w:line="360" w:lineRule="auto"/>
              <w:ind w:firstLine="0" w:firstLineChars="0"/>
              <w:rPr>
                <w:rFonts w:hint="eastAsia" w:ascii="宋体" w:hAnsi="宋体" w:cs="宋体"/>
                <w:sz w:val="24"/>
                <w:szCs w:val="24"/>
                <w:highlight w:val="none"/>
              </w:rPr>
            </w:pPr>
            <w:r>
              <w:rPr>
                <w:rFonts w:hint="eastAsia" w:ascii="宋体" w:hAnsi="宋体" w:cs="宋体"/>
                <w:sz w:val="24"/>
                <w:szCs w:val="24"/>
                <w:highlight w:val="none"/>
              </w:rPr>
              <w:t>杆塔倾斜、主材弯曲、地线支架变形、塔材、螺栓丢失、严重锈蚀、脚钉缺失、爬梯变形、土埋塔脚等；混凝土杆未封顶、破损、裂纹等；</w:t>
            </w:r>
          </w:p>
        </w:tc>
      </w:tr>
      <w:tr w14:paraId="2ABD8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3" w:hRule="atLeast"/>
          <w:jc w:val="center"/>
        </w:trPr>
        <w:tc>
          <w:tcPr>
            <w:tcW w:w="755" w:type="dxa"/>
            <w:vMerge w:val="continue"/>
            <w:noWrap w:val="0"/>
            <w:vAlign w:val="top"/>
          </w:tcPr>
          <w:p w14:paraId="36734507">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742595F0">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接地装置</w:t>
            </w:r>
          </w:p>
        </w:tc>
        <w:tc>
          <w:tcPr>
            <w:tcW w:w="6177" w:type="dxa"/>
            <w:noWrap w:val="0"/>
            <w:vAlign w:val="center"/>
          </w:tcPr>
          <w:p w14:paraId="352978D5">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断裂、严重锈蚀、螺栓松脱、接地带丢失、接地带外露、接地带连接部位有雷电烧痕等；</w:t>
            </w:r>
          </w:p>
        </w:tc>
      </w:tr>
      <w:tr w14:paraId="46719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jc w:val="center"/>
        </w:trPr>
        <w:tc>
          <w:tcPr>
            <w:tcW w:w="755" w:type="dxa"/>
            <w:vMerge w:val="continue"/>
            <w:noWrap w:val="0"/>
            <w:vAlign w:val="top"/>
          </w:tcPr>
          <w:p w14:paraId="0C257DBA">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25857FFE">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拉线及基础</w:t>
            </w:r>
          </w:p>
        </w:tc>
        <w:tc>
          <w:tcPr>
            <w:tcW w:w="6177" w:type="dxa"/>
            <w:noWrap w:val="0"/>
            <w:vAlign w:val="center"/>
          </w:tcPr>
          <w:p w14:paraId="2982C0C4">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拉线金具等被拆卸、拉线棒严重锈蚀或蚀损、拉线松弛、断股、严重锈蚀、基础回填土下沉或缺土等；</w:t>
            </w:r>
          </w:p>
        </w:tc>
      </w:tr>
      <w:tr w14:paraId="4C9DB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3" w:hRule="atLeast"/>
          <w:jc w:val="center"/>
        </w:trPr>
        <w:tc>
          <w:tcPr>
            <w:tcW w:w="755" w:type="dxa"/>
            <w:vMerge w:val="continue"/>
            <w:noWrap w:val="0"/>
            <w:vAlign w:val="top"/>
          </w:tcPr>
          <w:p w14:paraId="7F749BC8">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3DB7CF5C">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绝缘子</w:t>
            </w:r>
          </w:p>
        </w:tc>
        <w:tc>
          <w:tcPr>
            <w:tcW w:w="6177" w:type="dxa"/>
            <w:noWrap w:val="0"/>
            <w:vAlign w:val="center"/>
          </w:tcPr>
          <w:p w14:paraId="59B1F946">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伞裙破损、严重污秽、有放电痕迹、弹簧销缺损、钢帽裂纹、断裂、钢脚严重锈蚀或蚀损、绝缘子串顺线路方向倾角大于7.5°或300mm；</w:t>
            </w:r>
          </w:p>
        </w:tc>
      </w:tr>
      <w:tr w14:paraId="0A666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jc w:val="center"/>
        </w:trPr>
        <w:tc>
          <w:tcPr>
            <w:tcW w:w="755" w:type="dxa"/>
            <w:vMerge w:val="continue"/>
            <w:noWrap w:val="0"/>
            <w:vAlign w:val="top"/>
          </w:tcPr>
          <w:p w14:paraId="4CF93E9F">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1375F854">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导线、地线、引流线、屏蔽线、OPGW</w:t>
            </w:r>
          </w:p>
        </w:tc>
        <w:tc>
          <w:tcPr>
            <w:tcW w:w="6177" w:type="dxa"/>
            <w:noWrap w:val="0"/>
            <w:vAlign w:val="center"/>
          </w:tcPr>
          <w:p w14:paraId="51C1B74D">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散股、断股、损伤、断线、放电烧伤、导线接头部位过热、悬挂漂浮物、弧垂过大或过小、严重锈蚀、有电晕现象、导线缠绕(混线)、覆冰、舞动、风偏过大、对交叉跨越物距离不够等；</w:t>
            </w:r>
          </w:p>
        </w:tc>
      </w:tr>
      <w:tr w14:paraId="14FFE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4" w:hRule="atLeast"/>
          <w:jc w:val="center"/>
        </w:trPr>
        <w:tc>
          <w:tcPr>
            <w:tcW w:w="755" w:type="dxa"/>
            <w:vMerge w:val="continue"/>
            <w:noWrap w:val="0"/>
            <w:vAlign w:val="top"/>
          </w:tcPr>
          <w:p w14:paraId="75B5D718">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45BC21F1">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线路金具</w:t>
            </w:r>
          </w:p>
        </w:tc>
        <w:tc>
          <w:tcPr>
            <w:tcW w:w="6177" w:type="dxa"/>
            <w:noWrap w:val="0"/>
            <w:vAlign w:val="center"/>
          </w:tcPr>
          <w:p w14:paraId="06BEB4DE">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线夹断裂、裂纹、磨损、销钉脱落或严重锈蚀；螺栓松动；防振锤跑位、脱落、严重锈蚀；各种连板、连接环、调整板损伤、裂纹等；</w:t>
            </w:r>
          </w:p>
        </w:tc>
      </w:tr>
      <w:tr w14:paraId="5BDDF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755" w:type="dxa"/>
            <w:vMerge w:val="restart"/>
            <w:noWrap w:val="0"/>
            <w:vAlign w:val="top"/>
          </w:tcPr>
          <w:p w14:paraId="78A20F8C">
            <w:pPr>
              <w:pStyle w:val="9"/>
              <w:spacing w:line="360" w:lineRule="auto"/>
              <w:ind w:firstLine="0" w:firstLineChars="0"/>
              <w:jc w:val="left"/>
              <w:rPr>
                <w:rFonts w:hint="eastAsia" w:ascii="宋体" w:hAnsi="宋体" w:cs="宋体"/>
                <w:kern w:val="0"/>
                <w:sz w:val="24"/>
                <w:szCs w:val="24"/>
                <w:highlight w:val="none"/>
              </w:rPr>
            </w:pPr>
            <w:r>
              <w:rPr>
                <w:rFonts w:hint="eastAsia" w:ascii="宋体" w:hAnsi="宋体" w:cs="宋体"/>
                <w:kern w:val="0"/>
                <w:sz w:val="24"/>
                <w:szCs w:val="24"/>
                <w:highlight w:val="none"/>
              </w:rPr>
              <w:t>附属设施</w:t>
            </w:r>
          </w:p>
        </w:tc>
        <w:tc>
          <w:tcPr>
            <w:tcW w:w="2487" w:type="dxa"/>
            <w:noWrap w:val="0"/>
            <w:vAlign w:val="center"/>
          </w:tcPr>
          <w:p w14:paraId="30410137">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防雷装置</w:t>
            </w:r>
          </w:p>
        </w:tc>
        <w:tc>
          <w:tcPr>
            <w:tcW w:w="6177" w:type="dxa"/>
            <w:noWrap w:val="0"/>
            <w:vAlign w:val="center"/>
          </w:tcPr>
          <w:p w14:paraId="2235DE9E">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避雷器动作异常、计数器失效、破损、变形、引线松脱；放电间隙变化、烧伤等；</w:t>
            </w:r>
          </w:p>
        </w:tc>
      </w:tr>
      <w:tr w14:paraId="7F490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755" w:type="dxa"/>
            <w:vMerge w:val="continue"/>
            <w:noWrap w:val="0"/>
            <w:vAlign w:val="top"/>
          </w:tcPr>
          <w:p w14:paraId="47B507AB">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726B3ADC">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防鸟装置</w:t>
            </w:r>
          </w:p>
        </w:tc>
        <w:tc>
          <w:tcPr>
            <w:tcW w:w="6177" w:type="dxa"/>
            <w:noWrap w:val="0"/>
            <w:vAlign w:val="center"/>
          </w:tcPr>
          <w:p w14:paraId="1FC060EC">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固定式：破损、变形、螺栓松脱；</w:t>
            </w:r>
          </w:p>
        </w:tc>
      </w:tr>
      <w:tr w14:paraId="3F8A2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755" w:type="dxa"/>
            <w:vMerge w:val="continue"/>
            <w:noWrap w:val="0"/>
            <w:vAlign w:val="top"/>
          </w:tcPr>
          <w:p w14:paraId="40DC1EA4">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445AED17">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各种监测装置</w:t>
            </w:r>
          </w:p>
        </w:tc>
        <w:tc>
          <w:tcPr>
            <w:tcW w:w="6177" w:type="dxa"/>
            <w:noWrap w:val="0"/>
            <w:vAlign w:val="center"/>
          </w:tcPr>
          <w:p w14:paraId="014BE33E">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缺失、损坏、功能失效等；</w:t>
            </w:r>
          </w:p>
        </w:tc>
      </w:tr>
      <w:tr w14:paraId="39730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atLeast"/>
          <w:jc w:val="center"/>
        </w:trPr>
        <w:tc>
          <w:tcPr>
            <w:tcW w:w="755" w:type="dxa"/>
            <w:vMerge w:val="continue"/>
            <w:noWrap w:val="0"/>
            <w:vAlign w:val="top"/>
          </w:tcPr>
          <w:p w14:paraId="42C55986">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3BD822FB">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杆号、警告、防护、指示、相位等标识</w:t>
            </w:r>
          </w:p>
        </w:tc>
        <w:tc>
          <w:tcPr>
            <w:tcW w:w="6177" w:type="dxa"/>
            <w:noWrap w:val="0"/>
            <w:vAlign w:val="center"/>
          </w:tcPr>
          <w:p w14:paraId="5F2029A3">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缺失、损坏、字迹或颜色不清、严重锈蚀等；</w:t>
            </w:r>
          </w:p>
        </w:tc>
      </w:tr>
      <w:tr w14:paraId="43EC1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755" w:type="dxa"/>
            <w:vMerge w:val="continue"/>
            <w:noWrap w:val="0"/>
            <w:vAlign w:val="top"/>
          </w:tcPr>
          <w:p w14:paraId="6BB48B45">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1BAF3D64">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ADSS光缆</w:t>
            </w:r>
          </w:p>
        </w:tc>
        <w:tc>
          <w:tcPr>
            <w:tcW w:w="6177" w:type="dxa"/>
            <w:noWrap w:val="0"/>
            <w:vAlign w:val="center"/>
          </w:tcPr>
          <w:p w14:paraId="14B0EF53">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损坏、断裂、驰度变化等；</w:t>
            </w:r>
          </w:p>
        </w:tc>
      </w:tr>
      <w:tr w14:paraId="3ADFA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5" w:type="dxa"/>
            <w:vMerge w:val="continue"/>
            <w:noWrap w:val="0"/>
            <w:vAlign w:val="top"/>
          </w:tcPr>
          <w:p w14:paraId="1FAB8B4C">
            <w:pPr>
              <w:pStyle w:val="9"/>
              <w:spacing w:line="360" w:lineRule="auto"/>
              <w:ind w:firstLine="0" w:firstLineChars="0"/>
              <w:jc w:val="left"/>
              <w:rPr>
                <w:rFonts w:hint="eastAsia" w:ascii="宋体" w:hAnsi="宋体" w:cs="宋体"/>
                <w:kern w:val="0"/>
                <w:sz w:val="24"/>
                <w:szCs w:val="24"/>
                <w:highlight w:val="none"/>
              </w:rPr>
            </w:pPr>
          </w:p>
        </w:tc>
        <w:tc>
          <w:tcPr>
            <w:tcW w:w="2487" w:type="dxa"/>
            <w:noWrap w:val="0"/>
            <w:vAlign w:val="center"/>
          </w:tcPr>
          <w:p w14:paraId="1B92D739">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电缆井</w:t>
            </w:r>
          </w:p>
        </w:tc>
        <w:tc>
          <w:tcPr>
            <w:tcW w:w="6177" w:type="dxa"/>
            <w:noWrap w:val="0"/>
            <w:vAlign w:val="center"/>
          </w:tcPr>
          <w:p w14:paraId="08EBED50">
            <w:pPr>
              <w:pStyle w:val="9"/>
              <w:spacing w:line="360" w:lineRule="auto"/>
              <w:ind w:firstLine="0" w:firstLineChars="0"/>
              <w:rPr>
                <w:rFonts w:hint="eastAsia" w:ascii="宋体" w:hAnsi="宋体" w:cs="宋体"/>
                <w:kern w:val="0"/>
                <w:sz w:val="24"/>
                <w:szCs w:val="24"/>
                <w:highlight w:val="none"/>
              </w:rPr>
            </w:pPr>
            <w:r>
              <w:rPr>
                <w:rFonts w:hint="eastAsia" w:ascii="宋体" w:hAnsi="宋体" w:cs="宋体"/>
                <w:kern w:val="0"/>
                <w:sz w:val="24"/>
                <w:szCs w:val="24"/>
                <w:highlight w:val="none"/>
              </w:rPr>
              <w:t>电缆井破损、塌方；电缆井中有积水、杂物、小动物，电缆井中电缆破损等。</w:t>
            </w:r>
          </w:p>
        </w:tc>
      </w:tr>
    </w:tbl>
    <w:p w14:paraId="3ED2CD7E">
      <w:pPr>
        <w:spacing w:line="360" w:lineRule="auto"/>
        <w:ind w:firstLine="1680" w:firstLineChars="700"/>
        <w:rPr>
          <w:rFonts w:hint="eastAsia" w:ascii="宋体" w:hAnsi="宋体" w:cs="宋体"/>
          <w:sz w:val="24"/>
          <w:szCs w:val="24"/>
          <w:highlight w:val="none"/>
        </w:rPr>
      </w:pPr>
    </w:p>
    <w:p w14:paraId="2E37AC34">
      <w:pPr>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表</w:t>
      </w:r>
      <w:r>
        <w:rPr>
          <w:rFonts w:hint="eastAsia" w:ascii="宋体" w:hAnsi="宋体" w:cs="宋体"/>
          <w:sz w:val="24"/>
          <w:szCs w:val="24"/>
          <w:highlight w:val="none"/>
          <w:lang w:val="en-US" w:eastAsia="zh-CN"/>
        </w:rPr>
        <w:t>.</w:t>
      </w:r>
      <w:r>
        <w:rPr>
          <w:rFonts w:hint="eastAsia" w:ascii="宋体" w:hAnsi="宋体" w:cs="宋体"/>
          <w:sz w:val="24"/>
          <w:szCs w:val="24"/>
          <w:highlight w:val="none"/>
        </w:rPr>
        <w:t>架空输电线路通道环境巡视并消缺主要内容表</w:t>
      </w:r>
    </w:p>
    <w:tbl>
      <w:tblPr>
        <w:tblStyle w:val="5"/>
        <w:tblW w:w="94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8"/>
        <w:gridCol w:w="2317"/>
        <w:gridCol w:w="6324"/>
      </w:tblGrid>
      <w:tr w14:paraId="17964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3155" w:type="dxa"/>
            <w:gridSpan w:val="2"/>
            <w:noWrap w:val="0"/>
            <w:vAlign w:val="center"/>
          </w:tcPr>
          <w:p w14:paraId="1A24B8F4">
            <w:pPr>
              <w:spacing w:line="360" w:lineRule="auto"/>
              <w:jc w:val="center"/>
              <w:rPr>
                <w:rFonts w:hint="eastAsia" w:ascii="宋体" w:hAnsi="宋体" w:cs="宋体"/>
                <w:b/>
                <w:bCs/>
                <w:sz w:val="24"/>
                <w:szCs w:val="24"/>
                <w:highlight w:val="none"/>
              </w:rPr>
            </w:pPr>
            <w:r>
              <w:rPr>
                <w:rFonts w:hint="eastAsia" w:ascii="宋体" w:hAnsi="宋体" w:cs="宋体"/>
                <w:b/>
                <w:bCs/>
                <w:sz w:val="24"/>
                <w:szCs w:val="24"/>
                <w:highlight w:val="none"/>
              </w:rPr>
              <w:t>巡视对象</w:t>
            </w:r>
          </w:p>
        </w:tc>
        <w:tc>
          <w:tcPr>
            <w:tcW w:w="6324" w:type="dxa"/>
            <w:noWrap w:val="0"/>
            <w:vAlign w:val="center"/>
          </w:tcPr>
          <w:p w14:paraId="14589B22">
            <w:pPr>
              <w:spacing w:line="360" w:lineRule="auto"/>
              <w:jc w:val="center"/>
              <w:rPr>
                <w:rFonts w:hint="eastAsia" w:ascii="宋体" w:hAnsi="宋体" w:cs="宋体"/>
                <w:b/>
                <w:bCs/>
                <w:sz w:val="24"/>
                <w:szCs w:val="24"/>
                <w:highlight w:val="none"/>
              </w:rPr>
            </w:pPr>
            <w:r>
              <w:rPr>
                <w:rFonts w:hint="eastAsia" w:ascii="宋体" w:hAnsi="宋体" w:cs="宋体"/>
                <w:b/>
                <w:bCs/>
                <w:sz w:val="24"/>
                <w:szCs w:val="24"/>
                <w:highlight w:val="none"/>
              </w:rPr>
              <w:t>检查线路通道环境有无以下缺陷并消缺</w:t>
            </w:r>
          </w:p>
        </w:tc>
      </w:tr>
      <w:tr w14:paraId="068C0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838" w:type="dxa"/>
            <w:vMerge w:val="restart"/>
            <w:noWrap w:val="0"/>
            <w:vAlign w:val="center"/>
          </w:tcPr>
          <w:p w14:paraId="4D613364">
            <w:pPr>
              <w:spacing w:line="360" w:lineRule="auto"/>
              <w:rPr>
                <w:rFonts w:hint="eastAsia" w:ascii="宋体" w:hAnsi="宋体" w:cs="宋体"/>
                <w:sz w:val="24"/>
                <w:szCs w:val="24"/>
                <w:highlight w:val="none"/>
              </w:rPr>
            </w:pPr>
            <w:r>
              <w:rPr>
                <w:rFonts w:hint="eastAsia" w:ascii="宋体" w:hAnsi="宋体" w:cs="宋体"/>
                <w:sz w:val="24"/>
                <w:szCs w:val="24"/>
                <w:highlight w:val="none"/>
              </w:rPr>
              <w:t>线路通道环境</w:t>
            </w:r>
          </w:p>
        </w:tc>
        <w:tc>
          <w:tcPr>
            <w:tcW w:w="2317" w:type="dxa"/>
            <w:vMerge w:val="restart"/>
            <w:noWrap w:val="0"/>
            <w:vAlign w:val="center"/>
          </w:tcPr>
          <w:p w14:paraId="3F63CFE8">
            <w:pPr>
              <w:spacing w:line="360" w:lineRule="auto"/>
              <w:rPr>
                <w:rFonts w:hint="eastAsia" w:ascii="宋体" w:hAnsi="宋体" w:cs="宋体"/>
                <w:sz w:val="24"/>
                <w:szCs w:val="24"/>
                <w:highlight w:val="none"/>
              </w:rPr>
            </w:pPr>
            <w:r>
              <w:rPr>
                <w:rFonts w:hint="eastAsia" w:ascii="宋体" w:hAnsi="宋体" w:cs="宋体"/>
                <w:sz w:val="24"/>
                <w:szCs w:val="24"/>
                <w:highlight w:val="none"/>
              </w:rPr>
              <w:t>建（构）筑物</w:t>
            </w:r>
          </w:p>
        </w:tc>
        <w:tc>
          <w:tcPr>
            <w:tcW w:w="6324" w:type="dxa"/>
            <w:noWrap w:val="0"/>
            <w:vAlign w:val="center"/>
          </w:tcPr>
          <w:p w14:paraId="0E09D2C2">
            <w:pPr>
              <w:spacing w:line="360" w:lineRule="auto"/>
              <w:rPr>
                <w:rFonts w:hint="eastAsia" w:ascii="宋体" w:hAnsi="宋体" w:cs="宋体"/>
                <w:sz w:val="24"/>
                <w:szCs w:val="24"/>
                <w:highlight w:val="none"/>
              </w:rPr>
            </w:pPr>
            <w:r>
              <w:rPr>
                <w:rFonts w:hint="eastAsia" w:ascii="宋体" w:hAnsi="宋体" w:cs="宋体"/>
                <w:sz w:val="24"/>
                <w:szCs w:val="24"/>
                <w:highlight w:val="none"/>
              </w:rPr>
              <w:t>有违章建筑，建（构）筑物等</w:t>
            </w:r>
          </w:p>
        </w:tc>
      </w:tr>
      <w:tr w14:paraId="33550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838" w:type="dxa"/>
            <w:vMerge w:val="continue"/>
            <w:noWrap w:val="0"/>
            <w:vAlign w:val="top"/>
          </w:tcPr>
          <w:p w14:paraId="4F0FAE58">
            <w:pPr>
              <w:spacing w:line="360" w:lineRule="auto"/>
              <w:rPr>
                <w:rFonts w:hint="eastAsia" w:ascii="宋体" w:hAnsi="宋体" w:cs="宋体"/>
                <w:sz w:val="24"/>
                <w:szCs w:val="24"/>
                <w:highlight w:val="none"/>
              </w:rPr>
            </w:pPr>
          </w:p>
        </w:tc>
        <w:tc>
          <w:tcPr>
            <w:tcW w:w="2317" w:type="dxa"/>
            <w:vMerge w:val="continue"/>
            <w:noWrap w:val="0"/>
            <w:vAlign w:val="center"/>
          </w:tcPr>
          <w:p w14:paraId="13C7425B">
            <w:pPr>
              <w:spacing w:line="360" w:lineRule="auto"/>
              <w:rPr>
                <w:rFonts w:hint="eastAsia" w:ascii="宋体" w:hAnsi="宋体" w:cs="宋体"/>
                <w:sz w:val="24"/>
                <w:szCs w:val="24"/>
                <w:highlight w:val="none"/>
              </w:rPr>
            </w:pPr>
          </w:p>
        </w:tc>
        <w:tc>
          <w:tcPr>
            <w:tcW w:w="6324" w:type="dxa"/>
            <w:noWrap w:val="0"/>
            <w:vAlign w:val="center"/>
          </w:tcPr>
          <w:p w14:paraId="7FA22948">
            <w:pPr>
              <w:spacing w:line="360" w:lineRule="auto"/>
              <w:rPr>
                <w:rFonts w:hint="eastAsia" w:ascii="宋体" w:hAnsi="宋体" w:cs="宋体"/>
                <w:sz w:val="24"/>
                <w:szCs w:val="24"/>
                <w:highlight w:val="none"/>
              </w:rPr>
            </w:pPr>
            <w:r>
              <w:rPr>
                <w:rFonts w:hint="eastAsia" w:ascii="宋体" w:hAnsi="宋体" w:cs="宋体"/>
                <w:sz w:val="24"/>
                <w:szCs w:val="24"/>
                <w:highlight w:val="none"/>
              </w:rPr>
              <w:t>树木（竹林）与导线安全距离不足等</w:t>
            </w:r>
          </w:p>
        </w:tc>
      </w:tr>
      <w:tr w14:paraId="30183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838" w:type="dxa"/>
            <w:vMerge w:val="continue"/>
            <w:noWrap w:val="0"/>
            <w:vAlign w:val="top"/>
          </w:tcPr>
          <w:p w14:paraId="0CF23AC7">
            <w:pPr>
              <w:spacing w:line="360" w:lineRule="auto"/>
              <w:rPr>
                <w:rFonts w:hint="eastAsia" w:ascii="宋体" w:hAnsi="宋体" w:cs="宋体"/>
                <w:sz w:val="24"/>
                <w:szCs w:val="24"/>
                <w:highlight w:val="none"/>
              </w:rPr>
            </w:pPr>
          </w:p>
        </w:tc>
        <w:tc>
          <w:tcPr>
            <w:tcW w:w="2317" w:type="dxa"/>
            <w:noWrap w:val="0"/>
            <w:vAlign w:val="center"/>
          </w:tcPr>
          <w:p w14:paraId="2938726B">
            <w:pPr>
              <w:spacing w:line="360" w:lineRule="auto"/>
              <w:rPr>
                <w:rFonts w:hint="eastAsia" w:ascii="宋体" w:hAnsi="宋体" w:cs="宋体"/>
                <w:sz w:val="24"/>
                <w:szCs w:val="24"/>
                <w:highlight w:val="none"/>
              </w:rPr>
            </w:pPr>
            <w:r>
              <w:rPr>
                <w:rFonts w:hint="eastAsia" w:ascii="宋体" w:hAnsi="宋体" w:cs="宋体"/>
                <w:sz w:val="24"/>
                <w:szCs w:val="24"/>
                <w:highlight w:val="none"/>
              </w:rPr>
              <w:t>施工作业</w:t>
            </w:r>
          </w:p>
        </w:tc>
        <w:tc>
          <w:tcPr>
            <w:tcW w:w="6324" w:type="dxa"/>
            <w:noWrap w:val="0"/>
            <w:vAlign w:val="center"/>
          </w:tcPr>
          <w:p w14:paraId="2BEBE026">
            <w:pPr>
              <w:spacing w:line="360" w:lineRule="auto"/>
              <w:rPr>
                <w:rFonts w:hint="eastAsia" w:ascii="宋体" w:hAnsi="宋体" w:cs="宋体"/>
                <w:sz w:val="24"/>
                <w:szCs w:val="24"/>
                <w:highlight w:val="none"/>
              </w:rPr>
            </w:pPr>
            <w:r>
              <w:rPr>
                <w:rFonts w:hint="eastAsia" w:ascii="宋体" w:hAnsi="宋体" w:cs="宋体"/>
                <w:sz w:val="24"/>
                <w:szCs w:val="24"/>
                <w:highlight w:val="none"/>
              </w:rPr>
              <w:t>线路下方或附近有危及线路安全的施工作业等</w:t>
            </w:r>
          </w:p>
        </w:tc>
      </w:tr>
      <w:tr w14:paraId="273BA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838" w:type="dxa"/>
            <w:vMerge w:val="continue"/>
            <w:noWrap w:val="0"/>
            <w:vAlign w:val="top"/>
          </w:tcPr>
          <w:p w14:paraId="50C602CC">
            <w:pPr>
              <w:spacing w:line="360" w:lineRule="auto"/>
              <w:rPr>
                <w:rFonts w:hint="eastAsia" w:ascii="宋体" w:hAnsi="宋体" w:cs="宋体"/>
                <w:sz w:val="24"/>
                <w:szCs w:val="24"/>
                <w:highlight w:val="none"/>
              </w:rPr>
            </w:pPr>
          </w:p>
        </w:tc>
        <w:tc>
          <w:tcPr>
            <w:tcW w:w="2317" w:type="dxa"/>
            <w:noWrap w:val="0"/>
            <w:vAlign w:val="center"/>
          </w:tcPr>
          <w:p w14:paraId="4FCA6A60">
            <w:pPr>
              <w:spacing w:line="360" w:lineRule="auto"/>
              <w:rPr>
                <w:rFonts w:hint="eastAsia" w:ascii="宋体" w:hAnsi="宋体" w:cs="宋体"/>
                <w:sz w:val="24"/>
                <w:szCs w:val="24"/>
                <w:highlight w:val="none"/>
              </w:rPr>
            </w:pPr>
            <w:r>
              <w:rPr>
                <w:rFonts w:hint="eastAsia" w:ascii="宋体" w:hAnsi="宋体" w:cs="宋体"/>
                <w:sz w:val="24"/>
                <w:szCs w:val="24"/>
                <w:highlight w:val="none"/>
              </w:rPr>
              <w:t>火灾</w:t>
            </w:r>
          </w:p>
        </w:tc>
        <w:tc>
          <w:tcPr>
            <w:tcW w:w="6324" w:type="dxa"/>
            <w:noWrap w:val="0"/>
            <w:vAlign w:val="center"/>
          </w:tcPr>
          <w:p w14:paraId="68DF1B3F">
            <w:pPr>
              <w:spacing w:line="360" w:lineRule="auto"/>
              <w:rPr>
                <w:rFonts w:hint="eastAsia" w:ascii="宋体" w:hAnsi="宋体" w:cs="宋体"/>
                <w:sz w:val="24"/>
                <w:szCs w:val="24"/>
                <w:highlight w:val="none"/>
              </w:rPr>
            </w:pPr>
            <w:r>
              <w:rPr>
                <w:rFonts w:hint="eastAsia" w:ascii="宋体" w:hAnsi="宋体" w:cs="宋体"/>
                <w:sz w:val="24"/>
                <w:szCs w:val="24"/>
                <w:highlight w:val="none"/>
              </w:rPr>
              <w:t>线路附近有烟火现象，有易燃、易爆物堆积等</w:t>
            </w:r>
          </w:p>
        </w:tc>
      </w:tr>
      <w:tr w14:paraId="218C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838" w:type="dxa"/>
            <w:vMerge w:val="continue"/>
            <w:noWrap w:val="0"/>
            <w:vAlign w:val="top"/>
          </w:tcPr>
          <w:p w14:paraId="1DBCB193">
            <w:pPr>
              <w:spacing w:line="360" w:lineRule="auto"/>
              <w:rPr>
                <w:rFonts w:hint="eastAsia" w:ascii="宋体" w:hAnsi="宋体" w:cs="宋体"/>
                <w:sz w:val="24"/>
                <w:szCs w:val="24"/>
                <w:highlight w:val="none"/>
              </w:rPr>
            </w:pPr>
          </w:p>
        </w:tc>
        <w:tc>
          <w:tcPr>
            <w:tcW w:w="2317" w:type="dxa"/>
            <w:noWrap w:val="0"/>
            <w:vAlign w:val="center"/>
          </w:tcPr>
          <w:p w14:paraId="2B31D369">
            <w:pPr>
              <w:spacing w:line="360" w:lineRule="auto"/>
              <w:rPr>
                <w:rFonts w:hint="eastAsia" w:ascii="宋体" w:hAnsi="宋体" w:cs="宋体"/>
                <w:sz w:val="24"/>
                <w:szCs w:val="24"/>
                <w:highlight w:val="none"/>
              </w:rPr>
            </w:pPr>
            <w:r>
              <w:rPr>
                <w:rFonts w:hint="eastAsia" w:ascii="宋体" w:hAnsi="宋体" w:cs="宋体"/>
                <w:sz w:val="24"/>
                <w:szCs w:val="24"/>
                <w:highlight w:val="none"/>
              </w:rPr>
              <w:t>交叉跨越</w:t>
            </w:r>
          </w:p>
        </w:tc>
        <w:tc>
          <w:tcPr>
            <w:tcW w:w="6324" w:type="dxa"/>
            <w:noWrap w:val="0"/>
            <w:vAlign w:val="center"/>
          </w:tcPr>
          <w:p w14:paraId="28723A27">
            <w:pPr>
              <w:spacing w:line="360" w:lineRule="auto"/>
              <w:rPr>
                <w:rFonts w:hint="eastAsia" w:ascii="宋体" w:hAnsi="宋体" w:cs="宋体"/>
                <w:sz w:val="24"/>
                <w:szCs w:val="24"/>
                <w:highlight w:val="none"/>
              </w:rPr>
            </w:pPr>
            <w:r>
              <w:rPr>
                <w:rFonts w:hint="eastAsia" w:ascii="宋体" w:hAnsi="宋体" w:cs="宋体"/>
                <w:sz w:val="24"/>
                <w:szCs w:val="24"/>
                <w:highlight w:val="none"/>
              </w:rPr>
              <w:t>出现新建或改建电力、通信线路、道路、铁路、管道等。</w:t>
            </w:r>
          </w:p>
        </w:tc>
      </w:tr>
      <w:tr w14:paraId="22A73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38" w:type="dxa"/>
            <w:vMerge w:val="continue"/>
            <w:noWrap w:val="0"/>
            <w:vAlign w:val="top"/>
          </w:tcPr>
          <w:p w14:paraId="133959C6">
            <w:pPr>
              <w:spacing w:line="360" w:lineRule="auto"/>
              <w:rPr>
                <w:rFonts w:hint="eastAsia" w:ascii="宋体" w:hAnsi="宋体" w:cs="宋体"/>
                <w:sz w:val="24"/>
                <w:szCs w:val="24"/>
                <w:highlight w:val="none"/>
              </w:rPr>
            </w:pPr>
          </w:p>
        </w:tc>
        <w:tc>
          <w:tcPr>
            <w:tcW w:w="2317" w:type="dxa"/>
            <w:noWrap w:val="0"/>
            <w:vAlign w:val="center"/>
          </w:tcPr>
          <w:p w14:paraId="144C2EF2">
            <w:pPr>
              <w:spacing w:line="360" w:lineRule="auto"/>
              <w:rPr>
                <w:rFonts w:hint="eastAsia" w:ascii="宋体" w:hAnsi="宋体" w:cs="宋体"/>
                <w:sz w:val="24"/>
                <w:szCs w:val="24"/>
                <w:highlight w:val="none"/>
              </w:rPr>
            </w:pPr>
            <w:r>
              <w:rPr>
                <w:rFonts w:hint="eastAsia" w:ascii="宋体" w:hAnsi="宋体" w:cs="宋体"/>
                <w:sz w:val="24"/>
                <w:szCs w:val="24"/>
                <w:highlight w:val="none"/>
              </w:rPr>
              <w:t>防洪、排水、基础保护设施</w:t>
            </w:r>
          </w:p>
        </w:tc>
        <w:tc>
          <w:tcPr>
            <w:tcW w:w="6324" w:type="dxa"/>
            <w:noWrap w:val="0"/>
            <w:vAlign w:val="center"/>
          </w:tcPr>
          <w:p w14:paraId="30703673">
            <w:pPr>
              <w:spacing w:line="360" w:lineRule="auto"/>
              <w:rPr>
                <w:rFonts w:hint="eastAsia" w:ascii="宋体" w:hAnsi="宋体" w:cs="宋体"/>
                <w:sz w:val="24"/>
                <w:szCs w:val="24"/>
                <w:highlight w:val="none"/>
              </w:rPr>
            </w:pPr>
            <w:r>
              <w:rPr>
                <w:rFonts w:hint="eastAsia" w:ascii="宋体" w:hAnsi="宋体" w:cs="宋体"/>
                <w:sz w:val="24"/>
                <w:szCs w:val="24"/>
                <w:highlight w:val="none"/>
              </w:rPr>
              <w:t>坍塌、淤堵、破损等</w:t>
            </w:r>
          </w:p>
        </w:tc>
      </w:tr>
      <w:tr w14:paraId="48F29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838" w:type="dxa"/>
            <w:vMerge w:val="continue"/>
            <w:noWrap w:val="0"/>
            <w:vAlign w:val="top"/>
          </w:tcPr>
          <w:p w14:paraId="479F5EC0">
            <w:pPr>
              <w:spacing w:line="360" w:lineRule="auto"/>
              <w:rPr>
                <w:rFonts w:hint="eastAsia" w:ascii="宋体" w:hAnsi="宋体" w:cs="宋体"/>
                <w:sz w:val="24"/>
                <w:szCs w:val="24"/>
                <w:highlight w:val="none"/>
              </w:rPr>
            </w:pPr>
          </w:p>
        </w:tc>
        <w:tc>
          <w:tcPr>
            <w:tcW w:w="2317" w:type="dxa"/>
            <w:noWrap w:val="0"/>
            <w:vAlign w:val="center"/>
          </w:tcPr>
          <w:p w14:paraId="19F309BF">
            <w:pPr>
              <w:spacing w:line="360" w:lineRule="auto"/>
              <w:rPr>
                <w:rFonts w:hint="eastAsia" w:ascii="宋体" w:hAnsi="宋体" w:cs="宋体"/>
                <w:sz w:val="24"/>
                <w:szCs w:val="24"/>
                <w:highlight w:val="none"/>
              </w:rPr>
            </w:pPr>
            <w:r>
              <w:rPr>
                <w:rFonts w:hint="eastAsia" w:ascii="宋体" w:hAnsi="宋体" w:cs="宋体"/>
                <w:sz w:val="24"/>
                <w:szCs w:val="24"/>
                <w:highlight w:val="none"/>
              </w:rPr>
              <w:t>自然灾害</w:t>
            </w:r>
          </w:p>
        </w:tc>
        <w:tc>
          <w:tcPr>
            <w:tcW w:w="6324" w:type="dxa"/>
            <w:noWrap w:val="0"/>
            <w:vAlign w:val="center"/>
          </w:tcPr>
          <w:p w14:paraId="394CC8BB">
            <w:pPr>
              <w:spacing w:line="360" w:lineRule="auto"/>
              <w:rPr>
                <w:rFonts w:hint="eastAsia" w:ascii="宋体" w:hAnsi="宋体" w:cs="宋体"/>
                <w:sz w:val="24"/>
                <w:szCs w:val="24"/>
                <w:highlight w:val="none"/>
              </w:rPr>
            </w:pPr>
            <w:r>
              <w:rPr>
                <w:rFonts w:hint="eastAsia" w:ascii="宋体" w:hAnsi="宋体" w:cs="宋体"/>
                <w:sz w:val="24"/>
                <w:szCs w:val="24"/>
                <w:highlight w:val="none"/>
              </w:rPr>
              <w:t>地震、洪水、泥石流、山体滑坡等引起通道环境的变化</w:t>
            </w:r>
          </w:p>
        </w:tc>
      </w:tr>
      <w:tr w14:paraId="71D99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838" w:type="dxa"/>
            <w:vMerge w:val="continue"/>
            <w:noWrap w:val="0"/>
            <w:vAlign w:val="top"/>
          </w:tcPr>
          <w:p w14:paraId="59CCDB90">
            <w:pPr>
              <w:spacing w:line="360" w:lineRule="auto"/>
              <w:rPr>
                <w:rFonts w:hint="eastAsia" w:ascii="宋体" w:hAnsi="宋体" w:cs="宋体"/>
                <w:sz w:val="24"/>
                <w:szCs w:val="24"/>
                <w:highlight w:val="none"/>
              </w:rPr>
            </w:pPr>
          </w:p>
        </w:tc>
        <w:tc>
          <w:tcPr>
            <w:tcW w:w="2317" w:type="dxa"/>
            <w:noWrap w:val="0"/>
            <w:vAlign w:val="center"/>
          </w:tcPr>
          <w:p w14:paraId="62874B1F">
            <w:pPr>
              <w:spacing w:line="360" w:lineRule="auto"/>
              <w:rPr>
                <w:rFonts w:hint="eastAsia" w:ascii="宋体" w:hAnsi="宋体" w:cs="宋体"/>
                <w:sz w:val="24"/>
                <w:szCs w:val="24"/>
                <w:highlight w:val="none"/>
              </w:rPr>
            </w:pPr>
            <w:r>
              <w:rPr>
                <w:rFonts w:hint="eastAsia" w:ascii="宋体" w:hAnsi="宋体" w:cs="宋体"/>
                <w:sz w:val="24"/>
                <w:szCs w:val="24"/>
                <w:highlight w:val="none"/>
              </w:rPr>
              <w:t>其他</w:t>
            </w:r>
          </w:p>
        </w:tc>
        <w:tc>
          <w:tcPr>
            <w:tcW w:w="6324" w:type="dxa"/>
            <w:noWrap w:val="0"/>
            <w:vAlign w:val="center"/>
          </w:tcPr>
          <w:p w14:paraId="6B634AB1">
            <w:pPr>
              <w:spacing w:line="360" w:lineRule="auto"/>
              <w:rPr>
                <w:rFonts w:hint="eastAsia" w:ascii="宋体" w:hAnsi="宋体" w:cs="宋体"/>
                <w:sz w:val="24"/>
                <w:szCs w:val="24"/>
                <w:highlight w:val="none"/>
              </w:rPr>
            </w:pPr>
            <w:r>
              <w:rPr>
                <w:rFonts w:hint="eastAsia" w:ascii="宋体" w:hAnsi="宋体" w:cs="宋体"/>
                <w:sz w:val="24"/>
                <w:szCs w:val="24"/>
                <w:highlight w:val="none"/>
              </w:rPr>
              <w:t>线路附近有人放风筝、有危及线路安全的漂浮物、采石（开矿）、导线下树木过高、藤蔓类植物攀附杆塔等</w:t>
            </w:r>
          </w:p>
        </w:tc>
      </w:tr>
    </w:tbl>
    <w:p w14:paraId="36658B8A">
      <w:pPr>
        <w:spacing w:line="360" w:lineRule="auto"/>
        <w:rPr>
          <w:rFonts w:hint="eastAsia" w:ascii="宋体" w:hAnsi="宋体" w:cs="宋体"/>
          <w:bCs/>
          <w:sz w:val="24"/>
          <w:szCs w:val="24"/>
          <w:highlight w:val="none"/>
        </w:rPr>
      </w:pPr>
    </w:p>
    <w:p w14:paraId="67F08DF1">
      <w:pPr>
        <w:pStyle w:val="2"/>
        <w:bidi w:val="0"/>
        <w:rPr>
          <w:rFonts w:hint="eastAsia"/>
          <w:sz w:val="24"/>
          <w:szCs w:val="24"/>
        </w:rPr>
      </w:pPr>
      <w:r>
        <w:rPr>
          <w:rFonts w:hint="eastAsia"/>
          <w:sz w:val="24"/>
          <w:szCs w:val="24"/>
          <w:lang w:val="en-US" w:eastAsia="zh-CN"/>
        </w:rPr>
        <w:t>4.</w:t>
      </w:r>
      <w:r>
        <w:rPr>
          <w:rFonts w:hint="eastAsia"/>
          <w:sz w:val="24"/>
          <w:szCs w:val="24"/>
        </w:rPr>
        <w:t>巡视周期</w:t>
      </w:r>
    </w:p>
    <w:p w14:paraId="2C2EAEEB">
      <w:pPr>
        <w:spacing w:line="360" w:lineRule="auto"/>
        <w:rPr>
          <w:rFonts w:hint="eastAsia" w:ascii="宋体" w:hAnsi="宋体" w:cs="宋体"/>
          <w:sz w:val="24"/>
          <w:szCs w:val="24"/>
          <w:highlight w:val="none"/>
        </w:rPr>
      </w:pPr>
      <w:r>
        <w:rPr>
          <w:rFonts w:hint="eastAsia" w:ascii="宋体" w:hAnsi="宋体" w:cs="宋体"/>
          <w:sz w:val="24"/>
          <w:szCs w:val="24"/>
          <w:highlight w:val="none"/>
          <w:lang w:eastAsia="zh-CN"/>
        </w:rPr>
        <w:t>4.</w:t>
      </w:r>
      <w:r>
        <w:rPr>
          <w:rFonts w:hint="eastAsia" w:ascii="宋体" w:hAnsi="宋体" w:cs="宋体"/>
          <w:sz w:val="24"/>
          <w:szCs w:val="24"/>
          <w:highlight w:val="none"/>
        </w:rPr>
        <w:t>1 10kV线路巡视周期为每2月1次。</w:t>
      </w:r>
    </w:p>
    <w:p w14:paraId="176CF239">
      <w:pPr>
        <w:spacing w:line="360" w:lineRule="auto"/>
        <w:rPr>
          <w:rFonts w:hint="eastAsia" w:ascii="宋体" w:hAnsi="宋体" w:cs="宋体"/>
          <w:sz w:val="24"/>
          <w:szCs w:val="24"/>
          <w:highlight w:val="none"/>
        </w:rPr>
      </w:pPr>
      <w:r>
        <w:rPr>
          <w:rFonts w:hint="eastAsia" w:ascii="宋体" w:hAnsi="宋体" w:cs="宋体"/>
          <w:sz w:val="24"/>
          <w:szCs w:val="24"/>
          <w:highlight w:val="none"/>
          <w:lang w:eastAsia="zh-CN"/>
        </w:rPr>
        <w:t>4.</w:t>
      </w:r>
      <w:r>
        <w:rPr>
          <w:rFonts w:hint="eastAsia" w:ascii="宋体" w:hAnsi="宋体" w:cs="宋体"/>
          <w:sz w:val="24"/>
          <w:szCs w:val="24"/>
          <w:highlight w:val="none"/>
        </w:rPr>
        <w:t>2 35kV线路巡视周期为每2月1次</w:t>
      </w:r>
    </w:p>
    <w:p w14:paraId="7EE106E4">
      <w:pPr>
        <w:spacing w:line="360" w:lineRule="auto"/>
        <w:rPr>
          <w:rFonts w:hint="eastAsia" w:ascii="宋体" w:hAnsi="宋体" w:cs="宋体"/>
          <w:sz w:val="24"/>
          <w:szCs w:val="24"/>
          <w:highlight w:val="none"/>
        </w:rPr>
      </w:pPr>
      <w:r>
        <w:rPr>
          <w:rFonts w:hint="eastAsia" w:ascii="宋体" w:hAnsi="宋体" w:cs="宋体"/>
          <w:sz w:val="24"/>
          <w:szCs w:val="24"/>
          <w:highlight w:val="none"/>
          <w:lang w:eastAsia="zh-CN"/>
        </w:rPr>
        <w:t>4.</w:t>
      </w:r>
      <w:r>
        <w:rPr>
          <w:rFonts w:hint="eastAsia" w:ascii="宋体" w:hAnsi="宋体" w:cs="宋体"/>
          <w:sz w:val="24"/>
          <w:szCs w:val="24"/>
          <w:highlight w:val="none"/>
        </w:rPr>
        <w:t>3 110kV线路巡视周期为每1月1次</w:t>
      </w:r>
    </w:p>
    <w:p w14:paraId="34FE6A8B">
      <w:pPr>
        <w:spacing w:line="360" w:lineRule="auto"/>
        <w:rPr>
          <w:sz w:val="24"/>
          <w:szCs w:val="24"/>
          <w:highlight w:val="none"/>
        </w:rPr>
      </w:pPr>
      <w:r>
        <w:rPr>
          <w:rFonts w:hint="eastAsia" w:ascii="宋体" w:hAnsi="宋体" w:cs="宋体"/>
          <w:sz w:val="24"/>
          <w:szCs w:val="24"/>
          <w:highlight w:val="none"/>
          <w:lang w:eastAsia="zh-CN"/>
        </w:rPr>
        <w:t>4.</w:t>
      </w:r>
      <w:r>
        <w:rPr>
          <w:rFonts w:hint="eastAsia" w:ascii="宋体" w:hAnsi="宋体" w:cs="宋体"/>
          <w:sz w:val="24"/>
          <w:szCs w:val="24"/>
          <w:highlight w:val="none"/>
          <w:lang w:val="en-US" w:eastAsia="zh-CN"/>
        </w:rPr>
        <w:t>4</w:t>
      </w:r>
      <w:r>
        <w:rPr>
          <w:rFonts w:hint="eastAsia" w:ascii="宋体" w:hAnsi="宋体" w:cs="宋体"/>
          <w:sz w:val="24"/>
          <w:szCs w:val="24"/>
          <w:highlight w:val="none"/>
        </w:rPr>
        <w:t xml:space="preserve"> 以上巡视为线路设备和通道环境的全面巡视，融雪前后、极端恶劣天气加强巡检频次。</w:t>
      </w:r>
    </w:p>
    <w:p w14:paraId="6CD3700E">
      <w:pPr>
        <w:pStyle w:val="2"/>
        <w:bidi w:val="0"/>
        <w:rPr>
          <w:rFonts w:hint="eastAsia"/>
          <w:sz w:val="24"/>
          <w:szCs w:val="24"/>
        </w:rPr>
      </w:pPr>
      <w:r>
        <w:rPr>
          <w:rFonts w:hint="eastAsia"/>
          <w:sz w:val="24"/>
          <w:szCs w:val="24"/>
          <w:lang w:eastAsia="zh-CN"/>
        </w:rPr>
        <w:t>5</w:t>
      </w:r>
      <w:r>
        <w:rPr>
          <w:rFonts w:hint="eastAsia"/>
          <w:sz w:val="24"/>
          <w:szCs w:val="24"/>
        </w:rPr>
        <w:t xml:space="preserve"> 检修项目</w:t>
      </w:r>
    </w:p>
    <w:p w14:paraId="599466E9">
      <w:pPr>
        <w:ind w:firstLine="480" w:firstLineChars="200"/>
        <w:rPr>
          <w:rFonts w:hint="eastAsia" w:ascii="宋体" w:hAnsi="宋体"/>
          <w:sz w:val="24"/>
          <w:szCs w:val="24"/>
        </w:rPr>
      </w:pPr>
      <w:r>
        <w:rPr>
          <w:rFonts w:hint="eastAsia" w:ascii="宋体" w:hAnsi="宋体"/>
          <w:sz w:val="24"/>
          <w:szCs w:val="24"/>
          <w:lang w:eastAsia="zh-CN"/>
        </w:rPr>
        <w:t>5</w:t>
      </w:r>
      <w:r>
        <w:rPr>
          <w:rFonts w:hint="eastAsia" w:ascii="宋体" w:hAnsi="宋体"/>
          <w:sz w:val="24"/>
          <w:szCs w:val="24"/>
        </w:rPr>
        <w:t>.1  35kV</w:t>
      </w:r>
      <w:r>
        <w:rPr>
          <w:rFonts w:hint="eastAsia" w:ascii="宋体" w:hAnsi="宋体"/>
          <w:sz w:val="24"/>
          <w:szCs w:val="24"/>
          <w:lang w:val="en-US" w:eastAsia="zh-CN"/>
        </w:rPr>
        <w:t>坡苏线</w:t>
      </w:r>
      <w:r>
        <w:rPr>
          <w:rFonts w:hint="eastAsia" w:ascii="宋体" w:hAnsi="宋体"/>
          <w:sz w:val="24"/>
          <w:szCs w:val="24"/>
        </w:rPr>
        <w:t>线</w:t>
      </w:r>
      <w:r>
        <w:rPr>
          <w:rFonts w:hint="eastAsia" w:ascii="宋体" w:hAnsi="宋体" w:eastAsia="宋体" w:cs="宋体"/>
          <w:bCs/>
          <w:sz w:val="24"/>
          <w:szCs w:val="24"/>
          <w:highlight w:val="none"/>
        </w:rPr>
        <w:t>路</w:t>
      </w:r>
      <w:r>
        <w:rPr>
          <w:rFonts w:hint="eastAsia" w:ascii="宋体" w:hAnsi="宋体" w:eastAsia="宋体" w:cs="宋体"/>
          <w:bCs/>
          <w:sz w:val="24"/>
          <w:szCs w:val="24"/>
          <w:highlight w:val="none"/>
          <w:lang w:val="en-US" w:eastAsia="zh-CN"/>
        </w:rPr>
        <w:t>更换</w:t>
      </w:r>
      <w:r>
        <w:rPr>
          <w:rFonts w:hint="eastAsia" w:ascii="宋体" w:hAnsi="宋体" w:eastAsia="宋体" w:cs="宋体"/>
          <w:bCs/>
          <w:i w:val="0"/>
          <w:iCs w:val="0"/>
          <w:color w:val="000000"/>
          <w:sz w:val="24"/>
          <w:szCs w:val="24"/>
          <w:highlight w:val="none"/>
          <w:u w:val="none"/>
          <w:lang w:val="en-US" w:eastAsia="zh-CN"/>
        </w:rPr>
        <w:t>绝缘子更换</w:t>
      </w:r>
      <w:r>
        <w:rPr>
          <w:rFonts w:hint="eastAsia" w:ascii="宋体" w:hAnsi="宋体" w:eastAsia="宋体" w:cs="宋体"/>
          <w:bCs/>
          <w:sz w:val="24"/>
          <w:szCs w:val="24"/>
          <w:highlight w:val="none"/>
          <w:lang w:eastAsia="zh-CN"/>
        </w:rPr>
        <w:t>1</w:t>
      </w:r>
      <w:r>
        <w:rPr>
          <w:rFonts w:hint="eastAsia" w:ascii="宋体" w:hAnsi="宋体" w:eastAsia="宋体" w:cs="宋体"/>
          <w:bCs/>
          <w:sz w:val="24"/>
          <w:szCs w:val="24"/>
          <w:highlight w:val="none"/>
          <w:lang w:val="en-US" w:eastAsia="zh-CN"/>
        </w:rPr>
        <w:t>50</w:t>
      </w:r>
      <w:r>
        <w:rPr>
          <w:rFonts w:hint="eastAsia" w:ascii="宋体" w:hAnsi="宋体" w:eastAsia="宋体" w:cs="宋体"/>
          <w:bCs/>
          <w:sz w:val="24"/>
          <w:szCs w:val="24"/>
          <w:highlight w:val="none"/>
        </w:rPr>
        <w:t>只</w:t>
      </w:r>
      <w:r>
        <w:rPr>
          <w:rFonts w:hint="eastAsia" w:ascii="宋体" w:hAnsi="宋体"/>
          <w:sz w:val="24"/>
          <w:szCs w:val="24"/>
        </w:rPr>
        <w:t>（材料招标方提供）。</w:t>
      </w:r>
    </w:p>
    <w:p w14:paraId="6276403A">
      <w:pPr>
        <w:spacing w:line="360" w:lineRule="auto"/>
        <w:ind w:firstLine="480" w:firstLineChars="200"/>
        <w:rPr>
          <w:rFonts w:hint="eastAsia" w:ascii="宋体" w:hAnsi="宋体"/>
          <w:sz w:val="24"/>
          <w:szCs w:val="24"/>
        </w:rPr>
      </w:pPr>
      <w:r>
        <w:rPr>
          <w:rFonts w:hint="eastAsia" w:ascii="宋体" w:hAnsi="宋体"/>
          <w:sz w:val="24"/>
          <w:szCs w:val="24"/>
          <w:lang w:eastAsia="zh-CN"/>
        </w:rPr>
        <w:t>5</w:t>
      </w:r>
      <w:r>
        <w:rPr>
          <w:rFonts w:hint="eastAsia" w:ascii="宋体" w:hAnsi="宋体"/>
          <w:sz w:val="24"/>
          <w:szCs w:val="24"/>
        </w:rPr>
        <w:t>.2  110kV彦新线其中一条线路绝缘子检查清扫、金具检查、所有连接螺栓紧固。</w:t>
      </w:r>
    </w:p>
    <w:p w14:paraId="4AEE3E6E">
      <w:pPr>
        <w:spacing w:line="360" w:lineRule="auto"/>
        <w:ind w:firstLine="480" w:firstLineChars="200"/>
        <w:rPr>
          <w:rFonts w:hint="eastAsia" w:ascii="宋体" w:hAnsi="宋体"/>
          <w:sz w:val="24"/>
          <w:szCs w:val="24"/>
        </w:rPr>
      </w:pPr>
      <w:r>
        <w:rPr>
          <w:rFonts w:hint="eastAsia" w:ascii="宋体" w:hAnsi="宋体"/>
          <w:sz w:val="24"/>
          <w:szCs w:val="24"/>
          <w:lang w:eastAsia="zh-CN"/>
        </w:rPr>
        <w:t>5</w:t>
      </w:r>
      <w:r>
        <w:rPr>
          <w:rFonts w:hint="eastAsia" w:ascii="宋体" w:hAnsi="宋体"/>
          <w:sz w:val="24"/>
          <w:szCs w:val="24"/>
        </w:rPr>
        <w:t xml:space="preserve">.3  </w:t>
      </w:r>
      <w:r>
        <w:rPr>
          <w:rFonts w:hint="eastAsia" w:ascii="宋体" w:hAnsi="宋体"/>
          <w:sz w:val="24"/>
          <w:szCs w:val="24"/>
          <w:lang w:val="en-US" w:eastAsia="zh-CN"/>
        </w:rPr>
        <w:t>10</w:t>
      </w:r>
      <w:r>
        <w:rPr>
          <w:rFonts w:hint="eastAsia" w:ascii="宋体" w:hAnsi="宋体"/>
          <w:sz w:val="24"/>
          <w:szCs w:val="24"/>
        </w:rPr>
        <w:t>k</w:t>
      </w:r>
      <w:r>
        <w:rPr>
          <w:rFonts w:hint="eastAsia" w:ascii="宋体" w:hAnsi="宋体" w:eastAsia="宋体" w:cs="Times New Roman"/>
          <w:sz w:val="24"/>
          <w:szCs w:val="24"/>
        </w:rPr>
        <w:t>V</w:t>
      </w:r>
      <w:r>
        <w:rPr>
          <w:rFonts w:hint="eastAsia" w:ascii="宋体" w:hAnsi="宋体" w:eastAsia="宋体" w:cs="宋体"/>
          <w:b w:val="0"/>
          <w:kern w:val="2"/>
          <w:sz w:val="24"/>
          <w:szCs w:val="24"/>
          <w:highlight w:val="none"/>
          <w:vertAlign w:val="baseline"/>
          <w:lang w:val="en-US" w:eastAsia="zh-CN"/>
        </w:rPr>
        <w:t>空碳线</w:t>
      </w:r>
      <w:r>
        <w:rPr>
          <w:rFonts w:hint="eastAsia" w:ascii="宋体" w:hAnsi="宋体" w:eastAsia="宋体" w:cs="Times New Roman"/>
          <w:sz w:val="24"/>
          <w:szCs w:val="24"/>
        </w:rPr>
        <w:t>跌落保险改造</w:t>
      </w:r>
      <w:r>
        <w:rPr>
          <w:rFonts w:hint="eastAsia" w:ascii="宋体" w:hAnsi="宋体" w:eastAsia="宋体" w:cs="Times New Roman"/>
          <w:sz w:val="24"/>
          <w:szCs w:val="24"/>
          <w:lang w:eastAsia="zh-CN"/>
        </w:rPr>
        <w:t>（</w:t>
      </w:r>
      <w:r>
        <w:rPr>
          <w:rFonts w:hint="eastAsia" w:ascii="宋体" w:hAnsi="宋体" w:eastAsia="宋体" w:cs="Times New Roman"/>
          <w:sz w:val="24"/>
          <w:szCs w:val="24"/>
        </w:rPr>
        <w:t>真空断路器安装2台、导线连接等</w:t>
      </w:r>
      <w:r>
        <w:rPr>
          <w:rFonts w:hint="eastAsia" w:ascii="宋体" w:hAnsi="宋体" w:eastAsia="宋体" w:cs="Times New Roman"/>
          <w:sz w:val="24"/>
          <w:szCs w:val="24"/>
          <w:lang w:eastAsia="zh-CN"/>
        </w:rPr>
        <w:t>）</w:t>
      </w:r>
      <w:r>
        <w:rPr>
          <w:rFonts w:hint="eastAsia" w:ascii="宋体" w:hAnsi="宋体" w:eastAsia="宋体" w:cs="Times New Roman"/>
          <w:sz w:val="24"/>
          <w:szCs w:val="24"/>
        </w:rPr>
        <w:t>。</w:t>
      </w:r>
      <w:r>
        <w:rPr>
          <w:rFonts w:hint="eastAsia" w:ascii="宋体" w:hAnsi="宋体"/>
          <w:sz w:val="24"/>
          <w:szCs w:val="24"/>
        </w:rPr>
        <w:t>。</w:t>
      </w:r>
    </w:p>
    <w:p w14:paraId="7A509D60">
      <w:pPr>
        <w:spacing w:line="360" w:lineRule="auto"/>
        <w:rPr>
          <w:rFonts w:ascii="宋体" w:hAnsi="宋体" w:cs="宋体"/>
          <w:bCs/>
          <w:sz w:val="24"/>
          <w:szCs w:val="24"/>
          <w:highlight w:val="none"/>
        </w:rPr>
      </w:pPr>
      <w:r>
        <w:rPr>
          <w:rFonts w:hint="eastAsia" w:ascii="宋体" w:hAnsi="宋体" w:cs="宋体"/>
          <w:bCs/>
          <w:sz w:val="24"/>
          <w:szCs w:val="24"/>
          <w:highlight w:val="none"/>
        </w:rPr>
        <w:t>5.4 维护项目</w:t>
      </w:r>
    </w:p>
    <w:p w14:paraId="21C56B4D">
      <w:pPr>
        <w:spacing w:line="360" w:lineRule="auto"/>
        <w:rPr>
          <w:rFonts w:hint="eastAsia" w:ascii="宋体" w:hAnsi="宋体" w:cs="宋体"/>
          <w:sz w:val="24"/>
          <w:szCs w:val="24"/>
          <w:highlight w:val="none"/>
        </w:rPr>
      </w:pPr>
      <w:r>
        <w:rPr>
          <w:rFonts w:hint="eastAsia" w:ascii="宋体" w:hAnsi="宋体" w:cs="宋体"/>
          <w:sz w:val="24"/>
          <w:szCs w:val="24"/>
          <w:highlight w:val="none"/>
        </w:rPr>
        <w:t>5.4.1  线路本体维护</w:t>
      </w:r>
      <w:r>
        <w:rPr>
          <w:rFonts w:hint="eastAsia" w:ascii="宋体" w:hAnsi="宋体" w:cs="宋体"/>
          <w:sz w:val="24"/>
          <w:szCs w:val="24"/>
          <w:highlight w:val="none"/>
        </w:rPr>
        <w:br w:type="textWrapping"/>
      </w:r>
      <w:r>
        <w:rPr>
          <w:rFonts w:hint="eastAsia" w:ascii="宋体" w:hAnsi="宋体" w:cs="宋体"/>
          <w:sz w:val="24"/>
          <w:szCs w:val="24"/>
          <w:highlight w:val="none"/>
        </w:rPr>
        <w:t>5.4.1.1杆塔维护：检查杆塔基础有无下沉、开裂，塔身有无锈蚀、变形，螺栓是否紧固，杆塔倾斜度是否超标。</w:t>
      </w:r>
      <w:r>
        <w:rPr>
          <w:rFonts w:hint="eastAsia" w:ascii="宋体" w:hAnsi="宋体" w:cs="宋体"/>
          <w:sz w:val="24"/>
          <w:szCs w:val="24"/>
          <w:highlight w:val="none"/>
        </w:rPr>
        <w:br w:type="textWrapping"/>
      </w:r>
      <w:r>
        <w:rPr>
          <w:rFonts w:hint="eastAsia" w:ascii="宋体" w:hAnsi="宋体" w:cs="宋体"/>
          <w:sz w:val="24"/>
          <w:szCs w:val="24"/>
          <w:highlight w:val="none"/>
        </w:rPr>
        <w:t>5.4.1.2导线与地线维护：检查导线/地线有无断股、磨损、腐蚀，弧垂是否正常（需结合气温调整），导线接头有无过热现象。</w:t>
      </w:r>
      <w:r>
        <w:rPr>
          <w:rFonts w:hint="eastAsia" w:ascii="宋体" w:hAnsi="宋体" w:cs="宋体"/>
          <w:sz w:val="24"/>
          <w:szCs w:val="24"/>
          <w:highlight w:val="none"/>
        </w:rPr>
        <w:br w:type="textWrapping"/>
      </w:r>
      <w:r>
        <w:rPr>
          <w:rFonts w:hint="eastAsia" w:ascii="宋体" w:hAnsi="宋体" w:cs="宋体"/>
          <w:sz w:val="24"/>
          <w:szCs w:val="24"/>
          <w:highlight w:val="none"/>
        </w:rPr>
        <w:t>5.4.1.3绝缘子维护：清除绝缘子表面污垢、鸟粪，检查有无裂纹、闪络痕迹，测试绝缘性能（如零值绝缘子检测）。</w:t>
      </w:r>
      <w:r>
        <w:rPr>
          <w:rFonts w:hint="eastAsia" w:ascii="宋体" w:hAnsi="宋体" w:cs="宋体"/>
          <w:sz w:val="24"/>
          <w:szCs w:val="24"/>
          <w:highlight w:val="none"/>
        </w:rPr>
        <w:br w:type="textWrapping"/>
      </w:r>
      <w:r>
        <w:rPr>
          <w:rFonts w:hint="eastAsia" w:ascii="宋体" w:hAnsi="宋体" w:cs="宋体"/>
          <w:sz w:val="24"/>
          <w:szCs w:val="24"/>
          <w:highlight w:val="none"/>
        </w:rPr>
        <w:t>5.4.1.4金具维护：检查线夹、挂板、防震锤等金具有无锈蚀、变形、磨损，防震锤是否移位，开口销是否缺失。</w:t>
      </w:r>
    </w:p>
    <w:p w14:paraId="1048599A">
      <w:pPr>
        <w:spacing w:line="360" w:lineRule="auto"/>
        <w:rPr>
          <w:rFonts w:hint="eastAsia" w:ascii="宋体" w:hAnsi="宋体" w:cs="宋体"/>
          <w:sz w:val="24"/>
          <w:szCs w:val="24"/>
          <w:highlight w:val="none"/>
        </w:rPr>
      </w:pPr>
      <w:r>
        <w:rPr>
          <w:rFonts w:hint="eastAsia" w:ascii="宋体" w:hAnsi="宋体" w:cs="宋体"/>
          <w:sz w:val="24"/>
          <w:szCs w:val="24"/>
          <w:highlight w:val="none"/>
        </w:rPr>
        <w:t>5.4.2 附属设施维护</w:t>
      </w:r>
      <w:r>
        <w:rPr>
          <w:rFonts w:hint="eastAsia" w:ascii="宋体" w:hAnsi="宋体" w:cs="宋体"/>
          <w:sz w:val="24"/>
          <w:szCs w:val="24"/>
          <w:highlight w:val="none"/>
        </w:rPr>
        <w:br w:type="textWrapping"/>
      </w:r>
      <w:r>
        <w:rPr>
          <w:rFonts w:hint="eastAsia" w:ascii="宋体" w:hAnsi="宋体" w:cs="宋体"/>
          <w:sz w:val="24"/>
          <w:szCs w:val="24"/>
          <w:highlight w:val="none"/>
        </w:rPr>
        <w:t>5.4.2.1接地装置维护：检查接地引下线有无断裂、锈蚀，接地电阻是否合格（尤其雷雨季节前），接地网有无外露、损坏。</w:t>
      </w:r>
      <w:r>
        <w:rPr>
          <w:rFonts w:hint="eastAsia" w:ascii="宋体" w:hAnsi="宋体" w:cs="宋体"/>
          <w:sz w:val="24"/>
          <w:szCs w:val="24"/>
          <w:highlight w:val="none"/>
        </w:rPr>
        <w:br w:type="textWrapping"/>
      </w:r>
      <w:r>
        <w:rPr>
          <w:rFonts w:hint="eastAsia" w:ascii="宋体" w:hAnsi="宋体" w:cs="宋体"/>
          <w:sz w:val="24"/>
          <w:szCs w:val="24"/>
          <w:highlight w:val="none"/>
        </w:rPr>
        <w:t>5.4.2.2标识与防护设施维护：补充或更换杆塔编号、相位牌、警示标识，修复损坏的防护栏、防鸟刺。</w:t>
      </w:r>
      <w:r>
        <w:rPr>
          <w:rFonts w:hint="eastAsia" w:ascii="宋体" w:hAnsi="宋体" w:cs="宋体"/>
          <w:sz w:val="24"/>
          <w:szCs w:val="24"/>
          <w:highlight w:val="none"/>
        </w:rPr>
        <w:br w:type="textWrapping"/>
      </w:r>
      <w:r>
        <w:rPr>
          <w:rFonts w:hint="eastAsia" w:ascii="宋体" w:hAnsi="宋体" w:cs="宋体"/>
          <w:sz w:val="24"/>
          <w:szCs w:val="24"/>
          <w:highlight w:val="none"/>
        </w:rPr>
        <w:t>5.4.2.3在线监测设备维护：检查覆冰、舞动、气象、视频监控等在线监测装置的供电、通信是否正常，数据采集是否准确。</w:t>
      </w:r>
    </w:p>
    <w:p w14:paraId="2388583D">
      <w:pPr>
        <w:spacing w:line="360" w:lineRule="auto"/>
        <w:rPr>
          <w:rFonts w:hint="eastAsia" w:ascii="宋体" w:hAnsi="宋体" w:cs="宋体"/>
          <w:sz w:val="24"/>
          <w:szCs w:val="24"/>
          <w:highlight w:val="none"/>
        </w:rPr>
      </w:pPr>
      <w:r>
        <w:rPr>
          <w:rFonts w:hint="eastAsia" w:ascii="宋体" w:hAnsi="宋体" w:cs="宋体"/>
          <w:sz w:val="24"/>
          <w:szCs w:val="24"/>
          <w:highlight w:val="none"/>
        </w:rPr>
        <w:t>5.4.3 通道环境维护</w:t>
      </w:r>
    </w:p>
    <w:p w14:paraId="3EB7FAA7">
      <w:pPr>
        <w:spacing w:line="360" w:lineRule="auto"/>
        <w:rPr>
          <w:rFonts w:hint="eastAsia" w:ascii="宋体" w:hAnsi="宋体" w:cs="宋体"/>
          <w:sz w:val="24"/>
          <w:szCs w:val="24"/>
          <w:highlight w:val="none"/>
        </w:rPr>
      </w:pPr>
      <w:r>
        <w:rPr>
          <w:rFonts w:hint="eastAsia" w:ascii="宋体" w:hAnsi="宋体" w:cs="宋体"/>
          <w:sz w:val="24"/>
          <w:szCs w:val="24"/>
          <w:highlight w:val="none"/>
        </w:rPr>
        <w:t>5.4.3.1树障清理：按规程砍伐线路通道内超高树木（一般要求导线与树木最小距离符合安全标准），定期排查新生长的树木。</w:t>
      </w:r>
    </w:p>
    <w:p w14:paraId="2D91E65F">
      <w:pPr>
        <w:spacing w:line="360" w:lineRule="auto"/>
        <w:rPr>
          <w:rFonts w:hint="eastAsia" w:ascii="宋体" w:hAnsi="宋体" w:cs="宋体"/>
          <w:sz w:val="24"/>
          <w:szCs w:val="24"/>
          <w:highlight w:val="none"/>
        </w:rPr>
      </w:pPr>
      <w:r>
        <w:rPr>
          <w:rFonts w:hint="eastAsia" w:ascii="宋体" w:hAnsi="宋体" w:cs="宋体"/>
          <w:sz w:val="24"/>
          <w:szCs w:val="24"/>
          <w:highlight w:val="none"/>
        </w:rPr>
        <w:t>5.4.3.2异物清除：清除导线上悬挂的风筝、塑料膜等异物，清理杆塔上的鸟巢（尤其繁殖季节）。</w:t>
      </w:r>
      <w:r>
        <w:rPr>
          <w:rFonts w:hint="eastAsia" w:ascii="宋体" w:hAnsi="宋体" w:cs="宋体"/>
          <w:sz w:val="24"/>
          <w:szCs w:val="24"/>
          <w:highlight w:val="none"/>
        </w:rPr>
        <w:br w:type="textWrapping"/>
      </w:r>
      <w:r>
        <w:rPr>
          <w:rFonts w:hint="eastAsia" w:ascii="宋体" w:hAnsi="宋体" w:cs="宋体"/>
          <w:sz w:val="24"/>
          <w:szCs w:val="24"/>
          <w:highlight w:val="none"/>
        </w:rPr>
        <w:t>5.4.3.3外部隐患排查：制止线路通道内的违章施工（如开挖、养殖场建设等），排查周边易燃易爆场所、污染源对线路的影响。</w:t>
      </w:r>
    </w:p>
    <w:p w14:paraId="65B70183">
      <w:pPr>
        <w:spacing w:line="360" w:lineRule="auto"/>
        <w:rPr>
          <w:rFonts w:hint="eastAsia" w:ascii="宋体" w:hAnsi="宋体" w:cs="宋体"/>
          <w:sz w:val="24"/>
          <w:szCs w:val="24"/>
          <w:highlight w:val="none"/>
        </w:rPr>
      </w:pPr>
      <w:r>
        <w:rPr>
          <w:rFonts w:hint="eastAsia" w:ascii="宋体" w:hAnsi="宋体" w:cs="宋体"/>
          <w:sz w:val="24"/>
          <w:szCs w:val="24"/>
          <w:highlight w:val="none"/>
        </w:rPr>
        <w:t>5.4.4. 特殊维护</w:t>
      </w:r>
      <w:r>
        <w:rPr>
          <w:rFonts w:hint="eastAsia" w:ascii="宋体" w:hAnsi="宋体" w:cs="宋体"/>
          <w:sz w:val="24"/>
          <w:szCs w:val="24"/>
          <w:highlight w:val="none"/>
        </w:rPr>
        <w:br w:type="textWrapping"/>
      </w:r>
      <w:r>
        <w:rPr>
          <w:rFonts w:hint="eastAsia" w:ascii="宋体" w:hAnsi="宋体" w:cs="宋体"/>
          <w:sz w:val="24"/>
          <w:szCs w:val="24"/>
          <w:highlight w:val="none"/>
        </w:rPr>
        <w:t>5.4.4.1季节性维护：夏季高温状态下导线接头的测温，冬季线夹的螺栓松动等。</w:t>
      </w:r>
      <w:r>
        <w:rPr>
          <w:rFonts w:hint="eastAsia" w:ascii="宋体" w:hAnsi="宋体" w:cs="宋体"/>
          <w:sz w:val="24"/>
          <w:szCs w:val="24"/>
          <w:highlight w:val="none"/>
        </w:rPr>
        <w:br w:type="textWrapping"/>
      </w:r>
      <w:r>
        <w:rPr>
          <w:rFonts w:hint="eastAsia" w:ascii="宋体" w:hAnsi="宋体" w:cs="宋体"/>
          <w:sz w:val="24"/>
          <w:szCs w:val="24"/>
          <w:highlight w:val="none"/>
        </w:rPr>
        <w:t>5.4.4.2故障后维护：线路跳闸或故障后，对故障点进行彻底修复（如更换损坏的导线、绝缘子、避雷器等），并对周边设备进行全面排查。</w:t>
      </w:r>
      <w:r>
        <w:rPr>
          <w:rFonts w:hint="eastAsia" w:ascii="宋体" w:hAnsi="宋体" w:cs="宋体"/>
          <w:sz w:val="24"/>
          <w:szCs w:val="24"/>
          <w:highlight w:val="none"/>
        </w:rPr>
        <w:br w:type="textWrapping"/>
      </w:r>
      <w:r>
        <w:rPr>
          <w:rFonts w:hint="eastAsia" w:ascii="宋体" w:hAnsi="宋体" w:cs="宋体"/>
          <w:sz w:val="24"/>
          <w:szCs w:val="24"/>
          <w:highlight w:val="none"/>
        </w:rPr>
        <w:t>5.4.4.3状态检修：结合巡检记录，对老化、缺陷设备进行针对性更换（如老旧绝缘子批量更新、锈蚀杆塔防腐处理）。</w:t>
      </w:r>
    </w:p>
    <w:p w14:paraId="4A3C317B">
      <w:pPr>
        <w:spacing w:line="360" w:lineRule="auto"/>
        <w:rPr>
          <w:rFonts w:hint="eastAsia" w:ascii="宋体" w:hAnsi="宋体" w:cs="宋体"/>
          <w:sz w:val="24"/>
          <w:szCs w:val="24"/>
          <w:highlight w:val="none"/>
        </w:rPr>
      </w:pPr>
      <w:r>
        <w:rPr>
          <w:rFonts w:hint="eastAsia" w:ascii="宋体" w:hAnsi="宋体" w:cs="宋体"/>
          <w:sz w:val="24"/>
          <w:szCs w:val="24"/>
          <w:highlight w:val="none"/>
        </w:rPr>
        <w:t>5.</w:t>
      </w:r>
      <w:r>
        <w:rPr>
          <w:rFonts w:hint="eastAsia" w:ascii="宋体" w:hAnsi="宋体" w:cs="宋体"/>
          <w:sz w:val="24"/>
          <w:szCs w:val="24"/>
          <w:highlight w:val="none"/>
          <w:lang w:val="en-US" w:eastAsia="zh-CN"/>
        </w:rPr>
        <w:t>5</w:t>
      </w:r>
      <w:r>
        <w:rPr>
          <w:rFonts w:hint="eastAsia" w:ascii="宋体" w:hAnsi="宋体" w:cs="宋体"/>
          <w:sz w:val="24"/>
          <w:szCs w:val="24"/>
          <w:highlight w:val="none"/>
        </w:rPr>
        <w:t xml:space="preserve"> 维修检修过程必须保证不得损毁完好的线路设备零部件，确实需要破坏性拆卸的零件必须征得招标方车间领导的同意，否则按维修管理考核标准考核。</w:t>
      </w:r>
    </w:p>
    <w:p w14:paraId="5D7334FC">
      <w:pPr>
        <w:spacing w:line="360" w:lineRule="auto"/>
        <w:rPr>
          <w:rFonts w:hint="eastAsia" w:ascii="宋体" w:hAnsi="宋体" w:cs="宋体"/>
          <w:sz w:val="24"/>
          <w:szCs w:val="24"/>
          <w:highlight w:val="none"/>
        </w:rPr>
      </w:pPr>
      <w:r>
        <w:rPr>
          <w:rFonts w:hint="eastAsia" w:ascii="宋体" w:hAnsi="宋体" w:cs="宋体"/>
          <w:sz w:val="24"/>
          <w:szCs w:val="24"/>
          <w:highlight w:val="none"/>
        </w:rPr>
        <w:t>5.</w:t>
      </w:r>
      <w:r>
        <w:rPr>
          <w:rFonts w:hint="eastAsia" w:ascii="宋体" w:hAnsi="宋体" w:cs="宋体"/>
          <w:sz w:val="24"/>
          <w:szCs w:val="24"/>
          <w:highlight w:val="none"/>
          <w:lang w:val="en-US" w:eastAsia="zh-CN"/>
        </w:rPr>
        <w:t>6</w:t>
      </w:r>
      <w:r>
        <w:rPr>
          <w:rFonts w:hint="eastAsia" w:ascii="宋体" w:hAnsi="宋体" w:cs="宋体"/>
          <w:sz w:val="24"/>
          <w:szCs w:val="24"/>
          <w:highlight w:val="none"/>
        </w:rPr>
        <w:t xml:space="preserve"> 投标方须按要求做好线路设备的定期维护工作，并根据设备的实际健康状况，对维护周期及时进行调整，报招标方批准后执行。</w:t>
      </w:r>
    </w:p>
    <w:p w14:paraId="60E49597">
      <w:pPr>
        <w:spacing w:line="360" w:lineRule="auto"/>
        <w:rPr>
          <w:rFonts w:hint="eastAsia" w:ascii="宋体" w:hAnsi="宋体" w:cs="宋体"/>
          <w:sz w:val="24"/>
          <w:szCs w:val="24"/>
          <w:highlight w:val="none"/>
        </w:rPr>
      </w:pPr>
      <w:r>
        <w:rPr>
          <w:rFonts w:hint="eastAsia" w:ascii="宋体" w:hAnsi="宋体" w:cs="宋体"/>
          <w:sz w:val="24"/>
          <w:szCs w:val="24"/>
          <w:highlight w:val="none"/>
        </w:rPr>
        <w:t>5.</w:t>
      </w:r>
      <w:r>
        <w:rPr>
          <w:rFonts w:hint="eastAsia" w:ascii="宋体" w:hAnsi="宋体" w:cs="宋体"/>
          <w:sz w:val="24"/>
          <w:szCs w:val="24"/>
          <w:highlight w:val="none"/>
          <w:lang w:val="en-US" w:eastAsia="zh-CN"/>
        </w:rPr>
        <w:t>7</w:t>
      </w:r>
      <w:r>
        <w:rPr>
          <w:rFonts w:hint="eastAsia" w:ascii="宋体" w:hAnsi="宋体" w:cs="宋体"/>
          <w:sz w:val="24"/>
          <w:szCs w:val="24"/>
          <w:highlight w:val="none"/>
        </w:rPr>
        <w:t xml:space="preserve"> 投标方维保人员要编制线路维护检修等工作计划。建立线路隐患排查整改制度和线路设备巡回检查制度并严格执行。</w:t>
      </w:r>
    </w:p>
    <w:p w14:paraId="60F97081">
      <w:pPr>
        <w:spacing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rPr>
        <w:t>5.</w:t>
      </w:r>
      <w:r>
        <w:rPr>
          <w:rFonts w:hint="eastAsia" w:ascii="宋体" w:hAnsi="宋体" w:cs="宋体"/>
          <w:color w:val="000000"/>
          <w:sz w:val="24"/>
          <w:szCs w:val="24"/>
          <w:highlight w:val="none"/>
          <w:lang w:val="en-US" w:eastAsia="zh-CN"/>
        </w:rPr>
        <w:t>8</w:t>
      </w:r>
      <w:r>
        <w:rPr>
          <w:rFonts w:hint="eastAsia" w:ascii="宋体" w:hAnsi="宋体" w:cs="宋体"/>
          <w:color w:val="000000"/>
          <w:sz w:val="24"/>
          <w:szCs w:val="24"/>
          <w:highlight w:val="none"/>
        </w:rPr>
        <w:t xml:space="preserve"> 服务期限内，招标方因生产等原因而后续增加的不超过2kM的架空线路，维保时长不超过6个月的，投标方负责该部分线路设备的维护工作，招标方不因此支付额外费用。</w:t>
      </w:r>
    </w:p>
    <w:p w14:paraId="33CAEA0D">
      <w:pPr>
        <w:spacing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rPr>
        <w:t>5.</w:t>
      </w:r>
      <w:r>
        <w:rPr>
          <w:rFonts w:hint="eastAsia" w:ascii="宋体" w:hAnsi="宋体" w:cs="宋体"/>
          <w:color w:val="000000"/>
          <w:sz w:val="24"/>
          <w:szCs w:val="24"/>
          <w:highlight w:val="none"/>
          <w:lang w:val="en-US" w:eastAsia="zh-CN"/>
        </w:rPr>
        <w:t>9</w:t>
      </w:r>
      <w:r>
        <w:rPr>
          <w:rFonts w:hint="eastAsia" w:ascii="宋体" w:hAnsi="宋体" w:cs="宋体"/>
          <w:color w:val="000000"/>
          <w:sz w:val="24"/>
          <w:szCs w:val="24"/>
          <w:highlight w:val="none"/>
        </w:rPr>
        <w:t xml:space="preserve"> 投标方在线路（10kV、35kV、110kV）检修中经招标方确认，确实无法停电的情况下进行设备检修、树障清理等工作，额外产生的租用仪器设备，租用人员等所产生的费用，招标方不因此支付额外费用。</w:t>
      </w:r>
    </w:p>
    <w:p w14:paraId="751100D1">
      <w:pPr>
        <w:spacing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5</w:t>
      </w:r>
      <w:r>
        <w:rPr>
          <w:rFonts w:hint="eastAsia" w:ascii="宋体" w:hAnsi="宋体" w:cs="宋体"/>
          <w:color w:val="000000"/>
          <w:sz w:val="24"/>
          <w:szCs w:val="24"/>
          <w:highlight w:val="none"/>
          <w:lang w:eastAsia="zh-CN"/>
        </w:rPr>
        <w:t>.1</w:t>
      </w:r>
      <w:r>
        <w:rPr>
          <w:rFonts w:hint="eastAsia" w:ascii="宋体" w:hAnsi="宋体" w:cs="宋体"/>
          <w:color w:val="000000"/>
          <w:sz w:val="24"/>
          <w:szCs w:val="24"/>
          <w:highlight w:val="none"/>
          <w:lang w:val="en-US" w:eastAsia="zh-CN"/>
        </w:rPr>
        <w:t>0</w:t>
      </w:r>
      <w:r>
        <w:rPr>
          <w:rFonts w:hint="eastAsia" w:ascii="宋体" w:hAnsi="宋体" w:cs="宋体"/>
          <w:color w:val="000000"/>
          <w:sz w:val="24"/>
          <w:szCs w:val="24"/>
          <w:highlight w:val="none"/>
        </w:rPr>
        <w:t xml:space="preserve"> </w:t>
      </w:r>
      <w:r>
        <w:rPr>
          <w:rFonts w:hint="eastAsia" w:ascii="宋体" w:hAnsi="宋体" w:eastAsia="宋体"/>
          <w:sz w:val="24"/>
          <w:szCs w:val="24"/>
          <w:highlight w:val="none"/>
          <w:lang w:val="en-US" w:eastAsia="zh-CN"/>
        </w:rPr>
        <w:t>投标</w:t>
      </w:r>
      <w:r>
        <w:rPr>
          <w:rFonts w:hint="eastAsia" w:ascii="宋体" w:hAnsi="宋体" w:eastAsia="宋体"/>
          <w:sz w:val="24"/>
          <w:szCs w:val="24"/>
          <w:highlight w:val="none"/>
          <w:lang w:eastAsia="zh-CN"/>
        </w:rPr>
        <w:t>方</w:t>
      </w:r>
      <w:r>
        <w:rPr>
          <w:rFonts w:hint="eastAsia" w:ascii="宋体" w:hAnsi="宋体" w:eastAsia="宋体"/>
          <w:sz w:val="24"/>
          <w:szCs w:val="24"/>
          <w:highlight w:val="none"/>
        </w:rPr>
        <w:t>应按</w:t>
      </w:r>
      <w:r>
        <w:rPr>
          <w:rFonts w:hint="eastAsia" w:ascii="宋体" w:hAnsi="宋体" w:eastAsia="宋体"/>
          <w:sz w:val="24"/>
          <w:szCs w:val="24"/>
          <w:highlight w:val="none"/>
          <w:lang w:val="en-US" w:eastAsia="zh-CN"/>
        </w:rPr>
        <w:t>招标</w:t>
      </w:r>
      <w:r>
        <w:rPr>
          <w:rFonts w:hint="eastAsia" w:ascii="宋体" w:hAnsi="宋体" w:eastAsia="宋体" w:cs="Times New Roman"/>
          <w:sz w:val="24"/>
          <w:szCs w:val="24"/>
          <w:highlight w:val="none"/>
          <w:lang w:val="en-US" w:eastAsia="zh-CN"/>
        </w:rPr>
        <w:t>方要求建立工作范围内架空线路日常巡检、检维修的</w:t>
      </w:r>
      <w:r>
        <w:rPr>
          <w:rFonts w:hint="eastAsia" w:ascii="宋体" w:hAnsi="宋体" w:cs="宋体"/>
          <w:kern w:val="0"/>
          <w:sz w:val="24"/>
          <w:szCs w:val="24"/>
          <w:highlight w:val="none"/>
          <w:lang w:bidi="ar"/>
        </w:rPr>
        <w:t>技术档案</w:t>
      </w:r>
      <w:r>
        <w:rPr>
          <w:rFonts w:hint="eastAsia" w:ascii="宋体" w:hAnsi="宋体" w:eastAsia="宋体" w:cs="Times New Roman"/>
          <w:sz w:val="24"/>
          <w:szCs w:val="24"/>
          <w:highlight w:val="none"/>
          <w:lang w:val="en-US" w:eastAsia="zh-CN"/>
        </w:rPr>
        <w:t>（包括设</w:t>
      </w:r>
      <w:r>
        <w:rPr>
          <w:rFonts w:hint="eastAsia" w:ascii="宋体" w:hAnsi="宋体" w:eastAsia="宋体"/>
          <w:sz w:val="24"/>
          <w:szCs w:val="24"/>
          <w:highlight w:val="none"/>
        </w:rPr>
        <w:t>备</w:t>
      </w:r>
      <w:r>
        <w:rPr>
          <w:rFonts w:hint="eastAsia" w:ascii="宋体" w:hAnsi="宋体" w:eastAsia="宋体"/>
          <w:sz w:val="24"/>
          <w:szCs w:val="24"/>
          <w:highlight w:val="none"/>
          <w:lang w:val="en-US" w:eastAsia="zh-CN"/>
        </w:rPr>
        <w:t>台账、</w:t>
      </w:r>
      <w:r>
        <w:rPr>
          <w:rFonts w:hint="eastAsia" w:ascii="宋体" w:hAnsi="宋体" w:eastAsia="宋体"/>
          <w:sz w:val="24"/>
          <w:szCs w:val="24"/>
          <w:highlight w:val="none"/>
        </w:rPr>
        <w:t>检修</w:t>
      </w:r>
      <w:r>
        <w:rPr>
          <w:rFonts w:hint="eastAsia" w:ascii="宋体" w:hAnsi="宋体" w:eastAsia="宋体"/>
          <w:sz w:val="24"/>
          <w:szCs w:val="24"/>
          <w:highlight w:val="none"/>
          <w:lang w:val="en-US" w:eastAsia="zh-CN"/>
        </w:rPr>
        <w:t>方案、检修</w:t>
      </w:r>
      <w:r>
        <w:rPr>
          <w:rFonts w:hint="eastAsia" w:ascii="宋体" w:hAnsi="宋体" w:eastAsia="宋体"/>
          <w:sz w:val="24"/>
          <w:szCs w:val="24"/>
          <w:highlight w:val="none"/>
        </w:rPr>
        <w:t>记录、分析报告、消耗材料等）</w:t>
      </w:r>
      <w:r>
        <w:rPr>
          <w:rFonts w:hint="eastAsia" w:ascii="宋体" w:hAnsi="宋体" w:eastAsia="宋体"/>
          <w:sz w:val="24"/>
          <w:szCs w:val="24"/>
          <w:highlight w:val="none"/>
          <w:lang w:eastAsia="zh-CN"/>
        </w:rPr>
        <w:t>。</w:t>
      </w:r>
      <w:r>
        <w:rPr>
          <w:rFonts w:hint="eastAsia" w:ascii="宋体" w:hAnsi="宋体" w:eastAsia="宋体"/>
          <w:sz w:val="24"/>
          <w:szCs w:val="24"/>
          <w:highlight w:val="none"/>
        </w:rPr>
        <w:t>台账模板由</w:t>
      </w:r>
      <w:r>
        <w:rPr>
          <w:rFonts w:hint="eastAsia" w:ascii="宋体" w:hAnsi="宋体" w:eastAsia="宋体"/>
          <w:sz w:val="24"/>
          <w:szCs w:val="24"/>
          <w:highlight w:val="none"/>
          <w:lang w:val="en-US" w:eastAsia="zh-CN"/>
        </w:rPr>
        <w:t>招标</w:t>
      </w:r>
      <w:r>
        <w:rPr>
          <w:rFonts w:hint="eastAsia" w:ascii="宋体" w:hAnsi="宋体" w:eastAsia="宋体"/>
          <w:sz w:val="24"/>
          <w:szCs w:val="24"/>
          <w:highlight w:val="none"/>
          <w:lang w:eastAsia="zh-CN"/>
        </w:rPr>
        <w:t>方</w:t>
      </w:r>
      <w:r>
        <w:rPr>
          <w:rFonts w:hint="eastAsia" w:ascii="宋体" w:hAnsi="宋体" w:eastAsia="宋体"/>
          <w:sz w:val="24"/>
          <w:szCs w:val="24"/>
          <w:highlight w:val="none"/>
        </w:rPr>
        <w:t>提供。</w:t>
      </w:r>
      <w:r>
        <w:rPr>
          <w:rFonts w:hint="eastAsia" w:ascii="宋体" w:hAnsi="宋体" w:eastAsia="宋体"/>
          <w:sz w:val="24"/>
          <w:szCs w:val="24"/>
          <w:highlight w:val="none"/>
          <w:lang w:val="en-US" w:eastAsia="zh-CN"/>
        </w:rPr>
        <w:t>招标方定期对报告和台账的完整性进行检查并考核</w:t>
      </w:r>
      <w:r>
        <w:rPr>
          <w:rFonts w:hint="eastAsia" w:ascii="宋体" w:hAnsi="宋体" w:cs="宋体"/>
          <w:color w:val="000000"/>
          <w:sz w:val="24"/>
          <w:szCs w:val="24"/>
          <w:highlight w:val="none"/>
          <w:lang w:val="en-US" w:eastAsia="zh-CN"/>
        </w:rPr>
        <w:t>。</w:t>
      </w:r>
    </w:p>
    <w:p w14:paraId="260011D0">
      <w:pPr>
        <w:spacing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5</w:t>
      </w:r>
      <w:r>
        <w:rPr>
          <w:rFonts w:hint="eastAsia" w:ascii="宋体" w:hAnsi="宋体" w:cs="宋体"/>
          <w:color w:val="000000"/>
          <w:sz w:val="24"/>
          <w:szCs w:val="24"/>
          <w:highlight w:val="none"/>
          <w:lang w:eastAsia="zh-CN"/>
        </w:rPr>
        <w:t>.1</w:t>
      </w:r>
      <w:r>
        <w:rPr>
          <w:rFonts w:hint="eastAsia" w:ascii="宋体" w:hAnsi="宋体" w:cs="宋体"/>
          <w:color w:val="000000"/>
          <w:sz w:val="24"/>
          <w:szCs w:val="24"/>
          <w:highlight w:val="none"/>
          <w:lang w:val="en-US" w:eastAsia="zh-CN"/>
        </w:rPr>
        <w:t>1</w:t>
      </w:r>
      <w:r>
        <w:rPr>
          <w:rFonts w:hint="eastAsia" w:ascii="宋体" w:hAnsi="宋体" w:cs="宋体"/>
          <w:color w:val="000000"/>
          <w:sz w:val="24"/>
          <w:szCs w:val="24"/>
          <w:highlight w:val="none"/>
        </w:rPr>
        <w:t>投标方巡检、维护作业，应提前将工作计划报至招标方项目归口管理部门审核，招标方根据工作类型、风险、复杂程度等决定是否派员参与、旁站或指导。</w:t>
      </w:r>
    </w:p>
    <w:p w14:paraId="3EA87B4D">
      <w:pPr>
        <w:spacing w:line="360" w:lineRule="auto"/>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5</w:t>
      </w:r>
      <w:r>
        <w:rPr>
          <w:rFonts w:hint="eastAsia" w:ascii="宋体" w:hAnsi="宋体" w:cs="宋体"/>
          <w:color w:val="000000"/>
          <w:sz w:val="24"/>
          <w:szCs w:val="24"/>
          <w:highlight w:val="none"/>
          <w:lang w:eastAsia="zh-CN"/>
        </w:rPr>
        <w:t>.1</w:t>
      </w:r>
      <w:r>
        <w:rPr>
          <w:rFonts w:hint="eastAsia" w:ascii="宋体" w:hAnsi="宋体" w:cs="宋体"/>
          <w:color w:val="000000"/>
          <w:sz w:val="24"/>
          <w:szCs w:val="24"/>
          <w:highlight w:val="none"/>
          <w:lang w:val="en-US" w:eastAsia="zh-CN"/>
        </w:rPr>
        <w:t>2</w:t>
      </w:r>
      <w:r>
        <w:rPr>
          <w:rFonts w:hint="eastAsia" w:ascii="宋体" w:hAnsi="宋体" w:cs="宋体"/>
          <w:color w:val="000000"/>
          <w:sz w:val="24"/>
          <w:szCs w:val="24"/>
          <w:highlight w:val="none"/>
        </w:rPr>
        <w:t xml:space="preserve"> 投标方巡检、维护作业应留有影像资料，不论招标方是否派员参与、旁站或指导，并在作业结束后及时收集整理相关影像和文本资料交招标方审核存档。</w:t>
      </w:r>
    </w:p>
    <w:p w14:paraId="7FA65C76">
      <w:pPr>
        <w:spacing w:line="360" w:lineRule="auto"/>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.1</w:t>
      </w:r>
      <w:r>
        <w:rPr>
          <w:rFonts w:hint="eastAsia" w:ascii="宋体" w:hAnsi="宋体" w:cs="宋体"/>
          <w:sz w:val="24"/>
          <w:szCs w:val="24"/>
          <w:highlight w:val="none"/>
          <w:lang w:val="en-US" w:eastAsia="zh-CN"/>
        </w:rPr>
        <w:t>3</w:t>
      </w:r>
      <w:r>
        <w:rPr>
          <w:rFonts w:hint="eastAsia" w:ascii="宋体" w:hAnsi="宋体" w:cs="宋体"/>
          <w:sz w:val="24"/>
          <w:szCs w:val="24"/>
          <w:highlight w:val="none"/>
        </w:rPr>
        <w:t xml:space="preserve"> 按时完成招标方安排的其它临时性工作。</w:t>
      </w:r>
    </w:p>
    <w:p w14:paraId="14FE1F89">
      <w:pPr>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pPr>
      <w:r>
        <w:separator/>
      </w:r>
    </w:p>
  </w:footnote>
  <w:footnote w:type="continuationSeparator" w:id="1">
    <w:p>
      <w:pPr>
        <w:spacing w:line="31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7684B"/>
    <w:rsid w:val="0F2413EE"/>
    <w:rsid w:val="12F42BA4"/>
    <w:rsid w:val="153F759E"/>
    <w:rsid w:val="2C471B3F"/>
    <w:rsid w:val="2D255327"/>
    <w:rsid w:val="32DD4AEB"/>
    <w:rsid w:val="38723882"/>
    <w:rsid w:val="38C25042"/>
    <w:rsid w:val="3A465B2C"/>
    <w:rsid w:val="3D985F45"/>
    <w:rsid w:val="4B49473D"/>
    <w:rsid w:val="5E137C92"/>
    <w:rsid w:val="608775F5"/>
    <w:rsid w:val="613F521A"/>
    <w:rsid w:val="6B47600F"/>
    <w:rsid w:val="6FA17EB3"/>
    <w:rsid w:val="735D6026"/>
    <w:rsid w:val="77510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2"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adjustRightInd w:val="0"/>
      <w:spacing w:line="360" w:lineRule="auto"/>
      <w:textAlignment w:val="baseline"/>
      <w:outlineLvl w:val="0"/>
    </w:pPr>
    <w:rPr>
      <w:rFonts w:ascii="Times New Roman" w:hAnsi="Times New Roman" w:eastAsia="宋体"/>
      <w:b/>
      <w:kern w:val="44"/>
      <w:sz w:val="32"/>
      <w:szCs w:val="20"/>
    </w:rPr>
  </w:style>
  <w:style w:type="paragraph" w:styleId="3">
    <w:name w:val="heading 2"/>
    <w:basedOn w:val="1"/>
    <w:next w:val="1"/>
    <w:qFormat/>
    <w:uiPriority w:val="0"/>
    <w:pPr>
      <w:keepNext/>
      <w:keepLines/>
      <w:adjustRightInd w:val="0"/>
      <w:jc w:val="center"/>
      <w:textAlignment w:val="baseline"/>
      <w:outlineLvl w:val="1"/>
    </w:pPr>
    <w:rPr>
      <w:b/>
      <w:kern w:val="44"/>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qFormat/>
    <w:uiPriority w:val="0"/>
    <w:rPr>
      <w:sz w:val="21"/>
      <w:szCs w:val="21"/>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380</Words>
  <Characters>527</Characters>
  <Lines>0</Lines>
  <Paragraphs>0</Paragraphs>
  <TotalTime>0</TotalTime>
  <ScaleCrop>false</ScaleCrop>
  <LinksUpToDate>false</LinksUpToDate>
  <CharactersWithSpaces>545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2026-01-24T15:27:00Z</dcterms:created>
  <dc:creator>Administrator</dc:creator>
  <cp:lastModifiedBy>刁小娇</cp:lastModifiedBy>
  <cp:lastPrinted>2026-02-12T02:40:58Z</cp:lastPrinted>
  <dcterms:modified xsi:type="dcterms:W3CDTF">2026-02-12T02:41:51Z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eyJoZGlkIjoiMDJiNTE4NzZiNzI0ZDA1NzE0MmJhODU0YTcwOGRlMDQiLCJ1c2VySWQiOiIxNjk3ODA1NjA3In0=</vt:lpwstr>
  </property>
  <property fmtid="{D5CDD505-2E9C-101B-9397-08002B2CF9AE}" pid="4" name="ICV">
    <vt:lpwstr>ACED060BA1644F29BD948B8463600F2B_12</vt:lpwstr>
  </property>
</Properties>
</file>