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A507F">
      <w:pPr>
        <w:spacing w:line="276" w:lineRule="auto"/>
        <w:rPr>
          <w:rFonts w:ascii="宋体" w:hAnsi="宋体" w:cs="宋体"/>
          <w:b/>
          <w:sz w:val="44"/>
          <w:szCs w:val="44"/>
          <w:highlight w:val="none"/>
        </w:rPr>
      </w:pPr>
      <w:bookmarkStart w:id="78" w:name="_GoBack"/>
      <w:bookmarkEnd w:id="78"/>
      <w:r>
        <w:rPr>
          <w:highlight w:val="none"/>
        </w:rPr>
        <w:drawing>
          <wp:anchor distT="0" distB="0" distL="114300" distR="114300" simplePos="0" relativeHeight="251659264" behindDoc="0" locked="0" layoutInCell="1" allowOverlap="1">
            <wp:simplePos x="0" y="0"/>
            <wp:positionH relativeFrom="column">
              <wp:posOffset>-66675</wp:posOffset>
            </wp:positionH>
            <wp:positionV relativeFrom="paragraph">
              <wp:posOffset>268605</wp:posOffset>
            </wp:positionV>
            <wp:extent cx="582930" cy="483870"/>
            <wp:effectExtent l="0" t="0" r="7620" b="11430"/>
            <wp:wrapNone/>
            <wp:docPr id="1" name="图片 2" descr="说明: 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8888"/>
                    <pic:cNvPicPr>
                      <a:picLocks noChangeAspect="1"/>
                    </pic:cNvPicPr>
                  </pic:nvPicPr>
                  <pic:blipFill>
                    <a:blip r:embed="rId8"/>
                    <a:stretch>
                      <a:fillRect/>
                    </a:stretch>
                  </pic:blipFill>
                  <pic:spPr>
                    <a:xfrm>
                      <a:off x="0" y="0"/>
                      <a:ext cx="582930" cy="483870"/>
                    </a:xfrm>
                    <a:prstGeom prst="rect">
                      <a:avLst/>
                    </a:prstGeom>
                    <a:noFill/>
                    <a:ln>
                      <a:noFill/>
                    </a:ln>
                  </pic:spPr>
                </pic:pic>
              </a:graphicData>
            </a:graphic>
          </wp:anchor>
        </w:drawing>
      </w:r>
    </w:p>
    <w:p w14:paraId="1D622FE1">
      <w:pPr>
        <w:spacing w:line="276" w:lineRule="auto"/>
        <w:ind w:firstLine="964" w:firstLineChars="300"/>
        <w:outlineLvl w:val="0"/>
        <w:rPr>
          <w:rFonts w:ascii="宋体" w:hAnsi="宋体" w:cs="宋体"/>
          <w:b/>
          <w:sz w:val="32"/>
          <w:szCs w:val="32"/>
          <w:highlight w:val="none"/>
        </w:rPr>
      </w:pPr>
      <w:bookmarkStart w:id="0" w:name="_Toc27008"/>
      <w:bookmarkStart w:id="1" w:name="_Toc14690"/>
      <w:bookmarkStart w:id="2" w:name="_Toc1638"/>
      <w:bookmarkStart w:id="3" w:name="_Toc17969"/>
      <w:r>
        <w:rPr>
          <w:rFonts w:hint="eastAsia" w:ascii="宋体" w:hAnsi="宋体" w:cs="宋体"/>
          <w:b/>
          <w:sz w:val="32"/>
          <w:szCs w:val="32"/>
          <w:highlight w:val="none"/>
        </w:rPr>
        <w:t>伊犁新天煤化工有限责任公司</w:t>
      </w:r>
      <w:bookmarkEnd w:id="0"/>
      <w:bookmarkEnd w:id="1"/>
      <w:bookmarkEnd w:id="2"/>
      <w:bookmarkEnd w:id="3"/>
    </w:p>
    <w:p w14:paraId="75BEBDBB">
      <w:pPr>
        <w:spacing w:line="276" w:lineRule="auto"/>
        <w:jc w:val="center"/>
        <w:rPr>
          <w:rFonts w:ascii="宋体" w:hAnsi="宋体" w:cs="宋体"/>
          <w:b/>
          <w:sz w:val="44"/>
          <w:szCs w:val="44"/>
          <w:highlight w:val="none"/>
        </w:rPr>
      </w:pPr>
    </w:p>
    <w:p w14:paraId="1ACF5173">
      <w:pPr>
        <w:spacing w:line="276" w:lineRule="auto"/>
        <w:jc w:val="center"/>
        <w:rPr>
          <w:rFonts w:ascii="宋体" w:hAnsi="宋体" w:cs="宋体"/>
          <w:b/>
          <w:sz w:val="44"/>
          <w:szCs w:val="44"/>
          <w:highlight w:val="none"/>
        </w:rPr>
      </w:pPr>
    </w:p>
    <w:p w14:paraId="0EC80A75">
      <w:pPr>
        <w:spacing w:line="276" w:lineRule="auto"/>
        <w:ind w:firstLine="900"/>
        <w:jc w:val="center"/>
        <w:rPr>
          <w:rFonts w:ascii="宋体" w:hAnsi="宋体" w:cs="宋体"/>
          <w:b/>
          <w:sz w:val="44"/>
          <w:szCs w:val="44"/>
          <w:highlight w:val="none"/>
        </w:rPr>
      </w:pPr>
      <w:r>
        <w:rPr>
          <w:rFonts w:hint="eastAsia" w:ascii="宋体" w:hAnsi="宋体" w:cs="宋体"/>
          <w:b/>
          <w:sz w:val="44"/>
          <w:szCs w:val="44"/>
          <w:highlight w:val="none"/>
        </w:rPr>
        <w:t>202</w:t>
      </w:r>
      <w:r>
        <w:rPr>
          <w:rFonts w:hint="eastAsia" w:ascii="宋体" w:hAnsi="宋体" w:cs="宋体"/>
          <w:b/>
          <w:sz w:val="44"/>
          <w:szCs w:val="44"/>
          <w:highlight w:val="none"/>
          <w:lang w:val="en-US" w:eastAsia="zh-CN"/>
        </w:rPr>
        <w:t>6</w:t>
      </w:r>
      <w:r>
        <w:rPr>
          <w:rFonts w:hint="eastAsia" w:ascii="宋体" w:hAnsi="宋体" w:cs="宋体"/>
          <w:b/>
          <w:sz w:val="44"/>
          <w:szCs w:val="44"/>
          <w:highlight w:val="none"/>
        </w:rPr>
        <w:t>-202</w:t>
      </w:r>
      <w:r>
        <w:rPr>
          <w:rFonts w:hint="eastAsia" w:ascii="宋体" w:hAnsi="宋体" w:cs="宋体"/>
          <w:b/>
          <w:sz w:val="44"/>
          <w:szCs w:val="44"/>
          <w:highlight w:val="none"/>
          <w:lang w:val="en-US" w:eastAsia="zh-CN"/>
        </w:rPr>
        <w:t>7</w:t>
      </w:r>
      <w:r>
        <w:rPr>
          <w:rFonts w:hint="eastAsia" w:ascii="宋体" w:hAnsi="宋体" w:cs="宋体"/>
          <w:b/>
          <w:sz w:val="44"/>
          <w:szCs w:val="44"/>
          <w:highlight w:val="none"/>
        </w:rPr>
        <w:t>年度全厂架子、保温、防腐工程</w:t>
      </w:r>
    </w:p>
    <w:p w14:paraId="4ABF7938">
      <w:pPr>
        <w:spacing w:line="276" w:lineRule="auto"/>
        <w:ind w:firstLine="900"/>
        <w:jc w:val="center"/>
        <w:outlineLvl w:val="0"/>
        <w:rPr>
          <w:rFonts w:ascii="宋体" w:hAnsi="宋体" w:cs="宋体"/>
          <w:b/>
          <w:sz w:val="44"/>
          <w:szCs w:val="44"/>
          <w:highlight w:val="none"/>
        </w:rPr>
      </w:pPr>
      <w:bookmarkStart w:id="4" w:name="_Toc22155"/>
      <w:bookmarkStart w:id="5" w:name="_Toc9771"/>
      <w:bookmarkStart w:id="6" w:name="_Toc32712"/>
      <w:bookmarkStart w:id="7" w:name="_Toc17443"/>
      <w:r>
        <w:rPr>
          <w:rFonts w:hint="eastAsia" w:ascii="宋体" w:hAnsi="宋体" w:cs="宋体"/>
          <w:b/>
          <w:sz w:val="44"/>
          <w:szCs w:val="44"/>
          <w:highlight w:val="none"/>
        </w:rPr>
        <w:t>项目技术规范书</w:t>
      </w:r>
      <w:bookmarkEnd w:id="4"/>
      <w:bookmarkEnd w:id="5"/>
      <w:bookmarkEnd w:id="6"/>
      <w:bookmarkEnd w:id="7"/>
    </w:p>
    <w:p w14:paraId="4148B2B8">
      <w:pPr>
        <w:spacing w:line="276" w:lineRule="auto"/>
        <w:rPr>
          <w:rFonts w:ascii="宋体" w:hAnsi="宋体" w:cs="宋体"/>
          <w:b/>
          <w:sz w:val="32"/>
          <w:szCs w:val="32"/>
          <w:highlight w:val="none"/>
        </w:rPr>
      </w:pPr>
    </w:p>
    <w:p w14:paraId="61D118C1">
      <w:pPr>
        <w:spacing w:line="276" w:lineRule="auto"/>
        <w:rPr>
          <w:rFonts w:ascii="宋体" w:hAnsi="宋体" w:cs="宋体"/>
          <w:b/>
          <w:sz w:val="32"/>
          <w:szCs w:val="32"/>
          <w:highlight w:val="none"/>
        </w:rPr>
      </w:pPr>
    </w:p>
    <w:p w14:paraId="3B8ADA80">
      <w:pPr>
        <w:spacing w:line="720" w:lineRule="auto"/>
        <w:ind w:firstLine="2570" w:firstLineChars="800"/>
        <w:rPr>
          <w:rFonts w:ascii="宋体" w:hAnsi="宋体" w:cs="宋体"/>
          <w:b/>
          <w:sz w:val="32"/>
          <w:szCs w:val="32"/>
          <w:highlight w:val="none"/>
        </w:rPr>
      </w:pPr>
      <w:r>
        <w:rPr>
          <w:rFonts w:hint="eastAsia" w:ascii="宋体" w:hAnsi="宋体" w:cs="宋体"/>
          <w:b/>
          <w:sz w:val="32"/>
          <w:szCs w:val="32"/>
          <w:highlight w:val="none"/>
        </w:rPr>
        <w:t xml:space="preserve">编制：  </w:t>
      </w:r>
    </w:p>
    <w:p w14:paraId="08F53B5C">
      <w:pPr>
        <w:spacing w:line="720" w:lineRule="auto"/>
        <w:ind w:firstLine="2570" w:firstLineChars="800"/>
        <w:rPr>
          <w:rFonts w:ascii="宋体" w:hAnsi="宋体" w:cs="宋体"/>
          <w:b/>
          <w:sz w:val="32"/>
          <w:szCs w:val="32"/>
          <w:highlight w:val="none"/>
        </w:rPr>
      </w:pPr>
      <w:r>
        <w:rPr>
          <w:rFonts w:hint="eastAsia" w:ascii="宋体" w:hAnsi="宋体" w:cs="宋体"/>
          <w:b/>
          <w:sz w:val="32"/>
          <w:szCs w:val="32"/>
          <w:highlight w:val="none"/>
        </w:rPr>
        <w:t>会签：</w:t>
      </w:r>
    </w:p>
    <w:p w14:paraId="2F22AC5E">
      <w:pPr>
        <w:spacing w:line="720" w:lineRule="auto"/>
        <w:ind w:firstLine="2570" w:firstLineChars="800"/>
        <w:rPr>
          <w:rFonts w:ascii="宋体" w:hAnsi="宋体" w:cs="宋体"/>
          <w:b/>
          <w:sz w:val="32"/>
          <w:szCs w:val="32"/>
          <w:highlight w:val="none"/>
        </w:rPr>
      </w:pPr>
      <w:r>
        <w:rPr>
          <w:rFonts w:hint="eastAsia" w:ascii="宋体" w:hAnsi="宋体" w:cs="宋体"/>
          <w:b/>
          <w:sz w:val="32"/>
          <w:szCs w:val="32"/>
          <w:highlight w:val="none"/>
        </w:rPr>
        <w:t xml:space="preserve">审核：  </w:t>
      </w:r>
    </w:p>
    <w:p w14:paraId="17E6AFCD">
      <w:pPr>
        <w:spacing w:line="720" w:lineRule="auto"/>
        <w:rPr>
          <w:rFonts w:ascii="宋体" w:hAnsi="宋体" w:cs="宋体"/>
          <w:b/>
          <w:sz w:val="32"/>
          <w:szCs w:val="32"/>
          <w:highlight w:val="none"/>
        </w:rPr>
      </w:pPr>
      <w:r>
        <w:rPr>
          <w:rFonts w:hint="eastAsia" w:ascii="宋体" w:hAnsi="宋体" w:cs="宋体"/>
          <w:b/>
          <w:sz w:val="32"/>
          <w:szCs w:val="32"/>
          <w:highlight w:val="none"/>
        </w:rPr>
        <w:t xml:space="preserve">                审定：</w:t>
      </w:r>
    </w:p>
    <w:p w14:paraId="2783982A">
      <w:pPr>
        <w:spacing w:line="720" w:lineRule="auto"/>
        <w:rPr>
          <w:rFonts w:ascii="宋体" w:hAnsi="宋体" w:cs="宋体"/>
          <w:b/>
          <w:sz w:val="32"/>
          <w:szCs w:val="32"/>
          <w:highlight w:val="none"/>
        </w:rPr>
      </w:pPr>
      <w:r>
        <w:rPr>
          <w:rFonts w:hint="eastAsia" w:ascii="宋体" w:hAnsi="宋体" w:cs="宋体"/>
          <w:b/>
          <w:sz w:val="32"/>
          <w:szCs w:val="32"/>
          <w:highlight w:val="none"/>
        </w:rPr>
        <w:t xml:space="preserve">                批准：  </w:t>
      </w:r>
    </w:p>
    <w:p w14:paraId="64366919">
      <w:pPr>
        <w:spacing w:line="276" w:lineRule="auto"/>
        <w:rPr>
          <w:rFonts w:ascii="宋体" w:hAnsi="宋体" w:cs="宋体"/>
          <w:b/>
          <w:sz w:val="32"/>
          <w:szCs w:val="32"/>
          <w:highlight w:val="none"/>
        </w:rPr>
      </w:pPr>
    </w:p>
    <w:p w14:paraId="6BC50CCB">
      <w:pPr>
        <w:spacing w:line="276" w:lineRule="auto"/>
        <w:rPr>
          <w:rFonts w:ascii="宋体" w:hAnsi="宋体" w:cs="宋体"/>
          <w:b/>
          <w:sz w:val="32"/>
          <w:szCs w:val="32"/>
          <w:highlight w:val="none"/>
        </w:rPr>
      </w:pPr>
    </w:p>
    <w:p w14:paraId="4314866B">
      <w:pPr>
        <w:spacing w:line="276" w:lineRule="auto"/>
        <w:rPr>
          <w:rFonts w:ascii="宋体" w:hAnsi="宋体" w:cs="宋体"/>
          <w:b/>
          <w:sz w:val="32"/>
          <w:szCs w:val="32"/>
          <w:highlight w:val="none"/>
        </w:rPr>
      </w:pPr>
    </w:p>
    <w:p w14:paraId="3D5BB30F">
      <w:pPr>
        <w:spacing w:line="276" w:lineRule="auto"/>
        <w:rPr>
          <w:rFonts w:ascii="宋体" w:hAnsi="宋体" w:cs="宋体"/>
          <w:b/>
          <w:sz w:val="32"/>
          <w:szCs w:val="32"/>
          <w:highlight w:val="none"/>
        </w:rPr>
      </w:pPr>
    </w:p>
    <w:p w14:paraId="35997494">
      <w:pPr>
        <w:spacing w:line="360" w:lineRule="auto"/>
        <w:jc w:val="center"/>
        <w:outlineLvl w:val="0"/>
        <w:rPr>
          <w:rFonts w:ascii="宋体" w:hAnsi="宋体" w:cs="宋体"/>
          <w:b/>
          <w:sz w:val="32"/>
          <w:szCs w:val="32"/>
          <w:highlight w:val="none"/>
        </w:rPr>
      </w:pPr>
      <w:bookmarkStart w:id="8" w:name="_Toc22608"/>
      <w:bookmarkStart w:id="9" w:name="_Toc32218"/>
      <w:bookmarkStart w:id="10" w:name="_Toc7222"/>
      <w:bookmarkStart w:id="11" w:name="_Toc30075"/>
      <w:r>
        <w:rPr>
          <w:rFonts w:hint="eastAsia" w:ascii="宋体" w:hAnsi="宋体" w:cs="宋体"/>
          <w:b/>
          <w:sz w:val="32"/>
          <w:szCs w:val="32"/>
          <w:highlight w:val="none"/>
        </w:rPr>
        <w:t>伊犁新天煤化工有限责任公司</w:t>
      </w:r>
      <w:bookmarkEnd w:id="8"/>
      <w:bookmarkEnd w:id="9"/>
      <w:bookmarkEnd w:id="10"/>
      <w:bookmarkEnd w:id="11"/>
    </w:p>
    <w:p w14:paraId="2BCD94F3">
      <w:pPr>
        <w:spacing w:line="240" w:lineRule="auto"/>
        <w:jc w:val="center"/>
        <w:rPr>
          <w:rFonts w:ascii="宋体" w:hAnsi="宋体" w:cs="宋体"/>
          <w:b/>
          <w:sz w:val="32"/>
          <w:szCs w:val="32"/>
          <w:highlight w:val="none"/>
        </w:rPr>
      </w:pPr>
      <w:r>
        <w:rPr>
          <w:rFonts w:hint="eastAsia" w:ascii="宋体" w:hAnsi="宋体" w:cs="宋体"/>
          <w:b/>
          <w:sz w:val="32"/>
          <w:szCs w:val="32"/>
          <w:highlight w:val="none"/>
          <w:lang w:eastAsia="zh-CN"/>
        </w:rPr>
        <w:t>2026年</w:t>
      </w:r>
      <w:r>
        <w:rPr>
          <w:rFonts w:hint="eastAsia" w:ascii="宋体" w:hAnsi="宋体" w:cs="宋体"/>
          <w:b/>
          <w:sz w:val="32"/>
          <w:szCs w:val="32"/>
          <w:highlight w:val="none"/>
          <w:lang w:val="en-US" w:eastAsia="zh-CN"/>
        </w:rPr>
        <w:t>0</w:t>
      </w:r>
      <w:r>
        <w:rPr>
          <w:rFonts w:hint="eastAsia" w:ascii="宋体" w:hAnsi="宋体" w:cs="宋体"/>
          <w:b/>
          <w:sz w:val="32"/>
          <w:szCs w:val="32"/>
          <w:highlight w:val="none"/>
          <w:lang w:eastAsia="zh-CN"/>
        </w:rPr>
        <w:t>2月</w:t>
      </w:r>
    </w:p>
    <w:p w14:paraId="12A970D1">
      <w:pPr>
        <w:spacing w:line="400" w:lineRule="exact"/>
        <w:rPr>
          <w:rFonts w:ascii="宋体" w:hAnsi="Arial"/>
          <w:b/>
          <w:sz w:val="28"/>
          <w:highlight w:val="none"/>
        </w:rPr>
      </w:pPr>
    </w:p>
    <w:p w14:paraId="0E9EBF96">
      <w:pPr>
        <w:rPr>
          <w:highlight w:val="none"/>
        </w:rPr>
      </w:pPr>
    </w:p>
    <w:sdt>
      <w:sdtPr>
        <w:rPr>
          <w:rFonts w:ascii="宋体" w:hAnsi="宋体" w:eastAsia="宋体" w:cs="Times New Roman"/>
          <w:sz w:val="21"/>
          <w:highlight w:val="none"/>
          <w:lang w:val="en-US" w:eastAsia="zh-CN" w:bidi="ar-SA"/>
        </w:rPr>
        <w:id w:val="147481151"/>
        <w15:color w:val="DBDBDB"/>
        <w:docPartObj>
          <w:docPartGallery w:val="Table of Contents"/>
          <w:docPartUnique/>
        </w:docPartObj>
      </w:sdtPr>
      <w:sdtEndPr>
        <w:rPr>
          <w:rFonts w:ascii="宋体" w:hAnsi="宋体" w:eastAsia="宋体" w:cs="Times New Roman"/>
          <w:sz w:val="21"/>
          <w:highlight w:val="none"/>
          <w:lang w:val="en-US" w:eastAsia="zh-CN" w:bidi="ar-SA"/>
        </w:rPr>
      </w:sdtEndPr>
      <w:sdtContent>
        <w:p w14:paraId="4E607CC2">
          <w:pPr>
            <w:spacing w:before="0" w:beforeLines="0" w:after="0" w:afterLines="0" w:line="240" w:lineRule="auto"/>
            <w:ind w:left="0" w:leftChars="0" w:right="0" w:rightChars="0" w:firstLine="0" w:firstLineChars="0"/>
            <w:jc w:val="center"/>
            <w:rPr>
              <w:rFonts w:hint="eastAsia" w:ascii="宋体" w:hAnsi="宋体" w:cs="宋体"/>
              <w:szCs w:val="24"/>
              <w:highlight w:val="none"/>
            </w:rPr>
          </w:pPr>
          <w:r>
            <w:rPr>
              <w:rFonts w:hint="eastAsia" w:ascii="宋体" w:hAnsi="宋体" w:eastAsia="宋体" w:cs="宋体"/>
              <w:sz w:val="24"/>
              <w:szCs w:val="24"/>
              <w:highlight w:val="none"/>
            </w:rPr>
            <w:t>目录</w:t>
          </w:r>
        </w:p>
        <w:p w14:paraId="7E6AD0CB">
          <w:pPr>
            <w:pStyle w:val="28"/>
            <w:tabs>
              <w:tab w:val="right" w:leader="dot" w:pos="9412"/>
            </w:tabs>
          </w:pP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TOC \o "1-1" \h \u </w:instrText>
          </w:r>
          <w:r>
            <w:rPr>
              <w:rFonts w:hint="eastAsia" w:ascii="宋体" w:hAnsi="宋体" w:cs="宋体"/>
              <w:sz w:val="24"/>
              <w:szCs w:val="24"/>
              <w:highlight w:val="none"/>
            </w:rPr>
            <w:fldChar w:fldCharType="separate"/>
          </w:r>
        </w:p>
        <w:p w14:paraId="3280743F">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_Toc10862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val="0"/>
              <w:szCs w:val="24"/>
              <w:highlight w:val="none"/>
            </w:rPr>
            <w:t>1 总则</w:t>
          </w:r>
          <w:r>
            <w:tab/>
          </w:r>
          <w:r>
            <w:fldChar w:fldCharType="begin"/>
          </w:r>
          <w:r>
            <w:instrText xml:space="preserve"> PAGEREF _Toc10862 \h </w:instrText>
          </w:r>
          <w:r>
            <w:fldChar w:fldCharType="separate"/>
          </w:r>
          <w:r>
            <w:t>1</w:t>
          </w:r>
          <w:r>
            <w:fldChar w:fldCharType="end"/>
          </w:r>
          <w:r>
            <w:rPr>
              <w:rFonts w:hint="eastAsia" w:ascii="宋体" w:hAnsi="宋体" w:cs="宋体"/>
              <w:szCs w:val="24"/>
              <w:highlight w:val="none"/>
            </w:rPr>
            <w:fldChar w:fldCharType="end"/>
          </w:r>
        </w:p>
        <w:p w14:paraId="1E478812">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_Toc19042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rPr>
            <w:t>2 工程概况</w:t>
          </w:r>
          <w:r>
            <w:tab/>
          </w:r>
          <w:r>
            <w:fldChar w:fldCharType="begin"/>
          </w:r>
          <w:r>
            <w:instrText xml:space="preserve"> PAGEREF _Toc19042 \h </w:instrText>
          </w:r>
          <w:r>
            <w:fldChar w:fldCharType="separate"/>
          </w:r>
          <w:r>
            <w:t>1</w:t>
          </w:r>
          <w:r>
            <w:fldChar w:fldCharType="end"/>
          </w:r>
          <w:r>
            <w:rPr>
              <w:rFonts w:hint="eastAsia" w:ascii="宋体" w:hAnsi="宋体" w:cs="宋体"/>
              <w:szCs w:val="24"/>
              <w:highlight w:val="none"/>
            </w:rPr>
            <w:fldChar w:fldCharType="end"/>
          </w:r>
        </w:p>
        <w:p w14:paraId="0C7C6A99">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_Toc27471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rPr>
            <w:t>3 工作范围</w:t>
          </w:r>
          <w:r>
            <w:tab/>
          </w:r>
          <w:r>
            <w:fldChar w:fldCharType="begin"/>
          </w:r>
          <w:r>
            <w:instrText xml:space="preserve"> PAGEREF _Toc27471 \h </w:instrText>
          </w:r>
          <w:r>
            <w:fldChar w:fldCharType="separate"/>
          </w:r>
          <w:r>
            <w:t>2</w:t>
          </w:r>
          <w:r>
            <w:fldChar w:fldCharType="end"/>
          </w:r>
          <w:r>
            <w:rPr>
              <w:rFonts w:hint="eastAsia" w:ascii="宋体" w:hAnsi="宋体" w:cs="宋体"/>
              <w:szCs w:val="24"/>
              <w:highlight w:val="none"/>
            </w:rPr>
            <w:fldChar w:fldCharType="end"/>
          </w:r>
        </w:p>
        <w:p w14:paraId="32578F57">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_Toc3745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rPr>
            <w:t>3.1 工作</w:t>
          </w:r>
          <w:r>
            <w:rPr>
              <w:rFonts w:hint="eastAsia" w:asciiTheme="minorEastAsia" w:hAnsiTheme="minorEastAsia" w:eastAsiaTheme="minorEastAsia" w:cstheme="minorEastAsia"/>
              <w:bCs/>
              <w:szCs w:val="24"/>
              <w:highlight w:val="none"/>
              <w:lang w:val="en-US" w:eastAsia="zh-CN"/>
            </w:rPr>
            <w:t>范围</w:t>
          </w:r>
          <w:r>
            <w:tab/>
          </w:r>
          <w:r>
            <w:fldChar w:fldCharType="begin"/>
          </w:r>
          <w:r>
            <w:instrText xml:space="preserve"> PAGEREF _Toc3745 \h </w:instrText>
          </w:r>
          <w:r>
            <w:fldChar w:fldCharType="separate"/>
          </w:r>
          <w:r>
            <w:t>2</w:t>
          </w:r>
          <w:r>
            <w:fldChar w:fldCharType="end"/>
          </w:r>
          <w:r>
            <w:rPr>
              <w:rFonts w:hint="eastAsia" w:ascii="宋体" w:hAnsi="宋体" w:cs="宋体"/>
              <w:szCs w:val="24"/>
              <w:highlight w:val="none"/>
            </w:rPr>
            <w:fldChar w:fldCharType="end"/>
          </w:r>
        </w:p>
        <w:p w14:paraId="7C31B287">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_Toc14603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lang w:val="en-US" w:eastAsia="zh-CN"/>
            </w:rPr>
            <w:t>3.3 其他管理要求</w:t>
          </w:r>
          <w:r>
            <w:tab/>
          </w:r>
          <w:r>
            <w:fldChar w:fldCharType="begin"/>
          </w:r>
          <w:r>
            <w:instrText xml:space="preserve"> PAGEREF _Toc14603 \h </w:instrText>
          </w:r>
          <w:r>
            <w:fldChar w:fldCharType="separate"/>
          </w:r>
          <w:r>
            <w:t>3</w:t>
          </w:r>
          <w:r>
            <w:fldChar w:fldCharType="end"/>
          </w:r>
          <w:r>
            <w:rPr>
              <w:rFonts w:hint="eastAsia" w:ascii="宋体" w:hAnsi="宋体" w:cs="宋体"/>
              <w:szCs w:val="24"/>
              <w:highlight w:val="none"/>
            </w:rPr>
            <w:fldChar w:fldCharType="end"/>
          </w:r>
        </w:p>
        <w:p w14:paraId="19C2C0A0">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_Toc18583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spacing w:val="0"/>
              <w:position w:val="0"/>
              <w:szCs w:val="24"/>
              <w:highlight w:val="none"/>
            </w:rPr>
            <w:t>4 执行标准</w:t>
          </w:r>
          <w:r>
            <w:rPr>
              <w:rFonts w:hint="eastAsia" w:asciiTheme="minorEastAsia" w:hAnsiTheme="minorEastAsia" w:eastAsiaTheme="minorEastAsia" w:cstheme="minorEastAsia"/>
              <w:spacing w:val="0"/>
              <w:position w:val="0"/>
              <w:szCs w:val="24"/>
              <w:highlight w:val="none"/>
              <w:lang w:val="en-US" w:eastAsia="zh-CN"/>
            </w:rPr>
            <w:t>规范</w:t>
          </w:r>
          <w:r>
            <w:rPr>
              <w:rFonts w:hint="eastAsia" w:asciiTheme="minorEastAsia" w:hAnsiTheme="minorEastAsia" w:eastAsiaTheme="minorEastAsia" w:cstheme="minorEastAsia"/>
              <w:spacing w:val="0"/>
              <w:position w:val="0"/>
              <w:szCs w:val="24"/>
              <w:highlight w:val="none"/>
            </w:rPr>
            <w:t>及规程</w:t>
          </w:r>
          <w:r>
            <w:tab/>
          </w:r>
          <w:r>
            <w:fldChar w:fldCharType="begin"/>
          </w:r>
          <w:r>
            <w:instrText xml:space="preserve"> PAGEREF _Toc18583 \h </w:instrText>
          </w:r>
          <w:r>
            <w:fldChar w:fldCharType="separate"/>
          </w:r>
          <w:r>
            <w:t>6</w:t>
          </w:r>
          <w:r>
            <w:fldChar w:fldCharType="end"/>
          </w:r>
          <w:r>
            <w:rPr>
              <w:rFonts w:hint="eastAsia" w:ascii="宋体" w:hAnsi="宋体" w:cs="宋体"/>
              <w:szCs w:val="24"/>
              <w:highlight w:val="none"/>
            </w:rPr>
            <w:fldChar w:fldCharType="end"/>
          </w:r>
        </w:p>
        <w:p w14:paraId="4BB1D146">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_Toc18887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lang w:val="en-US" w:eastAsia="zh-CN"/>
            </w:rPr>
            <w:t xml:space="preserve">5 </w:t>
          </w:r>
          <w:r>
            <w:rPr>
              <w:rFonts w:hint="eastAsia" w:asciiTheme="minorEastAsia" w:hAnsiTheme="minorEastAsia" w:eastAsiaTheme="minorEastAsia" w:cstheme="minorEastAsia"/>
              <w:bCs/>
              <w:szCs w:val="24"/>
              <w:highlight w:val="none"/>
            </w:rPr>
            <w:t>投标方应达到的目标</w:t>
          </w:r>
          <w:r>
            <w:tab/>
          </w:r>
          <w:r>
            <w:fldChar w:fldCharType="begin"/>
          </w:r>
          <w:r>
            <w:instrText xml:space="preserve"> PAGEREF _Toc18887 \h </w:instrText>
          </w:r>
          <w:r>
            <w:fldChar w:fldCharType="separate"/>
          </w:r>
          <w:r>
            <w:t>12</w:t>
          </w:r>
          <w:r>
            <w:fldChar w:fldCharType="end"/>
          </w:r>
          <w:r>
            <w:rPr>
              <w:rFonts w:hint="eastAsia" w:ascii="宋体" w:hAnsi="宋体" w:cs="宋体"/>
              <w:szCs w:val="24"/>
              <w:highlight w:val="none"/>
            </w:rPr>
            <w:fldChar w:fldCharType="end"/>
          </w:r>
        </w:p>
        <w:p w14:paraId="3301C440">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_Toc25133 </w:instrText>
          </w:r>
          <w:r>
            <w:rPr>
              <w:rFonts w:hint="eastAsia" w:ascii="宋体" w:hAnsi="宋体" w:cs="宋体"/>
              <w:szCs w:val="24"/>
              <w:highlight w:val="none"/>
            </w:rPr>
            <w:fldChar w:fldCharType="separate"/>
          </w:r>
          <w:r>
            <w:rPr>
              <w:rFonts w:hint="eastAsia" w:asciiTheme="majorEastAsia" w:hAnsiTheme="majorEastAsia" w:eastAsiaTheme="majorEastAsia" w:cstheme="majorEastAsia"/>
              <w:highlight w:val="none"/>
              <w:lang w:val="en-US" w:eastAsia="zh-CN"/>
            </w:rPr>
            <w:t xml:space="preserve">6 </w:t>
          </w:r>
          <w:r>
            <w:rPr>
              <w:rFonts w:hint="eastAsia" w:asciiTheme="majorEastAsia" w:hAnsiTheme="majorEastAsia" w:eastAsiaTheme="majorEastAsia" w:cstheme="majorEastAsia"/>
              <w:highlight w:val="none"/>
            </w:rPr>
            <w:t>服务工期及</w:t>
          </w:r>
          <w:r>
            <w:rPr>
              <w:rFonts w:hint="eastAsia" w:asciiTheme="majorEastAsia" w:hAnsiTheme="majorEastAsia" w:eastAsiaTheme="majorEastAsia" w:cstheme="majorEastAsia"/>
              <w:highlight w:val="none"/>
              <w:lang w:val="en-US" w:eastAsia="zh-CN"/>
            </w:rPr>
            <w:t>资质条件</w:t>
          </w:r>
          <w:r>
            <w:tab/>
          </w:r>
          <w:r>
            <w:fldChar w:fldCharType="begin"/>
          </w:r>
          <w:r>
            <w:instrText xml:space="preserve"> PAGEREF _Toc25133 \h </w:instrText>
          </w:r>
          <w:r>
            <w:fldChar w:fldCharType="separate"/>
          </w:r>
          <w:r>
            <w:t>13</w:t>
          </w:r>
          <w:r>
            <w:fldChar w:fldCharType="end"/>
          </w:r>
          <w:r>
            <w:rPr>
              <w:rFonts w:hint="eastAsia" w:ascii="宋体" w:hAnsi="宋体" w:cs="宋体"/>
              <w:szCs w:val="24"/>
              <w:highlight w:val="none"/>
            </w:rPr>
            <w:fldChar w:fldCharType="end"/>
          </w:r>
        </w:p>
        <w:p w14:paraId="6C6F86F4">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_Toc719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val="0"/>
              <w:szCs w:val="24"/>
              <w:highlight w:val="none"/>
              <w:lang w:val="en-US" w:eastAsia="zh-CN"/>
            </w:rPr>
            <w:t>7 入厂资料及安全要求</w:t>
          </w:r>
          <w:r>
            <w:tab/>
          </w:r>
          <w:r>
            <w:fldChar w:fldCharType="begin"/>
          </w:r>
          <w:r>
            <w:instrText xml:space="preserve"> PAGEREF _Toc719 \h </w:instrText>
          </w:r>
          <w:r>
            <w:fldChar w:fldCharType="separate"/>
          </w:r>
          <w:r>
            <w:t>13</w:t>
          </w:r>
          <w:r>
            <w:fldChar w:fldCharType="end"/>
          </w:r>
          <w:r>
            <w:rPr>
              <w:rFonts w:hint="eastAsia" w:ascii="宋体" w:hAnsi="宋体" w:cs="宋体"/>
              <w:szCs w:val="24"/>
              <w:highlight w:val="none"/>
            </w:rPr>
            <w:fldChar w:fldCharType="end"/>
          </w:r>
        </w:p>
        <w:p w14:paraId="68EA0762">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_Toc27224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val="0"/>
              <w:szCs w:val="24"/>
              <w:highlight w:val="none"/>
              <w:lang w:val="en-US" w:eastAsia="zh-CN"/>
            </w:rPr>
            <w:t>8</w:t>
          </w:r>
          <w:r>
            <w:rPr>
              <w:rFonts w:hint="eastAsia" w:asciiTheme="minorEastAsia" w:hAnsiTheme="minorEastAsia" w:eastAsiaTheme="minorEastAsia" w:cstheme="minorEastAsia"/>
              <w:bCs w:val="0"/>
              <w:szCs w:val="24"/>
              <w:highlight w:val="none"/>
            </w:rPr>
            <w:t xml:space="preserve"> 双方职责</w:t>
          </w:r>
          <w:r>
            <w:tab/>
          </w:r>
          <w:r>
            <w:fldChar w:fldCharType="begin"/>
          </w:r>
          <w:r>
            <w:instrText xml:space="preserve"> PAGEREF _Toc27224 \h </w:instrText>
          </w:r>
          <w:r>
            <w:fldChar w:fldCharType="separate"/>
          </w:r>
          <w:r>
            <w:t>15</w:t>
          </w:r>
          <w:r>
            <w:fldChar w:fldCharType="end"/>
          </w:r>
          <w:r>
            <w:rPr>
              <w:rFonts w:hint="eastAsia" w:ascii="宋体" w:hAnsi="宋体" w:cs="宋体"/>
              <w:szCs w:val="24"/>
              <w:highlight w:val="none"/>
            </w:rPr>
            <w:fldChar w:fldCharType="end"/>
          </w:r>
        </w:p>
        <w:p w14:paraId="031B7465">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_Toc666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lang w:val="en-US" w:eastAsia="zh-CN"/>
            </w:rPr>
            <w:t>9</w:t>
          </w:r>
          <w:r>
            <w:rPr>
              <w:rFonts w:hint="eastAsia" w:asciiTheme="minorEastAsia" w:hAnsiTheme="minorEastAsia" w:eastAsiaTheme="minorEastAsia" w:cstheme="minorEastAsia"/>
              <w:bCs/>
              <w:szCs w:val="24"/>
              <w:highlight w:val="none"/>
            </w:rPr>
            <w:t xml:space="preserve"> 材料、备件及工器具管理</w:t>
          </w:r>
          <w:r>
            <w:tab/>
          </w:r>
          <w:r>
            <w:fldChar w:fldCharType="begin"/>
          </w:r>
          <w:r>
            <w:instrText xml:space="preserve"> PAGEREF _Toc666 \h </w:instrText>
          </w:r>
          <w:r>
            <w:fldChar w:fldCharType="separate"/>
          </w:r>
          <w:r>
            <w:t>19</w:t>
          </w:r>
          <w:r>
            <w:fldChar w:fldCharType="end"/>
          </w:r>
          <w:r>
            <w:rPr>
              <w:rFonts w:hint="eastAsia" w:ascii="宋体" w:hAnsi="宋体" w:cs="宋体"/>
              <w:szCs w:val="24"/>
              <w:highlight w:val="none"/>
            </w:rPr>
            <w:fldChar w:fldCharType="end"/>
          </w:r>
        </w:p>
        <w:p w14:paraId="13BC489F">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_Toc2990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szCs w:val="24"/>
              <w:highlight w:val="none"/>
              <w:lang w:val="en-US" w:eastAsia="zh-CN"/>
            </w:rPr>
            <w:t xml:space="preserve">10 </w:t>
          </w:r>
          <w:r>
            <w:rPr>
              <w:rFonts w:hint="eastAsia" w:asciiTheme="minorEastAsia" w:hAnsiTheme="minorEastAsia" w:eastAsiaTheme="minorEastAsia" w:cstheme="minorEastAsia"/>
              <w:szCs w:val="24"/>
              <w:highlight w:val="none"/>
            </w:rPr>
            <w:t>安健环及文明施工、危险源（环境因素）控制要求</w:t>
          </w:r>
          <w:r>
            <w:tab/>
          </w:r>
          <w:r>
            <w:fldChar w:fldCharType="begin"/>
          </w:r>
          <w:r>
            <w:instrText xml:space="preserve"> PAGEREF _Toc2990 \h </w:instrText>
          </w:r>
          <w:r>
            <w:fldChar w:fldCharType="separate"/>
          </w:r>
          <w:r>
            <w:t>20</w:t>
          </w:r>
          <w:r>
            <w:fldChar w:fldCharType="end"/>
          </w:r>
          <w:r>
            <w:rPr>
              <w:rFonts w:hint="eastAsia" w:ascii="宋体" w:hAnsi="宋体" w:cs="宋体"/>
              <w:szCs w:val="24"/>
              <w:highlight w:val="none"/>
            </w:rPr>
            <w:fldChar w:fldCharType="end"/>
          </w:r>
        </w:p>
        <w:p w14:paraId="37421F75">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_Toc32663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szCs w:val="24"/>
              <w:highlight w:val="none"/>
              <w:lang w:val="en-US" w:eastAsia="zh-CN"/>
            </w:rPr>
            <w:t xml:space="preserve">11 </w:t>
          </w:r>
          <w:r>
            <w:rPr>
              <w:rFonts w:hint="eastAsia" w:asciiTheme="minorEastAsia" w:hAnsiTheme="minorEastAsia" w:eastAsiaTheme="minorEastAsia" w:cstheme="minorEastAsia"/>
              <w:szCs w:val="24"/>
              <w:highlight w:val="none"/>
            </w:rPr>
            <w:t>考核及奖励办法</w:t>
          </w:r>
          <w:r>
            <w:tab/>
          </w:r>
          <w:r>
            <w:fldChar w:fldCharType="begin"/>
          </w:r>
          <w:r>
            <w:instrText xml:space="preserve"> PAGEREF _Toc32663 \h </w:instrText>
          </w:r>
          <w:r>
            <w:fldChar w:fldCharType="separate"/>
          </w:r>
          <w:r>
            <w:t>22</w:t>
          </w:r>
          <w:r>
            <w:fldChar w:fldCharType="end"/>
          </w:r>
          <w:r>
            <w:rPr>
              <w:rFonts w:hint="eastAsia" w:ascii="宋体" w:hAnsi="宋体" w:cs="宋体"/>
              <w:szCs w:val="24"/>
              <w:highlight w:val="none"/>
            </w:rPr>
            <w:fldChar w:fldCharType="end"/>
          </w:r>
        </w:p>
        <w:p w14:paraId="13EB93CE">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_Toc10337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2 </w:t>
          </w:r>
          <w:r>
            <w:rPr>
              <w:rFonts w:hint="eastAsia" w:asciiTheme="minorEastAsia" w:hAnsiTheme="minorEastAsia" w:eastAsiaTheme="minorEastAsia" w:cstheme="minorEastAsia"/>
              <w:bCs/>
              <w:szCs w:val="24"/>
              <w:highlight w:val="none"/>
            </w:rPr>
            <w:t>质保金</w:t>
          </w:r>
          <w:r>
            <w:tab/>
          </w:r>
          <w:r>
            <w:fldChar w:fldCharType="begin"/>
          </w:r>
          <w:r>
            <w:instrText xml:space="preserve"> PAGEREF _Toc10337 \h </w:instrText>
          </w:r>
          <w:r>
            <w:fldChar w:fldCharType="separate"/>
          </w:r>
          <w:r>
            <w:t>23</w:t>
          </w:r>
          <w:r>
            <w:fldChar w:fldCharType="end"/>
          </w:r>
          <w:r>
            <w:rPr>
              <w:rFonts w:hint="eastAsia" w:ascii="宋体" w:hAnsi="宋体" w:cs="宋体"/>
              <w:szCs w:val="24"/>
              <w:highlight w:val="none"/>
            </w:rPr>
            <w:fldChar w:fldCharType="end"/>
          </w:r>
        </w:p>
        <w:p w14:paraId="23DEC725">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_Toc19108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3</w:t>
          </w:r>
          <w:r>
            <w:rPr>
              <w:rFonts w:hint="eastAsia" w:asciiTheme="minorEastAsia" w:hAnsiTheme="minorEastAsia" w:eastAsiaTheme="minorEastAsia" w:cstheme="minorEastAsia"/>
              <w:bCs/>
              <w:szCs w:val="24"/>
              <w:highlight w:val="none"/>
            </w:rPr>
            <w:t xml:space="preserve"> </w:t>
          </w:r>
          <w:r>
            <w:rPr>
              <w:rFonts w:hint="eastAsia" w:asciiTheme="minorEastAsia" w:hAnsiTheme="minorEastAsia" w:eastAsiaTheme="minorEastAsia" w:cstheme="minorEastAsia"/>
              <w:bCs/>
              <w:szCs w:val="24"/>
              <w:highlight w:val="none"/>
              <w:lang w:val="en-US" w:eastAsia="zh-CN"/>
            </w:rPr>
            <w:t>附则</w:t>
          </w:r>
          <w:r>
            <w:tab/>
          </w:r>
          <w:r>
            <w:fldChar w:fldCharType="begin"/>
          </w:r>
          <w:r>
            <w:instrText xml:space="preserve"> PAGEREF _Toc19108 \h </w:instrText>
          </w:r>
          <w:r>
            <w:fldChar w:fldCharType="separate"/>
          </w:r>
          <w:r>
            <w:t>23</w:t>
          </w:r>
          <w:r>
            <w:fldChar w:fldCharType="end"/>
          </w:r>
          <w:r>
            <w:rPr>
              <w:rFonts w:hint="eastAsia" w:ascii="宋体" w:hAnsi="宋体" w:cs="宋体"/>
              <w:szCs w:val="24"/>
              <w:highlight w:val="none"/>
            </w:rPr>
            <w:fldChar w:fldCharType="end"/>
          </w:r>
        </w:p>
        <w:p w14:paraId="192DDF50">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_Toc20326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kern w:val="0"/>
              <w:szCs w:val="24"/>
              <w:highlight w:val="none"/>
              <w:lang w:val="en-US" w:eastAsia="zh-CN"/>
            </w:rPr>
            <w:t xml:space="preserve">14 </w:t>
          </w:r>
          <w:r>
            <w:rPr>
              <w:rFonts w:hint="eastAsia" w:asciiTheme="minorEastAsia" w:hAnsiTheme="minorEastAsia" w:eastAsiaTheme="minorEastAsia" w:cstheme="minorEastAsia"/>
              <w:bCs/>
              <w:kern w:val="0"/>
              <w:szCs w:val="24"/>
              <w:highlight w:val="none"/>
            </w:rPr>
            <w:t>差异表</w:t>
          </w:r>
          <w:r>
            <w:tab/>
          </w:r>
          <w:r>
            <w:fldChar w:fldCharType="begin"/>
          </w:r>
          <w:r>
            <w:instrText xml:space="preserve"> PAGEREF _Toc20326 \h </w:instrText>
          </w:r>
          <w:r>
            <w:fldChar w:fldCharType="separate"/>
          </w:r>
          <w:r>
            <w:t>23</w:t>
          </w:r>
          <w:r>
            <w:fldChar w:fldCharType="end"/>
          </w:r>
          <w:r>
            <w:rPr>
              <w:rFonts w:hint="eastAsia" w:ascii="宋体" w:hAnsi="宋体" w:cs="宋体"/>
              <w:szCs w:val="24"/>
              <w:highlight w:val="none"/>
            </w:rPr>
            <w:fldChar w:fldCharType="end"/>
          </w:r>
        </w:p>
        <w:p w14:paraId="6790DE95">
          <w:pPr>
            <w:pStyle w:val="28"/>
            <w:tabs>
              <w:tab w:val="right" w:leader="dot" w:pos="9412"/>
            </w:tabs>
          </w:pPr>
          <w:r>
            <w:rPr>
              <w:rFonts w:hint="eastAsia" w:ascii="宋体" w:hAnsi="宋体" w:cs="宋体"/>
              <w:szCs w:val="24"/>
              <w:highlight w:val="none"/>
            </w:rPr>
            <w:fldChar w:fldCharType="begin"/>
          </w:r>
          <w:r>
            <w:rPr>
              <w:rFonts w:hint="eastAsia" w:ascii="宋体" w:hAnsi="宋体" w:cs="宋体"/>
              <w:szCs w:val="24"/>
              <w:highlight w:val="none"/>
            </w:rPr>
            <w:instrText xml:space="preserve"> HYPERLINK \l _Toc31279 </w:instrText>
          </w:r>
          <w:r>
            <w:rPr>
              <w:rFonts w:hint="eastAsia" w:ascii="宋体" w:hAnsi="宋体" w:cs="宋体"/>
              <w:szCs w:val="24"/>
              <w:highlight w:val="none"/>
            </w:rPr>
            <w:fldChar w:fldCharType="separate"/>
          </w:r>
          <w:r>
            <w:rPr>
              <w:rFonts w:hint="eastAsia"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5</w:t>
          </w:r>
          <w:r>
            <w:rPr>
              <w:rFonts w:hint="eastAsia" w:asciiTheme="minorEastAsia" w:hAnsiTheme="minorEastAsia" w:eastAsiaTheme="minorEastAsia" w:cstheme="minorEastAsia"/>
              <w:bCs/>
              <w:szCs w:val="24"/>
              <w:highlight w:val="none"/>
            </w:rPr>
            <w:t xml:space="preserve"> </w:t>
          </w:r>
          <w:r>
            <w:rPr>
              <w:rFonts w:hint="eastAsia" w:asciiTheme="minorEastAsia" w:hAnsiTheme="minorEastAsia" w:eastAsiaTheme="minorEastAsia" w:cstheme="minorEastAsia"/>
              <w:bCs/>
              <w:szCs w:val="24"/>
              <w:highlight w:val="none"/>
              <w:lang w:val="en-US" w:eastAsia="zh-CN"/>
            </w:rPr>
            <w:t>附件清单</w:t>
          </w:r>
          <w:r>
            <w:tab/>
          </w:r>
          <w:r>
            <w:fldChar w:fldCharType="begin"/>
          </w:r>
          <w:r>
            <w:instrText xml:space="preserve"> PAGEREF _Toc31279 \h </w:instrText>
          </w:r>
          <w:r>
            <w:fldChar w:fldCharType="separate"/>
          </w:r>
          <w:r>
            <w:t>24</w:t>
          </w:r>
          <w:r>
            <w:fldChar w:fldCharType="end"/>
          </w:r>
          <w:r>
            <w:rPr>
              <w:rFonts w:hint="eastAsia" w:ascii="宋体" w:hAnsi="宋体" w:cs="宋体"/>
              <w:szCs w:val="24"/>
              <w:highlight w:val="none"/>
            </w:rPr>
            <w:fldChar w:fldCharType="end"/>
          </w:r>
        </w:p>
        <w:p w14:paraId="199726B2">
          <w:pPr>
            <w:rPr>
              <w:highlight w:val="none"/>
            </w:rPr>
          </w:pPr>
          <w:r>
            <w:rPr>
              <w:rFonts w:hint="eastAsia" w:ascii="宋体" w:hAnsi="宋体" w:cs="宋体"/>
              <w:szCs w:val="24"/>
              <w:highlight w:val="none"/>
            </w:rPr>
            <w:fldChar w:fldCharType="end"/>
          </w:r>
        </w:p>
      </w:sdtContent>
    </w:sdt>
    <w:p w14:paraId="22A2CD4B">
      <w:pPr>
        <w:rPr>
          <w:highlight w:val="none"/>
        </w:rPr>
      </w:pPr>
    </w:p>
    <w:p w14:paraId="1D24926A">
      <w:pPr>
        <w:rPr>
          <w:highlight w:val="none"/>
        </w:rPr>
      </w:pPr>
    </w:p>
    <w:p w14:paraId="47075F12">
      <w:pPr>
        <w:rPr>
          <w:highlight w:val="none"/>
        </w:rPr>
      </w:pPr>
    </w:p>
    <w:p w14:paraId="67D01CDD">
      <w:pPr>
        <w:rPr>
          <w:highlight w:val="none"/>
        </w:rPr>
      </w:pPr>
    </w:p>
    <w:p w14:paraId="180EE624">
      <w:pPr>
        <w:rPr>
          <w:highlight w:val="none"/>
        </w:rPr>
      </w:pPr>
    </w:p>
    <w:p w14:paraId="57EE3B10">
      <w:pPr>
        <w:rPr>
          <w:highlight w:val="none"/>
        </w:rPr>
      </w:pPr>
    </w:p>
    <w:p w14:paraId="314BD7B7">
      <w:pPr>
        <w:widowControl/>
        <w:adjustRightInd/>
        <w:spacing w:line="240" w:lineRule="auto"/>
        <w:jc w:val="center"/>
        <w:textAlignment w:val="auto"/>
        <w:rPr>
          <w:rFonts w:hint="eastAsia" w:ascii="黑体" w:hAnsi="黑体" w:eastAsia="黑体" w:cs="黑体"/>
          <w:b w:val="0"/>
          <w:bCs w:val="0"/>
          <w:kern w:val="2"/>
          <w:sz w:val="32"/>
          <w:szCs w:val="32"/>
          <w:highlight w:val="none"/>
        </w:rPr>
        <w:sectPr>
          <w:footerReference r:id="rId5" w:type="default"/>
          <w:pgSz w:w="11906" w:h="16838"/>
          <w:pgMar w:top="1474" w:right="1247" w:bottom="1474" w:left="1247" w:header="851" w:footer="992" w:gutter="0"/>
          <w:pgNumType w:fmt="decimal" w:start="1"/>
          <w:cols w:space="425" w:num="1"/>
          <w:docGrid w:type="lines" w:linePitch="312" w:charSpace="0"/>
        </w:sectPr>
      </w:pPr>
    </w:p>
    <w:p w14:paraId="7795E053">
      <w:pPr>
        <w:pStyle w:val="3"/>
        <w:widowControl/>
        <w:adjustRightInd/>
        <w:spacing w:before="0" w:after="0" w:line="240" w:lineRule="auto"/>
        <w:textAlignment w:val="auto"/>
        <w:rPr>
          <w:rFonts w:hint="eastAsia" w:asciiTheme="minorEastAsia" w:hAnsiTheme="minorEastAsia" w:eastAsiaTheme="minorEastAsia" w:cstheme="minorEastAsia"/>
          <w:b/>
          <w:bCs w:val="0"/>
          <w:sz w:val="24"/>
          <w:szCs w:val="24"/>
          <w:highlight w:val="none"/>
        </w:rPr>
      </w:pPr>
      <w:bookmarkStart w:id="12" w:name="_Toc19469"/>
      <w:bookmarkStart w:id="13" w:name="_Toc7537"/>
      <w:bookmarkStart w:id="14" w:name="_Toc10862"/>
      <w:r>
        <w:rPr>
          <w:rFonts w:hint="eastAsia" w:asciiTheme="minorEastAsia" w:hAnsiTheme="minorEastAsia" w:eastAsiaTheme="minorEastAsia" w:cstheme="minorEastAsia"/>
          <w:b/>
          <w:bCs w:val="0"/>
          <w:sz w:val="24"/>
          <w:szCs w:val="24"/>
          <w:highlight w:val="none"/>
        </w:rPr>
        <w:t>1 总则</w:t>
      </w:r>
      <w:bookmarkEnd w:id="12"/>
      <w:bookmarkEnd w:id="13"/>
      <w:bookmarkEnd w:id="14"/>
    </w:p>
    <w:p w14:paraId="6A32E34B">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1.1 本规范书适用于伊犁新天煤化工有限责任公司（招标方）20</w:t>
      </w:r>
      <w:r>
        <w:rPr>
          <w:rFonts w:hint="eastAsia" w:asciiTheme="minorEastAsia" w:hAnsiTheme="minorEastAsia" w:eastAsiaTheme="minorEastAsia" w:cstheme="minorEastAsia"/>
          <w:szCs w:val="24"/>
          <w:highlight w:val="none"/>
          <w:lang w:val="en-US" w:eastAsia="zh-CN"/>
        </w:rPr>
        <w:t>26—</w:t>
      </w:r>
      <w:r>
        <w:rPr>
          <w:rFonts w:hint="eastAsia" w:asciiTheme="minorEastAsia" w:hAnsiTheme="minorEastAsia" w:eastAsiaTheme="minorEastAsia" w:cstheme="minorEastAsia"/>
          <w:szCs w:val="24"/>
          <w:highlight w:val="none"/>
        </w:rPr>
        <w:t>20</w:t>
      </w:r>
      <w:r>
        <w:rPr>
          <w:rFonts w:hint="eastAsia" w:asciiTheme="minorEastAsia" w:hAnsiTheme="minorEastAsia" w:eastAsiaTheme="minorEastAsia" w:cstheme="minorEastAsia"/>
          <w:szCs w:val="24"/>
          <w:highlight w:val="none"/>
          <w:lang w:val="en-US" w:eastAsia="zh-CN"/>
        </w:rPr>
        <w:t>27</w:t>
      </w:r>
      <w:r>
        <w:rPr>
          <w:rFonts w:hint="eastAsia" w:asciiTheme="minorEastAsia" w:hAnsiTheme="minorEastAsia" w:eastAsiaTheme="minorEastAsia" w:cstheme="minorEastAsia"/>
          <w:szCs w:val="24"/>
          <w:highlight w:val="none"/>
        </w:rPr>
        <w:t>年全厂所需的脚手架搭拆、保温拆除和恢复、油漆防腐工作及其它相关配合工作</w:t>
      </w:r>
      <w:r>
        <w:rPr>
          <w:rFonts w:hint="eastAsia" w:asciiTheme="minorEastAsia" w:hAnsiTheme="minorEastAsia" w:eastAsiaTheme="minorEastAsia" w:cstheme="minorEastAsia"/>
          <w:szCs w:val="24"/>
          <w:highlight w:val="none"/>
          <w:lang w:eastAsia="zh-CN"/>
        </w:rPr>
        <w:t>，提出了该项目的范围、内容、质量、人员、服务、管理、安全等方面的技术要求</w:t>
      </w:r>
      <w:r>
        <w:rPr>
          <w:rFonts w:hint="eastAsia" w:asciiTheme="minorEastAsia" w:hAnsiTheme="minorEastAsia" w:eastAsiaTheme="minorEastAsia" w:cstheme="minorEastAsia"/>
          <w:szCs w:val="24"/>
          <w:highlight w:val="none"/>
        </w:rPr>
        <w:t>。</w:t>
      </w:r>
    </w:p>
    <w:p w14:paraId="63D70FA3">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1.2 本规范书提出的是最低限度的技术要求，并未规定所有的技术要求和适用标准，投标方应保证施工质量符合本技术规范书和有关标准、规范要求，并应满足国家有关安全、环保等强制性标准的要求。</w:t>
      </w:r>
    </w:p>
    <w:p w14:paraId="16F09587">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1.3 投标方对招标方在本规范书的条文要求没有提出异议，那么投标方所提供的服务必须满足招标方的要求并满足相关标准及规范要求。</w:t>
      </w:r>
    </w:p>
    <w:p w14:paraId="5C7166F8">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1.4 投标方如对本规范书条文要求有异议时，必须清楚地在投标文件中将偏差（无论多少）表示在“差异表”中。</w:t>
      </w:r>
    </w:p>
    <w:p w14:paraId="7B2F9BC4">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1.5 本规范书所使用的标准如与投标方所执行的标准发生矛盾时，按较高标准执行，投标方在工作中所涉及的各项规程、规范和标准必须遵循现行最新版本的标准。</w:t>
      </w:r>
    </w:p>
    <w:p w14:paraId="1A872AB8">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1.6 在签订合同的同时，按性能验收标准和方法要求，投标方提供符合要求的服务和工程施工技术措施、组织措施、安全措施、保证安全施工的措施、保证施工质量的措施等给招标方确认。</w:t>
      </w:r>
    </w:p>
    <w:p w14:paraId="250AD715">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1.7</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投标方应具备工程施工相适应的资质，具备工程施工、质量管理能力，具备与工程相适应的稳定的专业技术人员、技术工程队伍和工程管理人员，人员具有特种作业资质及高处作业资质。</w:t>
      </w:r>
    </w:p>
    <w:p w14:paraId="044ED1F2">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1.8 投标方需保证组织具有</w:t>
      </w:r>
      <w:r>
        <w:rPr>
          <w:rFonts w:hint="eastAsia" w:asciiTheme="minorEastAsia" w:hAnsiTheme="minorEastAsia" w:eastAsiaTheme="minorEastAsia" w:cstheme="minorEastAsia"/>
          <w:szCs w:val="24"/>
          <w:highlight w:val="none"/>
          <w:lang w:eastAsia="zh-CN"/>
        </w:rPr>
        <w:t>与</w:t>
      </w:r>
      <w:r>
        <w:rPr>
          <w:rFonts w:hint="eastAsia" w:asciiTheme="minorEastAsia" w:hAnsiTheme="minorEastAsia" w:eastAsiaTheme="minorEastAsia" w:cstheme="minorEastAsia"/>
          <w:szCs w:val="24"/>
          <w:highlight w:val="none"/>
        </w:rPr>
        <w:t>招标方工程相适应的稳定的技术人员、管理人员和材料备件、工器具在招标方现场。招标方在设备检修需要时通知投标方进行施工，投标方在接到招标方通知后30分钟内需</w:t>
      </w:r>
      <w:r>
        <w:rPr>
          <w:rFonts w:hint="eastAsia" w:asciiTheme="minorEastAsia" w:hAnsiTheme="minorEastAsia" w:eastAsiaTheme="minorEastAsia" w:cstheme="minorEastAsia"/>
          <w:szCs w:val="24"/>
          <w:highlight w:val="none"/>
          <w:lang w:eastAsia="zh-CN"/>
        </w:rPr>
        <w:t>到达</w:t>
      </w:r>
      <w:r>
        <w:rPr>
          <w:rFonts w:hint="eastAsia" w:asciiTheme="minorEastAsia" w:hAnsiTheme="minorEastAsia" w:eastAsiaTheme="minorEastAsia" w:cstheme="minorEastAsia"/>
          <w:szCs w:val="24"/>
          <w:highlight w:val="none"/>
        </w:rPr>
        <w:t>施工现场，并保证在招标方规定的时间内按质、按量、按时完成工作。</w:t>
      </w:r>
    </w:p>
    <w:p w14:paraId="5BD0DB49">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1.9 投标方在投标前必须到招标方现场踏勘，充分了解招标方现场位置、情况、检修空间限制及充分考虑可能发生的任何足以影响承包价的所有风险因素，所有因忽视或误解工程情况，投标方均不得以此为理由拒绝工作安排或申请增加费用。</w:t>
      </w:r>
    </w:p>
    <w:p w14:paraId="18774E95">
      <w:pPr>
        <w:widowControl/>
        <w:tabs>
          <w:tab w:val="left" w:pos="480"/>
        </w:tabs>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1.10 投标方工程施工管理需符合相关国家、行业的法律、标准、规程的相关要求，并满足招标方工程管理要求。</w:t>
      </w:r>
    </w:p>
    <w:p w14:paraId="5833CCB0">
      <w:pPr>
        <w:spacing w:line="360" w:lineRule="auto"/>
        <w:outlineLvl w:val="0"/>
        <w:rPr>
          <w:rFonts w:hint="eastAsia" w:asciiTheme="minorEastAsia" w:hAnsiTheme="minorEastAsia" w:eastAsiaTheme="minorEastAsia" w:cstheme="minorEastAsia"/>
          <w:b/>
          <w:sz w:val="24"/>
          <w:szCs w:val="24"/>
          <w:highlight w:val="none"/>
        </w:rPr>
      </w:pPr>
      <w:bookmarkStart w:id="15" w:name="_Toc4228"/>
      <w:bookmarkStart w:id="16" w:name="_Toc11309"/>
      <w:bookmarkStart w:id="17" w:name="_Toc19042"/>
      <w:r>
        <w:rPr>
          <w:rFonts w:hint="eastAsia" w:asciiTheme="minorEastAsia" w:hAnsiTheme="minorEastAsia" w:eastAsiaTheme="minorEastAsia" w:cstheme="minorEastAsia"/>
          <w:b/>
          <w:bCs/>
          <w:sz w:val="24"/>
          <w:szCs w:val="24"/>
          <w:highlight w:val="none"/>
        </w:rPr>
        <w:t>2 工程概况</w:t>
      </w:r>
      <w:bookmarkEnd w:id="15"/>
      <w:bookmarkEnd w:id="16"/>
      <w:bookmarkEnd w:id="17"/>
    </w:p>
    <w:p w14:paraId="0D85328E">
      <w:pPr>
        <w:widowControl/>
        <w:spacing w:line="360" w:lineRule="auto"/>
        <w:ind w:firstLine="48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伊犁新天煤化工有限责任公司建于新疆维吾尔自治区伊宁市巴彦岱镇火龙洞以北，北靠天山支脉科古琴山，南临伊犁河，厂址地形高差较大，北高南低，海拔标高约1000</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rPr>
        <w:t xml:space="preserve">1080m 之间，东西向中部大部分地段较为平缓。土地属于半荒漠草场。 </w:t>
      </w:r>
    </w:p>
    <w:p w14:paraId="55EA51F6">
      <w:pPr>
        <w:widowControl/>
        <w:tabs>
          <w:tab w:val="left" w:pos="480"/>
        </w:tabs>
        <w:spacing w:line="360" w:lineRule="auto"/>
        <w:ind w:firstLine="48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698D240B">
      <w:pPr>
        <w:widowControl/>
        <w:tabs>
          <w:tab w:val="left" w:pos="480"/>
        </w:tabs>
        <w:spacing w:line="360" w:lineRule="auto"/>
        <w:ind w:firstLine="480" w:firstLineChars="200"/>
        <w:rPr>
          <w:rFonts w:hint="default" w:asciiTheme="minorEastAsia" w:hAnsiTheme="minorEastAsia" w:eastAsiaTheme="minorEastAsia" w:cstheme="minorEastAsia"/>
          <w:szCs w:val="24"/>
          <w:highlight w:val="none"/>
          <w:lang w:val="en-US" w:eastAsia="zh-CN"/>
        </w:rPr>
      </w:pPr>
      <w:r>
        <w:rPr>
          <w:rFonts w:hint="eastAsia" w:asciiTheme="minorEastAsia" w:hAnsiTheme="minorEastAsia" w:eastAsiaTheme="minorEastAsia" w:cstheme="minorEastAsia"/>
          <w:szCs w:val="24"/>
          <w:highlight w:val="none"/>
          <w:lang w:val="en-US" w:eastAsia="zh-CN"/>
        </w:rPr>
        <w:t>主要负责</w:t>
      </w:r>
      <w:r>
        <w:rPr>
          <w:rFonts w:hint="eastAsia" w:asciiTheme="minorEastAsia" w:hAnsiTheme="minorEastAsia" w:eastAsiaTheme="minorEastAsia" w:cstheme="minorEastAsia"/>
          <w:bCs w:val="0"/>
          <w:szCs w:val="24"/>
          <w:highlight w:val="none"/>
          <w:lang w:val="en-US" w:eastAsia="zh-CN"/>
        </w:rPr>
        <w:t>日常及大修架子、保温、防腐工作</w:t>
      </w:r>
      <w:r>
        <w:rPr>
          <w:rFonts w:hint="eastAsia" w:asciiTheme="minorEastAsia" w:hAnsiTheme="minorEastAsia" w:eastAsiaTheme="minorEastAsia" w:cstheme="minorEastAsia"/>
          <w:szCs w:val="24"/>
          <w:highlight w:val="none"/>
          <w:lang w:val="en-US" w:eastAsia="zh-CN"/>
        </w:rPr>
        <w:t>，以及2项特殊项目：①</w:t>
      </w: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2026年度化工装置部分设备设施防腐及保温整治项目；②2026年脚手架架管及附件（跳板、扣件）租赁项目。</w:t>
      </w:r>
    </w:p>
    <w:p w14:paraId="5AD5D8B9">
      <w:pPr>
        <w:spacing w:line="360" w:lineRule="auto"/>
        <w:outlineLvl w:val="0"/>
        <w:rPr>
          <w:rFonts w:hint="eastAsia" w:asciiTheme="minorEastAsia" w:hAnsiTheme="minorEastAsia" w:eastAsiaTheme="minorEastAsia" w:cstheme="minorEastAsia"/>
          <w:b/>
          <w:bCs/>
          <w:sz w:val="24"/>
          <w:szCs w:val="24"/>
          <w:highlight w:val="none"/>
          <w:lang w:val="en-US" w:eastAsia="zh-CN"/>
        </w:rPr>
      </w:pPr>
      <w:bookmarkStart w:id="18" w:name="_Toc4764"/>
      <w:bookmarkStart w:id="19" w:name="_Toc27471"/>
      <w:bookmarkStart w:id="20" w:name="_Toc27983"/>
      <w:r>
        <w:rPr>
          <w:rFonts w:hint="eastAsia" w:asciiTheme="minorEastAsia" w:hAnsiTheme="minorEastAsia" w:eastAsiaTheme="minorEastAsia" w:cstheme="minorEastAsia"/>
          <w:b/>
          <w:bCs/>
          <w:sz w:val="24"/>
          <w:szCs w:val="24"/>
          <w:highlight w:val="none"/>
        </w:rPr>
        <w:t>3 工作范围</w:t>
      </w:r>
      <w:bookmarkEnd w:id="18"/>
      <w:bookmarkEnd w:id="19"/>
      <w:bookmarkEnd w:id="20"/>
      <w:r>
        <w:rPr>
          <w:rFonts w:hint="eastAsia" w:asciiTheme="minorEastAsia" w:hAnsiTheme="minorEastAsia" w:eastAsiaTheme="minorEastAsia" w:cstheme="minorEastAsia"/>
          <w:b/>
          <w:bCs/>
          <w:sz w:val="24"/>
          <w:szCs w:val="24"/>
          <w:highlight w:val="none"/>
          <w:lang w:val="en-US" w:eastAsia="zh-CN"/>
        </w:rPr>
        <w:tab/>
      </w:r>
    </w:p>
    <w:p w14:paraId="24731672">
      <w:pPr>
        <w:spacing w:line="360" w:lineRule="auto"/>
        <w:outlineLvl w:val="0"/>
        <w:rPr>
          <w:rFonts w:hint="eastAsia" w:asciiTheme="minorEastAsia" w:hAnsiTheme="minorEastAsia" w:eastAsiaTheme="minorEastAsia" w:cstheme="minorEastAsia"/>
          <w:b w:val="0"/>
          <w:bCs/>
          <w:color w:val="000000" w:themeColor="text1"/>
          <w:szCs w:val="24"/>
          <w:highlight w:val="none"/>
          <w14:textFill>
            <w14:solidFill>
              <w14:schemeClr w14:val="tx1"/>
            </w14:solidFill>
          </w14:textFill>
        </w:rPr>
      </w:pPr>
      <w:bookmarkStart w:id="21" w:name="_Toc26187"/>
      <w:bookmarkStart w:id="22" w:name="_Toc31632"/>
      <w:bookmarkStart w:id="23" w:name="_Toc3745"/>
      <w:bookmarkStart w:id="24" w:name="_Toc2778"/>
      <w:r>
        <w:rPr>
          <w:rFonts w:hint="eastAsia" w:asciiTheme="minorEastAsia" w:hAnsiTheme="minorEastAsia" w:eastAsiaTheme="minorEastAsia" w:cstheme="minorEastAsia"/>
          <w:b w:val="0"/>
          <w:bCs/>
          <w:color w:val="000000" w:themeColor="text1"/>
          <w:szCs w:val="24"/>
          <w:highlight w:val="none"/>
          <w14:textFill>
            <w14:solidFill>
              <w14:schemeClr w14:val="tx1"/>
            </w14:solidFill>
          </w14:textFill>
        </w:rPr>
        <w:t>3.1 工作</w:t>
      </w:r>
      <w:r>
        <w:rPr>
          <w:rFonts w:hint="eastAsia" w:asciiTheme="minorEastAsia" w:hAnsiTheme="minorEastAsia" w:eastAsiaTheme="minorEastAsia" w:cstheme="minorEastAsia"/>
          <w:b w:val="0"/>
          <w:bCs/>
          <w:color w:val="000000" w:themeColor="text1"/>
          <w:szCs w:val="24"/>
          <w:highlight w:val="none"/>
          <w:lang w:val="en-US" w:eastAsia="zh-CN"/>
          <w14:textFill>
            <w14:solidFill>
              <w14:schemeClr w14:val="tx1"/>
            </w14:solidFill>
          </w14:textFill>
        </w:rPr>
        <w:t>范围</w:t>
      </w:r>
      <w:bookmarkEnd w:id="21"/>
      <w:bookmarkEnd w:id="22"/>
      <w:bookmarkEnd w:id="23"/>
      <w:bookmarkEnd w:id="24"/>
    </w:p>
    <w:p w14:paraId="2FB236EB">
      <w:pPr>
        <w:snapToGrid w:val="0"/>
        <w:spacing w:line="360" w:lineRule="auto"/>
        <w:rPr>
          <w:rFonts w:hint="default" w:asciiTheme="minorEastAsia" w:hAnsiTheme="minorEastAsia" w:eastAsiaTheme="minorEastAsia" w:cstheme="minorEastAsia"/>
          <w:bCs w:val="0"/>
          <w:szCs w:val="24"/>
          <w:highlight w:val="none"/>
          <w:lang w:val="en-US" w:eastAsia="zh-CN"/>
        </w:rPr>
      </w:pPr>
      <w:r>
        <w:rPr>
          <w:rFonts w:hint="eastAsia" w:asciiTheme="minorEastAsia" w:hAnsiTheme="minorEastAsia" w:eastAsiaTheme="minorEastAsia" w:cstheme="minorEastAsia"/>
          <w:bCs w:val="0"/>
          <w:szCs w:val="24"/>
          <w:highlight w:val="none"/>
          <w:lang w:val="en-US" w:eastAsia="zh-CN"/>
        </w:rPr>
        <w:t>3.1.1 日常及大修架子、保温、防腐工作</w:t>
      </w:r>
    </w:p>
    <w:p w14:paraId="4615FEE6">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bCs w:val="0"/>
          <w:szCs w:val="24"/>
          <w:highlight w:val="none"/>
          <w:lang w:val="en-US" w:eastAsia="zh-CN"/>
        </w:rPr>
        <w:t xml:space="preserve">3.1.1.1 </w:t>
      </w:r>
      <w:r>
        <w:rPr>
          <w:rFonts w:hint="eastAsia" w:asciiTheme="minorEastAsia" w:hAnsiTheme="minorEastAsia" w:eastAsiaTheme="minorEastAsia" w:cstheme="minorEastAsia"/>
          <w:bCs w:val="0"/>
          <w:szCs w:val="24"/>
          <w:highlight w:val="none"/>
        </w:rPr>
        <w:t>负责招标方</w:t>
      </w:r>
      <w:r>
        <w:rPr>
          <w:rFonts w:hint="eastAsia" w:asciiTheme="minorEastAsia" w:hAnsiTheme="minorEastAsia" w:eastAsiaTheme="minorEastAsia" w:cstheme="minorEastAsia"/>
          <w:szCs w:val="24"/>
          <w:highlight w:val="none"/>
        </w:rPr>
        <w:t>全厂的生产设备、管道、建构筑物及附属建筑</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rPr>
        <w:t>土建、</w:t>
      </w:r>
      <w:r>
        <w:rPr>
          <w:rFonts w:hint="eastAsia" w:asciiTheme="minorEastAsia" w:hAnsiTheme="minorEastAsia" w:eastAsiaTheme="minorEastAsia" w:cstheme="minorEastAsia"/>
          <w:szCs w:val="24"/>
          <w:highlight w:val="none"/>
          <w:lang w:val="en-US" w:eastAsia="zh-CN"/>
        </w:rPr>
        <w:t>清淤</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rPr>
        <w:t>机电仪</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rPr>
        <w:t>暖通、消防及水系统等的日常维修、抢修、消缺、中小修、管道检测、压力容器检测、变更、临停检修、年度停机大检修等工作所需的脚手架搭拆（含钢质活动脚手架）、保温拆除和恢复、</w:t>
      </w:r>
      <w:r>
        <w:rPr>
          <w:rFonts w:hint="eastAsia" w:asciiTheme="minorEastAsia" w:hAnsiTheme="minorEastAsia" w:eastAsiaTheme="minorEastAsia" w:cstheme="minorEastAsia"/>
          <w:szCs w:val="24"/>
          <w:highlight w:val="none"/>
          <w:lang w:val="en-US" w:eastAsia="zh-CN"/>
        </w:rPr>
        <w:t>设备</w:t>
      </w:r>
      <w:r>
        <w:rPr>
          <w:rFonts w:hint="eastAsia" w:asciiTheme="minorEastAsia" w:hAnsiTheme="minorEastAsia" w:eastAsiaTheme="minorEastAsia" w:cstheme="minorEastAsia"/>
          <w:szCs w:val="24"/>
          <w:highlight w:val="none"/>
        </w:rPr>
        <w:t>防腐</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lang w:val="en-US" w:eastAsia="zh-CN"/>
        </w:rPr>
        <w:t>油漆修补维护、钢结构防火涂料维护保养、</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全厂塔、储罐等设备破损钢带的更换工作</w:t>
      </w:r>
      <w:r>
        <w:rPr>
          <w:rFonts w:hint="eastAsia" w:asciiTheme="minorEastAsia" w:hAnsiTheme="minorEastAsia" w:eastAsiaTheme="minorEastAsia" w:cstheme="minorEastAsia"/>
          <w:szCs w:val="24"/>
          <w:highlight w:val="none"/>
        </w:rPr>
        <w:t>和</w:t>
      </w:r>
      <w:r>
        <w:rPr>
          <w:rFonts w:hint="eastAsia" w:asciiTheme="minorEastAsia" w:hAnsiTheme="minorEastAsia" w:eastAsiaTheme="minorEastAsia" w:cstheme="minorEastAsia"/>
          <w:szCs w:val="24"/>
          <w:highlight w:val="none"/>
          <w:lang w:eastAsia="zh-CN"/>
        </w:rPr>
        <w:t>其他</w:t>
      </w:r>
      <w:r>
        <w:rPr>
          <w:rFonts w:hint="eastAsia" w:asciiTheme="minorEastAsia" w:hAnsiTheme="minorEastAsia" w:eastAsiaTheme="minorEastAsia" w:cstheme="minorEastAsia"/>
          <w:szCs w:val="24"/>
          <w:highlight w:val="none"/>
        </w:rPr>
        <w:t>相关配合工作</w:t>
      </w:r>
      <w:r>
        <w:rPr>
          <w:rStyle w:val="358"/>
          <w:rFonts w:hint="eastAsia" w:asciiTheme="minorEastAsia" w:hAnsiTheme="minorEastAsia" w:eastAsiaTheme="minorEastAsia" w:cstheme="minorEastAsia"/>
          <w:highlight w:val="none"/>
          <w:lang w:eastAsia="zh-CN"/>
        </w:rPr>
        <w:t>（</w:t>
      </w:r>
      <w:r>
        <w:rPr>
          <w:rStyle w:val="358"/>
          <w:rFonts w:hint="eastAsia" w:asciiTheme="minorEastAsia" w:hAnsiTheme="minorEastAsia" w:eastAsiaTheme="minorEastAsia" w:cstheme="minorEastAsia"/>
          <w:highlight w:val="none"/>
          <w:lang w:val="en-US" w:eastAsia="zh-CN"/>
        </w:rPr>
        <w:t>不含特殊项目</w:t>
      </w:r>
      <w:r>
        <w:rPr>
          <w:rStyle w:val="358"/>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szCs w:val="24"/>
          <w:highlight w:val="none"/>
        </w:rPr>
        <w:t>。</w:t>
      </w:r>
    </w:p>
    <w:p w14:paraId="4D9C5CF8">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3.1.1.</w:t>
      </w:r>
      <w:r>
        <w:rPr>
          <w:rFonts w:hint="eastAsia" w:asciiTheme="minorEastAsia" w:hAnsiTheme="minorEastAsia" w:eastAsiaTheme="minorEastAsia" w:cstheme="minorEastAsia"/>
          <w:szCs w:val="24"/>
          <w:highlight w:val="none"/>
          <w:lang w:val="en-US" w:eastAsia="zh-CN"/>
        </w:rPr>
        <w:t>2</w:t>
      </w:r>
      <w:r>
        <w:rPr>
          <w:rFonts w:hint="eastAsia" w:asciiTheme="minorEastAsia" w:hAnsiTheme="minorEastAsia" w:eastAsiaTheme="minorEastAsia" w:cstheme="minorEastAsia"/>
          <w:szCs w:val="24"/>
          <w:highlight w:val="none"/>
        </w:rPr>
        <w:t xml:space="preserve"> 负责空分</w:t>
      </w:r>
      <w:r>
        <w:rPr>
          <w:rFonts w:hint="eastAsia" w:asciiTheme="minorEastAsia" w:hAnsiTheme="minorEastAsia" w:eastAsiaTheme="minorEastAsia" w:cstheme="minorEastAsia"/>
          <w:szCs w:val="24"/>
          <w:highlight w:val="none"/>
          <w:lang w:val="en-US" w:eastAsia="zh-CN"/>
        </w:rPr>
        <w:t>装置</w:t>
      </w:r>
      <w:r>
        <w:rPr>
          <w:rFonts w:hint="eastAsia" w:asciiTheme="minorEastAsia" w:hAnsiTheme="minorEastAsia" w:eastAsiaTheme="minorEastAsia" w:cstheme="minorEastAsia"/>
          <w:szCs w:val="24"/>
          <w:highlight w:val="none"/>
        </w:rPr>
        <w:t>珠光砂的扒出与回填工作。</w:t>
      </w:r>
    </w:p>
    <w:p w14:paraId="098AFA50">
      <w:pPr>
        <w:adjustRightInd/>
        <w:spacing w:line="360" w:lineRule="auto"/>
        <w:textAlignment w:val="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3.1.1.</w:t>
      </w:r>
      <w:r>
        <w:rPr>
          <w:rFonts w:hint="eastAsia" w:asciiTheme="minorEastAsia" w:hAnsiTheme="minorEastAsia" w:eastAsiaTheme="minorEastAsia" w:cstheme="minorEastAsia"/>
          <w:szCs w:val="24"/>
          <w:highlight w:val="none"/>
          <w:lang w:val="en-US" w:eastAsia="zh-CN"/>
        </w:rPr>
        <w:t xml:space="preserve">3 </w:t>
      </w:r>
      <w:r>
        <w:rPr>
          <w:rFonts w:hint="eastAsia" w:asciiTheme="minorEastAsia" w:hAnsiTheme="minorEastAsia" w:eastAsiaTheme="minorEastAsia" w:cstheme="minorEastAsia"/>
          <w:szCs w:val="24"/>
          <w:highlight w:val="none"/>
        </w:rPr>
        <w:t>负责保证施工过程中质量、工期、安全、文明等需要所产生的一切费用，废油漆桶、废铁皮、铁丝等由投标方运输至招标方指定地点，由招标方统一处置。</w:t>
      </w:r>
    </w:p>
    <w:p w14:paraId="20D1BDC3">
      <w:pPr>
        <w:adjustRightInd/>
        <w:spacing w:line="360" w:lineRule="auto"/>
        <w:textAlignment w:val="auto"/>
        <w:rPr>
          <w:rFonts w:hint="eastAsia" w:asciiTheme="minorEastAsia" w:hAnsiTheme="minorEastAsia" w:eastAsiaTheme="minorEastAsia" w:cs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eastAsia="zh-CN"/>
          <w14:textFill>
            <w14:solidFill>
              <w14:schemeClr w14:val="tx1"/>
            </w14:solidFill>
          </w14:textFill>
        </w:rPr>
        <w:t>3.1.1.</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 xml:space="preserve"> 负责架管、扣件和架子板、保温材料、油漆的进</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厂</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材料领用、保管和保养工作。</w:t>
      </w:r>
    </w:p>
    <w:p w14:paraId="4C76AFF4">
      <w:pPr>
        <w:shd w:val="clear"/>
        <w:adjustRightInd/>
        <w:spacing w:line="360" w:lineRule="auto"/>
        <w:ind w:left="0" w:firstLine="0" w:firstLineChars="0"/>
        <w:textAlignment w:val="auto"/>
        <w:rPr>
          <w:rFonts w:hint="eastAsia" w:asciiTheme="minorEastAsia" w:hAnsiTheme="minorEastAsia" w:eastAsiaTheme="minorEastAsia" w:cs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3.1.1.5 负责全厂废旧保温棉的打包及处理相关配合工作。</w:t>
      </w:r>
    </w:p>
    <w:p w14:paraId="7AE9F733">
      <w:pPr>
        <w:adjustRightInd/>
        <w:spacing w:line="360" w:lineRule="auto"/>
        <w:ind w:left="0" w:firstLine="0" w:firstLineChars="0"/>
        <w:textAlignment w:val="auto"/>
        <w:rPr>
          <w:rFonts w:hint="eastAsia" w:asciiTheme="minorEastAsia" w:hAnsiTheme="minorEastAsia" w:eastAsiaTheme="minorEastAsia" w:cs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eastAsia="zh-CN"/>
          <w14:textFill>
            <w14:solidFill>
              <w14:schemeClr w14:val="tx1"/>
            </w14:solidFill>
          </w14:textFill>
        </w:rPr>
        <w:t>3.1.1.</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6 其他未</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描述事宜以招标方联系单为准。</w:t>
      </w:r>
    </w:p>
    <w:p w14:paraId="7B6462DB">
      <w:pPr>
        <w:adjustRightInd/>
        <w:spacing w:line="360" w:lineRule="auto"/>
        <w:ind w:left="0" w:firstLine="0" w:firstLineChars="0"/>
        <w:textAlignment w:val="auto"/>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3.1.2 特殊项目</w:t>
      </w:r>
    </w:p>
    <w:p w14:paraId="582C1989">
      <w:pPr>
        <w:adjustRightInd/>
        <w:spacing w:line="360" w:lineRule="auto"/>
        <w:ind w:left="0" w:firstLine="480" w:firstLineChars="0"/>
        <w:textAlignment w:val="auto"/>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负责以下两项特殊项目</w:t>
      </w: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，费用单独结算。</w:t>
      </w:r>
    </w:p>
    <w:p w14:paraId="1B439CCE">
      <w:pPr>
        <w:adjustRightInd/>
        <w:spacing w:line="360" w:lineRule="auto"/>
        <w:ind w:left="0" w:firstLine="0" w:firstLineChars="0"/>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3.1.2.1 《</w:t>
      </w: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2026年度化工装置部分设备设施防腐及保温整治项目</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w:t>
      </w:r>
      <w:r>
        <w:rPr>
          <w:rFonts w:hint="eastAsia" w:asciiTheme="minorEastAsia" w:hAnsiTheme="minorEastAsia" w:eastAsiaTheme="minorEastAsia" w:cstheme="minorEastAsia"/>
          <w:b w:val="0"/>
          <w:color w:val="000000" w:themeColor="text1"/>
          <w:sz w:val="24"/>
          <w:szCs w:val="24"/>
          <w:highlight w:val="none"/>
          <w:lang w:eastAsia="zh-CN"/>
          <w14:textFill>
            <w14:solidFill>
              <w14:schemeClr w14:val="tx1"/>
            </w14:solidFill>
          </w14:textFill>
        </w:rPr>
        <w:t>，</w:t>
      </w: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具体要求详见附件4.1《2026年度化工装置设备设施防腐及保温整治项目技术规范书》。</w:t>
      </w:r>
    </w:p>
    <w:p w14:paraId="5E410096">
      <w:pPr>
        <w:adjustRightInd/>
        <w:spacing w:line="360" w:lineRule="auto"/>
        <w:ind w:left="0" w:firstLine="0" w:firstLineChars="0"/>
        <w:textAlignment w:val="auto"/>
        <w:rPr>
          <w:rStyle w:val="48"/>
          <w:rFonts w:hint="default"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3.1.</w:t>
      </w: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2.2</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 xml:space="preserve"> 《</w:t>
      </w: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2026年脚手架架管及附件（跳板、扣件）租赁项目</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w:t>
      </w: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，具体要求详见附件4.2《2026年脚手架架管及附件（跳板、扣件）租赁技术规范书》。</w:t>
      </w:r>
    </w:p>
    <w:p w14:paraId="49E4F040">
      <w:pPr>
        <w:adjustRightInd/>
        <w:spacing w:line="360" w:lineRule="auto"/>
        <w:ind w:left="0" w:firstLine="0" w:firstLineChars="0"/>
        <w:textAlignment w:val="auto"/>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pP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3.2 内容与要求</w:t>
      </w:r>
    </w:p>
    <w:p w14:paraId="570D91B8">
      <w:pPr>
        <w:adjustRightInd/>
        <w:spacing w:line="360" w:lineRule="auto"/>
        <w:ind w:left="0" w:firstLine="0" w:firstLineChars="0"/>
        <w:textAlignment w:val="auto"/>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pP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3.2.1 投标方遵从以生产任务为大局，服从招标方管理和工作安排为原则；当遇到工作困难和问题时应以先解决处理问题为基本工作态度，坚决杜绝一切形式的推诿扯皮、不担当、不作为。</w:t>
      </w:r>
    </w:p>
    <w:p w14:paraId="0B9DB003">
      <w:pPr>
        <w:adjustRightInd/>
        <w:spacing w:line="360" w:lineRule="auto"/>
        <w:ind w:left="0" w:firstLine="0" w:firstLineChars="0"/>
        <w:textAlignment w:val="auto"/>
        <w:rPr>
          <w:rFonts w:hint="eastAsia" w:asciiTheme="minorEastAsia" w:hAnsiTheme="minorEastAsia" w:eastAsiaTheme="minorEastAsia" w:cstheme="minorEastAsia"/>
          <w:b w:val="0"/>
          <w:color w:val="auto"/>
          <w:sz w:val="24"/>
          <w:szCs w:val="24"/>
          <w:highlight w:val="none"/>
          <w:lang w:val="en-US" w:eastAsia="zh-CN"/>
        </w:rPr>
      </w:pPr>
      <w:r>
        <w:rPr>
          <w:rStyle w:val="48"/>
          <w:rFonts w:hint="eastAsia" w:asciiTheme="minorEastAsia" w:hAnsiTheme="minorEastAsia" w:eastAsiaTheme="minorEastAsia" w:cstheme="minorEastAsia"/>
          <w:b w:val="0"/>
          <w:bCs w:val="0"/>
          <w:color w:val="000000" w:themeColor="text1"/>
          <w:szCs w:val="24"/>
          <w:highlight w:val="none"/>
          <w:lang w:val="en-US" w:eastAsia="zh-CN"/>
          <w14:textFill>
            <w14:solidFill>
              <w14:schemeClr w14:val="tx1"/>
            </w14:solidFill>
          </w14:textFill>
        </w:rPr>
        <w:t>3.2.2 投标方工作任务来源</w:t>
      </w:r>
      <w:r>
        <w:rPr>
          <w:rFonts w:hint="eastAsia" w:asciiTheme="minorEastAsia" w:hAnsiTheme="minorEastAsia" w:eastAsiaTheme="minorEastAsia" w:cstheme="minorEastAsia"/>
          <w:b w:val="0"/>
          <w:color w:val="auto"/>
          <w:sz w:val="24"/>
          <w:szCs w:val="24"/>
          <w:highlight w:val="none"/>
          <w:lang w:val="en-US" w:eastAsia="zh-CN"/>
        </w:rPr>
        <w:t>主要为招标方生产管理系统缺陷单、配合委托单和主管部门联系单等。</w:t>
      </w:r>
    </w:p>
    <w:p w14:paraId="2CA24EFC">
      <w:pPr>
        <w:snapToGrid w:val="0"/>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w:t>
      </w:r>
      <w:r>
        <w:rPr>
          <w:rFonts w:hint="eastAsia" w:asciiTheme="minorEastAsia" w:hAnsiTheme="minorEastAsia" w:eastAsiaTheme="minorEastAsia" w:cstheme="minorEastAsia"/>
          <w:b w:val="0"/>
          <w:sz w:val="24"/>
          <w:szCs w:val="24"/>
          <w:highlight w:val="none"/>
          <w:lang w:val="en-US" w:eastAsia="zh-CN"/>
        </w:rPr>
        <w:t>3</w:t>
      </w:r>
      <w:r>
        <w:rPr>
          <w:rFonts w:hint="eastAsia" w:asciiTheme="minorEastAsia" w:hAnsiTheme="minorEastAsia" w:eastAsiaTheme="minorEastAsia" w:cstheme="minorEastAsia"/>
          <w:b w:val="0"/>
          <w:color w:val="auto"/>
          <w:sz w:val="24"/>
          <w:szCs w:val="24"/>
          <w:highlight w:val="none"/>
          <w:lang w:val="en-US" w:eastAsia="zh-CN"/>
        </w:rPr>
        <w:t xml:space="preserve"> 投标方负责在接到招标方下达的工作任务后，及时响应在要求时间内，保质保量完成工作。</w:t>
      </w:r>
    </w:p>
    <w:p w14:paraId="051CC02D">
      <w:pPr>
        <w:adjustRightInd/>
        <w:spacing w:line="360" w:lineRule="auto"/>
        <w:ind w:left="480" w:hanging="480" w:hangingChars="200"/>
        <w:textAlignment w:val="auto"/>
        <w:outlineLvl w:val="9"/>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t>3.2.4 投标方负责做好施工过程中的生产生活设施的安全管理、消防管理、保卫及环境保</w:t>
      </w:r>
    </w:p>
    <w:p w14:paraId="27F0A453">
      <w:pPr>
        <w:adjustRightInd/>
        <w:spacing w:line="360" w:lineRule="auto"/>
        <w:ind w:left="480" w:hanging="480" w:hangingChars="200"/>
        <w:textAlignment w:val="auto"/>
        <w:outlineLvl w:val="9"/>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lang w:val="en-US" w:eastAsia="zh-CN"/>
          <w14:textFill>
            <w14:solidFill>
              <w14:schemeClr w14:val="tx1"/>
            </w14:solidFill>
          </w14:textFill>
        </w:rPr>
        <w:t>护。</w:t>
      </w:r>
    </w:p>
    <w:p w14:paraId="2AE3998A">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3.2.5 投标方必须严格执行招标方的各项规章制度及相关标准。</w:t>
      </w:r>
    </w:p>
    <w:p w14:paraId="25E158D3">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3.2.6 投标方的各项规章制度、操作规程不得与招标方的有关标准相抵触。</w:t>
      </w:r>
    </w:p>
    <w:p w14:paraId="4E364EF9">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3.2.7 投标方必须按招标方要求做好班组管理工作，建立并及时完善班组台账（设备台账、安全台账、班组建设台账、班长日志等）。</w:t>
      </w:r>
    </w:p>
    <w:p w14:paraId="3B7B6F8A">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3.2.8 根据招标方要求管理相关的图纸、资料、档案等文件。</w:t>
      </w:r>
    </w:p>
    <w:p w14:paraId="3CD34334">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3.2.9 投标方要保持设备及生产场地的清洁，做到工完料尽场地清。</w:t>
      </w:r>
    </w:p>
    <w:p w14:paraId="08FDE2E8">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3.2.10 投标方必须储备足够的人员和装备以处理突发事件的抢修工作，如因投标方准备不足，造成处理延误，投标方对此造成的损失负全责。</w:t>
      </w:r>
    </w:p>
    <w:p w14:paraId="0910F35D">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3.2.11 投标方要穿戴正确的劳保防护服、劳保鞋、防护帽、手套等，配备合格的安全带，佩戴上岗证及工作证，要求统一着装。</w:t>
      </w:r>
    </w:p>
    <w:p w14:paraId="7D4DA56D">
      <w:pPr>
        <w:spacing w:line="360" w:lineRule="auto"/>
        <w:outlineLvl w:val="9"/>
        <w:rPr>
          <w:rFonts w:hint="default"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3.2.12 负责</w:t>
      </w:r>
      <w:r>
        <w:rPr>
          <w:rStyle w:val="358"/>
          <w:rFonts w:hint="eastAsia" w:asciiTheme="minorEastAsia" w:hAnsiTheme="minorEastAsia" w:eastAsiaTheme="minorEastAsia" w:cstheme="minorEastAsia"/>
          <w:bCs/>
          <w:highlight w:val="none"/>
          <w:lang w:val="en-US" w:eastAsia="zh-CN"/>
        </w:rPr>
        <w:t>施工</w:t>
      </w:r>
      <w:r>
        <w:rPr>
          <w:rStyle w:val="358"/>
          <w:rFonts w:hint="eastAsia" w:asciiTheme="minorEastAsia" w:hAnsiTheme="minorEastAsia" w:eastAsiaTheme="minorEastAsia" w:cstheme="minorEastAsia"/>
          <w:bCs/>
          <w:highlight w:val="none"/>
        </w:rPr>
        <w:t>过程中</w:t>
      </w:r>
      <w:r>
        <w:rPr>
          <w:rStyle w:val="358"/>
          <w:rFonts w:hint="eastAsia" w:asciiTheme="minorEastAsia" w:hAnsiTheme="minorEastAsia" w:eastAsiaTheme="minorEastAsia" w:cstheme="minorEastAsia"/>
          <w:bCs/>
          <w:highlight w:val="none"/>
          <w:lang w:val="en-US" w:eastAsia="zh-CN"/>
        </w:rPr>
        <w:t>脚手架、保温、油漆</w:t>
      </w:r>
      <w:r>
        <w:rPr>
          <w:rStyle w:val="358"/>
          <w:rFonts w:hint="eastAsia" w:asciiTheme="minorEastAsia" w:hAnsiTheme="minorEastAsia" w:eastAsiaTheme="minorEastAsia" w:cstheme="minorEastAsia"/>
          <w:bCs/>
          <w:highlight w:val="none"/>
        </w:rPr>
        <w:t>材料的领料及现场材料的规整管理工作，建立</w:t>
      </w:r>
      <w:r>
        <w:rPr>
          <w:rStyle w:val="358"/>
          <w:rFonts w:hint="eastAsia" w:asciiTheme="minorEastAsia" w:hAnsiTheme="minorEastAsia" w:eastAsiaTheme="minorEastAsia" w:cstheme="minorEastAsia"/>
          <w:bCs/>
          <w:highlight w:val="none"/>
          <w:lang w:val="en-US" w:eastAsia="zh-CN"/>
        </w:rPr>
        <w:t>各类材料的出入库</w:t>
      </w:r>
      <w:r>
        <w:rPr>
          <w:rStyle w:val="358"/>
          <w:rFonts w:hint="eastAsia" w:asciiTheme="minorEastAsia" w:hAnsiTheme="minorEastAsia" w:eastAsiaTheme="minorEastAsia" w:cstheme="minorEastAsia"/>
          <w:bCs/>
          <w:highlight w:val="none"/>
        </w:rPr>
        <w:t>台账，做好出入库登记和使用用途，每月</w:t>
      </w:r>
      <w:r>
        <w:rPr>
          <w:rStyle w:val="358"/>
          <w:rFonts w:hint="eastAsia" w:asciiTheme="minorEastAsia" w:hAnsiTheme="minorEastAsia" w:eastAsiaTheme="minorEastAsia" w:cstheme="minorEastAsia"/>
          <w:bCs/>
          <w:highlight w:val="none"/>
          <w:lang w:val="en-US" w:eastAsia="zh-CN"/>
        </w:rPr>
        <w:t>至少</w:t>
      </w:r>
      <w:r>
        <w:rPr>
          <w:rStyle w:val="358"/>
          <w:rFonts w:hint="eastAsia" w:asciiTheme="minorEastAsia" w:hAnsiTheme="minorEastAsia" w:eastAsiaTheme="minorEastAsia" w:cstheme="minorEastAsia"/>
          <w:bCs/>
          <w:highlight w:val="none"/>
        </w:rPr>
        <w:t>清点一次</w:t>
      </w:r>
      <w:r>
        <w:rPr>
          <w:rStyle w:val="358"/>
          <w:rFonts w:hint="eastAsia" w:asciiTheme="minorEastAsia" w:hAnsiTheme="minorEastAsia" w:eastAsiaTheme="minorEastAsia" w:cstheme="minorEastAsia"/>
          <w:bCs/>
          <w:highlight w:val="none"/>
          <w:lang w:val="en-US" w:eastAsia="zh-CN"/>
        </w:rPr>
        <w:t>各类材料</w:t>
      </w:r>
      <w:r>
        <w:rPr>
          <w:rStyle w:val="358"/>
          <w:rFonts w:hint="eastAsia" w:asciiTheme="minorEastAsia" w:hAnsiTheme="minorEastAsia" w:eastAsiaTheme="minorEastAsia" w:cstheme="minorEastAsia"/>
          <w:bCs/>
          <w:highlight w:val="none"/>
        </w:rPr>
        <w:t>并更新台账，</w:t>
      </w:r>
      <w:r>
        <w:rPr>
          <w:rStyle w:val="358"/>
          <w:rFonts w:hint="eastAsia" w:asciiTheme="minorEastAsia" w:hAnsiTheme="minorEastAsia" w:eastAsiaTheme="minorEastAsia" w:cstheme="minorEastAsia"/>
          <w:bCs/>
          <w:highlight w:val="none"/>
          <w:lang w:val="en-US" w:eastAsia="zh-CN"/>
        </w:rPr>
        <w:t>材料</w:t>
      </w:r>
      <w:r>
        <w:rPr>
          <w:rStyle w:val="358"/>
          <w:rFonts w:hint="eastAsia" w:asciiTheme="minorEastAsia" w:hAnsiTheme="minorEastAsia" w:eastAsiaTheme="minorEastAsia" w:cstheme="minorEastAsia"/>
          <w:bCs/>
          <w:highlight w:val="none"/>
        </w:rPr>
        <w:t>不足的及时上报</w:t>
      </w:r>
      <w:r>
        <w:rPr>
          <w:rStyle w:val="358"/>
          <w:rFonts w:hint="eastAsia" w:asciiTheme="minorEastAsia" w:hAnsiTheme="minorEastAsia" w:eastAsiaTheme="minorEastAsia" w:cstheme="minorEastAsia"/>
          <w:bCs/>
          <w:highlight w:val="none"/>
          <w:lang w:val="en-US" w:eastAsia="zh-CN"/>
        </w:rPr>
        <w:t>招标方</w:t>
      </w:r>
      <w:r>
        <w:rPr>
          <w:rStyle w:val="358"/>
          <w:rFonts w:hint="eastAsia" w:asciiTheme="minorEastAsia" w:hAnsiTheme="minorEastAsia" w:eastAsiaTheme="minorEastAsia" w:cstheme="minorEastAsia"/>
          <w:bCs/>
          <w:highlight w:val="none"/>
        </w:rPr>
        <w:t>。</w:t>
      </w:r>
    </w:p>
    <w:p w14:paraId="3917E6D1">
      <w:pPr>
        <w:spacing w:line="360" w:lineRule="auto"/>
        <w:outlineLvl w:val="0"/>
        <w:rPr>
          <w:rFonts w:hint="eastAsia" w:asciiTheme="minorEastAsia" w:hAnsiTheme="minorEastAsia" w:eastAsiaTheme="minorEastAsia" w:cstheme="minorEastAsia"/>
          <w:b w:val="0"/>
          <w:bCs/>
          <w:color w:val="000000" w:themeColor="text1"/>
          <w:sz w:val="24"/>
          <w:szCs w:val="24"/>
          <w:highlight w:val="none"/>
          <w:lang w:val="en-US" w:eastAsia="zh-CN"/>
          <w14:textFill>
            <w14:solidFill>
              <w14:schemeClr w14:val="tx1"/>
            </w14:solidFill>
          </w14:textFill>
        </w:rPr>
      </w:pPr>
      <w:bookmarkStart w:id="25" w:name="_Toc27503"/>
      <w:bookmarkStart w:id="26" w:name="_Toc6637"/>
      <w:bookmarkStart w:id="27" w:name="_Toc14603"/>
      <w:bookmarkStart w:id="28" w:name="_Toc21658"/>
      <w:r>
        <w:rPr>
          <w:rFonts w:hint="eastAsia" w:asciiTheme="minorEastAsia" w:hAnsiTheme="minorEastAsia" w:eastAsiaTheme="minorEastAsia" w:cstheme="minorEastAsia"/>
          <w:b w:val="0"/>
          <w:bCs/>
          <w:color w:val="000000" w:themeColor="text1"/>
          <w:sz w:val="24"/>
          <w:szCs w:val="24"/>
          <w:highlight w:val="none"/>
          <w:lang w:val="en-US" w:eastAsia="zh-CN"/>
          <w14:textFill>
            <w14:solidFill>
              <w14:schemeClr w14:val="tx1"/>
            </w14:solidFill>
          </w14:textFill>
        </w:rPr>
        <w:t>3.3 其他管理要求</w:t>
      </w:r>
      <w:bookmarkEnd w:id="25"/>
      <w:bookmarkEnd w:id="26"/>
      <w:bookmarkEnd w:id="27"/>
      <w:bookmarkEnd w:id="28"/>
    </w:p>
    <w:p w14:paraId="17B4B825">
      <w:pPr>
        <w:widowControl w:val="0"/>
        <w:snapToGrid w:val="0"/>
        <w:spacing w:line="360" w:lineRule="auto"/>
        <w:ind w:firstLine="480" w:firstLineChars="200"/>
        <w:jc w:val="left"/>
        <w:rPr>
          <w:rStyle w:val="358"/>
          <w:rFonts w:asciiTheme="minorEastAsia" w:hAnsiTheme="minorEastAsia" w:eastAsiaTheme="minorEastAsia" w:cstheme="minorEastAsia"/>
          <w:highlight w:val="none"/>
        </w:rPr>
      </w:pPr>
      <w:r>
        <w:rPr>
          <w:rStyle w:val="358"/>
          <w:rFonts w:hint="eastAsia" w:asciiTheme="minorEastAsia" w:hAnsiTheme="minorEastAsia" w:eastAsiaTheme="minorEastAsia" w:cstheme="minorEastAsia"/>
          <w:highlight w:val="none"/>
        </w:rPr>
        <w:t>在上述服务范围内，投标方在履行合同义务时应遵守下列标准：</w:t>
      </w:r>
    </w:p>
    <w:p w14:paraId="74537CFF">
      <w:pPr>
        <w:widowControl w:val="0"/>
        <w:snapToGrid w:val="0"/>
        <w:spacing w:line="360" w:lineRule="auto"/>
        <w:ind w:firstLine="0" w:firstLineChars="0"/>
        <w:jc w:val="left"/>
        <w:rPr>
          <w:rStyle w:val="358"/>
          <w:rFonts w:hint="eastAsia" w:asciiTheme="minorEastAsia" w:hAnsiTheme="minorEastAsia" w:eastAsiaTheme="minorEastAsia" w:cstheme="minorEastAsia"/>
          <w:highlight w:val="none"/>
        </w:rPr>
      </w:pPr>
      <w:r>
        <w:rPr>
          <w:rStyle w:val="358"/>
          <w:rFonts w:hint="eastAsia" w:asciiTheme="minorEastAsia" w:hAnsiTheme="minorEastAsia" w:eastAsiaTheme="minorEastAsia" w:cstheme="minorEastAsia"/>
          <w:highlight w:val="none"/>
          <w:lang w:val="en-US" w:eastAsia="zh-CN"/>
        </w:rPr>
        <w:t>3</w:t>
      </w:r>
      <w:r>
        <w:rPr>
          <w:rStyle w:val="358"/>
          <w:rFonts w:hint="eastAsia" w:asciiTheme="minorEastAsia" w:hAnsiTheme="minorEastAsia" w:eastAsiaTheme="minorEastAsia" w:cstheme="minorEastAsia"/>
          <w:highlight w:val="none"/>
        </w:rPr>
        <w:t>.</w:t>
      </w:r>
      <w:r>
        <w:rPr>
          <w:rStyle w:val="358"/>
          <w:rFonts w:hint="eastAsia" w:asciiTheme="minorEastAsia" w:hAnsiTheme="minorEastAsia" w:eastAsiaTheme="minorEastAsia" w:cstheme="minorEastAsia"/>
          <w:highlight w:val="none"/>
          <w:lang w:val="en-US" w:eastAsia="zh-CN"/>
        </w:rPr>
        <w:t>3</w:t>
      </w:r>
      <w:r>
        <w:rPr>
          <w:rStyle w:val="358"/>
          <w:rFonts w:hint="eastAsia" w:asciiTheme="minorEastAsia" w:hAnsiTheme="minorEastAsia" w:eastAsiaTheme="minorEastAsia" w:cstheme="minorEastAsia"/>
          <w:highlight w:val="none"/>
        </w:rPr>
        <w:t>.1</w:t>
      </w:r>
      <w:r>
        <w:rPr>
          <w:rStyle w:val="358"/>
          <w:rFonts w:hint="eastAsia" w:asciiTheme="minorEastAsia" w:hAnsiTheme="minorEastAsia" w:eastAsiaTheme="minorEastAsia" w:cstheme="minorEastAsia"/>
          <w:highlight w:val="none"/>
          <w:lang w:val="en-US" w:eastAsia="zh-CN"/>
        </w:rPr>
        <w:t xml:space="preserve"> </w:t>
      </w:r>
      <w:r>
        <w:rPr>
          <w:rStyle w:val="358"/>
          <w:rFonts w:hint="eastAsia" w:asciiTheme="minorEastAsia" w:hAnsiTheme="minorEastAsia" w:eastAsiaTheme="minorEastAsia" w:cstheme="minorEastAsia"/>
          <w:bCs/>
          <w:kern w:val="0"/>
          <w:highlight w:val="none"/>
        </w:rPr>
        <w:t>标准规范：</w:t>
      </w:r>
      <w:r>
        <w:rPr>
          <w:rStyle w:val="358"/>
          <w:rFonts w:hint="eastAsia" w:asciiTheme="minorEastAsia" w:hAnsiTheme="minorEastAsia" w:eastAsiaTheme="minorEastAsia" w:cstheme="minorEastAsia"/>
          <w:highlight w:val="none"/>
        </w:rPr>
        <w:t>投标方在合同期内所做工作，规范和标准必须遵循现行最新版本的标准。招标方最终以有利于自己的标准规范对投标方进行考核。</w:t>
      </w:r>
    </w:p>
    <w:p w14:paraId="451808EE">
      <w:pPr>
        <w:widowControl w:val="0"/>
        <w:snapToGrid w:val="0"/>
        <w:spacing w:line="360" w:lineRule="auto"/>
        <w:ind w:firstLine="0" w:firstLineChars="0"/>
        <w:jc w:val="left"/>
        <w:rPr>
          <w:rStyle w:val="358"/>
          <w:rFonts w:hint="eastAsia" w:asciiTheme="minorEastAsia" w:hAnsiTheme="minorEastAsia" w:eastAsiaTheme="minorEastAsia" w:cstheme="minorEastAsia"/>
          <w:highlight w:val="none"/>
          <w:lang w:val="en-US" w:eastAsia="zh-CN"/>
        </w:rPr>
      </w:pPr>
      <w:r>
        <w:rPr>
          <w:rStyle w:val="358"/>
          <w:rFonts w:hint="eastAsia" w:asciiTheme="minorEastAsia" w:hAnsiTheme="minorEastAsia" w:eastAsiaTheme="minorEastAsia" w:cstheme="minorEastAsia"/>
          <w:highlight w:val="none"/>
          <w:lang w:val="en-US" w:eastAsia="zh-CN"/>
        </w:rPr>
        <w:t>3.3.2 本要求未明确的，按《建筑施工脚手架安全技术统一标准》《工业设备及管道绝热工程施工规范》《建筑涂饰工程施工及验收规程》等国家及行业现行相关标准、规范执行。</w:t>
      </w:r>
    </w:p>
    <w:p w14:paraId="39AB4766">
      <w:pPr>
        <w:snapToGrid w:val="0"/>
        <w:spacing w:line="360"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3.</w:t>
      </w:r>
      <w:r>
        <w:rPr>
          <w:rFonts w:hint="eastAsia" w:asciiTheme="minorEastAsia" w:hAnsiTheme="minorEastAsia" w:eastAsiaTheme="minorEastAsia" w:cstheme="minorEastAsia"/>
          <w:b w:val="0"/>
          <w:bCs/>
          <w:sz w:val="24"/>
          <w:szCs w:val="24"/>
          <w:highlight w:val="none"/>
          <w:lang w:val="en-US" w:eastAsia="zh-CN"/>
        </w:rPr>
        <w:t>4</w:t>
      </w:r>
      <w:r>
        <w:rPr>
          <w:rFonts w:hint="eastAsia" w:asciiTheme="minorEastAsia" w:hAnsiTheme="minorEastAsia" w:eastAsiaTheme="minorEastAsia" w:cstheme="minorEastAsia"/>
          <w:b w:val="0"/>
          <w:bCs/>
          <w:sz w:val="24"/>
          <w:szCs w:val="24"/>
          <w:highlight w:val="none"/>
        </w:rPr>
        <w:t xml:space="preserve"> 工程量确认及验收</w:t>
      </w:r>
    </w:p>
    <w:p w14:paraId="66836AC6">
      <w:pPr>
        <w:snapToGrid w:val="0"/>
        <w:spacing w:line="360" w:lineRule="auto"/>
        <w:rPr>
          <w:rFonts w:hint="eastAsia" w:asciiTheme="minorEastAsia" w:hAnsiTheme="minorEastAsia" w:eastAsiaTheme="minorEastAsia" w:cstheme="minorEastAsia"/>
          <w:szCs w:val="24"/>
          <w:highlight w:val="none"/>
          <w:lang w:val="en-US" w:eastAsia="zh-CN"/>
        </w:rPr>
      </w:pPr>
      <w:r>
        <w:rPr>
          <w:rFonts w:hint="eastAsia" w:asciiTheme="minorEastAsia" w:hAnsiTheme="minorEastAsia" w:eastAsiaTheme="minorEastAsia" w:cstheme="minorEastAsia"/>
          <w:szCs w:val="24"/>
          <w:highlight w:val="none"/>
        </w:rPr>
        <w:t>3.</w:t>
      </w:r>
      <w:r>
        <w:rPr>
          <w:rFonts w:hint="eastAsia" w:asciiTheme="minorEastAsia" w:hAnsiTheme="minorEastAsia" w:eastAsiaTheme="minorEastAsia" w:cstheme="minorEastAsia"/>
          <w:szCs w:val="24"/>
          <w:highlight w:val="none"/>
          <w:lang w:val="en-US" w:eastAsia="zh-CN"/>
        </w:rPr>
        <w:t>4</w:t>
      </w:r>
      <w:r>
        <w:rPr>
          <w:rFonts w:hint="eastAsia" w:asciiTheme="minorEastAsia" w:hAnsiTheme="minorEastAsia" w:eastAsiaTheme="minorEastAsia" w:cstheme="minorEastAsia"/>
          <w:szCs w:val="24"/>
          <w:highlight w:val="none"/>
        </w:rPr>
        <w:t>.1</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日常和大修脚手架搭拆工程量验收由</w:t>
      </w:r>
      <w:r>
        <w:rPr>
          <w:rFonts w:hint="eastAsia" w:asciiTheme="minorEastAsia" w:hAnsiTheme="minorEastAsia" w:eastAsiaTheme="minorEastAsia" w:cstheme="minorEastAsia"/>
          <w:szCs w:val="24"/>
          <w:highlight w:val="none"/>
          <w:lang w:val="en-US" w:eastAsia="zh-CN"/>
        </w:rPr>
        <w:t>工作委托方</w:t>
      </w:r>
      <w:r>
        <w:rPr>
          <w:rFonts w:hint="eastAsia" w:asciiTheme="minorEastAsia" w:hAnsiTheme="minorEastAsia" w:eastAsiaTheme="minorEastAsia" w:cstheme="minorEastAsia"/>
          <w:szCs w:val="24"/>
          <w:highlight w:val="none"/>
        </w:rPr>
        <w:t>、机修</w:t>
      </w:r>
      <w:r>
        <w:rPr>
          <w:rFonts w:hint="eastAsia" w:asciiTheme="minorEastAsia" w:hAnsiTheme="minorEastAsia" w:eastAsiaTheme="minorEastAsia" w:cstheme="minorEastAsia"/>
          <w:szCs w:val="24"/>
          <w:highlight w:val="none"/>
          <w:lang w:val="en-US" w:eastAsia="zh-CN"/>
        </w:rPr>
        <w:t>二</w:t>
      </w:r>
      <w:r>
        <w:rPr>
          <w:rFonts w:hint="eastAsia" w:asciiTheme="minorEastAsia" w:hAnsiTheme="minorEastAsia" w:eastAsiaTheme="minorEastAsia" w:cstheme="minorEastAsia"/>
          <w:szCs w:val="24"/>
          <w:highlight w:val="none"/>
        </w:rPr>
        <w:t>车间</w:t>
      </w:r>
      <w:r>
        <w:rPr>
          <w:rFonts w:hint="eastAsia" w:asciiTheme="minorEastAsia" w:hAnsiTheme="minorEastAsia" w:eastAsiaTheme="minorEastAsia" w:cstheme="minorEastAsia"/>
          <w:szCs w:val="24"/>
          <w:highlight w:val="none"/>
          <w:lang w:val="en-US" w:eastAsia="zh-CN"/>
        </w:rPr>
        <w:t>和</w:t>
      </w:r>
      <w:r>
        <w:rPr>
          <w:rFonts w:hint="eastAsia" w:asciiTheme="minorEastAsia" w:hAnsiTheme="minorEastAsia" w:eastAsiaTheme="minorEastAsia" w:cstheme="minorEastAsia"/>
          <w:szCs w:val="24"/>
          <w:highlight w:val="none"/>
        </w:rPr>
        <w:t>投标方</w:t>
      </w:r>
      <w:r>
        <w:rPr>
          <w:rFonts w:hint="eastAsia" w:asciiTheme="minorEastAsia" w:hAnsiTheme="minorEastAsia" w:eastAsiaTheme="minorEastAsia" w:cstheme="minorEastAsia"/>
          <w:szCs w:val="24"/>
          <w:highlight w:val="none"/>
          <w:lang w:val="en-US" w:eastAsia="zh-CN"/>
        </w:rPr>
        <w:t>三</w:t>
      </w:r>
      <w:r>
        <w:rPr>
          <w:rFonts w:hint="eastAsia" w:asciiTheme="minorEastAsia" w:hAnsiTheme="minorEastAsia" w:eastAsiaTheme="minorEastAsia" w:cstheme="minorEastAsia"/>
          <w:szCs w:val="24"/>
          <w:highlight w:val="none"/>
        </w:rPr>
        <w:t>方共同验收确认并签字存档</w:t>
      </w:r>
      <w:r>
        <w:rPr>
          <w:rFonts w:hint="eastAsia" w:asciiTheme="minorEastAsia" w:hAnsiTheme="minorEastAsia" w:eastAsiaTheme="minorEastAsia" w:cstheme="minorEastAsia"/>
          <w:szCs w:val="24"/>
          <w:highlight w:val="none"/>
          <w:lang w:val="en-US" w:eastAsia="zh-CN"/>
        </w:rPr>
        <w:t>。</w:t>
      </w:r>
    </w:p>
    <w:p w14:paraId="4A0A8D27">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3.</w:t>
      </w:r>
      <w:r>
        <w:rPr>
          <w:rFonts w:hint="eastAsia" w:asciiTheme="minorEastAsia" w:hAnsiTheme="minorEastAsia" w:eastAsiaTheme="minorEastAsia" w:cstheme="minorEastAsia"/>
          <w:szCs w:val="24"/>
          <w:highlight w:val="none"/>
          <w:lang w:val="en-US" w:eastAsia="zh-CN"/>
        </w:rPr>
        <w:t>4</w:t>
      </w:r>
      <w:r>
        <w:rPr>
          <w:rFonts w:hint="eastAsia" w:asciiTheme="minorEastAsia" w:hAnsiTheme="minorEastAsia" w:eastAsiaTheme="minorEastAsia" w:cstheme="minorEastAsia"/>
          <w:szCs w:val="24"/>
          <w:highlight w:val="none"/>
        </w:rPr>
        <w:t>.2</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保温棉（毡）、保护层的拆除和恢复、油漆防腐、防火涂料等的工程量验收由工作委托方、机修</w:t>
      </w:r>
      <w:r>
        <w:rPr>
          <w:rFonts w:hint="eastAsia" w:asciiTheme="minorEastAsia" w:hAnsiTheme="minorEastAsia" w:eastAsiaTheme="minorEastAsia" w:cstheme="minorEastAsia"/>
          <w:szCs w:val="24"/>
          <w:highlight w:val="none"/>
          <w:lang w:val="en-US" w:eastAsia="zh-CN"/>
        </w:rPr>
        <w:t>二</w:t>
      </w:r>
      <w:r>
        <w:rPr>
          <w:rFonts w:hint="eastAsia" w:asciiTheme="minorEastAsia" w:hAnsiTheme="minorEastAsia" w:eastAsiaTheme="minorEastAsia" w:cstheme="minorEastAsia"/>
          <w:szCs w:val="24"/>
          <w:highlight w:val="none"/>
        </w:rPr>
        <w:t>车间和投标方共同验收确认并签字存档。</w:t>
      </w:r>
    </w:p>
    <w:p w14:paraId="4B4C8DAB">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3.</w:t>
      </w:r>
      <w:r>
        <w:rPr>
          <w:rFonts w:hint="eastAsia" w:asciiTheme="minorEastAsia" w:hAnsiTheme="minorEastAsia" w:eastAsiaTheme="minorEastAsia" w:cstheme="minorEastAsia"/>
          <w:szCs w:val="24"/>
          <w:highlight w:val="none"/>
          <w:lang w:val="en-US" w:eastAsia="zh-CN"/>
        </w:rPr>
        <w:t>4</w:t>
      </w:r>
      <w:r>
        <w:rPr>
          <w:rFonts w:hint="eastAsia" w:asciiTheme="minorEastAsia" w:hAnsiTheme="minorEastAsia" w:eastAsiaTheme="minorEastAsia" w:cstheme="minorEastAsia"/>
          <w:szCs w:val="24"/>
          <w:highlight w:val="none"/>
        </w:rPr>
        <w:t>.3</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公共部分无所属车间及部门管辖的，由机修</w:t>
      </w:r>
      <w:r>
        <w:rPr>
          <w:rFonts w:hint="eastAsia" w:asciiTheme="minorEastAsia" w:hAnsiTheme="minorEastAsia" w:eastAsiaTheme="minorEastAsia" w:cstheme="minorEastAsia"/>
          <w:szCs w:val="24"/>
          <w:highlight w:val="none"/>
          <w:lang w:val="en-US" w:eastAsia="zh-CN"/>
        </w:rPr>
        <w:t>二</w:t>
      </w:r>
      <w:r>
        <w:rPr>
          <w:rFonts w:hint="eastAsia" w:asciiTheme="minorEastAsia" w:hAnsiTheme="minorEastAsia" w:eastAsiaTheme="minorEastAsia" w:cstheme="minorEastAsia"/>
          <w:szCs w:val="24"/>
          <w:highlight w:val="none"/>
        </w:rPr>
        <w:t>车间、使用单位、投标方负责验收确认签字，工程量结算按签字确认的存档资料进行结算。</w:t>
      </w:r>
    </w:p>
    <w:p w14:paraId="3086FE83">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3.</w:t>
      </w:r>
      <w:r>
        <w:rPr>
          <w:rFonts w:hint="eastAsia" w:asciiTheme="minorEastAsia" w:hAnsiTheme="minorEastAsia" w:eastAsiaTheme="minorEastAsia" w:cstheme="minorEastAsia"/>
          <w:szCs w:val="24"/>
          <w:highlight w:val="none"/>
          <w:lang w:val="en-US" w:eastAsia="zh-CN"/>
        </w:rPr>
        <w:t>4</w:t>
      </w:r>
      <w:r>
        <w:rPr>
          <w:rFonts w:hint="eastAsia" w:asciiTheme="minorEastAsia" w:hAnsiTheme="minorEastAsia" w:eastAsiaTheme="minorEastAsia" w:cstheme="minorEastAsia"/>
          <w:szCs w:val="24"/>
          <w:highlight w:val="none"/>
        </w:rPr>
        <w:t xml:space="preserve">.4 </w:t>
      </w:r>
      <w:r>
        <w:rPr>
          <w:rFonts w:hint="eastAsia" w:asciiTheme="minorEastAsia" w:hAnsiTheme="minorEastAsia" w:eastAsiaTheme="minorEastAsia" w:cstheme="minorEastAsia"/>
          <w:szCs w:val="24"/>
          <w:highlight w:val="none"/>
          <w:lang w:val="en-US" w:eastAsia="zh-CN"/>
        </w:rPr>
        <w:t>日常和大修</w:t>
      </w:r>
      <w:r>
        <w:rPr>
          <w:rFonts w:hint="eastAsia" w:asciiTheme="minorEastAsia" w:hAnsiTheme="minorEastAsia" w:eastAsiaTheme="minorEastAsia" w:cstheme="minorEastAsia"/>
          <w:szCs w:val="24"/>
          <w:highlight w:val="none"/>
        </w:rPr>
        <w:t>脚手架、油漆、保温等缺陷、委托任务单的提报工作由</w:t>
      </w:r>
      <w:r>
        <w:rPr>
          <w:rFonts w:hint="eastAsia" w:asciiTheme="minorEastAsia" w:hAnsiTheme="minorEastAsia" w:eastAsiaTheme="minorEastAsia" w:cstheme="minorEastAsia"/>
          <w:szCs w:val="24"/>
          <w:highlight w:val="none"/>
          <w:lang w:val="en-US" w:eastAsia="zh-CN"/>
        </w:rPr>
        <w:t>招标方</w:t>
      </w:r>
      <w:r>
        <w:rPr>
          <w:rFonts w:hint="eastAsia" w:asciiTheme="minorEastAsia" w:hAnsiTheme="minorEastAsia" w:eastAsiaTheme="minorEastAsia" w:cstheme="minorEastAsia"/>
          <w:szCs w:val="24"/>
          <w:highlight w:val="none"/>
        </w:rPr>
        <w:t>各所属车间进行提报，内容要详细，包含规格、数量、位置及其它要求，并对</w:t>
      </w:r>
      <w:r>
        <w:rPr>
          <w:rFonts w:hint="eastAsia" w:asciiTheme="minorEastAsia" w:hAnsiTheme="minorEastAsia" w:eastAsiaTheme="minorEastAsia" w:cstheme="minorEastAsia"/>
          <w:szCs w:val="24"/>
          <w:highlight w:val="none"/>
          <w:lang w:eastAsia="zh-CN"/>
        </w:rPr>
        <w:t>其他</w:t>
      </w:r>
      <w:r>
        <w:rPr>
          <w:rFonts w:hint="eastAsia" w:asciiTheme="minorEastAsia" w:hAnsiTheme="minorEastAsia" w:eastAsiaTheme="minorEastAsia" w:cstheme="minorEastAsia"/>
          <w:szCs w:val="24"/>
          <w:highlight w:val="none"/>
        </w:rPr>
        <w:t>维保单位提出的需求任务计划进行审核后再提报需求计划。</w:t>
      </w:r>
    </w:p>
    <w:p w14:paraId="6487C1F5">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3.</w:t>
      </w:r>
      <w:r>
        <w:rPr>
          <w:rFonts w:hint="eastAsia" w:asciiTheme="minorEastAsia" w:hAnsiTheme="minorEastAsia" w:eastAsiaTheme="minorEastAsia" w:cstheme="minorEastAsia"/>
          <w:szCs w:val="24"/>
          <w:highlight w:val="none"/>
          <w:lang w:val="en-US" w:eastAsia="zh-CN"/>
        </w:rPr>
        <w:t>4</w:t>
      </w:r>
      <w:r>
        <w:rPr>
          <w:rFonts w:hint="eastAsia" w:asciiTheme="minorEastAsia" w:hAnsiTheme="minorEastAsia" w:eastAsiaTheme="minorEastAsia" w:cstheme="minorEastAsia"/>
          <w:szCs w:val="24"/>
          <w:highlight w:val="none"/>
        </w:rPr>
        <w:t>.5</w:t>
      </w:r>
      <w:r>
        <w:rPr>
          <w:rFonts w:hint="eastAsia" w:asciiTheme="minorEastAsia" w:hAnsiTheme="minorEastAsia" w:eastAsiaTheme="minorEastAsia" w:cstheme="minorEastAsia"/>
          <w:szCs w:val="24"/>
          <w:highlight w:val="none"/>
          <w:lang w:val="en-US" w:eastAsia="zh-CN"/>
        </w:rPr>
        <w:t xml:space="preserve"> 日常</w:t>
      </w:r>
      <w:r>
        <w:rPr>
          <w:rFonts w:hint="eastAsia" w:asciiTheme="minorEastAsia" w:hAnsiTheme="minorEastAsia" w:eastAsiaTheme="minorEastAsia" w:cstheme="minorEastAsia"/>
          <w:szCs w:val="24"/>
          <w:highlight w:val="none"/>
        </w:rPr>
        <w:t>脚手架、</w:t>
      </w:r>
      <w:r>
        <w:rPr>
          <w:rFonts w:hint="eastAsia" w:asciiTheme="minorEastAsia" w:hAnsiTheme="minorEastAsia" w:eastAsiaTheme="minorEastAsia" w:cstheme="minorEastAsia"/>
          <w:szCs w:val="24"/>
          <w:highlight w:val="none"/>
          <w:lang w:val="en-US" w:eastAsia="zh-CN"/>
        </w:rPr>
        <w:t>保温、防腐工作投标方</w:t>
      </w:r>
      <w:r>
        <w:rPr>
          <w:rFonts w:hint="eastAsia" w:asciiTheme="minorEastAsia" w:hAnsiTheme="minorEastAsia" w:eastAsiaTheme="minorEastAsia" w:cstheme="minorEastAsia"/>
          <w:szCs w:val="24"/>
          <w:highlight w:val="none"/>
        </w:rPr>
        <w:t>每月以车间</w:t>
      </w:r>
      <w:r>
        <w:rPr>
          <w:rFonts w:hint="eastAsia" w:asciiTheme="minorEastAsia" w:hAnsiTheme="minorEastAsia" w:eastAsiaTheme="minorEastAsia" w:cstheme="minorEastAsia"/>
          <w:szCs w:val="24"/>
          <w:highlight w:val="none"/>
          <w:lang w:val="en-US" w:eastAsia="zh-CN"/>
        </w:rPr>
        <w:t>为</w:t>
      </w:r>
      <w:r>
        <w:rPr>
          <w:rFonts w:hint="eastAsia" w:asciiTheme="minorEastAsia" w:hAnsiTheme="minorEastAsia" w:eastAsiaTheme="minorEastAsia" w:cstheme="minorEastAsia"/>
          <w:szCs w:val="24"/>
          <w:highlight w:val="none"/>
        </w:rPr>
        <w:t>单位进行一次分项工程量验收，验收所辖区域范围内现有脚手架、油漆、保温项目施工质量，并形成当月验收单，存档。</w:t>
      </w:r>
    </w:p>
    <w:p w14:paraId="09626726">
      <w:pPr>
        <w:snapToGrid w:val="0"/>
        <w:spacing w:line="360" w:lineRule="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 w:val="0"/>
          <w:bCs/>
          <w:sz w:val="24"/>
          <w:szCs w:val="24"/>
          <w:highlight w:val="none"/>
        </w:rPr>
        <w:t>3.5</w:t>
      </w:r>
      <w:r>
        <w:rPr>
          <w:rFonts w:hint="eastAsia" w:asciiTheme="minorEastAsia" w:hAnsiTheme="minorEastAsia" w:eastAsiaTheme="minorEastAsia" w:cstheme="minorEastAsia"/>
          <w:bCs/>
          <w:sz w:val="24"/>
          <w:szCs w:val="24"/>
          <w:highlight w:val="none"/>
        </w:rPr>
        <w:t xml:space="preserve"> </w:t>
      </w:r>
      <w:r>
        <w:rPr>
          <w:rFonts w:hint="eastAsia" w:asciiTheme="minorEastAsia" w:hAnsiTheme="minorEastAsia" w:eastAsiaTheme="minorEastAsia" w:cstheme="minorEastAsia"/>
          <w:b w:val="0"/>
          <w:bCs/>
          <w:sz w:val="24"/>
          <w:szCs w:val="24"/>
          <w:highlight w:val="none"/>
        </w:rPr>
        <w:t>施工人员</w:t>
      </w:r>
      <w:r>
        <w:rPr>
          <w:rFonts w:hint="default" w:asciiTheme="minorEastAsia" w:hAnsiTheme="minorEastAsia" w:eastAsiaTheme="minorEastAsia" w:cstheme="minorEastAsia"/>
          <w:b w:val="0"/>
          <w:bCs/>
          <w:sz w:val="24"/>
          <w:szCs w:val="24"/>
          <w:highlight w:val="none"/>
        </w:rPr>
        <w:t>配置</w:t>
      </w:r>
      <w:r>
        <w:rPr>
          <w:rFonts w:hint="eastAsia" w:asciiTheme="minorEastAsia" w:hAnsiTheme="minorEastAsia" w:eastAsiaTheme="minorEastAsia" w:cstheme="minorEastAsia"/>
          <w:b w:val="0"/>
          <w:bCs/>
          <w:sz w:val="24"/>
          <w:szCs w:val="24"/>
          <w:highlight w:val="none"/>
          <w:lang w:val="en-US" w:eastAsia="zh-CN"/>
        </w:rPr>
        <w:t>要求</w:t>
      </w:r>
    </w:p>
    <w:p w14:paraId="39A35632">
      <w:pPr>
        <w:snapToGrid w:val="0"/>
        <w:spacing w:line="360" w:lineRule="auto"/>
        <w:ind w:firstLine="480" w:firstLineChars="200"/>
        <w:rPr>
          <w:rFonts w:hint="eastAsia" w:asciiTheme="minorEastAsia" w:hAnsiTheme="minorEastAsia" w:eastAsiaTheme="minorEastAsia" w:cs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日常及大修架子、保温、防腐的检修架子工、保温工、油漆工等作业人员人数必须满足招标方日常维护和大修要求，具体要求如下：</w:t>
      </w:r>
    </w:p>
    <w:p w14:paraId="4FD5A96F">
      <w:pPr>
        <w:snapToGrid w:val="0"/>
        <w:spacing w:line="360" w:lineRule="auto"/>
        <w:rPr>
          <w:rFonts w:hint="eastAsia" w:asciiTheme="minorEastAsia" w:hAnsiTheme="minorEastAsia" w:eastAsiaTheme="minorEastAsia" w:cs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 xml:space="preserve">3.5.1 </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本项目投标方人员按岗位基本配置日常配置不少于</w:t>
      </w:r>
      <w:r>
        <w:rPr>
          <w:rFonts w:hint="eastAsia" w:asciiTheme="minorEastAsia" w:hAnsiTheme="minorEastAsia" w:eastAsiaTheme="minorEastAsia" w:cstheme="minorEastAsia"/>
          <w:color w:val="000000" w:themeColor="text1"/>
          <w:szCs w:val="24"/>
          <w:highlight w:val="yellow"/>
          <w14:textFill>
            <w14:solidFill>
              <w14:schemeClr w14:val="tx1"/>
            </w14:solidFill>
          </w14:textFill>
        </w:rPr>
        <w:t>11</w:t>
      </w:r>
      <w:r>
        <w:rPr>
          <w:rFonts w:hint="eastAsia" w:asciiTheme="minorEastAsia" w:hAnsiTheme="minorEastAsia" w:eastAsiaTheme="minorEastAsia" w:cstheme="minorEastAsia"/>
          <w:color w:val="000000" w:themeColor="text1"/>
          <w:szCs w:val="24"/>
          <w:highlight w:val="yellow"/>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Cs w:val="24"/>
          <w:highlight w:val="yellow"/>
          <w14:textFill>
            <w14:solidFill>
              <w14:schemeClr w14:val="tx1"/>
            </w14:solidFill>
          </w14:textFill>
        </w:rPr>
        <w:t>人</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Cs w:val="24"/>
          <w:highlight w:val="yellow"/>
          <w14:textFill>
            <w14:solidFill>
              <w14:schemeClr w14:val="tx1"/>
            </w14:solidFill>
          </w14:textFill>
        </w:rPr>
        <w:t>其中管理人员不少于</w:t>
      </w:r>
      <w:r>
        <w:rPr>
          <w:rFonts w:hint="eastAsia" w:asciiTheme="minorEastAsia" w:hAnsiTheme="minorEastAsia" w:eastAsiaTheme="minorEastAsia" w:cstheme="minorEastAsia"/>
          <w:color w:val="000000" w:themeColor="text1"/>
          <w:szCs w:val="24"/>
          <w:highlight w:val="yellow"/>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人。保温工持</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高处作业</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证人员不少于30人；架子工种持国家应急管理部门下发的</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登高架设作业证</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人员不少于30人。保温、架子持证人员总计不低于60人。</w:t>
      </w:r>
    </w:p>
    <w:p w14:paraId="1468117F">
      <w:pPr>
        <w:snapToGrid w:val="0"/>
        <w:spacing w:line="360" w:lineRule="auto"/>
        <w:rPr>
          <w:rFonts w:hint="eastAsia" w:asciiTheme="minorEastAsia" w:hAnsiTheme="minorEastAsia" w:eastAsiaTheme="minorEastAsia" w:cs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3.5.</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 xml:space="preserve">2 </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大修期间本项目配备总人数不少于</w:t>
      </w:r>
      <w:r>
        <w:rPr>
          <w:rFonts w:hint="eastAsia" w:asciiTheme="minorEastAsia" w:hAnsiTheme="minorEastAsia" w:eastAsiaTheme="minorEastAsia" w:cstheme="minorEastAsia"/>
          <w:color w:val="000000" w:themeColor="text1"/>
          <w:szCs w:val="24"/>
          <w:highlight w:val="yellow"/>
          <w:lang w:val="en-US" w:eastAsia="zh-CN"/>
          <w14:textFill>
            <w14:solidFill>
              <w14:schemeClr w14:val="tx1"/>
            </w14:solidFill>
          </w14:textFill>
        </w:rPr>
        <w:t>260</w:t>
      </w:r>
      <w:r>
        <w:rPr>
          <w:rFonts w:hint="eastAsia" w:asciiTheme="minorEastAsia" w:hAnsiTheme="minorEastAsia" w:eastAsiaTheme="minorEastAsia" w:cstheme="minorEastAsia"/>
          <w:color w:val="000000" w:themeColor="text1"/>
          <w:szCs w:val="24"/>
          <w:highlight w:val="yellow"/>
          <w14:textFill>
            <w14:solidFill>
              <w14:schemeClr w14:val="tx1"/>
            </w14:solidFill>
          </w14:textFill>
        </w:rPr>
        <w:t>人，其中管理人员不少于</w:t>
      </w:r>
      <w:r>
        <w:rPr>
          <w:rFonts w:hint="eastAsia" w:asciiTheme="minorEastAsia" w:hAnsiTheme="minorEastAsia" w:eastAsiaTheme="minorEastAsia" w:cstheme="minorEastAsia"/>
          <w:color w:val="000000" w:themeColor="text1"/>
          <w:szCs w:val="24"/>
          <w:highlight w:val="yellow"/>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Cs w:val="24"/>
          <w:highlight w:val="yellow"/>
          <w14:textFill>
            <w14:solidFill>
              <w14:schemeClr w14:val="tx1"/>
            </w14:solidFill>
          </w14:textFill>
        </w:rPr>
        <w:t>人</w:t>
      </w:r>
      <w:r>
        <w:rPr>
          <w:rFonts w:hint="eastAsia" w:asciiTheme="minorEastAsia" w:hAnsiTheme="minorEastAsia" w:eastAsiaTheme="minorEastAsia" w:cstheme="minorEastAsia"/>
          <w:color w:val="000000" w:themeColor="text1"/>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保温工持</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高处作业</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证人员不少于80人；架子工种持国家应急管理部门下发的</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登高架设作业证</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人员不少于100人</w:t>
      </w:r>
      <w:r>
        <w:rPr>
          <w:rFonts w:hint="eastAsia" w:asciiTheme="minorEastAsia" w:hAnsiTheme="minorEastAsia" w:eastAsiaTheme="minorEastAsia" w:cstheme="minorEastAsia"/>
          <w:color w:val="000000" w:themeColor="text1"/>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保温、架子持证人员总计不低于180人。</w:t>
      </w:r>
    </w:p>
    <w:p w14:paraId="1311E38C">
      <w:pPr>
        <w:snapToGrid w:val="0"/>
        <w:spacing w:line="360" w:lineRule="auto"/>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 xml:space="preserve">3.5.3 </w:t>
      </w:r>
      <w:r>
        <w:rPr>
          <w:rFonts w:asciiTheme="minorEastAsia" w:hAnsiTheme="minorEastAsia" w:eastAsiaTheme="minorEastAsia" w:cstheme="minorEastAsia"/>
          <w:bCs/>
          <w:color w:val="000000" w:themeColor="text1"/>
          <w:szCs w:val="24"/>
          <w:highlight w:val="none"/>
          <w14:textFill>
            <w14:solidFill>
              <w14:schemeClr w14:val="tx1"/>
            </w14:solidFill>
          </w14:textFill>
        </w:rPr>
        <w:t>其他</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辅助</w:t>
      </w:r>
      <w:r>
        <w:rPr>
          <w:rFonts w:asciiTheme="minorEastAsia" w:hAnsiTheme="minorEastAsia" w:eastAsiaTheme="minorEastAsia" w:cstheme="minorEastAsia"/>
          <w:bCs/>
          <w:color w:val="000000" w:themeColor="text1"/>
          <w:szCs w:val="24"/>
          <w:highlight w:val="none"/>
          <w14:textFill>
            <w14:solidFill>
              <w14:schemeClr w14:val="tx1"/>
            </w14:solidFill>
          </w14:textFill>
        </w:rPr>
        <w:t>人员配备必须满足</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招标方日常维护和大修要求。</w:t>
      </w:r>
    </w:p>
    <w:p w14:paraId="7F28F25D">
      <w:pPr>
        <w:snapToGrid w:val="0"/>
        <w:spacing w:line="360" w:lineRule="auto"/>
        <w:rPr>
          <w:rFonts w:hint="eastAsia" w:asciiTheme="minorEastAsia" w:hAnsiTheme="minorEastAsia" w:eastAsiaTheme="minorEastAsia" w:cstheme="minorEastAsia"/>
          <w:color w:val="000000" w:themeColor="text1"/>
          <w:szCs w:val="24"/>
          <w:highlight w:val="yellow"/>
          <w:lang w:val="en-US" w:eastAsia="zh-CN"/>
          <w14:textFill>
            <w14:solidFill>
              <w14:schemeClr w14:val="tx1"/>
            </w14:solidFill>
          </w14:textFill>
        </w:rPr>
      </w:pPr>
      <w:r>
        <w:rPr>
          <w:rFonts w:asciiTheme="minorEastAsia" w:hAnsiTheme="minorEastAsia" w:eastAsiaTheme="minorEastAsia" w:cstheme="minorEastAsia"/>
          <w:bCs/>
          <w:color w:val="000000" w:themeColor="text1"/>
          <w:szCs w:val="24"/>
          <w:highlight w:val="yellow"/>
          <w14:textFill>
            <w14:solidFill>
              <w14:schemeClr w14:val="tx1"/>
            </w14:solidFill>
          </w14:textFill>
        </w:rPr>
        <w:t>3.5.</w:t>
      </w:r>
      <w:r>
        <w:rPr>
          <w:rFonts w:hint="eastAsia" w:asciiTheme="minorEastAsia" w:hAnsiTheme="minorEastAsia" w:eastAsiaTheme="minorEastAsia" w:cstheme="minorEastAsia"/>
          <w:bCs/>
          <w:color w:val="000000" w:themeColor="text1"/>
          <w:szCs w:val="24"/>
          <w:highlight w:val="yellow"/>
          <w:lang w:val="en-US" w:eastAsia="zh-CN"/>
          <w14:textFill>
            <w14:solidFill>
              <w14:schemeClr w14:val="tx1"/>
            </w14:solidFill>
          </w14:textFill>
        </w:rPr>
        <w:t>4 特殊项目单独成立项目部，配置项目管理人员，施工人员不得私自调用日常及大修架子、保温、防腐人员，如需调用必须经过主管部门同意。</w:t>
      </w:r>
      <w:r>
        <w:rPr>
          <w:rFonts w:hint="eastAsia" w:asciiTheme="minorEastAsia" w:hAnsiTheme="minorEastAsia" w:eastAsiaTheme="minorEastAsia" w:cstheme="minorEastAsia"/>
          <w:color w:val="000000" w:themeColor="text1"/>
          <w:szCs w:val="24"/>
          <w:highlight w:val="yellow"/>
          <w:lang w:val="en-US" w:eastAsia="zh-CN"/>
          <w14:textFill>
            <w14:solidFill>
              <w14:schemeClr w14:val="tx1"/>
            </w14:solidFill>
          </w14:textFill>
        </w:rPr>
        <w:t>化工装置区设备设施防腐特殊项目投标方基本配置不低于 67人，其中管理人员不少于 3 人，架子工种持国家应急管理部门下发的登高架设作业证人员不少于 15人，油漆工持高处作业证人员不少于 42人。化工装置区保温整治特殊项目投标方人员按岗位基本配置不少于 100人，其中管理人员不少于 3 人。保温工持高处作业证人员不少于 60 人，架子工种持国家应急管理部门下发的登高架设作业证人员不少于  30 人，保温、架子持证人员总计不低于90 人。</w:t>
      </w:r>
    </w:p>
    <w:p w14:paraId="67F4C528">
      <w:pPr>
        <w:pStyle w:val="2"/>
        <w:rPr>
          <w:rFonts w:hint="default" w:ascii="Times New Roman" w:hAnsi="Times New Roman" w:eastAsia="宋体" w:cs="Times New Roman"/>
          <w:color w:val="auto"/>
          <w:szCs w:val="20"/>
          <w:highlight w:val="none"/>
          <w:lang w:val="en-US" w:eastAsia="zh-CN"/>
        </w:rPr>
      </w:pPr>
    </w:p>
    <w:p w14:paraId="313F8E53">
      <w:pPr>
        <w:snapToGrid w:val="0"/>
        <w:spacing w:line="360" w:lineRule="auto"/>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3.5.5 以上</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人员具体要求详见附件1</w:t>
      </w:r>
      <w:r>
        <w:rPr>
          <w:rFonts w:hint="eastAsia" w:asciiTheme="minorEastAsia" w:hAnsiTheme="minorEastAsia" w:eastAsiaTheme="minorEastAsia" w:cstheme="minorEastAsia"/>
          <w:color w:val="000000" w:themeColor="text1"/>
          <w:szCs w:val="24"/>
          <w:highlight w:val="none"/>
          <w:lang w:eastAsia="zh-CN"/>
          <w14:textFill>
            <w14:solidFill>
              <w14:schemeClr w14:val="tx1"/>
            </w14:solidFill>
          </w14:textFill>
        </w:rPr>
        <w:t>《人员配置表》。</w:t>
      </w:r>
    </w:p>
    <w:p w14:paraId="04825322">
      <w:pPr>
        <w:snapToGrid w:val="0"/>
        <w:spacing w:line="360" w:lineRule="auto"/>
        <w:rPr>
          <w:rFonts w:hint="eastAsia" w:asciiTheme="minorEastAsia" w:hAnsiTheme="minorEastAsia" w:eastAsiaTheme="minorEastAsia" w:cstheme="minorEastAsia"/>
          <w:bCs/>
          <w:color w:val="auto"/>
          <w:szCs w:val="24"/>
          <w:highlight w:val="none"/>
        </w:rPr>
      </w:pPr>
      <w:r>
        <w:rPr>
          <w:rFonts w:hint="eastAsia" w:asciiTheme="minorEastAsia" w:hAnsiTheme="minorEastAsia" w:eastAsiaTheme="minorEastAsia" w:cstheme="minorEastAsia"/>
          <w:bCs/>
          <w:color w:val="auto"/>
          <w:szCs w:val="24"/>
          <w:highlight w:val="none"/>
        </w:rPr>
        <w:t>3.5.</w:t>
      </w:r>
      <w:r>
        <w:rPr>
          <w:rFonts w:hint="eastAsia" w:asciiTheme="minorEastAsia" w:hAnsiTheme="minorEastAsia" w:eastAsiaTheme="minorEastAsia" w:cstheme="minorEastAsia"/>
          <w:bCs/>
          <w:color w:val="auto"/>
          <w:szCs w:val="24"/>
          <w:highlight w:val="none"/>
          <w:lang w:eastAsia="zh-CN"/>
        </w:rPr>
        <w:t>6</w:t>
      </w:r>
      <w:r>
        <w:rPr>
          <w:rFonts w:hint="eastAsia" w:asciiTheme="minorEastAsia" w:hAnsiTheme="minorEastAsia" w:eastAsiaTheme="minorEastAsia" w:cstheme="minorEastAsia"/>
          <w:bCs/>
          <w:color w:val="auto"/>
          <w:szCs w:val="24"/>
          <w:highlight w:val="none"/>
        </w:rPr>
        <w:t xml:space="preserve"> 非大修期间项目经理、项目副经理每日至少1名在厂，项目经理、项目副经理月平均出勤率（以日历天计，下同）不低于</w:t>
      </w:r>
      <w:r>
        <w:rPr>
          <w:rFonts w:hint="eastAsia" w:asciiTheme="minorEastAsia" w:hAnsiTheme="minorEastAsia" w:eastAsiaTheme="minorEastAsia" w:cstheme="minorEastAsia"/>
          <w:bCs/>
          <w:color w:val="auto"/>
          <w:szCs w:val="24"/>
          <w:highlight w:val="none"/>
          <w:lang w:val="en-US" w:eastAsia="zh-CN"/>
        </w:rPr>
        <w:t>90</w:t>
      </w:r>
      <w:r>
        <w:rPr>
          <w:rFonts w:hint="eastAsia" w:asciiTheme="minorEastAsia" w:hAnsiTheme="minorEastAsia" w:eastAsiaTheme="minorEastAsia" w:cstheme="minorEastAsia"/>
          <w:bCs/>
          <w:color w:val="auto"/>
          <w:szCs w:val="24"/>
          <w:highlight w:val="none"/>
        </w:rPr>
        <w:t>%</w:t>
      </w:r>
      <w:r>
        <w:rPr>
          <w:rFonts w:hint="eastAsia" w:asciiTheme="minorEastAsia" w:hAnsiTheme="minorEastAsia" w:eastAsiaTheme="minorEastAsia" w:cstheme="minorEastAsia"/>
          <w:bCs/>
          <w:color w:val="auto"/>
          <w:szCs w:val="24"/>
          <w:highlight w:val="none"/>
          <w:lang w:eastAsia="zh-CN"/>
        </w:rPr>
        <w:t>，</w:t>
      </w:r>
      <w:r>
        <w:rPr>
          <w:rFonts w:hint="eastAsia" w:asciiTheme="minorEastAsia" w:hAnsiTheme="minorEastAsia" w:eastAsiaTheme="minorEastAsia" w:cstheme="minorEastAsia"/>
          <w:bCs/>
          <w:color w:val="auto"/>
          <w:szCs w:val="24"/>
          <w:highlight w:val="none"/>
          <w:lang w:val="en-US" w:eastAsia="zh-CN"/>
        </w:rPr>
        <w:t>其他</w:t>
      </w:r>
      <w:r>
        <w:rPr>
          <w:rFonts w:hint="eastAsia" w:asciiTheme="minorEastAsia" w:hAnsiTheme="minorEastAsia" w:eastAsiaTheme="minorEastAsia" w:cstheme="minorEastAsia"/>
          <w:bCs/>
          <w:color w:val="auto"/>
          <w:szCs w:val="24"/>
          <w:highlight w:val="none"/>
        </w:rPr>
        <w:t>人员出勤率不低于</w:t>
      </w:r>
      <w:r>
        <w:rPr>
          <w:rFonts w:hint="eastAsia" w:asciiTheme="minorEastAsia" w:hAnsiTheme="minorEastAsia" w:eastAsiaTheme="minorEastAsia" w:cstheme="minorEastAsia"/>
          <w:bCs/>
          <w:color w:val="auto"/>
          <w:szCs w:val="24"/>
          <w:highlight w:val="none"/>
          <w:lang w:val="en-US" w:eastAsia="zh-CN"/>
        </w:rPr>
        <w:t>90</w:t>
      </w:r>
      <w:r>
        <w:rPr>
          <w:rFonts w:hint="eastAsia" w:asciiTheme="minorEastAsia" w:hAnsiTheme="minorEastAsia" w:eastAsiaTheme="minorEastAsia" w:cstheme="minorEastAsia"/>
          <w:bCs/>
          <w:color w:val="auto"/>
          <w:szCs w:val="24"/>
          <w:highlight w:val="none"/>
        </w:rPr>
        <w:t>%</w:t>
      </w:r>
      <w:r>
        <w:rPr>
          <w:rFonts w:hint="eastAsia" w:asciiTheme="minorEastAsia" w:hAnsiTheme="minorEastAsia" w:eastAsiaTheme="minorEastAsia" w:cstheme="minorEastAsia"/>
          <w:bCs/>
          <w:color w:val="auto"/>
          <w:szCs w:val="24"/>
          <w:highlight w:val="none"/>
          <w:lang w:eastAsia="zh-CN"/>
        </w:rPr>
        <w:t>；</w:t>
      </w:r>
      <w:r>
        <w:rPr>
          <w:rFonts w:hint="eastAsia" w:asciiTheme="minorEastAsia" w:hAnsiTheme="minorEastAsia" w:eastAsiaTheme="minorEastAsia" w:cstheme="minorEastAsia"/>
          <w:bCs/>
          <w:color w:val="auto"/>
          <w:szCs w:val="24"/>
          <w:highlight w:val="none"/>
        </w:rPr>
        <w:t>非工作日人员出勤不低于75%；</w:t>
      </w:r>
      <w:r>
        <w:rPr>
          <w:rFonts w:hint="eastAsia" w:asciiTheme="minorEastAsia" w:hAnsiTheme="minorEastAsia" w:eastAsiaTheme="minorEastAsia" w:cstheme="minorEastAsia"/>
          <w:bCs/>
          <w:color w:val="auto"/>
          <w:szCs w:val="24"/>
          <w:highlight w:val="none"/>
          <w:lang w:val="en-US" w:eastAsia="zh-CN"/>
        </w:rPr>
        <w:t>法定节假日人员出勤不低于70%</w:t>
      </w:r>
      <w:r>
        <w:rPr>
          <w:rFonts w:hint="eastAsia" w:asciiTheme="minorEastAsia" w:hAnsiTheme="minorEastAsia" w:eastAsiaTheme="minorEastAsia" w:cstheme="minorEastAsia"/>
          <w:bCs/>
          <w:color w:val="auto"/>
          <w:szCs w:val="24"/>
          <w:highlight w:val="none"/>
          <w:lang w:eastAsia="zh-CN"/>
        </w:rPr>
        <w:t>；</w:t>
      </w:r>
      <w:r>
        <w:rPr>
          <w:rFonts w:hint="eastAsia" w:asciiTheme="minorEastAsia" w:hAnsiTheme="minorEastAsia" w:eastAsiaTheme="minorEastAsia" w:cstheme="minorEastAsia"/>
          <w:bCs/>
          <w:color w:val="auto"/>
          <w:szCs w:val="24"/>
          <w:highlight w:val="none"/>
        </w:rPr>
        <w:t>投标方可根据工作特点、工作岗位性质调整上班时间和休息时间，报招标方主管部门审批并备案。</w:t>
      </w:r>
    </w:p>
    <w:p w14:paraId="7F0974CA">
      <w:pPr>
        <w:snapToGrid w:val="0"/>
        <w:spacing w:line="360" w:lineRule="auto"/>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3.5.</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 xml:space="preserve">7 </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大修期间项目管理人员需全部在厂，请假未经项目主管部门批复的按照每人每天2000元考核。持证人员出勤率不得低于90%，若低于90%按照每人每天1000元考核。</w:t>
      </w:r>
    </w:p>
    <w:p w14:paraId="3A0863F2">
      <w:pPr>
        <w:snapToGrid w:val="0"/>
        <w:spacing w:line="360" w:lineRule="auto"/>
        <w:rPr>
          <w:rFonts w:hint="eastAsia" w:asciiTheme="minorEastAsia" w:hAnsiTheme="minorEastAsia" w:eastAsiaTheme="minorEastAsia" w:cs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 xml:space="preserve">3.5.8 </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投标方工作人员离岗未办理请假手续</w:t>
      </w:r>
      <w:r>
        <w:rPr>
          <w:rFonts w:hint="eastAsia" w:asciiTheme="minorEastAsia" w:hAnsiTheme="minorEastAsia" w:eastAsiaTheme="minorEastAsia" w:cstheme="minorEastAsia"/>
          <w:color w:val="000000" w:themeColor="text1"/>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管理人员、持证人员</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按照每人每天</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1000元</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考核</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，普通员工</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按照每人每天考核</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。同一人发现2次考核翻倍。</w:t>
      </w:r>
    </w:p>
    <w:p w14:paraId="359F370B">
      <w:pPr>
        <w:snapToGrid w:val="0"/>
        <w:spacing w:line="360" w:lineRule="auto"/>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3.5.</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9 投标方因人员技术力量薄弱、资源投入（如自备工器具或消耗性材料的准备不足等）或管理不善等原因未及时完成、延误工期，影响生产、按照2000-10000元/次</w:t>
      </w:r>
      <w:r>
        <w:rPr>
          <w:rFonts w:hint="eastAsia" w:asciiTheme="minorEastAsia" w:hAnsiTheme="minorEastAsia" w:eastAsiaTheme="minorEastAsia" w:cstheme="minorEastAsia"/>
          <w:color w:val="000000" w:themeColor="text1"/>
          <w:szCs w:val="24"/>
          <w:highlight w:val="none"/>
          <w14:textFill>
            <w14:solidFill>
              <w14:schemeClr w14:val="tx1"/>
            </w14:solidFill>
          </w14:textFill>
        </w:rPr>
        <w:t>扣减工程款项。</w:t>
      </w:r>
      <w:r>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t>造成事故事件的按事故事件责任考核。</w:t>
      </w:r>
    </w:p>
    <w:p w14:paraId="759FCC85">
      <w:pPr>
        <w:snapToGrid w:val="0"/>
        <w:spacing w:line="360" w:lineRule="auto"/>
        <w:rPr>
          <w:rFonts w:hint="eastAsia" w:asciiTheme="minorEastAsia" w:hAnsiTheme="minorEastAsia" w:eastAsiaTheme="minorEastAsia" w:cstheme="minorEastAsia"/>
          <w:color w:val="000000" w:themeColor="text1"/>
          <w:szCs w:val="24"/>
          <w:highlight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3</w:t>
      </w:r>
      <w:r>
        <w:rPr>
          <w:rFonts w:asciiTheme="minorEastAsia" w:hAnsiTheme="minorEastAsia" w:eastAsiaTheme="minorEastAsia" w:cstheme="minorEastAsia"/>
          <w:bCs/>
          <w:color w:val="000000" w:themeColor="text1"/>
          <w:szCs w:val="24"/>
          <w:highlight w:val="none"/>
          <w14:textFill>
            <w14:solidFill>
              <w14:schemeClr w14:val="tx1"/>
            </w14:solidFill>
          </w14:textFill>
        </w:rPr>
        <w:t>.5.</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10</w:t>
      </w:r>
      <w:r>
        <w:rPr>
          <w:rFonts w:asciiTheme="minorEastAsia" w:hAnsiTheme="minorEastAsia" w:eastAsiaTheme="minorEastAsia" w:cstheme="minorEastAsia"/>
          <w:bCs/>
          <w:color w:val="000000" w:themeColor="text1"/>
          <w:szCs w:val="24"/>
          <w:highlight w:val="none"/>
          <w14:textFill>
            <w14:solidFill>
              <w14:schemeClr w14:val="tx1"/>
            </w14:solidFill>
          </w14:textFill>
        </w:rPr>
        <w:t xml:space="preserve"> 本项目的大修期以招标方停机检修前两个月开始</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w:t>
      </w:r>
      <w:r>
        <w:rPr>
          <w:rFonts w:asciiTheme="minorEastAsia" w:hAnsiTheme="minorEastAsia" w:eastAsiaTheme="minorEastAsia" w:cstheme="minorEastAsia"/>
          <w:bCs/>
          <w:color w:val="000000" w:themeColor="text1"/>
          <w:szCs w:val="24"/>
          <w:highlight w:val="none"/>
          <w14:textFill>
            <w14:solidFill>
              <w14:schemeClr w14:val="tx1"/>
            </w14:solidFill>
          </w14:textFill>
        </w:rPr>
        <w:t>停机检修后两个月结束</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w:t>
      </w:r>
      <w:r>
        <w:rPr>
          <w:rFonts w:asciiTheme="minorEastAsia" w:hAnsiTheme="minorEastAsia" w:eastAsiaTheme="minorEastAsia" w:cstheme="minorEastAsia"/>
          <w:bCs/>
          <w:color w:val="000000" w:themeColor="text1"/>
          <w:szCs w:val="24"/>
          <w:highlight w:val="none"/>
          <w14:textFill>
            <w14:solidFill>
              <w14:schemeClr w14:val="tx1"/>
            </w14:solidFill>
          </w14:textFill>
        </w:rPr>
        <w:t>如投标方提前完成大修工作任务</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w:t>
      </w:r>
      <w:r>
        <w:rPr>
          <w:rFonts w:asciiTheme="minorEastAsia" w:hAnsiTheme="minorEastAsia" w:eastAsiaTheme="minorEastAsia" w:cstheme="minorEastAsia"/>
          <w:bCs/>
          <w:color w:val="000000" w:themeColor="text1"/>
          <w:szCs w:val="24"/>
          <w:highlight w:val="none"/>
          <w14:textFill>
            <w14:solidFill>
              <w14:schemeClr w14:val="tx1"/>
            </w14:solidFill>
          </w14:textFill>
        </w:rPr>
        <w:t>需提供正式的人员撤厂书面申请</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w:t>
      </w:r>
      <w:r>
        <w:rPr>
          <w:rFonts w:asciiTheme="minorEastAsia" w:hAnsiTheme="minorEastAsia" w:eastAsiaTheme="minorEastAsia" w:cstheme="minorEastAsia"/>
          <w:bCs/>
          <w:color w:val="000000" w:themeColor="text1"/>
          <w:szCs w:val="24"/>
          <w:highlight w:val="none"/>
          <w14:textFill>
            <w14:solidFill>
              <w14:schemeClr w14:val="tx1"/>
            </w14:solidFill>
          </w14:textFill>
        </w:rPr>
        <w:t>由项目主管部门根据现场工作完成情况进行审批</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w:t>
      </w:r>
      <w:r>
        <w:rPr>
          <w:rFonts w:asciiTheme="minorEastAsia" w:hAnsiTheme="minorEastAsia" w:eastAsiaTheme="minorEastAsia" w:cstheme="minorEastAsia"/>
          <w:bCs/>
          <w:color w:val="000000" w:themeColor="text1"/>
          <w:szCs w:val="24"/>
          <w:highlight w:val="none"/>
          <w14:textFill>
            <w14:solidFill>
              <w14:schemeClr w14:val="tx1"/>
            </w14:solidFill>
          </w14:textFill>
        </w:rPr>
        <w:t>审批通过后</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，投标方大修临时进厂</w:t>
      </w:r>
      <w:r>
        <w:rPr>
          <w:rFonts w:asciiTheme="minorEastAsia" w:hAnsiTheme="minorEastAsia" w:eastAsiaTheme="minorEastAsia" w:cstheme="minorEastAsia"/>
          <w:bCs/>
          <w:color w:val="000000" w:themeColor="text1"/>
          <w:szCs w:val="24"/>
          <w:highlight w:val="none"/>
          <w14:textFill>
            <w14:solidFill>
              <w14:schemeClr w14:val="tx1"/>
            </w14:solidFill>
          </w14:textFill>
        </w:rPr>
        <w:t>人员方可撤</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厂。</w:t>
      </w:r>
    </w:p>
    <w:p w14:paraId="378C8EE3">
      <w:pPr>
        <w:snapToGrid w:val="0"/>
        <w:spacing w:line="360"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eastAsia="zh-CN"/>
        </w:rPr>
        <w:t>3.6</w:t>
      </w:r>
      <w:r>
        <w:rPr>
          <w:rFonts w:hint="eastAsia" w:asciiTheme="minorEastAsia" w:hAnsiTheme="minorEastAsia" w:eastAsiaTheme="minorEastAsia" w:cstheme="minorEastAsia"/>
          <w:b w:val="0"/>
          <w:bCs/>
          <w:sz w:val="24"/>
          <w:szCs w:val="24"/>
          <w:highlight w:val="none"/>
        </w:rPr>
        <w:t xml:space="preserve"> 计算规则</w:t>
      </w:r>
    </w:p>
    <w:p w14:paraId="436F2A9C">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.1</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lang w:eastAsia="zh-CN"/>
        </w:rPr>
        <w:t>独立钢管脚手架</w:t>
      </w:r>
      <w:r>
        <w:rPr>
          <w:rFonts w:hint="eastAsia" w:asciiTheme="minorEastAsia" w:hAnsiTheme="minorEastAsia" w:eastAsiaTheme="minorEastAsia" w:cstheme="minorEastAsia"/>
          <w:szCs w:val="24"/>
          <w:highlight w:val="none"/>
        </w:rPr>
        <w:t>，按搭设的单面投影面积（长×高）进行计算，以搭设起点至最上层平台高度为准，平台上1米护栏及爬梯不再单独计算。</w:t>
      </w:r>
    </w:p>
    <w:p w14:paraId="68530A1A">
      <w:pPr>
        <w:snapToGrid w:val="0"/>
        <w:spacing w:line="360" w:lineRule="auto"/>
        <w:rPr>
          <w:rFonts w:hint="eastAsia" w:asciiTheme="minorEastAsia" w:hAnsiTheme="minorEastAsia" w:eastAsiaTheme="minorEastAsia" w:cstheme="minorEastAsia"/>
          <w:szCs w:val="24"/>
          <w:highlight w:val="yellow"/>
        </w:rPr>
      </w:pPr>
      <w:r>
        <w:rPr>
          <w:rFonts w:hint="eastAsia" w:asciiTheme="minorEastAsia" w:hAnsiTheme="minorEastAsia" w:eastAsiaTheme="minorEastAsia" w:cstheme="minorEastAsia"/>
          <w:szCs w:val="24"/>
          <w:highlight w:val="yellow"/>
          <w:lang w:eastAsia="zh-CN"/>
        </w:rPr>
        <w:t>3.6</w:t>
      </w:r>
      <w:r>
        <w:rPr>
          <w:rFonts w:hint="eastAsia" w:asciiTheme="minorEastAsia" w:hAnsiTheme="minorEastAsia" w:eastAsiaTheme="minorEastAsia" w:cstheme="minorEastAsia"/>
          <w:szCs w:val="24"/>
          <w:highlight w:val="yellow"/>
        </w:rPr>
        <w:t>.2</w:t>
      </w:r>
      <w:r>
        <w:rPr>
          <w:rFonts w:hint="eastAsia" w:asciiTheme="minorEastAsia" w:hAnsiTheme="minorEastAsia" w:eastAsiaTheme="minorEastAsia" w:cstheme="minorEastAsia"/>
          <w:szCs w:val="24"/>
          <w:highlight w:val="yellow"/>
          <w:lang w:val="en-US" w:eastAsia="zh-CN"/>
        </w:rPr>
        <w:t xml:space="preserve"> </w:t>
      </w:r>
      <w:r>
        <w:rPr>
          <w:rFonts w:hint="eastAsia" w:asciiTheme="minorEastAsia" w:hAnsiTheme="minorEastAsia" w:eastAsiaTheme="minorEastAsia" w:cstheme="minorEastAsia"/>
          <w:szCs w:val="24"/>
          <w:highlight w:val="yellow"/>
        </w:rPr>
        <w:t>独立脚手架长</w:t>
      </w:r>
      <w:r>
        <w:rPr>
          <w:rFonts w:hint="eastAsia" w:asciiTheme="minorEastAsia" w:hAnsiTheme="minorEastAsia" w:eastAsiaTheme="minorEastAsia" w:cstheme="minorEastAsia"/>
          <w:szCs w:val="24"/>
          <w:highlight w:val="yellow"/>
          <w:lang w:val="en-US" w:eastAsia="zh-CN"/>
        </w:rPr>
        <w:t>度</w:t>
      </w:r>
      <w:r>
        <w:rPr>
          <w:rFonts w:hint="eastAsia" w:asciiTheme="minorEastAsia" w:hAnsiTheme="minorEastAsia" w:eastAsiaTheme="minorEastAsia" w:cstheme="minorEastAsia"/>
          <w:szCs w:val="24"/>
          <w:highlight w:val="yellow"/>
        </w:rPr>
        <w:t>和宽度（长度或宽度为两个扣件之间的距离）均＞1</w:t>
      </w:r>
      <w:r>
        <w:rPr>
          <w:rFonts w:hint="eastAsia" w:asciiTheme="minorEastAsia" w:hAnsiTheme="minorEastAsia" w:eastAsiaTheme="minorEastAsia" w:cstheme="minorEastAsia"/>
          <w:szCs w:val="24"/>
          <w:highlight w:val="yellow"/>
          <w:lang w:eastAsia="zh-CN"/>
        </w:rPr>
        <w:t>.</w:t>
      </w:r>
      <w:r>
        <w:rPr>
          <w:rFonts w:hint="eastAsia" w:asciiTheme="minorEastAsia" w:hAnsiTheme="minorEastAsia" w:eastAsiaTheme="minorEastAsia" w:cstheme="minorEastAsia"/>
          <w:szCs w:val="24"/>
          <w:highlight w:val="yellow"/>
          <w:lang w:val="en-US" w:eastAsia="zh-CN"/>
        </w:rPr>
        <w:t>8</w:t>
      </w:r>
      <w:r>
        <w:rPr>
          <w:rFonts w:hint="eastAsia" w:asciiTheme="minorEastAsia" w:hAnsiTheme="minorEastAsia" w:eastAsiaTheme="minorEastAsia" w:cstheme="minorEastAsia"/>
          <w:szCs w:val="24"/>
          <w:highlight w:val="yellow"/>
        </w:rPr>
        <w:t>米或高度≥5米，按搭设的四个立面投影面积之和计算（以搭设起点至最上层平台高度为准，平台上1米护栏及爬梯不再单独计算）。（独立脚手架解释：不依附于任何建筑和设备的脚手架）</w:t>
      </w:r>
    </w:p>
    <w:p w14:paraId="7B864E23">
      <w:pPr>
        <w:snapToGrid w:val="0"/>
        <w:spacing w:line="360" w:lineRule="auto"/>
        <w:rPr>
          <w:rFonts w:hint="eastAsia" w:asciiTheme="minorEastAsia" w:hAnsiTheme="minorEastAsia" w:eastAsiaTheme="minorEastAsia" w:cstheme="minorEastAsia"/>
          <w:szCs w:val="24"/>
          <w:highlight w:val="yellow"/>
        </w:rPr>
      </w:pPr>
      <w:r>
        <w:rPr>
          <w:rFonts w:hint="eastAsia" w:asciiTheme="minorEastAsia" w:hAnsiTheme="minorEastAsia" w:eastAsiaTheme="minorEastAsia" w:cstheme="minorEastAsia"/>
          <w:szCs w:val="24"/>
          <w:highlight w:val="yellow"/>
          <w:lang w:eastAsia="zh-CN"/>
        </w:rPr>
        <w:t>3.6</w:t>
      </w:r>
      <w:r>
        <w:rPr>
          <w:rFonts w:hint="eastAsia" w:asciiTheme="minorEastAsia" w:hAnsiTheme="minorEastAsia" w:eastAsiaTheme="minorEastAsia" w:cstheme="minorEastAsia"/>
          <w:szCs w:val="24"/>
          <w:highlight w:val="yellow"/>
        </w:rPr>
        <w:t>.3 独立脚手架长</w:t>
      </w:r>
      <w:r>
        <w:rPr>
          <w:rFonts w:hint="eastAsia" w:asciiTheme="minorEastAsia" w:hAnsiTheme="minorEastAsia" w:eastAsiaTheme="minorEastAsia" w:cstheme="minorEastAsia"/>
          <w:szCs w:val="24"/>
          <w:highlight w:val="yellow"/>
          <w:lang w:val="en-US" w:eastAsia="zh-CN"/>
        </w:rPr>
        <w:t>度</w:t>
      </w:r>
      <w:r>
        <w:rPr>
          <w:rFonts w:hint="eastAsia" w:asciiTheme="minorEastAsia" w:hAnsiTheme="minorEastAsia" w:eastAsiaTheme="minorEastAsia" w:cstheme="minorEastAsia"/>
          <w:szCs w:val="24"/>
          <w:highlight w:val="yellow"/>
        </w:rPr>
        <w:t>或宽度≤1.</w:t>
      </w:r>
      <w:r>
        <w:rPr>
          <w:rFonts w:hint="eastAsia" w:asciiTheme="minorEastAsia" w:hAnsiTheme="minorEastAsia" w:eastAsiaTheme="minorEastAsia" w:cstheme="minorEastAsia"/>
          <w:szCs w:val="24"/>
          <w:highlight w:val="yellow"/>
          <w:lang w:val="en-US" w:eastAsia="zh-CN"/>
        </w:rPr>
        <w:t>8</w:t>
      </w:r>
      <w:r>
        <w:rPr>
          <w:rFonts w:hint="eastAsia" w:asciiTheme="minorEastAsia" w:hAnsiTheme="minorEastAsia" w:eastAsiaTheme="minorEastAsia" w:cstheme="minorEastAsia"/>
          <w:szCs w:val="24"/>
          <w:highlight w:val="yellow"/>
        </w:rPr>
        <w:t>米且高度＜5米，按搭设的单面投影面积计算，平台上1米护栏不再单独计算。</w:t>
      </w:r>
    </w:p>
    <w:p w14:paraId="150E7816">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.4 特殊脚手架如炉膛架、吸收塔、汽化炉等受限空间按定额满堂架计算规则提报。</w:t>
      </w:r>
    </w:p>
    <w:p w14:paraId="3EFFB002">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.5 悬挑式脚手架计算方式同</w:t>
      </w:r>
      <w:r>
        <w:rPr>
          <w:rFonts w:hint="eastAsia" w:asciiTheme="minorEastAsia" w:hAnsiTheme="minorEastAsia" w:eastAsiaTheme="minorEastAsia" w:cstheme="minorEastAsia"/>
          <w:szCs w:val="24"/>
          <w:highlight w:val="none"/>
          <w:lang w:eastAsia="zh-CN"/>
        </w:rPr>
        <w:t>独立钢管脚手架</w:t>
      </w:r>
      <w:r>
        <w:rPr>
          <w:rFonts w:hint="eastAsia" w:asciiTheme="minorEastAsia" w:hAnsiTheme="minorEastAsia" w:eastAsiaTheme="minorEastAsia" w:cstheme="minorEastAsia"/>
          <w:szCs w:val="24"/>
          <w:highlight w:val="none"/>
        </w:rPr>
        <w:t>（自起搭平台高度算）；采用脚手架单独搭设的坑边、洞口等临时安全防护栏均按长度计算（高度均按1.8米以下计算）。</w:t>
      </w:r>
    </w:p>
    <w:p w14:paraId="6820F30F">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 xml:space="preserve">.6 </w:t>
      </w:r>
      <w:r>
        <w:rPr>
          <w:rFonts w:hint="eastAsia" w:asciiTheme="minorEastAsia" w:hAnsiTheme="minorEastAsia" w:eastAsiaTheme="minorEastAsia" w:cstheme="minorEastAsia"/>
          <w:szCs w:val="24"/>
          <w:highlight w:val="none"/>
          <w:lang w:eastAsia="zh-CN"/>
        </w:rPr>
        <w:t>独立钢管脚手架</w:t>
      </w:r>
      <w:r>
        <w:rPr>
          <w:rFonts w:hint="eastAsia" w:asciiTheme="minorEastAsia" w:hAnsiTheme="minorEastAsia" w:eastAsiaTheme="minorEastAsia" w:cstheme="minorEastAsia"/>
          <w:szCs w:val="24"/>
          <w:highlight w:val="none"/>
        </w:rPr>
        <w:t>搭设在垂直运输距离超过24米的平台上时，需倒运材料到指定地点。</w:t>
      </w:r>
    </w:p>
    <w:p w14:paraId="702C70CC">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.7 如招标方因生产需要对已搭设的脚手架要求投标方进行调整或整改的，以增补联系单的调整内容按实签证。</w:t>
      </w:r>
    </w:p>
    <w:p w14:paraId="3FB70C5C">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 xml:space="preserve">.8 在厂区内运输材料不计费用，厂外施工按运距计算费用。                                                                                                                                                                                                                            </w:t>
      </w:r>
    </w:p>
    <w:p w14:paraId="7A6327C1">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.9 保温计算方法：管道（完成管道保温层的横断面-管道横断面）×保温长度；设备表面积×保温厚度</w:t>
      </w:r>
      <w:r>
        <w:rPr>
          <w:rFonts w:hint="eastAsia" w:asciiTheme="minorEastAsia" w:hAnsiTheme="minorEastAsia" w:eastAsiaTheme="minorEastAsia" w:cstheme="minorEastAsia"/>
          <w:szCs w:val="24"/>
          <w:highlight w:val="none"/>
          <w:lang w:eastAsia="zh-CN"/>
        </w:rPr>
        <w:t>，</w:t>
      </w:r>
      <w:r>
        <w:rPr>
          <w:rFonts w:hint="eastAsia" w:asciiTheme="minorEastAsia" w:hAnsiTheme="minorEastAsia" w:eastAsiaTheme="minorEastAsia" w:cstheme="minorEastAsia"/>
          <w:szCs w:val="24"/>
          <w:highlight w:val="none"/>
        </w:rPr>
        <w:t>管件（弯头、三通）计算归入管道中，阀门保温计算按v=π×（D+1.033δ）×2.5D×1.033δ×K×N/1000000000方式计算（π：圆周率，V：体积 m³，D：阀门公称直径mm，K=1.05，N：阀门个数，δ：保温厚度mm）</w:t>
      </w:r>
    </w:p>
    <w:p w14:paraId="4D0DE308">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.10 油漆计算：按设备、管道的外表面面积计算，涂层厚度设计有要求按设计要求执行，设计无要求按不少于150</w:t>
      </w:r>
      <w:r>
        <w:rPr>
          <w:rFonts w:hint="eastAsia" w:asciiTheme="minorEastAsia" w:hAnsiTheme="minorEastAsia" w:eastAsiaTheme="minorEastAsia" w:cstheme="minorEastAsia"/>
          <w:szCs w:val="24"/>
          <w:highlight w:val="none"/>
          <w:lang w:eastAsia="zh-CN"/>
        </w:rPr>
        <w:t>μm</w:t>
      </w:r>
      <w:r>
        <w:rPr>
          <w:rFonts w:hint="eastAsia" w:asciiTheme="minorEastAsia" w:hAnsiTheme="minorEastAsia" w:eastAsiaTheme="minorEastAsia" w:cstheme="minorEastAsia"/>
          <w:szCs w:val="24"/>
          <w:highlight w:val="none"/>
        </w:rPr>
        <w:t>厚度计算。</w:t>
      </w:r>
    </w:p>
    <w:p w14:paraId="6B7396C7">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.11 防火涂料：钢结构膨胀型防火涂料涂层厚度按5mm厚，非膨胀型防火涂料涂层按27mm厚，耐火极限在2h以内考虑，以表面积计算。</w:t>
      </w:r>
    </w:p>
    <w:p w14:paraId="6F7FBE9D">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.12 工程量结算按每一个月进行一次，两单一结（联系单、签证单）要求投标方提供验收合格记录及工程量签字确认单原件等相关资料。</w:t>
      </w:r>
    </w:p>
    <w:p w14:paraId="74B07003">
      <w:pPr>
        <w:widowControl w:val="0"/>
        <w:snapToGrid w:val="0"/>
        <w:spacing w:line="360" w:lineRule="auto"/>
        <w:ind w:firstLine="0" w:firstLineChars="0"/>
        <w:jc w:val="left"/>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3.6</w:t>
      </w:r>
      <w:r>
        <w:rPr>
          <w:rFonts w:hint="eastAsia" w:asciiTheme="minorEastAsia" w:hAnsiTheme="minorEastAsia" w:eastAsiaTheme="minorEastAsia" w:cstheme="minorEastAsia"/>
          <w:szCs w:val="24"/>
          <w:highlight w:val="none"/>
        </w:rPr>
        <w:t>.13 施工过程中产生的辅助工时（如办理工作票、动火、高空、受限等票证）均包含在此报价范围内，不再单独进行结算。</w:t>
      </w:r>
    </w:p>
    <w:p w14:paraId="1B6531C8">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3.7</w:t>
      </w:r>
      <w:r>
        <w:rPr>
          <w:rFonts w:hint="eastAsia" w:asciiTheme="minorEastAsia" w:hAnsiTheme="minorEastAsia" w:eastAsiaTheme="minorEastAsia" w:cstheme="minorEastAsia"/>
          <w:szCs w:val="24"/>
          <w:highlight w:val="none"/>
        </w:rPr>
        <w:t xml:space="preserve"> 缺陷责任与保修</w:t>
      </w:r>
    </w:p>
    <w:p w14:paraId="1D07EB25">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3.7</w:t>
      </w:r>
      <w:r>
        <w:rPr>
          <w:rFonts w:hint="eastAsia" w:asciiTheme="minorEastAsia" w:hAnsiTheme="minorEastAsia" w:eastAsiaTheme="minorEastAsia" w:cstheme="minorEastAsia"/>
          <w:szCs w:val="24"/>
          <w:highlight w:val="none"/>
        </w:rPr>
        <w:t>.1</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工程保修原则</w:t>
      </w:r>
    </w:p>
    <w:p w14:paraId="7B72FA6C">
      <w:pPr>
        <w:snapToGrid w:val="0"/>
        <w:spacing w:line="360" w:lineRule="auto"/>
        <w:ind w:firstLine="48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在缺陷消缺完成并移交招标方后，因投标方原因产生的质量缺陷，投标方应承担质量缺陷责任和保修义务，发生的工程量费用由投标方承担。</w:t>
      </w:r>
    </w:p>
    <w:p w14:paraId="48BE61C0">
      <w:pPr>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eastAsia="zh-CN"/>
        </w:rPr>
        <w:t>3.7</w:t>
      </w:r>
      <w:r>
        <w:rPr>
          <w:rFonts w:hint="eastAsia" w:asciiTheme="minorEastAsia" w:hAnsiTheme="minorEastAsia" w:eastAsiaTheme="minorEastAsia" w:cstheme="minorEastAsia"/>
          <w:szCs w:val="24"/>
          <w:highlight w:val="none"/>
        </w:rPr>
        <w:t>.2</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rPr>
        <w:t>缺陷责任期</w:t>
      </w:r>
    </w:p>
    <w:p w14:paraId="35432429">
      <w:pPr>
        <w:snapToGrid w:val="0"/>
        <w:spacing w:line="360" w:lineRule="auto"/>
        <w:ind w:firstLine="48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缺陷责任期为12个月。缺陷责任期自工程验收合格之日起算，工程竣工验收合格后，因投标方原因导致的缺陷或损坏致使工程不能按照原定目的使用的，则招标方有权要求投标方延长缺陷责任期，并无偿修复。如果投标方未能履行缺陷修复义务，招标方有权从质量保证金中扣除相应金额的维修费用。</w:t>
      </w:r>
    </w:p>
    <w:p w14:paraId="42F3E447">
      <w:pPr>
        <w:pStyle w:val="17"/>
        <w:spacing w:line="360" w:lineRule="auto"/>
        <w:ind w:left="0" w:firstLine="0" w:firstLineChars="0"/>
        <w:jc w:val="left"/>
        <w:outlineLvl w:val="0"/>
        <w:rPr>
          <w:rFonts w:hint="eastAsia" w:asciiTheme="minorEastAsia" w:hAnsiTheme="minorEastAsia" w:eastAsiaTheme="minorEastAsia" w:cstheme="minorEastAsia"/>
          <w:b/>
          <w:spacing w:val="0"/>
          <w:position w:val="0"/>
          <w:sz w:val="24"/>
          <w:szCs w:val="24"/>
          <w:highlight w:val="none"/>
        </w:rPr>
      </w:pPr>
      <w:bookmarkStart w:id="29" w:name="_Toc32347"/>
      <w:bookmarkStart w:id="30" w:name="_Toc165"/>
      <w:bookmarkStart w:id="31" w:name="_Toc18583"/>
      <w:r>
        <w:rPr>
          <w:rFonts w:hint="eastAsia" w:asciiTheme="minorEastAsia" w:hAnsiTheme="minorEastAsia" w:eastAsiaTheme="minorEastAsia" w:cstheme="minorEastAsia"/>
          <w:b/>
          <w:spacing w:val="0"/>
          <w:position w:val="0"/>
          <w:sz w:val="24"/>
          <w:szCs w:val="24"/>
          <w:highlight w:val="none"/>
        </w:rPr>
        <w:t>4 执行标准</w:t>
      </w:r>
      <w:r>
        <w:rPr>
          <w:rFonts w:hint="eastAsia" w:asciiTheme="minorEastAsia" w:hAnsiTheme="minorEastAsia" w:eastAsiaTheme="minorEastAsia" w:cstheme="minorEastAsia"/>
          <w:b/>
          <w:spacing w:val="0"/>
          <w:position w:val="0"/>
          <w:sz w:val="24"/>
          <w:szCs w:val="24"/>
          <w:highlight w:val="none"/>
          <w:lang w:val="en-US" w:eastAsia="zh-CN"/>
        </w:rPr>
        <w:t>规范</w:t>
      </w:r>
      <w:r>
        <w:rPr>
          <w:rFonts w:hint="eastAsia" w:asciiTheme="minorEastAsia" w:hAnsiTheme="minorEastAsia" w:eastAsiaTheme="minorEastAsia" w:cstheme="minorEastAsia"/>
          <w:b/>
          <w:spacing w:val="0"/>
          <w:position w:val="0"/>
          <w:sz w:val="24"/>
          <w:szCs w:val="24"/>
          <w:highlight w:val="none"/>
        </w:rPr>
        <w:t>及规程</w:t>
      </w:r>
      <w:bookmarkEnd w:id="29"/>
      <w:bookmarkEnd w:id="30"/>
      <w:bookmarkEnd w:id="31"/>
    </w:p>
    <w:p w14:paraId="52875A3C">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4.1 标准规范</w:t>
      </w:r>
    </w:p>
    <w:p w14:paraId="32DB20E6">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《建筑施工扣件式脚手架安全技术规范》JGJ130</w:t>
      </w:r>
    </w:p>
    <w:p w14:paraId="08E8B7E1">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《建筑施工门式脚手架安全技术规范》JGJ128</w:t>
      </w:r>
    </w:p>
    <w:p w14:paraId="22B5AB9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《施工现场临时用电安全技术规范》JGJ46</w:t>
      </w:r>
    </w:p>
    <w:p w14:paraId="29EFBA19">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《建筑施工高处作业安全技术规范》JGJ80</w:t>
      </w:r>
    </w:p>
    <w:p w14:paraId="750752AE">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《火力发电厂保温材料技术条件》DL/T776</w:t>
      </w:r>
    </w:p>
    <w:p w14:paraId="4DA6955F">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《火力发电厂保温油漆设计规程》DL/T5072</w:t>
      </w:r>
    </w:p>
    <w:p w14:paraId="740B2CDB">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《火力发电厂热力设备耐火及保温检修导则》DL/T936</w:t>
      </w:r>
    </w:p>
    <w:p w14:paraId="14A0107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《电业安全工作规程（第1部分：热力和机械）》GB 26164.1</w:t>
      </w:r>
    </w:p>
    <w:p w14:paraId="6CC7A33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《电力安全工作规程（发电厂和变电站电气部分）》GB 26860</w:t>
      </w:r>
    </w:p>
    <w:p w14:paraId="14EC34A4">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《保温工程施工及验收规范》GB50264</w:t>
      </w:r>
    </w:p>
    <w:p w14:paraId="006B0750">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《工业设备及管道绝热工程施工质量验收规范》GB50185</w:t>
      </w:r>
    </w:p>
    <w:p w14:paraId="6E21DC2C">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《设备及管道保温设计导则》GB/T8175</w:t>
      </w:r>
    </w:p>
    <w:p w14:paraId="0348585A">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《设备和管道保温技术通则》GB/T4272</w:t>
      </w:r>
    </w:p>
    <w:p w14:paraId="71735D5A">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《设备及管道保温效果的测试与评价》GB/T8174</w:t>
      </w:r>
    </w:p>
    <w:p w14:paraId="66998E56">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《工业管道的基本识别色、识别符号和安全标识》GB7231</w:t>
      </w:r>
    </w:p>
    <w:p w14:paraId="4A928E14">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《石油化工建设工程施工安全技术规范》GB50484</w:t>
      </w:r>
    </w:p>
    <w:p w14:paraId="38B3E89E">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《涂装作业安全规程 涂漆工艺安全及其通风》 GB6514 </w:t>
      </w:r>
    </w:p>
    <w:p w14:paraId="438EBD8D">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《涂装作业安全规程 安全管理通则》  GB7691</w:t>
      </w:r>
    </w:p>
    <w:p w14:paraId="3AFF5FC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《涂装前钢材表面锈蚀等级和除锈等级》  GB8923-88</w:t>
      </w:r>
    </w:p>
    <w:p w14:paraId="4F3828FD">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《涂覆涂料前钢材表面处理 表面清洁度的目视评定 第1部分：未涂覆过的钢材表面和全面清除原有涂层后的钢材表面的锈蚀等级和处理等级》 GB8923.1</w:t>
      </w:r>
    </w:p>
    <w:p w14:paraId="18759B4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《工业设备、管道防腐工程施工及验收规范》 HGJ229 </w:t>
      </w:r>
    </w:p>
    <w:p w14:paraId="3F7984F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《漆膜附着力测定方法》  GB1720 </w:t>
      </w:r>
    </w:p>
    <w:p w14:paraId="1BAE475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《石油化工设备及管道涂料防腐蚀技术规范》  SH3022 </w:t>
      </w:r>
    </w:p>
    <w:p w14:paraId="4AB5C893">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《建筑防腐蚀工程施工及验收规范》  GB5021 </w:t>
      </w:r>
    </w:p>
    <w:p w14:paraId="24D95DB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《涂装作业安全规程、涂装前处理工艺安全》  GB7692 </w:t>
      </w:r>
    </w:p>
    <w:p w14:paraId="2CE29CEF">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《涂装前钢材表面锈蚀等级和除锈等级》  GB8923 </w:t>
      </w:r>
    </w:p>
    <w:p w14:paraId="0AC4FB5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《建筑脚手架用焊接钢管》YB/T 4202   </w:t>
      </w:r>
    </w:p>
    <w:p w14:paraId="62ED3E43">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《钢管脚手架扣件》GB15831     </w:t>
      </w:r>
    </w:p>
    <w:p w14:paraId="75951621">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《定型钢跳板技术规程》YBJ211      </w:t>
      </w:r>
    </w:p>
    <w:p w14:paraId="5E93BE16">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《碳素结构钢》GB/T700     </w:t>
      </w:r>
    </w:p>
    <w:p w14:paraId="3B814723">
      <w:pPr>
        <w:snapToGrid w:val="0"/>
        <w:spacing w:line="360" w:lineRule="auto"/>
        <w:ind w:firstLine="480" w:firstLineChars="2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以上规范和标准如遇现行执行规范标准有冲突时，按现行较高规范和标准执行。</w:t>
      </w:r>
    </w:p>
    <w:p w14:paraId="250FF8A6">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 脚手架</w:t>
      </w:r>
    </w:p>
    <w:p w14:paraId="20CE8D1F">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4.2.1 脚手架执行标准</w:t>
      </w:r>
    </w:p>
    <w:p w14:paraId="0159D167">
      <w:pPr>
        <w:snapToGrid w:val="0"/>
        <w:spacing w:line="360" w:lineRule="auto"/>
        <w:ind w:firstLine="480" w:firstLineChars="2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严格按照《钢管脚手架扣件》（GB15831）、《电力建设安全工作规程》（DL 5009.1）第1部分：火力发电厂部分、《工程建设标准强制性条文》（电力工程部分2006版）和本规范书要求的标准及规程执行。</w:t>
      </w:r>
    </w:p>
    <w:p w14:paraId="20312C1B">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 脚手架质量标准</w:t>
      </w:r>
    </w:p>
    <w:p w14:paraId="25DC93B2">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4.2.2.1 脚手架采用钢管搭设。钢管应采用外径为48mm，壁厚为3mm～3.6mm的钢管，长度以4m～6m及2m～3m为宜，现场使用的钢管必须经过检查，钢管的材质为Q235或镀锌管，旧钢管必须进行防锈处理方可使用。钢管材料不得有裂纹、压扁、弯曲；扣件要有出厂合格证，不得有脆裂、变形或滑丝出现。脚手板采用合格的钢制脚手板，钢制脚手板应用钢板冲压而成。四边厚度为3mm，宽度为230～250mm。板面冲有梅花形布置直径25mm的凸包或圆孔。</w:t>
      </w:r>
    </w:p>
    <w:p w14:paraId="60B57DD0">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4.2.2.2 脚手架搭设标准：外观必须整体平整，横平竖直、几何图形一致，连结牢固，平坦通顺。对高层脚手架应具备立面不中断，使用不摇晃，有操作空间等特点。</w:t>
      </w:r>
    </w:p>
    <w:p w14:paraId="778E610D">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4.2.2.3 高处作业用的脚手架或吊架必须能足够承受站在上面的人员和材料等的重量。脚手板和脚手架相互间应连接牢固，脚手板不准在跨度间有接头。脚手架要和建筑物或固定钢架连接牢固。</w:t>
      </w:r>
    </w:p>
    <w:p w14:paraId="5CC6E8C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4.2.2.4 脚手架应有牢固的梯架，以便工作人员上下和运送材料。脚手架上禁止乱拉电线，必须安装照明线路时，金属管脚手架应另设木横担。</w:t>
      </w:r>
    </w:p>
    <w:p w14:paraId="6156479B">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4.2.2.5 一般脚手架的验收，由搭设施工负责人进行检验合格，再和委托人一起共同进行验收。凡不符合委托要求和验收质量不合格的脚手架，</w:t>
      </w:r>
      <w:r>
        <w:rPr>
          <w:rFonts w:hint="eastAsia" w:asciiTheme="minorEastAsia" w:hAnsiTheme="minorEastAsia" w:eastAsiaTheme="minorEastAsia" w:cstheme="minorEastAsia"/>
          <w:b w:val="0"/>
          <w:bCs/>
          <w:sz w:val="24"/>
          <w:szCs w:val="24"/>
          <w:highlight w:val="yellow"/>
          <w:lang w:val="en-US" w:eastAsia="zh-CN"/>
        </w:rPr>
        <w:t>由搭设人负责重</w:t>
      </w:r>
      <w:r>
        <w:rPr>
          <w:rFonts w:hint="eastAsia" w:asciiTheme="minorEastAsia" w:hAnsiTheme="minorEastAsia" w:eastAsiaTheme="minorEastAsia" w:cstheme="minorEastAsia"/>
          <w:b w:val="0"/>
          <w:bCs/>
          <w:sz w:val="24"/>
          <w:szCs w:val="24"/>
          <w:highlight w:val="none"/>
          <w:lang w:val="en-US" w:eastAsia="zh-CN"/>
        </w:rPr>
        <w:t>新搭设，直至合格为止，否则不准使用。没有经过验收合格的脚手架一律严禁使用。脚手架的使用荷重量每平方米不允许超过二百七十公斤，凡超过荷重量的脚手架应采用加固措施，并经过核准后方可使用。</w:t>
      </w:r>
    </w:p>
    <w:p w14:paraId="451782C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4.2.2.6 脚手架使用完毕，即进行整体拆除工作。拆除前，应由施工负责人召集技术、技监（安全）、操作班组对脚手架整体进行检查，确认无严重损坏情况后，即可进行交底，布置拆除工作。如脚手架内存有严重隐患或损坏，应进行整改加固以后，方可进行拆除。高层脚手架的拆除，应由企业分管技术的负责人对有关人员进行交底。</w:t>
      </w:r>
    </w:p>
    <w:p w14:paraId="2FC3A2FA">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4.2.2.7 拆除完输送至地面的所有杆件、扣件等物件，应按类堆放整理。</w:t>
      </w:r>
    </w:p>
    <w:p w14:paraId="4A826AB9">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4.2.3 脚手架的安全注意事项</w:t>
      </w:r>
    </w:p>
    <w:p w14:paraId="75D1222F">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4.2.3.1 拆除脚手架的周围应设置安全警示，无关人员严禁入内。</w:t>
      </w:r>
    </w:p>
    <w:p w14:paraId="776B5C81">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4.2.3.2 禁止在发电机底部、主变、启备变、升压站、高压输变线附近、制氢站、氨区、油库、开关室等场所使用金属脚手架。</w:t>
      </w:r>
    </w:p>
    <w:p w14:paraId="15E37BD9">
      <w:pPr>
        <w:wordWrap w:val="0"/>
        <w:snapToGrid w:val="0"/>
        <w:spacing w:line="360" w:lineRule="auto"/>
        <w:rPr>
          <w:rFonts w:hint="eastAsia" w:asciiTheme="minorEastAsia" w:hAnsiTheme="minorEastAsia" w:eastAsiaTheme="minorEastAsia" w:cstheme="minorEastAsia"/>
          <w:b w:val="0"/>
          <w:bCs/>
          <w:sz w:val="24"/>
          <w:szCs w:val="24"/>
          <w:highlight w:val="yellow"/>
          <w:lang w:val="en-US" w:eastAsia="zh-CN"/>
        </w:rPr>
      </w:pPr>
      <w:r>
        <w:rPr>
          <w:rFonts w:hint="eastAsia" w:asciiTheme="minorEastAsia" w:hAnsiTheme="minorEastAsia" w:eastAsiaTheme="minorEastAsia" w:cstheme="minorEastAsia"/>
          <w:b w:val="0"/>
          <w:bCs/>
          <w:sz w:val="24"/>
          <w:szCs w:val="24"/>
          <w:highlight w:val="yellow"/>
          <w:lang w:val="en-US" w:eastAsia="zh-CN"/>
        </w:rPr>
        <w:t>4.2.3.3 脚手架材料必须满足招标方《Q/XT205061-2022</w:t>
      </w:r>
      <w:r>
        <w:rPr>
          <w:rFonts w:hint="eastAsia" w:asciiTheme="minorEastAsia" w:hAnsiTheme="minorEastAsia" w:eastAsiaTheme="minorEastAsia" w:cstheme="minorEastAsia"/>
          <w:bCs/>
          <w:sz w:val="24"/>
          <w:szCs w:val="24"/>
          <w:highlight w:val="yellow"/>
        </w:rPr>
        <w:t>脚手架、保温、油漆管理规定</w:t>
      </w:r>
      <w:r>
        <w:rPr>
          <w:rFonts w:hint="eastAsia" w:asciiTheme="minorEastAsia" w:hAnsiTheme="minorEastAsia" w:eastAsiaTheme="minorEastAsia" w:cstheme="minorEastAsia"/>
          <w:b w:val="0"/>
          <w:bCs/>
          <w:sz w:val="24"/>
          <w:szCs w:val="24"/>
          <w:highlight w:val="yellow"/>
          <w:lang w:val="en-US" w:eastAsia="zh-CN"/>
        </w:rPr>
        <w:t>》规定采购、进货和使用，现场检查不合格的材料，禁止投入使用。</w:t>
      </w:r>
    </w:p>
    <w:p w14:paraId="08C197C0">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4.2.4 投标方需编制脚手架方案的要求（审批按专项方案流程审批）：</w:t>
      </w:r>
    </w:p>
    <w:p w14:paraId="60653A0A">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（1）搭设高度超过15米的落地式钢管脚手架。</w:t>
      </w:r>
    </w:p>
    <w:p w14:paraId="721AB68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（2）悬挑式脚手架、炉膛架等。</w:t>
      </w:r>
    </w:p>
    <w:p w14:paraId="06584810">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（3）吊篮脚手架。</w:t>
      </w:r>
    </w:p>
    <w:p w14:paraId="40F1840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（4）自制卸料平台、移动操作平台等。</w:t>
      </w:r>
    </w:p>
    <w:p w14:paraId="5E8761E2">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（5）附着式升降脚手架，包括整体提升与分片式提升。</w:t>
      </w:r>
    </w:p>
    <w:p w14:paraId="6E562DD4">
      <w:pPr>
        <w:snapToGrid w:val="0"/>
        <w:spacing w:line="360" w:lineRule="auto"/>
        <w:ind w:firstLine="480" w:firstLineChars="200"/>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需专家论证的脚手架要求：</w:t>
      </w:r>
    </w:p>
    <w:p w14:paraId="630494EB">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（1）搭设高度达到或超过50米的落地式钢管脚手架。</w:t>
      </w:r>
    </w:p>
    <w:p w14:paraId="416F434C">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（2）提升高度到达或超过150米的附着式整体与分片提升脚手架。</w:t>
      </w:r>
    </w:p>
    <w:p w14:paraId="7ABEC862">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 xml:space="preserve">（3）架体高度达到或超过20米的悬挑式脚手架。 </w:t>
      </w:r>
    </w:p>
    <w:p w14:paraId="5BDE7CBC">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4.2.5 脚手架搭拆要求</w:t>
      </w:r>
    </w:p>
    <w:p w14:paraId="3940B70B">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4.2.5.1 脚手架搭设和拆除时，要求注意周边环境，做好无关人员隔离防护措施，并有工作负责人在旁边监护，防止高空抛物，防止搭拆中破坏招标方其他设备设施，否则照价赔偿。</w:t>
      </w:r>
    </w:p>
    <w:p w14:paraId="191708C3">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4.2.5.2 材料倒运时要轻拿轻放，不得采用倾倒、猛磕或其他匆忙卸料方式，一经发现进行考核。</w:t>
      </w:r>
    </w:p>
    <w:p w14:paraId="054B475C">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4.2.5.3 材料拆除后，要及时收集整理，严禁乱扔乱放和丢弃，一经发现进行考核。</w:t>
      </w:r>
    </w:p>
    <w:p w14:paraId="6B2C7D2A">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4.2.5.4 进入防爆区域作业，必须使用防爆工器具。</w:t>
      </w:r>
    </w:p>
    <w:p w14:paraId="480090E5">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4.2.5.5 脚手架搭设过程中，必须按国家标准规范（添加标准规范名称）要求设置水平安全网。</w:t>
      </w:r>
    </w:p>
    <w:p w14:paraId="2E580BDD">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4.2.6 脚手架验收过程中严格执行《施工脚手架通用规范》GB55023规定。当月完成项目按照国家标准及公司相关制度对项目完成质量进行三方验收并进行签证。</w:t>
      </w:r>
    </w:p>
    <w:p w14:paraId="6F5A055E">
      <w:pPr>
        <w:snapToGrid w:val="0"/>
        <w:spacing w:line="360" w:lineRule="auto"/>
        <w:rPr>
          <w:rFonts w:hint="eastAsia" w:asciiTheme="minorEastAsia" w:hAnsiTheme="minorEastAsia" w:eastAsiaTheme="minorEastAsia" w:cstheme="minorEastAsia"/>
          <w:b/>
          <w:bCs w:val="0"/>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 保温执行标准</w:t>
      </w:r>
      <w:r>
        <w:rPr>
          <w:rFonts w:hint="eastAsia" w:asciiTheme="minorEastAsia" w:hAnsiTheme="minorEastAsia" w:eastAsiaTheme="minorEastAsia" w:cstheme="minorEastAsia"/>
          <w:b/>
          <w:bCs w:val="0"/>
          <w:sz w:val="24"/>
          <w:szCs w:val="24"/>
          <w:highlight w:val="none"/>
          <w:lang w:val="en-US" w:eastAsia="zh-CN"/>
        </w:rPr>
        <w:t xml:space="preserve"> </w:t>
      </w:r>
    </w:p>
    <w:p w14:paraId="2FE07541">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4.3.1 严格按照设计院设计的设备、管道施工图纸、设计交底及技术联系单等文件、《工业设备及管道绝热工程施工及验收规范》（GBJ126）和本规范书要求的标准及规程执行。涉及日常及大修保温工作，当月完成项目按照国家标准及公司相关制度对项目完成质量进行三方验收并进行签证；化工装置区保温整治项目中的保温工作按照招标方要求每完成一处，按照国家标准及公司相关制度对完成质量进行三方验收并进行签证。</w:t>
      </w:r>
    </w:p>
    <w:p w14:paraId="2A82D0C4">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 保温及外护层</w:t>
      </w:r>
    </w:p>
    <w:p w14:paraId="59AFD77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4.3.2.1 保温施工用材料需选用隔热性能优良的硅酸铝纤维保温毯，厚度50—60mm，比重128kg/m³。保冷材料选用橡塑绝热保温材料（Ⅰ类板），燃烧性能B1级。表面平整光滑，无缺口，无大面积较深褶皱，厚度均匀，切口整齐，颜色均匀稳定。保温层厚度需与原设计一致。</w:t>
      </w:r>
    </w:p>
    <w:p w14:paraId="1A3008EC">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4.3.2.2 外护层材料设备采用0.7mm彩钢压型板，管道采用0.5mm 3003铝皮，炉顶大包外护更换采用0.7mm铝板压型板和铝板折角板，材料选用颜色与原保温设计保持一致。</w:t>
      </w:r>
    </w:p>
    <w:p w14:paraId="14F04B3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4.3.2.3 保温施工期间，切忌保温材料受潮。尤其是室外保温，应在晴天施工，做到主保温层和外护层同时进行，并有防雨、防雪应急措施。</w:t>
      </w:r>
    </w:p>
    <w:p w14:paraId="2ACCBEBD">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4.3.2.4 原保温拆除后设备和管道表面上的灰尘、油垢、铁锈等杂物清除干净后方可施工。</w:t>
      </w:r>
    </w:p>
    <w:p w14:paraId="392A2142">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4.3.2.5 橡塑绝热保温使用专用刀具切割，切口平整无毛边；异形部件（弯头、阀门）需按模板精确裁切。表面平整无鼓包，接缝严密无开裂，固定件无松动。板材拼接时错缝处理（接缝错开≥100mm），减少热桥效应。多层保温时，内外层接缝需错开，每层接缝处涂胶密封。平面设备（储罐、箱体）采用板材拼接，接缝处加压固定至胶水固化。异形部位（法兰、支架）预留检修口，用可拆卸保温套包裹。保冷黏结使用专用橡塑胶水（如氰基丙烯酸酯类），均匀涂布粘接面，静置30秒后加压贴合。接缝处需满涂胶水并压实，确保无空隙，胶缝宽度≤2mm。所有接缝、切口处均需用橡塑专用胶带（如铝箔胶带）或胶水密封，形成连续防潮层。管道弯头、三通等复杂部位采用“虾米节”分段包裹，接缝处缠绕胶带加强。</w:t>
      </w:r>
    </w:p>
    <w:p w14:paraId="0C427C24">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4.3.2.6 管道保温层绑扎每块保温材料不少于两道双股镀锌铁丝，铁丝直径的选择视保温外径尺寸而定，一般：保温外径&lt;150mm时，用18#镀锌铁丝，保温外径≥150mm时，用16#镀锌铁丝；捆扎间距200mm，铁丝间距应匀称，松紧一致；铁丝铰接接头必须放在轴向对缝处，拧紧后的铁丝铰接头要随手嵌入缝内。</w:t>
      </w:r>
    </w:p>
    <w:p w14:paraId="02440D36">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4.3.2.7 设备保温应在各部件（包括爬梯、平台、仪表测试管）安装完毕后进行。设备上的短管、法兰和人孔要露出在保温结构之外，伸出短管的保温同与之相连管道的保温一致，施工时将设备上的铭牌留出，并在其周围做好防水处理；流量测量装置、阀门、法兰、堵板、补偿器等处的保温做成可拆卸式结构，以满足运行检查和检修需要；垂直管道和设备为支撑保温重量，每隔3m装设一个焊接承重环，其宽度应比主保温层厚度小10mm，当管子不准焊接时可采用夹环或按设备技术文件进行，若已有钩钉，可不设托架；伸缩节及管道滑动支架等处的保温均应按膨胀方向留出足够的间隙。</w:t>
      </w:r>
    </w:p>
    <w:p w14:paraId="71D0C5D7">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4.3.2.8 凡人孔门，传动装置处的保温不影响门的开启和设备的运行；保温层应防水、防火、保温后整体平面平整美观。</w:t>
      </w:r>
    </w:p>
    <w:p w14:paraId="72D4531E">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4.3.3 废旧保温棉、铁皮、铝皮的处理：</w:t>
      </w:r>
    </w:p>
    <w:p w14:paraId="364418C3">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4.3.3.1 保温棉、橡塑拆除时注意做好防护，避免保温棉散落影响环境卫生；</w:t>
      </w:r>
    </w:p>
    <w:p w14:paraId="3569D248">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4.3.3.2 保温棉、橡塑、铁皮、铝皮能再利用的尽量回装使用，不能再利用的保温棉、橡塑</w:t>
      </w:r>
      <w:r>
        <w:rPr>
          <w:rFonts w:hAnsi="宋体"/>
          <w:highlight w:val="none"/>
        </w:rPr>
        <w:t>应按照招标方安全文明生产管理要求</w:t>
      </w:r>
      <w:r>
        <w:rPr>
          <w:rFonts w:hint="eastAsia" w:hAnsi="宋体"/>
          <w:highlight w:val="none"/>
        </w:rPr>
        <w:t>，</w:t>
      </w:r>
      <w:r>
        <w:rPr>
          <w:rFonts w:hint="eastAsia" w:hAnsi="宋体"/>
          <w:highlight w:val="none"/>
          <w:lang w:val="en-US" w:eastAsia="zh-CN"/>
        </w:rPr>
        <w:t>负责</w:t>
      </w:r>
      <w:r>
        <w:rPr>
          <w:rFonts w:hint="eastAsia" w:hAnsi="宋体"/>
          <w:highlight w:val="none"/>
        </w:rPr>
        <w:t>各个装置区</w:t>
      </w:r>
      <w:r>
        <w:rPr>
          <w:rFonts w:hint="eastAsia" w:hAnsi="宋体"/>
          <w:highlight w:val="none"/>
          <w:lang w:val="en-US" w:eastAsia="zh-CN"/>
        </w:rPr>
        <w:t>作业后的场地文明卫生清理</w:t>
      </w:r>
      <w:r>
        <w:rPr>
          <w:rFonts w:hint="eastAsia" w:asciiTheme="minorEastAsia" w:hAnsiTheme="minorEastAsia" w:eastAsiaTheme="minorEastAsia" w:cstheme="minorEastAsia"/>
          <w:b w:val="0"/>
          <w:bCs/>
          <w:sz w:val="24"/>
          <w:szCs w:val="24"/>
          <w:highlight w:val="none"/>
          <w:lang w:val="en-US" w:eastAsia="zh-CN"/>
        </w:rPr>
        <w:t>，</w:t>
      </w:r>
      <w:r>
        <w:rPr>
          <w:rFonts w:hint="eastAsia" w:hAnsi="宋体"/>
          <w:highlight w:val="none"/>
          <w:lang w:val="en-US" w:eastAsia="zh-CN"/>
        </w:rPr>
        <w:t>按招标方要求指定位置</w:t>
      </w:r>
      <w:r>
        <w:rPr>
          <w:rFonts w:hAnsi="宋体"/>
          <w:highlight w:val="none"/>
        </w:rPr>
        <w:t>放置整齐</w:t>
      </w:r>
      <w:r>
        <w:rPr>
          <w:rFonts w:hint="eastAsia" w:asciiTheme="minorEastAsia" w:hAnsiTheme="minorEastAsia" w:eastAsiaTheme="minorEastAsia" w:cstheme="minorEastAsia"/>
          <w:b w:val="0"/>
          <w:bCs/>
          <w:sz w:val="24"/>
          <w:szCs w:val="24"/>
          <w:highlight w:val="none"/>
          <w:lang w:val="en-US" w:eastAsia="zh-CN"/>
        </w:rPr>
        <w:t>进行统一打包处理，不能再利用的铁皮、铝皮由招标方填写报废申请单，投标方负责运至招标方指定的废旧材料区域进行统一处理。</w:t>
      </w:r>
    </w:p>
    <w:p w14:paraId="72705D0D">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 防腐执行标准</w:t>
      </w:r>
    </w:p>
    <w:p w14:paraId="4E047134">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4.4.1 严格按照《涂覆涂料前钢材表面处理 表面清洁度的目视评定 第1部分：未涂覆过的钢材表面和全面清除原有涂层后的钢材表面的锈蚀等级和处理等》（GB/T 8923.1）《设备及管道涂层涂层维护检修规程》（SHS01034）、《埋地钢质管道环氧煤沥青防腐层技术标准》（SY/T 0447）和本规范书要求的标准及规程执行。</w:t>
      </w:r>
    </w:p>
    <w:p w14:paraId="1C7CD525">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4.4.2 设备表面、管道表面除锈等级必须达到ST3级（手工和动力工具），即：钢材表面应无可见的油脂和污垢，并且没有附着不牢的氧化皮、铁锈和油漆涂层等附着物，底材显露部分的表面应具有金属光泽（仅限热电、脱硫及水处理区域内）。其他装置区域内设备、管道表面除锈等级为ST2级即可，即：钢材表面无可见的油脂和污垢，并且没有附着不牢的氧化皮、铁锈和油漆涂层等附着物。全厂钢结构除锈等级为ST3级。</w:t>
      </w:r>
    </w:p>
    <w:p w14:paraId="5C6C6940">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4.4.3 旧设备、管道有油漆涂层的，不再作处理，采用有色金属、不锈钢、玻璃钢、镀锌处理的设备、管道，保持原有本色，不作处理。</w:t>
      </w:r>
    </w:p>
    <w:p w14:paraId="7E6FAA11">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4.4.4 防腐工艺要求</w:t>
      </w:r>
    </w:p>
    <w:p w14:paraId="27F73E62">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4.4.4.1 涂底漆：表面预处理后合格的金属面应由投标方提请招标方验收，验收合格后尽快涂刷底漆，间隔时间不得超过4小时，不允许长时间暴露空气中。大气环境恶劣（如湿度过高，空气含盐雾）时还应进一步缩短间隔时间，保证金属表面无黄锈产生，要求涂刷均匀，不得漏涂。指触检查无鼓泡、伤痕、流挂、凹凸不平、硬化不良等缺陷，对于凸部、表面伤痕、流挂痕迹、气泡等缺陷在确保厚度的前提下用砂皮磨平，对鼓泡、剥离等缺陷要除去缺陷部分进行补漆。涂层的施工环境不能有粉尘，以免影响油漆的附着力。构件面不能有结露，涂装后4小时之内不得淋雨。</w:t>
      </w:r>
    </w:p>
    <w:p w14:paraId="5D9AAF00">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4.4.4.2 涂面漆：底漆实干后（一般24小时即可），即涂刷面漆。后道漆必须在前道漆表面干燥后才可涂刷以保证优良的层间附着力。间隔时间一般不超过48小时。此外还需及时清除涂装时间间隔内的底漆表面新沾的尘土、杂物等。在未完全干燥以前就遇到风雪、降雨、结露等高湿情况，漆膜会产生白化，在这种情况下复涂，应先用溶剂或砂纸擦拭清理白化膜，以保证层间附着力良好。第一道面漆颜色稍淡，第二道面漆整体涂刷，保证统一颜色无色差。</w:t>
      </w:r>
    </w:p>
    <w:p w14:paraId="046B7B6C">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4.4.4.3 喷漆操作要求：表面预处理后验收合格后尽快喷涂漆料，间隔时间不得超过4小时，不允许长时间暴露在空气中。大气环境恶劣（如湿度过高，空气含盐雾）时还应进一步缩短间隔时间，保证金属表面无黄锈产生，要求喷涂均匀，不得漏涂。涂层的施工环境不能有粉尘，以免影响油漆的附着力。构件面不能有结露，涂装后4小时之内不得淋雨。</w:t>
      </w:r>
    </w:p>
    <w:p w14:paraId="3CAD34C5">
      <w:pPr>
        <w:snapToGrid w:val="0"/>
        <w:spacing w:line="360" w:lineRule="auto"/>
        <w:rPr>
          <w:rFonts w:hint="eastAsia" w:asciiTheme="minorEastAsia" w:hAnsiTheme="minorEastAsia" w:eastAsiaTheme="minorEastAsia" w:cstheme="minorEastAsia"/>
          <w:b w:val="0"/>
          <w:bCs/>
          <w:sz w:val="24"/>
          <w:szCs w:val="24"/>
          <w:highlight w:val="none"/>
          <w:lang w:val="en-US" w:eastAsia="zh-CN"/>
        </w:rPr>
      </w:pPr>
      <w:r>
        <w:rPr>
          <w:rFonts w:hint="eastAsia" w:asciiTheme="minorEastAsia" w:hAnsiTheme="minorEastAsia" w:eastAsiaTheme="minorEastAsia" w:cstheme="minorEastAsia"/>
          <w:b w:val="0"/>
          <w:bCs/>
          <w:sz w:val="24"/>
          <w:szCs w:val="24"/>
          <w:highlight w:val="none"/>
          <w:lang w:val="en-US" w:eastAsia="zh-CN"/>
        </w:rPr>
        <w:t>4.4.5 日常及大修防腐，当月完成项目按照国家标准及公司相关制度对项目完成质量进行三方验收并进行签证。</w:t>
      </w:r>
    </w:p>
    <w:p w14:paraId="0021FA0E">
      <w:pPr>
        <w:pStyle w:val="76"/>
        <w:spacing w:line="360" w:lineRule="auto"/>
        <w:jc w:val="both"/>
        <w:outlineLvl w:val="0"/>
        <w:rPr>
          <w:rFonts w:hint="eastAsia" w:asciiTheme="minorEastAsia" w:hAnsiTheme="minorEastAsia" w:eastAsiaTheme="minorEastAsia" w:cstheme="minorEastAsia"/>
          <w:b/>
          <w:bCs/>
          <w:sz w:val="24"/>
          <w:szCs w:val="24"/>
          <w:highlight w:val="none"/>
        </w:rPr>
      </w:pPr>
      <w:bookmarkStart w:id="32" w:name="_Toc28915"/>
      <w:bookmarkStart w:id="33" w:name="_Toc20303"/>
      <w:bookmarkStart w:id="34" w:name="_Toc18887"/>
      <w:r>
        <w:rPr>
          <w:rFonts w:hint="eastAsia" w:asciiTheme="minorEastAsia" w:hAnsiTheme="minorEastAsia" w:eastAsiaTheme="minorEastAsia" w:cstheme="minorEastAsia"/>
          <w:b/>
          <w:bCs/>
          <w:sz w:val="24"/>
          <w:szCs w:val="24"/>
          <w:highlight w:val="none"/>
          <w:lang w:val="en-US" w:eastAsia="zh-CN"/>
        </w:rPr>
        <w:t xml:space="preserve">5 </w:t>
      </w:r>
      <w:r>
        <w:rPr>
          <w:rFonts w:hint="eastAsia" w:asciiTheme="minorEastAsia" w:hAnsiTheme="minorEastAsia" w:eastAsiaTheme="minorEastAsia" w:cstheme="minorEastAsia"/>
          <w:b/>
          <w:bCs/>
          <w:sz w:val="24"/>
          <w:szCs w:val="24"/>
          <w:highlight w:val="none"/>
        </w:rPr>
        <w:t>投标方应达到的目标</w:t>
      </w:r>
      <w:bookmarkEnd w:id="32"/>
      <w:bookmarkEnd w:id="33"/>
      <w:bookmarkEnd w:id="34"/>
    </w:p>
    <w:p w14:paraId="17610F66">
      <w:pPr>
        <w:spacing w:line="360" w:lineRule="auto"/>
        <w:ind w:firstLine="480" w:firstLineChars="20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szCs w:val="24"/>
          <w:highlight w:val="none"/>
        </w:rPr>
        <w:t>投标方进</w:t>
      </w:r>
      <w:r>
        <w:rPr>
          <w:rFonts w:hint="eastAsia" w:asciiTheme="minorEastAsia" w:hAnsiTheme="minorEastAsia" w:eastAsiaTheme="minorEastAsia" w:cstheme="minorEastAsia"/>
          <w:bCs/>
          <w:szCs w:val="24"/>
          <w:highlight w:val="none"/>
          <w:lang w:val="en-US" w:eastAsia="zh-CN"/>
        </w:rPr>
        <w:t>厂</w:t>
      </w:r>
      <w:r>
        <w:rPr>
          <w:rFonts w:hint="eastAsia" w:asciiTheme="minorEastAsia" w:hAnsiTheme="minorEastAsia" w:eastAsiaTheme="minorEastAsia" w:cstheme="minorEastAsia"/>
          <w:bCs/>
          <w:szCs w:val="24"/>
          <w:highlight w:val="none"/>
        </w:rPr>
        <w:t>服务之前，须编制</w:t>
      </w:r>
      <w:r>
        <w:rPr>
          <w:rFonts w:hint="eastAsia" w:asciiTheme="minorEastAsia" w:hAnsiTheme="minorEastAsia" w:eastAsiaTheme="minorEastAsia" w:cstheme="minorEastAsia"/>
          <w:bCs/>
          <w:szCs w:val="24"/>
          <w:highlight w:val="none"/>
          <w:lang w:val="en-US" w:eastAsia="zh-CN"/>
        </w:rPr>
        <w:t>与项目相适应的</w:t>
      </w:r>
      <w:r>
        <w:rPr>
          <w:rFonts w:hint="eastAsia" w:asciiTheme="minorEastAsia" w:hAnsiTheme="minorEastAsia" w:eastAsiaTheme="minorEastAsia" w:cstheme="minorEastAsia"/>
          <w:bCs/>
          <w:szCs w:val="24"/>
          <w:highlight w:val="none"/>
        </w:rPr>
        <w:t>维护服务组织措施，含：服务方案、组织机构、人员配置及资质要求等，经招标方确认符合技术规范要求，并完成进场安全教育等培训后，方可进</w:t>
      </w:r>
      <w:r>
        <w:rPr>
          <w:rFonts w:hint="eastAsia" w:asciiTheme="minorEastAsia" w:hAnsiTheme="minorEastAsia" w:eastAsiaTheme="minorEastAsia" w:cstheme="minorEastAsia"/>
          <w:bCs/>
          <w:szCs w:val="24"/>
          <w:highlight w:val="none"/>
          <w:lang w:val="en-US" w:eastAsia="zh-CN"/>
        </w:rPr>
        <w:t>厂施工，</w:t>
      </w:r>
      <w:r>
        <w:rPr>
          <w:rFonts w:hint="eastAsia" w:asciiTheme="minorEastAsia" w:hAnsiTheme="minorEastAsia" w:eastAsiaTheme="minorEastAsia" w:cstheme="minorEastAsia"/>
          <w:bCs/>
          <w:highlight w:val="none"/>
        </w:rPr>
        <w:t>根据作业环境需按国家规范要求发放劳动防护用品及特殊作业防护用具。</w:t>
      </w:r>
    </w:p>
    <w:p w14:paraId="5382151F">
      <w:pPr>
        <w:widowControl w:val="0"/>
        <w:spacing w:line="360" w:lineRule="auto"/>
        <w:ind w:left="0"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安全性指标</w:t>
      </w:r>
    </w:p>
    <w:p w14:paraId="73F91794">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.1.1</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不发生本项目部员工轻伤以上、急性中毒等各类人身事故。</w:t>
      </w:r>
    </w:p>
    <w:p w14:paraId="28FDCAD3">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.1.2</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不发生外包人员轻伤以上、急性中毒等各类人身事故。</w:t>
      </w:r>
    </w:p>
    <w:p w14:paraId="473FC718">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.1.3</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不发生负主责以上有人员受伤构成的交通事故。</w:t>
      </w:r>
    </w:p>
    <w:p w14:paraId="0778D0F2">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.1.4</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不发生本项目部责任造成的火险事件。</w:t>
      </w:r>
    </w:p>
    <w:p w14:paraId="27A80FF0">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.1.5</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设备考核障碍及可靠性指标控制在以下范围（指非人为原因造成）：不发生考核</w:t>
      </w:r>
      <w:r>
        <w:rPr>
          <w:rFonts w:hint="eastAsia" w:asciiTheme="minorEastAsia" w:hAnsiTheme="minorEastAsia" w:eastAsiaTheme="minorEastAsia" w:cstheme="minorEastAsia"/>
          <w:bCs/>
          <w:highlight w:val="none"/>
          <w:lang w:eastAsia="zh-CN"/>
        </w:rPr>
        <w:t>障碍</w:t>
      </w:r>
      <w:r>
        <w:rPr>
          <w:rFonts w:hint="eastAsia" w:asciiTheme="minorEastAsia" w:hAnsiTheme="minorEastAsia" w:eastAsiaTheme="minorEastAsia" w:cstheme="minorEastAsia"/>
          <w:bCs/>
          <w:highlight w:val="none"/>
        </w:rPr>
        <w:t>、一类障碍、二类障碍。</w:t>
      </w:r>
    </w:p>
    <w:p w14:paraId="19561828">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.1.6</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不发生误操作事件。</w:t>
      </w:r>
    </w:p>
    <w:p w14:paraId="597C28E1">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.1.7</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环保指标：</w:t>
      </w:r>
    </w:p>
    <w:p w14:paraId="0FDB77B5">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（1）不发生一般以上环境污染事件。</w:t>
      </w:r>
    </w:p>
    <w:p w14:paraId="4FA29890">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（2）不发生本项目部责任造成的“三废”排放超标事件。</w:t>
      </w:r>
    </w:p>
    <w:p w14:paraId="7CA7A9CC">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（3）不发生本项目部责任造成的危废不合规、不合法事件。</w:t>
      </w:r>
    </w:p>
    <w:p w14:paraId="221F5093">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（4）不发生本项目部责任造成的公司被上级单位、政府部门通报批评或罚款的环保事件。</w:t>
      </w:r>
    </w:p>
    <w:p w14:paraId="34CA3D24">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.1.8</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不发生造成后果的危险化学品泄漏事件。</w:t>
      </w:r>
    </w:p>
    <w:p w14:paraId="049647AE">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.1.9</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职业卫生：</w:t>
      </w:r>
    </w:p>
    <w:p w14:paraId="1EB6BA83">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（1）不发生新增职业病病例。</w:t>
      </w:r>
    </w:p>
    <w:p w14:paraId="40FC25C4">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（2）职业病危害年度体检率100%。</w:t>
      </w:r>
    </w:p>
    <w:p w14:paraId="273D7ED5">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.1.10</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不发生本项目部责任造成的公司被上级单位及政府部门下发的安全环保挂牌督办通知书、安全生产督（稽）查通知书要求整改的问题未及时整改的情况和上级单位及政府部门通报批评的事件。</w:t>
      </w:r>
    </w:p>
    <w:p w14:paraId="687A08B7">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.1.11</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治安保卫：</w:t>
      </w:r>
    </w:p>
    <w:p w14:paraId="374E80C2">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（1）不发生本项目部责任造成的生产物资被盗抢案件。</w:t>
      </w:r>
    </w:p>
    <w:p w14:paraId="3ACFFB6E">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（2）不发生危险物品（包括易制毒、放射品）被盗、丢失或被非法转让案件。</w:t>
      </w:r>
    </w:p>
    <w:p w14:paraId="65522C7B">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rPr>
        <w:t>（3）公司区域内不发生有本项目部人员参与的群殴、群架事件。</w:t>
      </w:r>
    </w:p>
    <w:p w14:paraId="62793398">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.1.12</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上级布置的各项工作及公司年度安全生产重点工作完成率100%。</w:t>
      </w:r>
    </w:p>
    <w:p w14:paraId="2EB43FF5">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5</w:t>
      </w:r>
      <w:r>
        <w:rPr>
          <w:rFonts w:hint="eastAsia" w:asciiTheme="minorEastAsia" w:hAnsiTheme="minorEastAsia" w:eastAsiaTheme="minorEastAsia" w:cstheme="minorEastAsia"/>
          <w:bCs/>
          <w:highlight w:val="none"/>
        </w:rPr>
        <w:t>.1.13</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其他指标：</w:t>
      </w:r>
    </w:p>
    <w:p w14:paraId="67E9ABE2">
      <w:pPr>
        <w:spacing w:line="360" w:lineRule="auto"/>
        <w:outlineLvl w:val="9"/>
        <w:rPr>
          <w:rFonts w:hint="default"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（1）隐患整改率不低于95%。</w:t>
      </w:r>
    </w:p>
    <w:p w14:paraId="02C811F8">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（2）事故（事件）和安健环系统隐患整改及时率100%。</w:t>
      </w:r>
    </w:p>
    <w:p w14:paraId="79A0F62B">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（3）不发生本项目部员工个人负主责的其他不安全事件。</w:t>
      </w:r>
    </w:p>
    <w:p w14:paraId="13738F47">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（4）本项目部员工三级安全培训率100%。</w:t>
      </w:r>
    </w:p>
    <w:p w14:paraId="6107AF26">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（5）特种作业人员持证上岗率100%。</w:t>
      </w:r>
    </w:p>
    <w:p w14:paraId="0BCAF31E">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5.2 环保指标</w:t>
      </w:r>
    </w:p>
    <w:p w14:paraId="64D424E4">
      <w:pPr>
        <w:spacing w:line="360" w:lineRule="auto"/>
        <w:ind w:firstLine="480" w:firstLineChars="200"/>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现场作业过程要符合国家有关环保管理标准、技术规范及公司环保管理制度。</w:t>
      </w:r>
    </w:p>
    <w:p w14:paraId="7761DDFD">
      <w:pPr>
        <w:pageBreakBefore w:val="0"/>
        <w:widowControl w:val="0"/>
        <w:wordWrap/>
        <w:overflowPunct/>
        <w:topLinePunct w:val="0"/>
        <w:autoSpaceDE/>
        <w:autoSpaceDN/>
        <w:bidi w:val="0"/>
        <w:spacing w:line="360" w:lineRule="auto"/>
        <w:ind w:firstLine="0" w:firstLineChars="0"/>
        <w:textAlignment w:val="auto"/>
        <w:outlineLvl w:val="0"/>
        <w:rPr>
          <w:rFonts w:hint="eastAsia" w:asciiTheme="minorEastAsia" w:hAnsiTheme="minorEastAsia" w:eastAsiaTheme="minorEastAsia" w:cstheme="minorEastAsia"/>
          <w:highlight w:val="none"/>
        </w:rPr>
      </w:pPr>
      <w:bookmarkStart w:id="35" w:name="_Toc25133"/>
      <w:bookmarkStart w:id="36" w:name="_Toc24119"/>
      <w:bookmarkStart w:id="37" w:name="_Toc24285"/>
      <w:r>
        <w:rPr>
          <w:rStyle w:val="54"/>
          <w:rFonts w:hint="eastAsia" w:asciiTheme="majorEastAsia" w:hAnsiTheme="majorEastAsia" w:eastAsiaTheme="majorEastAsia" w:cstheme="majorEastAsia"/>
          <w:b/>
          <w:sz w:val="24"/>
          <w:highlight w:val="none"/>
          <w:lang w:val="en-US" w:eastAsia="zh-CN"/>
        </w:rPr>
        <w:t xml:space="preserve">6 </w:t>
      </w:r>
      <w:r>
        <w:rPr>
          <w:rStyle w:val="54"/>
          <w:rFonts w:hint="eastAsia" w:asciiTheme="majorEastAsia" w:hAnsiTheme="majorEastAsia" w:eastAsiaTheme="majorEastAsia" w:cstheme="majorEastAsia"/>
          <w:b/>
          <w:sz w:val="24"/>
          <w:highlight w:val="none"/>
        </w:rPr>
        <w:t>服务工期及</w:t>
      </w:r>
      <w:r>
        <w:rPr>
          <w:rStyle w:val="54"/>
          <w:rFonts w:hint="eastAsia" w:asciiTheme="majorEastAsia" w:hAnsiTheme="majorEastAsia" w:eastAsiaTheme="majorEastAsia" w:cstheme="majorEastAsia"/>
          <w:b/>
          <w:sz w:val="24"/>
          <w:highlight w:val="none"/>
          <w:lang w:val="en-US" w:eastAsia="zh-CN"/>
        </w:rPr>
        <w:t>资质条件</w:t>
      </w:r>
      <w:bookmarkEnd w:id="35"/>
      <w:bookmarkEnd w:id="36"/>
      <w:bookmarkEnd w:id="37"/>
    </w:p>
    <w:p w14:paraId="1CE53412">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6.1 维保服务总工期：2026年5月26日至2027年5月25日</w:t>
      </w:r>
    </w:p>
    <w:p w14:paraId="7564D62B">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6.2 单项工作工期：以招标方下达的工作联系单规定的计划工期为准。</w:t>
      </w:r>
    </w:p>
    <w:p w14:paraId="3205C866">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6.3 承包方式：全包工方式，按工程量清单固定综合单价，工程量按实结算。</w:t>
      </w:r>
    </w:p>
    <w:p w14:paraId="327134B7">
      <w:pPr>
        <w:spacing w:line="360" w:lineRule="auto"/>
        <w:outlineLvl w:val="9"/>
        <w:rPr>
          <w:rFonts w:hint="eastAsia" w:ascii="宋体" w:hAnsi="宋体" w:cs="宋体"/>
          <w:b w:val="0"/>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 xml:space="preserve">6.4 </w:t>
      </w:r>
      <w:r>
        <w:rPr>
          <w:rFonts w:hint="eastAsia" w:ascii="宋体" w:hAnsi="宋体" w:cs="宋体"/>
          <w:b w:val="0"/>
          <w:highlight w:val="none"/>
          <w:lang w:val="en-US" w:eastAsia="zh-CN"/>
        </w:rPr>
        <w:t>投标单位须设有独立的项目部，并有完整的组织机构，管理制度等，安全员人数须满足危险化学品生产单位安全管理人员比例。安全费投入比例满足危险化学品生产企业安全生产费用提取标准。</w:t>
      </w:r>
    </w:p>
    <w:p w14:paraId="7CA889EE">
      <w:pPr>
        <w:spacing w:line="360" w:lineRule="auto"/>
        <w:outlineLvl w:val="0"/>
        <w:rPr>
          <w:rFonts w:hint="default" w:asciiTheme="minorEastAsia" w:hAnsiTheme="minorEastAsia" w:eastAsiaTheme="minorEastAsia" w:cstheme="minorEastAsia"/>
          <w:b/>
          <w:bCs w:val="0"/>
          <w:szCs w:val="24"/>
          <w:highlight w:val="none"/>
        </w:rPr>
      </w:pPr>
      <w:bookmarkStart w:id="38" w:name="_Toc6456"/>
      <w:bookmarkStart w:id="39" w:name="_Toc719"/>
      <w:bookmarkStart w:id="40" w:name="_Toc8642"/>
      <w:r>
        <w:rPr>
          <w:rFonts w:hint="eastAsia" w:asciiTheme="minorEastAsia" w:hAnsiTheme="minorEastAsia" w:eastAsiaTheme="minorEastAsia" w:cstheme="minorEastAsia"/>
          <w:b/>
          <w:bCs w:val="0"/>
          <w:szCs w:val="24"/>
          <w:highlight w:val="none"/>
          <w:lang w:val="en-US" w:eastAsia="zh-CN"/>
        </w:rPr>
        <w:t>7 入厂资料及安全要求</w:t>
      </w:r>
      <w:bookmarkEnd w:id="38"/>
      <w:bookmarkEnd w:id="39"/>
      <w:bookmarkEnd w:id="40"/>
    </w:p>
    <w:p w14:paraId="4ACCA287">
      <w:pPr>
        <w:pStyle w:val="359"/>
        <w:widowControl w:val="0"/>
        <w:spacing w:line="360" w:lineRule="auto"/>
        <w:ind w:firstLine="0" w:firstLineChars="0"/>
        <w:rPr>
          <w:rFonts w:ascii="宋体" w:hAnsi="宋体" w:cs="宋体"/>
          <w:b w:val="0"/>
          <w:highlight w:val="none"/>
        </w:rPr>
      </w:pPr>
      <w:r>
        <w:rPr>
          <w:rFonts w:hint="eastAsia" w:ascii="宋体" w:hAnsi="宋体" w:cs="宋体"/>
          <w:b w:val="0"/>
          <w:highlight w:val="none"/>
          <w:lang w:val="en-US" w:eastAsia="zh-CN"/>
        </w:rPr>
        <w:t>7</w:t>
      </w:r>
      <w:r>
        <w:rPr>
          <w:rFonts w:hint="eastAsia" w:ascii="宋体" w:hAnsi="宋体" w:cs="宋体"/>
          <w:b w:val="0"/>
          <w:highlight w:val="none"/>
        </w:rPr>
        <w:t>.1</w:t>
      </w:r>
      <w:r>
        <w:rPr>
          <w:rFonts w:hint="eastAsia" w:ascii="宋体" w:hAnsi="宋体" w:cs="宋体"/>
          <w:b w:val="0"/>
          <w:highlight w:val="none"/>
          <w:lang w:val="en-US" w:eastAsia="zh-CN"/>
        </w:rPr>
        <w:t xml:space="preserve"> </w:t>
      </w:r>
      <w:r>
        <w:rPr>
          <w:rFonts w:hint="eastAsia" w:ascii="宋体" w:hAnsi="宋体" w:cs="宋体"/>
          <w:b w:val="0"/>
          <w:highlight w:val="none"/>
        </w:rPr>
        <w:t>入厂资料要求：</w:t>
      </w:r>
    </w:p>
    <w:p w14:paraId="66E7B739">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投标方应该建立归档资料如下：</w:t>
      </w:r>
    </w:p>
    <w:p w14:paraId="5AB8863F">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.1.2</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投标方管理人员对作业人员的安全技术交底记录（全员覆盖，新入职人员及时进行安全技术交底，纸质版留档）。</w:t>
      </w:r>
    </w:p>
    <w:p w14:paraId="6570DBBC">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.1.3</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投标方组织员工培训学习公司相关制度、管理规定、事故案例的学习记录。（电子版备查，要求有清晰的照片能证明所学内容，有清晰的扫描签到表）</w:t>
      </w:r>
    </w:p>
    <w:p w14:paraId="340D2BDD">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.1.4</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三级安全教育台账以及整套资料。</w:t>
      </w:r>
    </w:p>
    <w:p w14:paraId="46309B6C">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.1.5</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项目主管单位对制度、管理规定、操作规程提供的确认表。（纸质版留档）</w:t>
      </w:r>
    </w:p>
    <w:p w14:paraId="7FBAA1A9">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.1.6</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项目主管单位对投标方组织进行培训学习记录。（常年维保单位每月一次）。（电子版备查，要求有清晰的照片能证明所学内容，有清晰的扫描签到表）</w:t>
      </w:r>
    </w:p>
    <w:p w14:paraId="245A3B1A">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.1.7</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安健环协议以及交叉协议。（纸质版留档）</w:t>
      </w:r>
    </w:p>
    <w:p w14:paraId="4B0E5667">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.1.8</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项目开工前条件确认表。（纸质版留档）</w:t>
      </w:r>
    </w:p>
    <w:p w14:paraId="1127BAC5">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.1.9</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安全生产责任书（层层签订）（纸质版留档）</w:t>
      </w:r>
    </w:p>
    <w:p w14:paraId="14211EE1">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.1.10</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合同</w:t>
      </w:r>
      <w:r>
        <w:rPr>
          <w:rFonts w:hint="eastAsia" w:asciiTheme="minorEastAsia" w:hAnsiTheme="minorEastAsia" w:eastAsiaTheme="minorEastAsia" w:cstheme="minorEastAsia"/>
          <w:bCs/>
          <w:highlight w:val="none"/>
          <w:lang w:eastAsia="zh-CN"/>
        </w:rPr>
        <w:t>及</w:t>
      </w:r>
      <w:r>
        <w:rPr>
          <w:rFonts w:hint="eastAsia" w:asciiTheme="minorEastAsia" w:hAnsiTheme="minorEastAsia" w:eastAsiaTheme="minorEastAsia" w:cstheme="minorEastAsia"/>
          <w:bCs/>
          <w:highlight w:val="none"/>
        </w:rPr>
        <w:t>附件。（纸质版留档）</w:t>
      </w:r>
    </w:p>
    <w:p w14:paraId="52074067">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.1.11</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企业资质、专业外包资质。（电子版备查）</w:t>
      </w:r>
    </w:p>
    <w:p w14:paraId="0784F4CC">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.1.12</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管理人员授权书、任命书。（纸质版留档）</w:t>
      </w:r>
    </w:p>
    <w:p w14:paraId="140CE6E5">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.1.13</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投标方全员安全生产责任制。（纸质版留档）</w:t>
      </w:r>
    </w:p>
    <w:p w14:paraId="182FF864">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.1.14</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投标方应急预案。（纸质版留档）</w:t>
      </w:r>
    </w:p>
    <w:p w14:paraId="088783D1">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.1.15</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外包项目人员台账（及时更新）以及特种作业人员台账（电子版及时更新）。</w:t>
      </w:r>
    </w:p>
    <w:p w14:paraId="6C7C1B74">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.1.16</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所有审核审批的方案存档。（纸质版留档）</w:t>
      </w:r>
    </w:p>
    <w:p w14:paraId="2B4669F9">
      <w:pPr>
        <w:widowControl w:val="0"/>
        <w:spacing w:line="360" w:lineRule="auto"/>
        <w:ind w:firstLine="0" w:firstLineChars="0"/>
        <w:rPr>
          <w:rFonts w:hint="eastAsia" w:asciiTheme="minorEastAsia" w:hAnsiTheme="minorEastAsia" w:eastAsiaTheme="minorEastAsia" w:cstheme="minorEastAsia"/>
          <w:bCs/>
          <w:highlight w:val="none"/>
          <w:lang w:eastAsia="zh-CN"/>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.1.17</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安全生产费用使用台账（电子版台账，必须提供相关佐证资料例如发票等）</w:t>
      </w:r>
      <w:r>
        <w:rPr>
          <w:rFonts w:hint="eastAsia" w:asciiTheme="minorEastAsia" w:hAnsiTheme="minorEastAsia" w:eastAsiaTheme="minorEastAsia" w:cstheme="minorEastAsia"/>
          <w:bCs/>
          <w:highlight w:val="none"/>
          <w:lang w:eastAsia="zh-CN"/>
        </w:rPr>
        <w:t>。</w:t>
      </w:r>
    </w:p>
    <w:p w14:paraId="6C81EB22">
      <w:pPr>
        <w:widowControl w:val="0"/>
        <w:spacing w:line="360" w:lineRule="auto"/>
        <w:ind w:firstLine="0" w:firstLineChars="0"/>
        <w:rPr>
          <w:rFonts w:hint="eastAsia" w:asciiTheme="minorEastAsia" w:hAnsiTheme="minorEastAsia" w:eastAsiaTheme="minorEastAsia" w:cstheme="minorEastAsia"/>
          <w:bCs/>
          <w:highlight w:val="none"/>
          <w:lang w:val="en-US" w:eastAsia="zh-CN"/>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.1.1</w:t>
      </w:r>
      <w:r>
        <w:rPr>
          <w:rFonts w:hint="eastAsia" w:asciiTheme="minorEastAsia" w:hAnsiTheme="minorEastAsia" w:eastAsiaTheme="minorEastAsia" w:cstheme="minorEastAsia"/>
          <w:bCs/>
          <w:highlight w:val="none"/>
          <w:lang w:val="en-US" w:eastAsia="zh-CN"/>
        </w:rPr>
        <w:t>8 外包</w:t>
      </w:r>
      <w:r>
        <w:rPr>
          <w:rFonts w:hint="eastAsia" w:asciiTheme="minorEastAsia" w:hAnsiTheme="minorEastAsia" w:eastAsiaTheme="minorEastAsia" w:cstheme="minorEastAsia"/>
          <w:bCs/>
          <w:highlight w:val="none"/>
        </w:rPr>
        <w:t>项目</w:t>
      </w:r>
      <w:r>
        <w:rPr>
          <w:rFonts w:hint="eastAsia" w:asciiTheme="minorEastAsia" w:hAnsiTheme="minorEastAsia" w:eastAsiaTheme="minorEastAsia" w:cstheme="minorEastAsia"/>
          <w:bCs/>
          <w:highlight w:val="none"/>
          <w:lang w:val="en-US" w:eastAsia="zh-CN"/>
        </w:rPr>
        <w:t>所有人员的入厂健康体检、职业病体检报告</w:t>
      </w:r>
      <w:r>
        <w:rPr>
          <w:rFonts w:hint="eastAsia" w:asciiTheme="minorEastAsia" w:hAnsiTheme="minorEastAsia" w:eastAsiaTheme="minorEastAsia" w:cstheme="minorEastAsia"/>
          <w:bCs/>
          <w:highlight w:val="none"/>
        </w:rPr>
        <w:t>（纸质版留档）</w:t>
      </w:r>
      <w:r>
        <w:rPr>
          <w:rFonts w:hint="eastAsia" w:asciiTheme="minorEastAsia" w:hAnsiTheme="minorEastAsia" w:eastAsiaTheme="minorEastAsia" w:cstheme="minorEastAsia"/>
          <w:bCs/>
          <w:highlight w:val="none"/>
          <w:lang w:val="en-US" w:eastAsia="zh-CN"/>
        </w:rPr>
        <w:t>。</w:t>
      </w:r>
    </w:p>
    <w:p w14:paraId="23618E81">
      <w:pPr>
        <w:widowControl w:val="0"/>
        <w:spacing w:line="360" w:lineRule="auto"/>
        <w:ind w:firstLine="0" w:firstLineChars="0"/>
        <w:rPr>
          <w:rFonts w:hint="eastAsia" w:asciiTheme="minorEastAsia" w:hAnsiTheme="minorEastAsia" w:eastAsiaTheme="minorEastAsia" w:cstheme="minorEastAsia"/>
          <w:bCs/>
          <w:highlight w:val="none"/>
          <w:lang w:val="en-US" w:eastAsia="zh-CN"/>
        </w:rPr>
      </w:pPr>
      <w:r>
        <w:rPr>
          <w:rFonts w:hint="eastAsia" w:asciiTheme="minorEastAsia" w:hAnsiTheme="minorEastAsia" w:eastAsiaTheme="minorEastAsia" w:cstheme="minorEastAsia"/>
          <w:bCs/>
          <w:highlight w:val="none"/>
          <w:lang w:val="en-US" w:eastAsia="zh-CN"/>
        </w:rPr>
        <w:t>7.2 安全要求</w:t>
      </w:r>
    </w:p>
    <w:p w14:paraId="288A3D08">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 xml:space="preserve">7.2.1 </w:t>
      </w:r>
      <w:r>
        <w:rPr>
          <w:rFonts w:hint="eastAsia" w:asciiTheme="minorEastAsia" w:hAnsiTheme="minorEastAsia" w:eastAsiaTheme="minorEastAsia" w:cstheme="minorEastAsia"/>
          <w:bCs/>
          <w:highlight w:val="none"/>
        </w:rPr>
        <w:t>现场应尽量避免上下交叉作业，如无法避免，应在监护人的监督下，由工作负责人统一指挥，上方</w:t>
      </w:r>
      <w:r>
        <w:rPr>
          <w:rFonts w:hint="eastAsia" w:asciiTheme="minorEastAsia" w:hAnsiTheme="minorEastAsia" w:eastAsiaTheme="minorEastAsia" w:cstheme="minorEastAsia"/>
          <w:bCs/>
          <w:highlight w:val="none"/>
          <w:lang w:val="en-US" w:eastAsia="zh-CN"/>
        </w:rPr>
        <w:t>施工</w:t>
      </w:r>
      <w:r>
        <w:rPr>
          <w:rFonts w:hint="eastAsia" w:asciiTheme="minorEastAsia" w:hAnsiTheme="minorEastAsia" w:eastAsiaTheme="minorEastAsia" w:cstheme="minorEastAsia"/>
          <w:bCs/>
          <w:highlight w:val="none"/>
        </w:rPr>
        <w:t>人员应系好安全带、所用工器具系好安全绳并确保防坠落安全措施已执行到位；下方</w:t>
      </w:r>
      <w:r>
        <w:rPr>
          <w:rFonts w:hint="eastAsia" w:asciiTheme="minorEastAsia" w:hAnsiTheme="minorEastAsia" w:eastAsiaTheme="minorEastAsia" w:cstheme="minorEastAsia"/>
          <w:bCs/>
          <w:highlight w:val="none"/>
          <w:lang w:val="en-US" w:eastAsia="zh-CN"/>
        </w:rPr>
        <w:t>施工</w:t>
      </w:r>
      <w:r>
        <w:rPr>
          <w:rFonts w:hint="eastAsia" w:asciiTheme="minorEastAsia" w:hAnsiTheme="minorEastAsia" w:eastAsiaTheme="minorEastAsia" w:cstheme="minorEastAsia"/>
          <w:bCs/>
          <w:highlight w:val="none"/>
        </w:rPr>
        <w:t>人员，应在工作负责人确认安全措施已执行到位后，方可进入现场工作，并做好事故预想，工作时做到注意力集中，保持上下通信畅通。</w:t>
      </w:r>
    </w:p>
    <w:p w14:paraId="6CCD5511">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.2.</w:t>
      </w:r>
      <w:r>
        <w:rPr>
          <w:rFonts w:hint="eastAsia" w:asciiTheme="minorEastAsia" w:hAnsiTheme="minorEastAsia" w:eastAsiaTheme="minorEastAsia" w:cstheme="minorEastAsia"/>
          <w:bCs/>
          <w:highlight w:val="none"/>
          <w:lang w:val="en-US" w:eastAsia="zh-CN"/>
        </w:rPr>
        <w:t xml:space="preserve">2 </w:t>
      </w:r>
      <w:r>
        <w:rPr>
          <w:rFonts w:hint="eastAsia" w:asciiTheme="minorEastAsia" w:hAnsiTheme="minorEastAsia" w:eastAsiaTheme="minorEastAsia" w:cstheme="minorEastAsia"/>
          <w:bCs/>
          <w:highlight w:val="none"/>
        </w:rPr>
        <w:t>现场工作人员应精神状态良好、无有碍工作的疾病，并不得酒后上班。</w:t>
      </w:r>
    </w:p>
    <w:p w14:paraId="4D234EA2">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.2.</w:t>
      </w:r>
      <w:r>
        <w:rPr>
          <w:rFonts w:hint="eastAsia" w:asciiTheme="minorEastAsia" w:hAnsiTheme="minorEastAsia" w:eastAsiaTheme="minorEastAsia" w:cstheme="minorEastAsia"/>
          <w:bCs/>
          <w:highlight w:val="none"/>
          <w:lang w:val="en-US" w:eastAsia="zh-CN"/>
        </w:rPr>
        <w:t xml:space="preserve">3 </w:t>
      </w:r>
      <w:r>
        <w:rPr>
          <w:rFonts w:hint="eastAsia" w:asciiTheme="minorEastAsia" w:hAnsiTheme="minorEastAsia" w:eastAsiaTheme="minorEastAsia" w:cstheme="minorEastAsia"/>
          <w:bCs/>
          <w:highlight w:val="none"/>
        </w:rPr>
        <w:t>进入生产场所的所有人员包括管理人员必须戴好安全帽，禁止在生产场所吸烟。</w:t>
      </w:r>
    </w:p>
    <w:p w14:paraId="0AFBDAFD">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.2.</w:t>
      </w:r>
      <w:r>
        <w:rPr>
          <w:rFonts w:hint="eastAsia" w:asciiTheme="minorEastAsia" w:hAnsiTheme="minorEastAsia" w:eastAsiaTheme="minorEastAsia" w:cstheme="minorEastAsia"/>
          <w:bCs/>
          <w:highlight w:val="none"/>
          <w:lang w:val="en-US" w:eastAsia="zh-CN"/>
        </w:rPr>
        <w:t xml:space="preserve">4 </w:t>
      </w:r>
      <w:r>
        <w:rPr>
          <w:rFonts w:hint="eastAsia" w:asciiTheme="minorEastAsia" w:hAnsiTheme="minorEastAsia" w:eastAsiaTheme="minorEastAsia" w:cstheme="minorEastAsia"/>
          <w:bCs/>
          <w:highlight w:val="none"/>
        </w:rPr>
        <w:t>动火作业按要求办理好动火作业工作票，注意火星的控制，以及动火操作的规范。</w:t>
      </w:r>
    </w:p>
    <w:p w14:paraId="22CB6B59">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.2.</w:t>
      </w:r>
      <w:r>
        <w:rPr>
          <w:rFonts w:hint="eastAsia" w:asciiTheme="minorEastAsia" w:hAnsiTheme="minorEastAsia" w:eastAsiaTheme="minorEastAsia" w:cstheme="minorEastAsia"/>
          <w:bCs/>
          <w:highlight w:val="none"/>
          <w:lang w:val="en-US" w:eastAsia="zh-CN"/>
        </w:rPr>
        <w:t xml:space="preserve">5 </w:t>
      </w:r>
      <w:r>
        <w:rPr>
          <w:rFonts w:hint="eastAsia" w:asciiTheme="minorEastAsia" w:hAnsiTheme="minorEastAsia" w:eastAsiaTheme="minorEastAsia" w:cstheme="minorEastAsia"/>
          <w:bCs/>
          <w:highlight w:val="none"/>
        </w:rPr>
        <w:t>容器内作业注意通风，外部设专业监护，防止中毒窒息。</w:t>
      </w:r>
    </w:p>
    <w:p w14:paraId="7CC9438A">
      <w:pPr>
        <w:widowControl w:val="0"/>
        <w:spacing w:line="360" w:lineRule="auto"/>
        <w:ind w:firstLine="0" w:firstLineChars="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.2.</w:t>
      </w:r>
      <w:r>
        <w:rPr>
          <w:rFonts w:hint="eastAsia" w:asciiTheme="minorEastAsia" w:hAnsiTheme="minorEastAsia" w:eastAsiaTheme="minorEastAsia" w:cstheme="minorEastAsia"/>
          <w:bCs/>
          <w:highlight w:val="none"/>
          <w:lang w:val="en-US" w:eastAsia="zh-CN"/>
        </w:rPr>
        <w:t xml:space="preserve">6 </w:t>
      </w:r>
      <w:r>
        <w:rPr>
          <w:rFonts w:hint="eastAsia" w:asciiTheme="minorEastAsia" w:hAnsiTheme="minorEastAsia" w:eastAsiaTheme="minorEastAsia" w:cstheme="minorEastAsia"/>
          <w:bCs/>
          <w:highlight w:val="none"/>
        </w:rPr>
        <w:t>必须严格遵守安全监察部制定的八大特殊作业等安全管理制度要求。</w:t>
      </w:r>
    </w:p>
    <w:p w14:paraId="425FB6F8">
      <w:pPr>
        <w:widowControl w:val="0"/>
        <w:spacing w:line="360" w:lineRule="auto"/>
        <w:ind w:firstLine="0" w:firstLineChars="0"/>
        <w:rPr>
          <w:rFonts w:hint="default"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.3</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安全生产</w:t>
      </w:r>
      <w:r>
        <w:rPr>
          <w:rFonts w:hint="eastAsia" w:asciiTheme="minorEastAsia" w:hAnsiTheme="minorEastAsia" w:eastAsiaTheme="minorEastAsia" w:cstheme="minorEastAsia"/>
          <w:bCs/>
          <w:highlight w:val="none"/>
          <w:lang w:val="en-US" w:eastAsia="zh-CN"/>
        </w:rPr>
        <w:t>七大禁令</w:t>
      </w:r>
    </w:p>
    <w:p w14:paraId="6A28E487">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.3.1</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严禁在生产装置区内吸烟。</w:t>
      </w:r>
    </w:p>
    <w:p w14:paraId="11099177">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.3.2</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严禁高处作业不使用安全带。</w:t>
      </w:r>
    </w:p>
    <w:p w14:paraId="6BDE0710">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.3.3</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严禁违章指挥、强令他人违章冒险作业。</w:t>
      </w:r>
    </w:p>
    <w:p w14:paraId="0EA25164">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.3.4</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严禁未经许可进行受限空间作业、动火作业。</w:t>
      </w:r>
    </w:p>
    <w:p w14:paraId="3CC12C4D">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.3.5</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严禁无证进行电气、架子、叉车、电气焊作业。</w:t>
      </w:r>
    </w:p>
    <w:p w14:paraId="4F5BE1DE">
      <w:pPr>
        <w:widowControl w:val="0"/>
        <w:spacing w:line="360" w:lineRule="auto"/>
        <w:ind w:firstLine="0" w:firstLineChars="0"/>
        <w:rPr>
          <w:rFonts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.3.6</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严禁未经审批或许可，取消或</w:t>
      </w:r>
      <w:r>
        <w:rPr>
          <w:rFonts w:hint="eastAsia" w:asciiTheme="minorEastAsia" w:hAnsiTheme="minorEastAsia" w:eastAsiaTheme="minorEastAsia" w:cstheme="minorEastAsia"/>
          <w:bCs/>
          <w:highlight w:val="none"/>
          <w:lang w:val="en-US" w:eastAsia="zh-CN"/>
        </w:rPr>
        <w:t>退出</w:t>
      </w:r>
      <w:r>
        <w:rPr>
          <w:rFonts w:hint="eastAsia" w:asciiTheme="minorEastAsia" w:hAnsiTheme="minorEastAsia" w:eastAsiaTheme="minorEastAsia" w:cstheme="minorEastAsia"/>
          <w:bCs/>
          <w:highlight w:val="none"/>
        </w:rPr>
        <w:t>安全联锁。</w:t>
      </w:r>
    </w:p>
    <w:p w14:paraId="7717DBF4">
      <w:pPr>
        <w:widowControl w:val="0"/>
        <w:spacing w:line="360" w:lineRule="auto"/>
        <w:ind w:firstLine="0" w:firstLineChars="0"/>
        <w:rPr>
          <w:rFonts w:hint="eastAsia" w:asciiTheme="minorEastAsia" w:hAnsiTheme="minorEastAsia" w:eastAsiaTheme="minorEastAsia" w:cstheme="minorEastAsia"/>
          <w:bCs/>
          <w:highlight w:val="none"/>
        </w:rPr>
      </w:pPr>
      <w:r>
        <w:rPr>
          <w:rFonts w:hint="eastAsia" w:asciiTheme="minorEastAsia" w:hAnsiTheme="minorEastAsia" w:eastAsiaTheme="minorEastAsia" w:cstheme="minorEastAsia"/>
          <w:bCs/>
          <w:highlight w:val="none"/>
          <w:lang w:val="en-US" w:eastAsia="zh-CN"/>
        </w:rPr>
        <w:t>7</w:t>
      </w:r>
      <w:r>
        <w:rPr>
          <w:rFonts w:hint="eastAsia" w:asciiTheme="minorEastAsia" w:hAnsiTheme="minorEastAsia" w:eastAsiaTheme="minorEastAsia" w:cstheme="minorEastAsia"/>
          <w:bCs/>
          <w:highlight w:val="none"/>
        </w:rPr>
        <w:t>.</w:t>
      </w:r>
      <w:r>
        <w:rPr>
          <w:rFonts w:hint="eastAsia" w:asciiTheme="minorEastAsia" w:hAnsiTheme="minorEastAsia" w:eastAsiaTheme="minorEastAsia" w:cstheme="minorEastAsia"/>
          <w:bCs/>
          <w:highlight w:val="none"/>
          <w:lang w:eastAsia="zh-CN"/>
        </w:rPr>
        <w:t>3.</w:t>
      </w:r>
      <w:r>
        <w:rPr>
          <w:rFonts w:hint="default" w:asciiTheme="minorEastAsia" w:hAnsiTheme="minorEastAsia" w:eastAsiaTheme="minorEastAsia" w:cstheme="minorEastAsia"/>
          <w:bCs/>
          <w:highlight w:val="none"/>
          <w:lang w:eastAsia="zh-CN"/>
        </w:rPr>
        <w:t>7</w:t>
      </w:r>
      <w:r>
        <w:rPr>
          <w:rFonts w:hint="eastAsia" w:asciiTheme="minorEastAsia" w:hAnsiTheme="minorEastAsia" w:eastAsiaTheme="minorEastAsia" w:cstheme="minorEastAsia"/>
          <w:bCs/>
          <w:highlight w:val="none"/>
          <w:lang w:val="en-US" w:eastAsia="zh-CN"/>
        </w:rPr>
        <w:t xml:space="preserve"> </w:t>
      </w:r>
      <w:r>
        <w:rPr>
          <w:rFonts w:hint="eastAsia" w:asciiTheme="minorEastAsia" w:hAnsiTheme="minorEastAsia" w:eastAsiaTheme="minorEastAsia" w:cstheme="minorEastAsia"/>
          <w:bCs/>
          <w:highlight w:val="none"/>
        </w:rPr>
        <w:t>严禁未经许可关闭、破坏直接关系生产安全的报警、防护、救生设备</w:t>
      </w:r>
      <w:r>
        <w:rPr>
          <w:rFonts w:hint="eastAsia" w:asciiTheme="minorEastAsia" w:hAnsiTheme="minorEastAsia" w:eastAsiaTheme="minorEastAsia" w:cstheme="minorEastAsia"/>
          <w:bCs/>
          <w:highlight w:val="none"/>
          <w:lang w:eastAsia="zh-CN"/>
        </w:rPr>
        <w:t>、</w:t>
      </w:r>
      <w:r>
        <w:rPr>
          <w:rFonts w:hint="eastAsia" w:asciiTheme="minorEastAsia" w:hAnsiTheme="minorEastAsia" w:eastAsiaTheme="minorEastAsia" w:cstheme="minorEastAsia"/>
          <w:bCs/>
          <w:highlight w:val="none"/>
        </w:rPr>
        <w:t>设施，不得篡改、销毁其相关数据</w:t>
      </w:r>
      <w:r>
        <w:rPr>
          <w:rFonts w:hint="eastAsia" w:asciiTheme="minorEastAsia" w:hAnsiTheme="minorEastAsia" w:eastAsiaTheme="minorEastAsia" w:cstheme="minorEastAsia"/>
          <w:bCs/>
          <w:highlight w:val="none"/>
          <w:lang w:eastAsia="zh-CN"/>
        </w:rPr>
        <w:t>、</w:t>
      </w:r>
      <w:r>
        <w:rPr>
          <w:rFonts w:hint="eastAsia" w:asciiTheme="minorEastAsia" w:hAnsiTheme="minorEastAsia" w:eastAsiaTheme="minorEastAsia" w:cstheme="minorEastAsia"/>
          <w:bCs/>
          <w:highlight w:val="none"/>
        </w:rPr>
        <w:t>信息。</w:t>
      </w:r>
    </w:p>
    <w:p w14:paraId="612FBBC6">
      <w:pPr>
        <w:pStyle w:val="76"/>
        <w:spacing w:line="360" w:lineRule="auto"/>
        <w:jc w:val="both"/>
        <w:outlineLvl w:val="0"/>
        <w:rPr>
          <w:rFonts w:hint="eastAsia" w:asciiTheme="minorEastAsia" w:hAnsiTheme="minorEastAsia" w:eastAsiaTheme="minorEastAsia" w:cstheme="minorEastAsia"/>
          <w:b/>
          <w:bCs w:val="0"/>
          <w:sz w:val="24"/>
          <w:szCs w:val="24"/>
          <w:highlight w:val="none"/>
        </w:rPr>
      </w:pPr>
      <w:bookmarkStart w:id="41" w:name="_Toc6103"/>
      <w:bookmarkStart w:id="42" w:name="_Toc27224"/>
      <w:bookmarkStart w:id="43" w:name="_Toc10750"/>
      <w:r>
        <w:rPr>
          <w:rFonts w:hint="eastAsia" w:asciiTheme="minorEastAsia" w:hAnsiTheme="minorEastAsia" w:eastAsiaTheme="minorEastAsia" w:cstheme="minorEastAsia"/>
          <w:b/>
          <w:bCs w:val="0"/>
          <w:sz w:val="24"/>
          <w:szCs w:val="24"/>
          <w:highlight w:val="none"/>
          <w:lang w:val="en-US" w:eastAsia="zh-CN"/>
        </w:rPr>
        <w:t>8</w:t>
      </w:r>
      <w:r>
        <w:rPr>
          <w:rFonts w:hint="eastAsia" w:asciiTheme="minorEastAsia" w:hAnsiTheme="minorEastAsia" w:eastAsiaTheme="minorEastAsia" w:cstheme="minorEastAsia"/>
          <w:b/>
          <w:bCs w:val="0"/>
          <w:sz w:val="24"/>
          <w:szCs w:val="24"/>
          <w:highlight w:val="none"/>
        </w:rPr>
        <w:t xml:space="preserve"> 双方职责</w:t>
      </w:r>
      <w:bookmarkEnd w:id="41"/>
      <w:bookmarkEnd w:id="42"/>
      <w:bookmarkEnd w:id="43"/>
    </w:p>
    <w:p w14:paraId="7A2F1AD6">
      <w:pPr>
        <w:spacing w:line="360" w:lineRule="auto"/>
        <w:ind w:left="482" w:hanging="480" w:hangingChars="200"/>
        <w:rPr>
          <w:rFonts w:hint="eastAsia" w:asciiTheme="minorEastAsia" w:hAnsiTheme="minorEastAsia" w:eastAsiaTheme="minorEastAsia" w:cstheme="minorEastAsia"/>
          <w:b w:val="0"/>
          <w:bCs w:val="0"/>
          <w:szCs w:val="24"/>
          <w:highlight w:val="none"/>
        </w:rPr>
      </w:pPr>
      <w:r>
        <w:rPr>
          <w:rFonts w:hint="eastAsia" w:asciiTheme="minorEastAsia" w:hAnsiTheme="minorEastAsia" w:eastAsiaTheme="minorEastAsia" w:cstheme="minorEastAsia"/>
          <w:b w:val="0"/>
          <w:bCs w:val="0"/>
          <w:szCs w:val="24"/>
          <w:highlight w:val="none"/>
          <w:lang w:val="en-US" w:eastAsia="zh-CN"/>
        </w:rPr>
        <w:t>8</w:t>
      </w:r>
      <w:r>
        <w:rPr>
          <w:rFonts w:hint="eastAsia" w:asciiTheme="minorEastAsia" w:hAnsiTheme="minorEastAsia" w:eastAsiaTheme="minorEastAsia" w:cstheme="minorEastAsia"/>
          <w:b w:val="0"/>
          <w:bCs w:val="0"/>
          <w:szCs w:val="24"/>
          <w:highlight w:val="none"/>
        </w:rPr>
        <w:t>.1 招标方职责</w:t>
      </w:r>
    </w:p>
    <w:p w14:paraId="568433D2">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.1.1</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对安全管理实行统一牵头、统一指挥、统一管理及考核，对存在的各类安全隐患及时督促整改。</w:t>
      </w:r>
    </w:p>
    <w:p w14:paraId="1F67BDDC">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.1.2</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对投标方提出的各种生产技术方案进行审核和批准。</w:t>
      </w:r>
    </w:p>
    <w:p w14:paraId="7CE3004A">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.1.3</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根据投标方提交招标方的</w:t>
      </w:r>
      <w:r>
        <w:rPr>
          <w:rFonts w:hint="eastAsia" w:asciiTheme="minorEastAsia" w:hAnsiTheme="minorEastAsia" w:eastAsiaTheme="minorEastAsia" w:cstheme="minorEastAsia"/>
          <w:bCs/>
          <w:szCs w:val="24"/>
          <w:highlight w:val="none"/>
          <w:lang w:val="en-US" w:eastAsia="zh-CN"/>
        </w:rPr>
        <w:t>项目施工材料</w:t>
      </w:r>
      <w:r>
        <w:rPr>
          <w:rFonts w:hint="eastAsia" w:asciiTheme="minorEastAsia" w:hAnsiTheme="minorEastAsia" w:eastAsiaTheme="minorEastAsia" w:cstheme="minorEastAsia"/>
          <w:bCs/>
          <w:szCs w:val="24"/>
          <w:highlight w:val="none"/>
        </w:rPr>
        <w:t>需求计划,负责对</w:t>
      </w:r>
      <w:r>
        <w:rPr>
          <w:rFonts w:hint="eastAsia" w:asciiTheme="minorEastAsia" w:hAnsiTheme="minorEastAsia" w:eastAsiaTheme="minorEastAsia" w:cstheme="minorEastAsia"/>
          <w:bCs/>
          <w:szCs w:val="24"/>
          <w:highlight w:val="none"/>
          <w:lang w:val="en-US" w:eastAsia="zh-CN"/>
        </w:rPr>
        <w:t>项目施工材料</w:t>
      </w:r>
      <w:r>
        <w:rPr>
          <w:rFonts w:hint="eastAsia" w:asciiTheme="minorEastAsia" w:hAnsiTheme="minorEastAsia" w:eastAsiaTheme="minorEastAsia" w:cstheme="minorEastAsia"/>
          <w:bCs/>
          <w:szCs w:val="24"/>
          <w:highlight w:val="none"/>
        </w:rPr>
        <w:t>核实、配置和供给。</w:t>
      </w:r>
    </w:p>
    <w:p w14:paraId="5D1D0EDC">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.1.4</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根据招标方的相关事故调查规定，当发生不安全情况时</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rPr>
        <w:t>必要时组织投标方进行事故调查处理。</w:t>
      </w:r>
    </w:p>
    <w:p w14:paraId="0F6EE7C6">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.1.5</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向投标方提供有关设备资料及有关生产、管理需要的上级文件，并及时答复投标方提出的有关生产、管理中发生的问题。</w:t>
      </w:r>
    </w:p>
    <w:p w14:paraId="1F6BD08F">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.1.6</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向投标方提供必要的生产和办公场所，负责投标方与</w:t>
      </w:r>
      <w:r>
        <w:rPr>
          <w:rFonts w:hint="eastAsia" w:asciiTheme="minorEastAsia" w:hAnsiTheme="minorEastAsia" w:eastAsiaTheme="minorEastAsia" w:cstheme="minorEastAsia"/>
          <w:bCs/>
          <w:szCs w:val="24"/>
          <w:highlight w:val="none"/>
          <w:lang w:eastAsia="zh-CN"/>
        </w:rPr>
        <w:t>其他</w:t>
      </w:r>
      <w:r>
        <w:rPr>
          <w:rFonts w:hint="eastAsia" w:asciiTheme="minorEastAsia" w:hAnsiTheme="minorEastAsia" w:eastAsiaTheme="minorEastAsia" w:cstheme="minorEastAsia"/>
          <w:bCs/>
          <w:szCs w:val="24"/>
          <w:highlight w:val="none"/>
        </w:rPr>
        <w:t>相关单位的工作协调。</w:t>
      </w:r>
      <w:r>
        <w:rPr>
          <w:rFonts w:asciiTheme="minorEastAsia" w:hAnsiTheme="minorEastAsia" w:eastAsiaTheme="minorEastAsia" w:cstheme="minorEastAsia"/>
          <w:bCs/>
          <w:szCs w:val="24"/>
          <w:highlight w:val="none"/>
        </w:rPr>
        <w:t xml:space="preserve">  </w:t>
      </w:r>
    </w:p>
    <w:p w14:paraId="4332D4CE">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.1.7</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按本承包合同规定，及时向投标方支付工程款。</w:t>
      </w:r>
    </w:p>
    <w:p w14:paraId="03B9F483">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.1.8</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参加设备重大缺陷处理的验收工作。</w:t>
      </w:r>
    </w:p>
    <w:p w14:paraId="34BD8FD3">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.1.9</w:t>
      </w:r>
      <w:r>
        <w:rPr>
          <w:rFonts w:hint="eastAsia" w:asciiTheme="minorEastAsia" w:hAnsiTheme="minorEastAsia" w:eastAsiaTheme="minorEastAsia" w:cstheme="minorEastAsia"/>
          <w:bCs/>
          <w:szCs w:val="24"/>
          <w:highlight w:val="none"/>
          <w:lang w:val="en-US" w:eastAsia="zh-CN"/>
        </w:rPr>
        <w:t xml:space="preserve"> </w:t>
      </w:r>
      <w:r>
        <w:rPr>
          <w:rFonts w:hint="eastAsia" w:asciiTheme="minorEastAsia" w:hAnsiTheme="minorEastAsia" w:eastAsiaTheme="minorEastAsia" w:cstheme="minorEastAsia"/>
          <w:bCs/>
          <w:szCs w:val="24"/>
          <w:highlight w:val="none"/>
        </w:rPr>
        <w:t>设备维护所</w:t>
      </w:r>
      <w:r>
        <w:rPr>
          <w:rFonts w:hint="eastAsia" w:asciiTheme="minorEastAsia" w:hAnsiTheme="minorEastAsia" w:eastAsiaTheme="minorEastAsia" w:cstheme="minorEastAsia"/>
          <w:bCs/>
          <w:szCs w:val="24"/>
          <w:highlight w:val="none"/>
          <w:lang w:eastAsia="zh-CN"/>
        </w:rPr>
        <w:t>需</w:t>
      </w:r>
      <w:r>
        <w:rPr>
          <w:rFonts w:hint="eastAsia" w:asciiTheme="minorEastAsia" w:hAnsiTheme="minorEastAsia" w:eastAsiaTheme="minorEastAsia" w:cstheme="minorEastAsia"/>
          <w:bCs/>
          <w:szCs w:val="24"/>
          <w:highlight w:val="none"/>
        </w:rPr>
        <w:t>的机动车辆及移动的起重设备由招标方统一负责协调。</w:t>
      </w:r>
    </w:p>
    <w:p w14:paraId="09AEBE9C">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.1.10 及时做好工程量签证工作。</w:t>
      </w:r>
    </w:p>
    <w:p w14:paraId="1D2913E3">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.1.11 协助投标方顺利开展各项工作并完成相关手续。</w:t>
      </w:r>
    </w:p>
    <w:p w14:paraId="3009D425">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.1.12 对投标方工作人员进行安全教育及考试，做好安全技术交底。</w:t>
      </w:r>
    </w:p>
    <w:p w14:paraId="7D8C375B">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.1.13 负责工作时所需工作票的签发。</w:t>
      </w:r>
    </w:p>
    <w:p w14:paraId="02822198">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.1.14 有权对投标方的工作不规范、质量不合格</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lang w:val="en-US" w:eastAsia="zh-CN"/>
        </w:rPr>
        <w:t>违反招标方安全管理制度</w:t>
      </w:r>
      <w:r>
        <w:rPr>
          <w:rFonts w:hint="eastAsia" w:asciiTheme="minorEastAsia" w:hAnsiTheme="minorEastAsia" w:eastAsiaTheme="minorEastAsia" w:cstheme="minorEastAsia"/>
          <w:bCs/>
          <w:szCs w:val="24"/>
          <w:highlight w:val="none"/>
        </w:rPr>
        <w:t>等情况进行考核。</w:t>
      </w:r>
    </w:p>
    <w:p w14:paraId="59BD159B">
      <w:pPr>
        <w:spacing w:line="360" w:lineRule="auto"/>
        <w:rPr>
          <w:rFonts w:hint="eastAsia" w:asciiTheme="minorEastAsia" w:hAnsiTheme="minorEastAsia" w:eastAsiaTheme="minorEastAsia" w:cstheme="minorEastAsia"/>
          <w:bCs/>
          <w:spacing w:val="0"/>
          <w:sz w:val="24"/>
          <w:szCs w:val="24"/>
          <w:highlight w:val="none"/>
        </w:rPr>
      </w:pPr>
      <w:r>
        <w:rPr>
          <w:rFonts w:hint="eastAsia" w:asciiTheme="minorEastAsia" w:hAnsiTheme="minorEastAsia" w:eastAsiaTheme="minorEastAsia" w:cstheme="minorEastAsia"/>
          <w:bCs/>
          <w:szCs w:val="24"/>
          <w:highlight w:val="none"/>
          <w:lang w:val="en-US" w:eastAsia="zh-CN"/>
        </w:rPr>
        <w:t>8.1.15 投标方对租赁的</w:t>
      </w:r>
      <w:r>
        <w:rPr>
          <w:rFonts w:hint="eastAsia" w:asciiTheme="minorEastAsia" w:hAnsiTheme="minorEastAsia" w:eastAsiaTheme="minorEastAsia" w:cstheme="minorEastAsia"/>
          <w:bCs/>
          <w:spacing w:val="0"/>
          <w:sz w:val="24"/>
          <w:szCs w:val="24"/>
          <w:highlight w:val="none"/>
        </w:rPr>
        <w:t>到货扣件每批次进行抽检称重5袋，对每袋数量进行清点，对应总计到货数量进行该批次到货总数的查验。</w:t>
      </w:r>
    </w:p>
    <w:p w14:paraId="0181C702">
      <w:pPr>
        <w:spacing w:line="360" w:lineRule="auto"/>
        <w:rPr>
          <w:rFonts w:hint="eastAsia" w:asciiTheme="minorEastAsia" w:hAnsiTheme="minorEastAsia" w:eastAsiaTheme="minorEastAsia" w:cstheme="minorEastAsia"/>
          <w:spacing w:val="8"/>
          <w:sz w:val="24"/>
          <w:szCs w:val="24"/>
          <w:highlight w:val="none"/>
          <w:lang w:val="en-US" w:eastAsia="zh-CN"/>
        </w:rPr>
      </w:pPr>
      <w:r>
        <w:rPr>
          <w:rFonts w:hint="eastAsia" w:asciiTheme="minorEastAsia" w:hAnsiTheme="minorEastAsia" w:eastAsiaTheme="minorEastAsia" w:cstheme="minorEastAsia"/>
          <w:bCs/>
          <w:spacing w:val="0"/>
          <w:sz w:val="24"/>
          <w:szCs w:val="24"/>
          <w:highlight w:val="none"/>
          <w:lang w:val="en-US" w:eastAsia="zh-CN"/>
        </w:rPr>
        <w:t xml:space="preserve">8.1.16 </w:t>
      </w:r>
      <w:r>
        <w:rPr>
          <w:rFonts w:hint="eastAsia" w:asciiTheme="minorEastAsia" w:hAnsiTheme="minorEastAsia" w:eastAsiaTheme="minorEastAsia" w:cstheme="minorEastAsia"/>
          <w:bCs/>
          <w:spacing w:val="0"/>
          <w:sz w:val="24"/>
          <w:szCs w:val="24"/>
          <w:highlight w:val="none"/>
        </w:rPr>
        <w:t>招标方材料使用完成后，应按照进场标记做好分类，并如实填写《租赁脚手架归还验收单》，经双方确认签字归档。</w:t>
      </w:r>
    </w:p>
    <w:p w14:paraId="14659A47">
      <w:pPr>
        <w:spacing w:line="360" w:lineRule="auto"/>
        <w:ind w:left="482" w:hanging="480" w:hangingChars="200"/>
        <w:rPr>
          <w:rFonts w:hint="eastAsia" w:asciiTheme="minorEastAsia" w:hAnsiTheme="minorEastAsia" w:eastAsiaTheme="minorEastAsia" w:cstheme="minorEastAsia"/>
          <w:b w:val="0"/>
          <w:bCs w:val="0"/>
          <w:szCs w:val="24"/>
          <w:highlight w:val="none"/>
        </w:rPr>
      </w:pPr>
      <w:r>
        <w:rPr>
          <w:rFonts w:hint="eastAsia" w:asciiTheme="minorEastAsia" w:hAnsiTheme="minorEastAsia" w:eastAsiaTheme="minorEastAsia" w:cstheme="minorEastAsia"/>
          <w:b w:val="0"/>
          <w:bCs w:val="0"/>
          <w:szCs w:val="24"/>
          <w:highlight w:val="none"/>
          <w:lang w:val="en-US" w:eastAsia="zh-CN"/>
        </w:rPr>
        <w:t>8</w:t>
      </w:r>
      <w:r>
        <w:rPr>
          <w:rFonts w:hint="eastAsia" w:asciiTheme="minorEastAsia" w:hAnsiTheme="minorEastAsia" w:eastAsiaTheme="minorEastAsia" w:cstheme="minorEastAsia"/>
          <w:b w:val="0"/>
          <w:bCs w:val="0"/>
          <w:szCs w:val="24"/>
          <w:highlight w:val="none"/>
        </w:rPr>
        <w:t>.2 投标方职责</w:t>
      </w:r>
    </w:p>
    <w:p w14:paraId="0B29EC02">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rPr>
        <w:t>8.2.</w:t>
      </w:r>
      <w:r>
        <w:rPr>
          <w:rFonts w:hint="eastAsia" w:asciiTheme="minorEastAsia" w:hAnsiTheme="minorEastAsia" w:eastAsiaTheme="minorEastAsia" w:cstheme="minorEastAsia"/>
          <w:bCs/>
          <w:szCs w:val="24"/>
          <w:highlight w:val="none"/>
          <w:lang w:val="en-US" w:eastAsia="zh-CN"/>
        </w:rPr>
        <w:t xml:space="preserve">1 </w:t>
      </w:r>
      <w:r>
        <w:rPr>
          <w:rFonts w:hint="eastAsia" w:asciiTheme="minorEastAsia" w:hAnsiTheme="minorEastAsia" w:eastAsiaTheme="minorEastAsia" w:cstheme="minorEastAsia"/>
          <w:bCs/>
          <w:szCs w:val="24"/>
          <w:highlight w:val="none"/>
        </w:rPr>
        <w:t>投标方应满足招标方连续生产的检修需要，应安排足够的夜间值班人员和处理缺陷的应急人员。尤其是在节假日期间，投标方必须保证在招标方现场留有足够的维护力量，保证</w:t>
      </w:r>
      <w:r>
        <w:rPr>
          <w:rFonts w:hint="eastAsia" w:asciiTheme="minorEastAsia" w:hAnsiTheme="minorEastAsia" w:eastAsiaTheme="minorEastAsia" w:cstheme="minorEastAsia"/>
          <w:bCs/>
          <w:szCs w:val="24"/>
          <w:highlight w:val="none"/>
          <w:lang w:eastAsia="zh-CN"/>
        </w:rPr>
        <w:t>通信畅通</w:t>
      </w:r>
      <w:r>
        <w:rPr>
          <w:rFonts w:hint="eastAsia" w:asciiTheme="minorEastAsia" w:hAnsiTheme="minorEastAsia" w:eastAsiaTheme="minorEastAsia" w:cstheme="minorEastAsia"/>
          <w:bCs/>
          <w:szCs w:val="24"/>
          <w:highlight w:val="none"/>
        </w:rPr>
        <w:t>，确保维修及时，节假日前一周应将上班和休息人员报招标方归口管理部门，并经同意后方可安排。</w:t>
      </w:r>
    </w:p>
    <w:p w14:paraId="20516C3E">
      <w:pPr>
        <w:spacing w:line="360" w:lineRule="auto"/>
        <w:rPr>
          <w:rFonts w:asciiTheme="minorEastAsia" w:hAnsiTheme="minorEastAsia" w:eastAsiaTheme="minorEastAsia" w:cstheme="minorEastAsia"/>
          <w:bCs/>
          <w:szCs w:val="24"/>
          <w:highlight w:val="none"/>
        </w:rPr>
      </w:pPr>
      <w:r>
        <w:rPr>
          <w:rFonts w:hint="default" w:asciiTheme="minorEastAsia" w:hAnsiTheme="minorEastAsia" w:eastAsiaTheme="minorEastAsia" w:cstheme="minorEastAsia"/>
          <w:bCs/>
          <w:szCs w:val="24"/>
          <w:highlight w:val="none"/>
        </w:rPr>
        <w:t>8.2.</w:t>
      </w:r>
      <w:r>
        <w:rPr>
          <w:rFonts w:hint="eastAsia" w:asciiTheme="minorEastAsia" w:hAnsiTheme="minorEastAsia" w:eastAsiaTheme="minorEastAsia" w:cstheme="minorEastAsia"/>
          <w:bCs/>
          <w:szCs w:val="24"/>
          <w:highlight w:val="none"/>
          <w:lang w:val="en-US" w:eastAsia="zh-CN"/>
        </w:rPr>
        <w:t xml:space="preserve">2 </w:t>
      </w:r>
      <w:r>
        <w:rPr>
          <w:rFonts w:hint="eastAsia" w:asciiTheme="minorEastAsia" w:hAnsiTheme="minorEastAsia" w:eastAsiaTheme="minorEastAsia" w:cstheme="minorEastAsia"/>
          <w:bCs/>
          <w:szCs w:val="24"/>
          <w:highlight w:val="none"/>
        </w:rPr>
        <w:t>投标方应建立自己的考勤制度，投标方考勤员应在每天上班后半小时内将当日人员出勤情况记录完成，随时接受检查，且每月向招标方提交，以招标方生产厂区门禁或人员定位卡为准。投标方人员休假原则上由投标方自行安排，但投标方主要管理人员（班组长及以上人员）离开招标方现场三天及以上的，必须到招标方归口管理部门办理书面请假手续，否则，不得随意离开招标方现场。</w:t>
      </w:r>
    </w:p>
    <w:p w14:paraId="50C82B90">
      <w:pPr>
        <w:spacing w:line="360" w:lineRule="auto"/>
        <w:rPr>
          <w:rFonts w:asciiTheme="minorEastAsia" w:hAnsiTheme="minorEastAsia" w:eastAsiaTheme="minorEastAsia" w:cstheme="minorEastAsia"/>
          <w:bCs/>
          <w:szCs w:val="24"/>
          <w:highlight w:val="none"/>
        </w:rPr>
      </w:pPr>
      <w:r>
        <w:rPr>
          <w:rFonts w:hint="default" w:asciiTheme="minorEastAsia" w:hAnsiTheme="minorEastAsia" w:eastAsiaTheme="minorEastAsia" w:cstheme="minorEastAsia"/>
          <w:bCs/>
          <w:szCs w:val="24"/>
          <w:highlight w:val="none"/>
        </w:rPr>
        <w:t>8.2.</w:t>
      </w:r>
      <w:r>
        <w:rPr>
          <w:rFonts w:hint="eastAsia" w:asciiTheme="minorEastAsia" w:hAnsiTheme="minorEastAsia" w:eastAsiaTheme="minorEastAsia" w:cstheme="minorEastAsia"/>
          <w:bCs/>
          <w:szCs w:val="24"/>
          <w:highlight w:val="none"/>
          <w:lang w:val="en-US" w:eastAsia="zh-CN"/>
        </w:rPr>
        <w:t xml:space="preserve">3 </w:t>
      </w:r>
      <w:r>
        <w:rPr>
          <w:rFonts w:hint="eastAsia" w:asciiTheme="minorEastAsia" w:hAnsiTheme="minorEastAsia" w:eastAsiaTheme="minorEastAsia" w:cstheme="minorEastAsia"/>
          <w:bCs/>
          <w:szCs w:val="24"/>
          <w:highlight w:val="none"/>
        </w:rPr>
        <w:t>投标方所有人员的配备应在经招标方考核（笔试、面试、实操考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03BD2C08">
      <w:pPr>
        <w:spacing w:line="360" w:lineRule="auto"/>
        <w:rPr>
          <w:rFonts w:asciiTheme="minorEastAsia" w:hAnsiTheme="minorEastAsia" w:eastAsiaTheme="minorEastAsia" w:cstheme="minorEastAsia"/>
          <w:bCs/>
          <w:szCs w:val="24"/>
          <w:highlight w:val="none"/>
        </w:rPr>
      </w:pPr>
      <w:r>
        <w:rPr>
          <w:rStyle w:val="358"/>
          <w:rFonts w:hint="default" w:ascii="宋体" w:hAnsi="宋体" w:eastAsia="宋体" w:cs="宋体"/>
          <w:bCs/>
          <w:highlight w:val="none"/>
        </w:rPr>
        <w:t>8.2.</w:t>
      </w:r>
      <w:r>
        <w:rPr>
          <w:rStyle w:val="358"/>
          <w:rFonts w:hint="eastAsia" w:ascii="宋体" w:hAnsi="宋体" w:cs="宋体"/>
          <w:bCs/>
          <w:highlight w:val="none"/>
          <w:lang w:val="en-US" w:eastAsia="zh-CN"/>
        </w:rPr>
        <w:t xml:space="preserve">4 </w:t>
      </w:r>
      <w:r>
        <w:rPr>
          <w:rStyle w:val="358"/>
          <w:rFonts w:hint="eastAsia" w:ascii="宋体" w:hAnsi="宋体" w:eastAsia="宋体" w:cs="宋体"/>
          <w:bCs/>
          <w:highlight w:val="none"/>
        </w:rPr>
        <w:t>投标方服务人员原则必须在法定工作年龄</w:t>
      </w:r>
      <w:r>
        <w:rPr>
          <w:rFonts w:hint="eastAsia" w:ascii="宋体" w:hAnsi="宋体" w:cs="宋体"/>
          <w:bCs/>
          <w:highlight w:val="none"/>
        </w:rPr>
        <w:t>（特殊工种</w:t>
      </w:r>
      <w:r>
        <w:rPr>
          <w:rFonts w:hint="eastAsia" w:ascii="宋体" w:hAnsi="宋体" w:cs="宋体"/>
          <w:bCs/>
          <w:highlight w:val="none"/>
          <w:lang w:val="en-US" w:eastAsia="zh-CN"/>
        </w:rPr>
        <w:t>年龄</w:t>
      </w:r>
      <w:r>
        <w:rPr>
          <w:rFonts w:hint="eastAsia" w:ascii="宋体" w:hAnsi="宋体" w:cs="宋体"/>
          <w:bCs/>
          <w:highlight w:val="none"/>
        </w:rPr>
        <w:t>5</w:t>
      </w:r>
      <w:r>
        <w:rPr>
          <w:rFonts w:hint="eastAsia" w:ascii="宋体" w:hAnsi="宋体" w:cs="宋体"/>
          <w:bCs/>
          <w:highlight w:val="none"/>
          <w:lang w:eastAsia="zh-CN"/>
        </w:rPr>
        <w:t>5</w:t>
      </w:r>
      <w:r>
        <w:rPr>
          <w:rFonts w:hint="eastAsia" w:ascii="宋体" w:hAnsi="宋体" w:cs="宋体"/>
          <w:bCs/>
          <w:highlight w:val="none"/>
        </w:rPr>
        <w:t>岁以下）</w:t>
      </w:r>
      <w:r>
        <w:rPr>
          <w:rStyle w:val="358"/>
          <w:rFonts w:hint="eastAsia" w:ascii="宋体" w:hAnsi="宋体" w:eastAsia="宋体" w:cs="宋体"/>
          <w:bCs/>
          <w:highlight w:val="none"/>
        </w:rPr>
        <w:t>，身体健康，确保无色盲，无听觉障碍，无高血压、心脏病、癫痫、眩晕和突发性昏厥，无恐高症、低血糖等疾病，无职业病、职业禁忌等，按照相关</w:t>
      </w:r>
      <w:r>
        <w:rPr>
          <w:rStyle w:val="358"/>
          <w:rFonts w:hint="eastAsia" w:ascii="宋体" w:hAnsi="宋体" w:cs="宋体"/>
          <w:bCs/>
          <w:highlight w:val="none"/>
          <w:lang w:eastAsia="zh-CN"/>
        </w:rPr>
        <w:t>法律法规</w:t>
      </w:r>
      <w:r>
        <w:rPr>
          <w:rStyle w:val="358"/>
          <w:rFonts w:hint="eastAsia" w:ascii="宋体" w:hAnsi="宋体" w:eastAsia="宋体" w:cs="宋体"/>
          <w:bCs/>
          <w:highlight w:val="none"/>
        </w:rPr>
        <w:t>要求不能从事煤化工行业的疾病</w:t>
      </w:r>
      <w:r>
        <w:rPr>
          <w:rStyle w:val="358"/>
          <w:rFonts w:hint="eastAsia" w:ascii="宋体" w:hAnsi="宋体" w:eastAsia="宋体" w:cs="宋体"/>
          <w:bCs/>
          <w:highlight w:val="none"/>
          <w:lang w:eastAsia="zh-CN"/>
        </w:rPr>
        <w:t>。</w:t>
      </w:r>
      <w:r>
        <w:rPr>
          <w:rStyle w:val="358"/>
          <w:rFonts w:hint="eastAsia" w:ascii="宋体" w:hAnsi="宋体" w:eastAsia="宋体" w:cs="宋体"/>
          <w:bCs/>
          <w:highlight w:val="none"/>
          <w:lang w:val="en-US" w:eastAsia="zh-CN"/>
        </w:rPr>
        <w:t>所有员工</w:t>
      </w:r>
      <w:r>
        <w:rPr>
          <w:rStyle w:val="358"/>
          <w:rFonts w:hint="eastAsia" w:ascii="宋体" w:hAnsi="宋体" w:eastAsia="宋体" w:cs="宋体"/>
          <w:bCs/>
          <w:highlight w:val="none"/>
        </w:rPr>
        <w:t>经过培训达到要求才能上岗</w:t>
      </w:r>
      <w:r>
        <w:rPr>
          <w:rStyle w:val="358"/>
          <w:rFonts w:hint="eastAsia" w:ascii="宋体" w:hAnsi="宋体" w:cs="宋体"/>
          <w:bCs/>
          <w:highlight w:val="none"/>
          <w:lang w:eastAsia="zh-CN"/>
        </w:rPr>
        <w:t>。</w:t>
      </w:r>
    </w:p>
    <w:p w14:paraId="57FC9DEC">
      <w:pPr>
        <w:spacing w:line="360" w:lineRule="auto"/>
        <w:rPr>
          <w:rFonts w:asciiTheme="minorEastAsia" w:hAnsiTheme="minorEastAsia" w:eastAsiaTheme="minorEastAsia" w:cstheme="minorEastAsia"/>
          <w:bCs/>
          <w:szCs w:val="24"/>
          <w:highlight w:val="none"/>
        </w:rPr>
      </w:pPr>
      <w:r>
        <w:rPr>
          <w:rFonts w:hint="default" w:asciiTheme="minorEastAsia" w:hAnsiTheme="minorEastAsia" w:eastAsiaTheme="minorEastAsia" w:cstheme="minorEastAsia"/>
          <w:bCs/>
          <w:szCs w:val="24"/>
          <w:highlight w:val="none"/>
        </w:rPr>
        <w:t>8.2.</w:t>
      </w:r>
      <w:r>
        <w:rPr>
          <w:rFonts w:hint="eastAsia" w:asciiTheme="minorEastAsia" w:hAnsiTheme="minorEastAsia" w:eastAsiaTheme="minorEastAsia" w:cstheme="minorEastAsia"/>
          <w:bCs/>
          <w:szCs w:val="24"/>
          <w:highlight w:val="none"/>
          <w:lang w:val="en-US" w:eastAsia="zh-CN"/>
        </w:rPr>
        <w:t xml:space="preserve">5 </w:t>
      </w:r>
      <w:r>
        <w:rPr>
          <w:rFonts w:hint="eastAsia" w:asciiTheme="minorEastAsia" w:hAnsiTheme="minorEastAsia" w:eastAsiaTheme="minorEastAsia" w:cstheme="minorEastAsia"/>
          <w:bCs/>
          <w:szCs w:val="24"/>
          <w:highlight w:val="none"/>
        </w:rPr>
        <w:t>投标方全员定期参加招标方组织的专业能力考试。</w:t>
      </w:r>
    </w:p>
    <w:p w14:paraId="6B995331">
      <w:pPr>
        <w:widowControl/>
        <w:spacing w:line="360" w:lineRule="auto"/>
        <w:jc w:val="left"/>
        <w:rPr>
          <w:rFonts w:hint="eastAsia" w:asciiTheme="minorEastAsia" w:hAnsiTheme="minorEastAsia" w:eastAsiaTheme="minorEastAsia" w:cstheme="minorEastAsia"/>
          <w:bCs/>
          <w:szCs w:val="24"/>
          <w:highlight w:val="none"/>
        </w:rPr>
      </w:pPr>
      <w:r>
        <w:rPr>
          <w:rFonts w:hint="default" w:asciiTheme="minorEastAsia" w:hAnsiTheme="minorEastAsia" w:eastAsiaTheme="minorEastAsia" w:cstheme="minorEastAsia"/>
          <w:bCs/>
          <w:color w:val="auto"/>
          <w:szCs w:val="24"/>
          <w:highlight w:val="none"/>
          <w:lang w:eastAsia="zh-CN"/>
        </w:rPr>
        <w:t>8.2.</w:t>
      </w:r>
      <w:r>
        <w:rPr>
          <w:rFonts w:hint="eastAsia" w:asciiTheme="minorEastAsia" w:hAnsiTheme="minorEastAsia" w:eastAsiaTheme="minorEastAsia" w:cstheme="minorEastAsia"/>
          <w:bCs/>
          <w:color w:val="auto"/>
          <w:szCs w:val="24"/>
          <w:highlight w:val="none"/>
          <w:lang w:val="en-US" w:eastAsia="zh-CN"/>
        </w:rPr>
        <w:t xml:space="preserve">6 </w:t>
      </w:r>
      <w:r>
        <w:rPr>
          <w:rFonts w:hint="eastAsia" w:asciiTheme="minorEastAsia" w:hAnsiTheme="minorEastAsia" w:eastAsiaTheme="minorEastAsia" w:cstheme="minorEastAsia"/>
          <w:bCs/>
          <w:szCs w:val="24"/>
          <w:highlight w:val="none"/>
        </w:rPr>
        <w:t>投标</w:t>
      </w:r>
      <w:r>
        <w:rPr>
          <w:rFonts w:hint="eastAsia" w:asciiTheme="minorEastAsia" w:hAnsiTheme="minorEastAsia" w:eastAsiaTheme="minorEastAsia" w:cstheme="minorEastAsia"/>
          <w:bCs/>
          <w:szCs w:val="24"/>
          <w:highlight w:val="none"/>
          <w:lang w:val="en-US" w:eastAsia="zh-CN"/>
        </w:rPr>
        <w:t>方</w:t>
      </w:r>
      <w:r>
        <w:rPr>
          <w:rFonts w:hint="eastAsia" w:asciiTheme="minorEastAsia" w:hAnsiTheme="minorEastAsia" w:eastAsiaTheme="minorEastAsia" w:cstheme="minorEastAsia"/>
          <w:bCs/>
          <w:szCs w:val="24"/>
          <w:highlight w:val="none"/>
        </w:rPr>
        <w:t>人员进出厂须按照招标方要求执行</w:t>
      </w:r>
      <w:r>
        <w:rPr>
          <w:rFonts w:hint="eastAsia" w:asciiTheme="minorEastAsia" w:hAnsiTheme="minorEastAsia" w:eastAsiaTheme="minorEastAsia" w:cstheme="minorEastAsia"/>
          <w:bCs/>
          <w:szCs w:val="24"/>
          <w:highlight w:val="none"/>
          <w:lang w:eastAsia="zh-CN"/>
        </w:rPr>
        <w:t>。</w:t>
      </w:r>
    </w:p>
    <w:p w14:paraId="4B799579">
      <w:pPr>
        <w:spacing w:line="360" w:lineRule="auto"/>
        <w:rPr>
          <w:rFonts w:hint="eastAsia" w:hAnsi="宋体"/>
          <w:highlight w:val="none"/>
        </w:rPr>
      </w:pPr>
      <w:r>
        <w:rPr>
          <w:rFonts w:hint="default" w:asciiTheme="minorEastAsia" w:hAnsiTheme="minorEastAsia" w:eastAsiaTheme="minorEastAsia" w:cstheme="minorEastAsia"/>
          <w:bCs/>
          <w:szCs w:val="24"/>
          <w:highlight w:val="none"/>
          <w:lang w:eastAsia="zh-CN"/>
        </w:rPr>
        <w:t>8.2.</w:t>
      </w:r>
      <w:r>
        <w:rPr>
          <w:rFonts w:hint="eastAsia" w:asciiTheme="minorEastAsia" w:hAnsiTheme="minorEastAsia" w:eastAsiaTheme="minorEastAsia" w:cstheme="minorEastAsia"/>
          <w:bCs/>
          <w:szCs w:val="24"/>
          <w:highlight w:val="none"/>
          <w:lang w:val="en-US" w:eastAsia="zh-CN"/>
        </w:rPr>
        <w:t>7 日常维保、停机大检修期间及特殊</w:t>
      </w:r>
      <w:r>
        <w:rPr>
          <w:rFonts w:hint="eastAsia" w:hAnsi="宋体"/>
          <w:highlight w:val="none"/>
        </w:rPr>
        <w:t>项目所有施工人员购买安全生产责任险、意外伤害险，保费额度≥150万元，并购买工伤保险。</w:t>
      </w:r>
    </w:p>
    <w:p w14:paraId="55AA43D8">
      <w:pPr>
        <w:spacing w:line="360" w:lineRule="auto"/>
        <w:rPr>
          <w:rFonts w:asciiTheme="minorEastAsia" w:hAnsiTheme="minorEastAsia" w:eastAsiaTheme="minorEastAsia" w:cstheme="minorEastAsia"/>
          <w:bCs/>
          <w:szCs w:val="24"/>
          <w:highlight w:val="none"/>
        </w:rPr>
      </w:pPr>
      <w:r>
        <w:rPr>
          <w:rFonts w:hint="default" w:asciiTheme="minorEastAsia" w:hAnsiTheme="minorEastAsia" w:eastAsiaTheme="minorEastAsia" w:cstheme="minorEastAsia"/>
          <w:bCs/>
          <w:szCs w:val="24"/>
          <w:highlight w:val="none"/>
        </w:rPr>
        <w:t>8.2.</w:t>
      </w:r>
      <w:r>
        <w:rPr>
          <w:rFonts w:hint="eastAsia" w:asciiTheme="minorEastAsia" w:hAnsiTheme="minorEastAsia" w:eastAsiaTheme="minorEastAsia" w:cstheme="minorEastAsia"/>
          <w:bCs/>
          <w:szCs w:val="24"/>
          <w:highlight w:val="none"/>
          <w:lang w:val="en-US" w:eastAsia="zh-CN"/>
        </w:rPr>
        <w:t xml:space="preserve">8 </w:t>
      </w:r>
      <w:r>
        <w:rPr>
          <w:rFonts w:hint="eastAsia" w:asciiTheme="minorEastAsia" w:hAnsiTheme="minorEastAsia" w:eastAsiaTheme="minorEastAsia" w:cstheme="minorEastAsia"/>
          <w:bCs/>
          <w:szCs w:val="24"/>
          <w:highlight w:val="none"/>
        </w:rPr>
        <w:t>投标方根据招标方《供应商考核管理办法》，年度测评为“不合格”外包单位，按照制度规定列入黑名单。列入黑名单的外包单位，相应的项目负责人、法人代表也要列入个人“黑名单”。</w:t>
      </w:r>
    </w:p>
    <w:p w14:paraId="3F1209D7">
      <w:pPr>
        <w:spacing w:line="360" w:lineRule="auto"/>
        <w:ind w:left="0" w:firstLine="0" w:firstLineChars="0"/>
        <w:rPr>
          <w:rFonts w:hint="eastAsia" w:asciiTheme="minorEastAsia" w:hAnsiTheme="minorEastAsia" w:eastAsiaTheme="minorEastAsia" w:cstheme="minorEastAsia"/>
          <w:b/>
          <w:bCs/>
          <w:szCs w:val="24"/>
          <w:highlight w:val="none"/>
        </w:rPr>
      </w:pPr>
      <w:r>
        <w:rPr>
          <w:rFonts w:hint="default" w:asciiTheme="minorEastAsia" w:hAnsiTheme="minorEastAsia" w:eastAsiaTheme="minorEastAsia" w:cstheme="minorEastAsia"/>
          <w:bCs/>
          <w:szCs w:val="24"/>
          <w:highlight w:val="none"/>
        </w:rPr>
        <w:t>8.2.</w:t>
      </w:r>
      <w:r>
        <w:rPr>
          <w:rFonts w:hint="eastAsia" w:asciiTheme="minorEastAsia" w:hAnsiTheme="minorEastAsia" w:eastAsiaTheme="minorEastAsia" w:cstheme="minorEastAsia"/>
          <w:bCs/>
          <w:szCs w:val="24"/>
          <w:highlight w:val="none"/>
          <w:lang w:val="en-US" w:eastAsia="zh-CN"/>
        </w:rPr>
        <w:t xml:space="preserve">9 </w:t>
      </w:r>
      <w:r>
        <w:rPr>
          <w:rFonts w:hint="eastAsia" w:asciiTheme="minorEastAsia" w:hAnsiTheme="minorEastAsia" w:eastAsiaTheme="minorEastAsia" w:cstheme="minorEastAsia"/>
          <w:bCs/>
          <w:szCs w:val="24"/>
          <w:highlight w:val="none"/>
        </w:rPr>
        <w:t>违</w:t>
      </w:r>
      <w:r>
        <w:rPr>
          <w:rFonts w:hint="eastAsia" w:asciiTheme="minorEastAsia" w:hAnsiTheme="minorEastAsia" w:eastAsiaTheme="minorEastAsia" w:cstheme="minorEastAsia"/>
          <w:bCs/>
          <w:szCs w:val="24"/>
          <w:highlight w:val="none"/>
          <w:lang w:val="en-US" w:eastAsia="zh-CN"/>
        </w:rPr>
        <w:t>反</w:t>
      </w:r>
      <w:r>
        <w:rPr>
          <w:rFonts w:hint="eastAsia" w:asciiTheme="minorEastAsia" w:hAnsiTheme="minorEastAsia" w:eastAsiaTheme="minorEastAsia" w:cstheme="minorEastAsia"/>
          <w:bCs/>
          <w:szCs w:val="24"/>
          <w:highlight w:val="none"/>
        </w:rPr>
        <w:t>各级《安全生产禁令》或违章累计超过3次的外包人员，清退出厂，并列入个人黑名单。</w:t>
      </w:r>
    </w:p>
    <w:p w14:paraId="0F326B46">
      <w:pPr>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val="en-US" w:eastAsia="zh-CN"/>
        </w:rPr>
        <w:t>8</w:t>
      </w:r>
      <w:r>
        <w:rPr>
          <w:rFonts w:hint="eastAsia" w:asciiTheme="minorEastAsia" w:hAnsiTheme="minorEastAsia" w:eastAsiaTheme="minorEastAsia" w:cstheme="minorEastAsia"/>
          <w:szCs w:val="24"/>
          <w:highlight w:val="none"/>
        </w:rPr>
        <w:t>.2.1</w:t>
      </w:r>
      <w:r>
        <w:rPr>
          <w:rFonts w:hint="eastAsia" w:asciiTheme="minorEastAsia" w:hAnsiTheme="minorEastAsia" w:eastAsiaTheme="minorEastAsia" w:cstheme="minorEastAsia"/>
          <w:szCs w:val="24"/>
          <w:highlight w:val="none"/>
          <w:lang w:val="en-US" w:eastAsia="zh-CN"/>
        </w:rPr>
        <w:t xml:space="preserve">0 </w:t>
      </w:r>
      <w:r>
        <w:rPr>
          <w:rFonts w:hint="eastAsia" w:asciiTheme="minorEastAsia" w:hAnsiTheme="minorEastAsia" w:eastAsiaTheme="minorEastAsia" w:cstheme="minorEastAsia"/>
          <w:szCs w:val="24"/>
          <w:highlight w:val="none"/>
        </w:rPr>
        <w:t>进场前必须提供施工组织措施方案、人员项目组成机构、安全组成机构及工器具的配置情况、人员证件等相关资料报招标方审核。</w:t>
      </w:r>
    </w:p>
    <w:p w14:paraId="73C9196E">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1 投</w:t>
      </w:r>
      <w:r>
        <w:rPr>
          <w:rFonts w:hint="eastAsia" w:asciiTheme="minorEastAsia" w:hAnsiTheme="minorEastAsia" w:eastAsiaTheme="minorEastAsia" w:cstheme="minorEastAsia"/>
          <w:bCs/>
          <w:szCs w:val="24"/>
          <w:highlight w:val="none"/>
        </w:rPr>
        <w:t>标方遵守招标方的规章制度及施工要求，服从招标方的调度管理，接受招标方的监督与考核。</w:t>
      </w:r>
    </w:p>
    <w:p w14:paraId="533F2917">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2 </w:t>
      </w:r>
      <w:r>
        <w:rPr>
          <w:rFonts w:hint="eastAsia" w:asciiTheme="minorEastAsia" w:hAnsiTheme="minorEastAsia" w:eastAsiaTheme="minorEastAsia" w:cstheme="minorEastAsia"/>
          <w:bCs/>
          <w:szCs w:val="24"/>
          <w:highlight w:val="none"/>
        </w:rPr>
        <w:t>签订安建环协议和技术协议，接受招标方安全教育及考试，接受招标方安全交底并严格贯彻执行。对投标方工作人员的要求：</w:t>
      </w:r>
    </w:p>
    <w:p w14:paraId="1BCAE61B">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3 </w:t>
      </w:r>
      <w:r>
        <w:rPr>
          <w:rFonts w:hint="eastAsia" w:asciiTheme="minorEastAsia" w:hAnsiTheme="minorEastAsia" w:eastAsiaTheme="minorEastAsia" w:cstheme="minorEastAsia"/>
          <w:bCs/>
          <w:szCs w:val="24"/>
          <w:highlight w:val="none"/>
        </w:rPr>
        <w:t>投标方必须配置项目负责人、技术骨干人员（架子、保温、防腐施工负责人、专职安全员），上述人员应有良好的施工工作经验及化工企业施工经历。为确保本工程项目管理，投标方应提供管理人员名册，上述人员必须通过招标方的安全、技能考试，如人员变更，需经招标方审核同意</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lang w:val="en-US" w:eastAsia="zh-CN"/>
        </w:rPr>
        <w:t>且</w:t>
      </w:r>
      <w:r>
        <w:rPr>
          <w:rFonts w:hint="eastAsia" w:asciiTheme="minorEastAsia" w:hAnsiTheme="minorEastAsia" w:eastAsiaTheme="minorEastAsia" w:cstheme="minorEastAsia"/>
          <w:bCs/>
          <w:szCs w:val="24"/>
          <w:highlight w:val="none"/>
        </w:rPr>
        <w:t>合同期内变更率不得超过10%</w:t>
      </w:r>
      <w:r>
        <w:rPr>
          <w:rFonts w:hint="default" w:asciiTheme="minorEastAsia" w:hAnsiTheme="minorEastAsia" w:eastAsiaTheme="minorEastAsia" w:cstheme="minorEastAsia"/>
          <w:bCs/>
          <w:szCs w:val="24"/>
          <w:highlight w:val="none"/>
        </w:rPr>
        <w:t>，</w:t>
      </w:r>
      <w:r>
        <w:rPr>
          <w:rFonts w:hint="eastAsia" w:asciiTheme="minorEastAsia" w:hAnsiTheme="minorEastAsia" w:eastAsiaTheme="minorEastAsia" w:cstheme="minorEastAsia"/>
          <w:bCs/>
          <w:szCs w:val="24"/>
          <w:highlight w:val="none"/>
        </w:rPr>
        <w:t>其他人员变更率不超过30</w:t>
      </w:r>
      <w:r>
        <w:rPr>
          <w:rFonts w:asciiTheme="minorEastAsia" w:hAnsiTheme="minorEastAsia" w:eastAsiaTheme="minorEastAsia" w:cstheme="minorEastAsia"/>
          <w:bCs/>
          <w:szCs w:val="24"/>
          <w:highlight w:val="none"/>
        </w:rPr>
        <w:t>%</w:t>
      </w:r>
      <w:r>
        <w:rPr>
          <w:rFonts w:hint="eastAsia" w:asciiTheme="minorEastAsia" w:hAnsiTheme="minorEastAsia" w:eastAsiaTheme="minorEastAsia" w:cstheme="minorEastAsia"/>
          <w:bCs/>
          <w:szCs w:val="24"/>
          <w:highlight w:val="none"/>
        </w:rPr>
        <w:t>，项目经理及项目副经理未经招标方同意不得变更。</w:t>
      </w:r>
    </w:p>
    <w:p w14:paraId="67089F8B">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4 </w:t>
      </w:r>
      <w:r>
        <w:rPr>
          <w:rFonts w:hint="eastAsia" w:asciiTheme="minorEastAsia" w:hAnsiTheme="minorEastAsia" w:eastAsiaTheme="minorEastAsia" w:cstheme="minorEastAsia"/>
          <w:bCs/>
          <w:szCs w:val="24"/>
          <w:highlight w:val="none"/>
        </w:rPr>
        <w:t>现场施工人员必须熟悉装置生产环境，必须通过招标方的安全、技能考试，投标方应保证上述人员相对稳定。如果</w:t>
      </w:r>
      <w:r>
        <w:rPr>
          <w:rFonts w:hint="eastAsia" w:asciiTheme="minorEastAsia" w:hAnsiTheme="minorEastAsia" w:eastAsiaTheme="minorEastAsia" w:cstheme="minorEastAsia"/>
          <w:bCs/>
          <w:szCs w:val="24"/>
          <w:highlight w:val="none"/>
          <w:lang w:val="en-US" w:eastAsia="zh-CN"/>
        </w:rPr>
        <w:t>以上</w:t>
      </w:r>
      <w:r>
        <w:rPr>
          <w:rFonts w:hint="eastAsia" w:asciiTheme="minorEastAsia" w:hAnsiTheme="minorEastAsia" w:eastAsiaTheme="minorEastAsia" w:cstheme="minorEastAsia"/>
          <w:bCs/>
          <w:szCs w:val="24"/>
          <w:highlight w:val="none"/>
        </w:rPr>
        <w:t>人员变动超过总人数</w:t>
      </w:r>
      <w:r>
        <w:rPr>
          <w:rFonts w:hint="eastAsia" w:asciiTheme="minorEastAsia" w:hAnsiTheme="minorEastAsia" w:eastAsiaTheme="minorEastAsia" w:cstheme="minorEastAsia"/>
          <w:bCs/>
          <w:szCs w:val="24"/>
          <w:highlight w:val="none"/>
          <w:lang w:val="en-US" w:eastAsia="zh-CN"/>
        </w:rPr>
        <w:t>15</w:t>
      </w:r>
      <w:r>
        <w:rPr>
          <w:rFonts w:hint="eastAsia" w:asciiTheme="minorEastAsia" w:hAnsiTheme="minorEastAsia" w:eastAsiaTheme="minorEastAsia" w:cstheme="minorEastAsia"/>
          <w:bCs/>
          <w:szCs w:val="24"/>
          <w:highlight w:val="none"/>
        </w:rPr>
        <w:t>%，将进行考核。</w:t>
      </w:r>
    </w:p>
    <w:p w14:paraId="4FE2B443">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5 </w:t>
      </w:r>
      <w:r>
        <w:rPr>
          <w:rFonts w:hint="eastAsia" w:asciiTheme="minorEastAsia" w:hAnsiTheme="minorEastAsia" w:eastAsiaTheme="minorEastAsia" w:cstheme="minorEastAsia"/>
          <w:bCs/>
          <w:szCs w:val="24"/>
          <w:highlight w:val="none"/>
        </w:rPr>
        <w:t>制定安全管理措施并实施。注意保护招标方及第三方设备（财产），严禁触碰运行设备，如有损坏或由此产生事故，除照价赔偿外，还需承担招标方由此产生的其他损失。</w:t>
      </w:r>
    </w:p>
    <w:p w14:paraId="57AB3067">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6 </w:t>
      </w:r>
      <w:r>
        <w:rPr>
          <w:rFonts w:hint="eastAsia" w:asciiTheme="minorEastAsia" w:hAnsiTheme="minorEastAsia" w:eastAsiaTheme="minorEastAsia" w:cstheme="minorEastAsia"/>
          <w:bCs/>
          <w:szCs w:val="24"/>
          <w:highlight w:val="none"/>
        </w:rPr>
        <w:t>施工过程中的技术记录齐全、完整、真实，并接受招标方监督检查。</w:t>
      </w:r>
    </w:p>
    <w:p w14:paraId="682A673D">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7 </w:t>
      </w:r>
      <w:r>
        <w:rPr>
          <w:rFonts w:hint="eastAsia" w:asciiTheme="minorEastAsia" w:hAnsiTheme="minorEastAsia" w:eastAsiaTheme="minorEastAsia" w:cstheme="minorEastAsia"/>
          <w:bCs/>
          <w:szCs w:val="24"/>
          <w:highlight w:val="none"/>
        </w:rPr>
        <w:t>按时完成招标方下达的所有维修工作，保证维修质量、工期和安全，负责填写所管辖范围内的工作票、动火票</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lang w:val="en-US" w:eastAsia="zh-CN"/>
        </w:rPr>
        <w:t>临时用电票等</w:t>
      </w:r>
      <w:r>
        <w:rPr>
          <w:rFonts w:hint="eastAsia" w:asciiTheme="minorEastAsia" w:hAnsiTheme="minorEastAsia" w:eastAsiaTheme="minorEastAsia" w:cstheme="minorEastAsia"/>
          <w:bCs/>
          <w:szCs w:val="24"/>
          <w:highlight w:val="none"/>
        </w:rPr>
        <w:t>，负责所管辖区域内所有工作的工作票填写和工作监护。</w:t>
      </w:r>
    </w:p>
    <w:p w14:paraId="3360319D">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1</w:t>
      </w:r>
      <w:r>
        <w:rPr>
          <w:rFonts w:hint="eastAsia" w:asciiTheme="minorEastAsia" w:hAnsiTheme="minorEastAsia" w:eastAsiaTheme="minorEastAsia" w:cstheme="minorEastAsia"/>
          <w:bCs/>
          <w:szCs w:val="24"/>
          <w:highlight w:val="none"/>
          <w:lang w:val="en-US" w:eastAsia="zh-CN"/>
        </w:rPr>
        <w:t xml:space="preserve">8 </w:t>
      </w:r>
      <w:r>
        <w:rPr>
          <w:rFonts w:hint="eastAsia" w:asciiTheme="minorEastAsia" w:hAnsiTheme="minorEastAsia" w:eastAsiaTheme="minorEastAsia" w:cstheme="minorEastAsia"/>
          <w:bCs/>
          <w:szCs w:val="24"/>
          <w:highlight w:val="none"/>
        </w:rPr>
        <w:t>投标方必须储备足够的人员和装备以处理突发事件的抢修工作，如因投标方准备不足，造成处理延误，投标方对此</w:t>
      </w:r>
      <w:r>
        <w:rPr>
          <w:rFonts w:hint="eastAsia" w:asciiTheme="minorEastAsia" w:hAnsiTheme="minorEastAsia" w:eastAsiaTheme="minorEastAsia" w:cstheme="minorEastAsia"/>
          <w:bCs/>
          <w:szCs w:val="24"/>
          <w:highlight w:val="none"/>
          <w:lang w:eastAsia="zh-CN"/>
        </w:rPr>
        <w:t>造成</w:t>
      </w:r>
      <w:r>
        <w:rPr>
          <w:rFonts w:hint="eastAsia" w:asciiTheme="minorEastAsia" w:hAnsiTheme="minorEastAsia" w:eastAsiaTheme="minorEastAsia" w:cstheme="minorEastAsia"/>
          <w:bCs/>
          <w:szCs w:val="24"/>
          <w:highlight w:val="none"/>
        </w:rPr>
        <w:t>的损失负全责。</w:t>
      </w:r>
    </w:p>
    <w:p w14:paraId="30AA0646">
      <w:pPr>
        <w:spacing w:line="360" w:lineRule="auto"/>
        <w:rPr>
          <w:rFonts w:hint="eastAsia" w:asciiTheme="minorEastAsia" w:hAnsiTheme="minorEastAsia" w:eastAsiaTheme="minorEastAsia" w:cstheme="minorEastAsia"/>
          <w:bCs/>
          <w:szCs w:val="24"/>
          <w:highlight w:val="yellow"/>
        </w:rPr>
      </w:pPr>
      <w:r>
        <w:rPr>
          <w:rFonts w:hint="eastAsia" w:asciiTheme="minorEastAsia" w:hAnsiTheme="minorEastAsia" w:eastAsiaTheme="minorEastAsia" w:cstheme="minorEastAsia"/>
          <w:bCs/>
          <w:szCs w:val="24"/>
          <w:highlight w:val="yellow"/>
          <w:lang w:val="en-US" w:eastAsia="zh-CN"/>
        </w:rPr>
        <w:t>8</w:t>
      </w:r>
      <w:r>
        <w:rPr>
          <w:rFonts w:hint="eastAsia" w:asciiTheme="minorEastAsia" w:hAnsiTheme="minorEastAsia" w:eastAsiaTheme="minorEastAsia" w:cstheme="minorEastAsia"/>
          <w:bCs/>
          <w:szCs w:val="24"/>
          <w:highlight w:val="yellow"/>
        </w:rPr>
        <w:t>.2.</w:t>
      </w:r>
      <w:r>
        <w:rPr>
          <w:rFonts w:hint="eastAsia" w:asciiTheme="minorEastAsia" w:hAnsiTheme="minorEastAsia" w:eastAsiaTheme="minorEastAsia" w:cstheme="minorEastAsia"/>
          <w:bCs/>
          <w:szCs w:val="24"/>
          <w:highlight w:val="yellow"/>
          <w:lang w:val="en-US" w:eastAsia="zh-CN"/>
        </w:rPr>
        <w:t>19 投标方</w:t>
      </w:r>
      <w:r>
        <w:rPr>
          <w:rFonts w:hint="eastAsia" w:asciiTheme="minorEastAsia" w:hAnsiTheme="minorEastAsia" w:eastAsiaTheme="minorEastAsia" w:cstheme="minorEastAsia"/>
          <w:bCs/>
          <w:szCs w:val="24"/>
          <w:highlight w:val="yellow"/>
        </w:rPr>
        <w:t>配置常用维修工器具，负责对招标方提供的、扣件、钢架板</w:t>
      </w:r>
      <w:r>
        <w:rPr>
          <w:rFonts w:hint="eastAsia" w:asciiTheme="minorEastAsia" w:hAnsiTheme="minorEastAsia" w:eastAsiaTheme="minorEastAsia" w:cstheme="minorEastAsia"/>
          <w:bCs/>
          <w:szCs w:val="24"/>
          <w:highlight w:val="yellow"/>
          <w:lang w:val="en-US" w:eastAsia="zh-CN"/>
        </w:rPr>
        <w:t>进行管理</w:t>
      </w:r>
      <w:r>
        <w:rPr>
          <w:rFonts w:hint="eastAsia" w:asciiTheme="minorEastAsia" w:hAnsiTheme="minorEastAsia" w:eastAsiaTheme="minorEastAsia" w:cstheme="minorEastAsia"/>
          <w:bCs/>
          <w:szCs w:val="24"/>
          <w:highlight w:val="yellow"/>
          <w:lang w:eastAsia="zh-CN"/>
        </w:rPr>
        <w:t>，</w:t>
      </w:r>
      <w:r>
        <w:rPr>
          <w:rFonts w:hint="eastAsia" w:asciiTheme="minorEastAsia" w:hAnsiTheme="minorEastAsia" w:eastAsiaTheme="minorEastAsia" w:cstheme="minorEastAsia"/>
          <w:bCs/>
          <w:szCs w:val="24"/>
          <w:highlight w:val="yellow"/>
          <w:lang w:val="en-US" w:eastAsia="zh-CN"/>
        </w:rPr>
        <w:t>对</w:t>
      </w:r>
      <w:r>
        <w:rPr>
          <w:rFonts w:hint="eastAsia" w:asciiTheme="minorEastAsia" w:hAnsiTheme="minorEastAsia" w:eastAsiaTheme="minorEastAsia" w:cstheme="minorEastAsia"/>
          <w:bCs/>
          <w:szCs w:val="24"/>
          <w:highlight w:val="yellow"/>
        </w:rPr>
        <w:t>变形、弯曲、断裂螺杆等材料进行维修和保养</w:t>
      </w:r>
      <w:r>
        <w:rPr>
          <w:rFonts w:hint="eastAsia" w:asciiTheme="minorEastAsia" w:hAnsiTheme="minorEastAsia" w:eastAsiaTheme="minorEastAsia" w:cstheme="minorEastAsia"/>
          <w:bCs/>
          <w:szCs w:val="24"/>
          <w:highlight w:val="yellow"/>
          <w:lang w:eastAsia="zh-CN"/>
        </w:rPr>
        <w:t>。</w:t>
      </w:r>
      <w:r>
        <w:rPr>
          <w:rFonts w:hint="eastAsia" w:asciiTheme="minorEastAsia" w:hAnsiTheme="minorEastAsia" w:eastAsiaTheme="minorEastAsia" w:cstheme="minorEastAsia"/>
          <w:bCs/>
          <w:szCs w:val="24"/>
          <w:highlight w:val="yellow"/>
          <w:lang w:val="en-US" w:eastAsia="zh-CN"/>
        </w:rPr>
        <w:t>不仅要保证</w:t>
      </w:r>
      <w:r>
        <w:rPr>
          <w:rFonts w:hint="eastAsia" w:asciiTheme="minorEastAsia" w:hAnsiTheme="minorEastAsia" w:eastAsiaTheme="minorEastAsia" w:cstheme="minorEastAsia"/>
          <w:bCs/>
          <w:szCs w:val="24"/>
          <w:highlight w:val="yellow"/>
        </w:rPr>
        <w:t>材料的正常无缺陷使用</w:t>
      </w:r>
      <w:r>
        <w:rPr>
          <w:rFonts w:hint="eastAsia" w:asciiTheme="minorEastAsia" w:hAnsiTheme="minorEastAsia" w:eastAsiaTheme="minorEastAsia" w:cstheme="minorEastAsia"/>
          <w:bCs/>
          <w:szCs w:val="24"/>
          <w:highlight w:val="yellow"/>
          <w:lang w:eastAsia="zh-CN"/>
        </w:rPr>
        <w:t>，</w:t>
      </w:r>
      <w:r>
        <w:rPr>
          <w:rFonts w:hint="eastAsia" w:asciiTheme="minorEastAsia" w:hAnsiTheme="minorEastAsia" w:eastAsiaTheme="minorEastAsia" w:cstheme="minorEastAsia"/>
          <w:bCs/>
          <w:szCs w:val="24"/>
          <w:highlight w:val="yellow"/>
          <w:lang w:val="en-US" w:eastAsia="zh-CN"/>
        </w:rPr>
        <w:t>而且要</w:t>
      </w:r>
      <w:r>
        <w:rPr>
          <w:rFonts w:hint="eastAsia" w:asciiTheme="minorEastAsia" w:hAnsiTheme="minorEastAsia" w:eastAsiaTheme="minorEastAsia" w:cstheme="minorEastAsia"/>
          <w:bCs/>
          <w:szCs w:val="24"/>
          <w:highlight w:val="yellow"/>
        </w:rPr>
        <w:t>保证</w:t>
      </w:r>
      <w:r>
        <w:rPr>
          <w:rFonts w:hint="eastAsia" w:asciiTheme="minorEastAsia" w:hAnsiTheme="minorEastAsia" w:eastAsiaTheme="minorEastAsia" w:cstheme="minorEastAsia"/>
          <w:bCs/>
          <w:szCs w:val="24"/>
          <w:highlight w:val="yellow"/>
          <w:lang w:val="en-US" w:eastAsia="zh-CN"/>
        </w:rPr>
        <w:t>材料年度损耗量中</w:t>
      </w:r>
      <w:r>
        <w:rPr>
          <w:rFonts w:hint="eastAsia" w:asciiTheme="minorEastAsia" w:hAnsiTheme="minorEastAsia" w:eastAsiaTheme="minorEastAsia" w:cstheme="minorEastAsia"/>
          <w:bCs/>
          <w:szCs w:val="24"/>
          <w:highlight w:val="yellow"/>
        </w:rPr>
        <w:t>架</w:t>
      </w:r>
      <w:r>
        <w:rPr>
          <w:rFonts w:hint="eastAsia" w:asciiTheme="minorEastAsia" w:hAnsiTheme="minorEastAsia" w:eastAsiaTheme="minorEastAsia" w:cstheme="minorEastAsia"/>
          <w:bCs/>
          <w:szCs w:val="24"/>
          <w:highlight w:val="yellow"/>
          <w:lang w:val="en-US" w:eastAsia="zh-CN"/>
        </w:rPr>
        <w:t>管不得大于总数量的2%，扣件不得大于总数量的3%，钢架板不得大于总数量的1%，超出部分的损耗量由投标方无偿负责补充（规格型号、材质等参数必须完全符合招标方现有材料），招标方现存架管848085kg，扣件180000个，钢架板19500块。</w:t>
      </w:r>
      <w:r>
        <w:rPr>
          <w:rFonts w:hint="eastAsia" w:asciiTheme="minorEastAsia" w:hAnsiTheme="minorEastAsia" w:eastAsiaTheme="minorEastAsia" w:cstheme="minorEastAsia"/>
          <w:bCs/>
          <w:szCs w:val="24"/>
          <w:highlight w:val="yellow"/>
        </w:rPr>
        <w:t>保温、油漆等材料堆放整齐，消防灭火设备配备齐全，有毒有害气体或液体存放做好通风措施。</w:t>
      </w:r>
    </w:p>
    <w:p w14:paraId="06909E4C">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0</w:t>
      </w:r>
      <w:r>
        <w:rPr>
          <w:rFonts w:hint="eastAsia" w:asciiTheme="minorEastAsia" w:hAnsiTheme="minorEastAsia" w:eastAsiaTheme="minorEastAsia" w:cstheme="minorEastAsia"/>
          <w:bCs/>
          <w:szCs w:val="24"/>
          <w:highlight w:val="none"/>
        </w:rPr>
        <w:t xml:space="preserve"> 投标方要积极响应招标方提报的缺陷维修项目，在接到缺陷消缺和配合委托工作12小时内未执行的按考核制度进行考核。</w:t>
      </w:r>
    </w:p>
    <w:p w14:paraId="09E53E87">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1</w:t>
      </w:r>
      <w:r>
        <w:rPr>
          <w:rFonts w:hint="eastAsia" w:asciiTheme="minorEastAsia" w:hAnsiTheme="minorEastAsia" w:eastAsiaTheme="minorEastAsia" w:cstheme="minorEastAsia"/>
          <w:bCs/>
          <w:szCs w:val="24"/>
          <w:highlight w:val="none"/>
        </w:rPr>
        <w:t xml:space="preserve"> </w:t>
      </w:r>
      <w:r>
        <w:rPr>
          <w:rFonts w:hint="eastAsia" w:asciiTheme="minorEastAsia" w:hAnsiTheme="minorEastAsia" w:eastAsiaTheme="minorEastAsia" w:cstheme="minorEastAsia"/>
          <w:bCs/>
          <w:szCs w:val="24"/>
          <w:highlight w:val="none"/>
          <w:lang w:val="en-US" w:eastAsia="zh-CN"/>
        </w:rPr>
        <w:t>投标方要自备</w:t>
      </w:r>
      <w:r>
        <w:rPr>
          <w:rFonts w:hint="eastAsia" w:asciiTheme="minorEastAsia" w:hAnsiTheme="minorEastAsia" w:eastAsiaTheme="minorEastAsia" w:cstheme="minorEastAsia"/>
          <w:bCs/>
          <w:szCs w:val="24"/>
          <w:highlight w:val="none"/>
        </w:rPr>
        <w:t>消耗性材料</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lang w:val="en-US" w:eastAsia="zh-CN"/>
        </w:rPr>
        <w:t>并</w:t>
      </w:r>
      <w:r>
        <w:rPr>
          <w:rFonts w:hint="eastAsia" w:asciiTheme="minorEastAsia" w:hAnsiTheme="minorEastAsia" w:eastAsiaTheme="minorEastAsia" w:cstheme="minorEastAsia"/>
          <w:bCs/>
          <w:szCs w:val="24"/>
          <w:highlight w:val="none"/>
        </w:rPr>
        <w:t>负责每月及时向招标方提出备品备件和日常、大修材料计划。</w:t>
      </w:r>
    </w:p>
    <w:p w14:paraId="17851A23">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2 </w:t>
      </w:r>
      <w:r>
        <w:rPr>
          <w:rFonts w:hint="eastAsia" w:asciiTheme="minorEastAsia" w:hAnsiTheme="minorEastAsia" w:eastAsiaTheme="minorEastAsia" w:cstheme="minorEastAsia"/>
          <w:bCs/>
          <w:szCs w:val="24"/>
          <w:highlight w:val="none"/>
        </w:rPr>
        <w:t>投标方应自行解决检修所需的交通工具及其他非招标方提供的设备和设施。</w:t>
      </w:r>
    </w:p>
    <w:p w14:paraId="774AB197">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3 </w:t>
      </w:r>
      <w:r>
        <w:rPr>
          <w:rFonts w:hint="eastAsia" w:asciiTheme="minorEastAsia" w:hAnsiTheme="minorEastAsia" w:eastAsiaTheme="minorEastAsia" w:cstheme="minorEastAsia"/>
          <w:bCs/>
          <w:szCs w:val="24"/>
          <w:highlight w:val="none"/>
        </w:rPr>
        <w:t>投标方应对所管辖系统、设备的运行安全、设备安全和人身安全负责，对承包范围中的安全及其它内容的一切行为和疏忽负全部责任，对其所属人员和</w:t>
      </w:r>
      <w:r>
        <w:rPr>
          <w:rFonts w:hint="eastAsia" w:asciiTheme="minorEastAsia" w:hAnsiTheme="minorEastAsia" w:eastAsiaTheme="minorEastAsia" w:cstheme="minorEastAsia"/>
          <w:bCs/>
          <w:szCs w:val="24"/>
          <w:highlight w:val="none"/>
          <w:lang w:eastAsia="zh-CN"/>
        </w:rPr>
        <w:t>其他</w:t>
      </w:r>
      <w:r>
        <w:rPr>
          <w:rFonts w:hint="eastAsia" w:asciiTheme="minorEastAsia" w:hAnsiTheme="minorEastAsia" w:eastAsiaTheme="minorEastAsia" w:cstheme="minorEastAsia"/>
          <w:bCs/>
          <w:szCs w:val="24"/>
          <w:highlight w:val="none"/>
        </w:rPr>
        <w:t>雇用人员的安全负全面责任。投标方应采取必要的劳动保护措施，负责配备投标方人员的劳保用品，保障职工的人身安全和健康，负责职工的劳动保险和工伤事故的处理。由于投标方的原因而带来的任何索赔、责任、损失和开支由投标方负责。</w:t>
      </w:r>
    </w:p>
    <w:p w14:paraId="429DFD53">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4 </w:t>
      </w:r>
      <w:r>
        <w:rPr>
          <w:rFonts w:hint="eastAsia" w:asciiTheme="minorEastAsia" w:hAnsiTheme="minorEastAsia" w:eastAsiaTheme="minorEastAsia" w:cstheme="minorEastAsia"/>
          <w:bCs/>
          <w:szCs w:val="24"/>
          <w:highlight w:val="none"/>
        </w:rPr>
        <w:t>每月正常向工人支付月工资，不得拖欠，如有必要向招标方提供支付工资清单。</w:t>
      </w:r>
    </w:p>
    <w:p w14:paraId="636D5330">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5 </w:t>
      </w:r>
      <w:r>
        <w:rPr>
          <w:rFonts w:hint="eastAsia" w:asciiTheme="minorEastAsia" w:hAnsiTheme="minorEastAsia" w:eastAsiaTheme="minorEastAsia" w:cstheme="minorEastAsia"/>
          <w:bCs/>
          <w:szCs w:val="24"/>
          <w:highlight w:val="none"/>
        </w:rPr>
        <w:t>加强劳动纪律管理。投标方所有人员必须严格遵守劳动纪律，按照招标方制定的劳动纪律考核制度从严管理，督促职工严格遵守，经常性地进行劳动纪律检查，发生违纪违规行为必须按规定考核，对情节严重或屡教不改者应将其退回原单位。</w:t>
      </w:r>
    </w:p>
    <w:p w14:paraId="58735673">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6 </w:t>
      </w:r>
      <w:r>
        <w:rPr>
          <w:rFonts w:hint="eastAsia" w:asciiTheme="minorEastAsia" w:hAnsiTheme="minorEastAsia" w:eastAsiaTheme="minorEastAsia" w:cstheme="minorEastAsia"/>
          <w:bCs/>
          <w:szCs w:val="24"/>
          <w:highlight w:val="none"/>
        </w:rPr>
        <w:t>严格执行安全生产的有关法律法规，贯彻执行“安全第一、预防为主”的方针，根据招标方有关安全生产的规定制订相应制度和措施，项目部经理是第一安全生产责任人，必须亲自抓安全，建立严密的安全监察网络和有效的安全保障体系，采取一切必要措施和手段强化安全管理，</w:t>
      </w:r>
      <w:r>
        <w:rPr>
          <w:rFonts w:hint="eastAsia" w:asciiTheme="minorEastAsia" w:hAnsiTheme="minorEastAsia" w:eastAsiaTheme="minorEastAsia" w:cstheme="minorEastAsia"/>
          <w:bCs/>
          <w:szCs w:val="24"/>
          <w:highlight w:val="none"/>
          <w:lang w:eastAsia="zh-CN"/>
        </w:rPr>
        <w:t>增强</w:t>
      </w:r>
      <w:r>
        <w:rPr>
          <w:rFonts w:hint="eastAsia" w:asciiTheme="minorEastAsia" w:hAnsiTheme="minorEastAsia" w:eastAsiaTheme="minorEastAsia" w:cstheme="minorEastAsia"/>
          <w:bCs/>
          <w:szCs w:val="24"/>
          <w:highlight w:val="none"/>
        </w:rPr>
        <w:t>人员安全意识，保证人员及设备、系统安全与健康，确保招标方顺利实现安全生产目标任务。</w:t>
      </w:r>
    </w:p>
    <w:p w14:paraId="032322D2">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7 </w:t>
      </w:r>
      <w:r>
        <w:rPr>
          <w:rFonts w:hint="eastAsia" w:asciiTheme="minorEastAsia" w:hAnsiTheme="minorEastAsia" w:eastAsiaTheme="minorEastAsia" w:cstheme="minorEastAsia"/>
          <w:bCs/>
          <w:szCs w:val="24"/>
          <w:highlight w:val="none"/>
        </w:rPr>
        <w:t>投标方在施工过程中按招标方外委工程相关安全、技术、文明管理规范要求，做到“工完、料尽、场地清”。</w:t>
      </w:r>
    </w:p>
    <w:p w14:paraId="0CB29E1E">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8 </w:t>
      </w:r>
      <w:r>
        <w:rPr>
          <w:rFonts w:hint="eastAsia" w:asciiTheme="minorEastAsia" w:hAnsiTheme="minorEastAsia" w:eastAsiaTheme="minorEastAsia" w:cstheme="minorEastAsia"/>
          <w:bCs/>
          <w:szCs w:val="24"/>
          <w:highlight w:val="none"/>
        </w:rPr>
        <w:t>厂外工作时所需的人员、设备、所需材料等交通运输，均由投标方负责。</w:t>
      </w:r>
    </w:p>
    <w:p w14:paraId="22F1BA02">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eastAsia" w:asciiTheme="minorEastAsia" w:hAnsiTheme="minorEastAsia" w:eastAsiaTheme="minorEastAsia" w:cstheme="minorEastAsia"/>
          <w:bCs/>
          <w:szCs w:val="24"/>
          <w:highlight w:val="none"/>
          <w:lang w:val="en-US" w:eastAsia="zh-CN"/>
        </w:rPr>
        <w:t xml:space="preserve">29 </w:t>
      </w:r>
      <w:r>
        <w:rPr>
          <w:rFonts w:hint="eastAsia" w:asciiTheme="minorEastAsia" w:hAnsiTheme="minorEastAsia" w:eastAsiaTheme="minorEastAsia" w:cstheme="minorEastAsia"/>
          <w:bCs/>
          <w:szCs w:val="24"/>
          <w:highlight w:val="none"/>
        </w:rPr>
        <w:t>做好易燃易爆物品存放、保管和运输，投标方应按照环保主管部门以及</w:t>
      </w:r>
      <w:r>
        <w:rPr>
          <w:rFonts w:hint="eastAsia" w:asciiTheme="minorEastAsia" w:hAnsiTheme="minorEastAsia" w:eastAsiaTheme="minorEastAsia" w:cstheme="minorEastAsia"/>
          <w:bCs/>
          <w:szCs w:val="24"/>
          <w:highlight w:val="none"/>
          <w:lang w:val="en-US" w:eastAsia="zh-CN"/>
        </w:rPr>
        <w:t>招标方</w:t>
      </w:r>
      <w:r>
        <w:rPr>
          <w:rFonts w:hint="eastAsia" w:asciiTheme="minorEastAsia" w:hAnsiTheme="minorEastAsia" w:eastAsiaTheme="minorEastAsia" w:cstheme="minorEastAsia"/>
          <w:bCs/>
          <w:szCs w:val="24"/>
          <w:highlight w:val="none"/>
        </w:rPr>
        <w:t>要求，负责对防腐油漆材料的运输、保存、堆放。</w:t>
      </w:r>
    </w:p>
    <w:p w14:paraId="392F18D3">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0</w:t>
      </w:r>
      <w:r>
        <w:rPr>
          <w:rFonts w:hint="eastAsia" w:asciiTheme="minorEastAsia" w:hAnsiTheme="minorEastAsia" w:eastAsiaTheme="minorEastAsia" w:cstheme="minorEastAsia"/>
          <w:bCs/>
          <w:szCs w:val="24"/>
          <w:highlight w:val="none"/>
        </w:rPr>
        <w:t xml:space="preserve"> 投标方必须在隐蔽工程中提供中间验收交接记录</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rPr>
        <w:t>如除锈完成后形成验收记录合格再进行油漆防腐，油漆防腐验收合格并做好记录后再保温验收，最后铁皮（铝皮）保护层验收。</w:t>
      </w:r>
    </w:p>
    <w:p w14:paraId="0118FCC2">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1</w:t>
      </w:r>
      <w:r>
        <w:rPr>
          <w:rFonts w:hint="eastAsia" w:asciiTheme="minorEastAsia" w:hAnsiTheme="minorEastAsia" w:eastAsiaTheme="minorEastAsia" w:cstheme="minorEastAsia"/>
          <w:bCs/>
          <w:szCs w:val="24"/>
          <w:highlight w:val="none"/>
        </w:rPr>
        <w:t xml:space="preserve"> 遇到突发事件需要投标方配合工作时，投标方要在接到招标方抢修作业通知单后60分钟内，赶至现场配合应急工作进行抢修。</w:t>
      </w:r>
    </w:p>
    <w:p w14:paraId="0A86E6B3">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2</w:t>
      </w:r>
      <w:r>
        <w:rPr>
          <w:rFonts w:hint="eastAsia" w:asciiTheme="minorEastAsia" w:hAnsiTheme="minorEastAsia" w:eastAsiaTheme="minorEastAsia" w:cstheme="minorEastAsia"/>
          <w:bCs/>
          <w:szCs w:val="24"/>
          <w:highlight w:val="none"/>
        </w:rPr>
        <w:t xml:space="preserve"> 大修期间因投标方自身人员不足、质量不合</w:t>
      </w:r>
      <w:r>
        <w:rPr>
          <w:rFonts w:hint="eastAsia" w:asciiTheme="minorEastAsia" w:hAnsiTheme="minorEastAsia" w:eastAsiaTheme="minorEastAsia" w:cstheme="minorEastAsia"/>
          <w:bCs/>
          <w:szCs w:val="24"/>
          <w:highlight w:val="none"/>
          <w:lang w:eastAsia="zh-CN"/>
        </w:rPr>
        <w:t>格等</w:t>
      </w:r>
      <w:r>
        <w:rPr>
          <w:rFonts w:hint="eastAsia" w:asciiTheme="minorEastAsia" w:hAnsiTheme="minorEastAsia" w:eastAsiaTheme="minorEastAsia" w:cstheme="minorEastAsia"/>
          <w:bCs/>
          <w:szCs w:val="24"/>
          <w:highlight w:val="none"/>
        </w:rPr>
        <w:t>原因耽误检修生产进度滞后，按招标方管理制度加倍考核。</w:t>
      </w:r>
    </w:p>
    <w:p w14:paraId="76C22613">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3</w:t>
      </w:r>
      <w:r>
        <w:rPr>
          <w:rFonts w:hint="eastAsia" w:asciiTheme="minorEastAsia" w:hAnsiTheme="minorEastAsia" w:eastAsiaTheme="minorEastAsia" w:cstheme="minorEastAsia"/>
          <w:bCs/>
          <w:szCs w:val="24"/>
          <w:highlight w:val="none"/>
        </w:rPr>
        <w:t xml:space="preserve"> 投标方要规范搭设和拆除脚手架，规范拆除及恢复保温、油漆等工作。</w:t>
      </w:r>
    </w:p>
    <w:p w14:paraId="46A83251">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4</w:t>
      </w:r>
      <w:r>
        <w:rPr>
          <w:rFonts w:hint="eastAsia" w:asciiTheme="minorEastAsia" w:hAnsiTheme="minorEastAsia" w:eastAsiaTheme="minorEastAsia" w:cstheme="minorEastAsia"/>
          <w:bCs/>
          <w:szCs w:val="24"/>
          <w:highlight w:val="none"/>
        </w:rPr>
        <w:t xml:space="preserve"> 投标方负责完成招标方临时安排的其它应急抢修任务。</w:t>
      </w:r>
    </w:p>
    <w:p w14:paraId="68FC6C78">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 xml:space="preserve">5 </w:t>
      </w:r>
      <w:r>
        <w:rPr>
          <w:rFonts w:hint="eastAsia" w:asciiTheme="minorEastAsia" w:hAnsiTheme="minorEastAsia" w:eastAsiaTheme="minorEastAsia" w:cstheme="minorEastAsia"/>
          <w:bCs/>
          <w:szCs w:val="24"/>
          <w:highlight w:val="none"/>
        </w:rPr>
        <w:t>及时办理竣工验收和工程量签证单，并附中间验收记录表。</w:t>
      </w:r>
    </w:p>
    <w:p w14:paraId="3182FC81">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 xml:space="preserve">6 </w:t>
      </w:r>
      <w:r>
        <w:rPr>
          <w:rFonts w:hint="eastAsia" w:asciiTheme="minorEastAsia" w:hAnsiTheme="minorEastAsia" w:eastAsiaTheme="minorEastAsia" w:cstheme="minorEastAsia"/>
          <w:bCs/>
          <w:szCs w:val="24"/>
          <w:highlight w:val="none"/>
        </w:rPr>
        <w:t>投标方必须服从招标方的检修抢修工作安排，并承诺对检修抢修时间的响应，不得推脱和挑拣、不得以人手紧张等为由推延工作。</w:t>
      </w:r>
    </w:p>
    <w:p w14:paraId="56295635">
      <w:pPr>
        <w:spacing w:line="360" w:lineRule="auto"/>
        <w:rPr>
          <w:rFonts w:hint="eastAsia"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8</w:t>
      </w:r>
      <w:r>
        <w:rPr>
          <w:rFonts w:hint="eastAsia" w:asciiTheme="minorEastAsia" w:hAnsiTheme="minorEastAsia" w:eastAsiaTheme="minorEastAsia" w:cstheme="minorEastAsia"/>
          <w:bCs/>
          <w:szCs w:val="24"/>
          <w:highlight w:val="none"/>
        </w:rPr>
        <w:t>.2.</w:t>
      </w:r>
      <w:r>
        <w:rPr>
          <w:rFonts w:hint="default" w:asciiTheme="minorEastAsia" w:hAnsiTheme="minorEastAsia" w:eastAsiaTheme="minorEastAsia" w:cstheme="minorEastAsia"/>
          <w:bCs/>
          <w:szCs w:val="24"/>
          <w:highlight w:val="none"/>
        </w:rPr>
        <w:t>3</w:t>
      </w:r>
      <w:r>
        <w:rPr>
          <w:rFonts w:hint="eastAsia" w:asciiTheme="minorEastAsia" w:hAnsiTheme="minorEastAsia" w:eastAsiaTheme="minorEastAsia" w:cstheme="minorEastAsia"/>
          <w:bCs/>
          <w:szCs w:val="24"/>
          <w:highlight w:val="none"/>
          <w:lang w:val="en-US" w:eastAsia="zh-CN"/>
        </w:rPr>
        <w:t xml:space="preserve">7 </w:t>
      </w:r>
      <w:r>
        <w:rPr>
          <w:rFonts w:hint="eastAsia" w:asciiTheme="minorEastAsia" w:hAnsiTheme="minorEastAsia" w:eastAsiaTheme="minorEastAsia" w:cstheme="minorEastAsia"/>
          <w:bCs/>
          <w:szCs w:val="24"/>
          <w:highlight w:val="none"/>
        </w:rPr>
        <w:t>投标方必须满足招标方生产需要，日单项工作和月度消缺率不能满足招标方要求的严格按公司考核标准进行考核。所有被考核金额不在合同款中扣除，由投标方凭考核单缴纳至招标方财务部门。</w:t>
      </w:r>
    </w:p>
    <w:p w14:paraId="568BEAC7">
      <w:pPr>
        <w:pStyle w:val="76"/>
        <w:spacing w:line="360" w:lineRule="auto"/>
        <w:jc w:val="both"/>
        <w:outlineLvl w:val="0"/>
        <w:rPr>
          <w:rFonts w:asciiTheme="minorEastAsia" w:hAnsiTheme="minorEastAsia" w:eastAsiaTheme="minorEastAsia" w:cstheme="minorEastAsia"/>
          <w:b/>
          <w:bCs/>
          <w:sz w:val="24"/>
          <w:szCs w:val="24"/>
          <w:highlight w:val="none"/>
        </w:rPr>
      </w:pPr>
      <w:bookmarkStart w:id="44" w:name="_Toc32504"/>
      <w:bookmarkStart w:id="45" w:name="_Toc666"/>
      <w:bookmarkStart w:id="46" w:name="_Toc5056"/>
      <w:r>
        <w:rPr>
          <w:rFonts w:hint="eastAsia" w:asciiTheme="minorEastAsia" w:hAnsiTheme="minorEastAsia" w:eastAsiaTheme="minorEastAsia" w:cstheme="minorEastAsia"/>
          <w:b/>
          <w:bCs/>
          <w:sz w:val="24"/>
          <w:szCs w:val="24"/>
          <w:highlight w:val="none"/>
          <w:lang w:val="en-US" w:eastAsia="zh-CN"/>
        </w:rPr>
        <w:t>9</w:t>
      </w:r>
      <w:r>
        <w:rPr>
          <w:rFonts w:hint="eastAsia" w:asciiTheme="minorEastAsia" w:hAnsiTheme="minorEastAsia" w:eastAsiaTheme="minorEastAsia" w:cstheme="minorEastAsia"/>
          <w:b/>
          <w:bCs/>
          <w:sz w:val="24"/>
          <w:szCs w:val="24"/>
          <w:highlight w:val="none"/>
        </w:rPr>
        <w:t xml:space="preserve"> 材料、备件及工器具管理</w:t>
      </w:r>
      <w:bookmarkEnd w:id="44"/>
      <w:bookmarkEnd w:id="45"/>
      <w:bookmarkEnd w:id="46"/>
    </w:p>
    <w:p w14:paraId="0841B747">
      <w:pPr>
        <w:spacing w:line="360" w:lineRule="auto"/>
        <w:rPr>
          <w:rFonts w:asciiTheme="minorEastAsia" w:hAnsiTheme="minorEastAsia" w:eastAsiaTheme="minorEastAsia" w:cstheme="minorEastAsia"/>
          <w:bCs/>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bCs/>
          <w:szCs w:val="24"/>
          <w:highlight w:val="none"/>
          <w:lang w:val="en-US" w:eastAsia="zh-CN"/>
        </w:rPr>
        <w:t>9</w:t>
      </w:r>
      <w:r>
        <w:rPr>
          <w:rFonts w:hint="eastAsia" w:asciiTheme="minorEastAsia" w:hAnsiTheme="minorEastAsia" w:eastAsiaTheme="minorEastAsia" w:cstheme="minorEastAsia"/>
          <w:bCs/>
          <w:szCs w:val="24"/>
          <w:highlight w:val="none"/>
        </w:rPr>
        <w:t xml:space="preserve">.1 </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属于维护工作所用的备品配件</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及</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装置性材料</w:t>
      </w:r>
      <w:r>
        <w:rPr>
          <w:rFonts w:hint="eastAsia" w:asciiTheme="minorEastAsia" w:hAnsiTheme="minorEastAsia" w:eastAsiaTheme="minorEastAsia" w:cstheme="minorEastAsia"/>
          <w:bCs/>
          <w:color w:val="000000" w:themeColor="text1"/>
          <w:szCs w:val="24"/>
          <w:highlight w:val="none"/>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脚手架</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钢管</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、扣件、钢架板、木垫块、</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绝热用硅酸铝棉及其制品</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、可塑料、珠光砂、浇注料、镀锌铁皮、</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镀锌</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铝皮、油漆、稀料等由招标方供应，投标方配合提供采购计划。</w:t>
      </w:r>
    </w:p>
    <w:p w14:paraId="6A6A88FB">
      <w:pPr>
        <w:spacing w:line="360" w:lineRule="auto"/>
        <w:outlineLvl w:val="9"/>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Cs/>
          <w:szCs w:val="24"/>
          <w:highlight w:val="none"/>
          <w:lang w:val="en-US" w:eastAsia="zh-CN"/>
        </w:rPr>
        <w:t>9</w:t>
      </w:r>
      <w:r>
        <w:rPr>
          <w:rFonts w:hint="eastAsia" w:asciiTheme="minorEastAsia" w:hAnsiTheme="minorEastAsia" w:eastAsiaTheme="minorEastAsia" w:cstheme="minorEastAsia"/>
          <w:bCs/>
          <w:szCs w:val="24"/>
          <w:highlight w:val="none"/>
        </w:rPr>
        <w:t xml:space="preserve">.2 </w:t>
      </w:r>
      <w:r>
        <w:rPr>
          <w:rFonts w:hint="eastAsia" w:asciiTheme="minorEastAsia" w:hAnsiTheme="minorEastAsia" w:eastAsiaTheme="minorEastAsia" w:cstheme="minorEastAsia"/>
          <w:b w:val="0"/>
          <w:color w:val="auto"/>
          <w:sz w:val="24"/>
          <w:szCs w:val="24"/>
          <w:highlight w:val="none"/>
          <w:lang w:val="en-US" w:eastAsia="zh-CN"/>
        </w:rPr>
        <w:t>投标方负责日常检修、停机大修及特殊项目所需的</w:t>
      </w:r>
      <w:r>
        <w:rPr>
          <w:rFonts w:hint="eastAsia" w:asciiTheme="minorEastAsia" w:hAnsiTheme="minorEastAsia" w:eastAsiaTheme="minorEastAsia" w:cstheme="minorEastAsia"/>
          <w:bCs/>
          <w:szCs w:val="24"/>
          <w:highlight w:val="none"/>
        </w:rPr>
        <w:t>消耗性材料（消耗性材料是指一次性消耗完毕，不可再用的材料）如各类破布、砂布、砂纸、砂轮切割片、磨光片、锯条、锯片、油石、</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粘接剂、</w:t>
      </w:r>
      <w:r>
        <w:rPr>
          <w:rFonts w:hint="eastAsia" w:asciiTheme="minorEastAsia" w:hAnsiTheme="minorEastAsia" w:eastAsiaTheme="minorEastAsia" w:cstheme="minorEastAsia"/>
          <w:bCs/>
          <w:szCs w:val="24"/>
          <w:highlight w:val="none"/>
        </w:rPr>
        <w:t>塑料布（检修用）、编织袋（检修用）、白绸布、酒精、钢丝刷、铜丝刷、毛刷、滚筒、电工胶带、塑料扎带、相色带</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玻璃纤维布、</w:t>
      </w:r>
      <w:r>
        <w:rPr>
          <w:rFonts w:hint="eastAsia" w:asciiTheme="minorEastAsia" w:hAnsiTheme="minorEastAsia" w:eastAsiaTheme="minorEastAsia" w:cstheme="minorEastAsia"/>
          <w:bCs/>
          <w:szCs w:val="24"/>
          <w:highlight w:val="none"/>
          <w:lang w:val="en-US" w:eastAsia="zh-CN"/>
        </w:rPr>
        <w:t>抽芯铆钉、钻尾</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自攻</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螺钉、十字平头自攻螺钉</w:t>
      </w:r>
      <w:r>
        <w:rPr>
          <w:rFonts w:hint="eastAsia" w:asciiTheme="minorEastAsia" w:hAnsiTheme="minorEastAsia" w:eastAsiaTheme="minorEastAsia" w:cstheme="minorEastAsia"/>
          <w:bCs/>
          <w:color w:val="000000" w:themeColor="text1"/>
          <w:szCs w:val="24"/>
          <w:highlight w:val="none"/>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Cs w:val="24"/>
          <w:highlight w:val="none"/>
          <w14:textFill>
            <w14:solidFill>
              <w14:schemeClr w14:val="tx1"/>
            </w14:solidFill>
          </w14:textFill>
        </w:rPr>
        <w:t>铁丝、螺栓、螺母</w:t>
      </w:r>
      <w:r>
        <w:rPr>
          <w:rFonts w:hint="eastAsia" w:asciiTheme="minorEastAsia" w:hAnsiTheme="minorEastAsia" w:eastAsiaTheme="minorEastAsia" w:cstheme="minorEastAsia"/>
          <w:bCs/>
          <w:color w:val="000000" w:themeColor="text1"/>
          <w:szCs w:val="24"/>
          <w:highlight w:val="none"/>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Cs w:val="24"/>
          <w:highlight w:val="none"/>
          <w:lang w:val="en-US" w:eastAsia="zh-CN"/>
          <w14:textFill>
            <w14:solidFill>
              <w14:schemeClr w14:val="tx1"/>
            </w14:solidFill>
          </w14:textFill>
        </w:rPr>
        <w:t>脚手架验收牌、脚手架保护套</w:t>
      </w:r>
      <w:r>
        <w:rPr>
          <w:rFonts w:hint="eastAsia" w:asciiTheme="minorEastAsia" w:hAnsiTheme="minorEastAsia" w:eastAsiaTheme="minorEastAsia" w:cstheme="minorEastAsia"/>
          <w:bCs/>
          <w:szCs w:val="24"/>
          <w:highlight w:val="none"/>
        </w:rPr>
        <w:t>等由投标方提</w:t>
      </w:r>
      <w:r>
        <w:rPr>
          <w:rFonts w:hint="eastAsia" w:asciiTheme="minorEastAsia" w:hAnsiTheme="minorEastAsia" w:eastAsiaTheme="minorEastAsia" w:cstheme="minorEastAsia"/>
          <w:bCs/>
          <w:szCs w:val="24"/>
          <w:highlight w:val="none"/>
          <w:lang w:val="en-US" w:eastAsia="zh-CN"/>
        </w:rPr>
        <w:t>供。</w:t>
      </w:r>
    </w:p>
    <w:p w14:paraId="5E8D2A98">
      <w:pPr>
        <w:autoSpaceDE w:val="0"/>
        <w:autoSpaceDN w:val="0"/>
        <w:spacing w:line="360" w:lineRule="auto"/>
        <w:rPr>
          <w:rFonts w:asciiTheme="minorEastAsia" w:hAnsiTheme="minorEastAsia" w:eastAsiaTheme="minorEastAsia" w:cstheme="minorEastAsia"/>
          <w:bCs/>
          <w:szCs w:val="24"/>
          <w:highlight w:val="none"/>
          <w:lang w:val="zh-CN"/>
        </w:rPr>
      </w:pPr>
      <w:r>
        <w:rPr>
          <w:rFonts w:hint="eastAsia" w:asciiTheme="minorEastAsia" w:hAnsiTheme="minorEastAsia" w:eastAsiaTheme="minorEastAsia" w:cstheme="minorEastAsia"/>
          <w:bCs/>
          <w:color w:val="auto"/>
          <w:szCs w:val="24"/>
          <w:highlight w:val="none"/>
          <w:lang w:val="en-US" w:eastAsia="zh-CN"/>
        </w:rPr>
        <w:t>9</w:t>
      </w:r>
      <w:r>
        <w:rPr>
          <w:rFonts w:hint="eastAsia" w:asciiTheme="minorEastAsia" w:hAnsiTheme="minorEastAsia" w:eastAsiaTheme="minorEastAsia" w:cstheme="minorEastAsia"/>
          <w:bCs/>
          <w:color w:val="auto"/>
          <w:szCs w:val="24"/>
          <w:highlight w:val="none"/>
        </w:rPr>
        <w:t>.</w:t>
      </w:r>
      <w:r>
        <w:rPr>
          <w:rFonts w:hint="eastAsia" w:asciiTheme="minorEastAsia" w:hAnsiTheme="minorEastAsia" w:eastAsiaTheme="minorEastAsia" w:cstheme="minorEastAsia"/>
          <w:bCs/>
          <w:color w:val="auto"/>
          <w:szCs w:val="24"/>
          <w:highlight w:val="none"/>
          <w:lang w:val="en-US" w:eastAsia="zh-CN"/>
        </w:rPr>
        <w:t>3</w:t>
      </w:r>
      <w:r>
        <w:rPr>
          <w:rFonts w:hint="eastAsia" w:asciiTheme="minorEastAsia" w:hAnsiTheme="minorEastAsia" w:eastAsiaTheme="minorEastAsia" w:cstheme="minorEastAsia"/>
          <w:bCs/>
          <w:color w:val="auto"/>
          <w:szCs w:val="24"/>
          <w:highlight w:val="none"/>
        </w:rPr>
        <w:t xml:space="preserve"> </w:t>
      </w:r>
      <w:r>
        <w:rPr>
          <w:rFonts w:hint="eastAsia" w:asciiTheme="minorEastAsia" w:hAnsiTheme="minorEastAsia" w:eastAsiaTheme="minorEastAsia" w:cstheme="minorEastAsia"/>
          <w:bCs/>
          <w:szCs w:val="24"/>
          <w:highlight w:val="none"/>
        </w:rPr>
        <w:t>空气呼吸器、长管式防毒面具、过滤式防毒面具、防化服、防火服由招标方提供，</w:t>
      </w:r>
      <w:r>
        <w:rPr>
          <w:rFonts w:hint="eastAsia" w:asciiTheme="minorEastAsia" w:hAnsiTheme="minorEastAsia" w:eastAsiaTheme="minorEastAsia" w:cstheme="minorEastAsia"/>
          <w:bCs/>
          <w:szCs w:val="24"/>
          <w:highlight w:val="none"/>
          <w:lang w:val="zh-CN"/>
        </w:rPr>
        <w:t>其它劳动保护用品、安全防护用品如安全帽、安全绳、</w:t>
      </w:r>
      <w:r>
        <w:rPr>
          <w:rFonts w:hint="eastAsia" w:asciiTheme="minorEastAsia" w:hAnsiTheme="minorEastAsia" w:eastAsiaTheme="minorEastAsia" w:cstheme="minorEastAsia"/>
          <w:bCs/>
          <w:szCs w:val="24"/>
          <w:highlight w:val="none"/>
          <w:lang w:val="en-US" w:eastAsia="zh-CN"/>
        </w:rPr>
        <w:t>防坠器、安全带</w:t>
      </w:r>
      <w:r>
        <w:rPr>
          <w:rFonts w:hint="eastAsia" w:asciiTheme="minorEastAsia" w:hAnsiTheme="minorEastAsia" w:eastAsiaTheme="minorEastAsia" w:cstheme="minorEastAsia"/>
          <w:bCs/>
          <w:szCs w:val="24"/>
          <w:highlight w:val="none"/>
          <w:lang w:val="zh-CN"/>
        </w:rPr>
        <w:t>等由投标方</w:t>
      </w:r>
      <w:r>
        <w:rPr>
          <w:rFonts w:hint="default" w:asciiTheme="minorEastAsia" w:hAnsiTheme="minorEastAsia" w:eastAsiaTheme="minorEastAsia" w:cstheme="minorEastAsia"/>
          <w:bCs/>
          <w:szCs w:val="24"/>
          <w:highlight w:val="none"/>
        </w:rPr>
        <w:t>自备</w:t>
      </w:r>
      <w:r>
        <w:rPr>
          <w:rFonts w:hint="eastAsia" w:asciiTheme="minorEastAsia" w:hAnsiTheme="minorEastAsia" w:eastAsiaTheme="minorEastAsia" w:cstheme="minorEastAsia"/>
          <w:bCs/>
          <w:szCs w:val="24"/>
          <w:highlight w:val="none"/>
          <w:lang w:val="zh-CN"/>
        </w:rPr>
        <w:t>。</w:t>
      </w:r>
    </w:p>
    <w:p w14:paraId="5951424A">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9</w:t>
      </w:r>
      <w:r>
        <w:rPr>
          <w:rFonts w:hint="eastAsia" w:asciiTheme="minorEastAsia" w:hAnsiTheme="minorEastAsia" w:eastAsiaTheme="minorEastAsia" w:cstheme="minorEastAsia"/>
          <w:bCs/>
          <w:szCs w:val="24"/>
          <w:highlight w:val="none"/>
        </w:rPr>
        <w:t>.</w:t>
      </w:r>
      <w:r>
        <w:rPr>
          <w:rFonts w:hint="eastAsia" w:asciiTheme="minorEastAsia" w:hAnsiTheme="minorEastAsia" w:eastAsiaTheme="minorEastAsia" w:cstheme="minorEastAsia"/>
          <w:bCs/>
          <w:szCs w:val="24"/>
          <w:highlight w:val="none"/>
          <w:lang w:val="en-US" w:eastAsia="zh-CN"/>
        </w:rPr>
        <w:t>4</w:t>
      </w:r>
      <w:r>
        <w:rPr>
          <w:rFonts w:hint="eastAsia" w:asciiTheme="minorEastAsia" w:hAnsiTheme="minorEastAsia" w:eastAsiaTheme="minorEastAsia" w:cstheme="minorEastAsia"/>
          <w:bCs/>
          <w:szCs w:val="24"/>
          <w:highlight w:val="none"/>
        </w:rPr>
        <w:t xml:space="preserve"> 投标方应配齐在执行检修、维护及抢修过程中的所有工器具，至少应提供包括以下工器具（但不限于以下工器具）。包括电（气）焊设备、角磨机、10T及以下手拉葫芦、手枪钻、卷尺、切割工具及常用的活扳手、呆扳手、手钳、螺丝刀、梯子、吸尘器、吹尘器等。特殊工具、高精度量具、专用工具可由投标方向招标方借用</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lang w:val="en-US" w:eastAsia="zh-CN"/>
        </w:rPr>
        <w:t>工作结束后立即归还至招标方，借用工器具损坏或丢失的按照招标方采购价格的2倍赔偿</w:t>
      </w:r>
      <w:r>
        <w:rPr>
          <w:rFonts w:hint="eastAsia" w:asciiTheme="minorEastAsia" w:hAnsiTheme="minorEastAsia" w:eastAsiaTheme="minorEastAsia" w:cstheme="minorEastAsia"/>
          <w:bCs/>
          <w:szCs w:val="24"/>
          <w:highlight w:val="none"/>
        </w:rPr>
        <w:t>。</w:t>
      </w:r>
    </w:p>
    <w:p w14:paraId="3BE51457">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9</w:t>
      </w:r>
      <w:r>
        <w:rPr>
          <w:rFonts w:hint="eastAsia" w:asciiTheme="minorEastAsia" w:hAnsiTheme="minorEastAsia" w:eastAsiaTheme="minorEastAsia" w:cstheme="minorEastAsia"/>
          <w:bCs/>
          <w:szCs w:val="24"/>
          <w:highlight w:val="none"/>
        </w:rPr>
        <w:t>.</w:t>
      </w:r>
      <w:r>
        <w:rPr>
          <w:rFonts w:hint="eastAsia" w:asciiTheme="minorEastAsia" w:hAnsiTheme="minorEastAsia" w:eastAsiaTheme="minorEastAsia" w:cstheme="minorEastAsia"/>
          <w:bCs/>
          <w:szCs w:val="24"/>
          <w:highlight w:val="none"/>
          <w:lang w:val="en-US" w:eastAsia="zh-CN"/>
        </w:rPr>
        <w:t xml:space="preserve">5 </w:t>
      </w:r>
      <w:r>
        <w:rPr>
          <w:rFonts w:hint="eastAsia" w:asciiTheme="minorEastAsia" w:hAnsiTheme="minorEastAsia" w:eastAsiaTheme="minorEastAsia" w:cstheme="minorEastAsia"/>
          <w:bCs/>
          <w:szCs w:val="24"/>
          <w:highlight w:val="none"/>
        </w:rPr>
        <w:t>正常维护用工器具由投标方</w:t>
      </w:r>
      <w:r>
        <w:rPr>
          <w:rFonts w:hint="default" w:asciiTheme="minorEastAsia" w:hAnsiTheme="minorEastAsia" w:eastAsiaTheme="minorEastAsia" w:cstheme="minorEastAsia"/>
          <w:bCs/>
          <w:szCs w:val="24"/>
          <w:highlight w:val="none"/>
        </w:rPr>
        <w:t>自备</w:t>
      </w:r>
      <w:r>
        <w:rPr>
          <w:rFonts w:hint="eastAsia" w:asciiTheme="minorEastAsia" w:hAnsiTheme="minorEastAsia" w:eastAsiaTheme="minorEastAsia" w:cstheme="minorEastAsia"/>
          <w:bCs/>
          <w:szCs w:val="24"/>
          <w:highlight w:val="none"/>
        </w:rPr>
        <w:t>，维保时所使用的工器具必须符合对应工作场合的防爆要求，所使用防爆工器具、电动工器具需提供其相关证明及有效检验合格证。若招标方已有的特殊工具、专用工具可向招标方借用。投标方到现场后向招标方提供安全工器具清册。</w:t>
      </w:r>
    </w:p>
    <w:p w14:paraId="0B4332D5">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lang w:val="en-US" w:eastAsia="zh-CN"/>
        </w:rPr>
        <w:t xml:space="preserve">9.6 </w:t>
      </w:r>
      <w:r>
        <w:rPr>
          <w:rFonts w:hint="eastAsia" w:asciiTheme="minorEastAsia" w:hAnsiTheme="minorEastAsia" w:eastAsiaTheme="minorEastAsia" w:cstheme="minorEastAsia"/>
          <w:bCs/>
          <w:szCs w:val="24"/>
          <w:highlight w:val="none"/>
        </w:rPr>
        <w:t>投标方中标后应向招标方上报以上工器具清单。投标</w:t>
      </w:r>
      <w:r>
        <w:rPr>
          <w:rFonts w:hint="eastAsia" w:asciiTheme="minorEastAsia" w:hAnsiTheme="minorEastAsia" w:eastAsiaTheme="minorEastAsia" w:cstheme="minorEastAsia"/>
          <w:bCs/>
          <w:szCs w:val="24"/>
          <w:highlight w:val="none"/>
          <w:lang w:eastAsia="zh-CN"/>
        </w:rPr>
        <w:t>方在</w:t>
      </w:r>
      <w:r>
        <w:rPr>
          <w:rFonts w:hint="eastAsia" w:asciiTheme="minorEastAsia" w:hAnsiTheme="minorEastAsia" w:eastAsiaTheme="minorEastAsia" w:cstheme="minorEastAsia"/>
          <w:bCs/>
          <w:szCs w:val="24"/>
          <w:highlight w:val="none"/>
        </w:rPr>
        <w:t>维护过程中因以上配置过少、没有配置</w:t>
      </w:r>
      <w:r>
        <w:rPr>
          <w:rFonts w:hint="eastAsia" w:asciiTheme="minorEastAsia" w:hAnsiTheme="minorEastAsia" w:eastAsiaTheme="minorEastAsia" w:cstheme="minorEastAsia"/>
          <w:bCs/>
          <w:szCs w:val="24"/>
          <w:highlight w:val="none"/>
          <w:lang w:eastAsia="zh-CN"/>
        </w:rPr>
        <w:t>或</w:t>
      </w:r>
      <w:r>
        <w:rPr>
          <w:rFonts w:hint="eastAsia" w:asciiTheme="minorEastAsia" w:hAnsiTheme="minorEastAsia" w:eastAsiaTheme="minorEastAsia" w:cstheme="minorEastAsia"/>
          <w:bCs/>
          <w:szCs w:val="24"/>
          <w:highlight w:val="none"/>
        </w:rPr>
        <w:t>不能使用，造成招标方设备得不到及时修护，招标方可向投标方发出警告，造成重大生产影响的，可解除合同。</w:t>
      </w:r>
    </w:p>
    <w:p w14:paraId="120B088C">
      <w:pPr>
        <w:autoSpaceDE w:val="0"/>
        <w:autoSpaceDN w:val="0"/>
        <w:spacing w:line="360" w:lineRule="auto"/>
        <w:rPr>
          <w:rFonts w:asciiTheme="minorEastAsia" w:hAnsiTheme="minorEastAsia" w:eastAsiaTheme="minorEastAsia" w:cstheme="minorEastAsia"/>
          <w:bCs/>
          <w:szCs w:val="24"/>
          <w:highlight w:val="none"/>
          <w:lang w:val="zh-CN"/>
        </w:rPr>
      </w:pPr>
      <w:r>
        <w:rPr>
          <w:rFonts w:hint="eastAsia" w:asciiTheme="minorEastAsia" w:hAnsiTheme="minorEastAsia" w:eastAsiaTheme="minorEastAsia" w:cstheme="minorEastAsia"/>
          <w:bCs/>
          <w:szCs w:val="24"/>
          <w:highlight w:val="none"/>
          <w:lang w:val="en-US" w:eastAsia="zh-CN"/>
        </w:rPr>
        <w:t xml:space="preserve">9.7 </w:t>
      </w:r>
      <w:r>
        <w:rPr>
          <w:rFonts w:hint="eastAsia" w:asciiTheme="minorEastAsia" w:hAnsiTheme="minorEastAsia" w:eastAsiaTheme="minorEastAsia" w:cstheme="minorEastAsia"/>
          <w:bCs/>
          <w:szCs w:val="24"/>
          <w:highlight w:val="none"/>
          <w:lang w:val="zh-CN"/>
        </w:rPr>
        <w:t>检修维护结束后，剩余材料和备品备件由投标方人员负责退库。合同期内，如招标方发现投标方有故意多领用甲供材料时，一经查实，其多领部分的材料用量将按照招标方实际采购的相应材料价格（包括运杂费、采保费）的两倍计算材料费用扣减投标方合同款。</w:t>
      </w:r>
    </w:p>
    <w:p w14:paraId="675DB0D7">
      <w:pPr>
        <w:spacing w:line="360" w:lineRule="auto"/>
        <w:rPr>
          <w:rFonts w:hint="eastAsia" w:asciiTheme="minorEastAsia" w:hAnsiTheme="minorEastAsia" w:eastAsiaTheme="minorEastAsia" w:cstheme="minorEastAsia"/>
          <w:bCs/>
          <w:szCs w:val="24"/>
          <w:highlight w:val="none"/>
          <w:lang w:val="zh-CN"/>
        </w:rPr>
      </w:pPr>
      <w:r>
        <w:rPr>
          <w:rFonts w:hint="eastAsia" w:asciiTheme="minorEastAsia" w:hAnsiTheme="minorEastAsia" w:eastAsiaTheme="minorEastAsia" w:cstheme="minorEastAsia"/>
          <w:bCs/>
          <w:szCs w:val="24"/>
          <w:highlight w:val="none"/>
          <w:lang w:val="en-US" w:eastAsia="zh-CN"/>
        </w:rPr>
        <w:t>9.8</w:t>
      </w:r>
      <w:r>
        <w:rPr>
          <w:rFonts w:hint="eastAsia" w:asciiTheme="minorEastAsia" w:hAnsiTheme="minorEastAsia" w:eastAsiaTheme="minorEastAsia" w:cstheme="minorEastAsia"/>
          <w:bCs/>
          <w:szCs w:val="24"/>
          <w:highlight w:val="none"/>
        </w:rPr>
        <w:t xml:space="preserve"> </w:t>
      </w:r>
      <w:r>
        <w:rPr>
          <w:rFonts w:hint="eastAsia" w:asciiTheme="minorEastAsia" w:hAnsiTheme="minorEastAsia" w:eastAsiaTheme="minorEastAsia" w:cstheme="minorEastAsia"/>
          <w:bCs/>
          <w:szCs w:val="24"/>
          <w:highlight w:val="none"/>
          <w:lang w:val="zh-CN"/>
        </w:rPr>
        <w:t>维护、抢修所用技术资料，如设备装配图、设备技术标准、检修作业标准等由投标方到招标方档案室借阅，检修完毕返还。</w:t>
      </w:r>
    </w:p>
    <w:p w14:paraId="56B7F995">
      <w:pPr>
        <w:pStyle w:val="2"/>
        <w:rPr>
          <w:rFonts w:hint="eastAsia"/>
          <w:highlight w:val="yellow"/>
          <w:lang w:val="zh-CN"/>
        </w:rPr>
      </w:pPr>
      <w:r>
        <w:rPr>
          <w:rFonts w:hint="eastAsia" w:ascii="宋体" w:hAnsi="宋体" w:eastAsia="宋体" w:cs="宋体"/>
          <w:sz w:val="24"/>
          <w:szCs w:val="24"/>
          <w:highlight w:val="yellow"/>
          <w:lang w:val="en-US" w:eastAsia="zh-CN"/>
        </w:rPr>
        <w:t>9.9</w:t>
      </w:r>
      <w:r>
        <w:rPr>
          <w:rFonts w:ascii="宋体" w:hAnsi="宋体" w:eastAsia="宋体" w:cs="宋体"/>
          <w:sz w:val="24"/>
          <w:szCs w:val="24"/>
          <w:highlight w:val="yellow"/>
        </w:rPr>
        <w:t xml:space="preserve"> 投标方中标后项目负责人、项目管理组、班组长及骨干人员须提前一个月到厂熟悉工作，并与招标方、原维保单位共同对存放于生产现场的招标人资产（备件、工器具、材料、台账等必要清册）进行三方盘点、造册、签字确认交接。</w:t>
      </w:r>
    </w:p>
    <w:p w14:paraId="0D6E0C26">
      <w:pPr>
        <w:pStyle w:val="76"/>
        <w:spacing w:line="360" w:lineRule="auto"/>
        <w:jc w:val="both"/>
        <w:outlineLvl w:val="0"/>
        <w:rPr>
          <w:rFonts w:hint="eastAsia" w:asciiTheme="minorEastAsia" w:hAnsiTheme="minorEastAsia" w:eastAsiaTheme="minorEastAsia" w:cstheme="minorEastAsia"/>
          <w:b/>
          <w:sz w:val="24"/>
          <w:szCs w:val="24"/>
          <w:highlight w:val="none"/>
        </w:rPr>
      </w:pPr>
      <w:bookmarkStart w:id="47" w:name="_Toc7271"/>
      <w:bookmarkStart w:id="48" w:name="_Toc7664"/>
      <w:bookmarkStart w:id="49" w:name="_Toc2990"/>
      <w:r>
        <w:rPr>
          <w:rFonts w:hint="eastAsia" w:asciiTheme="minorEastAsia" w:hAnsiTheme="minorEastAsia" w:eastAsiaTheme="minorEastAsia" w:cstheme="minorEastAsia"/>
          <w:b/>
          <w:sz w:val="24"/>
          <w:szCs w:val="24"/>
          <w:highlight w:val="none"/>
          <w:lang w:val="en-US" w:eastAsia="zh-CN"/>
        </w:rPr>
        <w:t xml:space="preserve">10 </w:t>
      </w:r>
      <w:r>
        <w:rPr>
          <w:rFonts w:hint="eastAsia" w:asciiTheme="minorEastAsia" w:hAnsiTheme="minorEastAsia" w:eastAsiaTheme="minorEastAsia" w:cstheme="minorEastAsia"/>
          <w:b/>
          <w:sz w:val="24"/>
          <w:szCs w:val="24"/>
          <w:highlight w:val="none"/>
        </w:rPr>
        <w:t>安健环及文明施工、危险源（环境因素）控制要求</w:t>
      </w:r>
      <w:bookmarkEnd w:id="47"/>
      <w:bookmarkEnd w:id="48"/>
      <w:bookmarkEnd w:id="49"/>
    </w:p>
    <w:p w14:paraId="5E5AAA74">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 xml:space="preserve">10.1 </w:t>
      </w:r>
      <w:r>
        <w:rPr>
          <w:rFonts w:hint="eastAsia" w:asciiTheme="minorEastAsia" w:hAnsiTheme="minorEastAsia" w:eastAsiaTheme="minorEastAsia" w:cstheme="minorEastAsia"/>
          <w:szCs w:val="24"/>
          <w:highlight w:val="none"/>
          <w:lang w:val="zh-CN"/>
        </w:rPr>
        <w:t>贯彻“谁施工、谁负责安全”的管理原则。</w:t>
      </w:r>
    </w:p>
    <w:p w14:paraId="13C45872">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w:t>
      </w:r>
      <w:r>
        <w:rPr>
          <w:rFonts w:hint="eastAsia" w:asciiTheme="minorEastAsia" w:hAnsiTheme="minorEastAsia" w:eastAsiaTheme="minorEastAsia" w:cstheme="minorEastAsia"/>
          <w:szCs w:val="24"/>
          <w:highlight w:val="none"/>
          <w:lang w:val="zh-CN"/>
        </w:rPr>
        <w:t>2</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lang w:val="zh-CN"/>
        </w:rPr>
        <w:t>投标方进场施工，必须在施工前七天内提交参与本项目的入厂人员名单，安全质量组织体系名单至招标方，经审核合格后，方可办理有关入厂证件和入厂施工。</w:t>
      </w:r>
    </w:p>
    <w:p w14:paraId="2DF8C841">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3</w:t>
      </w:r>
      <w:r>
        <w:rPr>
          <w:rFonts w:hint="eastAsia" w:asciiTheme="minorEastAsia" w:hAnsiTheme="minorEastAsia" w:eastAsiaTheme="minorEastAsia" w:cstheme="minorEastAsia"/>
          <w:szCs w:val="24"/>
          <w:highlight w:val="none"/>
          <w:lang w:val="en-US" w:eastAsia="zh-CN"/>
        </w:rPr>
        <w:t xml:space="preserve"> </w:t>
      </w:r>
      <w:r>
        <w:rPr>
          <w:rFonts w:hint="eastAsia" w:asciiTheme="minorEastAsia" w:hAnsiTheme="minorEastAsia" w:eastAsiaTheme="minorEastAsia" w:cstheme="minorEastAsia"/>
          <w:szCs w:val="24"/>
          <w:highlight w:val="none"/>
          <w:lang w:val="zh-CN"/>
        </w:rPr>
        <w:t>投标方项目经理是本工程的安全工作的第一责任人，对本工程工作期间所有施工项目的实施过程中涉及的安全负责，以及施工现场、施工过程中的安全负责。对派遣的工作人员，编制的《施工方案》《作业指导书》，以及提供的作业车辆、施工机械的安全负责，并保证所派遣的工作人员具有完成本工程内任何工作的安全知识和能力。投标方参加施工的特种作业人员和特种设备作业人员必须具备政府主管部门颁发的有效证书或证明，提交招标方审核、备案。</w:t>
      </w:r>
    </w:p>
    <w:p w14:paraId="7A52CC25">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.4 </w:t>
      </w:r>
      <w:r>
        <w:rPr>
          <w:rFonts w:hint="eastAsia" w:asciiTheme="minorEastAsia" w:hAnsiTheme="minorEastAsia" w:eastAsiaTheme="minorEastAsia" w:cstheme="minorEastAsia"/>
          <w:szCs w:val="24"/>
          <w:highlight w:val="none"/>
          <w:lang w:val="zh-CN"/>
        </w:rPr>
        <w:t>投标方应认真贯彻国家和地方劳动保护、安全生产主管部门颁发的有关安全生产的方针、政策，严格执行有关劳动保护法规、法令、条例、行业安全工作规程、安全生产工作规定及电力建设安全施工管理规定。</w:t>
      </w:r>
    </w:p>
    <w:p w14:paraId="796079A3">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.5 </w:t>
      </w:r>
      <w:r>
        <w:rPr>
          <w:rFonts w:hint="eastAsia" w:asciiTheme="minorEastAsia" w:hAnsiTheme="minorEastAsia" w:eastAsiaTheme="minorEastAsia" w:cstheme="minorEastAsia"/>
          <w:szCs w:val="24"/>
          <w:highlight w:val="none"/>
          <w:lang w:val="zh-CN"/>
        </w:rPr>
        <w:t>在施工中，投标方必须认真对本工程有关施工人员进行安全生产制度及安全技术知识教育，增强职工法治观念，增强职工安全思想意识和自我保护能力，督促职工自觉遵守安全生产纪律、制度和法规。投标方应对施工人员加强教育和管理，提高质量、安全第一的观念，进行安全、文明施工，做到工完料尽场地清。投标方对施工人员必须按规定配备劳动保护用品、用具，保证施工人员的安全和身心健康，符合职业劳动保护的规定要求。</w:t>
      </w:r>
    </w:p>
    <w:p w14:paraId="2D8665EA">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.6 </w:t>
      </w:r>
      <w:r>
        <w:rPr>
          <w:rFonts w:hint="eastAsia" w:asciiTheme="minorEastAsia" w:hAnsiTheme="minorEastAsia" w:eastAsiaTheme="minorEastAsia" w:cstheme="minorEastAsia"/>
          <w:szCs w:val="24"/>
          <w:highlight w:val="none"/>
          <w:lang w:val="zh-CN"/>
        </w:rPr>
        <w:t>投标方应建立健全全员安全生产责任制和安全生产规章制度；制定安全生产教育培训计划并严格执行；定期开展反违章检查；组织建立并落实风险分级管控和隐患排查与治理双重预防机制；保证安全费用有效投入并建立安全费用使用清单；根据招标方的安全生产事故应急救援预案，组织制定并实施安全生产事故应急救援预案；及时、如实报告生产安全事故（事件）。</w:t>
      </w:r>
    </w:p>
    <w:p w14:paraId="63C8CBD7">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.7 </w:t>
      </w:r>
      <w:r>
        <w:rPr>
          <w:rFonts w:hint="eastAsia" w:asciiTheme="minorEastAsia" w:hAnsiTheme="minorEastAsia" w:eastAsiaTheme="minorEastAsia" w:cstheme="minorEastAsia"/>
          <w:szCs w:val="24"/>
          <w:highlight w:val="none"/>
          <w:lang w:val="zh-CN"/>
        </w:rPr>
        <w:t>招标方负责对投标方进行安全生产进场教育，指明施工区域和相关的安全要求及规定，完成工作票上规定的安全隔离措施。招标方有权监督、抽查投标方安全措施、有权监督安全责任落实情况并根据生产和安全要求，请投标方临时转移施工地点或暂停施工。招标方有权对投标方违章作业或危及设备的施工提出警告或要求停止施工。</w:t>
      </w:r>
    </w:p>
    <w:p w14:paraId="6690E5AD">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.8 </w:t>
      </w:r>
      <w:r>
        <w:rPr>
          <w:rFonts w:hint="eastAsia" w:asciiTheme="minorEastAsia" w:hAnsiTheme="minorEastAsia" w:eastAsiaTheme="minorEastAsia" w:cstheme="minorEastAsia"/>
          <w:szCs w:val="24"/>
          <w:highlight w:val="none"/>
          <w:lang w:val="zh-CN"/>
        </w:rPr>
        <w:t>投标方的工作人员必须严格遵守招标方的管理要求，严格按安全规程文明施工，服从招标方生产调度，接受招标方文明生产考核。投标方必须有专职安全员，制定与本工程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作业人员在作业区域内必须遵守招标方安全管理的有关规定和制度，佩戴好胸卡，戴好安全帽等个人安全器具，不准进入与作业无关的区域，并随时接受招标方的项目负责人的工作指导和安监人员现场的安全监督。</w:t>
      </w:r>
    </w:p>
    <w:p w14:paraId="1D9D4114">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.9 </w:t>
      </w:r>
      <w:r>
        <w:rPr>
          <w:rFonts w:hint="eastAsia" w:asciiTheme="minorEastAsia" w:hAnsiTheme="minorEastAsia" w:eastAsiaTheme="minorEastAsia" w:cstheme="minorEastAsia"/>
          <w:szCs w:val="24"/>
          <w:highlight w:val="none"/>
          <w:lang w:val="zh-CN"/>
        </w:rPr>
        <w:t>必须严格执行工作票制度。工作票由招标方签发，并写明安全措施，投标方必须严格执行。有关工作票的办理按照招标方《工作票管理标准》执行，严禁无票作业。</w:t>
      </w:r>
    </w:p>
    <w:p w14:paraId="3F9248F6">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.10 </w:t>
      </w:r>
      <w:r>
        <w:rPr>
          <w:rFonts w:hint="eastAsia" w:asciiTheme="minorEastAsia" w:hAnsiTheme="minorEastAsia" w:eastAsiaTheme="minorEastAsia" w:cstheme="minorEastAsia"/>
          <w:szCs w:val="24"/>
          <w:highlight w:val="none"/>
          <w:lang w:val="zh-CN"/>
        </w:rPr>
        <w:t>由于投标方人员违反安全规程、违章作业和违反招标方厂纪厂规造成招标方设施损坏，或人员伤亡事故，则由投标方承担全部责任，招标方负责处理。</w:t>
      </w:r>
    </w:p>
    <w:p w14:paraId="13254AD2">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.11 </w:t>
      </w:r>
      <w:r>
        <w:rPr>
          <w:rFonts w:hint="eastAsia" w:asciiTheme="minorEastAsia" w:hAnsiTheme="minorEastAsia" w:eastAsiaTheme="minorEastAsia" w:cstheme="minorEastAsia"/>
          <w:szCs w:val="24"/>
          <w:highlight w:val="none"/>
          <w:lang w:val="zh-CN"/>
        </w:rPr>
        <w:t>由于投标方人员违反安全规程和招标方厂纪厂规而造成投标方人身或设备事故的，则由投标方承担全部责任并负责处理。</w:t>
      </w:r>
    </w:p>
    <w:p w14:paraId="6F614651">
      <w:pPr>
        <w:autoSpaceDE w:val="0"/>
        <w:autoSpaceDN w:val="0"/>
        <w:spacing w:line="360" w:lineRule="auto"/>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szCs w:val="24"/>
          <w:highlight w:val="none"/>
          <w:lang w:val="en-US" w:eastAsia="zh-CN"/>
        </w:rPr>
        <w:t>10</w:t>
      </w:r>
      <w:r>
        <w:rPr>
          <w:rFonts w:hint="eastAsia" w:asciiTheme="minorEastAsia" w:hAnsiTheme="minorEastAsia" w:eastAsiaTheme="minorEastAsia" w:cstheme="minorEastAsia"/>
          <w:szCs w:val="24"/>
          <w:highlight w:val="none"/>
        </w:rPr>
        <w:t xml:space="preserve">.12 </w:t>
      </w:r>
      <w:r>
        <w:rPr>
          <w:rFonts w:hint="eastAsia" w:asciiTheme="minorEastAsia" w:hAnsiTheme="minorEastAsia" w:eastAsiaTheme="minorEastAsia" w:cstheme="minorEastAsia"/>
          <w:szCs w:val="24"/>
          <w:highlight w:val="none"/>
          <w:lang w:val="zh-CN"/>
        </w:rPr>
        <w:t>由于招标方原因造成投标方人身或设备事故，投标方负责处理，招标方承担责任并配合处理。</w:t>
      </w:r>
      <w:r>
        <w:rPr>
          <w:rFonts w:hint="eastAsia" w:asciiTheme="minorEastAsia" w:hAnsiTheme="minorEastAsia" w:eastAsiaTheme="minorEastAsia" w:cstheme="minorEastAsia"/>
          <w:bCs/>
          <w:szCs w:val="24"/>
          <w:highlight w:val="none"/>
        </w:rPr>
        <w:t xml:space="preserve"> </w:t>
      </w:r>
    </w:p>
    <w:p w14:paraId="5990D336">
      <w:pPr>
        <w:spacing w:line="360" w:lineRule="auto"/>
        <w:outlineLvl w:val="0"/>
        <w:rPr>
          <w:rFonts w:asciiTheme="minorEastAsia" w:hAnsiTheme="minorEastAsia" w:eastAsiaTheme="minorEastAsia" w:cstheme="minorEastAsia"/>
          <w:b/>
          <w:sz w:val="24"/>
          <w:szCs w:val="24"/>
          <w:highlight w:val="none"/>
        </w:rPr>
      </w:pPr>
      <w:bookmarkStart w:id="50" w:name="_Toc32663"/>
      <w:bookmarkStart w:id="51" w:name="_Toc5612"/>
      <w:bookmarkStart w:id="52" w:name="_Toc32467"/>
      <w:r>
        <w:rPr>
          <w:rFonts w:hint="eastAsia" w:asciiTheme="minorEastAsia" w:hAnsiTheme="minorEastAsia" w:eastAsiaTheme="minorEastAsia" w:cstheme="minorEastAsia"/>
          <w:b/>
          <w:sz w:val="24"/>
          <w:szCs w:val="24"/>
          <w:highlight w:val="none"/>
          <w:lang w:val="en-US" w:eastAsia="zh-CN"/>
        </w:rPr>
        <w:t xml:space="preserve">11 </w:t>
      </w:r>
      <w:r>
        <w:rPr>
          <w:rFonts w:hint="eastAsia" w:asciiTheme="minorEastAsia" w:hAnsiTheme="minorEastAsia" w:eastAsiaTheme="minorEastAsia" w:cstheme="minorEastAsia"/>
          <w:b/>
          <w:sz w:val="24"/>
          <w:szCs w:val="24"/>
          <w:highlight w:val="none"/>
        </w:rPr>
        <w:t>考核及奖励办法</w:t>
      </w:r>
      <w:bookmarkEnd w:id="50"/>
      <w:bookmarkEnd w:id="51"/>
      <w:bookmarkEnd w:id="52"/>
    </w:p>
    <w:p w14:paraId="720BE450">
      <w:pPr>
        <w:pStyle w:val="4"/>
        <w:spacing w:before="0" w:after="0" w:line="360" w:lineRule="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val="en-US" w:eastAsia="zh-CN"/>
        </w:rPr>
        <w:t>11</w:t>
      </w:r>
      <w:r>
        <w:rPr>
          <w:rFonts w:hint="eastAsia" w:asciiTheme="minorEastAsia" w:hAnsiTheme="minorEastAsia" w:eastAsiaTheme="minorEastAsia" w:cstheme="minorEastAsia"/>
          <w:b w:val="0"/>
          <w:bCs/>
          <w:sz w:val="24"/>
          <w:szCs w:val="24"/>
          <w:highlight w:val="none"/>
        </w:rPr>
        <w:t>.1</w:t>
      </w:r>
      <w:r>
        <w:rPr>
          <w:rFonts w:hint="eastAsia" w:asciiTheme="minorEastAsia" w:hAnsiTheme="minorEastAsia" w:eastAsiaTheme="minorEastAsia" w:cstheme="minorEastAsia"/>
          <w:b w:val="0"/>
          <w:bCs/>
          <w:sz w:val="24"/>
          <w:szCs w:val="24"/>
          <w:highlight w:val="none"/>
          <w:lang w:val="en-US" w:eastAsia="zh-CN"/>
        </w:rPr>
        <w:t xml:space="preserve"> </w:t>
      </w:r>
      <w:r>
        <w:rPr>
          <w:rFonts w:hint="eastAsia" w:asciiTheme="minorEastAsia" w:hAnsiTheme="minorEastAsia" w:eastAsiaTheme="minorEastAsia" w:cstheme="minorEastAsia"/>
          <w:b w:val="0"/>
          <w:bCs/>
          <w:sz w:val="24"/>
          <w:szCs w:val="24"/>
          <w:highlight w:val="none"/>
        </w:rPr>
        <w:t>考核依据</w:t>
      </w:r>
    </w:p>
    <w:p w14:paraId="2A6ECFDB">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（Q/XT212082-2020）《安全生产考核标准》附件一：《伊犁新天煤化工有限责任公司安全生产月度考核标准》</w:t>
      </w:r>
    </w:p>
    <w:p w14:paraId="4DA41668">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（Q/XT212082-2020）《安全生产考核标准》附件二：《伊犁新天煤化工有限责任公司安全生产年度考核标准》</w:t>
      </w:r>
    </w:p>
    <w:p w14:paraId="0BC1E205">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（Q/XT212004-2020）《反习惯性违章安全管理规定》</w:t>
      </w:r>
    </w:p>
    <w:p w14:paraId="45550DA2">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（Q/XT204001—2020）《设备检修管理标准》</w:t>
      </w:r>
    </w:p>
    <w:p w14:paraId="4EE0D3F2">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（Q/XT205051—2020）《常年维检外包单位日常管理规定》</w:t>
      </w:r>
    </w:p>
    <w:p w14:paraId="02139D8D">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（Q/XT205042—2020）《设备缺陷管理规定》</w:t>
      </w:r>
    </w:p>
    <w:p w14:paraId="75E78965">
      <w:pPr>
        <w:spacing w:line="360" w:lineRule="auto"/>
        <w:rPr>
          <w:rFonts w:hint="eastAsia" w:asciiTheme="minorEastAsia" w:hAnsiTheme="minorEastAsia" w:eastAsiaTheme="minorEastAsia" w:cstheme="minorEastAsia"/>
          <w:b w:val="0"/>
          <w:bCs/>
          <w:sz w:val="24"/>
          <w:szCs w:val="24"/>
          <w:highlight w:val="none"/>
          <w:lang w:eastAsia="zh-CN"/>
        </w:rPr>
      </w:pPr>
      <w:r>
        <w:rPr>
          <w:rFonts w:hint="eastAsia" w:asciiTheme="minorEastAsia" w:hAnsiTheme="minorEastAsia" w:eastAsiaTheme="minorEastAsia" w:cstheme="minorEastAsia"/>
          <w:b w:val="0"/>
          <w:bCs/>
          <w:sz w:val="24"/>
          <w:szCs w:val="24"/>
          <w:highlight w:val="none"/>
          <w:lang w:val="en-US" w:eastAsia="zh-CN"/>
        </w:rPr>
        <w:t xml:space="preserve">11.2 </w:t>
      </w:r>
      <w:r>
        <w:rPr>
          <w:rFonts w:hint="eastAsia" w:asciiTheme="minorEastAsia" w:hAnsiTheme="minorEastAsia" w:eastAsiaTheme="minorEastAsia" w:cstheme="minorEastAsia"/>
          <w:b w:val="0"/>
          <w:bCs/>
          <w:sz w:val="24"/>
          <w:szCs w:val="24"/>
          <w:highlight w:val="none"/>
        </w:rPr>
        <w:t>考核</w:t>
      </w:r>
      <w:r>
        <w:rPr>
          <w:rFonts w:hint="eastAsia" w:asciiTheme="minorEastAsia" w:hAnsiTheme="minorEastAsia" w:eastAsiaTheme="minorEastAsia" w:cstheme="minorEastAsia"/>
          <w:b w:val="0"/>
          <w:bCs/>
          <w:sz w:val="24"/>
          <w:szCs w:val="24"/>
          <w:highlight w:val="none"/>
          <w:lang w:val="en-US" w:eastAsia="zh-CN"/>
        </w:rPr>
        <w:t>范围</w:t>
      </w:r>
    </w:p>
    <w:p w14:paraId="67E6946A">
      <w:pPr>
        <w:pStyle w:val="35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本办法规定了对</w:t>
      </w:r>
      <w:r>
        <w:rPr>
          <w:rFonts w:hint="eastAsia" w:asciiTheme="minorEastAsia" w:hAnsiTheme="minorEastAsia" w:eastAsiaTheme="minorEastAsia" w:cstheme="minorEastAsia"/>
          <w:sz w:val="24"/>
          <w:highlight w:val="none"/>
          <w:lang w:val="en-US" w:eastAsia="zh-CN"/>
        </w:rPr>
        <w:t>2026-2027年度全厂架子、保温、防腐</w:t>
      </w:r>
      <w:r>
        <w:rPr>
          <w:rFonts w:hint="eastAsia" w:asciiTheme="minorEastAsia" w:hAnsiTheme="minorEastAsia" w:eastAsiaTheme="minorEastAsia" w:cstheme="minorEastAsia"/>
          <w:sz w:val="24"/>
          <w:highlight w:val="none"/>
        </w:rPr>
        <w:t>工程的管理考核、</w:t>
      </w:r>
      <w:r>
        <w:rPr>
          <w:rFonts w:hint="eastAsia" w:asciiTheme="minorEastAsia" w:hAnsiTheme="minorEastAsia" w:eastAsiaTheme="minorEastAsia" w:cstheme="minorEastAsia"/>
          <w:sz w:val="24"/>
          <w:highlight w:val="none"/>
          <w:lang w:val="en-US" w:eastAsia="zh-CN"/>
        </w:rPr>
        <w:t>工作</w:t>
      </w:r>
      <w:r>
        <w:rPr>
          <w:rFonts w:hint="eastAsia" w:asciiTheme="minorEastAsia" w:hAnsiTheme="minorEastAsia" w:eastAsiaTheme="minorEastAsia" w:cstheme="minorEastAsia"/>
          <w:sz w:val="24"/>
          <w:highlight w:val="none"/>
        </w:rPr>
        <w:t>质量与可靠性、进度、文明生产等考核及奖励办法</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详见附件</w:t>
      </w: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：《考核标准及奖励标准》。</w:t>
      </w:r>
    </w:p>
    <w:p w14:paraId="6AB5ADD5">
      <w:pPr>
        <w:pStyle w:val="350"/>
        <w:spacing w:line="360" w:lineRule="auto"/>
        <w:ind w:firstLine="0" w:firstLineChars="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11.3 考核方式</w:t>
      </w:r>
    </w:p>
    <w:p w14:paraId="354F4EAA">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 xml:space="preserve">1 </w:t>
      </w:r>
      <w:r>
        <w:rPr>
          <w:rFonts w:hint="eastAsia" w:asciiTheme="minorEastAsia" w:hAnsiTheme="minorEastAsia" w:eastAsiaTheme="minorEastAsia" w:cstheme="minorEastAsia"/>
          <w:sz w:val="24"/>
          <w:highlight w:val="none"/>
        </w:rPr>
        <w:t>考核按月汇总，每月5日前将上月的考核结果通报投标方，办理结算时进行核减费用。但特殊情况下，对某些事故进行</w:t>
      </w:r>
      <w:r>
        <w:rPr>
          <w:rFonts w:hint="eastAsia" w:asciiTheme="minorEastAsia" w:hAnsiTheme="minorEastAsia" w:eastAsiaTheme="minorEastAsia" w:cstheme="minorEastAsia"/>
          <w:sz w:val="24"/>
          <w:highlight w:val="none"/>
          <w:lang w:eastAsia="zh-CN"/>
        </w:rPr>
        <w:t>调查</w:t>
      </w:r>
      <w:r>
        <w:rPr>
          <w:rFonts w:hint="eastAsia" w:asciiTheme="minorEastAsia" w:hAnsiTheme="minorEastAsia" w:eastAsiaTheme="minorEastAsia" w:cstheme="minorEastAsia"/>
          <w:sz w:val="24"/>
          <w:highlight w:val="none"/>
        </w:rPr>
        <w:t>，在进行责任定性分解之后再行通报考核。</w:t>
      </w:r>
    </w:p>
    <w:p w14:paraId="59BAEF15">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 xml:space="preserve"> 投标方在招标方日常下达的缺陷（除特殊原因）未在20个小时内确认，按100元/条考核。</w:t>
      </w:r>
    </w:p>
    <w:p w14:paraId="63C9FB17">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rPr>
        <w:t xml:space="preserve"> 使用的招标方材料或设备因投标方管理不善或未废旧利用的造成材料或设备的损坏或丢失，按每次500元考核。</w:t>
      </w:r>
    </w:p>
    <w:p w14:paraId="5FB9D847">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4</w:t>
      </w:r>
      <w:r>
        <w:rPr>
          <w:rFonts w:hint="eastAsia" w:asciiTheme="minorEastAsia" w:hAnsiTheme="minorEastAsia" w:eastAsiaTheme="minorEastAsia" w:cstheme="minorEastAsia"/>
          <w:sz w:val="24"/>
          <w:highlight w:val="none"/>
        </w:rPr>
        <w:t xml:space="preserve"> 在搭设架子区域内作业时造成招标方</w:t>
      </w:r>
      <w:r>
        <w:rPr>
          <w:rFonts w:hint="eastAsia" w:asciiTheme="minorEastAsia" w:hAnsiTheme="minorEastAsia" w:eastAsiaTheme="minorEastAsia" w:cstheme="minorEastAsia"/>
          <w:sz w:val="24"/>
          <w:highlight w:val="none"/>
          <w:lang w:eastAsia="zh-CN"/>
        </w:rPr>
        <w:t>其他设备</w:t>
      </w:r>
      <w:r>
        <w:rPr>
          <w:rFonts w:hint="eastAsia" w:asciiTheme="minorEastAsia" w:hAnsiTheme="minorEastAsia" w:eastAsiaTheme="minorEastAsia" w:cstheme="minorEastAsia"/>
          <w:sz w:val="24"/>
          <w:highlight w:val="none"/>
        </w:rPr>
        <w:t>损坏</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设备运行异常或发生故障的</w:t>
      </w:r>
      <w:r>
        <w:rPr>
          <w:rFonts w:hint="eastAsia" w:asciiTheme="minorEastAsia" w:hAnsiTheme="minorEastAsia" w:eastAsiaTheme="minorEastAsia" w:cstheme="minorEastAsia"/>
          <w:sz w:val="24"/>
          <w:highlight w:val="none"/>
        </w:rPr>
        <w:t>，投标方照价赔偿，因设备损坏造成的一切损失由投标方负责，同时</w:t>
      </w:r>
      <w:r>
        <w:rPr>
          <w:rStyle w:val="354"/>
          <w:rFonts w:asciiTheme="minorEastAsia" w:hAnsiTheme="minorEastAsia" w:eastAsiaTheme="minorEastAsia" w:cstheme="minorEastAsia"/>
          <w:color w:val="auto"/>
          <w:sz w:val="24"/>
          <w:szCs w:val="24"/>
          <w:highlight w:val="none"/>
        </w:rPr>
        <w:t xml:space="preserve">参照招标方《安全生产考核标准》事故 </w:t>
      </w:r>
      <w:r>
        <w:rPr>
          <w:rStyle w:val="354"/>
          <w:rFonts w:asciiTheme="minorEastAsia" w:hAnsiTheme="minorEastAsia" w:eastAsiaTheme="minorEastAsia" w:cstheme="minorEastAsia"/>
          <w:color w:val="auto"/>
          <w:sz w:val="24"/>
          <w:szCs w:val="24"/>
          <w:highlight w:val="none"/>
          <w:lang w:eastAsia="zh-CN"/>
        </w:rPr>
        <w:t>（</w:t>
      </w:r>
      <w:r>
        <w:rPr>
          <w:rStyle w:val="354"/>
          <w:rFonts w:asciiTheme="minorEastAsia" w:hAnsiTheme="minorEastAsia" w:eastAsiaTheme="minorEastAsia" w:cstheme="minorEastAsia"/>
          <w:color w:val="auto"/>
          <w:sz w:val="24"/>
          <w:szCs w:val="24"/>
          <w:highlight w:val="none"/>
        </w:rPr>
        <w:t>事件</w:t>
      </w:r>
      <w:r>
        <w:rPr>
          <w:rStyle w:val="354"/>
          <w:rFonts w:asciiTheme="minorEastAsia" w:hAnsiTheme="minorEastAsia" w:eastAsiaTheme="minorEastAsia" w:cstheme="minorEastAsia"/>
          <w:color w:val="auto"/>
          <w:sz w:val="24"/>
          <w:szCs w:val="24"/>
          <w:highlight w:val="none"/>
          <w:lang w:eastAsia="zh-CN"/>
        </w:rPr>
        <w:t>）</w:t>
      </w:r>
      <w:r>
        <w:rPr>
          <w:rStyle w:val="354"/>
          <w:rFonts w:asciiTheme="minorEastAsia" w:hAnsiTheme="minorEastAsia" w:eastAsiaTheme="minorEastAsia" w:cstheme="minorEastAsia"/>
          <w:color w:val="auto"/>
          <w:sz w:val="24"/>
          <w:szCs w:val="24"/>
          <w:highlight w:val="none"/>
        </w:rPr>
        <w:t xml:space="preserve"> 考核</w:t>
      </w:r>
      <w:r>
        <w:rPr>
          <w:rFonts w:hint="eastAsia" w:asciiTheme="minorEastAsia" w:hAnsiTheme="minorEastAsia" w:eastAsiaTheme="minorEastAsia" w:cstheme="minorEastAsia"/>
          <w:sz w:val="24"/>
          <w:highlight w:val="none"/>
        </w:rPr>
        <w:t>。</w:t>
      </w:r>
    </w:p>
    <w:p w14:paraId="75DCCBCF">
      <w:pPr>
        <w:pStyle w:val="350"/>
        <w:spacing w:line="360" w:lineRule="auto"/>
        <w:ind w:firstLine="0" w:firstLineChars="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5</w:t>
      </w:r>
      <w:r>
        <w:rPr>
          <w:rFonts w:hint="eastAsia" w:asciiTheme="minorEastAsia" w:hAnsiTheme="minorEastAsia" w:eastAsiaTheme="minorEastAsia" w:cstheme="minorEastAsia"/>
          <w:sz w:val="24"/>
          <w:highlight w:val="none"/>
        </w:rPr>
        <w:t xml:space="preserve"> 投标</w:t>
      </w:r>
      <w:r>
        <w:rPr>
          <w:rFonts w:hint="eastAsia" w:asciiTheme="minorEastAsia" w:hAnsiTheme="minorEastAsia" w:eastAsiaTheme="minorEastAsia" w:cstheme="minorEastAsia"/>
          <w:sz w:val="24"/>
          <w:highlight w:val="none"/>
          <w:lang w:eastAsia="zh-CN"/>
        </w:rPr>
        <w:t>方在</w:t>
      </w:r>
      <w:r>
        <w:rPr>
          <w:rFonts w:hint="eastAsia" w:asciiTheme="minorEastAsia" w:hAnsiTheme="minorEastAsia" w:eastAsiaTheme="minorEastAsia" w:cstheme="minorEastAsia"/>
          <w:sz w:val="24"/>
          <w:highlight w:val="none"/>
        </w:rPr>
        <w:t>大修期间造成检修进度滞后，影响开机或运行的，按20000元/次考核，情节严重的，招标方有权终止合同。</w:t>
      </w:r>
    </w:p>
    <w:p w14:paraId="4419E263">
      <w:pPr>
        <w:pStyle w:val="350"/>
        <w:spacing w:line="360" w:lineRule="auto"/>
        <w:ind w:firstLine="0" w:firstLineChars="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 xml:space="preserve">6 </w:t>
      </w:r>
      <w:r>
        <w:rPr>
          <w:rFonts w:hint="eastAsia" w:asciiTheme="minorEastAsia" w:hAnsiTheme="minorEastAsia" w:eastAsiaTheme="minorEastAsia" w:cstheme="minorEastAsia"/>
          <w:sz w:val="24"/>
          <w:highlight w:val="none"/>
        </w:rPr>
        <w:t>投标方现场搭设脚手架质量验收不符合标准，严重影响使用，</w:t>
      </w:r>
      <w:r>
        <w:rPr>
          <w:rFonts w:hint="eastAsia" w:asciiTheme="minorEastAsia" w:hAnsiTheme="minorEastAsia" w:eastAsiaTheme="minorEastAsia" w:cstheme="minorEastAsia"/>
          <w:kern w:val="0"/>
          <w:sz w:val="24"/>
          <w:highlight w:val="none"/>
        </w:rPr>
        <w:t>经整改仍未达到标准要求的，按1000元/项考核。</w:t>
      </w:r>
    </w:p>
    <w:p w14:paraId="2572BD88">
      <w:pPr>
        <w:pStyle w:val="350"/>
        <w:spacing w:line="360" w:lineRule="auto"/>
        <w:ind w:firstLine="0" w:firstLineChars="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11.3</w:t>
      </w:r>
      <w:r>
        <w:rPr>
          <w:rFonts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 xml:space="preserve">7 </w:t>
      </w:r>
      <w:r>
        <w:rPr>
          <w:rFonts w:hint="eastAsia" w:asciiTheme="minorEastAsia" w:hAnsiTheme="minorEastAsia" w:eastAsiaTheme="minorEastAsia" w:cstheme="minorEastAsia"/>
          <w:sz w:val="24"/>
          <w:highlight w:val="none"/>
        </w:rPr>
        <w:t>投标方现场搭设脚手架，验收牌缺失，按50元/ 处考核。</w:t>
      </w:r>
    </w:p>
    <w:p w14:paraId="0741E73E">
      <w:pPr>
        <w:pStyle w:val="350"/>
        <w:spacing w:line="360" w:lineRule="auto"/>
        <w:ind w:firstLine="0" w:firstLineChars="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 xml:space="preserve">8 </w:t>
      </w:r>
      <w:r>
        <w:rPr>
          <w:rFonts w:hint="eastAsia" w:asciiTheme="minorEastAsia" w:hAnsiTheme="minorEastAsia" w:eastAsiaTheme="minorEastAsia" w:cstheme="minorEastAsia"/>
          <w:sz w:val="24"/>
          <w:highlight w:val="none"/>
        </w:rPr>
        <w:t>在日常生产过程中遇到紧急抢修情况，招标方通知搭设脚手架，投标方抢修人员30分钟内未到现场，票证办理完成后1小时内未开始进行搭设脚手架，影响检修或运行，按500-20000元/次考核</w:t>
      </w:r>
      <w:r>
        <w:rPr>
          <w:rFonts w:hint="eastAsia" w:asciiTheme="minorEastAsia" w:hAnsiTheme="minorEastAsia" w:eastAsiaTheme="minorEastAsia" w:cstheme="minorEastAsia"/>
          <w:kern w:val="0"/>
          <w:sz w:val="24"/>
          <w:highlight w:val="none"/>
        </w:rPr>
        <w:t>。</w:t>
      </w:r>
    </w:p>
    <w:p w14:paraId="51CAA27A">
      <w:pPr>
        <w:pStyle w:val="350"/>
        <w:spacing w:line="360" w:lineRule="auto"/>
        <w:ind w:firstLine="0" w:firstLineChars="0"/>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sz w:val="24"/>
          <w:highlight w:val="none"/>
          <w:lang w:eastAsia="zh-CN"/>
        </w:rPr>
        <w:t>11.3</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 xml:space="preserve">9 </w:t>
      </w:r>
      <w:r>
        <w:rPr>
          <w:rFonts w:hint="eastAsia" w:asciiTheme="minorEastAsia" w:hAnsiTheme="minorEastAsia" w:eastAsiaTheme="minorEastAsia" w:cstheme="minorEastAsia"/>
          <w:kern w:val="0"/>
          <w:sz w:val="24"/>
          <w:highlight w:val="none"/>
        </w:rPr>
        <w:t>因机具设备保养不到位而影响现场作业的，考核500元/次。</w:t>
      </w:r>
    </w:p>
    <w:p w14:paraId="00ED6077">
      <w:pPr>
        <w:pStyle w:val="350"/>
        <w:spacing w:line="360" w:lineRule="auto"/>
        <w:ind w:firstLine="0" w:firstLineChars="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11.3</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 xml:space="preserve">10 </w:t>
      </w:r>
      <w:r>
        <w:rPr>
          <w:rFonts w:hint="eastAsia" w:asciiTheme="minorEastAsia" w:hAnsiTheme="minorEastAsia" w:eastAsiaTheme="minorEastAsia" w:cstheme="minorEastAsia"/>
          <w:kern w:val="0"/>
          <w:sz w:val="24"/>
          <w:highlight w:val="none"/>
        </w:rPr>
        <w:t>投标方项目经理无理由无故缺勤7天以上的，招标方有权终止投标方合同。</w:t>
      </w:r>
    </w:p>
    <w:p w14:paraId="38A4BB0C">
      <w:pPr>
        <w:pStyle w:val="350"/>
        <w:spacing w:line="360" w:lineRule="auto"/>
        <w:ind w:firstLine="0" w:firstLineChars="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lang w:eastAsia="zh-CN"/>
        </w:rPr>
        <w:t>11.3</w:t>
      </w:r>
      <w:r>
        <w:rPr>
          <w:rFonts w:hint="eastAsia" w:asciiTheme="minorEastAsia" w:hAnsiTheme="minorEastAsia" w:eastAsiaTheme="minorEastAsia" w:cstheme="minorEastAsia"/>
          <w:kern w:val="0"/>
          <w:sz w:val="24"/>
          <w:highlight w:val="none"/>
        </w:rPr>
        <w:t>.</w:t>
      </w:r>
      <w:r>
        <w:rPr>
          <w:rFonts w:hint="eastAsia" w:asciiTheme="minorEastAsia" w:hAnsiTheme="minorEastAsia" w:eastAsiaTheme="minorEastAsia" w:cstheme="minorEastAsia"/>
          <w:kern w:val="0"/>
          <w:sz w:val="24"/>
          <w:highlight w:val="none"/>
          <w:lang w:val="en-US" w:eastAsia="zh-CN"/>
        </w:rPr>
        <w:t>11</w:t>
      </w:r>
      <w:r>
        <w:rPr>
          <w:rFonts w:hint="eastAsia" w:asciiTheme="minorEastAsia" w:hAnsiTheme="minorEastAsia" w:eastAsiaTheme="minorEastAsia" w:cstheme="minorEastAsia"/>
          <w:kern w:val="0"/>
          <w:sz w:val="24"/>
          <w:highlight w:val="none"/>
        </w:rPr>
        <w:t xml:space="preserve"> 单项工程工期未按招标方要求工期完成的，按200元/次/天考核</w:t>
      </w:r>
    </w:p>
    <w:p w14:paraId="739F24B1">
      <w:pPr>
        <w:spacing w:line="360" w:lineRule="auto"/>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kern w:val="0"/>
          <w:sz w:val="24"/>
          <w:highlight w:val="none"/>
          <w:lang w:eastAsia="zh-CN"/>
        </w:rPr>
        <w:t>11.</w:t>
      </w:r>
      <w:r>
        <w:rPr>
          <w:rFonts w:hint="eastAsia" w:asciiTheme="minorEastAsia" w:hAnsiTheme="minorEastAsia" w:eastAsiaTheme="minorEastAsia" w:cstheme="minorEastAsia"/>
          <w:kern w:val="0"/>
          <w:sz w:val="24"/>
          <w:highlight w:val="none"/>
          <w:lang w:val="en-US" w:eastAsia="zh-CN"/>
        </w:rPr>
        <w:t xml:space="preserve">4 </w:t>
      </w:r>
      <w:r>
        <w:rPr>
          <w:rFonts w:hint="eastAsia" w:asciiTheme="minorEastAsia" w:hAnsiTheme="minorEastAsia" w:eastAsiaTheme="minorEastAsia" w:cstheme="minorEastAsia"/>
          <w:szCs w:val="24"/>
          <w:highlight w:val="none"/>
        </w:rPr>
        <w:t>对本办法中已规定考核数额的条款，如果合同中规定由投标方负责赔偿的金额高于本办法的金额，按高的考核标准执行。未列入本办法中或未注明考核数额的，按招标方的相应管理制度的相关考核办法执行。</w:t>
      </w:r>
    </w:p>
    <w:p w14:paraId="0B62B0B6">
      <w:pPr>
        <w:widowControl w:val="0"/>
        <w:spacing w:line="360" w:lineRule="auto"/>
        <w:ind w:firstLine="0" w:firstLineChars="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lang w:val="en-US" w:eastAsia="zh-CN"/>
        </w:rPr>
        <w:t xml:space="preserve">11.4.1 </w:t>
      </w:r>
      <w:r>
        <w:rPr>
          <w:rFonts w:hint="eastAsia" w:asciiTheme="minorEastAsia" w:hAnsiTheme="minorEastAsia" w:eastAsiaTheme="minorEastAsia" w:cstheme="minorEastAsia"/>
          <w:szCs w:val="24"/>
          <w:highlight w:val="none"/>
        </w:rPr>
        <w:t>在本合同周期内奖励金额总额不超过</w:t>
      </w:r>
      <w:r>
        <w:rPr>
          <w:rFonts w:asciiTheme="minorEastAsia" w:hAnsiTheme="minorEastAsia" w:eastAsiaTheme="minorEastAsia" w:cstheme="minorEastAsia"/>
          <w:szCs w:val="24"/>
          <w:highlight w:val="none"/>
        </w:rPr>
        <w:t>50</w:t>
      </w:r>
      <w:r>
        <w:rPr>
          <w:rFonts w:hint="eastAsia" w:asciiTheme="minorEastAsia" w:hAnsiTheme="minorEastAsia" w:eastAsiaTheme="minorEastAsia" w:cstheme="minorEastAsia"/>
          <w:szCs w:val="24"/>
          <w:highlight w:val="none"/>
        </w:rPr>
        <w:t>万元。</w:t>
      </w:r>
    </w:p>
    <w:p w14:paraId="50D72451">
      <w:pPr>
        <w:widowControl w:val="0"/>
        <w:spacing w:line="360" w:lineRule="auto"/>
        <w:ind w:firstLine="0" w:firstLineChars="0"/>
        <w:rPr>
          <w:rFonts w:hint="eastAsia" w:asciiTheme="minorEastAsia" w:hAnsiTheme="minorEastAsia" w:eastAsiaTheme="minorEastAsia" w:cstheme="minorEastAsia"/>
          <w:szCs w:val="24"/>
          <w:highlight w:val="none"/>
          <w:lang w:val="en-US" w:eastAsia="zh-CN"/>
        </w:rPr>
      </w:pPr>
      <w:r>
        <w:rPr>
          <w:rFonts w:hint="eastAsia" w:asciiTheme="minorEastAsia" w:hAnsiTheme="minorEastAsia" w:eastAsiaTheme="minorEastAsia" w:cstheme="minorEastAsia"/>
          <w:szCs w:val="24"/>
          <w:highlight w:val="none"/>
          <w:lang w:eastAsia="zh-CN"/>
        </w:rPr>
        <w:t>11.</w:t>
      </w:r>
      <w:r>
        <w:rPr>
          <w:rFonts w:hint="eastAsia" w:asciiTheme="minorEastAsia" w:hAnsiTheme="minorEastAsia" w:eastAsiaTheme="minorEastAsia" w:cstheme="minorEastAsia"/>
          <w:szCs w:val="24"/>
          <w:highlight w:val="none"/>
          <w:lang w:val="en-US" w:eastAsia="zh-CN"/>
        </w:rPr>
        <w:t>4.2 所有被考核金额不在合同款中扣除，由投标方凭考核单缴纳至招标方财务部门。</w:t>
      </w:r>
    </w:p>
    <w:p w14:paraId="240D9D7A">
      <w:pPr>
        <w:keepNext w:val="0"/>
        <w:keepLines w:val="0"/>
        <w:pageBreakBefore w:val="0"/>
        <w:kinsoku/>
        <w:wordWrap/>
        <w:overflowPunct/>
        <w:topLinePunct w:val="0"/>
        <w:bidi w:val="0"/>
        <w:adjustRightInd/>
        <w:snapToGrid/>
        <w:spacing w:line="440" w:lineRule="exact"/>
        <w:ind w:firstLine="0" w:firstLineChars="0"/>
        <w:jc w:val="left"/>
        <w:textAlignment w:val="auto"/>
        <w:outlineLvl w:val="9"/>
        <w:rPr>
          <w:rFonts w:hint="eastAsia" w:ascii="宋体" w:hAnsi="宋体" w:eastAsia="宋体"/>
          <w:szCs w:val="24"/>
          <w:highlight w:val="yellow"/>
          <w:lang w:val="en-US" w:eastAsia="zh-CN"/>
        </w:rPr>
      </w:pPr>
      <w:r>
        <w:rPr>
          <w:rFonts w:hint="eastAsia" w:ascii="宋体" w:hAnsi="宋体" w:cs="宋体"/>
          <w:sz w:val="24"/>
          <w:szCs w:val="24"/>
          <w:highlight w:val="yellow"/>
          <w:lang w:val="en-US" w:eastAsia="zh-CN"/>
        </w:rPr>
        <w:t xml:space="preserve">11.5  </w:t>
      </w:r>
      <w:r>
        <w:rPr>
          <w:rFonts w:hint="eastAsia" w:ascii="宋体" w:hAnsi="宋体"/>
          <w:szCs w:val="24"/>
          <w:highlight w:val="yellow"/>
          <w:lang w:val="en-US" w:eastAsia="zh-CN"/>
        </w:rPr>
        <w:t>招标方以提升外包单位安全</w:t>
      </w:r>
      <w:r>
        <w:rPr>
          <w:rFonts w:hint="eastAsia" w:ascii="宋体" w:hAnsi="宋体"/>
          <w:szCs w:val="24"/>
          <w:highlight w:val="yellow"/>
        </w:rPr>
        <w:t>管理为目标，细化设置事故事件</w:t>
      </w:r>
      <w:r>
        <w:rPr>
          <w:rFonts w:hint="eastAsia" w:ascii="宋体" w:hAnsi="宋体"/>
          <w:szCs w:val="24"/>
          <w:highlight w:val="yellow"/>
          <w:lang w:val="en-US" w:eastAsia="zh-CN"/>
        </w:rPr>
        <w:t>控制</w:t>
      </w:r>
      <w:r>
        <w:rPr>
          <w:rFonts w:hint="eastAsia" w:ascii="宋体" w:hAnsi="宋体"/>
          <w:szCs w:val="24"/>
          <w:highlight w:val="yellow"/>
        </w:rPr>
        <w:t>目标、违章数量、隐患</w:t>
      </w:r>
      <w:r>
        <w:rPr>
          <w:rFonts w:hint="eastAsia" w:ascii="宋体" w:hAnsi="宋体"/>
          <w:szCs w:val="24"/>
          <w:highlight w:val="yellow"/>
          <w:lang w:val="en-US" w:eastAsia="zh-CN"/>
        </w:rPr>
        <w:t>整改</w:t>
      </w:r>
      <w:r>
        <w:rPr>
          <w:rFonts w:hint="eastAsia" w:ascii="宋体" w:hAnsi="宋体"/>
          <w:szCs w:val="24"/>
          <w:highlight w:val="yellow"/>
        </w:rPr>
        <w:t>率、风险作业管控到位率、</w:t>
      </w:r>
      <w:r>
        <w:rPr>
          <w:rFonts w:hint="eastAsia" w:ascii="宋体" w:hAnsi="宋体"/>
          <w:szCs w:val="24"/>
          <w:highlight w:val="yellow"/>
          <w:lang w:val="en-US" w:eastAsia="zh-CN"/>
        </w:rPr>
        <w:t>质量管理、进度管理、</w:t>
      </w:r>
      <w:r>
        <w:rPr>
          <w:rFonts w:hint="eastAsia" w:ascii="宋体" w:hAnsi="宋体"/>
          <w:szCs w:val="24"/>
          <w:highlight w:val="yellow"/>
        </w:rPr>
        <w:t>主要人员到岗率和班组建设</w:t>
      </w:r>
      <w:r>
        <w:rPr>
          <w:rFonts w:hint="eastAsia" w:ascii="宋体" w:hAnsi="宋体"/>
          <w:szCs w:val="24"/>
          <w:highlight w:val="yellow"/>
          <w:lang w:eastAsia="zh-CN"/>
        </w:rPr>
        <w:t>、</w:t>
      </w:r>
      <w:r>
        <w:rPr>
          <w:rFonts w:hint="eastAsia" w:ascii="宋体" w:hAnsi="宋体"/>
          <w:szCs w:val="24"/>
          <w:highlight w:val="yellow"/>
          <w:lang w:val="en-US" w:eastAsia="zh-CN"/>
        </w:rPr>
        <w:t>治安交通管理</w:t>
      </w:r>
      <w:r>
        <w:rPr>
          <w:rFonts w:hint="eastAsia" w:ascii="宋体" w:hAnsi="宋体"/>
          <w:szCs w:val="24"/>
          <w:highlight w:val="yellow"/>
        </w:rPr>
        <w:t>等考核指标</w:t>
      </w:r>
      <w:r>
        <w:rPr>
          <w:rFonts w:hint="eastAsia" w:ascii="宋体" w:hAnsi="宋体"/>
          <w:szCs w:val="24"/>
          <w:highlight w:val="yellow"/>
          <w:lang w:eastAsia="zh-CN"/>
        </w:rPr>
        <w:t>，</w:t>
      </w:r>
      <w:r>
        <w:rPr>
          <w:rFonts w:hint="eastAsia" w:ascii="宋体" w:hAnsi="宋体"/>
          <w:szCs w:val="24"/>
          <w:highlight w:val="yellow"/>
          <w:lang w:val="en-US" w:eastAsia="zh-CN"/>
        </w:rPr>
        <w:t>投标方需执行招标方</w:t>
      </w:r>
      <w:r>
        <w:rPr>
          <w:rFonts w:hint="eastAsia" w:ascii="宋体" w:hAnsi="宋体" w:eastAsia="宋体" w:cs="宋体"/>
          <w:sz w:val="24"/>
          <w:szCs w:val="24"/>
          <w:highlight w:val="yellow"/>
        </w:rPr>
        <w:t>外包单位</w:t>
      </w:r>
      <w:r>
        <w:rPr>
          <w:rFonts w:hint="eastAsia" w:ascii="宋体" w:hAnsi="宋体" w:eastAsia="宋体" w:cs="宋体"/>
          <w:sz w:val="24"/>
          <w:szCs w:val="24"/>
          <w:highlight w:val="yellow"/>
          <w:lang w:val="en-US" w:eastAsia="zh-CN"/>
        </w:rPr>
        <w:t>安全绩效考核金</w:t>
      </w:r>
      <w:r>
        <w:rPr>
          <w:rFonts w:hint="eastAsia" w:ascii="宋体" w:hAnsi="宋体" w:eastAsia="宋体" w:cs="宋体"/>
          <w:sz w:val="24"/>
          <w:szCs w:val="24"/>
          <w:highlight w:val="yellow"/>
        </w:rPr>
        <w:t>管理规定</w:t>
      </w:r>
      <w:r>
        <w:rPr>
          <w:rFonts w:hint="eastAsia" w:ascii="宋体" w:hAnsi="宋体" w:eastAsia="宋体" w:cs="宋体"/>
          <w:sz w:val="24"/>
          <w:szCs w:val="24"/>
          <w:highlight w:val="yellow"/>
          <w:lang w:eastAsia="zh-CN"/>
        </w:rPr>
        <w:t>。</w:t>
      </w:r>
    </w:p>
    <w:p w14:paraId="09AD3003">
      <w:pPr>
        <w:widowControl w:val="0"/>
        <w:spacing w:line="360" w:lineRule="auto"/>
        <w:ind w:firstLine="0" w:firstLineChars="0"/>
        <w:rPr>
          <w:rFonts w:hint="default" w:asciiTheme="minorEastAsia" w:hAnsiTheme="minorEastAsia" w:eastAsiaTheme="minorEastAsia" w:cstheme="minorEastAsia"/>
          <w:szCs w:val="24"/>
          <w:highlight w:val="none"/>
          <w:lang w:val="en-US" w:eastAsia="zh-CN"/>
        </w:rPr>
      </w:pPr>
    </w:p>
    <w:p w14:paraId="6497B3C2">
      <w:pPr>
        <w:spacing w:line="360" w:lineRule="auto"/>
        <w:outlineLvl w:val="0"/>
        <w:rPr>
          <w:rFonts w:asciiTheme="minorEastAsia" w:hAnsiTheme="minorEastAsia" w:eastAsiaTheme="minorEastAsia" w:cstheme="minorEastAsia"/>
          <w:b/>
          <w:bCs/>
          <w:sz w:val="24"/>
          <w:szCs w:val="24"/>
          <w:highlight w:val="none"/>
        </w:rPr>
      </w:pPr>
      <w:bookmarkStart w:id="53" w:name="_Toc19929"/>
      <w:bookmarkStart w:id="54" w:name="_Toc10337"/>
      <w:bookmarkStart w:id="55" w:name="_Toc25475"/>
      <w:r>
        <w:rPr>
          <w:rFonts w:hint="eastAsia" w:asciiTheme="minorEastAsia" w:hAnsiTheme="minorEastAsia" w:eastAsiaTheme="minorEastAsia" w:cstheme="minorEastAsia"/>
          <w:b/>
          <w:bCs/>
          <w:sz w:val="24"/>
          <w:szCs w:val="24"/>
          <w:highlight w:val="none"/>
        </w:rPr>
        <w:t>1</w:t>
      </w:r>
      <w:r>
        <w:rPr>
          <w:rFonts w:hint="eastAsia" w:asciiTheme="minorEastAsia" w:hAnsiTheme="minorEastAsia" w:eastAsiaTheme="minorEastAsia" w:cstheme="minorEastAsia"/>
          <w:b/>
          <w:bCs/>
          <w:sz w:val="24"/>
          <w:szCs w:val="24"/>
          <w:highlight w:val="none"/>
          <w:lang w:val="en-US" w:eastAsia="zh-CN"/>
        </w:rPr>
        <w:t xml:space="preserve">2 </w:t>
      </w:r>
      <w:r>
        <w:rPr>
          <w:rFonts w:hint="eastAsia" w:asciiTheme="minorEastAsia" w:hAnsiTheme="minorEastAsia" w:eastAsiaTheme="minorEastAsia" w:cstheme="minorEastAsia"/>
          <w:b/>
          <w:bCs/>
          <w:sz w:val="24"/>
          <w:szCs w:val="24"/>
          <w:highlight w:val="none"/>
        </w:rPr>
        <w:t>质保金</w:t>
      </w:r>
      <w:bookmarkEnd w:id="53"/>
      <w:bookmarkEnd w:id="54"/>
      <w:bookmarkEnd w:id="55"/>
    </w:p>
    <w:p w14:paraId="2EDC3DF2">
      <w:pPr>
        <w:spacing w:line="360" w:lineRule="auto"/>
        <w:ind w:firstLine="480" w:firstLineChars="200"/>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依据《建设工程质量保证金管理办法》第七条发包人应按照合同约定方式防腐及保温项目预留保证金，保证金总预留比例不得高于防腐及保温项目工程价款结算总额的3%，质保金每半年预留一次，随半年进度款同期扣除，质保期一年，质保期结束后按照质保金支付流程申请质保金支付。</w:t>
      </w:r>
    </w:p>
    <w:p w14:paraId="6CD8993B">
      <w:pPr>
        <w:spacing w:line="360" w:lineRule="auto"/>
        <w:outlineLvl w:val="0"/>
        <w:rPr>
          <w:rFonts w:hint="eastAsia" w:asciiTheme="minorEastAsia" w:hAnsiTheme="minorEastAsia" w:eastAsiaTheme="minorEastAsia" w:cstheme="minorEastAsia"/>
          <w:b/>
          <w:bCs/>
          <w:sz w:val="24"/>
          <w:szCs w:val="24"/>
          <w:highlight w:val="none"/>
          <w:lang w:val="en-US" w:eastAsia="zh-CN"/>
        </w:rPr>
      </w:pPr>
      <w:bookmarkStart w:id="56" w:name="_Toc19108"/>
      <w:r>
        <w:rPr>
          <w:rFonts w:hint="eastAsia" w:asciiTheme="minorEastAsia" w:hAnsiTheme="minorEastAsia" w:eastAsiaTheme="minorEastAsia" w:cstheme="minorEastAsia"/>
          <w:b/>
          <w:bCs/>
          <w:sz w:val="24"/>
          <w:szCs w:val="24"/>
          <w:highlight w:val="none"/>
        </w:rPr>
        <w:t>1</w:t>
      </w:r>
      <w:r>
        <w:rPr>
          <w:rFonts w:hint="eastAsia" w:asciiTheme="minorEastAsia" w:hAnsiTheme="minorEastAsia" w:eastAsiaTheme="minorEastAsia" w:cstheme="minorEastAsia"/>
          <w:b/>
          <w:bCs/>
          <w:sz w:val="24"/>
          <w:szCs w:val="24"/>
          <w:highlight w:val="none"/>
          <w:lang w:val="en-US" w:eastAsia="zh-CN"/>
        </w:rPr>
        <w:t>3</w:t>
      </w:r>
      <w:r>
        <w:rPr>
          <w:rFonts w:hint="eastAsia" w:asciiTheme="minorEastAsia" w:hAnsiTheme="minorEastAsia" w:eastAsiaTheme="minorEastAsia" w:cstheme="minorEastAsia"/>
          <w:b/>
          <w:bCs/>
          <w:sz w:val="24"/>
          <w:szCs w:val="24"/>
          <w:highlight w:val="none"/>
        </w:rPr>
        <w:t xml:space="preserve"> </w:t>
      </w:r>
      <w:r>
        <w:rPr>
          <w:rFonts w:hint="eastAsia" w:asciiTheme="minorEastAsia" w:hAnsiTheme="minorEastAsia" w:eastAsiaTheme="minorEastAsia" w:cstheme="minorEastAsia"/>
          <w:b/>
          <w:bCs/>
          <w:sz w:val="24"/>
          <w:szCs w:val="24"/>
          <w:highlight w:val="none"/>
          <w:lang w:val="en-US" w:eastAsia="zh-CN"/>
        </w:rPr>
        <w:t>附则</w:t>
      </w:r>
      <w:bookmarkEnd w:id="56"/>
    </w:p>
    <w:p w14:paraId="41265FBD">
      <w:pPr>
        <w:spacing w:line="360" w:lineRule="auto"/>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13.1 本</w:t>
      </w:r>
      <w:r>
        <w:rPr>
          <w:rFonts w:hint="eastAsia" w:asciiTheme="minorEastAsia" w:hAnsiTheme="minorEastAsia" w:eastAsiaTheme="minorEastAsia" w:cstheme="minorEastAsia"/>
          <w:b w:val="0"/>
          <w:bCs w:val="0"/>
          <w:sz w:val="24"/>
          <w:szCs w:val="24"/>
          <w:highlight w:val="none"/>
          <w:lang w:val="en-US" w:eastAsia="zh-CN"/>
        </w:rPr>
        <w:t>技术规范书</w:t>
      </w:r>
      <w:r>
        <w:rPr>
          <w:rFonts w:hint="eastAsia" w:asciiTheme="minorEastAsia" w:hAnsiTheme="minorEastAsia" w:eastAsiaTheme="minorEastAsia" w:cstheme="minorEastAsia"/>
          <w:b w:val="0"/>
          <w:bCs w:val="0"/>
          <w:sz w:val="24"/>
          <w:szCs w:val="24"/>
          <w:highlight w:val="none"/>
        </w:rPr>
        <w:t>是合同协议书的附件，作为合同的构成部分。附件中的维护质量与可靠性、维护作业安全考核项目中的相关工作，虽经（或未经）招标方管理人员的验收，均不能免除投标方的相关责任。</w:t>
      </w:r>
    </w:p>
    <w:p w14:paraId="58D99981">
      <w:pPr>
        <w:spacing w:line="360" w:lineRule="auto"/>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eastAsiaTheme="minorEastAsia" w:cstheme="minorEastAsia"/>
          <w:b w:val="0"/>
          <w:bCs w:val="0"/>
          <w:sz w:val="24"/>
          <w:szCs w:val="24"/>
          <w:highlight w:val="none"/>
        </w:rPr>
        <w:t>13.2 投标方应在投标之前就本</w:t>
      </w:r>
      <w:r>
        <w:rPr>
          <w:rFonts w:hint="eastAsia" w:asciiTheme="minorEastAsia" w:hAnsiTheme="minorEastAsia" w:eastAsiaTheme="minorEastAsia" w:cstheme="minorEastAsia"/>
          <w:b w:val="0"/>
          <w:bCs w:val="0"/>
          <w:sz w:val="24"/>
          <w:szCs w:val="24"/>
          <w:highlight w:val="none"/>
          <w:lang w:val="en-US" w:eastAsia="zh-CN"/>
        </w:rPr>
        <w:t>技术规范书</w:t>
      </w:r>
      <w:r>
        <w:rPr>
          <w:rFonts w:hint="eastAsia" w:asciiTheme="minorEastAsia" w:hAnsiTheme="minorEastAsia" w:eastAsiaTheme="minorEastAsia" w:cstheme="minorEastAsia"/>
          <w:b w:val="0"/>
          <w:bCs w:val="0"/>
          <w:sz w:val="24"/>
          <w:szCs w:val="24"/>
          <w:highlight w:val="none"/>
        </w:rPr>
        <w:t>的内容进行研究并考虑相关风险，在招标澄清时提请解释或提出相关的协商意见。一旦投标，将被认为已熟悉了本</w:t>
      </w:r>
      <w:r>
        <w:rPr>
          <w:rFonts w:hint="eastAsia" w:asciiTheme="minorEastAsia" w:hAnsiTheme="minorEastAsia" w:eastAsiaTheme="minorEastAsia" w:cstheme="minorEastAsia"/>
          <w:b w:val="0"/>
          <w:bCs w:val="0"/>
          <w:sz w:val="24"/>
          <w:szCs w:val="24"/>
          <w:highlight w:val="none"/>
          <w:lang w:val="en-US" w:eastAsia="zh-CN"/>
        </w:rPr>
        <w:t>技术规范书</w:t>
      </w:r>
      <w:r>
        <w:rPr>
          <w:rFonts w:hint="eastAsia" w:asciiTheme="minorEastAsia" w:hAnsiTheme="minorEastAsia" w:eastAsiaTheme="minorEastAsia" w:cstheme="minorEastAsia"/>
          <w:b w:val="0"/>
          <w:bCs w:val="0"/>
          <w:sz w:val="24"/>
          <w:szCs w:val="24"/>
          <w:highlight w:val="none"/>
        </w:rPr>
        <w:t>并双方同意，在执行时有关条款的度量权为招标方。</w:t>
      </w:r>
    </w:p>
    <w:p w14:paraId="1AA281B4">
      <w:pPr>
        <w:spacing w:line="360" w:lineRule="auto"/>
        <w:jc w:val="left"/>
        <w:outlineLvl w:val="0"/>
        <w:rPr>
          <w:rFonts w:hint="eastAsia" w:asciiTheme="minorEastAsia" w:hAnsiTheme="minorEastAsia" w:eastAsiaTheme="minorEastAsia" w:cstheme="minorEastAsia"/>
          <w:b/>
          <w:bCs/>
          <w:kern w:val="0"/>
          <w:sz w:val="24"/>
          <w:szCs w:val="24"/>
          <w:highlight w:val="none"/>
        </w:rPr>
      </w:pPr>
      <w:bookmarkStart w:id="57" w:name="_Toc20326"/>
      <w:r>
        <w:rPr>
          <w:rFonts w:hint="eastAsia" w:asciiTheme="minorEastAsia" w:hAnsiTheme="minorEastAsia" w:eastAsiaTheme="minorEastAsia" w:cstheme="minorEastAsia"/>
          <w:b/>
          <w:bCs/>
          <w:kern w:val="0"/>
          <w:sz w:val="24"/>
          <w:szCs w:val="24"/>
          <w:highlight w:val="none"/>
          <w:lang w:val="en-US" w:eastAsia="zh-CN"/>
        </w:rPr>
        <w:t xml:space="preserve">14 </w:t>
      </w:r>
      <w:r>
        <w:rPr>
          <w:rFonts w:hint="eastAsia" w:asciiTheme="minorEastAsia" w:hAnsiTheme="minorEastAsia" w:eastAsiaTheme="minorEastAsia" w:cstheme="minorEastAsia"/>
          <w:b/>
          <w:bCs/>
          <w:kern w:val="0"/>
          <w:sz w:val="24"/>
          <w:szCs w:val="24"/>
          <w:highlight w:val="none"/>
        </w:rPr>
        <w:t>差异表</w:t>
      </w:r>
      <w:bookmarkEnd w:id="57"/>
    </w:p>
    <w:tbl>
      <w:tblPr>
        <w:tblStyle w:val="45"/>
        <w:tblW w:w="907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08"/>
        <w:gridCol w:w="1567"/>
        <w:gridCol w:w="2146"/>
        <w:gridCol w:w="1378"/>
        <w:gridCol w:w="3080"/>
      </w:tblGrid>
      <w:tr w14:paraId="402EE2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52" w:hRule="atLeast"/>
          <w:jc w:val="center"/>
        </w:trPr>
        <w:tc>
          <w:tcPr>
            <w:tcW w:w="908" w:type="dxa"/>
            <w:noWrap/>
            <w:vAlign w:val="center"/>
          </w:tcPr>
          <w:p w14:paraId="45F9D643">
            <w:pPr>
              <w:spacing w:line="400" w:lineRule="exact"/>
              <w:jc w:val="center"/>
              <w:rPr>
                <w:rFonts w:ascii="宋体" w:hAnsi="宋体" w:cs="宋体"/>
                <w:szCs w:val="21"/>
              </w:rPr>
            </w:pPr>
          </w:p>
        </w:tc>
        <w:tc>
          <w:tcPr>
            <w:tcW w:w="3713" w:type="dxa"/>
            <w:gridSpan w:val="2"/>
            <w:noWrap/>
            <w:vAlign w:val="center"/>
          </w:tcPr>
          <w:p w14:paraId="4F8F235B">
            <w:pPr>
              <w:spacing w:line="400" w:lineRule="exact"/>
              <w:jc w:val="center"/>
              <w:rPr>
                <w:rFonts w:ascii="宋体" w:hAnsi="宋体" w:cs="宋体"/>
                <w:szCs w:val="21"/>
              </w:rPr>
            </w:pPr>
            <w:r>
              <w:rPr>
                <w:rFonts w:hint="eastAsia" w:ascii="宋体" w:hAnsi="宋体" w:cs="宋体"/>
                <w:szCs w:val="21"/>
              </w:rPr>
              <w:t>技术规范书</w:t>
            </w:r>
          </w:p>
        </w:tc>
        <w:tc>
          <w:tcPr>
            <w:tcW w:w="1378" w:type="dxa"/>
            <w:noWrap/>
            <w:vAlign w:val="center"/>
          </w:tcPr>
          <w:p w14:paraId="6EC4ED2B">
            <w:pPr>
              <w:spacing w:line="400" w:lineRule="exact"/>
              <w:jc w:val="center"/>
              <w:rPr>
                <w:rFonts w:ascii="宋体" w:hAnsi="宋体" w:cs="宋体"/>
                <w:szCs w:val="21"/>
              </w:rPr>
            </w:pPr>
          </w:p>
        </w:tc>
        <w:tc>
          <w:tcPr>
            <w:tcW w:w="3080" w:type="dxa"/>
            <w:noWrap/>
            <w:vAlign w:val="center"/>
          </w:tcPr>
          <w:p w14:paraId="1B3E3B03">
            <w:pPr>
              <w:spacing w:line="400" w:lineRule="exact"/>
              <w:jc w:val="center"/>
              <w:rPr>
                <w:rFonts w:ascii="宋体" w:hAnsi="宋体" w:cs="宋体"/>
                <w:szCs w:val="21"/>
              </w:rPr>
            </w:pPr>
            <w:r>
              <w:rPr>
                <w:rFonts w:hint="eastAsia" w:ascii="宋体" w:hAnsi="宋体" w:cs="宋体"/>
                <w:szCs w:val="21"/>
              </w:rPr>
              <w:t>投标技术文件</w:t>
            </w:r>
          </w:p>
        </w:tc>
      </w:tr>
      <w:tr w14:paraId="52D89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52" w:hRule="atLeast"/>
          <w:jc w:val="center"/>
        </w:trPr>
        <w:tc>
          <w:tcPr>
            <w:tcW w:w="908" w:type="dxa"/>
            <w:noWrap/>
            <w:vAlign w:val="center"/>
          </w:tcPr>
          <w:p w14:paraId="39460DA5">
            <w:pPr>
              <w:spacing w:line="400" w:lineRule="exact"/>
              <w:jc w:val="center"/>
              <w:rPr>
                <w:rFonts w:ascii="宋体" w:hAnsi="宋体" w:cs="宋体"/>
                <w:szCs w:val="21"/>
              </w:rPr>
            </w:pPr>
            <w:r>
              <w:rPr>
                <w:rFonts w:hint="eastAsia" w:ascii="宋体" w:hAnsi="宋体" w:cs="宋体"/>
                <w:szCs w:val="21"/>
              </w:rPr>
              <w:t>序号</w:t>
            </w:r>
          </w:p>
        </w:tc>
        <w:tc>
          <w:tcPr>
            <w:tcW w:w="1567" w:type="dxa"/>
            <w:noWrap/>
            <w:vAlign w:val="center"/>
          </w:tcPr>
          <w:p w14:paraId="7F460D22">
            <w:pPr>
              <w:spacing w:line="400" w:lineRule="exact"/>
              <w:jc w:val="center"/>
              <w:rPr>
                <w:rFonts w:ascii="宋体" w:hAnsi="宋体" w:cs="宋体"/>
                <w:szCs w:val="21"/>
              </w:rPr>
            </w:pPr>
            <w:r>
              <w:rPr>
                <w:rFonts w:hint="eastAsia" w:ascii="宋体" w:hAnsi="宋体" w:cs="宋体"/>
                <w:szCs w:val="21"/>
              </w:rPr>
              <w:t>条目</w:t>
            </w:r>
          </w:p>
        </w:tc>
        <w:tc>
          <w:tcPr>
            <w:tcW w:w="2146" w:type="dxa"/>
            <w:noWrap/>
            <w:vAlign w:val="center"/>
          </w:tcPr>
          <w:p w14:paraId="24F16232">
            <w:pPr>
              <w:spacing w:line="400" w:lineRule="exact"/>
              <w:jc w:val="center"/>
              <w:rPr>
                <w:rFonts w:ascii="宋体" w:hAnsi="宋体" w:cs="宋体"/>
                <w:szCs w:val="21"/>
              </w:rPr>
            </w:pPr>
            <w:r>
              <w:rPr>
                <w:rFonts w:hint="eastAsia" w:ascii="宋体" w:hAnsi="宋体" w:cs="宋体"/>
                <w:szCs w:val="21"/>
              </w:rPr>
              <w:t>简要内容</w:t>
            </w:r>
          </w:p>
        </w:tc>
        <w:tc>
          <w:tcPr>
            <w:tcW w:w="1378" w:type="dxa"/>
            <w:noWrap/>
            <w:vAlign w:val="center"/>
          </w:tcPr>
          <w:p w14:paraId="0F1AAF03">
            <w:pPr>
              <w:spacing w:line="400" w:lineRule="exact"/>
              <w:jc w:val="center"/>
              <w:rPr>
                <w:rFonts w:ascii="宋体" w:hAnsi="宋体" w:cs="宋体"/>
                <w:szCs w:val="21"/>
              </w:rPr>
            </w:pPr>
            <w:r>
              <w:rPr>
                <w:rFonts w:hint="eastAsia" w:ascii="宋体" w:hAnsi="宋体" w:cs="宋体"/>
                <w:szCs w:val="21"/>
              </w:rPr>
              <w:t>条目</w:t>
            </w:r>
          </w:p>
        </w:tc>
        <w:tc>
          <w:tcPr>
            <w:tcW w:w="3080" w:type="dxa"/>
            <w:noWrap/>
            <w:vAlign w:val="center"/>
          </w:tcPr>
          <w:p w14:paraId="153EFB9F">
            <w:pPr>
              <w:spacing w:line="400" w:lineRule="exact"/>
              <w:jc w:val="center"/>
              <w:rPr>
                <w:rFonts w:ascii="宋体" w:hAnsi="宋体" w:cs="宋体"/>
                <w:szCs w:val="21"/>
              </w:rPr>
            </w:pPr>
            <w:r>
              <w:rPr>
                <w:rFonts w:hint="eastAsia" w:ascii="宋体" w:hAnsi="宋体" w:cs="宋体"/>
                <w:szCs w:val="21"/>
              </w:rPr>
              <w:t>简要内容</w:t>
            </w:r>
          </w:p>
        </w:tc>
      </w:tr>
      <w:tr w14:paraId="212FF4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52" w:hRule="atLeast"/>
          <w:jc w:val="center"/>
        </w:trPr>
        <w:tc>
          <w:tcPr>
            <w:tcW w:w="908" w:type="dxa"/>
            <w:noWrap/>
            <w:vAlign w:val="center"/>
          </w:tcPr>
          <w:p w14:paraId="110CA5EF">
            <w:pPr>
              <w:spacing w:line="400" w:lineRule="exact"/>
              <w:jc w:val="center"/>
              <w:rPr>
                <w:rFonts w:ascii="宋体" w:hAnsi="宋体" w:cs="宋体"/>
                <w:szCs w:val="21"/>
              </w:rPr>
            </w:pPr>
          </w:p>
        </w:tc>
        <w:tc>
          <w:tcPr>
            <w:tcW w:w="1567" w:type="dxa"/>
            <w:noWrap/>
            <w:vAlign w:val="center"/>
          </w:tcPr>
          <w:p w14:paraId="61F3873D">
            <w:pPr>
              <w:spacing w:line="400" w:lineRule="exact"/>
              <w:jc w:val="center"/>
              <w:rPr>
                <w:rFonts w:ascii="宋体" w:hAnsi="宋体" w:cs="宋体"/>
                <w:szCs w:val="21"/>
              </w:rPr>
            </w:pPr>
          </w:p>
        </w:tc>
        <w:tc>
          <w:tcPr>
            <w:tcW w:w="2146" w:type="dxa"/>
            <w:noWrap/>
            <w:vAlign w:val="center"/>
          </w:tcPr>
          <w:p w14:paraId="44E37123">
            <w:pPr>
              <w:spacing w:line="400" w:lineRule="exact"/>
              <w:jc w:val="center"/>
              <w:rPr>
                <w:rFonts w:ascii="宋体" w:hAnsi="宋体" w:cs="宋体"/>
                <w:szCs w:val="21"/>
              </w:rPr>
            </w:pPr>
          </w:p>
        </w:tc>
        <w:tc>
          <w:tcPr>
            <w:tcW w:w="1378" w:type="dxa"/>
            <w:noWrap/>
            <w:vAlign w:val="center"/>
          </w:tcPr>
          <w:p w14:paraId="14164A6C">
            <w:pPr>
              <w:spacing w:line="400" w:lineRule="exact"/>
              <w:jc w:val="center"/>
              <w:rPr>
                <w:rFonts w:ascii="宋体" w:hAnsi="宋体" w:cs="宋体"/>
                <w:szCs w:val="21"/>
              </w:rPr>
            </w:pPr>
          </w:p>
        </w:tc>
        <w:tc>
          <w:tcPr>
            <w:tcW w:w="3080" w:type="dxa"/>
            <w:noWrap/>
            <w:vAlign w:val="center"/>
          </w:tcPr>
          <w:p w14:paraId="0B223222">
            <w:pPr>
              <w:spacing w:line="400" w:lineRule="exact"/>
              <w:jc w:val="center"/>
              <w:rPr>
                <w:rFonts w:ascii="宋体" w:hAnsi="宋体" w:cs="宋体"/>
                <w:szCs w:val="21"/>
              </w:rPr>
            </w:pPr>
          </w:p>
        </w:tc>
      </w:tr>
      <w:tr w14:paraId="02DE38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52" w:hRule="atLeast"/>
          <w:jc w:val="center"/>
        </w:trPr>
        <w:tc>
          <w:tcPr>
            <w:tcW w:w="908" w:type="dxa"/>
            <w:noWrap/>
            <w:vAlign w:val="center"/>
          </w:tcPr>
          <w:p w14:paraId="1E097285">
            <w:pPr>
              <w:spacing w:line="400" w:lineRule="exact"/>
              <w:jc w:val="center"/>
              <w:rPr>
                <w:rFonts w:ascii="宋体" w:hAnsi="宋体" w:cs="宋体"/>
                <w:szCs w:val="21"/>
              </w:rPr>
            </w:pPr>
          </w:p>
        </w:tc>
        <w:tc>
          <w:tcPr>
            <w:tcW w:w="1567" w:type="dxa"/>
            <w:noWrap/>
            <w:vAlign w:val="center"/>
          </w:tcPr>
          <w:p w14:paraId="1E9BAAA4">
            <w:pPr>
              <w:spacing w:line="400" w:lineRule="exact"/>
              <w:jc w:val="center"/>
              <w:rPr>
                <w:rFonts w:ascii="宋体" w:hAnsi="宋体" w:cs="宋体"/>
                <w:szCs w:val="21"/>
              </w:rPr>
            </w:pPr>
          </w:p>
        </w:tc>
        <w:tc>
          <w:tcPr>
            <w:tcW w:w="2146" w:type="dxa"/>
            <w:noWrap/>
            <w:vAlign w:val="center"/>
          </w:tcPr>
          <w:p w14:paraId="77F1530A">
            <w:pPr>
              <w:spacing w:line="400" w:lineRule="exact"/>
              <w:jc w:val="center"/>
              <w:rPr>
                <w:rFonts w:hint="default" w:ascii="宋体" w:hAnsi="宋体" w:eastAsia="宋体" w:cs="宋体"/>
                <w:szCs w:val="21"/>
                <w:lang w:val="en-US" w:eastAsia="zh-CN"/>
              </w:rPr>
            </w:pPr>
          </w:p>
        </w:tc>
        <w:tc>
          <w:tcPr>
            <w:tcW w:w="1378" w:type="dxa"/>
            <w:noWrap/>
            <w:vAlign w:val="center"/>
          </w:tcPr>
          <w:p w14:paraId="603500B5">
            <w:pPr>
              <w:spacing w:line="400" w:lineRule="exact"/>
              <w:jc w:val="center"/>
              <w:rPr>
                <w:rFonts w:ascii="宋体" w:hAnsi="宋体" w:cs="宋体"/>
                <w:szCs w:val="21"/>
              </w:rPr>
            </w:pPr>
          </w:p>
        </w:tc>
        <w:tc>
          <w:tcPr>
            <w:tcW w:w="3080" w:type="dxa"/>
            <w:noWrap/>
            <w:vAlign w:val="center"/>
          </w:tcPr>
          <w:p w14:paraId="5724901C">
            <w:pPr>
              <w:spacing w:line="400" w:lineRule="exact"/>
              <w:jc w:val="center"/>
              <w:rPr>
                <w:rFonts w:ascii="宋体" w:hAnsi="宋体" w:cs="宋体"/>
                <w:szCs w:val="21"/>
              </w:rPr>
            </w:pPr>
          </w:p>
        </w:tc>
      </w:tr>
      <w:tr w14:paraId="24D8DB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52" w:hRule="atLeast"/>
          <w:jc w:val="center"/>
        </w:trPr>
        <w:tc>
          <w:tcPr>
            <w:tcW w:w="908" w:type="dxa"/>
            <w:noWrap/>
            <w:vAlign w:val="center"/>
          </w:tcPr>
          <w:p w14:paraId="0928673D">
            <w:pPr>
              <w:spacing w:line="400" w:lineRule="exact"/>
              <w:jc w:val="center"/>
              <w:rPr>
                <w:rFonts w:ascii="宋体" w:hAnsi="宋体" w:cs="宋体"/>
                <w:szCs w:val="21"/>
              </w:rPr>
            </w:pPr>
          </w:p>
        </w:tc>
        <w:tc>
          <w:tcPr>
            <w:tcW w:w="1567" w:type="dxa"/>
            <w:noWrap/>
            <w:vAlign w:val="center"/>
          </w:tcPr>
          <w:p w14:paraId="7857F044">
            <w:pPr>
              <w:spacing w:line="400" w:lineRule="exact"/>
              <w:jc w:val="center"/>
              <w:rPr>
                <w:rFonts w:ascii="宋体" w:hAnsi="宋体" w:cs="宋体"/>
                <w:szCs w:val="21"/>
              </w:rPr>
            </w:pPr>
          </w:p>
        </w:tc>
        <w:tc>
          <w:tcPr>
            <w:tcW w:w="2146" w:type="dxa"/>
            <w:noWrap/>
            <w:vAlign w:val="center"/>
          </w:tcPr>
          <w:p w14:paraId="3F414FFB">
            <w:pPr>
              <w:spacing w:line="400" w:lineRule="exact"/>
              <w:jc w:val="center"/>
              <w:rPr>
                <w:rFonts w:ascii="宋体" w:hAnsi="宋体" w:cs="宋体"/>
                <w:szCs w:val="21"/>
              </w:rPr>
            </w:pPr>
          </w:p>
        </w:tc>
        <w:tc>
          <w:tcPr>
            <w:tcW w:w="1378" w:type="dxa"/>
            <w:noWrap/>
            <w:vAlign w:val="center"/>
          </w:tcPr>
          <w:p w14:paraId="2CDD1C30">
            <w:pPr>
              <w:spacing w:line="400" w:lineRule="exact"/>
              <w:jc w:val="center"/>
              <w:rPr>
                <w:rFonts w:ascii="宋体" w:hAnsi="宋体" w:cs="宋体"/>
                <w:szCs w:val="21"/>
              </w:rPr>
            </w:pPr>
          </w:p>
        </w:tc>
        <w:tc>
          <w:tcPr>
            <w:tcW w:w="3080" w:type="dxa"/>
            <w:noWrap/>
            <w:vAlign w:val="center"/>
          </w:tcPr>
          <w:p w14:paraId="75D9C1DB">
            <w:pPr>
              <w:spacing w:line="400" w:lineRule="exact"/>
              <w:jc w:val="center"/>
              <w:rPr>
                <w:rFonts w:ascii="宋体" w:hAnsi="宋体" w:cs="宋体"/>
                <w:szCs w:val="21"/>
              </w:rPr>
            </w:pPr>
          </w:p>
        </w:tc>
      </w:tr>
      <w:tr w14:paraId="3B731A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71" w:hRule="atLeast"/>
          <w:jc w:val="center"/>
        </w:trPr>
        <w:tc>
          <w:tcPr>
            <w:tcW w:w="908" w:type="dxa"/>
            <w:noWrap/>
            <w:vAlign w:val="center"/>
          </w:tcPr>
          <w:p w14:paraId="23EC29FD">
            <w:pPr>
              <w:spacing w:line="400" w:lineRule="exact"/>
              <w:jc w:val="center"/>
              <w:rPr>
                <w:rFonts w:ascii="宋体" w:hAnsi="宋体" w:cs="宋体"/>
                <w:szCs w:val="21"/>
              </w:rPr>
            </w:pPr>
          </w:p>
        </w:tc>
        <w:tc>
          <w:tcPr>
            <w:tcW w:w="1567" w:type="dxa"/>
            <w:noWrap/>
            <w:vAlign w:val="center"/>
          </w:tcPr>
          <w:p w14:paraId="388B1FE0">
            <w:pPr>
              <w:spacing w:line="400" w:lineRule="exact"/>
              <w:jc w:val="center"/>
              <w:rPr>
                <w:rFonts w:ascii="宋体" w:hAnsi="宋体" w:cs="宋体"/>
                <w:szCs w:val="21"/>
              </w:rPr>
            </w:pPr>
          </w:p>
        </w:tc>
        <w:tc>
          <w:tcPr>
            <w:tcW w:w="2146" w:type="dxa"/>
            <w:noWrap/>
            <w:vAlign w:val="center"/>
          </w:tcPr>
          <w:p w14:paraId="3BAF5D18">
            <w:pPr>
              <w:spacing w:line="400" w:lineRule="exact"/>
              <w:jc w:val="center"/>
              <w:rPr>
                <w:rFonts w:ascii="宋体" w:hAnsi="宋体" w:cs="宋体"/>
                <w:caps/>
                <w:szCs w:val="21"/>
              </w:rPr>
            </w:pPr>
          </w:p>
        </w:tc>
        <w:tc>
          <w:tcPr>
            <w:tcW w:w="1378" w:type="dxa"/>
            <w:noWrap/>
            <w:vAlign w:val="center"/>
          </w:tcPr>
          <w:p w14:paraId="5ACC6555">
            <w:pPr>
              <w:spacing w:line="400" w:lineRule="exact"/>
              <w:jc w:val="center"/>
              <w:rPr>
                <w:rFonts w:ascii="宋体" w:hAnsi="宋体" w:cs="宋体"/>
                <w:szCs w:val="21"/>
              </w:rPr>
            </w:pPr>
          </w:p>
        </w:tc>
        <w:tc>
          <w:tcPr>
            <w:tcW w:w="3080" w:type="dxa"/>
            <w:noWrap/>
            <w:vAlign w:val="center"/>
          </w:tcPr>
          <w:p w14:paraId="4300C0E8">
            <w:pPr>
              <w:spacing w:line="400" w:lineRule="exact"/>
              <w:jc w:val="center"/>
              <w:rPr>
                <w:rFonts w:ascii="宋体" w:hAnsi="宋体" w:cs="宋体"/>
                <w:szCs w:val="21"/>
              </w:rPr>
            </w:pPr>
          </w:p>
        </w:tc>
      </w:tr>
    </w:tbl>
    <w:p w14:paraId="3F30D061">
      <w:pPr>
        <w:spacing w:line="360" w:lineRule="auto"/>
        <w:rPr>
          <w:rFonts w:hint="eastAsia" w:asciiTheme="minorEastAsia" w:hAnsiTheme="minorEastAsia" w:eastAsiaTheme="minorEastAsia" w:cstheme="minorEastAsia"/>
          <w:b w:val="0"/>
          <w:bCs w:val="0"/>
          <w:sz w:val="24"/>
          <w:szCs w:val="24"/>
          <w:highlight w:val="none"/>
        </w:rPr>
      </w:pPr>
    </w:p>
    <w:p w14:paraId="16E98014">
      <w:pPr>
        <w:spacing w:line="360" w:lineRule="auto"/>
        <w:outlineLvl w:val="0"/>
        <w:rPr>
          <w:rFonts w:hint="eastAsia" w:asciiTheme="minorEastAsia" w:hAnsiTheme="minorEastAsia" w:eastAsiaTheme="minorEastAsia" w:cstheme="minorEastAsia"/>
          <w:b/>
          <w:bCs/>
          <w:sz w:val="24"/>
          <w:szCs w:val="24"/>
          <w:highlight w:val="none"/>
        </w:rPr>
      </w:pPr>
      <w:bookmarkStart w:id="58" w:name="_Toc31279"/>
      <w:r>
        <w:rPr>
          <w:rFonts w:hint="eastAsia" w:asciiTheme="minorEastAsia" w:hAnsiTheme="minorEastAsia" w:eastAsiaTheme="minorEastAsia" w:cstheme="minorEastAsia"/>
          <w:b/>
          <w:bCs/>
          <w:sz w:val="24"/>
          <w:szCs w:val="24"/>
          <w:highlight w:val="none"/>
        </w:rPr>
        <w:t>1</w:t>
      </w:r>
      <w:r>
        <w:rPr>
          <w:rFonts w:hint="eastAsia" w:asciiTheme="minorEastAsia" w:hAnsiTheme="minorEastAsia" w:eastAsiaTheme="minorEastAsia" w:cstheme="minorEastAsia"/>
          <w:b/>
          <w:bCs/>
          <w:sz w:val="24"/>
          <w:szCs w:val="24"/>
          <w:highlight w:val="none"/>
          <w:lang w:val="en-US" w:eastAsia="zh-CN"/>
        </w:rPr>
        <w:t>5</w:t>
      </w:r>
      <w:r>
        <w:rPr>
          <w:rFonts w:hint="eastAsia" w:asciiTheme="minorEastAsia" w:hAnsiTheme="minorEastAsia" w:eastAsiaTheme="minorEastAsia" w:cstheme="minorEastAsia"/>
          <w:b/>
          <w:bCs/>
          <w:sz w:val="24"/>
          <w:szCs w:val="24"/>
          <w:highlight w:val="none"/>
        </w:rPr>
        <w:t xml:space="preserve"> </w:t>
      </w:r>
      <w:r>
        <w:rPr>
          <w:rFonts w:hint="eastAsia" w:asciiTheme="minorEastAsia" w:hAnsiTheme="minorEastAsia" w:eastAsiaTheme="minorEastAsia" w:cstheme="minorEastAsia"/>
          <w:b/>
          <w:bCs/>
          <w:sz w:val="24"/>
          <w:szCs w:val="24"/>
          <w:highlight w:val="none"/>
          <w:lang w:val="en-US" w:eastAsia="zh-CN"/>
        </w:rPr>
        <w:t>附件清单</w:t>
      </w:r>
      <w:bookmarkEnd w:id="58"/>
    </w:p>
    <w:p w14:paraId="1545D9FB">
      <w:pPr>
        <w:spacing w:line="360" w:lineRule="auto"/>
        <w:rPr>
          <w:rFonts w:asciiTheme="minorEastAsia" w:hAnsiTheme="minorEastAsia" w:eastAsiaTheme="minorEastAsia" w:cstheme="minorEastAsia"/>
          <w:bCs/>
          <w:szCs w:val="24"/>
          <w:highlight w:val="none"/>
        </w:rPr>
      </w:pPr>
      <w:r>
        <w:rPr>
          <w:rFonts w:hint="eastAsia" w:asciiTheme="minorEastAsia" w:hAnsiTheme="minorEastAsia" w:eastAsiaTheme="minorEastAsia" w:cstheme="minorEastAsia"/>
          <w:bCs/>
          <w:szCs w:val="24"/>
          <w:highlight w:val="none"/>
        </w:rPr>
        <w:t>附件1：人员配置表</w:t>
      </w:r>
    </w:p>
    <w:p w14:paraId="5DE350AF">
      <w:pPr>
        <w:spacing w:line="360" w:lineRule="auto"/>
        <w:rPr>
          <w:rFonts w:hint="default" w:asciiTheme="minorEastAsia" w:hAnsiTheme="minorEastAsia" w:eastAsiaTheme="minorEastAsia" w:cstheme="minorEastAsia"/>
          <w:bCs/>
          <w:szCs w:val="24"/>
          <w:highlight w:val="none"/>
          <w:lang w:val="en-US" w:eastAsia="zh-CN"/>
        </w:rPr>
      </w:pPr>
      <w:r>
        <w:rPr>
          <w:rFonts w:asciiTheme="minorEastAsia" w:hAnsiTheme="minorEastAsia" w:eastAsiaTheme="minorEastAsia" w:cstheme="minorEastAsia"/>
          <w:bCs/>
          <w:szCs w:val="24"/>
          <w:highlight w:val="none"/>
        </w:rPr>
        <w:t>附件</w:t>
      </w:r>
      <w:r>
        <w:rPr>
          <w:rFonts w:hint="eastAsia" w:asciiTheme="minorEastAsia" w:hAnsiTheme="minorEastAsia" w:eastAsiaTheme="minorEastAsia" w:cstheme="minorEastAsia"/>
          <w:bCs/>
          <w:szCs w:val="24"/>
          <w:highlight w:val="none"/>
          <w:lang w:val="en-US" w:eastAsia="zh-CN"/>
        </w:rPr>
        <w:t>2</w:t>
      </w:r>
      <w:r>
        <w:rPr>
          <w:rFonts w:asciiTheme="minorEastAsia" w:hAnsiTheme="minorEastAsia" w:eastAsiaTheme="minorEastAsia" w:cstheme="minorEastAsia"/>
          <w:bCs/>
          <w:szCs w:val="24"/>
          <w:highlight w:val="none"/>
        </w:rPr>
        <w:t>：</w:t>
      </w:r>
      <w:r>
        <w:rPr>
          <w:rFonts w:hint="eastAsia" w:asciiTheme="minorEastAsia" w:hAnsiTheme="minorEastAsia" w:eastAsiaTheme="minorEastAsia" w:cstheme="minorEastAsia"/>
          <w:bCs/>
          <w:szCs w:val="24"/>
          <w:highlight w:val="none"/>
          <w:lang w:val="en-US" w:eastAsia="zh-CN"/>
        </w:rPr>
        <w:t>考核标准及奖励标准</w:t>
      </w:r>
    </w:p>
    <w:p w14:paraId="47CB55EF">
      <w:pPr>
        <w:spacing w:line="360" w:lineRule="auto"/>
        <w:outlineLvl w:val="0"/>
        <w:rPr>
          <w:rFonts w:asciiTheme="minorEastAsia" w:hAnsiTheme="minorEastAsia" w:eastAsiaTheme="minorEastAsia" w:cstheme="minorEastAsia"/>
          <w:bCs/>
          <w:szCs w:val="24"/>
          <w:highlight w:val="none"/>
        </w:rPr>
      </w:pPr>
      <w:bookmarkStart w:id="59" w:name="_Toc23757"/>
      <w:bookmarkStart w:id="60" w:name="_Toc13759"/>
      <w:bookmarkStart w:id="61" w:name="_Toc7063"/>
      <w:bookmarkStart w:id="62" w:name="_Toc25571"/>
      <w:r>
        <w:rPr>
          <w:rFonts w:hint="eastAsia" w:asciiTheme="minorEastAsia" w:hAnsiTheme="minorEastAsia" w:eastAsiaTheme="minorEastAsia" w:cstheme="minorEastAsia"/>
          <w:bCs/>
          <w:szCs w:val="24"/>
          <w:highlight w:val="none"/>
        </w:rPr>
        <w:t>附件</w:t>
      </w:r>
      <w:r>
        <w:rPr>
          <w:rFonts w:hint="eastAsia" w:asciiTheme="minorEastAsia" w:hAnsiTheme="minorEastAsia" w:eastAsiaTheme="minorEastAsia" w:cstheme="minorEastAsia"/>
          <w:bCs/>
          <w:szCs w:val="24"/>
          <w:highlight w:val="none"/>
          <w:lang w:val="en-US" w:eastAsia="zh-CN"/>
        </w:rPr>
        <w:t>3</w:t>
      </w:r>
      <w:r>
        <w:rPr>
          <w:rFonts w:hint="eastAsia" w:asciiTheme="minorEastAsia" w:hAnsiTheme="minorEastAsia" w:eastAsiaTheme="minorEastAsia" w:cstheme="minorEastAsia"/>
          <w:bCs/>
          <w:szCs w:val="24"/>
          <w:highlight w:val="none"/>
        </w:rPr>
        <w:t>：打分表</w:t>
      </w:r>
      <w:r>
        <w:rPr>
          <w:rFonts w:hint="eastAsia" w:asciiTheme="minorEastAsia" w:hAnsiTheme="minorEastAsia" w:eastAsiaTheme="minorEastAsia" w:cstheme="minorEastAsia"/>
          <w:bCs/>
          <w:szCs w:val="24"/>
          <w:highlight w:val="none"/>
          <w:lang w:eastAsia="zh-CN"/>
        </w:rPr>
        <w:t>－</w:t>
      </w:r>
      <w:r>
        <w:rPr>
          <w:rFonts w:hint="eastAsia" w:asciiTheme="minorEastAsia" w:hAnsiTheme="minorEastAsia" w:eastAsiaTheme="minorEastAsia" w:cstheme="minorEastAsia"/>
          <w:bCs/>
          <w:szCs w:val="24"/>
          <w:highlight w:val="none"/>
        </w:rPr>
        <w:t>全厂架子、保温、防腐项目</w:t>
      </w:r>
      <w:bookmarkEnd w:id="59"/>
      <w:bookmarkEnd w:id="60"/>
      <w:bookmarkEnd w:id="61"/>
      <w:bookmarkEnd w:id="62"/>
      <w:bookmarkStart w:id="63" w:name="_Toc15462"/>
    </w:p>
    <w:p w14:paraId="1E22BA51">
      <w:pPr>
        <w:spacing w:line="360" w:lineRule="auto"/>
        <w:outlineLvl w:val="0"/>
        <w:rPr>
          <w:rFonts w:hint="eastAsia" w:asciiTheme="minorEastAsia" w:hAnsiTheme="minorEastAsia" w:eastAsiaTheme="minorEastAsia" w:cstheme="minorEastAsia"/>
          <w:bCs/>
          <w:szCs w:val="24"/>
          <w:highlight w:val="none"/>
          <w:lang w:val="en-US" w:eastAsia="zh-CN"/>
        </w:rPr>
      </w:pPr>
      <w:bookmarkStart w:id="64" w:name="_Toc739"/>
      <w:bookmarkStart w:id="65" w:name="_Toc2908"/>
      <w:bookmarkStart w:id="66" w:name="_Toc11075"/>
      <w:r>
        <w:rPr>
          <w:rFonts w:asciiTheme="minorEastAsia" w:hAnsiTheme="minorEastAsia" w:eastAsiaTheme="minorEastAsia" w:cstheme="minorEastAsia"/>
          <w:bCs/>
          <w:szCs w:val="24"/>
          <w:highlight w:val="none"/>
        </w:rPr>
        <w:t>附件</w:t>
      </w:r>
      <w:r>
        <w:rPr>
          <w:rFonts w:hint="eastAsia" w:asciiTheme="minorEastAsia" w:hAnsiTheme="minorEastAsia" w:eastAsiaTheme="minorEastAsia" w:cstheme="minorEastAsia"/>
          <w:bCs/>
          <w:szCs w:val="24"/>
          <w:highlight w:val="none"/>
          <w:lang w:val="en-US" w:eastAsia="zh-CN"/>
        </w:rPr>
        <w:t>4</w:t>
      </w:r>
      <w:r>
        <w:rPr>
          <w:rFonts w:asciiTheme="minorEastAsia" w:hAnsiTheme="minorEastAsia" w:eastAsiaTheme="minorEastAsia" w:cstheme="minorEastAsia"/>
          <w:bCs/>
          <w:szCs w:val="24"/>
          <w:highlight w:val="none"/>
        </w:rPr>
        <w:t>：</w:t>
      </w:r>
      <w:bookmarkEnd w:id="63"/>
      <w:bookmarkEnd w:id="64"/>
      <w:bookmarkEnd w:id="65"/>
      <w:bookmarkStart w:id="67" w:name="_Toc28019"/>
      <w:bookmarkStart w:id="68" w:name="_Toc26116"/>
      <w:bookmarkStart w:id="69" w:name="_Toc12907"/>
      <w:r>
        <w:rPr>
          <w:rFonts w:hint="eastAsia" w:asciiTheme="minorEastAsia" w:hAnsiTheme="minorEastAsia" w:eastAsiaTheme="minorEastAsia" w:cstheme="minorEastAsia"/>
          <w:bCs/>
          <w:szCs w:val="24"/>
          <w:highlight w:val="none"/>
          <w:lang w:val="en-US" w:eastAsia="zh-CN"/>
        </w:rPr>
        <w:t>特殊项目</w:t>
      </w:r>
      <w:bookmarkEnd w:id="67"/>
      <w:r>
        <w:rPr>
          <w:rFonts w:hint="eastAsia" w:asciiTheme="minorEastAsia" w:hAnsiTheme="minorEastAsia" w:eastAsiaTheme="minorEastAsia" w:cstheme="minorEastAsia"/>
          <w:bCs/>
          <w:szCs w:val="24"/>
          <w:highlight w:val="none"/>
          <w:lang w:val="en-US" w:eastAsia="zh-CN"/>
        </w:rPr>
        <w:t>清单</w:t>
      </w:r>
      <w:bookmarkEnd w:id="66"/>
      <w:bookmarkEnd w:id="68"/>
    </w:p>
    <w:p w14:paraId="5C85F7FD">
      <w:pPr>
        <w:spacing w:line="360" w:lineRule="auto"/>
        <w:outlineLvl w:val="0"/>
        <w:rPr>
          <w:rFonts w:hint="eastAsia" w:asciiTheme="minorEastAsia" w:hAnsiTheme="minorEastAsia" w:eastAsiaTheme="minorEastAsia" w:cstheme="minorEastAsia"/>
          <w:bCs/>
          <w:szCs w:val="24"/>
          <w:highlight w:val="none"/>
          <w:lang w:val="en-US" w:eastAsia="zh-CN"/>
        </w:rPr>
      </w:pPr>
      <w:bookmarkStart w:id="70" w:name="_Toc5145"/>
      <w:bookmarkStart w:id="71" w:name="_Toc21768"/>
      <w:r>
        <w:rPr>
          <w:rFonts w:hint="eastAsia" w:asciiTheme="minorEastAsia" w:hAnsiTheme="minorEastAsia" w:eastAsiaTheme="minorEastAsia" w:cstheme="minorEastAsia"/>
          <w:bCs/>
          <w:szCs w:val="24"/>
          <w:highlight w:val="none"/>
          <w:lang w:val="en-US" w:eastAsia="zh-CN"/>
        </w:rPr>
        <w:t>附件4.1：2026年度化工装置部分设备设施防腐及保温整治项目技术规范书</w:t>
      </w:r>
      <w:bookmarkEnd w:id="70"/>
      <w:bookmarkEnd w:id="71"/>
    </w:p>
    <w:p w14:paraId="61CF568F">
      <w:pPr>
        <w:spacing w:line="360" w:lineRule="auto"/>
        <w:outlineLvl w:val="0"/>
        <w:rPr>
          <w:rFonts w:hint="eastAsia" w:asciiTheme="minorEastAsia" w:hAnsiTheme="minorEastAsia" w:eastAsiaTheme="minorEastAsia" w:cstheme="minorEastAsia"/>
          <w:bCs/>
          <w:szCs w:val="24"/>
          <w:highlight w:val="none"/>
          <w:lang w:val="en-US" w:eastAsia="zh-CN"/>
        </w:rPr>
      </w:pPr>
      <w:bookmarkStart w:id="72" w:name="_Toc27767"/>
      <w:bookmarkStart w:id="73" w:name="_Toc28686"/>
      <w:r>
        <w:rPr>
          <w:rFonts w:hint="eastAsia" w:asciiTheme="minorEastAsia" w:hAnsiTheme="minorEastAsia" w:eastAsiaTheme="minorEastAsia" w:cstheme="minorEastAsia"/>
          <w:bCs/>
          <w:szCs w:val="24"/>
          <w:highlight w:val="none"/>
          <w:lang w:val="en-US" w:eastAsia="zh-CN"/>
        </w:rPr>
        <w:t>附件4.2：</w:t>
      </w:r>
      <w:r>
        <w:rPr>
          <w:rFonts w:hint="default" w:asciiTheme="minorEastAsia" w:hAnsiTheme="minorEastAsia" w:eastAsiaTheme="minorEastAsia" w:cstheme="minorEastAsia"/>
          <w:bCs/>
          <w:szCs w:val="24"/>
          <w:highlight w:val="none"/>
          <w:lang w:val="en-US" w:eastAsia="zh-CN"/>
        </w:rPr>
        <w:t>2026年脚手架架管及附件（跳板、扣件）租赁技术规范书</w:t>
      </w:r>
      <w:bookmarkEnd w:id="72"/>
      <w:bookmarkEnd w:id="73"/>
    </w:p>
    <w:bookmarkEnd w:id="69"/>
    <w:p w14:paraId="404CB279">
      <w:pPr>
        <w:spacing w:line="360" w:lineRule="auto"/>
        <w:outlineLvl w:val="0"/>
        <w:rPr>
          <w:rFonts w:hint="eastAsia" w:asciiTheme="minorEastAsia" w:hAnsiTheme="minorEastAsia" w:eastAsiaTheme="minorEastAsia" w:cstheme="minorEastAsia"/>
          <w:bCs/>
          <w:szCs w:val="24"/>
          <w:highlight w:val="none"/>
          <w:lang w:val="en-US" w:eastAsia="zh-CN"/>
        </w:rPr>
      </w:pPr>
      <w:bookmarkStart w:id="74" w:name="_Toc14556"/>
      <w:bookmarkStart w:id="75" w:name="_Toc11757"/>
      <w:bookmarkStart w:id="76" w:name="_Toc16230"/>
      <w:bookmarkStart w:id="77" w:name="_Toc5914"/>
      <w:r>
        <w:rPr>
          <w:rFonts w:asciiTheme="minorEastAsia" w:hAnsiTheme="minorEastAsia" w:eastAsiaTheme="minorEastAsia" w:cstheme="minorEastAsia"/>
          <w:bCs/>
          <w:szCs w:val="24"/>
          <w:highlight w:val="none"/>
        </w:rPr>
        <w:t>附件</w:t>
      </w:r>
      <w:r>
        <w:rPr>
          <w:rFonts w:hint="eastAsia" w:asciiTheme="minorEastAsia" w:hAnsiTheme="minorEastAsia" w:eastAsiaTheme="minorEastAsia" w:cstheme="minorEastAsia"/>
          <w:bCs/>
          <w:szCs w:val="24"/>
          <w:highlight w:val="none"/>
          <w:lang w:val="en-US" w:eastAsia="zh-CN"/>
        </w:rPr>
        <w:t>5</w:t>
      </w:r>
      <w:r>
        <w:rPr>
          <w:rFonts w:asciiTheme="minorEastAsia" w:hAnsiTheme="minorEastAsia" w:eastAsiaTheme="minorEastAsia" w:cstheme="minorEastAsia"/>
          <w:bCs/>
          <w:szCs w:val="24"/>
          <w:highlight w:val="none"/>
        </w:rPr>
        <w:t>：</w:t>
      </w:r>
      <w:bookmarkEnd w:id="74"/>
      <w:r>
        <w:rPr>
          <w:rFonts w:hint="eastAsia" w:asciiTheme="minorEastAsia" w:hAnsiTheme="minorEastAsia" w:eastAsiaTheme="minorEastAsia" w:cstheme="minorEastAsia"/>
          <w:bCs/>
          <w:szCs w:val="24"/>
          <w:highlight w:val="none"/>
          <w:lang w:val="en-US" w:eastAsia="zh-CN"/>
        </w:rPr>
        <w:t>主要技术、管理人员情况表</w:t>
      </w:r>
      <w:bookmarkEnd w:id="75"/>
      <w:bookmarkEnd w:id="76"/>
      <w:bookmarkEnd w:id="77"/>
    </w:p>
    <w:p w14:paraId="5C5F6ADE">
      <w:pPr>
        <w:spacing w:line="360" w:lineRule="auto"/>
        <w:rPr>
          <w:rFonts w:hint="default" w:asciiTheme="minorEastAsia" w:hAnsiTheme="minorEastAsia" w:eastAsiaTheme="minorEastAsia" w:cstheme="minorEastAsia"/>
          <w:bCs/>
          <w:szCs w:val="24"/>
          <w:highlight w:val="none"/>
          <w:lang w:val="en-US" w:eastAsia="zh-CN"/>
        </w:rPr>
      </w:pPr>
    </w:p>
    <w:sectPr>
      <w:footerReference r:id="rId6" w:type="default"/>
      <w:pgSz w:w="11906" w:h="16838"/>
      <w:pgMar w:top="1474" w:right="1247" w:bottom="1474" w:left="124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汉仪大宋简">
    <w:altName w:val="宋体"/>
    <w:panose1 w:val="02010600000101010101"/>
    <w:charset w:val="86"/>
    <w:family w:val="modern"/>
    <w:pitch w:val="default"/>
    <w:sig w:usb0="00000000" w:usb1="00000000" w:usb2="00000002"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E24C0">
    <w:pPr>
      <w:pStyle w:val="26"/>
      <w:tabs>
        <w:tab w:val="left" w:pos="4065"/>
        <w:tab w:val="center" w:pos="453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417B6">
    <w:pPr>
      <w:pStyle w:val="26"/>
      <w:tabs>
        <w:tab w:val="left" w:pos="4065"/>
        <w:tab w:val="center" w:pos="453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03FF7C">
                          <w:pPr>
                            <w:pStyle w:val="2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Ux0jM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1THSMyQEAAJkDAAAOAAAAAAAAAAEAIAAAAB4BAABkcnMvZTJvRG9j&#10;LnhtbFBLBQYAAAAABgAGAFkBAABZBQAAAAA=&#10;">
              <v:fill on="f" focussize="0,0"/>
              <v:stroke on="f"/>
              <v:imagedata o:title=""/>
              <o:lock v:ext="edit" aspectratio="f"/>
              <v:textbox inset="0mm,0mm,0mm,0mm" style="mso-fit-shape-to-text:t;">
                <w:txbxContent>
                  <w:p w14:paraId="0003FF7C">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35CAC"/>
    <w:multiLevelType w:val="multilevel"/>
    <w:tmpl w:val="0BD35CAC"/>
    <w:lvl w:ilvl="0" w:tentative="0">
      <w:start w:val="1"/>
      <w:numFmt w:val="decimal"/>
      <w:pStyle w:val="181"/>
      <w:lvlText w:val="%1、"/>
      <w:lvlJc w:val="left"/>
      <w:pPr>
        <w:tabs>
          <w:tab w:val="left" w:pos="720"/>
        </w:tabs>
        <w:ind w:left="720" w:hanging="360"/>
      </w:pPr>
      <w:rPr>
        <w:rFonts w:hint="default"/>
      </w:rPr>
    </w:lvl>
    <w:lvl w:ilvl="1" w:tentative="0">
      <w:start w:val="1"/>
      <w:numFmt w:val="lowerLetter"/>
      <w:lvlText w:val="%2)"/>
      <w:lvlJc w:val="left"/>
      <w:pPr>
        <w:tabs>
          <w:tab w:val="left" w:pos="1200"/>
        </w:tabs>
        <w:ind w:left="1200" w:hanging="420"/>
      </w:pPr>
    </w:lvl>
    <w:lvl w:ilvl="2" w:tentative="0">
      <w:start w:val="1"/>
      <w:numFmt w:val="lowerRoman"/>
      <w:pStyle w:val="186"/>
      <w:lvlText w:val="%3."/>
      <w:lvlJc w:val="right"/>
      <w:pPr>
        <w:tabs>
          <w:tab w:val="left" w:pos="1620"/>
        </w:tabs>
        <w:ind w:left="1620" w:hanging="420"/>
      </w:pPr>
    </w:lvl>
    <w:lvl w:ilvl="3" w:tentative="0">
      <w:start w:val="1"/>
      <w:numFmt w:val="decimal"/>
      <w:pStyle w:val="185"/>
      <w:lvlText w:val="%4."/>
      <w:lvlJc w:val="left"/>
      <w:pPr>
        <w:tabs>
          <w:tab w:val="left" w:pos="2040"/>
        </w:tabs>
        <w:ind w:left="2040" w:hanging="420"/>
      </w:pPr>
    </w:lvl>
    <w:lvl w:ilvl="4" w:tentative="0">
      <w:start w:val="1"/>
      <w:numFmt w:val="lowerLetter"/>
      <w:pStyle w:val="197"/>
      <w:lvlText w:val="%5)"/>
      <w:lvlJc w:val="left"/>
      <w:pPr>
        <w:tabs>
          <w:tab w:val="left" w:pos="2460"/>
        </w:tabs>
        <w:ind w:left="2460" w:hanging="420"/>
      </w:pPr>
    </w:lvl>
    <w:lvl w:ilvl="5" w:tentative="0">
      <w:start w:val="1"/>
      <w:numFmt w:val="lowerRoman"/>
      <w:pStyle w:val="198"/>
      <w:lvlText w:val="%6."/>
      <w:lvlJc w:val="right"/>
      <w:pPr>
        <w:tabs>
          <w:tab w:val="left" w:pos="2880"/>
        </w:tabs>
        <w:ind w:left="2880" w:hanging="420"/>
      </w:pPr>
    </w:lvl>
    <w:lvl w:ilvl="6" w:tentative="0">
      <w:start w:val="1"/>
      <w:numFmt w:val="decimal"/>
      <w:pStyle w:val="199"/>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
    <w:nsid w:val="0C69598C"/>
    <w:multiLevelType w:val="multilevel"/>
    <w:tmpl w:val="0C69598C"/>
    <w:lvl w:ilvl="0" w:tentative="0">
      <w:start w:val="1"/>
      <w:numFmt w:val="decimal"/>
      <w:lvlText w:val="2.2.%1 "/>
      <w:lvlJc w:val="left"/>
      <w:pPr>
        <w:tabs>
          <w:tab w:val="left" w:pos="1080"/>
        </w:tabs>
        <w:ind w:left="0" w:firstLine="0"/>
      </w:pPr>
      <w:rPr>
        <w:rFonts w:hint="default" w:ascii="Arial" w:hAnsi="Arial"/>
        <w:b/>
        <w:i w:val="0"/>
        <w:spacing w:val="30"/>
        <w:sz w:val="30"/>
      </w:rPr>
    </w:lvl>
    <w:lvl w:ilvl="1" w:tentative="0">
      <w:start w:val="1"/>
      <w:numFmt w:val="decimal"/>
      <w:lvlText w:val="7.3"/>
      <w:lvlJc w:val="left"/>
      <w:pPr>
        <w:tabs>
          <w:tab w:val="left" w:pos="1145"/>
        </w:tabs>
        <w:ind w:left="992" w:hanging="567"/>
      </w:pPr>
      <w:rPr>
        <w:rFonts w:hint="eastAsia" w:ascii="宋体" w:eastAsia="宋体"/>
        <w:b/>
        <w:i w:val="0"/>
        <w:sz w:val="44"/>
      </w:rPr>
    </w:lvl>
    <w:lvl w:ilvl="2" w:tentative="0">
      <w:start w:val="1"/>
      <w:numFmt w:val="decimal"/>
      <w:pStyle w:val="148"/>
      <w:isLgl/>
      <w:lvlText w:val="1.2.%3"/>
      <w:lvlJc w:val="left"/>
      <w:pPr>
        <w:tabs>
          <w:tab w:val="left" w:pos="1080"/>
        </w:tabs>
        <w:ind w:left="0" w:firstLine="0"/>
      </w:pPr>
      <w:rPr>
        <w:rFonts w:hint="default" w:ascii="Arial" w:hAnsi="Arial"/>
        <w:b/>
        <w:i w:val="0"/>
        <w:spacing w:val="30"/>
        <w:sz w:val="30"/>
      </w:rPr>
    </w:lvl>
    <w:lvl w:ilvl="3" w:tentative="0">
      <w:start w:val="1"/>
      <w:numFmt w:val="decimal"/>
      <w:lvlText w:val="7.3.1.%4"/>
      <w:lvlJc w:val="left"/>
      <w:pPr>
        <w:tabs>
          <w:tab w:val="left" w:pos="1080"/>
        </w:tabs>
        <w:ind w:left="0" w:firstLine="0"/>
      </w:pPr>
      <w:rPr>
        <w:rFonts w:hint="eastAsia" w:ascii="宋体" w:eastAsia="宋体"/>
        <w:b/>
        <w:i w:val="0"/>
        <w:sz w:val="21"/>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
    <w:nsid w:val="189247B9"/>
    <w:multiLevelType w:val="multilevel"/>
    <w:tmpl w:val="189247B9"/>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pStyle w:val="149"/>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BB82417"/>
    <w:multiLevelType w:val="multilevel"/>
    <w:tmpl w:val="1BB82417"/>
    <w:lvl w:ilvl="0" w:tentative="0">
      <w:start w:val="1"/>
      <w:numFmt w:val="decimal"/>
      <w:lvlText w:val="%1."/>
      <w:lvlJc w:val="left"/>
      <w:pPr>
        <w:tabs>
          <w:tab w:val="left" w:pos="425"/>
        </w:tabs>
        <w:ind w:left="425" w:hanging="425"/>
      </w:pPr>
      <w:rPr>
        <w:rFonts w:hint="eastAsia"/>
      </w:rPr>
    </w:lvl>
    <w:lvl w:ilvl="1" w:tentative="0">
      <w:start w:val="2"/>
      <w:numFmt w:val="decimal"/>
      <w:pStyle w:val="147"/>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1CB57C54"/>
    <w:multiLevelType w:val="multilevel"/>
    <w:tmpl w:val="1CB57C54"/>
    <w:lvl w:ilvl="0" w:tentative="0">
      <w:start w:val="3"/>
      <w:numFmt w:val="decimal"/>
      <w:pStyle w:val="152"/>
      <w:lvlText w:val="%1）"/>
      <w:lvlJc w:val="left"/>
      <w:pPr>
        <w:tabs>
          <w:tab w:val="left" w:pos="360"/>
        </w:tabs>
        <w:ind w:left="360" w:hanging="360"/>
      </w:pPr>
      <w:rPr>
        <w:rFonts w:hint="default"/>
      </w:rPr>
    </w:lvl>
    <w:lvl w:ilvl="1" w:tentative="0">
      <w:start w:val="1"/>
      <w:numFmt w:val="lowerLetter"/>
      <w:lvlText w:val="%2)"/>
      <w:lvlJc w:val="left"/>
      <w:pPr>
        <w:tabs>
          <w:tab w:val="left" w:pos="720"/>
        </w:tabs>
        <w:ind w:left="720" w:hanging="420"/>
      </w:pPr>
    </w:lvl>
    <w:lvl w:ilvl="2" w:tentative="0">
      <w:start w:val="1"/>
      <w:numFmt w:val="lowerRoman"/>
      <w:lvlText w:val="%3."/>
      <w:lvlJc w:val="right"/>
      <w:pPr>
        <w:tabs>
          <w:tab w:val="left" w:pos="1140"/>
        </w:tabs>
        <w:ind w:left="1140" w:hanging="420"/>
      </w:pPr>
    </w:lvl>
    <w:lvl w:ilvl="3" w:tentative="0">
      <w:start w:val="1"/>
      <w:numFmt w:val="decimal"/>
      <w:lvlText w:val="%4."/>
      <w:lvlJc w:val="left"/>
      <w:pPr>
        <w:tabs>
          <w:tab w:val="left" w:pos="1560"/>
        </w:tabs>
        <w:ind w:left="1560" w:hanging="420"/>
      </w:pPr>
    </w:lvl>
    <w:lvl w:ilvl="4" w:tentative="0">
      <w:start w:val="1"/>
      <w:numFmt w:val="lowerLetter"/>
      <w:lvlText w:val="%5)"/>
      <w:lvlJc w:val="left"/>
      <w:pPr>
        <w:tabs>
          <w:tab w:val="left" w:pos="1980"/>
        </w:tabs>
        <w:ind w:left="1980" w:hanging="420"/>
      </w:pPr>
    </w:lvl>
    <w:lvl w:ilvl="5" w:tentative="0">
      <w:start w:val="1"/>
      <w:numFmt w:val="lowerRoman"/>
      <w:lvlText w:val="%6."/>
      <w:lvlJc w:val="right"/>
      <w:pPr>
        <w:tabs>
          <w:tab w:val="left" w:pos="2400"/>
        </w:tabs>
        <w:ind w:left="2400" w:hanging="420"/>
      </w:pPr>
    </w:lvl>
    <w:lvl w:ilvl="6" w:tentative="0">
      <w:start w:val="1"/>
      <w:numFmt w:val="decimal"/>
      <w:lvlText w:val="%7."/>
      <w:lvlJc w:val="left"/>
      <w:pPr>
        <w:tabs>
          <w:tab w:val="left" w:pos="2820"/>
        </w:tabs>
        <w:ind w:left="2820" w:hanging="420"/>
      </w:pPr>
    </w:lvl>
    <w:lvl w:ilvl="7" w:tentative="0">
      <w:start w:val="1"/>
      <w:numFmt w:val="lowerLetter"/>
      <w:lvlText w:val="%8)"/>
      <w:lvlJc w:val="left"/>
      <w:pPr>
        <w:tabs>
          <w:tab w:val="left" w:pos="3240"/>
        </w:tabs>
        <w:ind w:left="3240" w:hanging="420"/>
      </w:pPr>
    </w:lvl>
    <w:lvl w:ilvl="8" w:tentative="0">
      <w:start w:val="1"/>
      <w:numFmt w:val="lowerRoman"/>
      <w:lvlText w:val="%9."/>
      <w:lvlJc w:val="right"/>
      <w:pPr>
        <w:tabs>
          <w:tab w:val="left" w:pos="3660"/>
        </w:tabs>
        <w:ind w:left="3660" w:hanging="420"/>
      </w:pPr>
    </w:lvl>
  </w:abstractNum>
  <w:abstractNum w:abstractNumId="5">
    <w:nsid w:val="25B54D76"/>
    <w:multiLevelType w:val="multilevel"/>
    <w:tmpl w:val="25B54D7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46"/>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3C8328A"/>
    <w:multiLevelType w:val="multilevel"/>
    <w:tmpl w:val="33C8328A"/>
    <w:lvl w:ilvl="0" w:tentative="0">
      <w:start w:val="1"/>
      <w:numFmt w:val="decimal"/>
      <w:pStyle w:val="153"/>
      <w:lvlText w:val="(%1)"/>
      <w:lvlJc w:val="left"/>
      <w:pPr>
        <w:ind w:left="465" w:hanging="465"/>
      </w:pPr>
      <w:rPr>
        <w:rFonts w:hint="default"/>
      </w:rPr>
    </w:lvl>
    <w:lvl w:ilvl="1" w:tentative="0">
      <w:start w:val="1"/>
      <w:numFmt w:val="lowerLetter"/>
      <w:lvlText w:val="%2)"/>
      <w:lvlJc w:val="left"/>
      <w:pPr>
        <w:ind w:left="1294" w:hanging="420"/>
      </w:pPr>
    </w:lvl>
    <w:lvl w:ilvl="2" w:tentative="0">
      <w:start w:val="1"/>
      <w:numFmt w:val="lowerRoman"/>
      <w:lvlText w:val="%3."/>
      <w:lvlJc w:val="right"/>
      <w:pPr>
        <w:ind w:left="1714" w:hanging="420"/>
      </w:pPr>
    </w:lvl>
    <w:lvl w:ilvl="3" w:tentative="0">
      <w:start w:val="1"/>
      <w:numFmt w:val="decimal"/>
      <w:lvlText w:val="%4."/>
      <w:lvlJc w:val="left"/>
      <w:pPr>
        <w:ind w:left="2134" w:hanging="420"/>
      </w:pPr>
    </w:lvl>
    <w:lvl w:ilvl="4" w:tentative="0">
      <w:start w:val="1"/>
      <w:numFmt w:val="lowerLetter"/>
      <w:lvlText w:val="%5)"/>
      <w:lvlJc w:val="left"/>
      <w:pPr>
        <w:ind w:left="2554" w:hanging="420"/>
      </w:pPr>
    </w:lvl>
    <w:lvl w:ilvl="5" w:tentative="0">
      <w:start w:val="1"/>
      <w:numFmt w:val="lowerRoman"/>
      <w:lvlText w:val="%6."/>
      <w:lvlJc w:val="right"/>
      <w:pPr>
        <w:ind w:left="2974" w:hanging="420"/>
      </w:pPr>
    </w:lvl>
    <w:lvl w:ilvl="6" w:tentative="0">
      <w:start w:val="1"/>
      <w:numFmt w:val="decimal"/>
      <w:lvlText w:val="%7."/>
      <w:lvlJc w:val="left"/>
      <w:pPr>
        <w:ind w:left="3394" w:hanging="420"/>
      </w:pPr>
    </w:lvl>
    <w:lvl w:ilvl="7" w:tentative="0">
      <w:start w:val="1"/>
      <w:numFmt w:val="lowerLetter"/>
      <w:lvlText w:val="%8)"/>
      <w:lvlJc w:val="left"/>
      <w:pPr>
        <w:ind w:left="3814" w:hanging="420"/>
      </w:pPr>
    </w:lvl>
    <w:lvl w:ilvl="8" w:tentative="0">
      <w:start w:val="1"/>
      <w:numFmt w:val="lowerRoman"/>
      <w:lvlText w:val="%9."/>
      <w:lvlJc w:val="right"/>
      <w:pPr>
        <w:ind w:left="4234" w:hanging="420"/>
      </w:pPr>
    </w:lvl>
  </w:abstractNum>
  <w:abstractNum w:abstractNumId="7">
    <w:nsid w:val="461A0619"/>
    <w:multiLevelType w:val="multilevel"/>
    <w:tmpl w:val="461A0619"/>
    <w:lvl w:ilvl="0" w:tentative="0">
      <w:start w:val="1"/>
      <w:numFmt w:val="decimal"/>
      <w:pStyle w:val="344"/>
      <w:lvlText w:val="%1、"/>
      <w:lvlJc w:val="left"/>
      <w:pPr>
        <w:tabs>
          <w:tab w:val="left" w:pos="0"/>
        </w:tabs>
        <w:ind w:left="0" w:firstLine="420"/>
      </w:pPr>
      <w:rPr>
        <w:rFonts w:hint="eastAsia" w:ascii="宋体" w:eastAsia="宋体"/>
        <w:b w:val="0"/>
        <w:i w:val="0"/>
        <w:color w:val="auto"/>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82B30BA"/>
    <w:multiLevelType w:val="multilevel"/>
    <w:tmpl w:val="582B30BA"/>
    <w:lvl w:ilvl="0" w:tentative="0">
      <w:start w:val="1"/>
      <w:numFmt w:val="decimal"/>
      <w:lvlText w:val="(%1)"/>
      <w:lvlJc w:val="left"/>
      <w:pPr>
        <w:tabs>
          <w:tab w:val="left" w:pos="1395"/>
        </w:tabs>
        <w:ind w:left="1395" w:hanging="720"/>
      </w:pPr>
      <w:rPr>
        <w:rFonts w:hint="default"/>
      </w:rPr>
    </w:lvl>
    <w:lvl w:ilvl="1" w:tentative="0">
      <w:start w:val="1"/>
      <w:numFmt w:val="lowerLetter"/>
      <w:lvlText w:val="%2)"/>
      <w:lvlJc w:val="left"/>
      <w:pPr>
        <w:tabs>
          <w:tab w:val="left" w:pos="1515"/>
        </w:tabs>
        <w:ind w:left="1515" w:hanging="420"/>
      </w:pPr>
    </w:lvl>
    <w:lvl w:ilvl="2" w:tentative="0">
      <w:start w:val="1"/>
      <w:numFmt w:val="lowerRoman"/>
      <w:lvlText w:val="%3."/>
      <w:lvlJc w:val="right"/>
      <w:pPr>
        <w:tabs>
          <w:tab w:val="left" w:pos="1935"/>
        </w:tabs>
        <w:ind w:left="1935" w:hanging="420"/>
      </w:pPr>
    </w:lvl>
    <w:lvl w:ilvl="3" w:tentative="0">
      <w:start w:val="1"/>
      <w:numFmt w:val="decimal"/>
      <w:lvlText w:val="%4."/>
      <w:lvlJc w:val="left"/>
      <w:pPr>
        <w:tabs>
          <w:tab w:val="left" w:pos="2355"/>
        </w:tabs>
        <w:ind w:left="2355" w:hanging="420"/>
      </w:pPr>
    </w:lvl>
    <w:lvl w:ilvl="4" w:tentative="0">
      <w:start w:val="1"/>
      <w:numFmt w:val="lowerLetter"/>
      <w:pStyle w:val="8"/>
      <w:lvlText w:val="%5)"/>
      <w:lvlJc w:val="left"/>
      <w:pPr>
        <w:tabs>
          <w:tab w:val="left" w:pos="2775"/>
        </w:tabs>
        <w:ind w:left="2775" w:hanging="420"/>
      </w:pPr>
    </w:lvl>
    <w:lvl w:ilvl="5" w:tentative="0">
      <w:start w:val="1"/>
      <w:numFmt w:val="lowerRoman"/>
      <w:lvlText w:val="%6."/>
      <w:lvlJc w:val="right"/>
      <w:pPr>
        <w:tabs>
          <w:tab w:val="left" w:pos="3195"/>
        </w:tabs>
        <w:ind w:left="3195" w:hanging="420"/>
      </w:pPr>
    </w:lvl>
    <w:lvl w:ilvl="6" w:tentative="0">
      <w:start w:val="1"/>
      <w:numFmt w:val="decimal"/>
      <w:pStyle w:val="10"/>
      <w:lvlText w:val="%7."/>
      <w:lvlJc w:val="left"/>
      <w:pPr>
        <w:tabs>
          <w:tab w:val="left" w:pos="3615"/>
        </w:tabs>
        <w:ind w:left="3615" w:hanging="420"/>
      </w:pPr>
    </w:lvl>
    <w:lvl w:ilvl="7" w:tentative="0">
      <w:start w:val="1"/>
      <w:numFmt w:val="lowerLetter"/>
      <w:pStyle w:val="11"/>
      <w:lvlText w:val="%8)"/>
      <w:lvlJc w:val="left"/>
      <w:pPr>
        <w:tabs>
          <w:tab w:val="left" w:pos="4035"/>
        </w:tabs>
        <w:ind w:left="4035" w:hanging="420"/>
      </w:pPr>
    </w:lvl>
    <w:lvl w:ilvl="8" w:tentative="0">
      <w:start w:val="1"/>
      <w:numFmt w:val="lowerRoman"/>
      <w:pStyle w:val="12"/>
      <w:lvlText w:val="%9."/>
      <w:lvlJc w:val="right"/>
      <w:pPr>
        <w:tabs>
          <w:tab w:val="left" w:pos="4455"/>
        </w:tabs>
        <w:ind w:left="4455" w:hanging="420"/>
      </w:pPr>
    </w:lvl>
  </w:abstractNum>
  <w:abstractNum w:abstractNumId="9">
    <w:nsid w:val="61C91FB3"/>
    <w:multiLevelType w:val="multilevel"/>
    <w:tmpl w:val="61C91FB3"/>
    <w:lvl w:ilvl="0" w:tentative="0">
      <w:start w:val="1"/>
      <w:numFmt w:val="decimal"/>
      <w:pStyle w:val="342"/>
      <w:lvlText w:val="%1)"/>
      <w:lvlJc w:val="left"/>
      <w:pPr>
        <w:tabs>
          <w:tab w:val="left" w:pos="0"/>
        </w:tabs>
        <w:ind w:left="0" w:firstLine="420"/>
      </w:pPr>
      <w:rPr>
        <w:rFonts w:hint="eastAsia" w:ascii="宋体" w:eastAsia="宋体"/>
        <w:b w:val="0"/>
        <w:i w:val="0"/>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67142699"/>
    <w:multiLevelType w:val="multilevel"/>
    <w:tmpl w:val="67142699"/>
    <w:lvl w:ilvl="0" w:tentative="0">
      <w:start w:val="1"/>
      <w:numFmt w:val="decimal"/>
      <w:pStyle w:val="150"/>
      <w:lvlText w:val="（%1）"/>
      <w:lvlJc w:val="left"/>
      <w:pPr>
        <w:ind w:left="960" w:hanging="720"/>
      </w:pPr>
      <w:rPr>
        <w:rFonts w:hint="default"/>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11">
    <w:nsid w:val="74F53DD4"/>
    <w:multiLevelType w:val="multilevel"/>
    <w:tmpl w:val="74F53DD4"/>
    <w:lvl w:ilvl="0" w:tentative="0">
      <w:start w:val="1"/>
      <w:numFmt w:val="upperRoman"/>
      <w:pStyle w:val="6"/>
      <w:lvlText w:val="%1."/>
      <w:legacy w:legacy="1" w:legacySpace="0" w:legacyIndent="720"/>
      <w:lvlJc w:val="left"/>
      <w:pPr>
        <w:ind w:left="720" w:hanging="720"/>
      </w:pPr>
    </w:lvl>
    <w:lvl w:ilvl="1" w:tentative="0">
      <w:start w:val="1"/>
      <w:numFmt w:val="upperLetter"/>
      <w:pStyle w:val="179"/>
      <w:lvlText w:val="%2."/>
      <w:legacy w:legacy="1" w:legacySpace="0" w:legacyIndent="720"/>
      <w:lvlJc w:val="left"/>
      <w:pPr>
        <w:ind w:left="1440" w:hanging="720"/>
      </w:pPr>
    </w:lvl>
    <w:lvl w:ilvl="2" w:tentative="0">
      <w:start w:val="1"/>
      <w:numFmt w:val="decimal"/>
      <w:pStyle w:val="178"/>
      <w:lvlText w:val="%3."/>
      <w:legacy w:legacy="1" w:legacySpace="0" w:legacyIndent="720"/>
      <w:lvlJc w:val="left"/>
      <w:pPr>
        <w:ind w:left="2160" w:hanging="720"/>
      </w:pPr>
    </w:lvl>
    <w:lvl w:ilvl="3" w:tentative="0">
      <w:start w:val="1"/>
      <w:numFmt w:val="lowerLetter"/>
      <w:pStyle w:val="177"/>
      <w:lvlText w:val="%4)"/>
      <w:legacy w:legacy="1" w:legacySpace="0" w:legacyIndent="720"/>
      <w:lvlJc w:val="left"/>
      <w:pPr>
        <w:ind w:left="2880" w:hanging="720"/>
      </w:pPr>
    </w:lvl>
    <w:lvl w:ilvl="4" w:tentative="0">
      <w:start w:val="1"/>
      <w:numFmt w:val="decimal"/>
      <w:pStyle w:val="176"/>
      <w:lvlText w:val="(%5)"/>
      <w:legacy w:legacy="1" w:legacySpace="0" w:legacyIndent="720"/>
      <w:lvlJc w:val="left"/>
      <w:pPr>
        <w:ind w:left="3600" w:hanging="720"/>
      </w:pPr>
    </w:lvl>
    <w:lvl w:ilvl="5" w:tentative="0">
      <w:start w:val="1"/>
      <w:numFmt w:val="lowerLetter"/>
      <w:pStyle w:val="175"/>
      <w:lvlText w:val="(%6)"/>
      <w:legacy w:legacy="1" w:legacySpace="0" w:legacyIndent="720"/>
      <w:lvlJc w:val="left"/>
      <w:pPr>
        <w:ind w:left="4320" w:hanging="720"/>
      </w:pPr>
    </w:lvl>
    <w:lvl w:ilvl="6" w:tentative="0">
      <w:start w:val="1"/>
      <w:numFmt w:val="lowerRoman"/>
      <w:pStyle w:val="193"/>
      <w:lvlText w:val="(%7)"/>
      <w:legacy w:legacy="1" w:legacySpace="0" w:legacyIndent="720"/>
      <w:lvlJc w:val="left"/>
      <w:pPr>
        <w:ind w:left="5040" w:hanging="720"/>
      </w:pPr>
    </w:lvl>
    <w:lvl w:ilvl="7" w:tentative="0">
      <w:start w:val="1"/>
      <w:numFmt w:val="lowerLetter"/>
      <w:lvlText w:val="(%8)"/>
      <w:legacy w:legacy="1" w:legacySpace="0" w:legacyIndent="720"/>
      <w:lvlJc w:val="left"/>
      <w:pPr>
        <w:ind w:left="5760" w:hanging="720"/>
      </w:pPr>
    </w:lvl>
    <w:lvl w:ilvl="8" w:tentative="0">
      <w:start w:val="1"/>
      <w:numFmt w:val="lowerRoman"/>
      <w:lvlText w:val="(%9)"/>
      <w:legacy w:legacy="1" w:legacySpace="0" w:legacyIndent="720"/>
      <w:lvlJc w:val="left"/>
      <w:pPr>
        <w:ind w:left="6480" w:hanging="720"/>
      </w:pPr>
    </w:lvl>
  </w:abstractNum>
  <w:abstractNum w:abstractNumId="12">
    <w:nsid w:val="7B2465AA"/>
    <w:multiLevelType w:val="multilevel"/>
    <w:tmpl w:val="7B2465AA"/>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51"/>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8"/>
  </w:num>
  <w:num w:numId="3">
    <w:abstractNumId w:val="5"/>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4"/>
  </w:num>
  <w:num w:numId="10">
    <w:abstractNumId w:val="6"/>
  </w:num>
  <w:num w:numId="11">
    <w:abstractNumId w:val="0"/>
  </w:num>
  <w:num w:numId="12">
    <w:abstractNumId w:val="9"/>
  </w:num>
  <w:num w:numId="1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OTdjNjdkMmVhZGFhMjM0M2Q3MmE4NDY3NWI2ZDcifQ=="/>
  </w:docVars>
  <w:rsids>
    <w:rsidRoot w:val="00F80542"/>
    <w:rsid w:val="00000F7A"/>
    <w:rsid w:val="00001356"/>
    <w:rsid w:val="00002258"/>
    <w:rsid w:val="0000230F"/>
    <w:rsid w:val="00002ADC"/>
    <w:rsid w:val="00002BB6"/>
    <w:rsid w:val="000042FB"/>
    <w:rsid w:val="000044EF"/>
    <w:rsid w:val="0000553D"/>
    <w:rsid w:val="00005F48"/>
    <w:rsid w:val="000060F5"/>
    <w:rsid w:val="00006943"/>
    <w:rsid w:val="00006EB3"/>
    <w:rsid w:val="00007121"/>
    <w:rsid w:val="00007158"/>
    <w:rsid w:val="0000749C"/>
    <w:rsid w:val="00010176"/>
    <w:rsid w:val="000109DB"/>
    <w:rsid w:val="00010CAB"/>
    <w:rsid w:val="000117B0"/>
    <w:rsid w:val="00012B40"/>
    <w:rsid w:val="0001331A"/>
    <w:rsid w:val="00013DFB"/>
    <w:rsid w:val="00015FC0"/>
    <w:rsid w:val="00016E1B"/>
    <w:rsid w:val="00017EE0"/>
    <w:rsid w:val="000208E8"/>
    <w:rsid w:val="0002322E"/>
    <w:rsid w:val="0002356D"/>
    <w:rsid w:val="00024A4A"/>
    <w:rsid w:val="0002721C"/>
    <w:rsid w:val="00031AB1"/>
    <w:rsid w:val="00032287"/>
    <w:rsid w:val="000332D1"/>
    <w:rsid w:val="00033F62"/>
    <w:rsid w:val="000357BE"/>
    <w:rsid w:val="00035A7C"/>
    <w:rsid w:val="00036942"/>
    <w:rsid w:val="00036B0C"/>
    <w:rsid w:val="00037715"/>
    <w:rsid w:val="00037AD6"/>
    <w:rsid w:val="000400CC"/>
    <w:rsid w:val="000420B1"/>
    <w:rsid w:val="0004268D"/>
    <w:rsid w:val="00042DE4"/>
    <w:rsid w:val="00043F1A"/>
    <w:rsid w:val="000444D0"/>
    <w:rsid w:val="0004656C"/>
    <w:rsid w:val="00047481"/>
    <w:rsid w:val="00051410"/>
    <w:rsid w:val="00051725"/>
    <w:rsid w:val="00051EF8"/>
    <w:rsid w:val="000530EF"/>
    <w:rsid w:val="0005399A"/>
    <w:rsid w:val="00053A71"/>
    <w:rsid w:val="00053D3C"/>
    <w:rsid w:val="00054EAA"/>
    <w:rsid w:val="00057558"/>
    <w:rsid w:val="000601CA"/>
    <w:rsid w:val="000603BD"/>
    <w:rsid w:val="000622B7"/>
    <w:rsid w:val="00062BF3"/>
    <w:rsid w:val="00063C69"/>
    <w:rsid w:val="0006523C"/>
    <w:rsid w:val="000653F5"/>
    <w:rsid w:val="00065504"/>
    <w:rsid w:val="00066476"/>
    <w:rsid w:val="00066D68"/>
    <w:rsid w:val="00067A38"/>
    <w:rsid w:val="00067CB4"/>
    <w:rsid w:val="00070B61"/>
    <w:rsid w:val="000710E7"/>
    <w:rsid w:val="000713C3"/>
    <w:rsid w:val="0007306E"/>
    <w:rsid w:val="000739C3"/>
    <w:rsid w:val="00074A5D"/>
    <w:rsid w:val="000750EC"/>
    <w:rsid w:val="00076BDC"/>
    <w:rsid w:val="000819B1"/>
    <w:rsid w:val="00082ADB"/>
    <w:rsid w:val="00082B4D"/>
    <w:rsid w:val="00084B27"/>
    <w:rsid w:val="0008543B"/>
    <w:rsid w:val="00085792"/>
    <w:rsid w:val="00092E66"/>
    <w:rsid w:val="000930AF"/>
    <w:rsid w:val="0009546F"/>
    <w:rsid w:val="00096295"/>
    <w:rsid w:val="00096416"/>
    <w:rsid w:val="00096F26"/>
    <w:rsid w:val="00097E8A"/>
    <w:rsid w:val="000A411A"/>
    <w:rsid w:val="000A453A"/>
    <w:rsid w:val="000A4E5C"/>
    <w:rsid w:val="000A6024"/>
    <w:rsid w:val="000A62F6"/>
    <w:rsid w:val="000A74E2"/>
    <w:rsid w:val="000B0A90"/>
    <w:rsid w:val="000B1B0E"/>
    <w:rsid w:val="000B2F8C"/>
    <w:rsid w:val="000B307B"/>
    <w:rsid w:val="000B3087"/>
    <w:rsid w:val="000B36CB"/>
    <w:rsid w:val="000B3BC0"/>
    <w:rsid w:val="000B3E44"/>
    <w:rsid w:val="000B6198"/>
    <w:rsid w:val="000B6263"/>
    <w:rsid w:val="000B6FD3"/>
    <w:rsid w:val="000B719C"/>
    <w:rsid w:val="000B73B2"/>
    <w:rsid w:val="000B7851"/>
    <w:rsid w:val="000C0A84"/>
    <w:rsid w:val="000C1DE7"/>
    <w:rsid w:val="000C2C21"/>
    <w:rsid w:val="000C362F"/>
    <w:rsid w:val="000C3C68"/>
    <w:rsid w:val="000C3E15"/>
    <w:rsid w:val="000C55FA"/>
    <w:rsid w:val="000C62A2"/>
    <w:rsid w:val="000D030B"/>
    <w:rsid w:val="000D063E"/>
    <w:rsid w:val="000D0712"/>
    <w:rsid w:val="000D0B77"/>
    <w:rsid w:val="000D1331"/>
    <w:rsid w:val="000D1B74"/>
    <w:rsid w:val="000D1C4F"/>
    <w:rsid w:val="000D2685"/>
    <w:rsid w:val="000D2854"/>
    <w:rsid w:val="000D2EC7"/>
    <w:rsid w:val="000D3113"/>
    <w:rsid w:val="000D3FF7"/>
    <w:rsid w:val="000D4244"/>
    <w:rsid w:val="000D43BB"/>
    <w:rsid w:val="000D4E5C"/>
    <w:rsid w:val="000E1A3C"/>
    <w:rsid w:val="000E242A"/>
    <w:rsid w:val="000E2757"/>
    <w:rsid w:val="000E2782"/>
    <w:rsid w:val="000E27F4"/>
    <w:rsid w:val="000E29FB"/>
    <w:rsid w:val="000E2C5E"/>
    <w:rsid w:val="000E4BFF"/>
    <w:rsid w:val="000E536D"/>
    <w:rsid w:val="000E69B9"/>
    <w:rsid w:val="000E72C9"/>
    <w:rsid w:val="000E7A75"/>
    <w:rsid w:val="000F005D"/>
    <w:rsid w:val="000F0253"/>
    <w:rsid w:val="000F05C0"/>
    <w:rsid w:val="000F0BC9"/>
    <w:rsid w:val="000F2715"/>
    <w:rsid w:val="000F4D9B"/>
    <w:rsid w:val="000F5340"/>
    <w:rsid w:val="000F5358"/>
    <w:rsid w:val="000F5C75"/>
    <w:rsid w:val="000F67EA"/>
    <w:rsid w:val="000F6E1C"/>
    <w:rsid w:val="000F7600"/>
    <w:rsid w:val="000F77AA"/>
    <w:rsid w:val="00100ED0"/>
    <w:rsid w:val="0010178B"/>
    <w:rsid w:val="00101C0A"/>
    <w:rsid w:val="00104A8B"/>
    <w:rsid w:val="00104FA2"/>
    <w:rsid w:val="001054CB"/>
    <w:rsid w:val="00106062"/>
    <w:rsid w:val="00107AB3"/>
    <w:rsid w:val="00111D2A"/>
    <w:rsid w:val="00112EED"/>
    <w:rsid w:val="00112F0B"/>
    <w:rsid w:val="001152AE"/>
    <w:rsid w:val="001154F7"/>
    <w:rsid w:val="00115B5E"/>
    <w:rsid w:val="00116228"/>
    <w:rsid w:val="00116740"/>
    <w:rsid w:val="001167ED"/>
    <w:rsid w:val="00117565"/>
    <w:rsid w:val="00117856"/>
    <w:rsid w:val="00117E9D"/>
    <w:rsid w:val="001203D6"/>
    <w:rsid w:val="00120A4E"/>
    <w:rsid w:val="00120D95"/>
    <w:rsid w:val="001215D9"/>
    <w:rsid w:val="00121D08"/>
    <w:rsid w:val="00123BAC"/>
    <w:rsid w:val="001266D7"/>
    <w:rsid w:val="0012741A"/>
    <w:rsid w:val="00127B31"/>
    <w:rsid w:val="00127CAE"/>
    <w:rsid w:val="0013008A"/>
    <w:rsid w:val="0013022E"/>
    <w:rsid w:val="0013047F"/>
    <w:rsid w:val="00130B11"/>
    <w:rsid w:val="00130D70"/>
    <w:rsid w:val="001311D7"/>
    <w:rsid w:val="0013211C"/>
    <w:rsid w:val="00132534"/>
    <w:rsid w:val="00132649"/>
    <w:rsid w:val="00133340"/>
    <w:rsid w:val="00133B52"/>
    <w:rsid w:val="00133C72"/>
    <w:rsid w:val="00133D63"/>
    <w:rsid w:val="00134FD7"/>
    <w:rsid w:val="001357D2"/>
    <w:rsid w:val="001364DB"/>
    <w:rsid w:val="00140A34"/>
    <w:rsid w:val="00146CB0"/>
    <w:rsid w:val="001477E3"/>
    <w:rsid w:val="00147A71"/>
    <w:rsid w:val="00147BC3"/>
    <w:rsid w:val="001504CA"/>
    <w:rsid w:val="00151680"/>
    <w:rsid w:val="00151D30"/>
    <w:rsid w:val="00153CFF"/>
    <w:rsid w:val="0015436E"/>
    <w:rsid w:val="001545CA"/>
    <w:rsid w:val="00154D95"/>
    <w:rsid w:val="00154FCC"/>
    <w:rsid w:val="00155141"/>
    <w:rsid w:val="00156B60"/>
    <w:rsid w:val="00161161"/>
    <w:rsid w:val="001636D6"/>
    <w:rsid w:val="00165B61"/>
    <w:rsid w:val="00165F4C"/>
    <w:rsid w:val="001663E8"/>
    <w:rsid w:val="001664E7"/>
    <w:rsid w:val="0016686D"/>
    <w:rsid w:val="0016732F"/>
    <w:rsid w:val="001673E4"/>
    <w:rsid w:val="001700F5"/>
    <w:rsid w:val="001701E2"/>
    <w:rsid w:val="00170445"/>
    <w:rsid w:val="0017313F"/>
    <w:rsid w:val="00173BA7"/>
    <w:rsid w:val="00173C35"/>
    <w:rsid w:val="00175AEB"/>
    <w:rsid w:val="00175D72"/>
    <w:rsid w:val="001766E1"/>
    <w:rsid w:val="0018001C"/>
    <w:rsid w:val="001809D8"/>
    <w:rsid w:val="0018357D"/>
    <w:rsid w:val="00183668"/>
    <w:rsid w:val="00183A8E"/>
    <w:rsid w:val="00183B9E"/>
    <w:rsid w:val="00185021"/>
    <w:rsid w:val="00186859"/>
    <w:rsid w:val="001868EB"/>
    <w:rsid w:val="00186F9A"/>
    <w:rsid w:val="00191452"/>
    <w:rsid w:val="001924F9"/>
    <w:rsid w:val="00192B3A"/>
    <w:rsid w:val="00193088"/>
    <w:rsid w:val="001938A0"/>
    <w:rsid w:val="0019514D"/>
    <w:rsid w:val="00195F7D"/>
    <w:rsid w:val="0019730C"/>
    <w:rsid w:val="0019777C"/>
    <w:rsid w:val="00197B0A"/>
    <w:rsid w:val="001A0279"/>
    <w:rsid w:val="001A0432"/>
    <w:rsid w:val="001A0693"/>
    <w:rsid w:val="001A06FA"/>
    <w:rsid w:val="001A0D90"/>
    <w:rsid w:val="001A0FF2"/>
    <w:rsid w:val="001A12F8"/>
    <w:rsid w:val="001A24A3"/>
    <w:rsid w:val="001A3B6B"/>
    <w:rsid w:val="001B00B1"/>
    <w:rsid w:val="001B1AED"/>
    <w:rsid w:val="001B37F3"/>
    <w:rsid w:val="001B45E9"/>
    <w:rsid w:val="001B4912"/>
    <w:rsid w:val="001B4E06"/>
    <w:rsid w:val="001B5A7C"/>
    <w:rsid w:val="001B636F"/>
    <w:rsid w:val="001B64AF"/>
    <w:rsid w:val="001B7081"/>
    <w:rsid w:val="001B7316"/>
    <w:rsid w:val="001B7710"/>
    <w:rsid w:val="001B7E0F"/>
    <w:rsid w:val="001C0475"/>
    <w:rsid w:val="001C0AD8"/>
    <w:rsid w:val="001C0F49"/>
    <w:rsid w:val="001C13AF"/>
    <w:rsid w:val="001C146B"/>
    <w:rsid w:val="001C2FF3"/>
    <w:rsid w:val="001C35C3"/>
    <w:rsid w:val="001C73EB"/>
    <w:rsid w:val="001C772C"/>
    <w:rsid w:val="001C7CCD"/>
    <w:rsid w:val="001D1F80"/>
    <w:rsid w:val="001D22A7"/>
    <w:rsid w:val="001D2C6F"/>
    <w:rsid w:val="001D3140"/>
    <w:rsid w:val="001D36A4"/>
    <w:rsid w:val="001D377A"/>
    <w:rsid w:val="001D6223"/>
    <w:rsid w:val="001D643B"/>
    <w:rsid w:val="001D7636"/>
    <w:rsid w:val="001E0695"/>
    <w:rsid w:val="001E2238"/>
    <w:rsid w:val="001E398D"/>
    <w:rsid w:val="001E4525"/>
    <w:rsid w:val="001E4CC6"/>
    <w:rsid w:val="001E5E45"/>
    <w:rsid w:val="001E5FCD"/>
    <w:rsid w:val="001E628A"/>
    <w:rsid w:val="001E708F"/>
    <w:rsid w:val="001F01F9"/>
    <w:rsid w:val="001F0673"/>
    <w:rsid w:val="001F275A"/>
    <w:rsid w:val="001F2BAD"/>
    <w:rsid w:val="001F3A34"/>
    <w:rsid w:val="001F46CE"/>
    <w:rsid w:val="001F487E"/>
    <w:rsid w:val="001F4F38"/>
    <w:rsid w:val="001F5471"/>
    <w:rsid w:val="001F5EFE"/>
    <w:rsid w:val="001F68E3"/>
    <w:rsid w:val="001F6FCA"/>
    <w:rsid w:val="001F7242"/>
    <w:rsid w:val="001F769D"/>
    <w:rsid w:val="00202854"/>
    <w:rsid w:val="00203570"/>
    <w:rsid w:val="00203D5C"/>
    <w:rsid w:val="002042ED"/>
    <w:rsid w:val="00204BB7"/>
    <w:rsid w:val="00206655"/>
    <w:rsid w:val="00207F55"/>
    <w:rsid w:val="00210960"/>
    <w:rsid w:val="00211473"/>
    <w:rsid w:val="00211488"/>
    <w:rsid w:val="002116F9"/>
    <w:rsid w:val="00211860"/>
    <w:rsid w:val="0021232C"/>
    <w:rsid w:val="00212D95"/>
    <w:rsid w:val="002144BA"/>
    <w:rsid w:val="0021523F"/>
    <w:rsid w:val="002157B5"/>
    <w:rsid w:val="00215DEF"/>
    <w:rsid w:val="002178E1"/>
    <w:rsid w:val="00220027"/>
    <w:rsid w:val="00221B59"/>
    <w:rsid w:val="0022332B"/>
    <w:rsid w:val="00223F75"/>
    <w:rsid w:val="00225709"/>
    <w:rsid w:val="00225DA8"/>
    <w:rsid w:val="00226309"/>
    <w:rsid w:val="002303B0"/>
    <w:rsid w:val="002310B3"/>
    <w:rsid w:val="0023192C"/>
    <w:rsid w:val="002328DA"/>
    <w:rsid w:val="00232BE1"/>
    <w:rsid w:val="002334FB"/>
    <w:rsid w:val="00233B4B"/>
    <w:rsid w:val="002341BA"/>
    <w:rsid w:val="00234B6B"/>
    <w:rsid w:val="00234D1F"/>
    <w:rsid w:val="00236762"/>
    <w:rsid w:val="00236AEC"/>
    <w:rsid w:val="00240425"/>
    <w:rsid w:val="00240F63"/>
    <w:rsid w:val="00240FCC"/>
    <w:rsid w:val="00241887"/>
    <w:rsid w:val="002436F8"/>
    <w:rsid w:val="00243A0C"/>
    <w:rsid w:val="00244304"/>
    <w:rsid w:val="00245D6E"/>
    <w:rsid w:val="00246970"/>
    <w:rsid w:val="00247738"/>
    <w:rsid w:val="0024795E"/>
    <w:rsid w:val="00252118"/>
    <w:rsid w:val="002534BE"/>
    <w:rsid w:val="00253894"/>
    <w:rsid w:val="00254175"/>
    <w:rsid w:val="0025453C"/>
    <w:rsid w:val="002565AD"/>
    <w:rsid w:val="00256B3D"/>
    <w:rsid w:val="00257213"/>
    <w:rsid w:val="00257790"/>
    <w:rsid w:val="00257962"/>
    <w:rsid w:val="00257CD6"/>
    <w:rsid w:val="00260441"/>
    <w:rsid w:val="00261C67"/>
    <w:rsid w:val="00261D17"/>
    <w:rsid w:val="00262055"/>
    <w:rsid w:val="00263049"/>
    <w:rsid w:val="00263945"/>
    <w:rsid w:val="00266064"/>
    <w:rsid w:val="002662DA"/>
    <w:rsid w:val="00266D45"/>
    <w:rsid w:val="00266E17"/>
    <w:rsid w:val="00267793"/>
    <w:rsid w:val="00271F13"/>
    <w:rsid w:val="0027276A"/>
    <w:rsid w:val="002735AA"/>
    <w:rsid w:val="00273C48"/>
    <w:rsid w:val="00274358"/>
    <w:rsid w:val="002749EE"/>
    <w:rsid w:val="00274F72"/>
    <w:rsid w:val="0027579B"/>
    <w:rsid w:val="002757C7"/>
    <w:rsid w:val="00275F64"/>
    <w:rsid w:val="00276F77"/>
    <w:rsid w:val="00277535"/>
    <w:rsid w:val="00280D72"/>
    <w:rsid w:val="00280EDC"/>
    <w:rsid w:val="002819A2"/>
    <w:rsid w:val="00283B3C"/>
    <w:rsid w:val="0028663B"/>
    <w:rsid w:val="00287E6B"/>
    <w:rsid w:val="00290473"/>
    <w:rsid w:val="00292278"/>
    <w:rsid w:val="00292709"/>
    <w:rsid w:val="00293A3C"/>
    <w:rsid w:val="0029429C"/>
    <w:rsid w:val="00294521"/>
    <w:rsid w:val="002945FA"/>
    <w:rsid w:val="002950D4"/>
    <w:rsid w:val="00295613"/>
    <w:rsid w:val="002964C2"/>
    <w:rsid w:val="00296642"/>
    <w:rsid w:val="0029715F"/>
    <w:rsid w:val="00297ED5"/>
    <w:rsid w:val="002A0397"/>
    <w:rsid w:val="002A10A6"/>
    <w:rsid w:val="002A1782"/>
    <w:rsid w:val="002A2895"/>
    <w:rsid w:val="002A2F5C"/>
    <w:rsid w:val="002A3BA0"/>
    <w:rsid w:val="002A3C31"/>
    <w:rsid w:val="002A48A5"/>
    <w:rsid w:val="002A53F5"/>
    <w:rsid w:val="002A6377"/>
    <w:rsid w:val="002B0B80"/>
    <w:rsid w:val="002B0CAF"/>
    <w:rsid w:val="002B0D07"/>
    <w:rsid w:val="002B0EE3"/>
    <w:rsid w:val="002B13A4"/>
    <w:rsid w:val="002B2511"/>
    <w:rsid w:val="002B36EC"/>
    <w:rsid w:val="002B47EB"/>
    <w:rsid w:val="002B4BCE"/>
    <w:rsid w:val="002B624F"/>
    <w:rsid w:val="002B71D5"/>
    <w:rsid w:val="002C031E"/>
    <w:rsid w:val="002C1006"/>
    <w:rsid w:val="002C1F40"/>
    <w:rsid w:val="002C236B"/>
    <w:rsid w:val="002C4F6B"/>
    <w:rsid w:val="002C5185"/>
    <w:rsid w:val="002C51EE"/>
    <w:rsid w:val="002C609A"/>
    <w:rsid w:val="002C6603"/>
    <w:rsid w:val="002C70A9"/>
    <w:rsid w:val="002D06D4"/>
    <w:rsid w:val="002D1ED0"/>
    <w:rsid w:val="002D2BDB"/>
    <w:rsid w:val="002D2EA4"/>
    <w:rsid w:val="002D38C9"/>
    <w:rsid w:val="002D459F"/>
    <w:rsid w:val="002D4ED4"/>
    <w:rsid w:val="002D5D46"/>
    <w:rsid w:val="002D6977"/>
    <w:rsid w:val="002D6DD0"/>
    <w:rsid w:val="002D7A74"/>
    <w:rsid w:val="002E00FB"/>
    <w:rsid w:val="002E0F05"/>
    <w:rsid w:val="002E1E7F"/>
    <w:rsid w:val="002E2E5A"/>
    <w:rsid w:val="002E49BA"/>
    <w:rsid w:val="002E519E"/>
    <w:rsid w:val="002E58CA"/>
    <w:rsid w:val="002E5EDC"/>
    <w:rsid w:val="002E62E4"/>
    <w:rsid w:val="002E7331"/>
    <w:rsid w:val="002F04A9"/>
    <w:rsid w:val="002F0DCC"/>
    <w:rsid w:val="002F0EC4"/>
    <w:rsid w:val="002F1D16"/>
    <w:rsid w:val="002F275B"/>
    <w:rsid w:val="002F2C9E"/>
    <w:rsid w:val="002F394A"/>
    <w:rsid w:val="002F3F55"/>
    <w:rsid w:val="002F413D"/>
    <w:rsid w:val="002F4243"/>
    <w:rsid w:val="002F517E"/>
    <w:rsid w:val="002F5219"/>
    <w:rsid w:val="002F5553"/>
    <w:rsid w:val="002F585A"/>
    <w:rsid w:val="002F5BE3"/>
    <w:rsid w:val="002F69FE"/>
    <w:rsid w:val="002F6E32"/>
    <w:rsid w:val="002F6F53"/>
    <w:rsid w:val="002F758B"/>
    <w:rsid w:val="002F7880"/>
    <w:rsid w:val="00300B90"/>
    <w:rsid w:val="0030141E"/>
    <w:rsid w:val="003018FD"/>
    <w:rsid w:val="00301ABD"/>
    <w:rsid w:val="0030362C"/>
    <w:rsid w:val="0030562C"/>
    <w:rsid w:val="0030648D"/>
    <w:rsid w:val="00306CE2"/>
    <w:rsid w:val="003074EE"/>
    <w:rsid w:val="00307A95"/>
    <w:rsid w:val="00307C95"/>
    <w:rsid w:val="0031012A"/>
    <w:rsid w:val="00310AE5"/>
    <w:rsid w:val="0031171E"/>
    <w:rsid w:val="0031242A"/>
    <w:rsid w:val="00312450"/>
    <w:rsid w:val="00313125"/>
    <w:rsid w:val="00313F3E"/>
    <w:rsid w:val="003144F8"/>
    <w:rsid w:val="00315936"/>
    <w:rsid w:val="00315C56"/>
    <w:rsid w:val="003162F6"/>
    <w:rsid w:val="003163D5"/>
    <w:rsid w:val="00317B96"/>
    <w:rsid w:val="0032049A"/>
    <w:rsid w:val="00321126"/>
    <w:rsid w:val="003224B4"/>
    <w:rsid w:val="003238D0"/>
    <w:rsid w:val="003242B3"/>
    <w:rsid w:val="00325EC7"/>
    <w:rsid w:val="00326C10"/>
    <w:rsid w:val="00326D69"/>
    <w:rsid w:val="0032712F"/>
    <w:rsid w:val="00327CB9"/>
    <w:rsid w:val="0033168D"/>
    <w:rsid w:val="00331ADB"/>
    <w:rsid w:val="00332159"/>
    <w:rsid w:val="00332747"/>
    <w:rsid w:val="00334A88"/>
    <w:rsid w:val="00335433"/>
    <w:rsid w:val="00335618"/>
    <w:rsid w:val="00335773"/>
    <w:rsid w:val="00335ED6"/>
    <w:rsid w:val="00340CBD"/>
    <w:rsid w:val="0034122F"/>
    <w:rsid w:val="00342D4D"/>
    <w:rsid w:val="003435EF"/>
    <w:rsid w:val="00345674"/>
    <w:rsid w:val="00346D62"/>
    <w:rsid w:val="003512BC"/>
    <w:rsid w:val="003512E7"/>
    <w:rsid w:val="00351DEE"/>
    <w:rsid w:val="00352CFE"/>
    <w:rsid w:val="003577E6"/>
    <w:rsid w:val="00360F5B"/>
    <w:rsid w:val="00361F07"/>
    <w:rsid w:val="0036241E"/>
    <w:rsid w:val="00362688"/>
    <w:rsid w:val="00363147"/>
    <w:rsid w:val="00363286"/>
    <w:rsid w:val="003654CA"/>
    <w:rsid w:val="00366167"/>
    <w:rsid w:val="0036658D"/>
    <w:rsid w:val="00367747"/>
    <w:rsid w:val="00370690"/>
    <w:rsid w:val="003729FF"/>
    <w:rsid w:val="003751A8"/>
    <w:rsid w:val="00375DA9"/>
    <w:rsid w:val="003766A1"/>
    <w:rsid w:val="00377FCF"/>
    <w:rsid w:val="0038054E"/>
    <w:rsid w:val="00380936"/>
    <w:rsid w:val="00381D82"/>
    <w:rsid w:val="00382A92"/>
    <w:rsid w:val="00384150"/>
    <w:rsid w:val="00385594"/>
    <w:rsid w:val="00385A29"/>
    <w:rsid w:val="0038753E"/>
    <w:rsid w:val="003900F1"/>
    <w:rsid w:val="00395B2E"/>
    <w:rsid w:val="00396FD1"/>
    <w:rsid w:val="003A0098"/>
    <w:rsid w:val="003A080E"/>
    <w:rsid w:val="003A25D1"/>
    <w:rsid w:val="003A2EE8"/>
    <w:rsid w:val="003A396C"/>
    <w:rsid w:val="003A488E"/>
    <w:rsid w:val="003A593A"/>
    <w:rsid w:val="003A60AB"/>
    <w:rsid w:val="003A71B7"/>
    <w:rsid w:val="003A71C3"/>
    <w:rsid w:val="003A7903"/>
    <w:rsid w:val="003B00BD"/>
    <w:rsid w:val="003B027F"/>
    <w:rsid w:val="003B033B"/>
    <w:rsid w:val="003B0621"/>
    <w:rsid w:val="003B1A94"/>
    <w:rsid w:val="003B2555"/>
    <w:rsid w:val="003B4172"/>
    <w:rsid w:val="003B69C6"/>
    <w:rsid w:val="003C0109"/>
    <w:rsid w:val="003C08BA"/>
    <w:rsid w:val="003C1D58"/>
    <w:rsid w:val="003C27D3"/>
    <w:rsid w:val="003C2D7E"/>
    <w:rsid w:val="003C3375"/>
    <w:rsid w:val="003C369E"/>
    <w:rsid w:val="003C3BA4"/>
    <w:rsid w:val="003C4FDE"/>
    <w:rsid w:val="003C5624"/>
    <w:rsid w:val="003C79F0"/>
    <w:rsid w:val="003D0634"/>
    <w:rsid w:val="003D1F75"/>
    <w:rsid w:val="003D35C2"/>
    <w:rsid w:val="003D416D"/>
    <w:rsid w:val="003D6979"/>
    <w:rsid w:val="003D70D4"/>
    <w:rsid w:val="003E02CA"/>
    <w:rsid w:val="003E2375"/>
    <w:rsid w:val="003E3CEE"/>
    <w:rsid w:val="003E5988"/>
    <w:rsid w:val="003E6A60"/>
    <w:rsid w:val="003E7DA4"/>
    <w:rsid w:val="003F01C1"/>
    <w:rsid w:val="003F0DC8"/>
    <w:rsid w:val="003F19CD"/>
    <w:rsid w:val="003F2402"/>
    <w:rsid w:val="003F2965"/>
    <w:rsid w:val="003F2AA6"/>
    <w:rsid w:val="003F3A9A"/>
    <w:rsid w:val="003F466F"/>
    <w:rsid w:val="003F5EA3"/>
    <w:rsid w:val="003F6045"/>
    <w:rsid w:val="003F61FD"/>
    <w:rsid w:val="003F7B00"/>
    <w:rsid w:val="003F7D27"/>
    <w:rsid w:val="00401C0A"/>
    <w:rsid w:val="00401EBB"/>
    <w:rsid w:val="00401FAA"/>
    <w:rsid w:val="004026D0"/>
    <w:rsid w:val="00402765"/>
    <w:rsid w:val="00404508"/>
    <w:rsid w:val="0040463C"/>
    <w:rsid w:val="004055EE"/>
    <w:rsid w:val="0040703C"/>
    <w:rsid w:val="0041149F"/>
    <w:rsid w:val="0041172A"/>
    <w:rsid w:val="004119FB"/>
    <w:rsid w:val="00411A46"/>
    <w:rsid w:val="00411C53"/>
    <w:rsid w:val="00412922"/>
    <w:rsid w:val="004135BC"/>
    <w:rsid w:val="0041395F"/>
    <w:rsid w:val="00413FB7"/>
    <w:rsid w:val="004159AE"/>
    <w:rsid w:val="0042071F"/>
    <w:rsid w:val="00420A65"/>
    <w:rsid w:val="0042264F"/>
    <w:rsid w:val="004227CD"/>
    <w:rsid w:val="00423232"/>
    <w:rsid w:val="0042374D"/>
    <w:rsid w:val="004237D5"/>
    <w:rsid w:val="00423CF2"/>
    <w:rsid w:val="00425053"/>
    <w:rsid w:val="0042576C"/>
    <w:rsid w:val="00425FB2"/>
    <w:rsid w:val="0042612D"/>
    <w:rsid w:val="00426F5F"/>
    <w:rsid w:val="00427A0B"/>
    <w:rsid w:val="0043023B"/>
    <w:rsid w:val="00430491"/>
    <w:rsid w:val="004306DF"/>
    <w:rsid w:val="00430BB3"/>
    <w:rsid w:val="00432DA9"/>
    <w:rsid w:val="00434871"/>
    <w:rsid w:val="0043632A"/>
    <w:rsid w:val="0043751C"/>
    <w:rsid w:val="0043780C"/>
    <w:rsid w:val="00437887"/>
    <w:rsid w:val="00440296"/>
    <w:rsid w:val="004412B4"/>
    <w:rsid w:val="00441747"/>
    <w:rsid w:val="004426BD"/>
    <w:rsid w:val="00445E8A"/>
    <w:rsid w:val="00446131"/>
    <w:rsid w:val="00447117"/>
    <w:rsid w:val="00452399"/>
    <w:rsid w:val="00453F6D"/>
    <w:rsid w:val="004560C2"/>
    <w:rsid w:val="00456E8C"/>
    <w:rsid w:val="00457C37"/>
    <w:rsid w:val="00457CFD"/>
    <w:rsid w:val="00457E04"/>
    <w:rsid w:val="00460341"/>
    <w:rsid w:val="00460514"/>
    <w:rsid w:val="00460BD3"/>
    <w:rsid w:val="004659A3"/>
    <w:rsid w:val="00466E78"/>
    <w:rsid w:val="00470FD7"/>
    <w:rsid w:val="004712C3"/>
    <w:rsid w:val="00471FCE"/>
    <w:rsid w:val="00472001"/>
    <w:rsid w:val="00472278"/>
    <w:rsid w:val="0047261C"/>
    <w:rsid w:val="00473259"/>
    <w:rsid w:val="00473307"/>
    <w:rsid w:val="004768FA"/>
    <w:rsid w:val="004802D8"/>
    <w:rsid w:val="00480BD6"/>
    <w:rsid w:val="00481685"/>
    <w:rsid w:val="004821E8"/>
    <w:rsid w:val="00482362"/>
    <w:rsid w:val="004823D5"/>
    <w:rsid w:val="00482757"/>
    <w:rsid w:val="004827B3"/>
    <w:rsid w:val="00483797"/>
    <w:rsid w:val="00486B14"/>
    <w:rsid w:val="00492BAE"/>
    <w:rsid w:val="004942CC"/>
    <w:rsid w:val="00495E83"/>
    <w:rsid w:val="00495F1D"/>
    <w:rsid w:val="00496326"/>
    <w:rsid w:val="00496DA9"/>
    <w:rsid w:val="004A0D46"/>
    <w:rsid w:val="004A238B"/>
    <w:rsid w:val="004A276E"/>
    <w:rsid w:val="004A2D9D"/>
    <w:rsid w:val="004A319A"/>
    <w:rsid w:val="004A4A69"/>
    <w:rsid w:val="004A4F2F"/>
    <w:rsid w:val="004A606B"/>
    <w:rsid w:val="004A6AAB"/>
    <w:rsid w:val="004A72CE"/>
    <w:rsid w:val="004B0147"/>
    <w:rsid w:val="004B12BB"/>
    <w:rsid w:val="004B1B12"/>
    <w:rsid w:val="004B27F5"/>
    <w:rsid w:val="004B2CB5"/>
    <w:rsid w:val="004B323B"/>
    <w:rsid w:val="004B39AE"/>
    <w:rsid w:val="004B3BBE"/>
    <w:rsid w:val="004B3F43"/>
    <w:rsid w:val="004B434A"/>
    <w:rsid w:val="004B4407"/>
    <w:rsid w:val="004B5387"/>
    <w:rsid w:val="004B5469"/>
    <w:rsid w:val="004B5D00"/>
    <w:rsid w:val="004B632F"/>
    <w:rsid w:val="004B739E"/>
    <w:rsid w:val="004C03CB"/>
    <w:rsid w:val="004C075D"/>
    <w:rsid w:val="004C0CB0"/>
    <w:rsid w:val="004C4400"/>
    <w:rsid w:val="004C4651"/>
    <w:rsid w:val="004C568E"/>
    <w:rsid w:val="004C5A12"/>
    <w:rsid w:val="004C5F7D"/>
    <w:rsid w:val="004C6148"/>
    <w:rsid w:val="004C6D68"/>
    <w:rsid w:val="004C702D"/>
    <w:rsid w:val="004C711B"/>
    <w:rsid w:val="004C7D25"/>
    <w:rsid w:val="004D18BD"/>
    <w:rsid w:val="004D1F2C"/>
    <w:rsid w:val="004D2D93"/>
    <w:rsid w:val="004D2EA9"/>
    <w:rsid w:val="004D332B"/>
    <w:rsid w:val="004D3F4F"/>
    <w:rsid w:val="004D6019"/>
    <w:rsid w:val="004D6A0E"/>
    <w:rsid w:val="004E0552"/>
    <w:rsid w:val="004E0C01"/>
    <w:rsid w:val="004E3A48"/>
    <w:rsid w:val="004E4033"/>
    <w:rsid w:val="004E59A1"/>
    <w:rsid w:val="004E64F5"/>
    <w:rsid w:val="004E6C97"/>
    <w:rsid w:val="004E772D"/>
    <w:rsid w:val="004E7949"/>
    <w:rsid w:val="004F05CA"/>
    <w:rsid w:val="004F0D58"/>
    <w:rsid w:val="004F3335"/>
    <w:rsid w:val="004F335E"/>
    <w:rsid w:val="004F34FA"/>
    <w:rsid w:val="004F3B83"/>
    <w:rsid w:val="004F3F7F"/>
    <w:rsid w:val="004F4DD5"/>
    <w:rsid w:val="004F6706"/>
    <w:rsid w:val="004F6F29"/>
    <w:rsid w:val="004F7C2B"/>
    <w:rsid w:val="00500BE3"/>
    <w:rsid w:val="005010AA"/>
    <w:rsid w:val="00501838"/>
    <w:rsid w:val="00501AE4"/>
    <w:rsid w:val="00501B62"/>
    <w:rsid w:val="00501DC9"/>
    <w:rsid w:val="00501E28"/>
    <w:rsid w:val="00501EDE"/>
    <w:rsid w:val="00502ABD"/>
    <w:rsid w:val="00502B3C"/>
    <w:rsid w:val="005059A8"/>
    <w:rsid w:val="00506821"/>
    <w:rsid w:val="00506900"/>
    <w:rsid w:val="00506CE5"/>
    <w:rsid w:val="005111E8"/>
    <w:rsid w:val="005111EE"/>
    <w:rsid w:val="0051122C"/>
    <w:rsid w:val="005128BA"/>
    <w:rsid w:val="005138D1"/>
    <w:rsid w:val="00514BD2"/>
    <w:rsid w:val="00516E0B"/>
    <w:rsid w:val="00517000"/>
    <w:rsid w:val="00520587"/>
    <w:rsid w:val="00520DE5"/>
    <w:rsid w:val="00522170"/>
    <w:rsid w:val="00522461"/>
    <w:rsid w:val="00524CDA"/>
    <w:rsid w:val="00524F2C"/>
    <w:rsid w:val="00525940"/>
    <w:rsid w:val="00525998"/>
    <w:rsid w:val="005260F2"/>
    <w:rsid w:val="00526416"/>
    <w:rsid w:val="00526D89"/>
    <w:rsid w:val="00531470"/>
    <w:rsid w:val="0053181C"/>
    <w:rsid w:val="00532029"/>
    <w:rsid w:val="0053207E"/>
    <w:rsid w:val="005326EA"/>
    <w:rsid w:val="00533D15"/>
    <w:rsid w:val="00533ECB"/>
    <w:rsid w:val="00535D8A"/>
    <w:rsid w:val="0053646B"/>
    <w:rsid w:val="005376FC"/>
    <w:rsid w:val="0054102B"/>
    <w:rsid w:val="005422C5"/>
    <w:rsid w:val="00542B98"/>
    <w:rsid w:val="00543DB2"/>
    <w:rsid w:val="00543DC7"/>
    <w:rsid w:val="00545FE9"/>
    <w:rsid w:val="00546FE0"/>
    <w:rsid w:val="00547B33"/>
    <w:rsid w:val="00550301"/>
    <w:rsid w:val="005505F1"/>
    <w:rsid w:val="00551EAB"/>
    <w:rsid w:val="005528E7"/>
    <w:rsid w:val="00554460"/>
    <w:rsid w:val="00554617"/>
    <w:rsid w:val="0055493D"/>
    <w:rsid w:val="005559D1"/>
    <w:rsid w:val="00556DCA"/>
    <w:rsid w:val="00556DFC"/>
    <w:rsid w:val="00556FA5"/>
    <w:rsid w:val="00557451"/>
    <w:rsid w:val="005577D3"/>
    <w:rsid w:val="00560AF8"/>
    <w:rsid w:val="00560B75"/>
    <w:rsid w:val="00560E3F"/>
    <w:rsid w:val="0056110E"/>
    <w:rsid w:val="0056113E"/>
    <w:rsid w:val="005615FB"/>
    <w:rsid w:val="005648E6"/>
    <w:rsid w:val="005656BD"/>
    <w:rsid w:val="00565E24"/>
    <w:rsid w:val="005670F1"/>
    <w:rsid w:val="005678FA"/>
    <w:rsid w:val="005702CB"/>
    <w:rsid w:val="0057036A"/>
    <w:rsid w:val="00570EA2"/>
    <w:rsid w:val="005711D6"/>
    <w:rsid w:val="0057231D"/>
    <w:rsid w:val="00572E38"/>
    <w:rsid w:val="00573D09"/>
    <w:rsid w:val="0057436A"/>
    <w:rsid w:val="00574A7E"/>
    <w:rsid w:val="00575E5E"/>
    <w:rsid w:val="00576371"/>
    <w:rsid w:val="00576C84"/>
    <w:rsid w:val="005777ED"/>
    <w:rsid w:val="00577FFE"/>
    <w:rsid w:val="00580384"/>
    <w:rsid w:val="00580D96"/>
    <w:rsid w:val="0058179D"/>
    <w:rsid w:val="005818BF"/>
    <w:rsid w:val="005818D9"/>
    <w:rsid w:val="00581B8B"/>
    <w:rsid w:val="00582CC9"/>
    <w:rsid w:val="00582E0A"/>
    <w:rsid w:val="00583A61"/>
    <w:rsid w:val="005856F3"/>
    <w:rsid w:val="00587267"/>
    <w:rsid w:val="00590048"/>
    <w:rsid w:val="00590218"/>
    <w:rsid w:val="005905A3"/>
    <w:rsid w:val="00591E22"/>
    <w:rsid w:val="00594850"/>
    <w:rsid w:val="0059583E"/>
    <w:rsid w:val="0059698E"/>
    <w:rsid w:val="00596E55"/>
    <w:rsid w:val="005A218E"/>
    <w:rsid w:val="005A2FA5"/>
    <w:rsid w:val="005A447B"/>
    <w:rsid w:val="005A4E83"/>
    <w:rsid w:val="005A5F0D"/>
    <w:rsid w:val="005A6ED0"/>
    <w:rsid w:val="005A73A4"/>
    <w:rsid w:val="005B04FC"/>
    <w:rsid w:val="005B0826"/>
    <w:rsid w:val="005B126E"/>
    <w:rsid w:val="005B15B1"/>
    <w:rsid w:val="005B1F0E"/>
    <w:rsid w:val="005B2A93"/>
    <w:rsid w:val="005B39A8"/>
    <w:rsid w:val="005B7025"/>
    <w:rsid w:val="005C01A6"/>
    <w:rsid w:val="005C05F2"/>
    <w:rsid w:val="005C0ACE"/>
    <w:rsid w:val="005C2222"/>
    <w:rsid w:val="005C4018"/>
    <w:rsid w:val="005C452E"/>
    <w:rsid w:val="005C5705"/>
    <w:rsid w:val="005C632F"/>
    <w:rsid w:val="005C6936"/>
    <w:rsid w:val="005C6A57"/>
    <w:rsid w:val="005C71D9"/>
    <w:rsid w:val="005D16CB"/>
    <w:rsid w:val="005D3000"/>
    <w:rsid w:val="005D702F"/>
    <w:rsid w:val="005D7655"/>
    <w:rsid w:val="005E18FF"/>
    <w:rsid w:val="005E2A23"/>
    <w:rsid w:val="005E343B"/>
    <w:rsid w:val="005E3503"/>
    <w:rsid w:val="005E36B4"/>
    <w:rsid w:val="005E45F7"/>
    <w:rsid w:val="005E6132"/>
    <w:rsid w:val="005E64C0"/>
    <w:rsid w:val="005F0355"/>
    <w:rsid w:val="005F14D8"/>
    <w:rsid w:val="005F1A73"/>
    <w:rsid w:val="005F1D71"/>
    <w:rsid w:val="005F22C6"/>
    <w:rsid w:val="005F37DA"/>
    <w:rsid w:val="005F3D97"/>
    <w:rsid w:val="005F44A4"/>
    <w:rsid w:val="005F4635"/>
    <w:rsid w:val="005F5BBA"/>
    <w:rsid w:val="005F6C32"/>
    <w:rsid w:val="005F74C0"/>
    <w:rsid w:val="005F78EA"/>
    <w:rsid w:val="005F7937"/>
    <w:rsid w:val="005F7B60"/>
    <w:rsid w:val="005F7E24"/>
    <w:rsid w:val="00600C43"/>
    <w:rsid w:val="00601C40"/>
    <w:rsid w:val="006026E2"/>
    <w:rsid w:val="00605B83"/>
    <w:rsid w:val="00605BFB"/>
    <w:rsid w:val="006079A2"/>
    <w:rsid w:val="00610247"/>
    <w:rsid w:val="00610505"/>
    <w:rsid w:val="00610A41"/>
    <w:rsid w:val="006114B5"/>
    <w:rsid w:val="006114DD"/>
    <w:rsid w:val="00611980"/>
    <w:rsid w:val="00611CC6"/>
    <w:rsid w:val="00613004"/>
    <w:rsid w:val="006133C3"/>
    <w:rsid w:val="006142E3"/>
    <w:rsid w:val="00617A5B"/>
    <w:rsid w:val="00620068"/>
    <w:rsid w:val="006203EB"/>
    <w:rsid w:val="00624ACC"/>
    <w:rsid w:val="0062521A"/>
    <w:rsid w:val="00630BB4"/>
    <w:rsid w:val="006329E4"/>
    <w:rsid w:val="0063341C"/>
    <w:rsid w:val="00634E0D"/>
    <w:rsid w:val="00635CD1"/>
    <w:rsid w:val="00635F70"/>
    <w:rsid w:val="00636191"/>
    <w:rsid w:val="006361C1"/>
    <w:rsid w:val="00636AFB"/>
    <w:rsid w:val="00637185"/>
    <w:rsid w:val="006409A0"/>
    <w:rsid w:val="00641B3A"/>
    <w:rsid w:val="006421B9"/>
    <w:rsid w:val="0064244C"/>
    <w:rsid w:val="00643529"/>
    <w:rsid w:val="00645BFC"/>
    <w:rsid w:val="00650D09"/>
    <w:rsid w:val="00652806"/>
    <w:rsid w:val="00653750"/>
    <w:rsid w:val="00654316"/>
    <w:rsid w:val="00655F6E"/>
    <w:rsid w:val="00657BC1"/>
    <w:rsid w:val="00662FDE"/>
    <w:rsid w:val="0066344A"/>
    <w:rsid w:val="00664126"/>
    <w:rsid w:val="006645BE"/>
    <w:rsid w:val="00667AD7"/>
    <w:rsid w:val="0067128F"/>
    <w:rsid w:val="00671379"/>
    <w:rsid w:val="00671818"/>
    <w:rsid w:val="00671AA0"/>
    <w:rsid w:val="0067312C"/>
    <w:rsid w:val="00674E4D"/>
    <w:rsid w:val="00676442"/>
    <w:rsid w:val="0067657E"/>
    <w:rsid w:val="0067661E"/>
    <w:rsid w:val="0068011C"/>
    <w:rsid w:val="0068125F"/>
    <w:rsid w:val="0068133E"/>
    <w:rsid w:val="00682A48"/>
    <w:rsid w:val="00683C43"/>
    <w:rsid w:val="00684E74"/>
    <w:rsid w:val="00685434"/>
    <w:rsid w:val="006855CA"/>
    <w:rsid w:val="006869CA"/>
    <w:rsid w:val="0068716D"/>
    <w:rsid w:val="00691197"/>
    <w:rsid w:val="00691438"/>
    <w:rsid w:val="00692DC2"/>
    <w:rsid w:val="00692E4D"/>
    <w:rsid w:val="006930DC"/>
    <w:rsid w:val="00693A7A"/>
    <w:rsid w:val="00694183"/>
    <w:rsid w:val="00694571"/>
    <w:rsid w:val="00694739"/>
    <w:rsid w:val="00696706"/>
    <w:rsid w:val="006976D7"/>
    <w:rsid w:val="006A0E0A"/>
    <w:rsid w:val="006A16C5"/>
    <w:rsid w:val="006A17E7"/>
    <w:rsid w:val="006A27D2"/>
    <w:rsid w:val="006A2C52"/>
    <w:rsid w:val="006A2CEE"/>
    <w:rsid w:val="006A35CB"/>
    <w:rsid w:val="006A3EC9"/>
    <w:rsid w:val="006A40DE"/>
    <w:rsid w:val="006A6694"/>
    <w:rsid w:val="006A6D43"/>
    <w:rsid w:val="006A6FC9"/>
    <w:rsid w:val="006B1CDE"/>
    <w:rsid w:val="006B239E"/>
    <w:rsid w:val="006B6AE0"/>
    <w:rsid w:val="006B6C95"/>
    <w:rsid w:val="006C157B"/>
    <w:rsid w:val="006C1EDA"/>
    <w:rsid w:val="006C3517"/>
    <w:rsid w:val="006C3A39"/>
    <w:rsid w:val="006C5328"/>
    <w:rsid w:val="006C625E"/>
    <w:rsid w:val="006C6BDB"/>
    <w:rsid w:val="006D00F3"/>
    <w:rsid w:val="006D015B"/>
    <w:rsid w:val="006D1A47"/>
    <w:rsid w:val="006D24D8"/>
    <w:rsid w:val="006D2A18"/>
    <w:rsid w:val="006D4027"/>
    <w:rsid w:val="006D4457"/>
    <w:rsid w:val="006D45C6"/>
    <w:rsid w:val="006D4F54"/>
    <w:rsid w:val="006D6354"/>
    <w:rsid w:val="006D682B"/>
    <w:rsid w:val="006D78FC"/>
    <w:rsid w:val="006E0D13"/>
    <w:rsid w:val="006E141D"/>
    <w:rsid w:val="006E1BD8"/>
    <w:rsid w:val="006E1CFE"/>
    <w:rsid w:val="006E38A9"/>
    <w:rsid w:val="006E3EB4"/>
    <w:rsid w:val="006E4FD7"/>
    <w:rsid w:val="006E578F"/>
    <w:rsid w:val="006E6988"/>
    <w:rsid w:val="006E73AF"/>
    <w:rsid w:val="006E768C"/>
    <w:rsid w:val="006E7B8B"/>
    <w:rsid w:val="006F0B62"/>
    <w:rsid w:val="006F13A6"/>
    <w:rsid w:val="006F1671"/>
    <w:rsid w:val="006F2087"/>
    <w:rsid w:val="006F2920"/>
    <w:rsid w:val="006F3037"/>
    <w:rsid w:val="006F376C"/>
    <w:rsid w:val="006F3A68"/>
    <w:rsid w:val="006F4889"/>
    <w:rsid w:val="006F5016"/>
    <w:rsid w:val="006F557E"/>
    <w:rsid w:val="006F5DAB"/>
    <w:rsid w:val="006F645A"/>
    <w:rsid w:val="006F69BF"/>
    <w:rsid w:val="00700ABE"/>
    <w:rsid w:val="00702108"/>
    <w:rsid w:val="00702DD0"/>
    <w:rsid w:val="00703ACE"/>
    <w:rsid w:val="00703AE1"/>
    <w:rsid w:val="0070495E"/>
    <w:rsid w:val="00705512"/>
    <w:rsid w:val="00707197"/>
    <w:rsid w:val="00707800"/>
    <w:rsid w:val="00711050"/>
    <w:rsid w:val="00711848"/>
    <w:rsid w:val="00712005"/>
    <w:rsid w:val="0071225A"/>
    <w:rsid w:val="00713E38"/>
    <w:rsid w:val="00713EF7"/>
    <w:rsid w:val="00714263"/>
    <w:rsid w:val="007146DD"/>
    <w:rsid w:val="007155B5"/>
    <w:rsid w:val="00715A07"/>
    <w:rsid w:val="00715B31"/>
    <w:rsid w:val="007172D5"/>
    <w:rsid w:val="007173D8"/>
    <w:rsid w:val="007174CA"/>
    <w:rsid w:val="00721088"/>
    <w:rsid w:val="007222DD"/>
    <w:rsid w:val="00723FA7"/>
    <w:rsid w:val="00724CCF"/>
    <w:rsid w:val="007267B2"/>
    <w:rsid w:val="00730B50"/>
    <w:rsid w:val="00730D4E"/>
    <w:rsid w:val="00733494"/>
    <w:rsid w:val="007336D6"/>
    <w:rsid w:val="00733DF0"/>
    <w:rsid w:val="007348B6"/>
    <w:rsid w:val="00734DD5"/>
    <w:rsid w:val="00736920"/>
    <w:rsid w:val="00736D04"/>
    <w:rsid w:val="00737357"/>
    <w:rsid w:val="00737A60"/>
    <w:rsid w:val="00740A30"/>
    <w:rsid w:val="00742A77"/>
    <w:rsid w:val="0074344E"/>
    <w:rsid w:val="00743741"/>
    <w:rsid w:val="00745115"/>
    <w:rsid w:val="007503BE"/>
    <w:rsid w:val="0075170D"/>
    <w:rsid w:val="007527C9"/>
    <w:rsid w:val="00752F4E"/>
    <w:rsid w:val="00753656"/>
    <w:rsid w:val="00753DC4"/>
    <w:rsid w:val="00754D7D"/>
    <w:rsid w:val="007553E3"/>
    <w:rsid w:val="00756465"/>
    <w:rsid w:val="0075671F"/>
    <w:rsid w:val="0075681C"/>
    <w:rsid w:val="00756AAB"/>
    <w:rsid w:val="00756EC9"/>
    <w:rsid w:val="00757A64"/>
    <w:rsid w:val="0076059E"/>
    <w:rsid w:val="007605EA"/>
    <w:rsid w:val="00760B5E"/>
    <w:rsid w:val="00761E39"/>
    <w:rsid w:val="0076252C"/>
    <w:rsid w:val="007625F3"/>
    <w:rsid w:val="00763671"/>
    <w:rsid w:val="00763A1B"/>
    <w:rsid w:val="007641CD"/>
    <w:rsid w:val="007658F4"/>
    <w:rsid w:val="00765AD9"/>
    <w:rsid w:val="00765ADA"/>
    <w:rsid w:val="00765CCF"/>
    <w:rsid w:val="00765CF7"/>
    <w:rsid w:val="00765F7F"/>
    <w:rsid w:val="00766BDF"/>
    <w:rsid w:val="00766E74"/>
    <w:rsid w:val="00767A7D"/>
    <w:rsid w:val="00767C32"/>
    <w:rsid w:val="0077046E"/>
    <w:rsid w:val="00771231"/>
    <w:rsid w:val="0077180D"/>
    <w:rsid w:val="00772F66"/>
    <w:rsid w:val="007743D0"/>
    <w:rsid w:val="00775E27"/>
    <w:rsid w:val="007800A3"/>
    <w:rsid w:val="007808A6"/>
    <w:rsid w:val="00781893"/>
    <w:rsid w:val="00781DF0"/>
    <w:rsid w:val="00782EE3"/>
    <w:rsid w:val="00783ED2"/>
    <w:rsid w:val="00784586"/>
    <w:rsid w:val="007848EC"/>
    <w:rsid w:val="007855D1"/>
    <w:rsid w:val="007869A1"/>
    <w:rsid w:val="00787268"/>
    <w:rsid w:val="00790056"/>
    <w:rsid w:val="00790A35"/>
    <w:rsid w:val="00790E9A"/>
    <w:rsid w:val="00790FD2"/>
    <w:rsid w:val="007918B4"/>
    <w:rsid w:val="0079196F"/>
    <w:rsid w:val="00792906"/>
    <w:rsid w:val="007933A6"/>
    <w:rsid w:val="00793FD9"/>
    <w:rsid w:val="0079425B"/>
    <w:rsid w:val="007949F6"/>
    <w:rsid w:val="00794DD3"/>
    <w:rsid w:val="0079568F"/>
    <w:rsid w:val="00795BA5"/>
    <w:rsid w:val="00797020"/>
    <w:rsid w:val="007973BA"/>
    <w:rsid w:val="00797951"/>
    <w:rsid w:val="00797CE8"/>
    <w:rsid w:val="007A015A"/>
    <w:rsid w:val="007A04A1"/>
    <w:rsid w:val="007A07BF"/>
    <w:rsid w:val="007A0F8F"/>
    <w:rsid w:val="007A2079"/>
    <w:rsid w:val="007A24C9"/>
    <w:rsid w:val="007A2A4A"/>
    <w:rsid w:val="007A2D8D"/>
    <w:rsid w:val="007A2F3C"/>
    <w:rsid w:val="007A4BC0"/>
    <w:rsid w:val="007A5A74"/>
    <w:rsid w:val="007A6333"/>
    <w:rsid w:val="007A799E"/>
    <w:rsid w:val="007A7B78"/>
    <w:rsid w:val="007B0458"/>
    <w:rsid w:val="007B094D"/>
    <w:rsid w:val="007B148A"/>
    <w:rsid w:val="007B1E90"/>
    <w:rsid w:val="007B2180"/>
    <w:rsid w:val="007B3735"/>
    <w:rsid w:val="007B4A63"/>
    <w:rsid w:val="007B4B00"/>
    <w:rsid w:val="007B4CB5"/>
    <w:rsid w:val="007B50B3"/>
    <w:rsid w:val="007B5D91"/>
    <w:rsid w:val="007B7BB3"/>
    <w:rsid w:val="007C0AC4"/>
    <w:rsid w:val="007C145C"/>
    <w:rsid w:val="007C2689"/>
    <w:rsid w:val="007C2BA3"/>
    <w:rsid w:val="007C2D48"/>
    <w:rsid w:val="007C45BC"/>
    <w:rsid w:val="007C667E"/>
    <w:rsid w:val="007C6AE4"/>
    <w:rsid w:val="007C7715"/>
    <w:rsid w:val="007C7AA5"/>
    <w:rsid w:val="007D18E6"/>
    <w:rsid w:val="007D2ED7"/>
    <w:rsid w:val="007D3917"/>
    <w:rsid w:val="007D4C06"/>
    <w:rsid w:val="007D5FA7"/>
    <w:rsid w:val="007D652F"/>
    <w:rsid w:val="007D7E88"/>
    <w:rsid w:val="007E0ACB"/>
    <w:rsid w:val="007E110E"/>
    <w:rsid w:val="007E189D"/>
    <w:rsid w:val="007E34B4"/>
    <w:rsid w:val="007E4B0A"/>
    <w:rsid w:val="007E4BBB"/>
    <w:rsid w:val="007E5892"/>
    <w:rsid w:val="007E5D9F"/>
    <w:rsid w:val="007E706B"/>
    <w:rsid w:val="007E7AB7"/>
    <w:rsid w:val="007F07B1"/>
    <w:rsid w:val="007F10BD"/>
    <w:rsid w:val="007F4D65"/>
    <w:rsid w:val="007F6462"/>
    <w:rsid w:val="007F7795"/>
    <w:rsid w:val="007F7EE5"/>
    <w:rsid w:val="008009F0"/>
    <w:rsid w:val="00800D03"/>
    <w:rsid w:val="00801420"/>
    <w:rsid w:val="008019E8"/>
    <w:rsid w:val="00801B56"/>
    <w:rsid w:val="008020A4"/>
    <w:rsid w:val="0080210E"/>
    <w:rsid w:val="0080353A"/>
    <w:rsid w:val="00804177"/>
    <w:rsid w:val="00804551"/>
    <w:rsid w:val="00805311"/>
    <w:rsid w:val="0080688E"/>
    <w:rsid w:val="00812108"/>
    <w:rsid w:val="008146FA"/>
    <w:rsid w:val="0081549E"/>
    <w:rsid w:val="00816E41"/>
    <w:rsid w:val="00817EDD"/>
    <w:rsid w:val="008204A4"/>
    <w:rsid w:val="008217B2"/>
    <w:rsid w:val="00822682"/>
    <w:rsid w:val="00822ADF"/>
    <w:rsid w:val="00823A62"/>
    <w:rsid w:val="00823AA6"/>
    <w:rsid w:val="00824C68"/>
    <w:rsid w:val="00825094"/>
    <w:rsid w:val="0082638E"/>
    <w:rsid w:val="008275FC"/>
    <w:rsid w:val="00827A8E"/>
    <w:rsid w:val="008302E3"/>
    <w:rsid w:val="00833258"/>
    <w:rsid w:val="00833534"/>
    <w:rsid w:val="00833572"/>
    <w:rsid w:val="00834D69"/>
    <w:rsid w:val="00836C55"/>
    <w:rsid w:val="00841BC2"/>
    <w:rsid w:val="0084257D"/>
    <w:rsid w:val="008431FF"/>
    <w:rsid w:val="00843391"/>
    <w:rsid w:val="00843543"/>
    <w:rsid w:val="008439A7"/>
    <w:rsid w:val="00843ED5"/>
    <w:rsid w:val="008442A5"/>
    <w:rsid w:val="008456F0"/>
    <w:rsid w:val="00845C80"/>
    <w:rsid w:val="00850373"/>
    <w:rsid w:val="008504A5"/>
    <w:rsid w:val="00850871"/>
    <w:rsid w:val="00852805"/>
    <w:rsid w:val="008528EF"/>
    <w:rsid w:val="00852CD7"/>
    <w:rsid w:val="00852F01"/>
    <w:rsid w:val="00854503"/>
    <w:rsid w:val="008549E9"/>
    <w:rsid w:val="008564C5"/>
    <w:rsid w:val="00860CCA"/>
    <w:rsid w:val="00862222"/>
    <w:rsid w:val="008631BC"/>
    <w:rsid w:val="00863A05"/>
    <w:rsid w:val="00864531"/>
    <w:rsid w:val="0086512B"/>
    <w:rsid w:val="0086566D"/>
    <w:rsid w:val="008660A7"/>
    <w:rsid w:val="008663DE"/>
    <w:rsid w:val="00866857"/>
    <w:rsid w:val="00871729"/>
    <w:rsid w:val="00872080"/>
    <w:rsid w:val="0087282B"/>
    <w:rsid w:val="00872A88"/>
    <w:rsid w:val="0087308F"/>
    <w:rsid w:val="00874C52"/>
    <w:rsid w:val="00874FE1"/>
    <w:rsid w:val="008751CD"/>
    <w:rsid w:val="00880393"/>
    <w:rsid w:val="00881341"/>
    <w:rsid w:val="008813AC"/>
    <w:rsid w:val="008827C5"/>
    <w:rsid w:val="00882B9A"/>
    <w:rsid w:val="00883FEF"/>
    <w:rsid w:val="00884CE3"/>
    <w:rsid w:val="008855F4"/>
    <w:rsid w:val="008873A1"/>
    <w:rsid w:val="00891C89"/>
    <w:rsid w:val="00891DEC"/>
    <w:rsid w:val="00893619"/>
    <w:rsid w:val="00896A48"/>
    <w:rsid w:val="008A0185"/>
    <w:rsid w:val="008A0A43"/>
    <w:rsid w:val="008A189B"/>
    <w:rsid w:val="008A1C65"/>
    <w:rsid w:val="008A243D"/>
    <w:rsid w:val="008A2CF5"/>
    <w:rsid w:val="008A4131"/>
    <w:rsid w:val="008A480F"/>
    <w:rsid w:val="008A49CF"/>
    <w:rsid w:val="008A4C53"/>
    <w:rsid w:val="008A4E89"/>
    <w:rsid w:val="008A52F3"/>
    <w:rsid w:val="008A5E8A"/>
    <w:rsid w:val="008A67D0"/>
    <w:rsid w:val="008A7C7B"/>
    <w:rsid w:val="008B0ED7"/>
    <w:rsid w:val="008B3468"/>
    <w:rsid w:val="008C09B3"/>
    <w:rsid w:val="008C0B0C"/>
    <w:rsid w:val="008C0B8D"/>
    <w:rsid w:val="008C11B9"/>
    <w:rsid w:val="008C1A87"/>
    <w:rsid w:val="008C25AC"/>
    <w:rsid w:val="008C2A69"/>
    <w:rsid w:val="008C2DAA"/>
    <w:rsid w:val="008C3831"/>
    <w:rsid w:val="008C3E7E"/>
    <w:rsid w:val="008C4A25"/>
    <w:rsid w:val="008C692C"/>
    <w:rsid w:val="008C6C44"/>
    <w:rsid w:val="008C6CF9"/>
    <w:rsid w:val="008C7346"/>
    <w:rsid w:val="008C7FB8"/>
    <w:rsid w:val="008D292B"/>
    <w:rsid w:val="008D384D"/>
    <w:rsid w:val="008D3BB7"/>
    <w:rsid w:val="008D3BD0"/>
    <w:rsid w:val="008D5154"/>
    <w:rsid w:val="008D5A2A"/>
    <w:rsid w:val="008D5A95"/>
    <w:rsid w:val="008D625D"/>
    <w:rsid w:val="008D796D"/>
    <w:rsid w:val="008D7CCB"/>
    <w:rsid w:val="008E11A8"/>
    <w:rsid w:val="008E17E3"/>
    <w:rsid w:val="008E1899"/>
    <w:rsid w:val="008E4BF3"/>
    <w:rsid w:val="008E5040"/>
    <w:rsid w:val="008E52FD"/>
    <w:rsid w:val="008E5F12"/>
    <w:rsid w:val="008E66A5"/>
    <w:rsid w:val="008E6B03"/>
    <w:rsid w:val="008E7255"/>
    <w:rsid w:val="008E754A"/>
    <w:rsid w:val="008E7580"/>
    <w:rsid w:val="008E7A1F"/>
    <w:rsid w:val="008F0314"/>
    <w:rsid w:val="008F0324"/>
    <w:rsid w:val="008F053F"/>
    <w:rsid w:val="008F0CDA"/>
    <w:rsid w:val="008F10F9"/>
    <w:rsid w:val="008F2C53"/>
    <w:rsid w:val="008F30B4"/>
    <w:rsid w:val="008F4264"/>
    <w:rsid w:val="008F43E6"/>
    <w:rsid w:val="008F4476"/>
    <w:rsid w:val="008F4998"/>
    <w:rsid w:val="008F4F11"/>
    <w:rsid w:val="008F4F9D"/>
    <w:rsid w:val="008F5BEE"/>
    <w:rsid w:val="008F6C78"/>
    <w:rsid w:val="008F757B"/>
    <w:rsid w:val="0090141A"/>
    <w:rsid w:val="00901E2C"/>
    <w:rsid w:val="00903177"/>
    <w:rsid w:val="00903A83"/>
    <w:rsid w:val="00904AF4"/>
    <w:rsid w:val="00904E38"/>
    <w:rsid w:val="0090602E"/>
    <w:rsid w:val="009072B9"/>
    <w:rsid w:val="00907D0F"/>
    <w:rsid w:val="00910926"/>
    <w:rsid w:val="00912129"/>
    <w:rsid w:val="009123CC"/>
    <w:rsid w:val="0091321F"/>
    <w:rsid w:val="0091386A"/>
    <w:rsid w:val="00913BDE"/>
    <w:rsid w:val="00914276"/>
    <w:rsid w:val="009145A9"/>
    <w:rsid w:val="00915270"/>
    <w:rsid w:val="0091566A"/>
    <w:rsid w:val="009164F6"/>
    <w:rsid w:val="0091652A"/>
    <w:rsid w:val="00917F78"/>
    <w:rsid w:val="00921F8A"/>
    <w:rsid w:val="00922333"/>
    <w:rsid w:val="00922405"/>
    <w:rsid w:val="00925494"/>
    <w:rsid w:val="00925F93"/>
    <w:rsid w:val="00926212"/>
    <w:rsid w:val="009273A7"/>
    <w:rsid w:val="009302B1"/>
    <w:rsid w:val="0093106D"/>
    <w:rsid w:val="0093195E"/>
    <w:rsid w:val="009319FC"/>
    <w:rsid w:val="00931E88"/>
    <w:rsid w:val="009324DB"/>
    <w:rsid w:val="00933B3D"/>
    <w:rsid w:val="0093521A"/>
    <w:rsid w:val="0093643E"/>
    <w:rsid w:val="00937024"/>
    <w:rsid w:val="009413F1"/>
    <w:rsid w:val="00941BCC"/>
    <w:rsid w:val="00941DFB"/>
    <w:rsid w:val="009423B1"/>
    <w:rsid w:val="00943F3C"/>
    <w:rsid w:val="00946EC4"/>
    <w:rsid w:val="009472E4"/>
    <w:rsid w:val="00950996"/>
    <w:rsid w:val="00951020"/>
    <w:rsid w:val="0095164E"/>
    <w:rsid w:val="00951718"/>
    <w:rsid w:val="0095197E"/>
    <w:rsid w:val="00951AE3"/>
    <w:rsid w:val="009574FD"/>
    <w:rsid w:val="009603AF"/>
    <w:rsid w:val="0096066C"/>
    <w:rsid w:val="0096090D"/>
    <w:rsid w:val="009612FC"/>
    <w:rsid w:val="00961D84"/>
    <w:rsid w:val="009634C7"/>
    <w:rsid w:val="009667D2"/>
    <w:rsid w:val="00966C23"/>
    <w:rsid w:val="00972BA6"/>
    <w:rsid w:val="00973CF8"/>
    <w:rsid w:val="009743A9"/>
    <w:rsid w:val="0097442A"/>
    <w:rsid w:val="009748B9"/>
    <w:rsid w:val="009762C7"/>
    <w:rsid w:val="009770DA"/>
    <w:rsid w:val="00977781"/>
    <w:rsid w:val="00981680"/>
    <w:rsid w:val="009816DC"/>
    <w:rsid w:val="00981F84"/>
    <w:rsid w:val="009829F3"/>
    <w:rsid w:val="009833C8"/>
    <w:rsid w:val="0098368B"/>
    <w:rsid w:val="009839D9"/>
    <w:rsid w:val="00984FDE"/>
    <w:rsid w:val="00986534"/>
    <w:rsid w:val="00991C3A"/>
    <w:rsid w:val="00991E33"/>
    <w:rsid w:val="0099273F"/>
    <w:rsid w:val="00992B49"/>
    <w:rsid w:val="0099440D"/>
    <w:rsid w:val="009948CF"/>
    <w:rsid w:val="009951C9"/>
    <w:rsid w:val="009951E6"/>
    <w:rsid w:val="00995AF8"/>
    <w:rsid w:val="009A0013"/>
    <w:rsid w:val="009A05AB"/>
    <w:rsid w:val="009A1C60"/>
    <w:rsid w:val="009A1C78"/>
    <w:rsid w:val="009A2385"/>
    <w:rsid w:val="009A2634"/>
    <w:rsid w:val="009A2BB8"/>
    <w:rsid w:val="009A2FCC"/>
    <w:rsid w:val="009A4EDF"/>
    <w:rsid w:val="009A50BA"/>
    <w:rsid w:val="009A57B0"/>
    <w:rsid w:val="009A7886"/>
    <w:rsid w:val="009B05F9"/>
    <w:rsid w:val="009B068E"/>
    <w:rsid w:val="009B0E80"/>
    <w:rsid w:val="009B1976"/>
    <w:rsid w:val="009B266C"/>
    <w:rsid w:val="009B5068"/>
    <w:rsid w:val="009B53D5"/>
    <w:rsid w:val="009B5AF9"/>
    <w:rsid w:val="009B5CDD"/>
    <w:rsid w:val="009B5EEC"/>
    <w:rsid w:val="009B615F"/>
    <w:rsid w:val="009B6B1F"/>
    <w:rsid w:val="009B7786"/>
    <w:rsid w:val="009B7AD0"/>
    <w:rsid w:val="009C00C7"/>
    <w:rsid w:val="009C0B66"/>
    <w:rsid w:val="009C0BD9"/>
    <w:rsid w:val="009C4889"/>
    <w:rsid w:val="009C56E6"/>
    <w:rsid w:val="009C5EBA"/>
    <w:rsid w:val="009C61B3"/>
    <w:rsid w:val="009C6529"/>
    <w:rsid w:val="009C7218"/>
    <w:rsid w:val="009D0343"/>
    <w:rsid w:val="009D15F3"/>
    <w:rsid w:val="009D175C"/>
    <w:rsid w:val="009D1AB8"/>
    <w:rsid w:val="009D21F7"/>
    <w:rsid w:val="009D2738"/>
    <w:rsid w:val="009D3D33"/>
    <w:rsid w:val="009D3D71"/>
    <w:rsid w:val="009D45CB"/>
    <w:rsid w:val="009D48F4"/>
    <w:rsid w:val="009D71CA"/>
    <w:rsid w:val="009D74DB"/>
    <w:rsid w:val="009E1A6B"/>
    <w:rsid w:val="009E28B3"/>
    <w:rsid w:val="009E408B"/>
    <w:rsid w:val="009E492D"/>
    <w:rsid w:val="009E61AA"/>
    <w:rsid w:val="009F145E"/>
    <w:rsid w:val="009F17CA"/>
    <w:rsid w:val="009F2965"/>
    <w:rsid w:val="009F2CEE"/>
    <w:rsid w:val="009F3832"/>
    <w:rsid w:val="009F6D37"/>
    <w:rsid w:val="009F6E40"/>
    <w:rsid w:val="009F7534"/>
    <w:rsid w:val="00A001C8"/>
    <w:rsid w:val="00A0084E"/>
    <w:rsid w:val="00A01373"/>
    <w:rsid w:val="00A02440"/>
    <w:rsid w:val="00A0314A"/>
    <w:rsid w:val="00A03518"/>
    <w:rsid w:val="00A04F28"/>
    <w:rsid w:val="00A04F9D"/>
    <w:rsid w:val="00A0667D"/>
    <w:rsid w:val="00A06E19"/>
    <w:rsid w:val="00A0734A"/>
    <w:rsid w:val="00A0785F"/>
    <w:rsid w:val="00A1164D"/>
    <w:rsid w:val="00A11681"/>
    <w:rsid w:val="00A12E0B"/>
    <w:rsid w:val="00A12EC8"/>
    <w:rsid w:val="00A13539"/>
    <w:rsid w:val="00A140CB"/>
    <w:rsid w:val="00A14570"/>
    <w:rsid w:val="00A15879"/>
    <w:rsid w:val="00A163A0"/>
    <w:rsid w:val="00A17379"/>
    <w:rsid w:val="00A20576"/>
    <w:rsid w:val="00A207A0"/>
    <w:rsid w:val="00A244E5"/>
    <w:rsid w:val="00A24524"/>
    <w:rsid w:val="00A2457B"/>
    <w:rsid w:val="00A276CD"/>
    <w:rsid w:val="00A31D10"/>
    <w:rsid w:val="00A346E2"/>
    <w:rsid w:val="00A3605E"/>
    <w:rsid w:val="00A363A4"/>
    <w:rsid w:val="00A40FF6"/>
    <w:rsid w:val="00A413E6"/>
    <w:rsid w:val="00A425B7"/>
    <w:rsid w:val="00A42C19"/>
    <w:rsid w:val="00A43C9F"/>
    <w:rsid w:val="00A449C2"/>
    <w:rsid w:val="00A449FC"/>
    <w:rsid w:val="00A44A01"/>
    <w:rsid w:val="00A45D25"/>
    <w:rsid w:val="00A46CE5"/>
    <w:rsid w:val="00A47D59"/>
    <w:rsid w:val="00A50EFF"/>
    <w:rsid w:val="00A529AD"/>
    <w:rsid w:val="00A52A36"/>
    <w:rsid w:val="00A52C86"/>
    <w:rsid w:val="00A5300A"/>
    <w:rsid w:val="00A534F9"/>
    <w:rsid w:val="00A5380B"/>
    <w:rsid w:val="00A53B60"/>
    <w:rsid w:val="00A55045"/>
    <w:rsid w:val="00A55894"/>
    <w:rsid w:val="00A5593B"/>
    <w:rsid w:val="00A56148"/>
    <w:rsid w:val="00A60A6F"/>
    <w:rsid w:val="00A60D16"/>
    <w:rsid w:val="00A61171"/>
    <w:rsid w:val="00A61871"/>
    <w:rsid w:val="00A61E56"/>
    <w:rsid w:val="00A62C7E"/>
    <w:rsid w:val="00A63181"/>
    <w:rsid w:val="00A64116"/>
    <w:rsid w:val="00A64C62"/>
    <w:rsid w:val="00A65141"/>
    <w:rsid w:val="00A6540D"/>
    <w:rsid w:val="00A65650"/>
    <w:rsid w:val="00A664BF"/>
    <w:rsid w:val="00A67259"/>
    <w:rsid w:val="00A71101"/>
    <w:rsid w:val="00A72033"/>
    <w:rsid w:val="00A728BC"/>
    <w:rsid w:val="00A73B57"/>
    <w:rsid w:val="00A746D1"/>
    <w:rsid w:val="00A76783"/>
    <w:rsid w:val="00A76CEE"/>
    <w:rsid w:val="00A770D2"/>
    <w:rsid w:val="00A80DB2"/>
    <w:rsid w:val="00A80F24"/>
    <w:rsid w:val="00A82385"/>
    <w:rsid w:val="00A82B1D"/>
    <w:rsid w:val="00A85660"/>
    <w:rsid w:val="00A87304"/>
    <w:rsid w:val="00A87982"/>
    <w:rsid w:val="00A91BC6"/>
    <w:rsid w:val="00A927CC"/>
    <w:rsid w:val="00A93C0E"/>
    <w:rsid w:val="00A93F9D"/>
    <w:rsid w:val="00A957F9"/>
    <w:rsid w:val="00A95F4E"/>
    <w:rsid w:val="00A97A9C"/>
    <w:rsid w:val="00AA1AA7"/>
    <w:rsid w:val="00AA24E0"/>
    <w:rsid w:val="00AA2EDE"/>
    <w:rsid w:val="00AA401B"/>
    <w:rsid w:val="00AA47EE"/>
    <w:rsid w:val="00AA6D28"/>
    <w:rsid w:val="00AA7094"/>
    <w:rsid w:val="00AB29F9"/>
    <w:rsid w:val="00AB2A62"/>
    <w:rsid w:val="00AB376B"/>
    <w:rsid w:val="00AB3F04"/>
    <w:rsid w:val="00AB503C"/>
    <w:rsid w:val="00AB50E7"/>
    <w:rsid w:val="00AB53EE"/>
    <w:rsid w:val="00AB6C82"/>
    <w:rsid w:val="00AB6D6A"/>
    <w:rsid w:val="00AC055A"/>
    <w:rsid w:val="00AC281A"/>
    <w:rsid w:val="00AC49D2"/>
    <w:rsid w:val="00AC4E79"/>
    <w:rsid w:val="00AC5056"/>
    <w:rsid w:val="00AC5CB0"/>
    <w:rsid w:val="00AC6DA7"/>
    <w:rsid w:val="00AD0B02"/>
    <w:rsid w:val="00AD0BD7"/>
    <w:rsid w:val="00AD157A"/>
    <w:rsid w:val="00AD1B9C"/>
    <w:rsid w:val="00AD211B"/>
    <w:rsid w:val="00AD2370"/>
    <w:rsid w:val="00AD3A61"/>
    <w:rsid w:val="00AD3CE3"/>
    <w:rsid w:val="00AD433C"/>
    <w:rsid w:val="00AD4637"/>
    <w:rsid w:val="00AD5875"/>
    <w:rsid w:val="00AD681F"/>
    <w:rsid w:val="00AD6AB3"/>
    <w:rsid w:val="00AE0892"/>
    <w:rsid w:val="00AE2739"/>
    <w:rsid w:val="00AE2BE2"/>
    <w:rsid w:val="00AE2C08"/>
    <w:rsid w:val="00AE36E1"/>
    <w:rsid w:val="00AE3FE1"/>
    <w:rsid w:val="00AE7268"/>
    <w:rsid w:val="00AF1283"/>
    <w:rsid w:val="00AF12D0"/>
    <w:rsid w:val="00AF1CB8"/>
    <w:rsid w:val="00AF2AF8"/>
    <w:rsid w:val="00AF3E0E"/>
    <w:rsid w:val="00AF53E0"/>
    <w:rsid w:val="00AF625D"/>
    <w:rsid w:val="00AF6E5A"/>
    <w:rsid w:val="00B00E75"/>
    <w:rsid w:val="00B01DC0"/>
    <w:rsid w:val="00B04177"/>
    <w:rsid w:val="00B04D33"/>
    <w:rsid w:val="00B0535A"/>
    <w:rsid w:val="00B0537E"/>
    <w:rsid w:val="00B07AA3"/>
    <w:rsid w:val="00B07FCF"/>
    <w:rsid w:val="00B1154A"/>
    <w:rsid w:val="00B12833"/>
    <w:rsid w:val="00B14334"/>
    <w:rsid w:val="00B14CE3"/>
    <w:rsid w:val="00B15B6D"/>
    <w:rsid w:val="00B16ECC"/>
    <w:rsid w:val="00B20DEE"/>
    <w:rsid w:val="00B21195"/>
    <w:rsid w:val="00B22574"/>
    <w:rsid w:val="00B23554"/>
    <w:rsid w:val="00B239A2"/>
    <w:rsid w:val="00B24B95"/>
    <w:rsid w:val="00B252B8"/>
    <w:rsid w:val="00B25A98"/>
    <w:rsid w:val="00B25C33"/>
    <w:rsid w:val="00B2790E"/>
    <w:rsid w:val="00B30197"/>
    <w:rsid w:val="00B302C8"/>
    <w:rsid w:val="00B30B26"/>
    <w:rsid w:val="00B30E1F"/>
    <w:rsid w:val="00B31AF7"/>
    <w:rsid w:val="00B32F5A"/>
    <w:rsid w:val="00B35DA2"/>
    <w:rsid w:val="00B36432"/>
    <w:rsid w:val="00B40452"/>
    <w:rsid w:val="00B4140E"/>
    <w:rsid w:val="00B41824"/>
    <w:rsid w:val="00B4185B"/>
    <w:rsid w:val="00B42729"/>
    <w:rsid w:val="00B427AF"/>
    <w:rsid w:val="00B42DAD"/>
    <w:rsid w:val="00B439AB"/>
    <w:rsid w:val="00B43DC9"/>
    <w:rsid w:val="00B45DE8"/>
    <w:rsid w:val="00B46463"/>
    <w:rsid w:val="00B47709"/>
    <w:rsid w:val="00B5201E"/>
    <w:rsid w:val="00B53CD9"/>
    <w:rsid w:val="00B543DB"/>
    <w:rsid w:val="00B54CAB"/>
    <w:rsid w:val="00B55769"/>
    <w:rsid w:val="00B558F5"/>
    <w:rsid w:val="00B55BEF"/>
    <w:rsid w:val="00B567E0"/>
    <w:rsid w:val="00B569F0"/>
    <w:rsid w:val="00B56B1D"/>
    <w:rsid w:val="00B57AD4"/>
    <w:rsid w:val="00B61643"/>
    <w:rsid w:val="00B62D18"/>
    <w:rsid w:val="00B62D80"/>
    <w:rsid w:val="00B63747"/>
    <w:rsid w:val="00B640A6"/>
    <w:rsid w:val="00B66E2E"/>
    <w:rsid w:val="00B6758B"/>
    <w:rsid w:val="00B679F2"/>
    <w:rsid w:val="00B717F4"/>
    <w:rsid w:val="00B71FCD"/>
    <w:rsid w:val="00B731AA"/>
    <w:rsid w:val="00B7356B"/>
    <w:rsid w:val="00B739C1"/>
    <w:rsid w:val="00B73DBA"/>
    <w:rsid w:val="00B7461C"/>
    <w:rsid w:val="00B747FF"/>
    <w:rsid w:val="00B74D8A"/>
    <w:rsid w:val="00B74EAA"/>
    <w:rsid w:val="00B75CF5"/>
    <w:rsid w:val="00B75E1A"/>
    <w:rsid w:val="00B75E76"/>
    <w:rsid w:val="00B7611B"/>
    <w:rsid w:val="00B76EAD"/>
    <w:rsid w:val="00B76EC7"/>
    <w:rsid w:val="00B76F5A"/>
    <w:rsid w:val="00B82D85"/>
    <w:rsid w:val="00B83BDD"/>
    <w:rsid w:val="00B83E01"/>
    <w:rsid w:val="00B83E89"/>
    <w:rsid w:val="00B84D8F"/>
    <w:rsid w:val="00B84F32"/>
    <w:rsid w:val="00B85682"/>
    <w:rsid w:val="00B87D22"/>
    <w:rsid w:val="00B87EE3"/>
    <w:rsid w:val="00B90245"/>
    <w:rsid w:val="00B911FE"/>
    <w:rsid w:val="00B92866"/>
    <w:rsid w:val="00B9305A"/>
    <w:rsid w:val="00B932D2"/>
    <w:rsid w:val="00B938C5"/>
    <w:rsid w:val="00B93B39"/>
    <w:rsid w:val="00B93E2B"/>
    <w:rsid w:val="00B95441"/>
    <w:rsid w:val="00B95586"/>
    <w:rsid w:val="00B9570F"/>
    <w:rsid w:val="00B95BD6"/>
    <w:rsid w:val="00B96058"/>
    <w:rsid w:val="00B9614C"/>
    <w:rsid w:val="00B96E2B"/>
    <w:rsid w:val="00B96E90"/>
    <w:rsid w:val="00B96F55"/>
    <w:rsid w:val="00B97655"/>
    <w:rsid w:val="00BA0B23"/>
    <w:rsid w:val="00BA1A43"/>
    <w:rsid w:val="00BA2383"/>
    <w:rsid w:val="00BA2D54"/>
    <w:rsid w:val="00BA4422"/>
    <w:rsid w:val="00BA4BAD"/>
    <w:rsid w:val="00BA5D02"/>
    <w:rsid w:val="00BA5FF8"/>
    <w:rsid w:val="00BA629B"/>
    <w:rsid w:val="00BA7FE7"/>
    <w:rsid w:val="00BB0AB0"/>
    <w:rsid w:val="00BB121A"/>
    <w:rsid w:val="00BB13F8"/>
    <w:rsid w:val="00BB182D"/>
    <w:rsid w:val="00BB1B15"/>
    <w:rsid w:val="00BB3588"/>
    <w:rsid w:val="00BB3AD7"/>
    <w:rsid w:val="00BB406B"/>
    <w:rsid w:val="00BB477E"/>
    <w:rsid w:val="00BB6C55"/>
    <w:rsid w:val="00BC2239"/>
    <w:rsid w:val="00BC2F80"/>
    <w:rsid w:val="00BC40EB"/>
    <w:rsid w:val="00BC47D6"/>
    <w:rsid w:val="00BC53E3"/>
    <w:rsid w:val="00BC610D"/>
    <w:rsid w:val="00BC7A08"/>
    <w:rsid w:val="00BD0850"/>
    <w:rsid w:val="00BD152A"/>
    <w:rsid w:val="00BD1751"/>
    <w:rsid w:val="00BD1D32"/>
    <w:rsid w:val="00BD4B73"/>
    <w:rsid w:val="00BD5F60"/>
    <w:rsid w:val="00BD77D5"/>
    <w:rsid w:val="00BE0787"/>
    <w:rsid w:val="00BE0AE3"/>
    <w:rsid w:val="00BE1CC3"/>
    <w:rsid w:val="00BE266B"/>
    <w:rsid w:val="00BE417A"/>
    <w:rsid w:val="00BE4E85"/>
    <w:rsid w:val="00BE58B6"/>
    <w:rsid w:val="00BE6759"/>
    <w:rsid w:val="00BE7708"/>
    <w:rsid w:val="00BE7DC5"/>
    <w:rsid w:val="00BF0BE7"/>
    <w:rsid w:val="00BF2466"/>
    <w:rsid w:val="00BF2468"/>
    <w:rsid w:val="00BF2545"/>
    <w:rsid w:val="00BF38E9"/>
    <w:rsid w:val="00BF40B0"/>
    <w:rsid w:val="00BF4C86"/>
    <w:rsid w:val="00BF4D23"/>
    <w:rsid w:val="00BF5A0A"/>
    <w:rsid w:val="00BF5E02"/>
    <w:rsid w:val="00C01587"/>
    <w:rsid w:val="00C01B62"/>
    <w:rsid w:val="00C0291C"/>
    <w:rsid w:val="00C0296F"/>
    <w:rsid w:val="00C0430F"/>
    <w:rsid w:val="00C069BF"/>
    <w:rsid w:val="00C0777A"/>
    <w:rsid w:val="00C0796B"/>
    <w:rsid w:val="00C07CDE"/>
    <w:rsid w:val="00C10E5D"/>
    <w:rsid w:val="00C11B54"/>
    <w:rsid w:val="00C12F4F"/>
    <w:rsid w:val="00C138C8"/>
    <w:rsid w:val="00C13D5C"/>
    <w:rsid w:val="00C13E8F"/>
    <w:rsid w:val="00C145E2"/>
    <w:rsid w:val="00C14F66"/>
    <w:rsid w:val="00C155DD"/>
    <w:rsid w:val="00C15737"/>
    <w:rsid w:val="00C15741"/>
    <w:rsid w:val="00C1589B"/>
    <w:rsid w:val="00C15B20"/>
    <w:rsid w:val="00C16390"/>
    <w:rsid w:val="00C16913"/>
    <w:rsid w:val="00C16D3C"/>
    <w:rsid w:val="00C2119A"/>
    <w:rsid w:val="00C23FDD"/>
    <w:rsid w:val="00C247E3"/>
    <w:rsid w:val="00C25A1A"/>
    <w:rsid w:val="00C26542"/>
    <w:rsid w:val="00C2778C"/>
    <w:rsid w:val="00C30345"/>
    <w:rsid w:val="00C3190C"/>
    <w:rsid w:val="00C31E41"/>
    <w:rsid w:val="00C321D6"/>
    <w:rsid w:val="00C328F1"/>
    <w:rsid w:val="00C35048"/>
    <w:rsid w:val="00C35919"/>
    <w:rsid w:val="00C35BC4"/>
    <w:rsid w:val="00C37701"/>
    <w:rsid w:val="00C421E6"/>
    <w:rsid w:val="00C4299B"/>
    <w:rsid w:val="00C42AC1"/>
    <w:rsid w:val="00C44325"/>
    <w:rsid w:val="00C4492A"/>
    <w:rsid w:val="00C4649B"/>
    <w:rsid w:val="00C464DC"/>
    <w:rsid w:val="00C47BFB"/>
    <w:rsid w:val="00C5011C"/>
    <w:rsid w:val="00C51FB5"/>
    <w:rsid w:val="00C52EED"/>
    <w:rsid w:val="00C53CFE"/>
    <w:rsid w:val="00C54D67"/>
    <w:rsid w:val="00C55C2D"/>
    <w:rsid w:val="00C55C2F"/>
    <w:rsid w:val="00C55FE5"/>
    <w:rsid w:val="00C5604F"/>
    <w:rsid w:val="00C57195"/>
    <w:rsid w:val="00C57387"/>
    <w:rsid w:val="00C60875"/>
    <w:rsid w:val="00C61B1E"/>
    <w:rsid w:val="00C620D7"/>
    <w:rsid w:val="00C62CD2"/>
    <w:rsid w:val="00C62DAF"/>
    <w:rsid w:val="00C647B0"/>
    <w:rsid w:val="00C65415"/>
    <w:rsid w:val="00C66386"/>
    <w:rsid w:val="00C665EF"/>
    <w:rsid w:val="00C67B20"/>
    <w:rsid w:val="00C70DD7"/>
    <w:rsid w:val="00C724CD"/>
    <w:rsid w:val="00C725D0"/>
    <w:rsid w:val="00C72E00"/>
    <w:rsid w:val="00C77112"/>
    <w:rsid w:val="00C77511"/>
    <w:rsid w:val="00C77AF3"/>
    <w:rsid w:val="00C806E4"/>
    <w:rsid w:val="00C8091B"/>
    <w:rsid w:val="00C81043"/>
    <w:rsid w:val="00C810A9"/>
    <w:rsid w:val="00C8126C"/>
    <w:rsid w:val="00C8128B"/>
    <w:rsid w:val="00C814CD"/>
    <w:rsid w:val="00C82A83"/>
    <w:rsid w:val="00C82AEC"/>
    <w:rsid w:val="00C834AC"/>
    <w:rsid w:val="00C84040"/>
    <w:rsid w:val="00C84C58"/>
    <w:rsid w:val="00C85CC1"/>
    <w:rsid w:val="00C916ED"/>
    <w:rsid w:val="00C930E7"/>
    <w:rsid w:val="00C948DD"/>
    <w:rsid w:val="00C94FDB"/>
    <w:rsid w:val="00C9700F"/>
    <w:rsid w:val="00CA05FB"/>
    <w:rsid w:val="00CA4511"/>
    <w:rsid w:val="00CA4788"/>
    <w:rsid w:val="00CA4DDF"/>
    <w:rsid w:val="00CA4F2A"/>
    <w:rsid w:val="00CA58B1"/>
    <w:rsid w:val="00CA6A4E"/>
    <w:rsid w:val="00CB10FD"/>
    <w:rsid w:val="00CB18AE"/>
    <w:rsid w:val="00CB51D5"/>
    <w:rsid w:val="00CB667F"/>
    <w:rsid w:val="00CB6F18"/>
    <w:rsid w:val="00CC04CA"/>
    <w:rsid w:val="00CC225B"/>
    <w:rsid w:val="00CC2317"/>
    <w:rsid w:val="00CC291D"/>
    <w:rsid w:val="00CC2A62"/>
    <w:rsid w:val="00CC4EAF"/>
    <w:rsid w:val="00CC52E4"/>
    <w:rsid w:val="00CC7B76"/>
    <w:rsid w:val="00CD0103"/>
    <w:rsid w:val="00CD09B2"/>
    <w:rsid w:val="00CD0BBF"/>
    <w:rsid w:val="00CD2D0B"/>
    <w:rsid w:val="00CD3403"/>
    <w:rsid w:val="00CD3608"/>
    <w:rsid w:val="00CD3D22"/>
    <w:rsid w:val="00CD425E"/>
    <w:rsid w:val="00CD4B76"/>
    <w:rsid w:val="00CD4E64"/>
    <w:rsid w:val="00CD55E3"/>
    <w:rsid w:val="00CD7855"/>
    <w:rsid w:val="00CE3252"/>
    <w:rsid w:val="00CE3915"/>
    <w:rsid w:val="00CE3E03"/>
    <w:rsid w:val="00CE40AE"/>
    <w:rsid w:val="00CE6029"/>
    <w:rsid w:val="00CE667D"/>
    <w:rsid w:val="00CE79DB"/>
    <w:rsid w:val="00CF0A71"/>
    <w:rsid w:val="00CF0DF3"/>
    <w:rsid w:val="00CF32C4"/>
    <w:rsid w:val="00CF38DF"/>
    <w:rsid w:val="00CF428F"/>
    <w:rsid w:val="00CF627E"/>
    <w:rsid w:val="00CF723D"/>
    <w:rsid w:val="00CF7AFB"/>
    <w:rsid w:val="00D0054B"/>
    <w:rsid w:val="00D01BBA"/>
    <w:rsid w:val="00D01E20"/>
    <w:rsid w:val="00D03292"/>
    <w:rsid w:val="00D03658"/>
    <w:rsid w:val="00D03CFD"/>
    <w:rsid w:val="00D0537E"/>
    <w:rsid w:val="00D05A0D"/>
    <w:rsid w:val="00D05F72"/>
    <w:rsid w:val="00D06037"/>
    <w:rsid w:val="00D0668B"/>
    <w:rsid w:val="00D1011E"/>
    <w:rsid w:val="00D120C3"/>
    <w:rsid w:val="00D129D7"/>
    <w:rsid w:val="00D13968"/>
    <w:rsid w:val="00D13CDC"/>
    <w:rsid w:val="00D1532E"/>
    <w:rsid w:val="00D15889"/>
    <w:rsid w:val="00D15C17"/>
    <w:rsid w:val="00D1683D"/>
    <w:rsid w:val="00D1798F"/>
    <w:rsid w:val="00D21A18"/>
    <w:rsid w:val="00D21C2A"/>
    <w:rsid w:val="00D21ECC"/>
    <w:rsid w:val="00D23347"/>
    <w:rsid w:val="00D2367F"/>
    <w:rsid w:val="00D23814"/>
    <w:rsid w:val="00D24460"/>
    <w:rsid w:val="00D24DC5"/>
    <w:rsid w:val="00D2592A"/>
    <w:rsid w:val="00D25CC9"/>
    <w:rsid w:val="00D2613C"/>
    <w:rsid w:val="00D30210"/>
    <w:rsid w:val="00D305E3"/>
    <w:rsid w:val="00D31F1E"/>
    <w:rsid w:val="00D32313"/>
    <w:rsid w:val="00D33151"/>
    <w:rsid w:val="00D3339C"/>
    <w:rsid w:val="00D349A1"/>
    <w:rsid w:val="00D372C6"/>
    <w:rsid w:val="00D4245C"/>
    <w:rsid w:val="00D433C9"/>
    <w:rsid w:val="00D43B2B"/>
    <w:rsid w:val="00D45531"/>
    <w:rsid w:val="00D458B0"/>
    <w:rsid w:val="00D459CD"/>
    <w:rsid w:val="00D45AAA"/>
    <w:rsid w:val="00D46A5F"/>
    <w:rsid w:val="00D46E06"/>
    <w:rsid w:val="00D4776E"/>
    <w:rsid w:val="00D500C9"/>
    <w:rsid w:val="00D503B1"/>
    <w:rsid w:val="00D50592"/>
    <w:rsid w:val="00D51C62"/>
    <w:rsid w:val="00D52AE8"/>
    <w:rsid w:val="00D54DD6"/>
    <w:rsid w:val="00D611C8"/>
    <w:rsid w:val="00D6124D"/>
    <w:rsid w:val="00D6134E"/>
    <w:rsid w:val="00D625CF"/>
    <w:rsid w:val="00D62BFA"/>
    <w:rsid w:val="00D62E1F"/>
    <w:rsid w:val="00D63B9F"/>
    <w:rsid w:val="00D63FC4"/>
    <w:rsid w:val="00D657B6"/>
    <w:rsid w:val="00D65F94"/>
    <w:rsid w:val="00D65FCB"/>
    <w:rsid w:val="00D66484"/>
    <w:rsid w:val="00D66F8C"/>
    <w:rsid w:val="00D701FB"/>
    <w:rsid w:val="00D703A5"/>
    <w:rsid w:val="00D70BDC"/>
    <w:rsid w:val="00D7145C"/>
    <w:rsid w:val="00D7187F"/>
    <w:rsid w:val="00D7200B"/>
    <w:rsid w:val="00D72688"/>
    <w:rsid w:val="00D72B6F"/>
    <w:rsid w:val="00D72D3E"/>
    <w:rsid w:val="00D74849"/>
    <w:rsid w:val="00D761A7"/>
    <w:rsid w:val="00D76A08"/>
    <w:rsid w:val="00D803B0"/>
    <w:rsid w:val="00D81BA3"/>
    <w:rsid w:val="00D82CA2"/>
    <w:rsid w:val="00D83F3B"/>
    <w:rsid w:val="00D87E0A"/>
    <w:rsid w:val="00D913F9"/>
    <w:rsid w:val="00D93F0E"/>
    <w:rsid w:val="00D94A50"/>
    <w:rsid w:val="00D95DF8"/>
    <w:rsid w:val="00D95F07"/>
    <w:rsid w:val="00D97D69"/>
    <w:rsid w:val="00DA260E"/>
    <w:rsid w:val="00DA2EFB"/>
    <w:rsid w:val="00DA45E3"/>
    <w:rsid w:val="00DA6128"/>
    <w:rsid w:val="00DA76C5"/>
    <w:rsid w:val="00DA781E"/>
    <w:rsid w:val="00DA7CCE"/>
    <w:rsid w:val="00DB1E89"/>
    <w:rsid w:val="00DB1F59"/>
    <w:rsid w:val="00DB2170"/>
    <w:rsid w:val="00DB2230"/>
    <w:rsid w:val="00DB3B8B"/>
    <w:rsid w:val="00DB5480"/>
    <w:rsid w:val="00DB6C24"/>
    <w:rsid w:val="00DB716C"/>
    <w:rsid w:val="00DB74B8"/>
    <w:rsid w:val="00DC0215"/>
    <w:rsid w:val="00DC09BD"/>
    <w:rsid w:val="00DC2820"/>
    <w:rsid w:val="00DC310E"/>
    <w:rsid w:val="00DC3141"/>
    <w:rsid w:val="00DC41CB"/>
    <w:rsid w:val="00DC4639"/>
    <w:rsid w:val="00DC512A"/>
    <w:rsid w:val="00DD00E0"/>
    <w:rsid w:val="00DD0CE1"/>
    <w:rsid w:val="00DD49F8"/>
    <w:rsid w:val="00DD4AED"/>
    <w:rsid w:val="00DD4B78"/>
    <w:rsid w:val="00DD57E4"/>
    <w:rsid w:val="00DD6750"/>
    <w:rsid w:val="00DD74C7"/>
    <w:rsid w:val="00DD7AA4"/>
    <w:rsid w:val="00DE07B2"/>
    <w:rsid w:val="00DE149C"/>
    <w:rsid w:val="00DE20BC"/>
    <w:rsid w:val="00DE309F"/>
    <w:rsid w:val="00DE37E6"/>
    <w:rsid w:val="00DE3EFA"/>
    <w:rsid w:val="00DE5642"/>
    <w:rsid w:val="00DE696E"/>
    <w:rsid w:val="00DE73FB"/>
    <w:rsid w:val="00DE777D"/>
    <w:rsid w:val="00DF0C90"/>
    <w:rsid w:val="00DF1119"/>
    <w:rsid w:val="00DF226A"/>
    <w:rsid w:val="00DF2BE3"/>
    <w:rsid w:val="00DF61B8"/>
    <w:rsid w:val="00DF70C6"/>
    <w:rsid w:val="00DF77B8"/>
    <w:rsid w:val="00DF7E68"/>
    <w:rsid w:val="00E00A81"/>
    <w:rsid w:val="00E012C7"/>
    <w:rsid w:val="00E027AF"/>
    <w:rsid w:val="00E03339"/>
    <w:rsid w:val="00E041AE"/>
    <w:rsid w:val="00E04B3C"/>
    <w:rsid w:val="00E04BDA"/>
    <w:rsid w:val="00E05AE4"/>
    <w:rsid w:val="00E05CEB"/>
    <w:rsid w:val="00E074AA"/>
    <w:rsid w:val="00E07805"/>
    <w:rsid w:val="00E1036C"/>
    <w:rsid w:val="00E11DA2"/>
    <w:rsid w:val="00E11F3E"/>
    <w:rsid w:val="00E11F75"/>
    <w:rsid w:val="00E1358B"/>
    <w:rsid w:val="00E138F4"/>
    <w:rsid w:val="00E14293"/>
    <w:rsid w:val="00E144C5"/>
    <w:rsid w:val="00E15604"/>
    <w:rsid w:val="00E16741"/>
    <w:rsid w:val="00E17047"/>
    <w:rsid w:val="00E17DE6"/>
    <w:rsid w:val="00E204CA"/>
    <w:rsid w:val="00E206EE"/>
    <w:rsid w:val="00E209B1"/>
    <w:rsid w:val="00E20C72"/>
    <w:rsid w:val="00E21EBE"/>
    <w:rsid w:val="00E2218C"/>
    <w:rsid w:val="00E22BC7"/>
    <w:rsid w:val="00E22E7B"/>
    <w:rsid w:val="00E23B36"/>
    <w:rsid w:val="00E23E4D"/>
    <w:rsid w:val="00E24A6C"/>
    <w:rsid w:val="00E24C60"/>
    <w:rsid w:val="00E24FC3"/>
    <w:rsid w:val="00E2512B"/>
    <w:rsid w:val="00E2609E"/>
    <w:rsid w:val="00E26692"/>
    <w:rsid w:val="00E277AB"/>
    <w:rsid w:val="00E27C6F"/>
    <w:rsid w:val="00E27CD2"/>
    <w:rsid w:val="00E31DEE"/>
    <w:rsid w:val="00E346B3"/>
    <w:rsid w:val="00E3527C"/>
    <w:rsid w:val="00E359B5"/>
    <w:rsid w:val="00E35DBD"/>
    <w:rsid w:val="00E37111"/>
    <w:rsid w:val="00E37AA6"/>
    <w:rsid w:val="00E37D71"/>
    <w:rsid w:val="00E40DE2"/>
    <w:rsid w:val="00E4264E"/>
    <w:rsid w:val="00E42DE8"/>
    <w:rsid w:val="00E439A3"/>
    <w:rsid w:val="00E45AC0"/>
    <w:rsid w:val="00E46D53"/>
    <w:rsid w:val="00E46E54"/>
    <w:rsid w:val="00E47028"/>
    <w:rsid w:val="00E47922"/>
    <w:rsid w:val="00E50524"/>
    <w:rsid w:val="00E52052"/>
    <w:rsid w:val="00E526D0"/>
    <w:rsid w:val="00E54572"/>
    <w:rsid w:val="00E54E6B"/>
    <w:rsid w:val="00E54FCB"/>
    <w:rsid w:val="00E55666"/>
    <w:rsid w:val="00E56596"/>
    <w:rsid w:val="00E56C9E"/>
    <w:rsid w:val="00E56CC7"/>
    <w:rsid w:val="00E5704A"/>
    <w:rsid w:val="00E61B31"/>
    <w:rsid w:val="00E61B53"/>
    <w:rsid w:val="00E62AFB"/>
    <w:rsid w:val="00E6582D"/>
    <w:rsid w:val="00E65FB1"/>
    <w:rsid w:val="00E6695E"/>
    <w:rsid w:val="00E674E0"/>
    <w:rsid w:val="00E67802"/>
    <w:rsid w:val="00E67D42"/>
    <w:rsid w:val="00E7165D"/>
    <w:rsid w:val="00E718BC"/>
    <w:rsid w:val="00E729BB"/>
    <w:rsid w:val="00E72A68"/>
    <w:rsid w:val="00E73AAF"/>
    <w:rsid w:val="00E73C79"/>
    <w:rsid w:val="00E755D1"/>
    <w:rsid w:val="00E75EC0"/>
    <w:rsid w:val="00E76A73"/>
    <w:rsid w:val="00E76B52"/>
    <w:rsid w:val="00E7799D"/>
    <w:rsid w:val="00E80095"/>
    <w:rsid w:val="00E8091C"/>
    <w:rsid w:val="00E81AC9"/>
    <w:rsid w:val="00E81CBB"/>
    <w:rsid w:val="00E81D46"/>
    <w:rsid w:val="00E82773"/>
    <w:rsid w:val="00E82811"/>
    <w:rsid w:val="00E839C1"/>
    <w:rsid w:val="00E83E10"/>
    <w:rsid w:val="00E843A9"/>
    <w:rsid w:val="00E85415"/>
    <w:rsid w:val="00E85BDD"/>
    <w:rsid w:val="00E86FD0"/>
    <w:rsid w:val="00E87F29"/>
    <w:rsid w:val="00E90CDC"/>
    <w:rsid w:val="00E92192"/>
    <w:rsid w:val="00E93E30"/>
    <w:rsid w:val="00E946B1"/>
    <w:rsid w:val="00E95B29"/>
    <w:rsid w:val="00E95DFB"/>
    <w:rsid w:val="00E95EBE"/>
    <w:rsid w:val="00E96916"/>
    <w:rsid w:val="00E97301"/>
    <w:rsid w:val="00E9793B"/>
    <w:rsid w:val="00EA1E59"/>
    <w:rsid w:val="00EA22F4"/>
    <w:rsid w:val="00EA25BE"/>
    <w:rsid w:val="00EA27F2"/>
    <w:rsid w:val="00EA36EA"/>
    <w:rsid w:val="00EA45F6"/>
    <w:rsid w:val="00EA4868"/>
    <w:rsid w:val="00EA689C"/>
    <w:rsid w:val="00EA6AD7"/>
    <w:rsid w:val="00EA77CD"/>
    <w:rsid w:val="00EB295B"/>
    <w:rsid w:val="00EB2B7C"/>
    <w:rsid w:val="00EB2BCA"/>
    <w:rsid w:val="00EB376D"/>
    <w:rsid w:val="00EB38CC"/>
    <w:rsid w:val="00EB3A7C"/>
    <w:rsid w:val="00EB682A"/>
    <w:rsid w:val="00EB69F1"/>
    <w:rsid w:val="00EB69F2"/>
    <w:rsid w:val="00EB6ABA"/>
    <w:rsid w:val="00EC02A2"/>
    <w:rsid w:val="00EC0441"/>
    <w:rsid w:val="00EC0CCA"/>
    <w:rsid w:val="00EC0F61"/>
    <w:rsid w:val="00EC101C"/>
    <w:rsid w:val="00EC1CDF"/>
    <w:rsid w:val="00EC2829"/>
    <w:rsid w:val="00EC2ACA"/>
    <w:rsid w:val="00EC3A71"/>
    <w:rsid w:val="00EC5C26"/>
    <w:rsid w:val="00EC6364"/>
    <w:rsid w:val="00EC6B5D"/>
    <w:rsid w:val="00ED0869"/>
    <w:rsid w:val="00ED0C33"/>
    <w:rsid w:val="00ED0C5A"/>
    <w:rsid w:val="00ED0E37"/>
    <w:rsid w:val="00ED1C0B"/>
    <w:rsid w:val="00ED42CB"/>
    <w:rsid w:val="00ED4F17"/>
    <w:rsid w:val="00ED5668"/>
    <w:rsid w:val="00ED65D7"/>
    <w:rsid w:val="00ED692A"/>
    <w:rsid w:val="00ED6930"/>
    <w:rsid w:val="00ED726F"/>
    <w:rsid w:val="00ED72AD"/>
    <w:rsid w:val="00ED77EE"/>
    <w:rsid w:val="00ED7CD9"/>
    <w:rsid w:val="00EE0B41"/>
    <w:rsid w:val="00EE2546"/>
    <w:rsid w:val="00EE262A"/>
    <w:rsid w:val="00EE4902"/>
    <w:rsid w:val="00EE4A88"/>
    <w:rsid w:val="00EE6B8A"/>
    <w:rsid w:val="00EF0C42"/>
    <w:rsid w:val="00EF1F40"/>
    <w:rsid w:val="00EF24F0"/>
    <w:rsid w:val="00EF254B"/>
    <w:rsid w:val="00EF2963"/>
    <w:rsid w:val="00EF3435"/>
    <w:rsid w:val="00EF346D"/>
    <w:rsid w:val="00EF3CE5"/>
    <w:rsid w:val="00EF4D48"/>
    <w:rsid w:val="00EF52DC"/>
    <w:rsid w:val="00EF77AB"/>
    <w:rsid w:val="00EF78EA"/>
    <w:rsid w:val="00EF7A9F"/>
    <w:rsid w:val="00EF7D8C"/>
    <w:rsid w:val="00F02F87"/>
    <w:rsid w:val="00F05603"/>
    <w:rsid w:val="00F0571E"/>
    <w:rsid w:val="00F064A0"/>
    <w:rsid w:val="00F0791E"/>
    <w:rsid w:val="00F11A1E"/>
    <w:rsid w:val="00F14B4F"/>
    <w:rsid w:val="00F14D2A"/>
    <w:rsid w:val="00F15299"/>
    <w:rsid w:val="00F166FD"/>
    <w:rsid w:val="00F17DAB"/>
    <w:rsid w:val="00F17EBD"/>
    <w:rsid w:val="00F20A69"/>
    <w:rsid w:val="00F21D08"/>
    <w:rsid w:val="00F24B6C"/>
    <w:rsid w:val="00F2551F"/>
    <w:rsid w:val="00F26097"/>
    <w:rsid w:val="00F278DE"/>
    <w:rsid w:val="00F316DF"/>
    <w:rsid w:val="00F3253C"/>
    <w:rsid w:val="00F32A66"/>
    <w:rsid w:val="00F34080"/>
    <w:rsid w:val="00F34A72"/>
    <w:rsid w:val="00F34DAE"/>
    <w:rsid w:val="00F36C26"/>
    <w:rsid w:val="00F413CB"/>
    <w:rsid w:val="00F41C0D"/>
    <w:rsid w:val="00F42CE5"/>
    <w:rsid w:val="00F45416"/>
    <w:rsid w:val="00F45713"/>
    <w:rsid w:val="00F46FA0"/>
    <w:rsid w:val="00F512B0"/>
    <w:rsid w:val="00F51B60"/>
    <w:rsid w:val="00F53F63"/>
    <w:rsid w:val="00F5687D"/>
    <w:rsid w:val="00F5702F"/>
    <w:rsid w:val="00F61722"/>
    <w:rsid w:val="00F631BD"/>
    <w:rsid w:val="00F63372"/>
    <w:rsid w:val="00F63880"/>
    <w:rsid w:val="00F658DA"/>
    <w:rsid w:val="00F65BEA"/>
    <w:rsid w:val="00F679CA"/>
    <w:rsid w:val="00F728D6"/>
    <w:rsid w:val="00F76E70"/>
    <w:rsid w:val="00F80542"/>
    <w:rsid w:val="00F80E69"/>
    <w:rsid w:val="00F81123"/>
    <w:rsid w:val="00F82A3A"/>
    <w:rsid w:val="00F82C87"/>
    <w:rsid w:val="00F82CC2"/>
    <w:rsid w:val="00F84290"/>
    <w:rsid w:val="00F863F9"/>
    <w:rsid w:val="00F86837"/>
    <w:rsid w:val="00F874C8"/>
    <w:rsid w:val="00F909DA"/>
    <w:rsid w:val="00F9229C"/>
    <w:rsid w:val="00F93241"/>
    <w:rsid w:val="00F93A1F"/>
    <w:rsid w:val="00F93B8B"/>
    <w:rsid w:val="00F94A39"/>
    <w:rsid w:val="00F94A62"/>
    <w:rsid w:val="00F94BDA"/>
    <w:rsid w:val="00F9571D"/>
    <w:rsid w:val="00F95F78"/>
    <w:rsid w:val="00F961F1"/>
    <w:rsid w:val="00FA080A"/>
    <w:rsid w:val="00FA0A95"/>
    <w:rsid w:val="00FA1134"/>
    <w:rsid w:val="00FA2133"/>
    <w:rsid w:val="00FA3809"/>
    <w:rsid w:val="00FA419C"/>
    <w:rsid w:val="00FA52B8"/>
    <w:rsid w:val="00FA6123"/>
    <w:rsid w:val="00FA67D0"/>
    <w:rsid w:val="00FA72E4"/>
    <w:rsid w:val="00FA773E"/>
    <w:rsid w:val="00FA78C7"/>
    <w:rsid w:val="00FB108E"/>
    <w:rsid w:val="00FB2680"/>
    <w:rsid w:val="00FB42ED"/>
    <w:rsid w:val="00FB6688"/>
    <w:rsid w:val="00FB6FDB"/>
    <w:rsid w:val="00FC0670"/>
    <w:rsid w:val="00FC08B7"/>
    <w:rsid w:val="00FC1181"/>
    <w:rsid w:val="00FC17CA"/>
    <w:rsid w:val="00FC2DF3"/>
    <w:rsid w:val="00FC44F9"/>
    <w:rsid w:val="00FC494B"/>
    <w:rsid w:val="00FC4E8C"/>
    <w:rsid w:val="00FC6008"/>
    <w:rsid w:val="00FC6802"/>
    <w:rsid w:val="00FC7C71"/>
    <w:rsid w:val="00FD12C7"/>
    <w:rsid w:val="00FD3E67"/>
    <w:rsid w:val="00FD57B4"/>
    <w:rsid w:val="00FD7E49"/>
    <w:rsid w:val="00FE0F9D"/>
    <w:rsid w:val="00FE153D"/>
    <w:rsid w:val="00FE1C97"/>
    <w:rsid w:val="00FE2216"/>
    <w:rsid w:val="00FE2A1A"/>
    <w:rsid w:val="00FE32C1"/>
    <w:rsid w:val="00FE401A"/>
    <w:rsid w:val="00FE431B"/>
    <w:rsid w:val="00FE49AD"/>
    <w:rsid w:val="00FE6D8B"/>
    <w:rsid w:val="00FF0186"/>
    <w:rsid w:val="00FF25F7"/>
    <w:rsid w:val="00FF2D4B"/>
    <w:rsid w:val="00FF414D"/>
    <w:rsid w:val="00FF51BA"/>
    <w:rsid w:val="00FF571F"/>
    <w:rsid w:val="014C27CC"/>
    <w:rsid w:val="01722330"/>
    <w:rsid w:val="01A8611A"/>
    <w:rsid w:val="01D13934"/>
    <w:rsid w:val="01EE7BF2"/>
    <w:rsid w:val="0281282A"/>
    <w:rsid w:val="02A863E6"/>
    <w:rsid w:val="02A9559F"/>
    <w:rsid w:val="02DD7357"/>
    <w:rsid w:val="0318182F"/>
    <w:rsid w:val="032A4F26"/>
    <w:rsid w:val="03323B24"/>
    <w:rsid w:val="03914836"/>
    <w:rsid w:val="03EC0873"/>
    <w:rsid w:val="0458277C"/>
    <w:rsid w:val="04620439"/>
    <w:rsid w:val="04A66578"/>
    <w:rsid w:val="04AD1490"/>
    <w:rsid w:val="04E63CCA"/>
    <w:rsid w:val="04EE5551"/>
    <w:rsid w:val="05014417"/>
    <w:rsid w:val="051C17A2"/>
    <w:rsid w:val="053242B0"/>
    <w:rsid w:val="054B35C3"/>
    <w:rsid w:val="056804E6"/>
    <w:rsid w:val="058C1C12"/>
    <w:rsid w:val="061B2209"/>
    <w:rsid w:val="06C97BEB"/>
    <w:rsid w:val="06FC6D77"/>
    <w:rsid w:val="074E3FBF"/>
    <w:rsid w:val="077627A2"/>
    <w:rsid w:val="07950B26"/>
    <w:rsid w:val="07BC5992"/>
    <w:rsid w:val="07EF6488"/>
    <w:rsid w:val="080925E7"/>
    <w:rsid w:val="08142F84"/>
    <w:rsid w:val="08192CFC"/>
    <w:rsid w:val="082223BA"/>
    <w:rsid w:val="083C2232"/>
    <w:rsid w:val="087414B1"/>
    <w:rsid w:val="08C43EC2"/>
    <w:rsid w:val="091972B0"/>
    <w:rsid w:val="094B3B92"/>
    <w:rsid w:val="095A2027"/>
    <w:rsid w:val="096807EE"/>
    <w:rsid w:val="099217C1"/>
    <w:rsid w:val="09F55701"/>
    <w:rsid w:val="0A5012B7"/>
    <w:rsid w:val="0A544CC8"/>
    <w:rsid w:val="0A966D0B"/>
    <w:rsid w:val="0AB47515"/>
    <w:rsid w:val="0ABC216B"/>
    <w:rsid w:val="0AC05EBA"/>
    <w:rsid w:val="0B4B7890"/>
    <w:rsid w:val="0B8E52DB"/>
    <w:rsid w:val="0B996E37"/>
    <w:rsid w:val="0BA75AE5"/>
    <w:rsid w:val="0BAB6B6A"/>
    <w:rsid w:val="0BC916A9"/>
    <w:rsid w:val="0BFB3443"/>
    <w:rsid w:val="0BFF2A12"/>
    <w:rsid w:val="0C324B95"/>
    <w:rsid w:val="0C3E79DE"/>
    <w:rsid w:val="0C3F221D"/>
    <w:rsid w:val="0C5F0B24"/>
    <w:rsid w:val="0C895C60"/>
    <w:rsid w:val="0CCE1A65"/>
    <w:rsid w:val="0CD06418"/>
    <w:rsid w:val="0D2E35AF"/>
    <w:rsid w:val="0D3861DB"/>
    <w:rsid w:val="0D49663A"/>
    <w:rsid w:val="0D4C495A"/>
    <w:rsid w:val="0D51729D"/>
    <w:rsid w:val="0D7336B7"/>
    <w:rsid w:val="0DC6452F"/>
    <w:rsid w:val="0DF30354"/>
    <w:rsid w:val="0DFA2652"/>
    <w:rsid w:val="0DFC36AD"/>
    <w:rsid w:val="0E0504E2"/>
    <w:rsid w:val="0E1650E2"/>
    <w:rsid w:val="0E715E49"/>
    <w:rsid w:val="0EA275F8"/>
    <w:rsid w:val="0EB00EEB"/>
    <w:rsid w:val="0ECF2B6F"/>
    <w:rsid w:val="0F172BF4"/>
    <w:rsid w:val="0F2C1D70"/>
    <w:rsid w:val="0F2F360E"/>
    <w:rsid w:val="0F3759B1"/>
    <w:rsid w:val="0FB35FED"/>
    <w:rsid w:val="0FD03043"/>
    <w:rsid w:val="0FF15F19"/>
    <w:rsid w:val="106D43EE"/>
    <w:rsid w:val="10941475"/>
    <w:rsid w:val="109E6C9D"/>
    <w:rsid w:val="10A274A9"/>
    <w:rsid w:val="114710E3"/>
    <w:rsid w:val="114C5FE4"/>
    <w:rsid w:val="116A2D06"/>
    <w:rsid w:val="117718F2"/>
    <w:rsid w:val="11E87067"/>
    <w:rsid w:val="12214629"/>
    <w:rsid w:val="1236058A"/>
    <w:rsid w:val="12380A2C"/>
    <w:rsid w:val="124A7A65"/>
    <w:rsid w:val="127C4DBC"/>
    <w:rsid w:val="129C0850"/>
    <w:rsid w:val="129F0CF2"/>
    <w:rsid w:val="1319260B"/>
    <w:rsid w:val="13313DF9"/>
    <w:rsid w:val="134C0EB9"/>
    <w:rsid w:val="13503262"/>
    <w:rsid w:val="13B7188E"/>
    <w:rsid w:val="13D406A9"/>
    <w:rsid w:val="13FA40B2"/>
    <w:rsid w:val="140E3FAD"/>
    <w:rsid w:val="141259D8"/>
    <w:rsid w:val="14775540"/>
    <w:rsid w:val="14B24AC5"/>
    <w:rsid w:val="14DC5FE6"/>
    <w:rsid w:val="14E63797"/>
    <w:rsid w:val="152647B6"/>
    <w:rsid w:val="153951E6"/>
    <w:rsid w:val="158226E9"/>
    <w:rsid w:val="15853F88"/>
    <w:rsid w:val="15D234A2"/>
    <w:rsid w:val="15F331DF"/>
    <w:rsid w:val="16343BF3"/>
    <w:rsid w:val="16354A4D"/>
    <w:rsid w:val="165C439F"/>
    <w:rsid w:val="170840D6"/>
    <w:rsid w:val="173E42E7"/>
    <w:rsid w:val="174409AB"/>
    <w:rsid w:val="175C2E16"/>
    <w:rsid w:val="17710C68"/>
    <w:rsid w:val="179D55D4"/>
    <w:rsid w:val="17EE22B8"/>
    <w:rsid w:val="17FA6EAF"/>
    <w:rsid w:val="18257C18"/>
    <w:rsid w:val="185B5474"/>
    <w:rsid w:val="18707171"/>
    <w:rsid w:val="18A46A29"/>
    <w:rsid w:val="18E37943"/>
    <w:rsid w:val="18EC0371"/>
    <w:rsid w:val="191915B7"/>
    <w:rsid w:val="193429C9"/>
    <w:rsid w:val="194F4FD8"/>
    <w:rsid w:val="196C1720"/>
    <w:rsid w:val="19B231FF"/>
    <w:rsid w:val="1A240213"/>
    <w:rsid w:val="1A5A4DD1"/>
    <w:rsid w:val="1A6F38CC"/>
    <w:rsid w:val="1A864A2A"/>
    <w:rsid w:val="1AE654C9"/>
    <w:rsid w:val="1AF04599"/>
    <w:rsid w:val="1AF056CE"/>
    <w:rsid w:val="1B0A1535"/>
    <w:rsid w:val="1B486183"/>
    <w:rsid w:val="1B526161"/>
    <w:rsid w:val="1B5B5EB7"/>
    <w:rsid w:val="1BA86C22"/>
    <w:rsid w:val="1C0D4CD7"/>
    <w:rsid w:val="1C135997"/>
    <w:rsid w:val="1C1B3CDE"/>
    <w:rsid w:val="1C413D45"/>
    <w:rsid w:val="1C5841A4"/>
    <w:rsid w:val="1C6F08D6"/>
    <w:rsid w:val="1C8A3FE5"/>
    <w:rsid w:val="1C9B5C0A"/>
    <w:rsid w:val="1CC17F9B"/>
    <w:rsid w:val="1CE26164"/>
    <w:rsid w:val="1CED3BD5"/>
    <w:rsid w:val="1D216385"/>
    <w:rsid w:val="1D436C02"/>
    <w:rsid w:val="1D883FAA"/>
    <w:rsid w:val="1DBC66D4"/>
    <w:rsid w:val="1DC615E1"/>
    <w:rsid w:val="1DCC1FFE"/>
    <w:rsid w:val="1DD43CFE"/>
    <w:rsid w:val="1E940E3D"/>
    <w:rsid w:val="1EB53B30"/>
    <w:rsid w:val="1EE2069D"/>
    <w:rsid w:val="1EE75CAA"/>
    <w:rsid w:val="1EFD07C5"/>
    <w:rsid w:val="1F525822"/>
    <w:rsid w:val="1F725914"/>
    <w:rsid w:val="1F743F21"/>
    <w:rsid w:val="1F947BE9"/>
    <w:rsid w:val="1FC97167"/>
    <w:rsid w:val="1FCE43E0"/>
    <w:rsid w:val="1FE94A68"/>
    <w:rsid w:val="1FEB337C"/>
    <w:rsid w:val="200301D7"/>
    <w:rsid w:val="20256A93"/>
    <w:rsid w:val="20346CD6"/>
    <w:rsid w:val="20854EA0"/>
    <w:rsid w:val="20C8589C"/>
    <w:rsid w:val="20D40E05"/>
    <w:rsid w:val="20E675E7"/>
    <w:rsid w:val="21183BBB"/>
    <w:rsid w:val="211B1C44"/>
    <w:rsid w:val="21464F13"/>
    <w:rsid w:val="21A72799"/>
    <w:rsid w:val="21AF3493"/>
    <w:rsid w:val="21C30312"/>
    <w:rsid w:val="226E6BA1"/>
    <w:rsid w:val="22996F47"/>
    <w:rsid w:val="22D327D6"/>
    <w:rsid w:val="23270D74"/>
    <w:rsid w:val="23593656"/>
    <w:rsid w:val="23D9610A"/>
    <w:rsid w:val="24042E63"/>
    <w:rsid w:val="242341FB"/>
    <w:rsid w:val="24BB1774"/>
    <w:rsid w:val="24EE1B49"/>
    <w:rsid w:val="250560EA"/>
    <w:rsid w:val="252779ED"/>
    <w:rsid w:val="25363E8C"/>
    <w:rsid w:val="253F23A5"/>
    <w:rsid w:val="25537BFE"/>
    <w:rsid w:val="256B669F"/>
    <w:rsid w:val="257B5469"/>
    <w:rsid w:val="25B82157"/>
    <w:rsid w:val="260333D3"/>
    <w:rsid w:val="26186B7F"/>
    <w:rsid w:val="26222585"/>
    <w:rsid w:val="26CE3129"/>
    <w:rsid w:val="26D17AE1"/>
    <w:rsid w:val="26DA7C91"/>
    <w:rsid w:val="26E53ED1"/>
    <w:rsid w:val="27391076"/>
    <w:rsid w:val="276F3FD4"/>
    <w:rsid w:val="27702CEA"/>
    <w:rsid w:val="278C3EF7"/>
    <w:rsid w:val="27BF23DC"/>
    <w:rsid w:val="285A29D1"/>
    <w:rsid w:val="288D78CB"/>
    <w:rsid w:val="28996270"/>
    <w:rsid w:val="28B27007"/>
    <w:rsid w:val="28B44E58"/>
    <w:rsid w:val="28E6511B"/>
    <w:rsid w:val="29C410CB"/>
    <w:rsid w:val="29DF2B8F"/>
    <w:rsid w:val="2A491472"/>
    <w:rsid w:val="2A864D1F"/>
    <w:rsid w:val="2A88659C"/>
    <w:rsid w:val="2AA71B04"/>
    <w:rsid w:val="2B400684"/>
    <w:rsid w:val="2B824D9A"/>
    <w:rsid w:val="2BB5740F"/>
    <w:rsid w:val="2BC36E8F"/>
    <w:rsid w:val="2C2B3683"/>
    <w:rsid w:val="2C574478"/>
    <w:rsid w:val="2C723060"/>
    <w:rsid w:val="2C7E7C57"/>
    <w:rsid w:val="2C835E6C"/>
    <w:rsid w:val="2C897692"/>
    <w:rsid w:val="2CD45AC9"/>
    <w:rsid w:val="2D872B3B"/>
    <w:rsid w:val="2DB570A6"/>
    <w:rsid w:val="2DC07DFB"/>
    <w:rsid w:val="2E12625F"/>
    <w:rsid w:val="2E2F7480"/>
    <w:rsid w:val="2E876B6B"/>
    <w:rsid w:val="2EDD678B"/>
    <w:rsid w:val="2EFD594B"/>
    <w:rsid w:val="2F081A65"/>
    <w:rsid w:val="2F5615D7"/>
    <w:rsid w:val="2F6A2714"/>
    <w:rsid w:val="2FA04514"/>
    <w:rsid w:val="2FB71AAF"/>
    <w:rsid w:val="2FD9278D"/>
    <w:rsid w:val="2FDA6A69"/>
    <w:rsid w:val="2FDD7DD0"/>
    <w:rsid w:val="2FE05D8B"/>
    <w:rsid w:val="30195B3F"/>
    <w:rsid w:val="309317F7"/>
    <w:rsid w:val="30A527F1"/>
    <w:rsid w:val="30AE55C4"/>
    <w:rsid w:val="30B023A9"/>
    <w:rsid w:val="30B51AE8"/>
    <w:rsid w:val="311E18EB"/>
    <w:rsid w:val="3150593A"/>
    <w:rsid w:val="31CF685F"/>
    <w:rsid w:val="31D30AB9"/>
    <w:rsid w:val="31F75DB5"/>
    <w:rsid w:val="31FC33CC"/>
    <w:rsid w:val="3215659C"/>
    <w:rsid w:val="3216448E"/>
    <w:rsid w:val="323963CE"/>
    <w:rsid w:val="327D6049"/>
    <w:rsid w:val="32964A7D"/>
    <w:rsid w:val="32A01FA9"/>
    <w:rsid w:val="32A2020C"/>
    <w:rsid w:val="32C44F10"/>
    <w:rsid w:val="32F81DE5"/>
    <w:rsid w:val="32FE4BEF"/>
    <w:rsid w:val="3321133C"/>
    <w:rsid w:val="333818AA"/>
    <w:rsid w:val="333F4359"/>
    <w:rsid w:val="3341553A"/>
    <w:rsid w:val="339A4C4A"/>
    <w:rsid w:val="34160775"/>
    <w:rsid w:val="341930DD"/>
    <w:rsid w:val="341C3FDE"/>
    <w:rsid w:val="341E7629"/>
    <w:rsid w:val="34637732"/>
    <w:rsid w:val="34D00D71"/>
    <w:rsid w:val="35827561"/>
    <w:rsid w:val="35C15535"/>
    <w:rsid w:val="35C42B4C"/>
    <w:rsid w:val="35CB558F"/>
    <w:rsid w:val="35D2691D"/>
    <w:rsid w:val="35DE3514"/>
    <w:rsid w:val="360A4005"/>
    <w:rsid w:val="360D3DFA"/>
    <w:rsid w:val="36222F08"/>
    <w:rsid w:val="3622701E"/>
    <w:rsid w:val="363A76D1"/>
    <w:rsid w:val="3666399D"/>
    <w:rsid w:val="36757CB8"/>
    <w:rsid w:val="369167D9"/>
    <w:rsid w:val="36D641EB"/>
    <w:rsid w:val="36EA586D"/>
    <w:rsid w:val="370E7E29"/>
    <w:rsid w:val="373D426B"/>
    <w:rsid w:val="375A12C0"/>
    <w:rsid w:val="37617183"/>
    <w:rsid w:val="377E29CE"/>
    <w:rsid w:val="37E971D1"/>
    <w:rsid w:val="37F74347"/>
    <w:rsid w:val="384A3F8D"/>
    <w:rsid w:val="388B7B68"/>
    <w:rsid w:val="38F66DC7"/>
    <w:rsid w:val="38F925B6"/>
    <w:rsid w:val="39281132"/>
    <w:rsid w:val="39281CAF"/>
    <w:rsid w:val="393106B1"/>
    <w:rsid w:val="394624FA"/>
    <w:rsid w:val="397C25C4"/>
    <w:rsid w:val="39910E77"/>
    <w:rsid w:val="39F33306"/>
    <w:rsid w:val="3A033549"/>
    <w:rsid w:val="3A2636DC"/>
    <w:rsid w:val="3A5F274A"/>
    <w:rsid w:val="3A870D3E"/>
    <w:rsid w:val="3AB7434D"/>
    <w:rsid w:val="3ABA665C"/>
    <w:rsid w:val="3ACC3886"/>
    <w:rsid w:val="3B2F2F8D"/>
    <w:rsid w:val="3B4B00AC"/>
    <w:rsid w:val="3B5B1ACD"/>
    <w:rsid w:val="3C5C1637"/>
    <w:rsid w:val="3CC176EC"/>
    <w:rsid w:val="3CDA3B8B"/>
    <w:rsid w:val="3CDC724F"/>
    <w:rsid w:val="3CF643B9"/>
    <w:rsid w:val="3D233F03"/>
    <w:rsid w:val="3D4072C1"/>
    <w:rsid w:val="3D915310"/>
    <w:rsid w:val="3DD20930"/>
    <w:rsid w:val="3E0A5E5A"/>
    <w:rsid w:val="3E1B6176"/>
    <w:rsid w:val="3E8509F9"/>
    <w:rsid w:val="3EE81F12"/>
    <w:rsid w:val="3F2B08A3"/>
    <w:rsid w:val="3F500E2A"/>
    <w:rsid w:val="3F5900B0"/>
    <w:rsid w:val="3F6251B6"/>
    <w:rsid w:val="3F6F342F"/>
    <w:rsid w:val="3F76656C"/>
    <w:rsid w:val="3F883761"/>
    <w:rsid w:val="3F8E0C9E"/>
    <w:rsid w:val="3FAA26B9"/>
    <w:rsid w:val="3FCF2120"/>
    <w:rsid w:val="3FD93276"/>
    <w:rsid w:val="3FFFBABA"/>
    <w:rsid w:val="40104C12"/>
    <w:rsid w:val="4013200C"/>
    <w:rsid w:val="402F094F"/>
    <w:rsid w:val="404032AC"/>
    <w:rsid w:val="40733E89"/>
    <w:rsid w:val="40A9471F"/>
    <w:rsid w:val="40A9721F"/>
    <w:rsid w:val="412818CA"/>
    <w:rsid w:val="415E5240"/>
    <w:rsid w:val="4175671F"/>
    <w:rsid w:val="417E5DD1"/>
    <w:rsid w:val="41970A1B"/>
    <w:rsid w:val="41A82C28"/>
    <w:rsid w:val="41C55588"/>
    <w:rsid w:val="41D81760"/>
    <w:rsid w:val="423F0AFA"/>
    <w:rsid w:val="425C24E5"/>
    <w:rsid w:val="42C27D1A"/>
    <w:rsid w:val="42DE2DA6"/>
    <w:rsid w:val="42ED34B7"/>
    <w:rsid w:val="430F091F"/>
    <w:rsid w:val="43164513"/>
    <w:rsid w:val="43317379"/>
    <w:rsid w:val="43855569"/>
    <w:rsid w:val="43956623"/>
    <w:rsid w:val="43F46D48"/>
    <w:rsid w:val="44265A92"/>
    <w:rsid w:val="442A5B77"/>
    <w:rsid w:val="443E6AB5"/>
    <w:rsid w:val="44496945"/>
    <w:rsid w:val="449159AF"/>
    <w:rsid w:val="44933DD1"/>
    <w:rsid w:val="449A71A0"/>
    <w:rsid w:val="44D96091"/>
    <w:rsid w:val="44E65444"/>
    <w:rsid w:val="44F04356"/>
    <w:rsid w:val="44F248E6"/>
    <w:rsid w:val="455A53D0"/>
    <w:rsid w:val="456E4769"/>
    <w:rsid w:val="4597302E"/>
    <w:rsid w:val="459F1828"/>
    <w:rsid w:val="45D466E2"/>
    <w:rsid w:val="461D2978"/>
    <w:rsid w:val="46427C1A"/>
    <w:rsid w:val="467858A0"/>
    <w:rsid w:val="47032C99"/>
    <w:rsid w:val="470628CB"/>
    <w:rsid w:val="47290DDD"/>
    <w:rsid w:val="477737C9"/>
    <w:rsid w:val="47986858"/>
    <w:rsid w:val="47CD33E9"/>
    <w:rsid w:val="47D91D8D"/>
    <w:rsid w:val="47EA2CAE"/>
    <w:rsid w:val="47EA7AF7"/>
    <w:rsid w:val="47F238F7"/>
    <w:rsid w:val="47FD0AF2"/>
    <w:rsid w:val="481A174B"/>
    <w:rsid w:val="484713ED"/>
    <w:rsid w:val="4851401A"/>
    <w:rsid w:val="48653621"/>
    <w:rsid w:val="48937470"/>
    <w:rsid w:val="489A7423"/>
    <w:rsid w:val="48BD64DD"/>
    <w:rsid w:val="48C57E57"/>
    <w:rsid w:val="48E40097"/>
    <w:rsid w:val="493354CD"/>
    <w:rsid w:val="494241D6"/>
    <w:rsid w:val="49652ABA"/>
    <w:rsid w:val="499C12C5"/>
    <w:rsid w:val="4A2D016F"/>
    <w:rsid w:val="4A8138AB"/>
    <w:rsid w:val="4ADF590D"/>
    <w:rsid w:val="4AED69F2"/>
    <w:rsid w:val="4AF50563"/>
    <w:rsid w:val="4AF57FC5"/>
    <w:rsid w:val="4B201A81"/>
    <w:rsid w:val="4B4B2FA2"/>
    <w:rsid w:val="4B717B00"/>
    <w:rsid w:val="4BF076A6"/>
    <w:rsid w:val="4C152BA1"/>
    <w:rsid w:val="4C382EE5"/>
    <w:rsid w:val="4C3D6839"/>
    <w:rsid w:val="4C41120B"/>
    <w:rsid w:val="4C553C25"/>
    <w:rsid w:val="4C5B3519"/>
    <w:rsid w:val="4C806C7C"/>
    <w:rsid w:val="4C91317A"/>
    <w:rsid w:val="4CE87A08"/>
    <w:rsid w:val="4D335359"/>
    <w:rsid w:val="4D6167E6"/>
    <w:rsid w:val="4D6175DC"/>
    <w:rsid w:val="4D856D27"/>
    <w:rsid w:val="4DA20816"/>
    <w:rsid w:val="4DC92CD7"/>
    <w:rsid w:val="4DED6593"/>
    <w:rsid w:val="4E092269"/>
    <w:rsid w:val="4E2B0F88"/>
    <w:rsid w:val="4E7E543D"/>
    <w:rsid w:val="4E881BE5"/>
    <w:rsid w:val="4E944C60"/>
    <w:rsid w:val="4EC4650F"/>
    <w:rsid w:val="4EE56128"/>
    <w:rsid w:val="4EE72FE2"/>
    <w:rsid w:val="4EE75CC4"/>
    <w:rsid w:val="4F18763F"/>
    <w:rsid w:val="4F2C4E99"/>
    <w:rsid w:val="4F917597"/>
    <w:rsid w:val="4FA24068"/>
    <w:rsid w:val="50290863"/>
    <w:rsid w:val="503009B9"/>
    <w:rsid w:val="503A35E5"/>
    <w:rsid w:val="504F52E3"/>
    <w:rsid w:val="509C3DB1"/>
    <w:rsid w:val="50AA076B"/>
    <w:rsid w:val="50CA4969"/>
    <w:rsid w:val="50FB2675"/>
    <w:rsid w:val="51276F2F"/>
    <w:rsid w:val="51521E47"/>
    <w:rsid w:val="519002A4"/>
    <w:rsid w:val="51A60F32"/>
    <w:rsid w:val="5223390F"/>
    <w:rsid w:val="525302BD"/>
    <w:rsid w:val="527C4F8C"/>
    <w:rsid w:val="52937A82"/>
    <w:rsid w:val="52A15587"/>
    <w:rsid w:val="52EF3659"/>
    <w:rsid w:val="52FF0954"/>
    <w:rsid w:val="532C7E74"/>
    <w:rsid w:val="535C67F4"/>
    <w:rsid w:val="537868FE"/>
    <w:rsid w:val="539F385C"/>
    <w:rsid w:val="53C5766A"/>
    <w:rsid w:val="53D807F8"/>
    <w:rsid w:val="54744356"/>
    <w:rsid w:val="549D5839"/>
    <w:rsid w:val="54B249EC"/>
    <w:rsid w:val="54F00716"/>
    <w:rsid w:val="551F68E2"/>
    <w:rsid w:val="55732C1E"/>
    <w:rsid w:val="55AA6B17"/>
    <w:rsid w:val="55AD3E77"/>
    <w:rsid w:val="55C2640C"/>
    <w:rsid w:val="55CA71B9"/>
    <w:rsid w:val="55DD6EED"/>
    <w:rsid w:val="56086042"/>
    <w:rsid w:val="560939BA"/>
    <w:rsid w:val="56200210"/>
    <w:rsid w:val="5627086A"/>
    <w:rsid w:val="5661367A"/>
    <w:rsid w:val="56707A15"/>
    <w:rsid w:val="56AB361F"/>
    <w:rsid w:val="56DE4CCA"/>
    <w:rsid w:val="57250B4B"/>
    <w:rsid w:val="57473A54"/>
    <w:rsid w:val="57574A7D"/>
    <w:rsid w:val="577373DA"/>
    <w:rsid w:val="57925AB5"/>
    <w:rsid w:val="579C0B3D"/>
    <w:rsid w:val="579E445A"/>
    <w:rsid w:val="57C02622"/>
    <w:rsid w:val="57C06AC6"/>
    <w:rsid w:val="57F22135"/>
    <w:rsid w:val="57F30C49"/>
    <w:rsid w:val="58095D77"/>
    <w:rsid w:val="580E148F"/>
    <w:rsid w:val="58896EB8"/>
    <w:rsid w:val="58996335"/>
    <w:rsid w:val="58B448BD"/>
    <w:rsid w:val="591C7D2C"/>
    <w:rsid w:val="593D70D6"/>
    <w:rsid w:val="59463A58"/>
    <w:rsid w:val="597B0EF6"/>
    <w:rsid w:val="59861515"/>
    <w:rsid w:val="5A0208E1"/>
    <w:rsid w:val="5A655703"/>
    <w:rsid w:val="5A743ACD"/>
    <w:rsid w:val="5A7E4720"/>
    <w:rsid w:val="5A9B7524"/>
    <w:rsid w:val="5AD27D9F"/>
    <w:rsid w:val="5AFF5690"/>
    <w:rsid w:val="5B1E7446"/>
    <w:rsid w:val="5B3C1085"/>
    <w:rsid w:val="5B430795"/>
    <w:rsid w:val="5B525C87"/>
    <w:rsid w:val="5B8B7ED1"/>
    <w:rsid w:val="5BA30291"/>
    <w:rsid w:val="5C0F2D8D"/>
    <w:rsid w:val="5C1B25E8"/>
    <w:rsid w:val="5C1C6F14"/>
    <w:rsid w:val="5C5872CD"/>
    <w:rsid w:val="5C93726A"/>
    <w:rsid w:val="5C981DBF"/>
    <w:rsid w:val="5C9B64A5"/>
    <w:rsid w:val="5CA249EC"/>
    <w:rsid w:val="5CDC733C"/>
    <w:rsid w:val="5CED2B84"/>
    <w:rsid w:val="5D3E5631"/>
    <w:rsid w:val="5D720862"/>
    <w:rsid w:val="5D9B1B67"/>
    <w:rsid w:val="5E0B0AD6"/>
    <w:rsid w:val="5E174F66"/>
    <w:rsid w:val="5E246AB7"/>
    <w:rsid w:val="5E345B18"/>
    <w:rsid w:val="5E3C52A1"/>
    <w:rsid w:val="5E7A79CF"/>
    <w:rsid w:val="5E7D516C"/>
    <w:rsid w:val="5E861953"/>
    <w:rsid w:val="5E895E64"/>
    <w:rsid w:val="5EA20CD3"/>
    <w:rsid w:val="5EA26F25"/>
    <w:rsid w:val="5EA767D4"/>
    <w:rsid w:val="5EAC1B52"/>
    <w:rsid w:val="5EFE5C05"/>
    <w:rsid w:val="5F245B8C"/>
    <w:rsid w:val="5F675AEC"/>
    <w:rsid w:val="5FBC7B73"/>
    <w:rsid w:val="5FC627A0"/>
    <w:rsid w:val="60674A60"/>
    <w:rsid w:val="606C77EB"/>
    <w:rsid w:val="60712CDB"/>
    <w:rsid w:val="6082183E"/>
    <w:rsid w:val="608753C7"/>
    <w:rsid w:val="60A06FD9"/>
    <w:rsid w:val="60E97184"/>
    <w:rsid w:val="61246CA6"/>
    <w:rsid w:val="61DB4A05"/>
    <w:rsid w:val="62255EA3"/>
    <w:rsid w:val="626557A1"/>
    <w:rsid w:val="626A1B08"/>
    <w:rsid w:val="627B50DB"/>
    <w:rsid w:val="62DD22DA"/>
    <w:rsid w:val="630D43EE"/>
    <w:rsid w:val="63181564"/>
    <w:rsid w:val="63277AED"/>
    <w:rsid w:val="6392055A"/>
    <w:rsid w:val="63EB0A27"/>
    <w:rsid w:val="63ED0BBF"/>
    <w:rsid w:val="64025D70"/>
    <w:rsid w:val="642D7291"/>
    <w:rsid w:val="64520AA6"/>
    <w:rsid w:val="64551456"/>
    <w:rsid w:val="6455433B"/>
    <w:rsid w:val="648A6492"/>
    <w:rsid w:val="648D2C03"/>
    <w:rsid w:val="64A46326"/>
    <w:rsid w:val="64F35AFD"/>
    <w:rsid w:val="65295CAB"/>
    <w:rsid w:val="656A76F2"/>
    <w:rsid w:val="656B26BC"/>
    <w:rsid w:val="65960E66"/>
    <w:rsid w:val="659770B8"/>
    <w:rsid w:val="65A20654"/>
    <w:rsid w:val="65CC4888"/>
    <w:rsid w:val="65D35E38"/>
    <w:rsid w:val="65DC0F6F"/>
    <w:rsid w:val="65E036F4"/>
    <w:rsid w:val="65F77B57"/>
    <w:rsid w:val="66076358"/>
    <w:rsid w:val="660C46BE"/>
    <w:rsid w:val="6623056B"/>
    <w:rsid w:val="6626035F"/>
    <w:rsid w:val="6635668E"/>
    <w:rsid w:val="664B1C25"/>
    <w:rsid w:val="664E34EF"/>
    <w:rsid w:val="66BD0F1B"/>
    <w:rsid w:val="67550FD9"/>
    <w:rsid w:val="6756607D"/>
    <w:rsid w:val="683639AA"/>
    <w:rsid w:val="68655FB9"/>
    <w:rsid w:val="68686AEA"/>
    <w:rsid w:val="68BE1CA5"/>
    <w:rsid w:val="68C63A9B"/>
    <w:rsid w:val="68F64044"/>
    <w:rsid w:val="69561038"/>
    <w:rsid w:val="69632D7F"/>
    <w:rsid w:val="697215C6"/>
    <w:rsid w:val="69863205"/>
    <w:rsid w:val="698956DA"/>
    <w:rsid w:val="699D2360"/>
    <w:rsid w:val="6A5135AE"/>
    <w:rsid w:val="6A9D7217"/>
    <w:rsid w:val="6ACE3307"/>
    <w:rsid w:val="6AF339A6"/>
    <w:rsid w:val="6B0E6BBC"/>
    <w:rsid w:val="6B136E3A"/>
    <w:rsid w:val="6B780D2C"/>
    <w:rsid w:val="6B8836D6"/>
    <w:rsid w:val="6BC524A5"/>
    <w:rsid w:val="6BCB30F2"/>
    <w:rsid w:val="6BDE0F5C"/>
    <w:rsid w:val="6CD83F75"/>
    <w:rsid w:val="6D2F611B"/>
    <w:rsid w:val="6D3934C6"/>
    <w:rsid w:val="6D8617C0"/>
    <w:rsid w:val="6DCD73EF"/>
    <w:rsid w:val="6DE41446"/>
    <w:rsid w:val="6E18149F"/>
    <w:rsid w:val="6EAB5982"/>
    <w:rsid w:val="6EED1AF7"/>
    <w:rsid w:val="6F4F1E2B"/>
    <w:rsid w:val="6FD64C81"/>
    <w:rsid w:val="6FD902CD"/>
    <w:rsid w:val="70271038"/>
    <w:rsid w:val="70BD374B"/>
    <w:rsid w:val="70E003B7"/>
    <w:rsid w:val="70E06E76"/>
    <w:rsid w:val="70EF6AC6"/>
    <w:rsid w:val="711315BD"/>
    <w:rsid w:val="712104E1"/>
    <w:rsid w:val="714B33EA"/>
    <w:rsid w:val="715D6D6C"/>
    <w:rsid w:val="717C6C3D"/>
    <w:rsid w:val="71C72AD3"/>
    <w:rsid w:val="72442376"/>
    <w:rsid w:val="729F1FBD"/>
    <w:rsid w:val="72FC67AC"/>
    <w:rsid w:val="732E46E8"/>
    <w:rsid w:val="73321515"/>
    <w:rsid w:val="734C5E9F"/>
    <w:rsid w:val="739F68D7"/>
    <w:rsid w:val="73FA17EF"/>
    <w:rsid w:val="74234E08"/>
    <w:rsid w:val="7477209D"/>
    <w:rsid w:val="748A603A"/>
    <w:rsid w:val="74AE6FDC"/>
    <w:rsid w:val="74AF5AA0"/>
    <w:rsid w:val="74B13181"/>
    <w:rsid w:val="7516167C"/>
    <w:rsid w:val="75492921"/>
    <w:rsid w:val="755D2C54"/>
    <w:rsid w:val="75636A79"/>
    <w:rsid w:val="756F7B72"/>
    <w:rsid w:val="759D26FD"/>
    <w:rsid w:val="75B1152C"/>
    <w:rsid w:val="75C94940"/>
    <w:rsid w:val="762473BD"/>
    <w:rsid w:val="76593C15"/>
    <w:rsid w:val="76597807"/>
    <w:rsid w:val="766F7295"/>
    <w:rsid w:val="76C41433"/>
    <w:rsid w:val="76E63F0A"/>
    <w:rsid w:val="772C5EC2"/>
    <w:rsid w:val="77935205"/>
    <w:rsid w:val="77DF6BFC"/>
    <w:rsid w:val="783D6242"/>
    <w:rsid w:val="7840713B"/>
    <w:rsid w:val="78DB5A87"/>
    <w:rsid w:val="79607369"/>
    <w:rsid w:val="796A768D"/>
    <w:rsid w:val="79711576"/>
    <w:rsid w:val="79A0755C"/>
    <w:rsid w:val="79CD0898"/>
    <w:rsid w:val="79DA7335"/>
    <w:rsid w:val="79FA1158"/>
    <w:rsid w:val="7A1E5008"/>
    <w:rsid w:val="7A440A39"/>
    <w:rsid w:val="7A8D418E"/>
    <w:rsid w:val="7AE06065"/>
    <w:rsid w:val="7B0F7299"/>
    <w:rsid w:val="7B277DD2"/>
    <w:rsid w:val="7B4C6972"/>
    <w:rsid w:val="7B672C31"/>
    <w:rsid w:val="7BB0282A"/>
    <w:rsid w:val="7BB20FC6"/>
    <w:rsid w:val="7BDB7EF6"/>
    <w:rsid w:val="7C1F175E"/>
    <w:rsid w:val="7C2B1474"/>
    <w:rsid w:val="7C4C2BB9"/>
    <w:rsid w:val="7C703D67"/>
    <w:rsid w:val="7C7D2259"/>
    <w:rsid w:val="7C936AF2"/>
    <w:rsid w:val="7CB87875"/>
    <w:rsid w:val="7CB958E1"/>
    <w:rsid w:val="7D2A41D2"/>
    <w:rsid w:val="7D31799A"/>
    <w:rsid w:val="7D504ADC"/>
    <w:rsid w:val="7D553689"/>
    <w:rsid w:val="7D8130EC"/>
    <w:rsid w:val="7DA168CE"/>
    <w:rsid w:val="7E151316"/>
    <w:rsid w:val="7E3037AE"/>
    <w:rsid w:val="7E370FE0"/>
    <w:rsid w:val="7E7062A0"/>
    <w:rsid w:val="7EA45F4A"/>
    <w:rsid w:val="7EAA1834"/>
    <w:rsid w:val="7ED12094"/>
    <w:rsid w:val="7EE14CAF"/>
    <w:rsid w:val="7F0E027B"/>
    <w:rsid w:val="7F277E43"/>
    <w:rsid w:val="7F5434CC"/>
    <w:rsid w:val="7F726678"/>
    <w:rsid w:val="7F9374B9"/>
    <w:rsid w:val="7F985CB6"/>
    <w:rsid w:val="7FC248DA"/>
    <w:rsid w:val="A4FFCADC"/>
    <w:rsid w:val="DFBD39CB"/>
    <w:rsid w:val="E9BBBF6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3">
    <w:name w:val="heading 1"/>
    <w:basedOn w:val="1"/>
    <w:next w:val="1"/>
    <w:link w:val="128"/>
    <w:qFormat/>
    <w:uiPriority w:val="0"/>
    <w:pPr>
      <w:keepNext/>
      <w:keepLines/>
      <w:adjustRightInd/>
      <w:spacing w:before="340" w:after="330" w:line="578" w:lineRule="auto"/>
      <w:jc w:val="both"/>
      <w:textAlignment w:val="auto"/>
      <w:outlineLvl w:val="0"/>
    </w:pPr>
    <w:rPr>
      <w:b/>
      <w:kern w:val="44"/>
      <w:sz w:val="44"/>
    </w:rPr>
  </w:style>
  <w:style w:type="paragraph" w:styleId="4">
    <w:name w:val="heading 2"/>
    <w:basedOn w:val="1"/>
    <w:next w:val="1"/>
    <w:link w:val="119"/>
    <w:qFormat/>
    <w:uiPriority w:val="0"/>
    <w:pPr>
      <w:keepNext/>
      <w:keepLines/>
      <w:spacing w:before="260" w:after="260" w:line="416" w:lineRule="atLeast"/>
      <w:outlineLvl w:val="1"/>
    </w:pPr>
    <w:rPr>
      <w:rFonts w:ascii="宋体" w:hAnsi="Arial"/>
      <w:b/>
      <w:sz w:val="28"/>
    </w:rPr>
  </w:style>
  <w:style w:type="paragraph" w:styleId="5">
    <w:name w:val="heading 3"/>
    <w:basedOn w:val="1"/>
    <w:next w:val="1"/>
    <w:link w:val="56"/>
    <w:qFormat/>
    <w:uiPriority w:val="0"/>
    <w:pPr>
      <w:keepNext/>
      <w:keepLines/>
      <w:spacing w:before="260" w:after="260" w:line="416" w:lineRule="atLeast"/>
      <w:outlineLvl w:val="2"/>
    </w:pPr>
    <w:rPr>
      <w:b/>
      <w:sz w:val="32"/>
    </w:rPr>
  </w:style>
  <w:style w:type="paragraph" w:styleId="6">
    <w:name w:val="heading 4"/>
    <w:basedOn w:val="1"/>
    <w:next w:val="7"/>
    <w:link w:val="57"/>
    <w:qFormat/>
    <w:uiPriority w:val="0"/>
    <w:pPr>
      <w:keepNext/>
      <w:numPr>
        <w:ilvl w:val="0"/>
        <w:numId w:val="1"/>
      </w:numPr>
      <w:spacing w:line="360" w:lineRule="auto"/>
      <w:ind w:left="454" w:firstLine="0"/>
      <w:outlineLvl w:val="3"/>
    </w:pPr>
    <w:rPr>
      <w:rFonts w:ascii="宋体"/>
      <w:i/>
    </w:rPr>
  </w:style>
  <w:style w:type="paragraph" w:styleId="8">
    <w:name w:val="heading 5"/>
    <w:basedOn w:val="1"/>
    <w:next w:val="1"/>
    <w:link w:val="58"/>
    <w:qFormat/>
    <w:uiPriority w:val="0"/>
    <w:pPr>
      <w:numPr>
        <w:ilvl w:val="4"/>
        <w:numId w:val="2"/>
      </w:numPr>
      <w:spacing w:line="460" w:lineRule="exact"/>
      <w:ind w:firstLine="510"/>
      <w:outlineLvl w:val="4"/>
    </w:pPr>
  </w:style>
  <w:style w:type="paragraph" w:styleId="9">
    <w:name w:val="heading 6"/>
    <w:basedOn w:val="1"/>
    <w:next w:val="1"/>
    <w:link w:val="59"/>
    <w:qFormat/>
    <w:uiPriority w:val="0"/>
    <w:pPr>
      <w:spacing w:line="460" w:lineRule="exact"/>
      <w:outlineLvl w:val="5"/>
    </w:pPr>
  </w:style>
  <w:style w:type="paragraph" w:styleId="10">
    <w:name w:val="heading 7"/>
    <w:basedOn w:val="1"/>
    <w:next w:val="1"/>
    <w:link w:val="60"/>
    <w:qFormat/>
    <w:uiPriority w:val="0"/>
    <w:pPr>
      <w:numPr>
        <w:ilvl w:val="6"/>
        <w:numId w:val="2"/>
      </w:numPr>
      <w:spacing w:line="460" w:lineRule="exact"/>
      <w:ind w:left="964" w:hanging="340"/>
      <w:outlineLvl w:val="6"/>
    </w:pPr>
  </w:style>
  <w:style w:type="paragraph" w:styleId="11">
    <w:name w:val="heading 8"/>
    <w:basedOn w:val="1"/>
    <w:next w:val="7"/>
    <w:link w:val="61"/>
    <w:qFormat/>
    <w:uiPriority w:val="0"/>
    <w:pPr>
      <w:numPr>
        <w:ilvl w:val="7"/>
        <w:numId w:val="2"/>
      </w:numPr>
      <w:spacing w:line="460" w:lineRule="exact"/>
      <w:ind w:left="1021" w:hanging="284"/>
      <w:outlineLvl w:val="7"/>
    </w:pPr>
  </w:style>
  <w:style w:type="paragraph" w:styleId="12">
    <w:name w:val="heading 9"/>
    <w:basedOn w:val="1"/>
    <w:next w:val="1"/>
    <w:link w:val="62"/>
    <w:qFormat/>
    <w:uiPriority w:val="0"/>
    <w:pPr>
      <w:keepNext/>
      <w:keepLines/>
      <w:numPr>
        <w:ilvl w:val="8"/>
        <w:numId w:val="2"/>
      </w:numPr>
      <w:spacing w:before="240" w:after="64" w:line="320" w:lineRule="atLeast"/>
      <w:outlineLvl w:val="8"/>
    </w:pPr>
    <w:rPr>
      <w:rFonts w:ascii="Arial" w:hAnsi="Arial" w:eastAsia="黑体"/>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70"/>
    <w:qFormat/>
    <w:uiPriority w:val="0"/>
    <w:pPr>
      <w:spacing w:after="120"/>
    </w:pPr>
  </w:style>
  <w:style w:type="paragraph" w:styleId="7">
    <w:name w:val="Normal Indent"/>
    <w:basedOn w:val="1"/>
    <w:link w:val="348"/>
    <w:qFormat/>
    <w:uiPriority w:val="0"/>
    <w:pPr>
      <w:ind w:firstLine="420" w:firstLineChars="200"/>
    </w:pPr>
  </w:style>
  <w:style w:type="paragraph" w:styleId="13">
    <w:name w:val="toc 7"/>
    <w:basedOn w:val="1"/>
    <w:next w:val="1"/>
    <w:qFormat/>
    <w:uiPriority w:val="0"/>
    <w:pPr>
      <w:ind w:left="1440"/>
    </w:pPr>
    <w:rPr>
      <w:rFonts w:ascii="Calibri" w:hAnsi="Calibri"/>
      <w:sz w:val="18"/>
      <w:szCs w:val="18"/>
    </w:rPr>
  </w:style>
  <w:style w:type="paragraph" w:styleId="14">
    <w:name w:val="Document Map"/>
    <w:basedOn w:val="1"/>
    <w:link w:val="74"/>
    <w:qFormat/>
    <w:uiPriority w:val="0"/>
    <w:pPr>
      <w:shd w:val="clear" w:color="auto" w:fill="000080"/>
    </w:pPr>
  </w:style>
  <w:style w:type="paragraph" w:styleId="15">
    <w:name w:val="annotation text"/>
    <w:basedOn w:val="1"/>
    <w:link w:val="82"/>
    <w:qFormat/>
    <w:uiPriority w:val="0"/>
  </w:style>
  <w:style w:type="paragraph" w:styleId="16">
    <w:name w:val="Body Text 3"/>
    <w:basedOn w:val="1"/>
    <w:link w:val="132"/>
    <w:qFormat/>
    <w:uiPriority w:val="0"/>
    <w:pPr>
      <w:adjustRightInd/>
      <w:spacing w:line="240" w:lineRule="auto"/>
      <w:jc w:val="center"/>
      <w:textAlignment w:val="auto"/>
    </w:pPr>
    <w:rPr>
      <w:kern w:val="2"/>
    </w:rPr>
  </w:style>
  <w:style w:type="paragraph" w:styleId="17">
    <w:name w:val="Body Text Indent"/>
    <w:basedOn w:val="1"/>
    <w:link w:val="65"/>
    <w:qFormat/>
    <w:uiPriority w:val="0"/>
    <w:pPr>
      <w:adjustRightInd/>
      <w:spacing w:line="280" w:lineRule="atLeast"/>
      <w:ind w:left="900" w:hanging="50"/>
      <w:jc w:val="both"/>
      <w:textAlignment w:val="auto"/>
    </w:pPr>
    <w:rPr>
      <w:spacing w:val="24"/>
      <w:kern w:val="2"/>
      <w:position w:val="6"/>
    </w:rPr>
  </w:style>
  <w:style w:type="paragraph" w:styleId="18">
    <w:name w:val="Block Text"/>
    <w:basedOn w:val="1"/>
    <w:qFormat/>
    <w:uiPriority w:val="0"/>
    <w:pPr>
      <w:adjustRightInd/>
      <w:spacing w:before="60" w:after="120" w:line="320" w:lineRule="exact"/>
      <w:ind w:left="420" w:right="-357"/>
      <w:jc w:val="both"/>
      <w:textAlignment w:val="auto"/>
    </w:pPr>
    <w:rPr>
      <w:rFonts w:ascii="宋体" w:hAnsi="Arial"/>
      <w:color w:val="000000"/>
      <w:kern w:val="2"/>
      <w:sz w:val="28"/>
    </w:rPr>
  </w:style>
  <w:style w:type="paragraph" w:styleId="19">
    <w:name w:val="toc 5"/>
    <w:basedOn w:val="1"/>
    <w:next w:val="1"/>
    <w:qFormat/>
    <w:uiPriority w:val="0"/>
    <w:pPr>
      <w:ind w:left="960"/>
    </w:pPr>
    <w:rPr>
      <w:rFonts w:ascii="Calibri" w:hAnsi="Calibri"/>
      <w:sz w:val="18"/>
      <w:szCs w:val="18"/>
    </w:rPr>
  </w:style>
  <w:style w:type="paragraph" w:styleId="20">
    <w:name w:val="toc 3"/>
    <w:basedOn w:val="1"/>
    <w:next w:val="1"/>
    <w:qFormat/>
    <w:uiPriority w:val="39"/>
    <w:pPr>
      <w:ind w:left="480"/>
    </w:pPr>
    <w:rPr>
      <w:rFonts w:ascii="Calibri" w:hAnsi="Calibri"/>
      <w:i/>
      <w:iCs/>
      <w:sz w:val="20"/>
    </w:rPr>
  </w:style>
  <w:style w:type="paragraph" w:styleId="21">
    <w:name w:val="Plain Text"/>
    <w:basedOn w:val="1"/>
    <w:link w:val="71"/>
    <w:qFormat/>
    <w:uiPriority w:val="0"/>
    <w:pPr>
      <w:adjustRightInd/>
      <w:spacing w:line="240" w:lineRule="auto"/>
      <w:jc w:val="both"/>
      <w:textAlignment w:val="auto"/>
    </w:pPr>
    <w:rPr>
      <w:rFonts w:ascii="宋体" w:hAnsi="Courier New"/>
      <w:kern w:val="2"/>
      <w:sz w:val="21"/>
    </w:rPr>
  </w:style>
  <w:style w:type="paragraph" w:styleId="22">
    <w:name w:val="toc 8"/>
    <w:basedOn w:val="1"/>
    <w:next w:val="1"/>
    <w:qFormat/>
    <w:uiPriority w:val="0"/>
    <w:pPr>
      <w:ind w:left="1680"/>
    </w:pPr>
    <w:rPr>
      <w:rFonts w:ascii="Calibri" w:hAnsi="Calibri"/>
      <w:sz w:val="18"/>
      <w:szCs w:val="18"/>
    </w:rPr>
  </w:style>
  <w:style w:type="paragraph" w:styleId="23">
    <w:name w:val="Date"/>
    <w:basedOn w:val="1"/>
    <w:next w:val="1"/>
    <w:link w:val="69"/>
    <w:qFormat/>
    <w:uiPriority w:val="0"/>
    <w:pPr>
      <w:jc w:val="both"/>
    </w:pPr>
    <w:rPr>
      <w:rFonts w:ascii="宋体"/>
    </w:rPr>
  </w:style>
  <w:style w:type="paragraph" w:styleId="24">
    <w:name w:val="Body Text Indent 2"/>
    <w:basedOn w:val="1"/>
    <w:link w:val="66"/>
    <w:qFormat/>
    <w:uiPriority w:val="0"/>
    <w:pPr>
      <w:adjustRightInd/>
      <w:spacing w:line="280" w:lineRule="atLeast"/>
      <w:ind w:firstLine="435"/>
      <w:jc w:val="both"/>
      <w:textAlignment w:val="auto"/>
    </w:pPr>
    <w:rPr>
      <w:spacing w:val="24"/>
      <w:kern w:val="2"/>
      <w:position w:val="6"/>
    </w:rPr>
  </w:style>
  <w:style w:type="paragraph" w:styleId="25">
    <w:name w:val="Balloon Text"/>
    <w:basedOn w:val="1"/>
    <w:link w:val="73"/>
    <w:qFormat/>
    <w:uiPriority w:val="0"/>
    <w:rPr>
      <w:sz w:val="18"/>
      <w:szCs w:val="18"/>
    </w:rPr>
  </w:style>
  <w:style w:type="paragraph" w:styleId="26">
    <w:name w:val="footer"/>
    <w:basedOn w:val="1"/>
    <w:link w:val="64"/>
    <w:qFormat/>
    <w:uiPriority w:val="99"/>
    <w:pPr>
      <w:tabs>
        <w:tab w:val="center" w:pos="4153"/>
        <w:tab w:val="right" w:pos="8306"/>
      </w:tabs>
      <w:spacing w:line="240" w:lineRule="atLeast"/>
    </w:pPr>
    <w:rPr>
      <w:sz w:val="18"/>
    </w:rPr>
  </w:style>
  <w:style w:type="paragraph" w:styleId="27">
    <w:name w:val="header"/>
    <w:basedOn w:val="1"/>
    <w:link w:val="63"/>
    <w:qFormat/>
    <w:uiPriority w:val="99"/>
    <w:pPr>
      <w:pBdr>
        <w:bottom w:val="single" w:color="auto" w:sz="6" w:space="1"/>
      </w:pBdr>
      <w:tabs>
        <w:tab w:val="center" w:pos="4153"/>
        <w:tab w:val="right" w:pos="8306"/>
      </w:tabs>
      <w:spacing w:line="240" w:lineRule="atLeast"/>
      <w:jc w:val="center"/>
    </w:pPr>
    <w:rPr>
      <w:sz w:val="18"/>
    </w:rPr>
  </w:style>
  <w:style w:type="paragraph" w:styleId="28">
    <w:name w:val="toc 1"/>
    <w:basedOn w:val="1"/>
    <w:next w:val="1"/>
    <w:qFormat/>
    <w:uiPriority w:val="39"/>
    <w:pPr>
      <w:spacing w:before="120" w:after="120"/>
    </w:pPr>
    <w:rPr>
      <w:rFonts w:ascii="Calibri" w:hAnsi="Calibri"/>
      <w:b/>
      <w:bCs/>
      <w:caps/>
      <w:sz w:val="20"/>
    </w:rPr>
  </w:style>
  <w:style w:type="paragraph" w:styleId="29">
    <w:name w:val="toc 4"/>
    <w:basedOn w:val="1"/>
    <w:next w:val="1"/>
    <w:qFormat/>
    <w:uiPriority w:val="0"/>
    <w:pPr>
      <w:ind w:left="720"/>
    </w:pPr>
    <w:rPr>
      <w:rFonts w:ascii="Calibri" w:hAnsi="Calibri"/>
      <w:sz w:val="18"/>
      <w:szCs w:val="18"/>
    </w:rPr>
  </w:style>
  <w:style w:type="paragraph" w:styleId="30">
    <w:name w:val="Subtitle"/>
    <w:basedOn w:val="1"/>
    <w:next w:val="1"/>
    <w:link w:val="169"/>
    <w:qFormat/>
    <w:uiPriority w:val="0"/>
    <w:pPr>
      <w:adjustRightInd/>
      <w:spacing w:before="240" w:after="60" w:line="312" w:lineRule="auto"/>
      <w:jc w:val="center"/>
      <w:textAlignment w:val="auto"/>
      <w:outlineLvl w:val="1"/>
    </w:pPr>
    <w:rPr>
      <w:rFonts w:ascii="Cambria" w:hAnsi="Cambria" w:eastAsiaTheme="minorEastAsia" w:cstheme="minorBidi"/>
      <w:b/>
      <w:bCs/>
      <w:kern w:val="28"/>
      <w:sz w:val="32"/>
      <w:szCs w:val="32"/>
    </w:rPr>
  </w:style>
  <w:style w:type="paragraph" w:styleId="31">
    <w:name w:val="List"/>
    <w:basedOn w:val="1"/>
    <w:qFormat/>
    <w:uiPriority w:val="0"/>
    <w:pPr>
      <w:adjustRightInd/>
      <w:spacing w:line="240" w:lineRule="auto"/>
      <w:ind w:left="420" w:hanging="420"/>
      <w:jc w:val="both"/>
      <w:textAlignment w:val="auto"/>
    </w:pPr>
    <w:rPr>
      <w:kern w:val="2"/>
      <w:sz w:val="21"/>
    </w:rPr>
  </w:style>
  <w:style w:type="paragraph" w:styleId="32">
    <w:name w:val="footnote text"/>
    <w:basedOn w:val="1"/>
    <w:link w:val="137"/>
    <w:qFormat/>
    <w:uiPriority w:val="0"/>
    <w:pPr>
      <w:adjustRightInd/>
      <w:snapToGrid w:val="0"/>
      <w:spacing w:line="240" w:lineRule="auto"/>
      <w:jc w:val="right"/>
      <w:textAlignment w:val="auto"/>
    </w:pPr>
    <w:rPr>
      <w:kern w:val="2"/>
      <w:sz w:val="21"/>
    </w:rPr>
  </w:style>
  <w:style w:type="paragraph" w:styleId="33">
    <w:name w:val="toc 6"/>
    <w:basedOn w:val="1"/>
    <w:next w:val="1"/>
    <w:qFormat/>
    <w:uiPriority w:val="0"/>
    <w:pPr>
      <w:ind w:left="1200"/>
    </w:pPr>
    <w:rPr>
      <w:rFonts w:ascii="Calibri" w:hAnsi="Calibri"/>
      <w:sz w:val="18"/>
      <w:szCs w:val="18"/>
    </w:rPr>
  </w:style>
  <w:style w:type="paragraph" w:styleId="34">
    <w:name w:val="Body Text Indent 3"/>
    <w:basedOn w:val="1"/>
    <w:link w:val="67"/>
    <w:qFormat/>
    <w:uiPriority w:val="0"/>
    <w:pPr>
      <w:adjustRightInd/>
      <w:spacing w:line="280" w:lineRule="atLeast"/>
      <w:ind w:left="900" w:hanging="40"/>
      <w:jc w:val="both"/>
      <w:textAlignment w:val="auto"/>
    </w:pPr>
    <w:rPr>
      <w:spacing w:val="24"/>
      <w:kern w:val="2"/>
      <w:position w:val="6"/>
    </w:rPr>
  </w:style>
  <w:style w:type="paragraph" w:styleId="35">
    <w:name w:val="toc 2"/>
    <w:basedOn w:val="1"/>
    <w:next w:val="1"/>
    <w:qFormat/>
    <w:uiPriority w:val="39"/>
    <w:pPr>
      <w:ind w:left="240"/>
    </w:pPr>
    <w:rPr>
      <w:rFonts w:ascii="Calibri" w:hAnsi="Calibri"/>
      <w:smallCaps/>
      <w:sz w:val="20"/>
    </w:rPr>
  </w:style>
  <w:style w:type="paragraph" w:styleId="36">
    <w:name w:val="toc 9"/>
    <w:basedOn w:val="1"/>
    <w:next w:val="1"/>
    <w:qFormat/>
    <w:uiPriority w:val="0"/>
    <w:pPr>
      <w:ind w:left="1920"/>
    </w:pPr>
    <w:rPr>
      <w:rFonts w:ascii="Calibri" w:hAnsi="Calibri"/>
      <w:sz w:val="18"/>
      <w:szCs w:val="18"/>
    </w:rPr>
  </w:style>
  <w:style w:type="paragraph" w:styleId="37">
    <w:name w:val="Body Text 2"/>
    <w:basedOn w:val="1"/>
    <w:link w:val="75"/>
    <w:qFormat/>
    <w:uiPriority w:val="0"/>
    <w:pPr>
      <w:spacing w:after="120" w:line="480" w:lineRule="auto"/>
    </w:pPr>
  </w:style>
  <w:style w:type="paragraph" w:styleId="38">
    <w:name w:val="Message Header"/>
    <w:basedOn w:val="1"/>
    <w:link w:val="130"/>
    <w:qFormat/>
    <w:uiPriority w:val="0"/>
    <w:pPr>
      <w:keepNext/>
      <w:keepLines/>
      <w:widowControl/>
      <w:shd w:val="solid" w:color="FFFFFF" w:fill="auto"/>
      <w:tabs>
        <w:tab w:val="left" w:pos="5670"/>
      </w:tabs>
      <w:adjustRightInd/>
      <w:snapToGrid w:val="0"/>
      <w:spacing w:line="240" w:lineRule="auto"/>
      <w:ind w:firstLine="425"/>
      <w:jc w:val="center"/>
      <w:textAlignment w:val="auto"/>
    </w:pPr>
    <w:rPr>
      <w:rFonts w:ascii="Arial" w:hAnsi="Arial" w:eastAsia="黑体"/>
      <w:b/>
      <w:color w:val="0000FF"/>
      <w:kern w:val="2"/>
      <w:position w:val="-2"/>
      <w:sz w:val="21"/>
    </w:rPr>
  </w:style>
  <w:style w:type="paragraph" w:styleId="39">
    <w:name w:val="HTML Preformatted"/>
    <w:basedOn w:val="1"/>
    <w:next w:val="1"/>
    <w:link w:val="164"/>
    <w:qFormat/>
    <w:uiPriority w:val="0"/>
    <w:pPr>
      <w:autoSpaceDE w:val="0"/>
      <w:autoSpaceDN w:val="0"/>
      <w:spacing w:before="100" w:beforeAutospacing="1" w:after="100" w:afterAutospacing="1" w:line="240" w:lineRule="auto"/>
      <w:textAlignment w:val="auto"/>
    </w:pPr>
    <w:rPr>
      <w:rFonts w:ascii="Courier New" w:hAnsi="Courier New"/>
      <w:kern w:val="2"/>
      <w:sz w:val="20"/>
      <w:szCs w:val="24"/>
    </w:rPr>
  </w:style>
  <w:style w:type="paragraph" w:styleId="40">
    <w:name w:val="Normal (Web)"/>
    <w:basedOn w:val="1"/>
    <w:unhideWhenUsed/>
    <w:qFormat/>
    <w:uiPriority w:val="99"/>
    <w:pPr>
      <w:widowControl/>
      <w:adjustRightInd/>
      <w:spacing w:before="100" w:beforeAutospacing="1" w:after="100" w:afterAutospacing="1" w:line="240" w:lineRule="auto"/>
      <w:textAlignment w:val="auto"/>
    </w:pPr>
    <w:rPr>
      <w:rFonts w:ascii="宋体" w:hAnsi="宋体" w:cs="宋体"/>
      <w:szCs w:val="24"/>
    </w:rPr>
  </w:style>
  <w:style w:type="paragraph" w:styleId="41">
    <w:name w:val="index 1"/>
    <w:basedOn w:val="1"/>
    <w:next w:val="1"/>
    <w:semiHidden/>
    <w:qFormat/>
    <w:uiPriority w:val="0"/>
    <w:rPr>
      <w:sz w:val="28"/>
    </w:rPr>
  </w:style>
  <w:style w:type="paragraph" w:styleId="42">
    <w:name w:val="Title"/>
    <w:basedOn w:val="1"/>
    <w:next w:val="1"/>
    <w:link w:val="112"/>
    <w:qFormat/>
    <w:uiPriority w:val="0"/>
    <w:pPr>
      <w:spacing w:before="240" w:after="60"/>
      <w:jc w:val="center"/>
      <w:outlineLvl w:val="0"/>
    </w:pPr>
    <w:rPr>
      <w:rFonts w:ascii="Cambria" w:hAnsi="Cambria"/>
      <w:b/>
      <w:bCs/>
      <w:sz w:val="32"/>
      <w:szCs w:val="32"/>
    </w:rPr>
  </w:style>
  <w:style w:type="paragraph" w:styleId="43">
    <w:name w:val="annotation subject"/>
    <w:basedOn w:val="15"/>
    <w:next w:val="15"/>
    <w:link w:val="83"/>
    <w:qFormat/>
    <w:uiPriority w:val="0"/>
    <w:rPr>
      <w:b/>
      <w:bCs/>
    </w:rPr>
  </w:style>
  <w:style w:type="paragraph" w:styleId="44">
    <w:name w:val="Body Text First Indent"/>
    <w:basedOn w:val="2"/>
    <w:link w:val="109"/>
    <w:qFormat/>
    <w:uiPriority w:val="0"/>
    <w:pPr>
      <w:ind w:firstLine="420" w:firstLineChars="100"/>
    </w:pPr>
  </w:style>
  <w:style w:type="table" w:styleId="46">
    <w:name w:val="Table Grid"/>
    <w:basedOn w:val="45"/>
    <w:qFormat/>
    <w:uiPriority w:val="0"/>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47">
    <w:name w:val="Table Elegant"/>
    <w:basedOn w:val="45"/>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21"/>
      <w:szCs w:val="21"/>
    </w:rPr>
  </w:style>
  <w:style w:type="character" w:customStyle="1" w:styleId="54">
    <w:name w:val="标题 1 Char"/>
    <w:basedOn w:val="48"/>
    <w:link w:val="3"/>
    <w:qFormat/>
    <w:uiPriority w:val="9"/>
    <w:rPr>
      <w:rFonts w:ascii="Times New Roman" w:hAnsi="Times New Roman" w:eastAsia="宋体" w:cs="Times New Roman"/>
      <w:b/>
      <w:bCs/>
      <w:kern w:val="44"/>
      <w:sz w:val="44"/>
      <w:szCs w:val="44"/>
    </w:rPr>
  </w:style>
  <w:style w:type="character" w:customStyle="1" w:styleId="55">
    <w:name w:val="标题 2 Char"/>
    <w:basedOn w:val="48"/>
    <w:semiHidden/>
    <w:qFormat/>
    <w:uiPriority w:val="9"/>
    <w:rPr>
      <w:rFonts w:asciiTheme="majorHAnsi" w:hAnsiTheme="majorHAnsi" w:eastAsiaTheme="majorEastAsia" w:cstheme="majorBidi"/>
      <w:b/>
      <w:bCs/>
      <w:kern w:val="0"/>
      <w:sz w:val="32"/>
      <w:szCs w:val="32"/>
    </w:rPr>
  </w:style>
  <w:style w:type="character" w:customStyle="1" w:styleId="56">
    <w:name w:val="标题 3 Char"/>
    <w:basedOn w:val="48"/>
    <w:link w:val="5"/>
    <w:qFormat/>
    <w:uiPriority w:val="0"/>
    <w:rPr>
      <w:rFonts w:ascii="Times New Roman" w:hAnsi="Times New Roman" w:eastAsia="宋体" w:cs="Times New Roman"/>
      <w:b/>
      <w:kern w:val="0"/>
      <w:sz w:val="32"/>
      <w:szCs w:val="20"/>
    </w:rPr>
  </w:style>
  <w:style w:type="character" w:customStyle="1" w:styleId="57">
    <w:name w:val="标题 4 Char"/>
    <w:basedOn w:val="48"/>
    <w:link w:val="6"/>
    <w:qFormat/>
    <w:uiPriority w:val="0"/>
    <w:rPr>
      <w:rFonts w:ascii="宋体" w:hAnsi="Times New Roman" w:eastAsia="宋体" w:cs="Times New Roman"/>
      <w:i/>
      <w:kern w:val="0"/>
      <w:sz w:val="24"/>
      <w:szCs w:val="20"/>
    </w:rPr>
  </w:style>
  <w:style w:type="character" w:customStyle="1" w:styleId="58">
    <w:name w:val="标题 5 Char"/>
    <w:basedOn w:val="48"/>
    <w:link w:val="8"/>
    <w:qFormat/>
    <w:uiPriority w:val="0"/>
    <w:rPr>
      <w:rFonts w:ascii="Times New Roman" w:hAnsi="Times New Roman" w:eastAsia="宋体" w:cs="Times New Roman"/>
      <w:kern w:val="0"/>
      <w:sz w:val="24"/>
      <w:szCs w:val="20"/>
    </w:rPr>
  </w:style>
  <w:style w:type="character" w:customStyle="1" w:styleId="59">
    <w:name w:val="标题 6 Char"/>
    <w:basedOn w:val="48"/>
    <w:link w:val="9"/>
    <w:qFormat/>
    <w:uiPriority w:val="0"/>
    <w:rPr>
      <w:rFonts w:ascii="Times New Roman" w:hAnsi="Times New Roman" w:eastAsia="宋体" w:cs="Times New Roman"/>
      <w:kern w:val="0"/>
      <w:sz w:val="24"/>
      <w:szCs w:val="20"/>
    </w:rPr>
  </w:style>
  <w:style w:type="character" w:customStyle="1" w:styleId="60">
    <w:name w:val="标题 7 Char"/>
    <w:basedOn w:val="48"/>
    <w:link w:val="10"/>
    <w:qFormat/>
    <w:uiPriority w:val="0"/>
    <w:rPr>
      <w:rFonts w:ascii="Times New Roman" w:hAnsi="Times New Roman" w:eastAsia="宋体" w:cs="Times New Roman"/>
      <w:kern w:val="0"/>
      <w:sz w:val="24"/>
      <w:szCs w:val="20"/>
    </w:rPr>
  </w:style>
  <w:style w:type="character" w:customStyle="1" w:styleId="61">
    <w:name w:val="标题 8 Char"/>
    <w:basedOn w:val="48"/>
    <w:link w:val="11"/>
    <w:qFormat/>
    <w:uiPriority w:val="0"/>
    <w:rPr>
      <w:rFonts w:ascii="Times New Roman" w:hAnsi="Times New Roman" w:eastAsia="宋体" w:cs="Times New Roman"/>
      <w:kern w:val="0"/>
      <w:sz w:val="24"/>
      <w:szCs w:val="20"/>
    </w:rPr>
  </w:style>
  <w:style w:type="character" w:customStyle="1" w:styleId="62">
    <w:name w:val="标题 9 Char"/>
    <w:basedOn w:val="48"/>
    <w:link w:val="12"/>
    <w:qFormat/>
    <w:uiPriority w:val="0"/>
    <w:rPr>
      <w:rFonts w:ascii="Arial" w:hAnsi="Arial" w:eastAsia="黑体" w:cs="Times New Roman"/>
      <w:kern w:val="0"/>
      <w:sz w:val="24"/>
      <w:szCs w:val="20"/>
    </w:rPr>
  </w:style>
  <w:style w:type="character" w:customStyle="1" w:styleId="63">
    <w:name w:val="页眉 Char"/>
    <w:basedOn w:val="48"/>
    <w:link w:val="27"/>
    <w:qFormat/>
    <w:uiPriority w:val="99"/>
    <w:rPr>
      <w:rFonts w:ascii="Times New Roman" w:hAnsi="Times New Roman" w:eastAsia="宋体" w:cs="Times New Roman"/>
      <w:kern w:val="0"/>
      <w:sz w:val="18"/>
      <w:szCs w:val="20"/>
    </w:rPr>
  </w:style>
  <w:style w:type="character" w:customStyle="1" w:styleId="64">
    <w:name w:val="页脚 Char"/>
    <w:basedOn w:val="48"/>
    <w:link w:val="26"/>
    <w:qFormat/>
    <w:uiPriority w:val="99"/>
    <w:rPr>
      <w:rFonts w:ascii="Times New Roman" w:hAnsi="Times New Roman" w:eastAsia="宋体" w:cs="Times New Roman"/>
      <w:kern w:val="0"/>
      <w:sz w:val="18"/>
      <w:szCs w:val="20"/>
    </w:rPr>
  </w:style>
  <w:style w:type="character" w:customStyle="1" w:styleId="65">
    <w:name w:val="正文文本缩进 Char"/>
    <w:basedOn w:val="48"/>
    <w:link w:val="17"/>
    <w:qFormat/>
    <w:uiPriority w:val="0"/>
    <w:rPr>
      <w:rFonts w:ascii="Times New Roman" w:hAnsi="Times New Roman" w:eastAsia="宋体" w:cs="Times New Roman"/>
      <w:spacing w:val="24"/>
      <w:position w:val="6"/>
      <w:sz w:val="24"/>
      <w:szCs w:val="20"/>
    </w:rPr>
  </w:style>
  <w:style w:type="character" w:customStyle="1" w:styleId="66">
    <w:name w:val="正文文本缩进 2 Char"/>
    <w:basedOn w:val="48"/>
    <w:link w:val="24"/>
    <w:qFormat/>
    <w:uiPriority w:val="0"/>
    <w:rPr>
      <w:rFonts w:ascii="Times New Roman" w:hAnsi="Times New Roman" w:eastAsia="宋体" w:cs="Times New Roman"/>
      <w:spacing w:val="24"/>
      <w:position w:val="6"/>
      <w:sz w:val="24"/>
      <w:szCs w:val="20"/>
    </w:rPr>
  </w:style>
  <w:style w:type="character" w:customStyle="1" w:styleId="67">
    <w:name w:val="正文文本缩进 3 Char"/>
    <w:basedOn w:val="48"/>
    <w:link w:val="34"/>
    <w:qFormat/>
    <w:uiPriority w:val="0"/>
    <w:rPr>
      <w:rFonts w:ascii="Times New Roman" w:hAnsi="Times New Roman" w:eastAsia="宋体" w:cs="Times New Roman"/>
      <w:spacing w:val="24"/>
      <w:position w:val="6"/>
      <w:sz w:val="24"/>
      <w:szCs w:val="20"/>
    </w:rPr>
  </w:style>
  <w:style w:type="paragraph" w:customStyle="1" w:styleId="68">
    <w:name w:val="5"/>
    <w:basedOn w:val="1"/>
    <w:next w:val="2"/>
    <w:qFormat/>
    <w:uiPriority w:val="0"/>
    <w:pPr>
      <w:adjustRightInd/>
      <w:spacing w:line="240" w:lineRule="auto"/>
      <w:jc w:val="both"/>
      <w:textAlignment w:val="auto"/>
    </w:pPr>
    <w:rPr>
      <w:kern w:val="2"/>
      <w:sz w:val="28"/>
    </w:rPr>
  </w:style>
  <w:style w:type="character" w:customStyle="1" w:styleId="69">
    <w:name w:val="日期 Char"/>
    <w:basedOn w:val="48"/>
    <w:link w:val="23"/>
    <w:qFormat/>
    <w:uiPriority w:val="0"/>
    <w:rPr>
      <w:rFonts w:ascii="宋体" w:hAnsi="Times New Roman" w:eastAsia="宋体" w:cs="Times New Roman"/>
      <w:kern w:val="0"/>
      <w:sz w:val="24"/>
      <w:szCs w:val="20"/>
    </w:rPr>
  </w:style>
  <w:style w:type="character" w:customStyle="1" w:styleId="70">
    <w:name w:val="正文文本 Char"/>
    <w:basedOn w:val="48"/>
    <w:link w:val="2"/>
    <w:qFormat/>
    <w:uiPriority w:val="0"/>
    <w:rPr>
      <w:rFonts w:ascii="Times New Roman" w:hAnsi="Times New Roman" w:eastAsia="宋体" w:cs="Times New Roman"/>
      <w:kern w:val="0"/>
      <w:sz w:val="24"/>
      <w:szCs w:val="20"/>
    </w:rPr>
  </w:style>
  <w:style w:type="character" w:customStyle="1" w:styleId="71">
    <w:name w:val="纯文本 Char"/>
    <w:basedOn w:val="48"/>
    <w:link w:val="21"/>
    <w:qFormat/>
    <w:uiPriority w:val="0"/>
    <w:rPr>
      <w:rFonts w:ascii="宋体" w:hAnsi="Courier New" w:eastAsia="宋体" w:cs="Times New Roman"/>
      <w:szCs w:val="20"/>
    </w:rPr>
  </w:style>
  <w:style w:type="paragraph" w:customStyle="1" w:styleId="72">
    <w:name w:val="4"/>
    <w:basedOn w:val="1"/>
    <w:next w:val="18"/>
    <w:qFormat/>
    <w:uiPriority w:val="0"/>
    <w:pPr>
      <w:adjustRightInd/>
      <w:spacing w:before="60" w:after="120" w:line="320" w:lineRule="exact"/>
      <w:ind w:left="420" w:right="-357"/>
      <w:jc w:val="both"/>
      <w:textAlignment w:val="auto"/>
    </w:pPr>
    <w:rPr>
      <w:rFonts w:ascii="宋体" w:hAnsi="Arial"/>
      <w:color w:val="000000"/>
      <w:kern w:val="2"/>
      <w:sz w:val="28"/>
    </w:rPr>
  </w:style>
  <w:style w:type="character" w:customStyle="1" w:styleId="73">
    <w:name w:val="批注框文本 Char"/>
    <w:basedOn w:val="48"/>
    <w:link w:val="25"/>
    <w:qFormat/>
    <w:uiPriority w:val="0"/>
    <w:rPr>
      <w:rFonts w:ascii="Times New Roman" w:hAnsi="Times New Roman" w:eastAsia="宋体" w:cs="Times New Roman"/>
      <w:kern w:val="0"/>
      <w:sz w:val="18"/>
      <w:szCs w:val="18"/>
    </w:rPr>
  </w:style>
  <w:style w:type="character" w:customStyle="1" w:styleId="74">
    <w:name w:val="文档结构图 Char"/>
    <w:basedOn w:val="48"/>
    <w:link w:val="14"/>
    <w:qFormat/>
    <w:uiPriority w:val="0"/>
    <w:rPr>
      <w:rFonts w:ascii="Times New Roman" w:hAnsi="Times New Roman" w:eastAsia="宋体" w:cs="Times New Roman"/>
      <w:kern w:val="0"/>
      <w:sz w:val="24"/>
      <w:szCs w:val="20"/>
      <w:shd w:val="clear" w:color="auto" w:fill="000080"/>
    </w:rPr>
  </w:style>
  <w:style w:type="character" w:customStyle="1" w:styleId="75">
    <w:name w:val="正文文本 2 Char"/>
    <w:basedOn w:val="48"/>
    <w:link w:val="37"/>
    <w:qFormat/>
    <w:uiPriority w:val="0"/>
    <w:rPr>
      <w:rFonts w:ascii="Times New Roman" w:hAnsi="Times New Roman" w:eastAsia="宋体" w:cs="Times New Roman"/>
      <w:kern w:val="0"/>
      <w:sz w:val="24"/>
      <w:szCs w:val="20"/>
    </w:rPr>
  </w:style>
  <w:style w:type="paragraph" w:customStyle="1" w:styleId="76">
    <w:name w:val="正文1"/>
    <w:basedOn w:val="1"/>
    <w:link w:val="136"/>
    <w:qFormat/>
    <w:uiPriority w:val="0"/>
    <w:rPr>
      <w:rFonts w:ascii="宋体"/>
    </w:rPr>
  </w:style>
  <w:style w:type="paragraph" w:customStyle="1" w:styleId="77">
    <w:name w:val="样式1"/>
    <w:basedOn w:val="1"/>
    <w:qFormat/>
    <w:uiPriority w:val="0"/>
    <w:pPr>
      <w:tabs>
        <w:tab w:val="left" w:pos="360"/>
      </w:tabs>
      <w:autoSpaceDE w:val="0"/>
      <w:autoSpaceDN w:val="0"/>
      <w:spacing w:line="288" w:lineRule="auto"/>
      <w:jc w:val="both"/>
      <w:textAlignment w:val="auto"/>
    </w:pPr>
    <w:rPr>
      <w:rFonts w:hint="eastAsia" w:ascii="宋体"/>
      <w:spacing w:val="-20"/>
      <w:kern w:val="21"/>
      <w:sz w:val="28"/>
    </w:rPr>
  </w:style>
  <w:style w:type="paragraph" w:customStyle="1" w:styleId="78">
    <w:name w:val="文"/>
    <w:basedOn w:val="1"/>
    <w:qFormat/>
    <w:uiPriority w:val="0"/>
    <w:pPr>
      <w:spacing w:line="500" w:lineRule="atLeast"/>
      <w:ind w:firstLine="540"/>
      <w:jc w:val="both"/>
    </w:pPr>
    <w:rPr>
      <w:kern w:val="2"/>
      <w:sz w:val="28"/>
    </w:rPr>
  </w:style>
  <w:style w:type="paragraph" w:customStyle="1" w:styleId="79">
    <w:name w:val="2"/>
    <w:basedOn w:val="1"/>
    <w:next w:val="7"/>
    <w:qFormat/>
    <w:uiPriority w:val="0"/>
    <w:pPr>
      <w:adjustRightInd/>
      <w:spacing w:line="240" w:lineRule="auto"/>
      <w:ind w:firstLine="420"/>
      <w:jc w:val="both"/>
      <w:textAlignment w:val="auto"/>
    </w:pPr>
    <w:rPr>
      <w:kern w:val="2"/>
      <w:sz w:val="21"/>
    </w:rPr>
  </w:style>
  <w:style w:type="paragraph" w:customStyle="1" w:styleId="80">
    <w:name w:val="样式 标题 1 + 宋体 小三"/>
    <w:qFormat/>
    <w:uiPriority w:val="0"/>
    <w:rPr>
      <w:rFonts w:ascii="宋体" w:hAnsi="宋体" w:eastAsia="宋体" w:cs="Times New Roman"/>
      <w:b/>
      <w:bCs/>
      <w:spacing w:val="30"/>
      <w:kern w:val="44"/>
      <w:position w:val="10"/>
      <w:sz w:val="30"/>
      <w:lang w:val="en-US" w:eastAsia="zh-CN" w:bidi="ar-SA"/>
    </w:rPr>
  </w:style>
  <w:style w:type="paragraph" w:customStyle="1" w:styleId="81">
    <w:name w:val="样式 标题 1 + 小二 段前: 0 磅 段后: 0 磅 行距: 2 倍行距"/>
    <w:qFormat/>
    <w:uiPriority w:val="0"/>
    <w:pPr>
      <w:spacing w:line="480" w:lineRule="auto"/>
      <w:ind w:firstLine="2530" w:firstLineChars="700"/>
    </w:pPr>
    <w:rPr>
      <w:rFonts w:ascii="Times New Roman" w:hAnsi="Times New Roman" w:eastAsia="宋体" w:cs="宋体"/>
      <w:b/>
      <w:bCs/>
      <w:kern w:val="44"/>
      <w:sz w:val="36"/>
      <w:lang w:val="en-US" w:eastAsia="zh-CN" w:bidi="ar-SA"/>
    </w:rPr>
  </w:style>
  <w:style w:type="character" w:customStyle="1" w:styleId="82">
    <w:name w:val="批注文字 Char"/>
    <w:basedOn w:val="48"/>
    <w:link w:val="15"/>
    <w:qFormat/>
    <w:uiPriority w:val="0"/>
    <w:rPr>
      <w:rFonts w:ascii="Times New Roman" w:hAnsi="Times New Roman" w:eastAsia="宋体" w:cs="Times New Roman"/>
      <w:kern w:val="0"/>
      <w:sz w:val="24"/>
      <w:szCs w:val="20"/>
    </w:rPr>
  </w:style>
  <w:style w:type="character" w:customStyle="1" w:styleId="83">
    <w:name w:val="批注主题 Char"/>
    <w:basedOn w:val="82"/>
    <w:link w:val="43"/>
    <w:qFormat/>
    <w:uiPriority w:val="0"/>
    <w:rPr>
      <w:rFonts w:ascii="Times New Roman" w:hAnsi="Times New Roman" w:eastAsia="宋体" w:cs="Times New Roman"/>
      <w:b/>
      <w:bCs/>
      <w:kern w:val="0"/>
      <w:sz w:val="24"/>
      <w:szCs w:val="20"/>
    </w:rPr>
  </w:style>
  <w:style w:type="paragraph" w:customStyle="1" w:styleId="84">
    <w:name w:val="Char Char Char Char Char Char Char"/>
    <w:basedOn w:val="1"/>
    <w:qFormat/>
    <w:uiPriority w:val="0"/>
    <w:pPr>
      <w:adjustRightInd/>
      <w:spacing w:line="240" w:lineRule="auto"/>
      <w:ind w:left="-48"/>
      <w:jc w:val="both"/>
      <w:textAlignment w:val="auto"/>
    </w:pPr>
    <w:rPr>
      <w:kern w:val="2"/>
      <w:sz w:val="21"/>
      <w:szCs w:val="24"/>
    </w:rPr>
  </w:style>
  <w:style w:type="paragraph" w:customStyle="1" w:styleId="85">
    <w:name w:val="Char Char Char Char Char Char1 Char Char Char"/>
    <w:basedOn w:val="1"/>
    <w:qFormat/>
    <w:uiPriority w:val="0"/>
    <w:pPr>
      <w:adjustRightInd/>
      <w:spacing w:line="240" w:lineRule="auto"/>
      <w:ind w:left="-48"/>
      <w:jc w:val="both"/>
      <w:textAlignment w:val="auto"/>
    </w:pPr>
    <w:rPr>
      <w:kern w:val="2"/>
      <w:sz w:val="21"/>
      <w:szCs w:val="24"/>
    </w:rPr>
  </w:style>
  <w:style w:type="paragraph" w:customStyle="1" w:styleId="86">
    <w:name w:val="Char Char Char Char Char Char1 Char Char Char Char"/>
    <w:basedOn w:val="1"/>
    <w:qFormat/>
    <w:uiPriority w:val="0"/>
    <w:pPr>
      <w:adjustRightInd/>
      <w:spacing w:line="240" w:lineRule="auto"/>
      <w:ind w:left="-48"/>
      <w:jc w:val="both"/>
      <w:textAlignment w:val="auto"/>
    </w:pPr>
    <w:rPr>
      <w:kern w:val="2"/>
      <w:sz w:val="21"/>
      <w:szCs w:val="24"/>
    </w:rPr>
  </w:style>
  <w:style w:type="paragraph" w:customStyle="1" w:styleId="87">
    <w:name w:val="1 Char"/>
    <w:basedOn w:val="1"/>
    <w:qFormat/>
    <w:uiPriority w:val="0"/>
    <w:pPr>
      <w:adjustRightInd/>
      <w:spacing w:line="240" w:lineRule="auto"/>
      <w:ind w:left="-48"/>
      <w:jc w:val="both"/>
      <w:textAlignment w:val="auto"/>
    </w:pPr>
    <w:rPr>
      <w:kern w:val="2"/>
      <w:sz w:val="21"/>
      <w:szCs w:val="24"/>
    </w:rPr>
  </w:style>
  <w:style w:type="paragraph" w:customStyle="1" w:styleId="88">
    <w:name w:val="Char"/>
    <w:basedOn w:val="1"/>
    <w:qFormat/>
    <w:uiPriority w:val="0"/>
    <w:pPr>
      <w:adjustRightInd/>
      <w:spacing w:line="240" w:lineRule="auto"/>
      <w:ind w:left="-48"/>
      <w:jc w:val="both"/>
      <w:textAlignment w:val="auto"/>
    </w:pPr>
    <w:rPr>
      <w:kern w:val="2"/>
      <w:sz w:val="21"/>
      <w:szCs w:val="24"/>
    </w:rPr>
  </w:style>
  <w:style w:type="paragraph" w:customStyle="1" w:styleId="89">
    <w:name w:val="默认段落字体 Para Char Char Char Char"/>
    <w:basedOn w:val="1"/>
    <w:qFormat/>
    <w:uiPriority w:val="0"/>
    <w:pPr>
      <w:adjustRightInd/>
      <w:spacing w:line="240" w:lineRule="auto"/>
      <w:jc w:val="both"/>
      <w:textAlignment w:val="auto"/>
    </w:pPr>
    <w:rPr>
      <w:kern w:val="2"/>
      <w:sz w:val="21"/>
      <w:szCs w:val="24"/>
    </w:rPr>
  </w:style>
  <w:style w:type="paragraph" w:customStyle="1" w:styleId="90">
    <w:name w:val="正文文本 31"/>
    <w:basedOn w:val="1"/>
    <w:qFormat/>
    <w:uiPriority w:val="0"/>
    <w:pPr>
      <w:spacing w:line="360" w:lineRule="auto"/>
      <w:jc w:val="center"/>
    </w:pPr>
    <w:rPr>
      <w:rFonts w:ascii="宋体"/>
      <w:b/>
      <w:color w:val="FF0000"/>
      <w:u w:val="single"/>
    </w:rPr>
  </w:style>
  <w:style w:type="paragraph" w:customStyle="1" w:styleId="91">
    <w:name w:val="Char Char Char1"/>
    <w:basedOn w:val="1"/>
    <w:qFormat/>
    <w:uiPriority w:val="0"/>
    <w:pPr>
      <w:adjustRightInd/>
      <w:spacing w:beforeLines="100" w:line="240" w:lineRule="auto"/>
      <w:jc w:val="both"/>
      <w:textAlignment w:val="auto"/>
    </w:pPr>
    <w:rPr>
      <w:kern w:val="2"/>
      <w:sz w:val="21"/>
      <w:szCs w:val="24"/>
    </w:rPr>
  </w:style>
  <w:style w:type="paragraph" w:customStyle="1" w:styleId="92">
    <w:name w:val="日期1"/>
    <w:basedOn w:val="1"/>
    <w:next w:val="1"/>
    <w:qFormat/>
    <w:uiPriority w:val="0"/>
    <w:pPr>
      <w:spacing w:line="240" w:lineRule="auto"/>
      <w:jc w:val="both"/>
    </w:pPr>
    <w:rPr>
      <w:kern w:val="2"/>
    </w:rPr>
  </w:style>
  <w:style w:type="paragraph" w:customStyle="1" w:styleId="93">
    <w:name w:val="样式2"/>
    <w:basedOn w:val="1"/>
    <w:qFormat/>
    <w:uiPriority w:val="0"/>
    <w:pPr>
      <w:spacing w:line="410" w:lineRule="atLeast"/>
    </w:pPr>
  </w:style>
  <w:style w:type="paragraph" w:customStyle="1" w:styleId="94">
    <w:name w:val="Char Char Char Char Char Char1 Char"/>
    <w:basedOn w:val="1"/>
    <w:qFormat/>
    <w:uiPriority w:val="0"/>
    <w:pPr>
      <w:adjustRightInd/>
      <w:spacing w:line="240" w:lineRule="auto"/>
      <w:ind w:left="-48"/>
      <w:jc w:val="both"/>
      <w:textAlignment w:val="auto"/>
    </w:pPr>
    <w:rPr>
      <w:kern w:val="2"/>
      <w:sz w:val="21"/>
      <w:szCs w:val="24"/>
    </w:rPr>
  </w:style>
  <w:style w:type="character" w:customStyle="1" w:styleId="95">
    <w:name w:val="zbggmain"/>
    <w:basedOn w:val="48"/>
    <w:qFormat/>
    <w:uiPriority w:val="0"/>
  </w:style>
  <w:style w:type="paragraph" w:customStyle="1" w:styleId="96">
    <w:name w:val="1"/>
    <w:basedOn w:val="1"/>
    <w:qFormat/>
    <w:uiPriority w:val="0"/>
    <w:pPr>
      <w:adjustRightInd/>
      <w:spacing w:line="240" w:lineRule="auto"/>
      <w:jc w:val="both"/>
      <w:textAlignment w:val="auto"/>
    </w:pPr>
    <w:rPr>
      <w:kern w:val="2"/>
      <w:szCs w:val="24"/>
    </w:rPr>
  </w:style>
  <w:style w:type="paragraph" w:customStyle="1" w:styleId="97">
    <w:name w:val="正文文本缩进 21"/>
    <w:basedOn w:val="1"/>
    <w:qFormat/>
    <w:uiPriority w:val="0"/>
    <w:pPr>
      <w:autoSpaceDE w:val="0"/>
      <w:autoSpaceDN w:val="0"/>
      <w:spacing w:before="60" w:after="60" w:line="240" w:lineRule="atLeast"/>
      <w:ind w:firstLine="567"/>
      <w:jc w:val="both"/>
    </w:pPr>
    <w:rPr>
      <w:sz w:val="28"/>
    </w:rPr>
  </w:style>
  <w:style w:type="paragraph" w:customStyle="1" w:styleId="98">
    <w:name w:val="item1.1.1.1.1.1"/>
    <w:basedOn w:val="1"/>
    <w:qFormat/>
    <w:uiPriority w:val="0"/>
    <w:pPr>
      <w:spacing w:line="360" w:lineRule="auto"/>
      <w:jc w:val="both"/>
    </w:pPr>
    <w:rPr>
      <w:rFonts w:ascii="宋体"/>
    </w:rPr>
  </w:style>
  <w:style w:type="paragraph" w:customStyle="1" w:styleId="99">
    <w:name w:val="item1.1"/>
    <w:basedOn w:val="1"/>
    <w:qFormat/>
    <w:uiPriority w:val="0"/>
    <w:pPr>
      <w:spacing w:line="360" w:lineRule="auto"/>
    </w:pPr>
    <w:rPr>
      <w:rFonts w:ascii="宋体"/>
    </w:rPr>
  </w:style>
  <w:style w:type="paragraph" w:customStyle="1" w:styleId="100">
    <w:name w:val="item1.1.1"/>
    <w:basedOn w:val="1"/>
    <w:qFormat/>
    <w:uiPriority w:val="0"/>
    <w:pPr>
      <w:spacing w:line="360" w:lineRule="auto"/>
    </w:pPr>
    <w:rPr>
      <w:rFonts w:ascii="宋体"/>
    </w:rPr>
  </w:style>
  <w:style w:type="paragraph" w:customStyle="1" w:styleId="101">
    <w:name w:val="xl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both"/>
      <w:textAlignment w:val="auto"/>
    </w:pPr>
    <w:rPr>
      <w:rFonts w:ascii="宋体" w:hAnsi="宋体"/>
      <w:sz w:val="21"/>
      <w:szCs w:val="21"/>
    </w:rPr>
  </w:style>
  <w:style w:type="paragraph" w:customStyle="1" w:styleId="102">
    <w:name w:val="不缩进"/>
    <w:basedOn w:val="1"/>
    <w:qFormat/>
    <w:uiPriority w:val="0"/>
    <w:pPr>
      <w:autoSpaceDE w:val="0"/>
      <w:autoSpaceDN w:val="0"/>
      <w:snapToGrid w:val="0"/>
      <w:spacing w:line="240" w:lineRule="auto"/>
      <w:jc w:val="center"/>
    </w:pPr>
    <w:rPr>
      <w:rFonts w:ascii="宋体"/>
      <w:position w:val="-28"/>
      <w:sz w:val="21"/>
    </w:rPr>
  </w:style>
  <w:style w:type="paragraph" w:customStyle="1" w:styleId="103">
    <w:name w:val="标准"/>
    <w:basedOn w:val="1"/>
    <w:qFormat/>
    <w:uiPriority w:val="0"/>
    <w:pPr>
      <w:spacing w:line="312" w:lineRule="atLeast"/>
      <w:jc w:val="center"/>
    </w:pPr>
    <w:rPr>
      <w:rFonts w:hAnsi="Arial"/>
    </w:rPr>
  </w:style>
  <w:style w:type="paragraph" w:customStyle="1" w:styleId="104">
    <w:name w:val="Char Char Char Char Char Char Char Char Char Char Char Char Char Char Char"/>
    <w:basedOn w:val="1"/>
    <w:qFormat/>
    <w:uiPriority w:val="0"/>
    <w:pPr>
      <w:adjustRightInd/>
      <w:snapToGrid w:val="0"/>
      <w:spacing w:line="440" w:lineRule="atLeast"/>
      <w:jc w:val="both"/>
      <w:textAlignment w:val="auto"/>
    </w:pPr>
    <w:rPr>
      <w:rFonts w:ascii="宋体"/>
      <w:kern w:val="2"/>
      <w:szCs w:val="24"/>
    </w:rPr>
  </w:style>
  <w:style w:type="paragraph" w:customStyle="1" w:styleId="105">
    <w:name w:val="表格侧编号"/>
    <w:next w:val="1"/>
    <w:qFormat/>
    <w:uiPriority w:val="0"/>
    <w:pPr>
      <w:widowControl w:val="0"/>
      <w:adjustRightInd w:val="0"/>
      <w:snapToGrid w:val="0"/>
      <w:jc w:val="center"/>
      <w:textAlignment w:val="baseline"/>
    </w:pPr>
    <w:rPr>
      <w:rFonts w:ascii="宋体" w:hAnsi="Times New Roman" w:eastAsia="宋体" w:cs="Times New Roman"/>
      <w:sz w:val="24"/>
      <w:lang w:val="en-US" w:eastAsia="zh-CN" w:bidi="ar-SA"/>
    </w:rPr>
  </w:style>
  <w:style w:type="paragraph" w:customStyle="1" w:styleId="106">
    <w:name w:val="A"/>
    <w:basedOn w:val="1"/>
    <w:qFormat/>
    <w:uiPriority w:val="0"/>
    <w:pPr>
      <w:spacing w:line="480" w:lineRule="atLeast"/>
      <w:jc w:val="center"/>
    </w:pPr>
    <w:rPr>
      <w:rFonts w:ascii="宋体"/>
      <w:sz w:val="32"/>
    </w:rPr>
  </w:style>
  <w:style w:type="character" w:customStyle="1" w:styleId="107">
    <w:name w:val="zbggmain style9"/>
    <w:basedOn w:val="48"/>
    <w:qFormat/>
    <w:uiPriority w:val="0"/>
  </w:style>
  <w:style w:type="character" w:customStyle="1" w:styleId="108">
    <w:name w:val="Char Char2"/>
    <w:qFormat/>
    <w:uiPriority w:val="0"/>
    <w:rPr>
      <w:rFonts w:eastAsia="宋体"/>
      <w:sz w:val="18"/>
      <w:lang w:val="en-US" w:eastAsia="zh-CN" w:bidi="ar-SA"/>
    </w:rPr>
  </w:style>
  <w:style w:type="character" w:customStyle="1" w:styleId="109">
    <w:name w:val="正文首行缩进 Char"/>
    <w:basedOn w:val="70"/>
    <w:link w:val="44"/>
    <w:qFormat/>
    <w:uiPriority w:val="0"/>
    <w:rPr>
      <w:rFonts w:ascii="Times New Roman" w:hAnsi="Times New Roman" w:eastAsia="宋体" w:cs="Times New Roman"/>
      <w:kern w:val="0"/>
      <w:sz w:val="24"/>
      <w:szCs w:val="20"/>
    </w:rPr>
  </w:style>
  <w:style w:type="paragraph" w:customStyle="1" w:styleId="110">
    <w:name w:val="1 Char Char Char Char"/>
    <w:basedOn w:val="1"/>
    <w:qFormat/>
    <w:uiPriority w:val="0"/>
    <w:pPr>
      <w:adjustRightInd/>
      <w:spacing w:line="240" w:lineRule="auto"/>
      <w:ind w:left="-48"/>
      <w:jc w:val="both"/>
      <w:textAlignment w:val="auto"/>
    </w:pPr>
    <w:rPr>
      <w:kern w:val="2"/>
      <w:sz w:val="21"/>
      <w:szCs w:val="24"/>
    </w:rPr>
  </w:style>
  <w:style w:type="paragraph" w:customStyle="1" w:styleId="111">
    <w:name w:val="Char Char Char Char Char Char"/>
    <w:basedOn w:val="1"/>
    <w:qFormat/>
    <w:uiPriority w:val="0"/>
    <w:pPr>
      <w:adjustRightInd/>
      <w:spacing w:line="240" w:lineRule="auto"/>
      <w:jc w:val="both"/>
      <w:textAlignment w:val="auto"/>
    </w:pPr>
    <w:rPr>
      <w:kern w:val="2"/>
      <w:sz w:val="21"/>
      <w:szCs w:val="24"/>
    </w:rPr>
  </w:style>
  <w:style w:type="character" w:customStyle="1" w:styleId="112">
    <w:name w:val="标题 Char"/>
    <w:basedOn w:val="48"/>
    <w:link w:val="42"/>
    <w:qFormat/>
    <w:uiPriority w:val="0"/>
    <w:rPr>
      <w:rFonts w:ascii="Cambria" w:hAnsi="Cambria" w:eastAsia="宋体" w:cs="Times New Roman"/>
      <w:b/>
      <w:bCs/>
      <w:kern w:val="0"/>
      <w:sz w:val="32"/>
      <w:szCs w:val="32"/>
    </w:rPr>
  </w:style>
  <w:style w:type="paragraph" w:customStyle="1" w:styleId="113">
    <w:name w:val="修订1"/>
    <w:hidden/>
    <w:semiHidden/>
    <w:qFormat/>
    <w:uiPriority w:val="99"/>
    <w:rPr>
      <w:rFonts w:ascii="Times New Roman" w:hAnsi="Times New Roman" w:eastAsia="宋体" w:cs="Times New Roman"/>
      <w:sz w:val="24"/>
      <w:lang w:val="en-US" w:eastAsia="zh-CN" w:bidi="ar-SA"/>
    </w:rPr>
  </w:style>
  <w:style w:type="paragraph" w:customStyle="1" w:styleId="114">
    <w:name w:val="报告标题1 Char Char Char"/>
    <w:basedOn w:val="3"/>
    <w:next w:val="4"/>
    <w:semiHidden/>
    <w:qFormat/>
    <w:uiPriority w:val="0"/>
    <w:pPr>
      <w:keepLines w:val="0"/>
      <w:widowControl/>
      <w:overflowPunct w:val="0"/>
      <w:autoSpaceDE w:val="0"/>
      <w:autoSpaceDN w:val="0"/>
      <w:adjustRightInd w:val="0"/>
      <w:snapToGrid w:val="0"/>
      <w:spacing w:before="0" w:after="0" w:line="320" w:lineRule="exact"/>
      <w:ind w:firstLine="420"/>
      <w:jc w:val="left"/>
    </w:pPr>
    <w:rPr>
      <w:rFonts w:ascii="汉仪大宋简" w:eastAsia="黑体"/>
      <w:b w:val="0"/>
      <w:kern w:val="28"/>
      <w:sz w:val="28"/>
      <w:szCs w:val="26"/>
    </w:rPr>
  </w:style>
  <w:style w:type="character" w:customStyle="1" w:styleId="115">
    <w:name w:val="apple-converted-space"/>
    <w:basedOn w:val="48"/>
    <w:qFormat/>
    <w:uiPriority w:val="0"/>
  </w:style>
  <w:style w:type="character" w:customStyle="1" w:styleId="116">
    <w:name w:val="style9"/>
    <w:basedOn w:val="48"/>
    <w:qFormat/>
    <w:uiPriority w:val="0"/>
  </w:style>
  <w:style w:type="paragraph" w:customStyle="1" w:styleId="1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8">
    <w:name w:val="样式 宋体 黑色 首行缩进:  0.95 厘米"/>
    <w:basedOn w:val="1"/>
    <w:qFormat/>
    <w:uiPriority w:val="0"/>
    <w:pPr>
      <w:ind w:firstLine="540"/>
    </w:pPr>
    <w:rPr>
      <w:rFonts w:ascii="宋体" w:hAnsi="宋体" w:cs="宋体"/>
      <w:color w:val="000000"/>
    </w:rPr>
  </w:style>
  <w:style w:type="character" w:customStyle="1" w:styleId="119">
    <w:name w:val="标题 2 Char1"/>
    <w:link w:val="4"/>
    <w:qFormat/>
    <w:uiPriority w:val="0"/>
    <w:rPr>
      <w:rFonts w:ascii="宋体" w:hAnsi="Arial" w:eastAsia="宋体" w:cs="Times New Roman"/>
      <w:b/>
      <w:kern w:val="0"/>
      <w:sz w:val="28"/>
      <w:szCs w:val="20"/>
    </w:rPr>
  </w:style>
  <w:style w:type="paragraph" w:customStyle="1" w:styleId="120">
    <w:name w:val="样式 宋体 黑色 悬挂缩进: 1.71 字符"/>
    <w:basedOn w:val="1"/>
    <w:qFormat/>
    <w:uiPriority w:val="0"/>
    <w:pPr>
      <w:ind w:left="1024" w:leftChars="256" w:hanging="410" w:hangingChars="171"/>
    </w:pPr>
    <w:rPr>
      <w:rFonts w:ascii="宋体" w:hAnsi="宋体" w:cs="宋体"/>
      <w:color w:val="000000"/>
    </w:rPr>
  </w:style>
  <w:style w:type="paragraph" w:customStyle="1" w:styleId="121">
    <w:name w:val="样式 宋体 黑色 悬挂缩进: 1.8 字符"/>
    <w:basedOn w:val="1"/>
    <w:qFormat/>
    <w:uiPriority w:val="0"/>
    <w:pPr>
      <w:ind w:left="1051" w:leftChars="258" w:hanging="432" w:hangingChars="180"/>
    </w:pPr>
    <w:rPr>
      <w:rFonts w:ascii="宋体" w:hAnsi="宋体" w:cs="宋体"/>
      <w:color w:val="000000"/>
    </w:rPr>
  </w:style>
  <w:style w:type="paragraph" w:customStyle="1" w:styleId="122">
    <w:name w:val="样式 宋体 黑色 左  -0.01 字符"/>
    <w:basedOn w:val="1"/>
    <w:qFormat/>
    <w:uiPriority w:val="0"/>
    <w:pPr>
      <w:ind w:left="-2" w:leftChars="-1" w:firstLine="617" w:firstLineChars="257"/>
    </w:pPr>
    <w:rPr>
      <w:rFonts w:ascii="宋体" w:hAnsi="宋体" w:cs="宋体"/>
      <w:color w:val="000000"/>
    </w:rPr>
  </w:style>
  <w:style w:type="paragraph" w:customStyle="1" w:styleId="123">
    <w:name w:val="Char Char2 Char Char"/>
    <w:basedOn w:val="1"/>
    <w:qFormat/>
    <w:uiPriority w:val="0"/>
    <w:pPr>
      <w:adjustRightInd/>
      <w:spacing w:line="240" w:lineRule="auto"/>
      <w:jc w:val="both"/>
      <w:textAlignment w:val="auto"/>
    </w:pPr>
    <w:rPr>
      <w:kern w:val="2"/>
      <w:szCs w:val="24"/>
    </w:rPr>
  </w:style>
  <w:style w:type="paragraph" w:customStyle="1" w:styleId="124">
    <w:name w:val="正文居中"/>
    <w:basedOn w:val="1"/>
    <w:qFormat/>
    <w:uiPriority w:val="0"/>
    <w:pPr>
      <w:adjustRightInd/>
      <w:snapToGrid w:val="0"/>
      <w:spacing w:line="312" w:lineRule="auto"/>
      <w:jc w:val="center"/>
      <w:textAlignment w:val="auto"/>
    </w:pPr>
    <w:rPr>
      <w:b/>
      <w:kern w:val="2"/>
      <w:sz w:val="21"/>
      <w:szCs w:val="21"/>
    </w:rPr>
  </w:style>
  <w:style w:type="paragraph" w:customStyle="1" w:styleId="125">
    <w:name w:val="正文缩进1"/>
    <w:basedOn w:val="1"/>
    <w:qFormat/>
    <w:uiPriority w:val="0"/>
    <w:pPr>
      <w:adjustRightInd/>
      <w:spacing w:line="360" w:lineRule="auto"/>
      <w:ind w:firstLine="200" w:firstLineChars="200"/>
      <w:jc w:val="both"/>
      <w:textAlignment w:val="auto"/>
    </w:pPr>
    <w:rPr>
      <w:rFonts w:ascii="Arial" w:hAnsi="Arial"/>
    </w:rPr>
  </w:style>
  <w:style w:type="character" w:customStyle="1" w:styleId="126">
    <w:name w:val="首行缩进:  2 字符 Char"/>
    <w:link w:val="127"/>
    <w:qFormat/>
    <w:uiPriority w:val="0"/>
    <w:rPr>
      <w:rFonts w:cs="宋体"/>
      <w:szCs w:val="21"/>
    </w:rPr>
  </w:style>
  <w:style w:type="paragraph" w:customStyle="1" w:styleId="127">
    <w:name w:val="首行缩进:  2 字符"/>
    <w:basedOn w:val="1"/>
    <w:link w:val="126"/>
    <w:qFormat/>
    <w:uiPriority w:val="0"/>
    <w:pPr>
      <w:tabs>
        <w:tab w:val="left" w:pos="567"/>
        <w:tab w:val="left" w:pos="1276"/>
      </w:tabs>
      <w:adjustRightInd/>
      <w:spacing w:line="312" w:lineRule="auto"/>
      <w:ind w:firstLine="420" w:firstLineChars="200"/>
      <w:jc w:val="both"/>
      <w:textAlignment w:val="auto"/>
    </w:pPr>
    <w:rPr>
      <w:rFonts w:cs="宋体" w:asciiTheme="minorHAnsi" w:hAnsiTheme="minorHAnsi" w:eastAsiaTheme="minorEastAsia"/>
      <w:kern w:val="2"/>
      <w:sz w:val="21"/>
      <w:szCs w:val="21"/>
    </w:rPr>
  </w:style>
  <w:style w:type="character" w:customStyle="1" w:styleId="128">
    <w:name w:val="标题 1 Char1"/>
    <w:link w:val="3"/>
    <w:qFormat/>
    <w:uiPriority w:val="0"/>
    <w:rPr>
      <w:rFonts w:ascii="Times New Roman" w:hAnsi="Times New Roman" w:eastAsia="宋体" w:cs="Times New Roman"/>
      <w:b/>
      <w:kern w:val="44"/>
      <w:sz w:val="44"/>
      <w:szCs w:val="20"/>
    </w:rPr>
  </w:style>
  <w:style w:type="paragraph" w:customStyle="1" w:styleId="129">
    <w:name w:val="默认段落字体 Para Char Char Char Char Char Char Char Char Char1 Char"/>
    <w:basedOn w:val="1"/>
    <w:qFormat/>
    <w:uiPriority w:val="0"/>
    <w:pPr>
      <w:adjustRightInd/>
      <w:spacing w:line="240" w:lineRule="auto"/>
      <w:jc w:val="both"/>
      <w:textAlignment w:val="auto"/>
    </w:pPr>
    <w:rPr>
      <w:kern w:val="2"/>
      <w:sz w:val="21"/>
    </w:rPr>
  </w:style>
  <w:style w:type="character" w:customStyle="1" w:styleId="130">
    <w:name w:val="信息标题 Char"/>
    <w:basedOn w:val="48"/>
    <w:link w:val="38"/>
    <w:qFormat/>
    <w:uiPriority w:val="0"/>
    <w:rPr>
      <w:rFonts w:ascii="Arial" w:hAnsi="Arial" w:eastAsia="黑体" w:cs="Times New Roman"/>
      <w:b/>
      <w:color w:val="0000FF"/>
      <w:position w:val="-2"/>
      <w:szCs w:val="20"/>
      <w:shd w:val="solid" w:color="FFFFFF" w:fill="auto"/>
    </w:rPr>
  </w:style>
  <w:style w:type="paragraph" w:customStyle="1" w:styleId="13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character" w:customStyle="1" w:styleId="132">
    <w:name w:val="正文文本 3 Char"/>
    <w:basedOn w:val="48"/>
    <w:link w:val="16"/>
    <w:qFormat/>
    <w:uiPriority w:val="0"/>
    <w:rPr>
      <w:rFonts w:ascii="Times New Roman" w:hAnsi="Times New Roman" w:eastAsia="宋体" w:cs="Times New Roman"/>
      <w:sz w:val="24"/>
      <w:szCs w:val="20"/>
    </w:rPr>
  </w:style>
  <w:style w:type="paragraph" w:customStyle="1" w:styleId="133">
    <w:name w:val="封面第2行 华润电力"/>
    <w:qFormat/>
    <w:uiPriority w:val="0"/>
    <w:pPr>
      <w:spacing w:afterLines="200"/>
      <w:jc w:val="center"/>
    </w:pPr>
    <w:rPr>
      <w:rFonts w:ascii="Arial" w:hAnsi="Arial" w:eastAsia="宋体" w:cs="Times New Roman"/>
      <w:b/>
      <w:spacing w:val="26"/>
      <w:kern w:val="2"/>
      <w:sz w:val="32"/>
      <w:lang w:val="en-US" w:eastAsia="zh-CN" w:bidi="ar-SA"/>
    </w:rPr>
  </w:style>
  <w:style w:type="paragraph" w:customStyle="1" w:styleId="134">
    <w:name w:val="表格"/>
    <w:basedOn w:val="1"/>
    <w:qFormat/>
    <w:uiPriority w:val="0"/>
    <w:pPr>
      <w:keepNext/>
      <w:tabs>
        <w:tab w:val="left" w:pos="630"/>
      </w:tabs>
      <w:snapToGrid w:val="0"/>
      <w:spacing w:line="240" w:lineRule="auto"/>
      <w:jc w:val="center"/>
      <w:textAlignment w:val="auto"/>
    </w:pPr>
    <w:rPr>
      <w:rFonts w:ascii="楷体_GB2312" w:hAnsi="Arial" w:eastAsia="楷体_GB2312"/>
      <w:snapToGrid w:val="0"/>
      <w:sz w:val="21"/>
    </w:rPr>
  </w:style>
  <w:style w:type="paragraph" w:customStyle="1" w:styleId="135">
    <w:name w:val="标准内容  段"/>
    <w:qFormat/>
    <w:uiPriority w:val="0"/>
    <w:pPr>
      <w:widowControl w:val="0"/>
      <w:spacing w:before="160" w:after="160" w:line="60" w:lineRule="atLeast"/>
      <w:ind w:left="1021"/>
      <w:jc w:val="both"/>
    </w:pPr>
    <w:rPr>
      <w:rFonts w:ascii="Arial" w:hAnsi="Arial" w:eastAsia="宋体" w:cs="Times New Roman"/>
      <w:spacing w:val="26"/>
      <w:kern w:val="2"/>
      <w:sz w:val="21"/>
      <w:lang w:val="en-US" w:eastAsia="zh-CN" w:bidi="ar-SA"/>
    </w:rPr>
  </w:style>
  <w:style w:type="character" w:customStyle="1" w:styleId="136">
    <w:name w:val="正文1 Char"/>
    <w:link w:val="76"/>
    <w:qFormat/>
    <w:uiPriority w:val="0"/>
    <w:rPr>
      <w:rFonts w:ascii="宋体" w:hAnsi="Times New Roman" w:eastAsia="宋体" w:cs="Times New Roman"/>
      <w:kern w:val="0"/>
      <w:sz w:val="24"/>
      <w:szCs w:val="20"/>
    </w:rPr>
  </w:style>
  <w:style w:type="character" w:customStyle="1" w:styleId="137">
    <w:name w:val="脚注文本 Char"/>
    <w:basedOn w:val="48"/>
    <w:link w:val="32"/>
    <w:qFormat/>
    <w:uiPriority w:val="0"/>
    <w:rPr>
      <w:rFonts w:ascii="Times New Roman" w:hAnsi="Times New Roman" w:eastAsia="宋体" w:cs="Times New Roman"/>
      <w:szCs w:val="20"/>
    </w:rPr>
  </w:style>
  <w:style w:type="paragraph" w:customStyle="1" w:styleId="138">
    <w:name w:val="封面第3行 合同名称"/>
    <w:qFormat/>
    <w:uiPriority w:val="0"/>
    <w:pPr>
      <w:jc w:val="center"/>
    </w:pPr>
    <w:rPr>
      <w:rFonts w:ascii="Times New Roman" w:hAnsi="Times New Roman" w:eastAsia="宋体" w:cs="Times New Roman"/>
      <w:b/>
      <w:spacing w:val="50"/>
      <w:kern w:val="2"/>
      <w:sz w:val="52"/>
      <w:lang w:val="en-US" w:eastAsia="zh-CN" w:bidi="ar-SA"/>
    </w:rPr>
  </w:style>
  <w:style w:type="paragraph" w:customStyle="1" w:styleId="139">
    <w:name w:val="表格编号2"/>
    <w:basedOn w:val="1"/>
    <w:qFormat/>
    <w:uiPriority w:val="0"/>
    <w:pPr>
      <w:tabs>
        <w:tab w:val="left" w:pos="567"/>
      </w:tabs>
      <w:adjustRightInd/>
      <w:spacing w:before="120" w:after="120" w:line="60" w:lineRule="atLeast"/>
      <w:ind w:left="720" w:hanging="720"/>
      <w:jc w:val="center"/>
      <w:textAlignment w:val="auto"/>
    </w:pPr>
    <w:rPr>
      <w:kern w:val="2"/>
      <w:sz w:val="21"/>
    </w:rPr>
  </w:style>
  <w:style w:type="paragraph" w:customStyle="1" w:styleId="140">
    <w:name w:val="内容5"/>
    <w:basedOn w:val="1"/>
    <w:qFormat/>
    <w:uiPriority w:val="0"/>
    <w:pPr>
      <w:snapToGrid w:val="0"/>
      <w:spacing w:before="50" w:line="300" w:lineRule="exact"/>
      <w:jc w:val="both"/>
      <w:textAlignment w:val="auto"/>
    </w:pPr>
    <w:rPr>
      <w:kern w:val="2"/>
    </w:rPr>
  </w:style>
  <w:style w:type="paragraph" w:customStyle="1" w:styleId="141">
    <w:name w:val="样式标题1"/>
    <w:basedOn w:val="1"/>
    <w:qFormat/>
    <w:uiPriority w:val="0"/>
    <w:pPr>
      <w:adjustRightInd/>
      <w:spacing w:line="360" w:lineRule="auto"/>
      <w:textAlignment w:val="auto"/>
    </w:pPr>
    <w:rPr>
      <w:rFonts w:ascii="宋体" w:hAnsi="宋体"/>
      <w:b/>
      <w:spacing w:val="10"/>
      <w:kern w:val="2"/>
      <w:sz w:val="28"/>
      <w:szCs w:val="24"/>
    </w:rPr>
  </w:style>
  <w:style w:type="paragraph" w:customStyle="1" w:styleId="14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styleId="143">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样式 标题 3条标题1.1.1 + 11 磅"/>
    <w:basedOn w:val="5"/>
    <w:qFormat/>
    <w:uiPriority w:val="0"/>
    <w:rPr>
      <w:bCs/>
      <w:sz w:val="24"/>
    </w:rPr>
  </w:style>
  <w:style w:type="paragraph" w:customStyle="1" w:styleId="145">
    <w:name w:val="bt1.2.1.1"/>
    <w:basedOn w:val="1"/>
    <w:qFormat/>
    <w:uiPriority w:val="0"/>
    <w:pPr>
      <w:spacing w:line="276" w:lineRule="auto"/>
      <w:outlineLvl w:val="3"/>
    </w:pPr>
    <w:rPr>
      <w:rFonts w:ascii="宋体"/>
      <w:b/>
      <w:sz w:val="21"/>
    </w:rPr>
  </w:style>
  <w:style w:type="paragraph" w:customStyle="1" w:styleId="146">
    <w:name w:val="bt5"/>
    <w:basedOn w:val="1"/>
    <w:qFormat/>
    <w:uiPriority w:val="0"/>
    <w:pPr>
      <w:numPr>
        <w:ilvl w:val="2"/>
        <w:numId w:val="3"/>
      </w:numPr>
      <w:tabs>
        <w:tab w:val="left" w:pos="720"/>
      </w:tabs>
      <w:spacing w:line="276" w:lineRule="auto"/>
      <w:ind w:left="0"/>
      <w:jc w:val="center"/>
      <w:outlineLvl w:val="0"/>
    </w:pPr>
    <w:rPr>
      <w:rFonts w:ascii="Arial" w:hAnsi="Arial" w:eastAsia="黑体"/>
      <w:b/>
      <w:sz w:val="44"/>
    </w:rPr>
  </w:style>
  <w:style w:type="paragraph" w:customStyle="1" w:styleId="147">
    <w:name w:val="bt5.1"/>
    <w:basedOn w:val="146"/>
    <w:next w:val="1"/>
    <w:qFormat/>
    <w:uiPriority w:val="0"/>
    <w:pPr>
      <w:numPr>
        <w:ilvl w:val="1"/>
        <w:numId w:val="4"/>
      </w:numPr>
      <w:tabs>
        <w:tab w:val="left" w:pos="1500"/>
        <w:tab w:val="clear" w:pos="567"/>
      </w:tabs>
      <w:ind w:left="1500" w:hanging="600"/>
      <w:outlineLvl w:val="1"/>
    </w:pPr>
    <w:rPr>
      <w:rFonts w:ascii="黑体"/>
      <w:sz w:val="36"/>
    </w:rPr>
  </w:style>
  <w:style w:type="paragraph" w:customStyle="1" w:styleId="148">
    <w:name w:val="bt5.1.1"/>
    <w:basedOn w:val="1"/>
    <w:qFormat/>
    <w:uiPriority w:val="0"/>
    <w:pPr>
      <w:numPr>
        <w:ilvl w:val="2"/>
        <w:numId w:val="5"/>
      </w:numPr>
      <w:tabs>
        <w:tab w:val="left" w:pos="2025"/>
        <w:tab w:val="clear" w:pos="1080"/>
      </w:tabs>
      <w:spacing w:line="276" w:lineRule="auto"/>
      <w:ind w:left="945"/>
      <w:jc w:val="center"/>
      <w:outlineLvl w:val="2"/>
    </w:pPr>
    <w:rPr>
      <w:rFonts w:ascii="黑体" w:eastAsia="黑体"/>
      <w:b/>
      <w:sz w:val="30"/>
    </w:rPr>
  </w:style>
  <w:style w:type="paragraph" w:customStyle="1" w:styleId="149">
    <w:name w:val="bt1.2.2.1"/>
    <w:basedOn w:val="1"/>
    <w:qFormat/>
    <w:uiPriority w:val="0"/>
    <w:pPr>
      <w:numPr>
        <w:ilvl w:val="2"/>
        <w:numId w:val="6"/>
      </w:numPr>
      <w:tabs>
        <w:tab w:val="left" w:pos="567"/>
        <w:tab w:val="left" w:pos="4725"/>
      </w:tabs>
      <w:spacing w:line="276" w:lineRule="auto"/>
      <w:ind w:left="567" w:hanging="567"/>
      <w:outlineLvl w:val="3"/>
    </w:pPr>
    <w:rPr>
      <w:rFonts w:ascii="宋体"/>
      <w:b/>
      <w:sz w:val="21"/>
    </w:rPr>
  </w:style>
  <w:style w:type="paragraph" w:customStyle="1" w:styleId="150">
    <w:name w:val="bt1.2.3.1"/>
    <w:basedOn w:val="1"/>
    <w:next w:val="1"/>
    <w:qFormat/>
    <w:uiPriority w:val="0"/>
    <w:pPr>
      <w:numPr>
        <w:ilvl w:val="0"/>
        <w:numId w:val="7"/>
      </w:numPr>
      <w:tabs>
        <w:tab w:val="left" w:pos="960"/>
      </w:tabs>
      <w:spacing w:line="276" w:lineRule="auto"/>
      <w:outlineLvl w:val="3"/>
    </w:pPr>
    <w:rPr>
      <w:rFonts w:ascii="宋体"/>
      <w:b/>
      <w:sz w:val="21"/>
    </w:rPr>
  </w:style>
  <w:style w:type="paragraph" w:customStyle="1" w:styleId="151">
    <w:name w:val="bt5.2.1"/>
    <w:basedOn w:val="1"/>
    <w:qFormat/>
    <w:uiPriority w:val="0"/>
    <w:pPr>
      <w:numPr>
        <w:ilvl w:val="2"/>
        <w:numId w:val="8"/>
      </w:numPr>
      <w:spacing w:line="276" w:lineRule="auto"/>
      <w:jc w:val="center"/>
      <w:outlineLvl w:val="2"/>
    </w:pPr>
    <w:rPr>
      <w:rFonts w:ascii="黑体" w:eastAsia="黑体"/>
      <w:b/>
      <w:sz w:val="30"/>
    </w:rPr>
  </w:style>
  <w:style w:type="paragraph" w:customStyle="1" w:styleId="152">
    <w:name w:val="bt1.2.4.1"/>
    <w:basedOn w:val="1"/>
    <w:qFormat/>
    <w:uiPriority w:val="0"/>
    <w:pPr>
      <w:numPr>
        <w:ilvl w:val="0"/>
        <w:numId w:val="9"/>
      </w:numPr>
      <w:spacing w:line="276" w:lineRule="auto"/>
      <w:outlineLvl w:val="3"/>
    </w:pPr>
    <w:rPr>
      <w:rFonts w:ascii="宋体"/>
      <w:b/>
      <w:sz w:val="21"/>
    </w:rPr>
  </w:style>
  <w:style w:type="paragraph" w:customStyle="1" w:styleId="153">
    <w:name w:val="bt1.2.5.1"/>
    <w:basedOn w:val="1"/>
    <w:qFormat/>
    <w:uiPriority w:val="0"/>
    <w:pPr>
      <w:numPr>
        <w:ilvl w:val="0"/>
        <w:numId w:val="10"/>
      </w:numPr>
      <w:spacing w:line="276" w:lineRule="auto"/>
      <w:outlineLvl w:val="3"/>
    </w:pPr>
    <w:rPr>
      <w:b/>
      <w:sz w:val="21"/>
    </w:rPr>
  </w:style>
  <w:style w:type="paragraph" w:customStyle="1" w:styleId="154">
    <w:name w:val="xl22"/>
    <w:basedOn w:val="1"/>
    <w:qFormat/>
    <w:uiPriority w:val="0"/>
    <w:pPr>
      <w:widowControl/>
      <w:pBdr>
        <w:top w:val="single" w:color="808080" w:sz="4" w:space="0"/>
        <w:left w:val="single" w:color="808080" w:sz="4" w:space="0"/>
        <w:bottom w:val="single" w:color="808080" w:sz="4" w:space="0"/>
        <w:right w:val="single" w:color="808080" w:sz="4" w:space="0"/>
      </w:pBdr>
      <w:shd w:val="clear" w:color="auto" w:fill="E1E1E1"/>
      <w:adjustRightInd/>
      <w:spacing w:before="100" w:beforeAutospacing="1" w:after="100" w:afterAutospacing="1" w:line="240" w:lineRule="auto"/>
      <w:jc w:val="center"/>
      <w:textAlignment w:val="top"/>
    </w:pPr>
    <w:rPr>
      <w:rFonts w:ascii="宋体" w:hAnsi="宋体" w:cs="宋体"/>
      <w:b/>
      <w:bCs/>
      <w:sz w:val="18"/>
      <w:szCs w:val="18"/>
    </w:rPr>
  </w:style>
  <w:style w:type="paragraph" w:customStyle="1" w:styleId="155">
    <w:name w:val="xl23"/>
    <w:basedOn w:val="1"/>
    <w:qFormat/>
    <w:uiPriority w:val="0"/>
    <w:pPr>
      <w:widowControl/>
      <w:pBdr>
        <w:top w:val="single" w:color="808080" w:sz="4" w:space="0"/>
        <w:left w:val="single" w:color="808080" w:sz="4" w:space="0"/>
        <w:bottom w:val="single" w:color="808080" w:sz="4" w:space="0"/>
        <w:right w:val="single" w:color="808080" w:sz="4" w:space="0"/>
      </w:pBdr>
      <w:shd w:val="clear" w:color="auto" w:fill="F1EFE2"/>
      <w:adjustRightInd/>
      <w:spacing w:before="100" w:beforeAutospacing="1" w:after="100" w:afterAutospacing="1" w:line="240" w:lineRule="auto"/>
      <w:textAlignment w:val="top"/>
    </w:pPr>
    <w:rPr>
      <w:rFonts w:ascii="宋体" w:hAnsi="宋体" w:cs="宋体"/>
      <w:sz w:val="18"/>
      <w:szCs w:val="18"/>
    </w:rPr>
  </w:style>
  <w:style w:type="paragraph" w:customStyle="1" w:styleId="156">
    <w:name w:val="xl24"/>
    <w:basedOn w:val="1"/>
    <w:qFormat/>
    <w:uiPriority w:val="0"/>
    <w:pPr>
      <w:widowControl/>
      <w:pBdr>
        <w:top w:val="single" w:color="808080" w:sz="4" w:space="0"/>
        <w:left w:val="single" w:color="808080" w:sz="4" w:space="0"/>
        <w:right w:val="single" w:color="808080" w:sz="4" w:space="0"/>
      </w:pBdr>
      <w:shd w:val="clear" w:color="auto" w:fill="D4D0C8"/>
      <w:adjustRightInd/>
      <w:spacing w:before="100" w:beforeAutospacing="1" w:after="100" w:afterAutospacing="1" w:line="240" w:lineRule="auto"/>
      <w:jc w:val="center"/>
      <w:textAlignment w:val="top"/>
    </w:pPr>
    <w:rPr>
      <w:rFonts w:ascii="Tahoma" w:hAnsi="Tahoma" w:cs="Tahoma"/>
      <w:sz w:val="16"/>
      <w:szCs w:val="16"/>
    </w:rPr>
  </w:style>
  <w:style w:type="paragraph" w:customStyle="1" w:styleId="157">
    <w:name w:val="xl25"/>
    <w:basedOn w:val="1"/>
    <w:qFormat/>
    <w:uiPriority w:val="0"/>
    <w:pPr>
      <w:widowControl/>
      <w:pBdr>
        <w:left w:val="single" w:color="808080" w:sz="4" w:space="0"/>
        <w:right w:val="single" w:color="808080" w:sz="4" w:space="0"/>
      </w:pBdr>
      <w:shd w:val="clear" w:color="auto" w:fill="F1EFE2"/>
      <w:adjustRightInd/>
      <w:spacing w:before="100" w:beforeAutospacing="1" w:after="100" w:afterAutospacing="1" w:line="240" w:lineRule="auto"/>
      <w:textAlignment w:val="top"/>
    </w:pPr>
    <w:rPr>
      <w:rFonts w:ascii="宋体" w:hAnsi="宋体" w:cs="宋体"/>
      <w:sz w:val="18"/>
      <w:szCs w:val="18"/>
    </w:rPr>
  </w:style>
  <w:style w:type="paragraph" w:customStyle="1" w:styleId="158">
    <w:name w:val="xl26"/>
    <w:basedOn w:val="1"/>
    <w:qFormat/>
    <w:uiPriority w:val="0"/>
    <w:pPr>
      <w:widowControl/>
      <w:pBdr>
        <w:top w:val="single" w:color="808080" w:sz="4" w:space="0"/>
        <w:left w:val="single" w:color="808080" w:sz="4" w:space="0"/>
        <w:bottom w:val="single" w:color="808080" w:sz="4" w:space="0"/>
      </w:pBdr>
      <w:shd w:val="clear" w:color="auto" w:fill="FFFFE1"/>
      <w:adjustRightInd/>
      <w:spacing w:before="100" w:beforeAutospacing="1" w:after="100" w:afterAutospacing="1" w:line="240" w:lineRule="auto"/>
      <w:textAlignment w:val="top"/>
    </w:pPr>
    <w:rPr>
      <w:rFonts w:ascii="宋体" w:hAnsi="宋体" w:cs="宋体"/>
      <w:color w:val="000080"/>
      <w:sz w:val="18"/>
      <w:szCs w:val="18"/>
    </w:rPr>
  </w:style>
  <w:style w:type="paragraph" w:customStyle="1" w:styleId="159">
    <w:name w:val="xl27"/>
    <w:basedOn w:val="1"/>
    <w:qFormat/>
    <w:uiPriority w:val="0"/>
    <w:pPr>
      <w:widowControl/>
      <w:pBdr>
        <w:top w:val="single" w:color="808080" w:sz="4" w:space="0"/>
        <w:left w:val="single" w:color="808080" w:sz="4" w:space="0"/>
        <w:bottom w:val="single" w:color="808080" w:sz="4" w:space="0"/>
        <w:right w:val="single" w:color="808080" w:sz="4" w:space="0"/>
      </w:pBdr>
      <w:shd w:val="clear" w:color="auto" w:fill="D9EAF7"/>
      <w:adjustRightInd/>
      <w:spacing w:before="100" w:beforeAutospacing="1" w:after="100" w:afterAutospacing="1" w:line="240" w:lineRule="auto"/>
      <w:textAlignment w:val="top"/>
    </w:pPr>
    <w:rPr>
      <w:rFonts w:ascii="宋体" w:hAnsi="宋体" w:cs="宋体"/>
      <w:sz w:val="18"/>
      <w:szCs w:val="18"/>
    </w:rPr>
  </w:style>
  <w:style w:type="paragraph" w:customStyle="1" w:styleId="160">
    <w:name w:val="xl29"/>
    <w:basedOn w:val="1"/>
    <w:qFormat/>
    <w:uiPriority w:val="0"/>
    <w:pPr>
      <w:widowControl/>
      <w:pBdr>
        <w:top w:val="single" w:color="808080" w:sz="4" w:space="0"/>
        <w:left w:val="single" w:color="808080" w:sz="4" w:space="0"/>
        <w:bottom w:val="single" w:color="808080" w:sz="4" w:space="0"/>
        <w:right w:val="single" w:color="auto" w:sz="4" w:space="0"/>
      </w:pBdr>
      <w:shd w:val="clear" w:color="auto" w:fill="E1E1E1"/>
      <w:adjustRightInd/>
      <w:spacing w:before="100" w:beforeAutospacing="1" w:after="100" w:afterAutospacing="1" w:line="240" w:lineRule="auto"/>
      <w:jc w:val="center"/>
      <w:textAlignment w:val="top"/>
    </w:pPr>
    <w:rPr>
      <w:rFonts w:ascii="宋体" w:hAnsi="宋体" w:cs="宋体"/>
      <w:b/>
      <w:bCs/>
      <w:sz w:val="18"/>
      <w:szCs w:val="18"/>
    </w:rPr>
  </w:style>
  <w:style w:type="paragraph" w:customStyle="1" w:styleId="161">
    <w:name w:val="xl30"/>
    <w:basedOn w:val="1"/>
    <w:qFormat/>
    <w:uiPriority w:val="0"/>
    <w:pPr>
      <w:widowControl/>
      <w:pBdr>
        <w:top w:val="single" w:color="808080" w:sz="4" w:space="0"/>
        <w:left w:val="single" w:color="808080" w:sz="4" w:space="0"/>
        <w:bottom w:val="single" w:color="808080" w:sz="4" w:space="0"/>
        <w:right w:val="single" w:color="auto" w:sz="4" w:space="0"/>
      </w:pBdr>
      <w:shd w:val="clear" w:color="auto" w:fill="D9EAF7"/>
      <w:adjustRightInd/>
      <w:spacing w:before="100" w:beforeAutospacing="1" w:after="100" w:afterAutospacing="1" w:line="240" w:lineRule="auto"/>
      <w:jc w:val="center"/>
      <w:textAlignment w:val="top"/>
    </w:pPr>
    <w:rPr>
      <w:rFonts w:ascii="宋体" w:hAnsi="宋体" w:cs="宋体"/>
      <w:sz w:val="18"/>
      <w:szCs w:val="18"/>
    </w:rPr>
  </w:style>
  <w:style w:type="paragraph" w:customStyle="1" w:styleId="162">
    <w:name w:val="xl31"/>
    <w:basedOn w:val="1"/>
    <w:qFormat/>
    <w:uiPriority w:val="0"/>
    <w:pPr>
      <w:widowControl/>
      <w:pBdr>
        <w:top w:val="single" w:color="808080" w:sz="4" w:space="0"/>
        <w:bottom w:val="single" w:color="808080" w:sz="4" w:space="0"/>
        <w:right w:val="single" w:color="auto" w:sz="4" w:space="0"/>
      </w:pBdr>
      <w:shd w:val="clear" w:color="auto" w:fill="FFFFE1"/>
      <w:adjustRightInd/>
      <w:spacing w:before="100" w:beforeAutospacing="1" w:after="100" w:afterAutospacing="1" w:line="240" w:lineRule="auto"/>
      <w:textAlignment w:val="top"/>
    </w:pPr>
    <w:rPr>
      <w:rFonts w:ascii="宋体" w:hAnsi="宋体" w:cs="宋体"/>
      <w:color w:val="000080"/>
      <w:sz w:val="18"/>
      <w:szCs w:val="18"/>
    </w:rPr>
  </w:style>
  <w:style w:type="paragraph" w:customStyle="1" w:styleId="163">
    <w:name w:val="5 Char Char Char Char"/>
    <w:basedOn w:val="1"/>
    <w:qFormat/>
    <w:uiPriority w:val="0"/>
    <w:pPr>
      <w:adjustRightInd/>
      <w:spacing w:line="240" w:lineRule="auto"/>
      <w:jc w:val="both"/>
      <w:textAlignment w:val="auto"/>
    </w:pPr>
    <w:rPr>
      <w:kern w:val="2"/>
      <w:sz w:val="21"/>
      <w:szCs w:val="24"/>
    </w:rPr>
  </w:style>
  <w:style w:type="character" w:customStyle="1" w:styleId="164">
    <w:name w:val="HTML 预设格式 Char"/>
    <w:basedOn w:val="48"/>
    <w:link w:val="39"/>
    <w:qFormat/>
    <w:uiPriority w:val="0"/>
    <w:rPr>
      <w:rFonts w:ascii="Courier New" w:hAnsi="Courier New" w:eastAsia="宋体" w:cs="Times New Roman"/>
      <w:sz w:val="20"/>
      <w:szCs w:val="24"/>
    </w:rPr>
  </w:style>
  <w:style w:type="paragraph" w:customStyle="1" w:styleId="165">
    <w:name w:val="Char1 Char Char Char"/>
    <w:basedOn w:val="1"/>
    <w:qFormat/>
    <w:uiPriority w:val="0"/>
    <w:pPr>
      <w:adjustRightInd/>
      <w:spacing w:line="240" w:lineRule="auto"/>
      <w:jc w:val="both"/>
      <w:textAlignment w:val="auto"/>
    </w:pPr>
    <w:rPr>
      <w:rFonts w:eastAsia="Times New Roman"/>
      <w:sz w:val="20"/>
    </w:rPr>
  </w:style>
  <w:style w:type="paragraph" w:customStyle="1" w:styleId="166">
    <w:name w:val="正标题 居中"/>
    <w:basedOn w:val="1"/>
    <w:next w:val="1"/>
    <w:qFormat/>
    <w:uiPriority w:val="0"/>
    <w:pPr>
      <w:spacing w:line="312" w:lineRule="auto"/>
      <w:jc w:val="center"/>
      <w:textAlignment w:val="auto"/>
    </w:pPr>
    <w:rPr>
      <w:rFonts w:cs="宋体"/>
      <w:b/>
      <w:sz w:val="21"/>
      <w:szCs w:val="21"/>
    </w:rPr>
  </w:style>
  <w:style w:type="character" w:customStyle="1" w:styleId="167">
    <w:name w:val="HTML Markup"/>
    <w:qFormat/>
    <w:uiPriority w:val="0"/>
    <w:rPr>
      <w:vanish/>
      <w:color w:val="FF0000"/>
    </w:rPr>
  </w:style>
  <w:style w:type="character" w:customStyle="1" w:styleId="168">
    <w:name w:val="font_black1"/>
    <w:qFormat/>
    <w:uiPriority w:val="0"/>
    <w:rPr>
      <w:rFonts w:hint="eastAsia" w:ascii="宋体" w:hAnsi="宋体" w:eastAsia="宋体"/>
      <w:color w:val="000000"/>
      <w:sz w:val="18"/>
      <w:szCs w:val="18"/>
    </w:rPr>
  </w:style>
  <w:style w:type="character" w:customStyle="1" w:styleId="169">
    <w:name w:val="副标题 Char"/>
    <w:link w:val="30"/>
    <w:qFormat/>
    <w:uiPriority w:val="0"/>
    <w:rPr>
      <w:rFonts w:ascii="Cambria" w:hAnsi="Cambria"/>
      <w:b/>
      <w:bCs/>
      <w:kern w:val="28"/>
      <w:sz w:val="32"/>
      <w:szCs w:val="32"/>
    </w:rPr>
  </w:style>
  <w:style w:type="character" w:customStyle="1" w:styleId="170">
    <w:name w:val="副标题 Char1"/>
    <w:basedOn w:val="48"/>
    <w:qFormat/>
    <w:uiPriority w:val="0"/>
    <w:rPr>
      <w:rFonts w:eastAsia="宋体" w:asciiTheme="majorHAnsi" w:hAnsiTheme="majorHAnsi" w:cstheme="majorBidi"/>
      <w:b/>
      <w:bCs/>
      <w:kern w:val="28"/>
      <w:sz w:val="32"/>
      <w:szCs w:val="32"/>
    </w:rPr>
  </w:style>
  <w:style w:type="character" w:customStyle="1" w:styleId="171">
    <w:name w:val="textcontents"/>
    <w:qFormat/>
    <w:uiPriority w:val="0"/>
    <w:rPr>
      <w:rFonts w:ascii="Arial" w:hAnsi="Arial" w:eastAsia="隶书" w:cs="宋体"/>
      <w:kern w:val="2"/>
      <w:sz w:val="36"/>
      <w:lang w:val="en-US" w:eastAsia="zh-CN" w:bidi="ar-SA"/>
    </w:rPr>
  </w:style>
  <w:style w:type="paragraph" w:customStyle="1" w:styleId="172">
    <w:name w:val="xl2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textAlignment w:val="center"/>
    </w:pPr>
    <w:rPr>
      <w:rFonts w:ascii="Arial Unicode MS" w:hAnsi="Arial Unicode MS" w:eastAsia="Arial Unicode MS" w:cs="Arial Unicode MS"/>
      <w:sz w:val="18"/>
      <w:szCs w:val="18"/>
    </w:rPr>
  </w:style>
  <w:style w:type="paragraph" w:customStyle="1" w:styleId="173">
    <w:name w:val="font7"/>
    <w:basedOn w:val="1"/>
    <w:qFormat/>
    <w:uiPriority w:val="0"/>
    <w:pPr>
      <w:widowControl/>
      <w:adjustRightInd/>
      <w:spacing w:before="100" w:beforeAutospacing="1" w:after="100" w:afterAutospacing="1" w:line="240" w:lineRule="auto"/>
      <w:textAlignment w:val="auto"/>
    </w:pPr>
    <w:rPr>
      <w:rFonts w:hint="eastAsia" w:ascii="宋体" w:hAnsi="宋体"/>
      <w:sz w:val="20"/>
    </w:rPr>
  </w:style>
  <w:style w:type="paragraph" w:customStyle="1" w:styleId="17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75">
    <w:name w:val="附录四级条标题"/>
    <w:basedOn w:val="176"/>
    <w:next w:val="1"/>
    <w:qFormat/>
    <w:uiPriority w:val="0"/>
    <w:pPr>
      <w:numPr>
        <w:ilvl w:val="5"/>
      </w:numPr>
      <w:outlineLvl w:val="5"/>
    </w:pPr>
  </w:style>
  <w:style w:type="paragraph" w:customStyle="1" w:styleId="176">
    <w:name w:val="附录三级条标题"/>
    <w:basedOn w:val="177"/>
    <w:next w:val="1"/>
    <w:qFormat/>
    <w:uiPriority w:val="0"/>
    <w:pPr>
      <w:numPr>
        <w:ilvl w:val="4"/>
      </w:numPr>
      <w:outlineLvl w:val="4"/>
    </w:pPr>
  </w:style>
  <w:style w:type="paragraph" w:customStyle="1" w:styleId="177">
    <w:name w:val="附录二级条标题"/>
    <w:basedOn w:val="178"/>
    <w:next w:val="1"/>
    <w:qFormat/>
    <w:uiPriority w:val="0"/>
    <w:pPr>
      <w:numPr>
        <w:ilvl w:val="3"/>
      </w:numPr>
      <w:outlineLvl w:val="3"/>
    </w:pPr>
  </w:style>
  <w:style w:type="paragraph" w:customStyle="1" w:styleId="178">
    <w:name w:val="附录一级条标题"/>
    <w:basedOn w:val="179"/>
    <w:next w:val="1"/>
    <w:qFormat/>
    <w:uiPriority w:val="0"/>
    <w:pPr>
      <w:numPr>
        <w:ilvl w:val="2"/>
      </w:numPr>
      <w:autoSpaceDN w:val="0"/>
      <w:spacing w:beforeLines="0" w:afterLines="0"/>
      <w:outlineLvl w:val="2"/>
    </w:pPr>
  </w:style>
  <w:style w:type="paragraph" w:customStyle="1" w:styleId="179">
    <w:name w:val="附录章标题"/>
    <w:next w:val="1"/>
    <w:qFormat/>
    <w:uiPriority w:val="0"/>
    <w:pPr>
      <w:numPr>
        <w:ilvl w:val="1"/>
        <w:numId w:val="1"/>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0">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181">
    <w:name w:val="前言、引言标题"/>
    <w:next w:val="1"/>
    <w:qFormat/>
    <w:uiPriority w:val="0"/>
    <w:pPr>
      <w:numPr>
        <w:ilvl w:val="0"/>
        <w:numId w:val="1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82">
    <w:name w:val="font0"/>
    <w:basedOn w:val="1"/>
    <w:qFormat/>
    <w:uiPriority w:val="0"/>
    <w:pPr>
      <w:widowControl/>
      <w:adjustRightInd/>
      <w:spacing w:before="100" w:beforeAutospacing="1" w:after="100" w:afterAutospacing="1" w:line="240" w:lineRule="auto"/>
      <w:textAlignment w:val="auto"/>
    </w:pPr>
    <w:rPr>
      <w:rFonts w:hint="eastAsia" w:ascii="宋体" w:hAnsi="宋体"/>
      <w:szCs w:val="24"/>
    </w:rPr>
  </w:style>
  <w:style w:type="paragraph" w:customStyle="1" w:styleId="183">
    <w:name w:val="目次、标准名称标题"/>
    <w:basedOn w:val="181"/>
    <w:next w:val="5"/>
    <w:qFormat/>
    <w:uiPriority w:val="0"/>
    <w:pPr>
      <w:numPr>
        <w:numId w:val="0"/>
      </w:numPr>
      <w:spacing w:line="460" w:lineRule="exact"/>
    </w:pPr>
  </w:style>
  <w:style w:type="paragraph" w:customStyle="1" w:styleId="184">
    <w:name w:val="xl1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textAlignment w:val="center"/>
    </w:pPr>
    <w:rPr>
      <w:rFonts w:ascii="Arial Unicode MS" w:hAnsi="Arial Unicode MS" w:eastAsia="Arial Unicode MS" w:cs="Arial Unicode MS"/>
      <w:sz w:val="18"/>
      <w:szCs w:val="18"/>
    </w:rPr>
  </w:style>
  <w:style w:type="paragraph" w:customStyle="1" w:styleId="185">
    <w:name w:val="二级条标题"/>
    <w:basedOn w:val="186"/>
    <w:next w:val="5"/>
    <w:link w:val="352"/>
    <w:qFormat/>
    <w:uiPriority w:val="0"/>
    <w:pPr>
      <w:numPr>
        <w:ilvl w:val="3"/>
      </w:numPr>
      <w:tabs>
        <w:tab w:val="left" w:pos="1620"/>
      </w:tabs>
      <w:outlineLvl w:val="3"/>
    </w:pPr>
  </w:style>
  <w:style w:type="paragraph" w:customStyle="1" w:styleId="186">
    <w:name w:val="一级条标题"/>
    <w:basedOn w:val="3"/>
    <w:next w:val="5"/>
    <w:qFormat/>
    <w:uiPriority w:val="0"/>
    <w:pPr>
      <w:keepNext w:val="0"/>
      <w:keepLines w:val="0"/>
      <w:widowControl/>
      <w:numPr>
        <w:ilvl w:val="2"/>
        <w:numId w:val="11"/>
      </w:numPr>
      <w:spacing w:before="0" w:after="0" w:line="240" w:lineRule="auto"/>
      <w:outlineLvl w:val="2"/>
    </w:pPr>
    <w:rPr>
      <w:rFonts w:ascii="黑体" w:eastAsia="黑体"/>
      <w:b w:val="0"/>
      <w:kern w:val="0"/>
      <w:sz w:val="21"/>
    </w:rPr>
  </w:style>
  <w:style w:type="paragraph" w:customStyle="1" w:styleId="187">
    <w:name w:val="xl32"/>
    <w:basedOn w:val="1"/>
    <w:qFormat/>
    <w:uiPriority w:val="0"/>
    <w:pPr>
      <w:widowControl/>
      <w:pBdr>
        <w:top w:val="single" w:color="auto" w:sz="4" w:space="0"/>
        <w:left w:val="single" w:color="auto" w:sz="4" w:space="0"/>
        <w:bottom w:val="single" w:color="auto" w:sz="4" w:space="0"/>
      </w:pBdr>
      <w:shd w:val="clear" w:color="auto" w:fill="33CCCC"/>
      <w:adjustRightInd/>
      <w:spacing w:before="100" w:beforeAutospacing="1" w:after="100" w:afterAutospacing="1" w:line="240" w:lineRule="auto"/>
      <w:jc w:val="center"/>
      <w:textAlignment w:val="auto"/>
    </w:pPr>
    <w:rPr>
      <w:rFonts w:ascii="Arial Unicode MS" w:hAnsi="Arial Unicode MS" w:eastAsia="Arial Unicode MS" w:cs="Arial Unicode MS"/>
      <w:sz w:val="20"/>
    </w:rPr>
  </w:style>
  <w:style w:type="paragraph" w:customStyle="1" w:styleId="188">
    <w:name w:val="xl2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textAlignment w:val="center"/>
    </w:pPr>
    <w:rPr>
      <w:rFonts w:ascii="Arial Unicode MS" w:hAnsi="Arial Unicode MS" w:eastAsia="Arial Unicode MS" w:cs="Arial Unicode MS"/>
      <w:sz w:val="18"/>
      <w:szCs w:val="18"/>
    </w:rPr>
  </w:style>
  <w:style w:type="paragraph" w:customStyle="1" w:styleId="189">
    <w:name w:val="font1"/>
    <w:basedOn w:val="1"/>
    <w:qFormat/>
    <w:uiPriority w:val="0"/>
    <w:pPr>
      <w:widowControl/>
      <w:adjustRightInd/>
      <w:spacing w:before="100" w:beforeAutospacing="1" w:after="100" w:afterAutospacing="1" w:line="240" w:lineRule="auto"/>
      <w:textAlignment w:val="auto"/>
    </w:pPr>
    <w:rPr>
      <w:rFonts w:ascii="宋体" w:hAnsi="宋体" w:cs="宋体"/>
      <w:szCs w:val="24"/>
    </w:rPr>
  </w:style>
  <w:style w:type="paragraph" w:customStyle="1" w:styleId="190">
    <w:name w:val="font6"/>
    <w:basedOn w:val="1"/>
    <w:qFormat/>
    <w:uiPriority w:val="0"/>
    <w:pPr>
      <w:widowControl/>
      <w:adjustRightInd/>
      <w:spacing w:before="100" w:beforeAutospacing="1" w:after="100" w:afterAutospacing="1" w:line="240" w:lineRule="auto"/>
      <w:textAlignment w:val="auto"/>
    </w:pPr>
    <w:rPr>
      <w:sz w:val="20"/>
    </w:rPr>
  </w:style>
  <w:style w:type="paragraph" w:customStyle="1" w:styleId="191">
    <w:name w:val="表格文字"/>
    <w:next w:val="2"/>
    <w:qFormat/>
    <w:uiPriority w:val="0"/>
    <w:pPr>
      <w:jc w:val="center"/>
    </w:pPr>
    <w:rPr>
      <w:rFonts w:ascii="Times New Roman" w:hAnsi="Times New Roman" w:eastAsia="楷体_GB2312" w:cs="Times New Roman"/>
      <w:bCs/>
      <w:sz w:val="24"/>
      <w:lang w:val="en-US" w:eastAsia="zh-CN" w:bidi="ar-SA"/>
    </w:rPr>
  </w:style>
  <w:style w:type="paragraph" w:customStyle="1" w:styleId="192">
    <w:name w:val="xl33"/>
    <w:basedOn w:val="1"/>
    <w:qFormat/>
    <w:uiPriority w:val="0"/>
    <w:pPr>
      <w:widowControl/>
      <w:pBdr>
        <w:top w:val="single" w:color="auto" w:sz="4" w:space="0"/>
        <w:bottom w:val="single" w:color="auto" w:sz="4" w:space="0"/>
      </w:pBdr>
      <w:shd w:val="clear" w:color="auto" w:fill="33CCCC"/>
      <w:adjustRightInd/>
      <w:spacing w:before="100" w:beforeAutospacing="1" w:after="100" w:afterAutospacing="1" w:line="240" w:lineRule="auto"/>
      <w:jc w:val="center"/>
      <w:textAlignment w:val="auto"/>
    </w:pPr>
    <w:rPr>
      <w:rFonts w:ascii="Arial Unicode MS" w:hAnsi="Arial Unicode MS" w:eastAsia="Arial Unicode MS" w:cs="Arial Unicode MS"/>
      <w:sz w:val="20"/>
    </w:rPr>
  </w:style>
  <w:style w:type="paragraph" w:customStyle="1" w:styleId="193">
    <w:name w:val="附录五级条标题"/>
    <w:basedOn w:val="175"/>
    <w:next w:val="1"/>
    <w:qFormat/>
    <w:uiPriority w:val="0"/>
    <w:pPr>
      <w:numPr>
        <w:ilvl w:val="6"/>
      </w:numPr>
      <w:outlineLvl w:val="6"/>
    </w:pPr>
  </w:style>
  <w:style w:type="paragraph" w:customStyle="1" w:styleId="194">
    <w:name w:val="xl35"/>
    <w:basedOn w:val="1"/>
    <w:qFormat/>
    <w:uiPriority w:val="0"/>
    <w:pPr>
      <w:widowControl/>
      <w:adjustRightInd/>
      <w:spacing w:before="100" w:beforeAutospacing="1" w:after="100" w:afterAutospacing="1" w:line="240" w:lineRule="auto"/>
      <w:jc w:val="center"/>
      <w:textAlignment w:val="center"/>
    </w:pPr>
    <w:rPr>
      <w:rFonts w:hint="eastAsia" w:ascii="楷体_GB2312" w:hAnsi="宋体" w:eastAsia="楷体_GB2312"/>
      <w:b/>
      <w:bCs/>
      <w:sz w:val="32"/>
      <w:szCs w:val="32"/>
    </w:rPr>
  </w:style>
  <w:style w:type="paragraph" w:customStyle="1" w:styleId="195">
    <w:name w:val="附录标识"/>
    <w:basedOn w:val="1"/>
    <w:qFormat/>
    <w:uiPriority w:val="0"/>
    <w:pPr>
      <w:widowControl/>
      <w:shd w:val="clear" w:color="FFFFFF" w:fill="FFFFFF"/>
      <w:tabs>
        <w:tab w:val="left" w:pos="6405"/>
      </w:tabs>
      <w:adjustRightInd/>
      <w:spacing w:before="640" w:after="200" w:line="240" w:lineRule="auto"/>
      <w:ind w:left="720" w:hanging="720"/>
      <w:jc w:val="center"/>
      <w:textAlignment w:val="auto"/>
      <w:outlineLvl w:val="0"/>
    </w:pPr>
    <w:rPr>
      <w:rFonts w:ascii="黑体" w:eastAsia="黑体"/>
      <w:sz w:val="21"/>
    </w:rPr>
  </w:style>
  <w:style w:type="paragraph" w:customStyle="1" w:styleId="196">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97">
    <w:name w:val="三级条标题"/>
    <w:basedOn w:val="185"/>
    <w:next w:val="5"/>
    <w:qFormat/>
    <w:uiPriority w:val="0"/>
    <w:pPr>
      <w:numPr>
        <w:ilvl w:val="4"/>
      </w:numPr>
      <w:outlineLvl w:val="4"/>
    </w:pPr>
  </w:style>
  <w:style w:type="paragraph" w:customStyle="1" w:styleId="198">
    <w:name w:val="四级条标题"/>
    <w:basedOn w:val="197"/>
    <w:next w:val="5"/>
    <w:qFormat/>
    <w:uiPriority w:val="0"/>
    <w:pPr>
      <w:numPr>
        <w:ilvl w:val="5"/>
      </w:numPr>
      <w:outlineLvl w:val="5"/>
    </w:pPr>
  </w:style>
  <w:style w:type="paragraph" w:customStyle="1" w:styleId="199">
    <w:name w:val="五级条标题"/>
    <w:basedOn w:val="198"/>
    <w:next w:val="5"/>
    <w:qFormat/>
    <w:uiPriority w:val="0"/>
    <w:pPr>
      <w:numPr>
        <w:ilvl w:val="6"/>
      </w:numPr>
      <w:outlineLvl w:val="6"/>
    </w:pPr>
  </w:style>
  <w:style w:type="paragraph" w:customStyle="1" w:styleId="200">
    <w:name w:val="样式 标题 3 + 段前: 0 磅 段后: 0 磅 行距: 1.5 倍行距1"/>
    <w:basedOn w:val="6"/>
    <w:qFormat/>
    <w:uiPriority w:val="0"/>
    <w:pPr>
      <w:keepLines/>
      <w:numPr>
        <w:ilvl w:val="0"/>
        <w:numId w:val="0"/>
      </w:numPr>
      <w:tabs>
        <w:tab w:val="left" w:pos="851"/>
      </w:tabs>
      <w:adjustRightInd/>
      <w:ind w:left="2880" w:hanging="720"/>
      <w:jc w:val="both"/>
      <w:textAlignment w:val="auto"/>
    </w:pPr>
    <w:rPr>
      <w:rFonts w:ascii="Arial" w:hAnsi="Arial" w:eastAsia="黑体" w:cs="宋体"/>
      <w:b/>
      <w:bCs/>
      <w:i w:val="0"/>
      <w:kern w:val="2"/>
      <w:sz w:val="28"/>
    </w:rPr>
  </w:style>
  <w:style w:type="paragraph" w:customStyle="1" w:styleId="201">
    <w:name w:val="font8"/>
    <w:basedOn w:val="1"/>
    <w:qFormat/>
    <w:uiPriority w:val="0"/>
    <w:pPr>
      <w:widowControl/>
      <w:adjustRightInd/>
      <w:spacing w:before="100" w:beforeAutospacing="1" w:after="100" w:afterAutospacing="1" w:line="240" w:lineRule="auto"/>
      <w:textAlignment w:val="auto"/>
    </w:pPr>
    <w:rPr>
      <w:rFonts w:ascii="宋体" w:hAnsi="宋体" w:cs="宋体"/>
      <w:color w:val="000000"/>
      <w:szCs w:val="24"/>
    </w:rPr>
  </w:style>
  <w:style w:type="paragraph" w:customStyle="1" w:styleId="202">
    <w:name w:val="font9"/>
    <w:basedOn w:val="1"/>
    <w:qFormat/>
    <w:uiPriority w:val="0"/>
    <w:pPr>
      <w:widowControl/>
      <w:adjustRightInd/>
      <w:spacing w:before="100" w:beforeAutospacing="1" w:after="100" w:afterAutospacing="1" w:line="240" w:lineRule="auto"/>
      <w:textAlignment w:val="auto"/>
    </w:pPr>
    <w:rPr>
      <w:color w:val="000000"/>
      <w:szCs w:val="24"/>
    </w:rPr>
  </w:style>
  <w:style w:type="paragraph" w:customStyle="1" w:styleId="203">
    <w:name w:val="font10"/>
    <w:basedOn w:val="1"/>
    <w:qFormat/>
    <w:uiPriority w:val="0"/>
    <w:pPr>
      <w:widowControl/>
      <w:adjustRightInd/>
      <w:spacing w:before="100" w:beforeAutospacing="1" w:after="100" w:afterAutospacing="1" w:line="240" w:lineRule="auto"/>
      <w:textAlignment w:val="auto"/>
    </w:pPr>
    <w:rPr>
      <w:rFonts w:ascii="宋体" w:hAnsi="宋体" w:cs="宋体"/>
      <w:szCs w:val="24"/>
    </w:rPr>
  </w:style>
  <w:style w:type="paragraph" w:customStyle="1" w:styleId="204">
    <w:name w:val="font11"/>
    <w:basedOn w:val="1"/>
    <w:qFormat/>
    <w:uiPriority w:val="0"/>
    <w:pPr>
      <w:widowControl/>
      <w:adjustRightInd/>
      <w:spacing w:before="100" w:beforeAutospacing="1" w:after="100" w:afterAutospacing="1" w:line="240" w:lineRule="auto"/>
      <w:textAlignment w:val="auto"/>
    </w:pPr>
    <w:rPr>
      <w:rFonts w:ascii="宋体" w:hAnsi="宋体" w:cs="宋体"/>
      <w:color w:val="00FF00"/>
      <w:szCs w:val="24"/>
    </w:rPr>
  </w:style>
  <w:style w:type="paragraph" w:customStyle="1" w:styleId="205">
    <w:name w:val="font12"/>
    <w:basedOn w:val="1"/>
    <w:qFormat/>
    <w:uiPriority w:val="0"/>
    <w:pPr>
      <w:widowControl/>
      <w:adjustRightInd/>
      <w:spacing w:before="100" w:beforeAutospacing="1" w:after="100" w:afterAutospacing="1" w:line="240" w:lineRule="auto"/>
      <w:textAlignment w:val="auto"/>
    </w:pPr>
    <w:rPr>
      <w:rFonts w:ascii="宋体" w:hAnsi="宋体" w:cs="宋体"/>
      <w:sz w:val="18"/>
      <w:szCs w:val="18"/>
    </w:rPr>
  </w:style>
  <w:style w:type="paragraph" w:customStyle="1" w:styleId="206">
    <w:name w:val="xl63"/>
    <w:basedOn w:val="1"/>
    <w:qFormat/>
    <w:uiPriority w:val="0"/>
    <w:pPr>
      <w:widowControl/>
      <w:pBdr>
        <w:top w:val="single" w:color="auto" w:sz="8" w:space="0"/>
        <w:right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07">
    <w:name w:val="xl64"/>
    <w:basedOn w:val="1"/>
    <w:qFormat/>
    <w:uiPriority w:val="0"/>
    <w:pPr>
      <w:widowControl/>
      <w:pBdr>
        <w:right w:val="single" w:color="auto" w:sz="8" w:space="0"/>
      </w:pBdr>
      <w:adjustRightInd/>
      <w:spacing w:before="100" w:beforeAutospacing="1" w:after="100" w:afterAutospacing="1" w:line="240" w:lineRule="auto"/>
      <w:jc w:val="both"/>
      <w:textAlignment w:val="auto"/>
    </w:pPr>
    <w:rPr>
      <w:rFonts w:ascii="宋体" w:hAnsi="宋体" w:cs="宋体"/>
      <w:szCs w:val="24"/>
    </w:rPr>
  </w:style>
  <w:style w:type="paragraph" w:customStyle="1" w:styleId="208">
    <w:name w:val="xl65"/>
    <w:basedOn w:val="1"/>
    <w:qFormat/>
    <w:uiPriority w:val="0"/>
    <w:pPr>
      <w:widowControl/>
      <w:pBdr>
        <w:right w:val="single" w:color="auto" w:sz="8" w:space="0"/>
      </w:pBdr>
      <w:adjustRightInd/>
      <w:spacing w:before="100" w:beforeAutospacing="1" w:after="100" w:afterAutospacing="1" w:line="240" w:lineRule="auto"/>
      <w:jc w:val="both"/>
      <w:textAlignment w:val="auto"/>
    </w:pPr>
    <w:rPr>
      <w:rFonts w:ascii="宋体" w:hAnsi="宋体" w:cs="宋体"/>
      <w:color w:val="808080"/>
      <w:szCs w:val="24"/>
    </w:rPr>
  </w:style>
  <w:style w:type="paragraph" w:customStyle="1" w:styleId="209">
    <w:name w:val="xl66"/>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auto"/>
    </w:pPr>
    <w:rPr>
      <w:szCs w:val="24"/>
    </w:rPr>
  </w:style>
  <w:style w:type="paragraph" w:customStyle="1" w:styleId="210">
    <w:name w:val="xl67"/>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color w:val="808080"/>
      <w:szCs w:val="24"/>
    </w:rPr>
  </w:style>
  <w:style w:type="paragraph" w:customStyle="1" w:styleId="211">
    <w:name w:val="xl68"/>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top"/>
    </w:pPr>
    <w:rPr>
      <w:rFonts w:ascii="宋体" w:hAnsi="宋体" w:cs="宋体"/>
      <w:color w:val="808080"/>
      <w:szCs w:val="24"/>
    </w:rPr>
  </w:style>
  <w:style w:type="paragraph" w:customStyle="1" w:styleId="212">
    <w:name w:val="xl69"/>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szCs w:val="24"/>
    </w:rPr>
  </w:style>
  <w:style w:type="paragraph" w:customStyle="1" w:styleId="213">
    <w:name w:val="xl70"/>
    <w:basedOn w:val="1"/>
    <w:qFormat/>
    <w:uiPriority w:val="0"/>
    <w:pPr>
      <w:widowControl/>
      <w:pBdr>
        <w:bottom w:val="single" w:color="auto" w:sz="8" w:space="0"/>
        <w:right w:val="single" w:color="auto" w:sz="8" w:space="0"/>
      </w:pBdr>
      <w:adjustRightInd/>
      <w:spacing w:before="100" w:beforeAutospacing="1" w:after="100" w:afterAutospacing="1" w:line="240" w:lineRule="auto"/>
      <w:textAlignment w:val="auto"/>
    </w:pPr>
    <w:rPr>
      <w:rFonts w:ascii="宋体" w:hAnsi="宋体" w:cs="宋体"/>
      <w:szCs w:val="24"/>
    </w:rPr>
  </w:style>
  <w:style w:type="paragraph" w:customStyle="1" w:styleId="214">
    <w:name w:val="xl71"/>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top"/>
    </w:pPr>
    <w:rPr>
      <w:szCs w:val="24"/>
    </w:rPr>
  </w:style>
  <w:style w:type="paragraph" w:customStyle="1" w:styleId="215">
    <w:name w:val="xl72"/>
    <w:basedOn w:val="1"/>
    <w:qFormat/>
    <w:uiPriority w:val="0"/>
    <w:pPr>
      <w:widowControl/>
      <w:adjustRightInd/>
      <w:spacing w:before="100" w:beforeAutospacing="1" w:after="100" w:afterAutospacing="1" w:line="240" w:lineRule="auto"/>
      <w:jc w:val="both"/>
      <w:textAlignment w:val="auto"/>
    </w:pPr>
    <w:rPr>
      <w:szCs w:val="24"/>
    </w:rPr>
  </w:style>
  <w:style w:type="paragraph" w:customStyle="1" w:styleId="216">
    <w:name w:val="xl73"/>
    <w:basedOn w:val="1"/>
    <w:qFormat/>
    <w:uiPriority w:val="0"/>
    <w:pPr>
      <w:widowControl/>
      <w:adjustRightInd/>
      <w:spacing w:before="100" w:beforeAutospacing="1" w:after="100" w:afterAutospacing="1" w:line="240" w:lineRule="auto"/>
      <w:textAlignment w:val="auto"/>
    </w:pPr>
    <w:rPr>
      <w:rFonts w:ascii="宋体" w:hAnsi="宋体" w:cs="宋体"/>
      <w:szCs w:val="24"/>
    </w:rPr>
  </w:style>
  <w:style w:type="paragraph" w:customStyle="1" w:styleId="217">
    <w:name w:val="xl74"/>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top"/>
    </w:pPr>
    <w:rPr>
      <w:rFonts w:ascii="宋体" w:hAnsi="宋体" w:cs="宋体"/>
      <w:szCs w:val="24"/>
    </w:rPr>
  </w:style>
  <w:style w:type="paragraph" w:customStyle="1" w:styleId="218">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19">
    <w:name w:val="xl76"/>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color w:val="808080"/>
      <w:szCs w:val="24"/>
    </w:rPr>
  </w:style>
  <w:style w:type="paragraph" w:customStyle="1" w:styleId="220">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textAlignment w:val="center"/>
    </w:pPr>
    <w:rPr>
      <w:rFonts w:ascii="宋体" w:hAnsi="宋体" w:cs="宋体"/>
      <w:color w:val="808080"/>
      <w:szCs w:val="24"/>
    </w:rPr>
  </w:style>
  <w:style w:type="paragraph" w:customStyle="1" w:styleId="221">
    <w:name w:val="xl78"/>
    <w:basedOn w:val="1"/>
    <w:qFormat/>
    <w:uiPriority w:val="0"/>
    <w:pPr>
      <w:widowControl/>
      <w:pBdr>
        <w:right w:val="single" w:color="auto" w:sz="8" w:space="0"/>
      </w:pBdr>
      <w:adjustRightInd/>
      <w:spacing w:before="100" w:beforeAutospacing="1" w:after="100" w:afterAutospacing="1" w:line="240" w:lineRule="auto"/>
      <w:jc w:val="both"/>
      <w:textAlignment w:val="top"/>
    </w:pPr>
    <w:rPr>
      <w:rFonts w:ascii="宋体" w:hAnsi="宋体" w:cs="宋体"/>
      <w:color w:val="808080"/>
      <w:szCs w:val="24"/>
    </w:rPr>
  </w:style>
  <w:style w:type="paragraph" w:customStyle="1" w:styleId="222">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ascii="宋体" w:hAnsi="宋体" w:cs="宋体"/>
      <w:color w:val="808080"/>
      <w:szCs w:val="24"/>
    </w:rPr>
  </w:style>
  <w:style w:type="paragraph" w:customStyle="1" w:styleId="223">
    <w:name w:val="xl8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224">
    <w:name w:val="xl8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both"/>
      <w:textAlignment w:val="auto"/>
    </w:pPr>
    <w:rPr>
      <w:rFonts w:ascii="宋体" w:hAnsi="宋体" w:cs="宋体"/>
      <w:color w:val="808080"/>
      <w:szCs w:val="24"/>
    </w:rPr>
  </w:style>
  <w:style w:type="paragraph" w:customStyle="1" w:styleId="225">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both"/>
      <w:textAlignment w:val="top"/>
    </w:pPr>
    <w:rPr>
      <w:rFonts w:ascii="宋体" w:hAnsi="宋体" w:cs="宋体"/>
      <w:color w:val="808080"/>
      <w:szCs w:val="24"/>
    </w:rPr>
  </w:style>
  <w:style w:type="paragraph" w:customStyle="1" w:styleId="226">
    <w:name w:val="xl83"/>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227">
    <w:name w:val="xl84"/>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color w:val="000000"/>
      <w:szCs w:val="24"/>
    </w:rPr>
  </w:style>
  <w:style w:type="paragraph" w:customStyle="1" w:styleId="228">
    <w:name w:val="xl85"/>
    <w:basedOn w:val="1"/>
    <w:qFormat/>
    <w:uiPriority w:val="0"/>
    <w:pPr>
      <w:widowControl/>
      <w:pBdr>
        <w:right w:val="single" w:color="auto" w:sz="8" w:space="0"/>
      </w:pBdr>
      <w:adjustRightInd/>
      <w:spacing w:before="100" w:beforeAutospacing="1" w:after="100" w:afterAutospacing="1" w:line="240" w:lineRule="auto"/>
      <w:jc w:val="both"/>
      <w:textAlignment w:val="auto"/>
    </w:pPr>
    <w:rPr>
      <w:rFonts w:ascii="宋体" w:hAnsi="宋体" w:cs="宋体"/>
      <w:color w:val="000000"/>
      <w:szCs w:val="24"/>
    </w:rPr>
  </w:style>
  <w:style w:type="paragraph" w:customStyle="1" w:styleId="229">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both"/>
      <w:textAlignment w:val="auto"/>
    </w:pPr>
    <w:rPr>
      <w:rFonts w:ascii="宋体" w:hAnsi="宋体" w:cs="宋体"/>
      <w:szCs w:val="24"/>
    </w:rPr>
  </w:style>
  <w:style w:type="paragraph" w:customStyle="1" w:styleId="230">
    <w:name w:val="xl87"/>
    <w:basedOn w:val="1"/>
    <w:qFormat/>
    <w:uiPriority w:val="0"/>
    <w:pPr>
      <w:widowControl/>
      <w:pBdr>
        <w:right w:val="single" w:color="auto" w:sz="8" w:space="0"/>
      </w:pBdr>
      <w:adjustRightInd/>
      <w:spacing w:before="100" w:beforeAutospacing="1" w:after="100" w:afterAutospacing="1" w:line="240" w:lineRule="auto"/>
      <w:jc w:val="center"/>
      <w:textAlignment w:val="auto"/>
    </w:pPr>
    <w:rPr>
      <w:rFonts w:ascii="宋体" w:hAnsi="宋体" w:cs="宋体"/>
      <w:color w:val="808080"/>
      <w:szCs w:val="24"/>
    </w:rPr>
  </w:style>
  <w:style w:type="paragraph" w:customStyle="1" w:styleId="231">
    <w:name w:val="xl88"/>
    <w:basedOn w:val="1"/>
    <w:qFormat/>
    <w:uiPriority w:val="0"/>
    <w:pPr>
      <w:widowControl/>
      <w:pBdr>
        <w:right w:val="single" w:color="auto" w:sz="8"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232">
    <w:name w:val="xl89"/>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auto"/>
    </w:pPr>
    <w:rPr>
      <w:color w:val="000000"/>
      <w:szCs w:val="24"/>
    </w:rPr>
  </w:style>
  <w:style w:type="paragraph" w:customStyle="1" w:styleId="233">
    <w:name w:val="xl90"/>
    <w:basedOn w:val="1"/>
    <w:qFormat/>
    <w:uiPriority w:val="0"/>
    <w:pPr>
      <w:widowControl/>
      <w:pBdr>
        <w:right w:val="single" w:color="auto" w:sz="8" w:space="0"/>
      </w:pBdr>
      <w:adjustRightInd/>
      <w:spacing w:before="100" w:beforeAutospacing="1" w:after="100" w:afterAutospacing="1" w:line="240" w:lineRule="auto"/>
      <w:textAlignment w:val="auto"/>
    </w:pPr>
    <w:rPr>
      <w:rFonts w:ascii="宋体" w:hAnsi="宋体" w:cs="宋体"/>
      <w:szCs w:val="24"/>
    </w:rPr>
  </w:style>
  <w:style w:type="paragraph" w:customStyle="1" w:styleId="234">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textAlignment w:val="auto"/>
    </w:pPr>
    <w:rPr>
      <w:rFonts w:ascii="宋体" w:hAnsi="宋体" w:cs="宋体"/>
      <w:szCs w:val="24"/>
    </w:rPr>
  </w:style>
  <w:style w:type="paragraph" w:customStyle="1" w:styleId="235">
    <w:name w:val="xl92"/>
    <w:basedOn w:val="1"/>
    <w:qFormat/>
    <w:uiPriority w:val="0"/>
    <w:pPr>
      <w:widowControl/>
      <w:pBdr>
        <w:right w:val="single" w:color="auto" w:sz="8" w:space="0"/>
      </w:pBdr>
      <w:adjustRightInd/>
      <w:spacing w:before="100" w:beforeAutospacing="1" w:after="100" w:afterAutospacing="1" w:line="240" w:lineRule="auto"/>
      <w:jc w:val="center"/>
      <w:textAlignment w:val="top"/>
    </w:pPr>
    <w:rPr>
      <w:rFonts w:ascii="宋体" w:hAnsi="宋体" w:cs="宋体"/>
      <w:color w:val="808080"/>
      <w:szCs w:val="24"/>
    </w:rPr>
  </w:style>
  <w:style w:type="paragraph" w:customStyle="1" w:styleId="236">
    <w:name w:val="xl93"/>
    <w:basedOn w:val="1"/>
    <w:qFormat/>
    <w:uiPriority w:val="0"/>
    <w:pPr>
      <w:widowControl/>
      <w:pBdr>
        <w:right w:val="single" w:color="auto" w:sz="8" w:space="0"/>
      </w:pBdr>
      <w:adjustRightInd/>
      <w:spacing w:before="100" w:beforeAutospacing="1" w:after="100" w:afterAutospacing="1" w:line="240" w:lineRule="auto"/>
      <w:textAlignment w:val="top"/>
    </w:pPr>
    <w:rPr>
      <w:rFonts w:ascii="宋体" w:hAnsi="宋体" w:cs="宋体"/>
      <w:szCs w:val="24"/>
    </w:rPr>
  </w:style>
  <w:style w:type="paragraph" w:customStyle="1" w:styleId="237">
    <w:name w:val="xl94"/>
    <w:basedOn w:val="1"/>
    <w:qFormat/>
    <w:uiPriority w:val="0"/>
    <w:pPr>
      <w:widowControl/>
      <w:pBdr>
        <w:bottom w:val="single" w:color="auto" w:sz="8" w:space="0"/>
        <w:right w:val="single" w:color="auto" w:sz="8" w:space="0"/>
      </w:pBdr>
      <w:adjustRightInd/>
      <w:spacing w:before="100" w:beforeAutospacing="1" w:after="100" w:afterAutospacing="1" w:line="240" w:lineRule="auto"/>
      <w:textAlignment w:val="top"/>
    </w:pPr>
    <w:rPr>
      <w:rFonts w:ascii="宋体" w:hAnsi="宋体" w:cs="宋体"/>
      <w:szCs w:val="24"/>
    </w:rPr>
  </w:style>
  <w:style w:type="paragraph" w:customStyle="1" w:styleId="238">
    <w:name w:val="xl95"/>
    <w:basedOn w:val="1"/>
    <w:qFormat/>
    <w:uiPriority w:val="0"/>
    <w:pPr>
      <w:widowControl/>
      <w:pBdr>
        <w:right w:val="single" w:color="auto" w:sz="8" w:space="0"/>
      </w:pBdr>
      <w:adjustRightInd/>
      <w:spacing w:before="100" w:beforeAutospacing="1" w:after="100" w:afterAutospacing="1" w:line="240" w:lineRule="auto"/>
      <w:jc w:val="center"/>
      <w:textAlignment w:val="top"/>
    </w:pPr>
    <w:rPr>
      <w:rFonts w:ascii="宋体" w:hAnsi="宋体" w:cs="宋体"/>
      <w:szCs w:val="24"/>
    </w:rPr>
  </w:style>
  <w:style w:type="paragraph" w:customStyle="1" w:styleId="239">
    <w:name w:val="xl96"/>
    <w:basedOn w:val="1"/>
    <w:qFormat/>
    <w:uiPriority w:val="0"/>
    <w:pPr>
      <w:widowControl/>
      <w:pBdr>
        <w:right w:val="single" w:color="auto" w:sz="8" w:space="0"/>
      </w:pBdr>
      <w:adjustRightInd/>
      <w:spacing w:before="100" w:beforeAutospacing="1" w:after="100" w:afterAutospacing="1" w:line="240" w:lineRule="auto"/>
      <w:textAlignment w:val="auto"/>
    </w:pPr>
    <w:rPr>
      <w:rFonts w:ascii="宋体" w:hAnsi="宋体" w:cs="宋体"/>
      <w:szCs w:val="24"/>
    </w:rPr>
  </w:style>
  <w:style w:type="paragraph" w:customStyle="1" w:styleId="240">
    <w:name w:val="xl97"/>
    <w:basedOn w:val="1"/>
    <w:qFormat/>
    <w:uiPriority w:val="0"/>
    <w:pPr>
      <w:widowControl/>
      <w:pBdr>
        <w:top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241">
    <w:name w:val="xl98"/>
    <w:basedOn w:val="1"/>
    <w:qFormat/>
    <w:uiPriority w:val="0"/>
    <w:pPr>
      <w:widowControl/>
      <w:pBdr>
        <w:bottom w:val="single" w:color="auto" w:sz="8" w:space="0"/>
        <w:right w:val="single" w:color="auto" w:sz="8" w:space="0"/>
      </w:pBdr>
      <w:adjustRightInd/>
      <w:spacing w:before="100" w:beforeAutospacing="1" w:after="100" w:afterAutospacing="1" w:line="240" w:lineRule="auto"/>
      <w:jc w:val="both"/>
      <w:textAlignment w:val="top"/>
    </w:pPr>
    <w:rPr>
      <w:rFonts w:ascii="黑体" w:hAnsi="黑体" w:eastAsia="黑体" w:cs="宋体"/>
      <w:b/>
      <w:bCs/>
      <w:color w:val="808080"/>
      <w:szCs w:val="24"/>
    </w:rPr>
  </w:style>
  <w:style w:type="paragraph" w:customStyle="1" w:styleId="242">
    <w:name w:val="xl99"/>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top"/>
    </w:pPr>
    <w:rPr>
      <w:szCs w:val="24"/>
    </w:rPr>
  </w:style>
  <w:style w:type="paragraph" w:customStyle="1" w:styleId="243">
    <w:name w:val="xl100"/>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auto"/>
    </w:pPr>
    <w:rPr>
      <w:szCs w:val="24"/>
    </w:rPr>
  </w:style>
  <w:style w:type="paragraph" w:customStyle="1" w:styleId="244">
    <w:name w:val="xl101"/>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right"/>
      <w:textAlignment w:val="auto"/>
    </w:pPr>
    <w:rPr>
      <w:rFonts w:ascii="宋体" w:hAnsi="宋体" w:cs="宋体"/>
      <w:szCs w:val="24"/>
    </w:rPr>
  </w:style>
  <w:style w:type="paragraph" w:customStyle="1" w:styleId="245">
    <w:name w:val="xl102"/>
    <w:basedOn w:val="1"/>
    <w:qFormat/>
    <w:uiPriority w:val="0"/>
    <w:pPr>
      <w:widowControl/>
      <w:pBdr>
        <w:bottom w:val="single" w:color="auto" w:sz="8"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246">
    <w:name w:val="xl103"/>
    <w:basedOn w:val="1"/>
    <w:qFormat/>
    <w:uiPriority w:val="0"/>
    <w:pPr>
      <w:widowControl/>
      <w:pBdr>
        <w:top w:val="single" w:color="auto" w:sz="8"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247">
    <w:name w:val="xl10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both"/>
      <w:textAlignment w:val="top"/>
    </w:pPr>
    <w:rPr>
      <w:rFonts w:ascii="宋体" w:hAnsi="宋体" w:cs="宋体"/>
      <w:szCs w:val="24"/>
    </w:rPr>
  </w:style>
  <w:style w:type="paragraph" w:customStyle="1" w:styleId="248">
    <w:name w:val="xl105"/>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49">
    <w:name w:val="xl106"/>
    <w:basedOn w:val="1"/>
    <w:qFormat/>
    <w:uiPriority w:val="0"/>
    <w:pPr>
      <w:widowControl/>
      <w:pBdr>
        <w:top w:val="single" w:color="auto" w:sz="4" w:space="0"/>
        <w:bottom w:val="single" w:color="auto" w:sz="4" w:space="0"/>
        <w:right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50">
    <w:name w:val="xl107"/>
    <w:basedOn w:val="1"/>
    <w:qFormat/>
    <w:uiPriority w:val="0"/>
    <w:pPr>
      <w:widowControl/>
      <w:pBdr>
        <w:bottom w:val="single" w:color="auto" w:sz="4" w:space="0"/>
        <w:right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51">
    <w:name w:val="xl108"/>
    <w:basedOn w:val="1"/>
    <w:qFormat/>
    <w:uiPriority w:val="0"/>
    <w:pPr>
      <w:widowControl/>
      <w:pBdr>
        <w:bottom w:val="single" w:color="auto" w:sz="4" w:space="0"/>
        <w:right w:val="single" w:color="auto" w:sz="8"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252">
    <w:name w:val="xl109"/>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253">
    <w:name w:val="xl110"/>
    <w:basedOn w:val="1"/>
    <w:qFormat/>
    <w:uiPriority w:val="0"/>
    <w:pPr>
      <w:widowControl/>
      <w:pBdr>
        <w:right w:val="single" w:color="auto" w:sz="8" w:space="0"/>
      </w:pBdr>
      <w:adjustRightInd/>
      <w:spacing w:before="100" w:beforeAutospacing="1" w:after="100" w:afterAutospacing="1" w:line="240" w:lineRule="auto"/>
      <w:jc w:val="both"/>
      <w:textAlignment w:val="top"/>
    </w:pPr>
    <w:rPr>
      <w:rFonts w:ascii="宋体" w:hAnsi="宋体" w:cs="宋体"/>
      <w:color w:val="000000"/>
      <w:szCs w:val="24"/>
    </w:rPr>
  </w:style>
  <w:style w:type="paragraph" w:customStyle="1" w:styleId="254">
    <w:name w:val="xl111"/>
    <w:basedOn w:val="1"/>
    <w:qFormat/>
    <w:uiPriority w:val="0"/>
    <w:pPr>
      <w:widowControl/>
      <w:pBdr>
        <w:top w:val="single" w:color="auto" w:sz="8" w:space="0"/>
        <w:bottom w:val="single" w:color="auto" w:sz="4" w:space="0"/>
        <w:right w:val="single" w:color="auto" w:sz="4"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255">
    <w:name w:val="xl112"/>
    <w:basedOn w:val="1"/>
    <w:qFormat/>
    <w:uiPriority w:val="0"/>
    <w:pPr>
      <w:widowControl/>
      <w:pBdr>
        <w:top w:val="single" w:color="auto" w:sz="8" w:space="0"/>
        <w:right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56">
    <w:name w:val="xl113"/>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57">
    <w:name w:val="xl114"/>
    <w:basedOn w:val="1"/>
    <w:qFormat/>
    <w:uiPriority w:val="0"/>
    <w:pPr>
      <w:widowControl/>
      <w:pBdr>
        <w:left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58">
    <w:name w:val="xl115"/>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59">
    <w:name w:val="xl116"/>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szCs w:val="24"/>
    </w:rPr>
  </w:style>
  <w:style w:type="paragraph" w:customStyle="1" w:styleId="260">
    <w:name w:val="xl117"/>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szCs w:val="24"/>
    </w:rPr>
  </w:style>
  <w:style w:type="paragraph" w:customStyle="1" w:styleId="261">
    <w:name w:val="xl118"/>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62">
    <w:name w:val="xl119"/>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color w:val="000000"/>
      <w:szCs w:val="24"/>
    </w:rPr>
  </w:style>
  <w:style w:type="paragraph" w:customStyle="1" w:styleId="263">
    <w:name w:val="xl120"/>
    <w:basedOn w:val="1"/>
    <w:qFormat/>
    <w:uiPriority w:val="0"/>
    <w:pPr>
      <w:widowControl/>
      <w:pBdr>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64">
    <w:name w:val="xl12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textAlignment w:val="center"/>
    </w:pPr>
    <w:rPr>
      <w:szCs w:val="24"/>
    </w:rPr>
  </w:style>
  <w:style w:type="paragraph" w:customStyle="1" w:styleId="265">
    <w:name w:val="xl122"/>
    <w:basedOn w:val="1"/>
    <w:qFormat/>
    <w:uiPriority w:val="0"/>
    <w:pPr>
      <w:widowControl/>
      <w:adjustRightInd/>
      <w:spacing w:before="100" w:beforeAutospacing="1" w:after="100" w:afterAutospacing="1" w:line="240" w:lineRule="auto"/>
      <w:jc w:val="center"/>
      <w:textAlignment w:val="center"/>
    </w:pPr>
    <w:rPr>
      <w:szCs w:val="24"/>
    </w:rPr>
  </w:style>
  <w:style w:type="paragraph" w:customStyle="1" w:styleId="266">
    <w:name w:val="xl123"/>
    <w:basedOn w:val="1"/>
    <w:qFormat/>
    <w:uiPriority w:val="0"/>
    <w:pPr>
      <w:widowControl/>
      <w:adjustRightInd/>
      <w:spacing w:before="100" w:beforeAutospacing="1" w:after="100" w:afterAutospacing="1" w:line="240" w:lineRule="auto"/>
      <w:jc w:val="center"/>
      <w:textAlignment w:val="center"/>
    </w:pPr>
    <w:rPr>
      <w:rFonts w:ascii="宋体" w:hAnsi="宋体" w:cs="宋体"/>
      <w:szCs w:val="24"/>
    </w:rPr>
  </w:style>
  <w:style w:type="paragraph" w:customStyle="1" w:styleId="267">
    <w:name w:val="xl124"/>
    <w:basedOn w:val="1"/>
    <w:qFormat/>
    <w:uiPriority w:val="0"/>
    <w:pPr>
      <w:widowControl/>
      <w:adjustRightInd/>
      <w:spacing w:before="100" w:beforeAutospacing="1" w:after="100" w:afterAutospacing="1" w:line="240" w:lineRule="auto"/>
      <w:jc w:val="center"/>
      <w:textAlignment w:val="center"/>
    </w:pPr>
    <w:rPr>
      <w:b/>
      <w:bCs/>
      <w:szCs w:val="24"/>
    </w:rPr>
  </w:style>
  <w:style w:type="paragraph" w:customStyle="1" w:styleId="268">
    <w:name w:val="xl12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ascii="宋体" w:hAnsi="宋体" w:cs="宋体"/>
      <w:color w:val="000000"/>
      <w:szCs w:val="24"/>
    </w:rPr>
  </w:style>
  <w:style w:type="paragraph" w:customStyle="1" w:styleId="269">
    <w:name w:val="xl126"/>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70">
    <w:name w:val="xl127"/>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71">
    <w:name w:val="xl1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textAlignment w:val="center"/>
    </w:pPr>
    <w:rPr>
      <w:rFonts w:ascii="宋体" w:hAnsi="宋体" w:cs="宋体"/>
      <w:szCs w:val="24"/>
    </w:rPr>
  </w:style>
  <w:style w:type="paragraph" w:customStyle="1" w:styleId="272">
    <w:name w:val="xl129"/>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240" w:lineRule="auto"/>
      <w:textAlignment w:val="center"/>
    </w:pPr>
    <w:rPr>
      <w:rFonts w:ascii="宋体" w:hAnsi="宋体" w:cs="宋体"/>
      <w:szCs w:val="24"/>
    </w:rPr>
  </w:style>
  <w:style w:type="paragraph" w:customStyle="1" w:styleId="273">
    <w:name w:val="xl130"/>
    <w:basedOn w:val="1"/>
    <w:qFormat/>
    <w:uiPriority w:val="0"/>
    <w:pPr>
      <w:widowControl/>
      <w:pBdr>
        <w:top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74">
    <w:name w:val="xl131"/>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275">
    <w:name w:val="xl132"/>
    <w:basedOn w:val="1"/>
    <w:qFormat/>
    <w:uiPriority w:val="0"/>
    <w:pPr>
      <w:widowControl/>
      <w:pBdr>
        <w:top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276">
    <w:name w:val="xl133"/>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277">
    <w:name w:val="xl134"/>
    <w:basedOn w:val="1"/>
    <w:qFormat/>
    <w:uiPriority w:val="0"/>
    <w:pPr>
      <w:widowControl/>
      <w:pBdr>
        <w:bottom w:val="single" w:color="auto" w:sz="8" w:space="0"/>
        <w:right w:val="single" w:color="auto" w:sz="8" w:space="0"/>
      </w:pBdr>
      <w:adjustRightInd/>
      <w:spacing w:before="100" w:beforeAutospacing="1" w:after="100" w:afterAutospacing="1" w:line="240" w:lineRule="auto"/>
      <w:jc w:val="center"/>
      <w:textAlignment w:val="center"/>
    </w:pPr>
    <w:rPr>
      <w:rFonts w:ascii="黑体" w:hAnsi="黑体" w:eastAsia="黑体" w:cs="宋体"/>
      <w:b/>
      <w:bCs/>
      <w:color w:val="808080"/>
      <w:szCs w:val="24"/>
    </w:rPr>
  </w:style>
  <w:style w:type="paragraph" w:customStyle="1" w:styleId="278">
    <w:name w:val="xl135"/>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center"/>
    </w:pPr>
    <w:rPr>
      <w:rFonts w:ascii="宋体" w:hAnsi="宋体" w:cs="宋体"/>
      <w:b/>
      <w:bCs/>
      <w:sz w:val="28"/>
      <w:szCs w:val="28"/>
    </w:rPr>
  </w:style>
  <w:style w:type="paragraph" w:customStyle="1" w:styleId="279">
    <w:name w:val="xl136"/>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宋体" w:hAnsi="宋体" w:cs="宋体"/>
      <w:b/>
      <w:bCs/>
      <w:sz w:val="28"/>
      <w:szCs w:val="28"/>
    </w:rPr>
  </w:style>
  <w:style w:type="paragraph" w:customStyle="1" w:styleId="280">
    <w:name w:val="xl137"/>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81">
    <w:name w:val="xl138"/>
    <w:basedOn w:val="1"/>
    <w:qFormat/>
    <w:uiPriority w:val="0"/>
    <w:pPr>
      <w:widowControl/>
      <w:pBdr>
        <w:left w:val="single" w:color="auto" w:sz="8" w:space="0"/>
        <w:bottom w:val="single" w:color="auto" w:sz="4" w:space="0"/>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82">
    <w:name w:val="xl139"/>
    <w:basedOn w:val="1"/>
    <w:qFormat/>
    <w:uiPriority w:val="0"/>
    <w:pPr>
      <w:widowControl/>
      <w:pBdr>
        <w:top w:val="single" w:color="auto" w:sz="8" w:space="0"/>
        <w:left w:val="single" w:color="auto" w:sz="8" w:space="0"/>
        <w:bottom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83">
    <w:name w:val="xl140"/>
    <w:basedOn w:val="1"/>
    <w:qFormat/>
    <w:uiPriority w:val="0"/>
    <w:pPr>
      <w:widowControl/>
      <w:pBdr>
        <w:top w:val="single" w:color="auto" w:sz="8" w:space="0"/>
        <w:bottom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84">
    <w:name w:val="xl141"/>
    <w:basedOn w:val="1"/>
    <w:qFormat/>
    <w:uiPriority w:val="0"/>
    <w:pPr>
      <w:widowControl/>
      <w:pBdr>
        <w:top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85">
    <w:name w:val="xl142"/>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86">
    <w:name w:val="xl143"/>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87">
    <w:name w:val="xl144"/>
    <w:basedOn w:val="1"/>
    <w:qFormat/>
    <w:uiPriority w:val="0"/>
    <w:pPr>
      <w:widowControl/>
      <w:pBdr>
        <w:lef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288">
    <w:name w:val="xl145"/>
    <w:basedOn w:val="1"/>
    <w:qFormat/>
    <w:uiPriority w:val="0"/>
    <w:pPr>
      <w:widowControl/>
      <w:pBdr>
        <w:bottom w:val="single" w:color="auto" w:sz="8" w:space="0"/>
      </w:pBdr>
      <w:adjustRightInd/>
      <w:spacing w:before="100" w:beforeAutospacing="1" w:after="100" w:afterAutospacing="1" w:line="240" w:lineRule="auto"/>
      <w:jc w:val="center"/>
      <w:textAlignment w:val="auto"/>
    </w:pPr>
    <w:rPr>
      <w:rFonts w:ascii="黑体" w:hAnsi="黑体" w:eastAsia="黑体" w:cs="宋体"/>
      <w:b/>
      <w:bCs/>
      <w:sz w:val="32"/>
      <w:szCs w:val="32"/>
    </w:rPr>
  </w:style>
  <w:style w:type="paragraph" w:customStyle="1" w:styleId="289">
    <w:name w:val="xl146"/>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color w:val="000000"/>
      <w:szCs w:val="24"/>
    </w:rPr>
  </w:style>
  <w:style w:type="paragraph" w:customStyle="1" w:styleId="290">
    <w:name w:val="xl147"/>
    <w:basedOn w:val="1"/>
    <w:qFormat/>
    <w:uiPriority w:val="0"/>
    <w:pPr>
      <w:widowControl/>
      <w:pBdr>
        <w:left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color w:val="000000"/>
      <w:szCs w:val="24"/>
    </w:rPr>
  </w:style>
  <w:style w:type="paragraph" w:customStyle="1" w:styleId="291">
    <w:name w:val="xl148"/>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color w:val="000000"/>
      <w:szCs w:val="24"/>
    </w:rPr>
  </w:style>
  <w:style w:type="paragraph" w:customStyle="1" w:styleId="292">
    <w:name w:val="xl149"/>
    <w:basedOn w:val="1"/>
    <w:qFormat/>
    <w:uiPriority w:val="0"/>
    <w:pPr>
      <w:widowControl/>
      <w:pBdr>
        <w:top w:val="single" w:color="auto" w:sz="4" w:space="0"/>
        <w:bottom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93">
    <w:name w:val="xl150"/>
    <w:basedOn w:val="1"/>
    <w:qFormat/>
    <w:uiPriority w:val="0"/>
    <w:pPr>
      <w:widowControl/>
      <w:pBdr>
        <w:left w:val="single" w:color="auto" w:sz="8" w:space="0"/>
        <w:bottom w:val="single" w:color="auto" w:sz="4" w:space="0"/>
        <w:right w:val="single" w:color="auto" w:sz="8" w:space="0"/>
      </w:pBdr>
      <w:adjustRightInd/>
      <w:spacing w:before="100" w:beforeAutospacing="1" w:after="100" w:afterAutospacing="1" w:line="240" w:lineRule="auto"/>
      <w:jc w:val="center"/>
      <w:textAlignment w:val="center"/>
    </w:pPr>
    <w:rPr>
      <w:rFonts w:ascii="黑体" w:hAnsi="黑体" w:eastAsia="黑体" w:cs="宋体"/>
      <w:szCs w:val="24"/>
    </w:rPr>
  </w:style>
  <w:style w:type="paragraph" w:customStyle="1" w:styleId="294">
    <w:name w:val="xl151"/>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95">
    <w:name w:val="xl152"/>
    <w:basedOn w:val="1"/>
    <w:qFormat/>
    <w:uiPriority w:val="0"/>
    <w:pPr>
      <w:widowControl/>
      <w:pBdr>
        <w:left w:val="single" w:color="auto" w:sz="8" w:space="0"/>
        <w:bottom w:val="single" w:color="auto" w:sz="4" w:space="0"/>
        <w:right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96">
    <w:name w:val="xl153"/>
    <w:basedOn w:val="1"/>
    <w:qFormat/>
    <w:uiPriority w:val="0"/>
    <w:pPr>
      <w:widowControl/>
      <w:pBdr>
        <w:top w:val="single" w:color="auto" w:sz="8" w:space="0"/>
        <w:left w:val="single" w:color="auto" w:sz="8" w:space="0"/>
        <w:bottom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97">
    <w:name w:val="xl154"/>
    <w:basedOn w:val="1"/>
    <w:qFormat/>
    <w:uiPriority w:val="0"/>
    <w:pPr>
      <w:widowControl/>
      <w:pBdr>
        <w:top w:val="single" w:color="auto" w:sz="8" w:space="0"/>
        <w:bottom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98">
    <w:name w:val="xl155"/>
    <w:basedOn w:val="1"/>
    <w:qFormat/>
    <w:uiPriority w:val="0"/>
    <w:pPr>
      <w:widowControl/>
      <w:pBdr>
        <w:top w:val="single" w:color="auto" w:sz="8" w:space="0"/>
        <w:bottom w:val="single" w:color="auto" w:sz="8" w:space="0"/>
        <w:right w:val="single" w:color="auto" w:sz="8" w:space="0"/>
      </w:pBdr>
      <w:adjustRightInd/>
      <w:spacing w:before="100" w:beforeAutospacing="1" w:after="100" w:afterAutospacing="1" w:line="240" w:lineRule="auto"/>
      <w:jc w:val="center"/>
      <w:textAlignment w:val="auto"/>
    </w:pPr>
    <w:rPr>
      <w:rFonts w:ascii="黑体" w:hAnsi="黑体" w:eastAsia="黑体" w:cs="宋体"/>
      <w:szCs w:val="24"/>
    </w:rPr>
  </w:style>
  <w:style w:type="paragraph" w:customStyle="1" w:styleId="299">
    <w:name w:val="xl156"/>
    <w:basedOn w:val="1"/>
    <w:qFormat/>
    <w:uiPriority w:val="0"/>
    <w:pPr>
      <w:widowControl/>
      <w:pBdr>
        <w:left w:val="single" w:color="auto" w:sz="8" w:space="0"/>
        <w:right w:val="single" w:color="auto" w:sz="8" w:space="0"/>
      </w:pBdr>
      <w:adjustRightInd/>
      <w:spacing w:before="100" w:beforeAutospacing="1" w:after="100" w:afterAutospacing="1" w:line="240" w:lineRule="auto"/>
      <w:jc w:val="center"/>
      <w:textAlignment w:val="center"/>
    </w:pPr>
    <w:rPr>
      <w:szCs w:val="24"/>
    </w:rPr>
  </w:style>
  <w:style w:type="paragraph" w:customStyle="1" w:styleId="300">
    <w:name w:val="xl157"/>
    <w:basedOn w:val="1"/>
    <w:qFormat/>
    <w:uiPriority w:val="0"/>
    <w:pPr>
      <w:widowControl/>
      <w:pBdr>
        <w:left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color w:val="808080"/>
      <w:szCs w:val="24"/>
    </w:rPr>
  </w:style>
  <w:style w:type="paragraph" w:customStyle="1" w:styleId="301">
    <w:name w:val="xl158"/>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color w:val="808080"/>
      <w:szCs w:val="24"/>
    </w:rPr>
  </w:style>
  <w:style w:type="paragraph" w:customStyle="1" w:styleId="302">
    <w:name w:val="xl159"/>
    <w:basedOn w:val="1"/>
    <w:qFormat/>
    <w:uiPriority w:val="0"/>
    <w:pPr>
      <w:widowControl/>
      <w:pBdr>
        <w:left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szCs w:val="24"/>
    </w:rPr>
  </w:style>
  <w:style w:type="paragraph" w:customStyle="1" w:styleId="303">
    <w:name w:val="xl160"/>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szCs w:val="24"/>
    </w:rPr>
  </w:style>
  <w:style w:type="paragraph" w:customStyle="1" w:styleId="304">
    <w:name w:val="xl161"/>
    <w:basedOn w:val="1"/>
    <w:qFormat/>
    <w:uiPriority w:val="0"/>
    <w:pPr>
      <w:widowControl/>
      <w:pBdr>
        <w:left w:val="single" w:color="auto" w:sz="8" w:space="0"/>
        <w:right w:val="single" w:color="auto" w:sz="8" w:space="0"/>
      </w:pBdr>
      <w:adjustRightInd/>
      <w:spacing w:before="100" w:beforeAutospacing="1" w:after="100" w:afterAutospacing="1" w:line="240" w:lineRule="auto"/>
      <w:jc w:val="both"/>
      <w:textAlignment w:val="top"/>
    </w:pPr>
    <w:rPr>
      <w:rFonts w:ascii="宋体" w:hAnsi="宋体" w:cs="宋体"/>
      <w:color w:val="808080"/>
      <w:szCs w:val="24"/>
    </w:rPr>
  </w:style>
  <w:style w:type="paragraph" w:customStyle="1" w:styleId="305">
    <w:name w:val="xl162"/>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both"/>
      <w:textAlignment w:val="top"/>
    </w:pPr>
    <w:rPr>
      <w:rFonts w:ascii="宋体" w:hAnsi="宋体" w:cs="宋体"/>
      <w:color w:val="808080"/>
      <w:szCs w:val="24"/>
    </w:rPr>
  </w:style>
  <w:style w:type="paragraph" w:customStyle="1" w:styleId="306">
    <w:name w:val="xl163"/>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center"/>
    </w:pPr>
    <w:rPr>
      <w:szCs w:val="24"/>
    </w:rPr>
  </w:style>
  <w:style w:type="paragraph" w:customStyle="1" w:styleId="307">
    <w:name w:val="xl164"/>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color w:val="808080"/>
      <w:szCs w:val="24"/>
    </w:rPr>
  </w:style>
  <w:style w:type="paragraph" w:customStyle="1" w:styleId="308">
    <w:name w:val="xl165"/>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both"/>
      <w:textAlignment w:val="auto"/>
    </w:pPr>
    <w:rPr>
      <w:rFonts w:ascii="宋体" w:hAnsi="宋体" w:cs="宋体"/>
      <w:szCs w:val="24"/>
    </w:rPr>
  </w:style>
  <w:style w:type="paragraph" w:customStyle="1" w:styleId="309">
    <w:name w:val="xl166"/>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both"/>
      <w:textAlignment w:val="top"/>
    </w:pPr>
    <w:rPr>
      <w:rFonts w:ascii="宋体" w:hAnsi="宋体" w:cs="宋体"/>
      <w:color w:val="808080"/>
      <w:szCs w:val="24"/>
    </w:rPr>
  </w:style>
  <w:style w:type="paragraph" w:customStyle="1" w:styleId="310">
    <w:name w:val="xl167"/>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color w:val="808080"/>
      <w:szCs w:val="24"/>
    </w:rPr>
  </w:style>
  <w:style w:type="paragraph" w:customStyle="1" w:styleId="311">
    <w:name w:val="xl168"/>
    <w:basedOn w:val="1"/>
    <w:qFormat/>
    <w:uiPriority w:val="0"/>
    <w:pPr>
      <w:widowControl/>
      <w:pBdr>
        <w:left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color w:val="808080"/>
      <w:szCs w:val="24"/>
    </w:rPr>
  </w:style>
  <w:style w:type="paragraph" w:customStyle="1" w:styleId="312">
    <w:name w:val="xl169"/>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color w:val="808080"/>
      <w:szCs w:val="24"/>
    </w:rPr>
  </w:style>
  <w:style w:type="paragraph" w:customStyle="1" w:styleId="313">
    <w:name w:val="xl170"/>
    <w:basedOn w:val="1"/>
    <w:qFormat/>
    <w:uiPriority w:val="0"/>
    <w:pPr>
      <w:widowControl/>
      <w:pBdr>
        <w:left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314">
    <w:name w:val="xl171"/>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315">
    <w:name w:val="xl172"/>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szCs w:val="24"/>
    </w:rPr>
  </w:style>
  <w:style w:type="paragraph" w:customStyle="1" w:styleId="316">
    <w:name w:val="xl173"/>
    <w:basedOn w:val="1"/>
    <w:qFormat/>
    <w:uiPriority w:val="0"/>
    <w:pPr>
      <w:widowControl/>
      <w:adjustRightInd/>
      <w:spacing w:before="100" w:beforeAutospacing="1" w:after="100" w:afterAutospacing="1" w:line="240" w:lineRule="auto"/>
      <w:jc w:val="center"/>
      <w:textAlignment w:val="center"/>
    </w:pPr>
    <w:rPr>
      <w:rFonts w:ascii="黑体" w:hAnsi="黑体" w:eastAsia="黑体" w:cs="宋体"/>
      <w:sz w:val="28"/>
      <w:szCs w:val="28"/>
    </w:rPr>
  </w:style>
  <w:style w:type="paragraph" w:customStyle="1" w:styleId="317">
    <w:name w:val="xl174"/>
    <w:basedOn w:val="1"/>
    <w:qFormat/>
    <w:uiPriority w:val="0"/>
    <w:pPr>
      <w:widowControl/>
      <w:pBdr>
        <w:top w:val="single" w:color="auto" w:sz="8" w:space="0"/>
        <w:left w:val="single" w:color="auto" w:sz="8" w:space="0"/>
        <w:bottom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318">
    <w:name w:val="xl175"/>
    <w:basedOn w:val="1"/>
    <w:qFormat/>
    <w:uiPriority w:val="0"/>
    <w:pPr>
      <w:widowControl/>
      <w:pBdr>
        <w:top w:val="single" w:color="auto" w:sz="8" w:space="0"/>
        <w:bottom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319">
    <w:name w:val="xl176"/>
    <w:basedOn w:val="1"/>
    <w:qFormat/>
    <w:uiPriority w:val="0"/>
    <w:pPr>
      <w:widowControl/>
      <w:pBdr>
        <w:top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szCs w:val="24"/>
    </w:rPr>
  </w:style>
  <w:style w:type="paragraph" w:customStyle="1" w:styleId="320">
    <w:name w:val="xl177"/>
    <w:basedOn w:val="1"/>
    <w:qFormat/>
    <w:uiPriority w:val="0"/>
    <w:pPr>
      <w:widowControl/>
      <w:pBdr>
        <w:bottom w:val="single" w:color="auto" w:sz="8" w:space="0"/>
      </w:pBdr>
      <w:adjustRightInd/>
      <w:spacing w:before="100" w:beforeAutospacing="1" w:after="100" w:afterAutospacing="1" w:line="240" w:lineRule="auto"/>
      <w:jc w:val="center"/>
      <w:textAlignment w:val="center"/>
    </w:pPr>
    <w:rPr>
      <w:rFonts w:ascii="黑体" w:hAnsi="黑体" w:eastAsia="黑体" w:cs="宋体"/>
      <w:sz w:val="32"/>
      <w:szCs w:val="32"/>
    </w:rPr>
  </w:style>
  <w:style w:type="paragraph" w:customStyle="1" w:styleId="321">
    <w:name w:val="xl178"/>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322">
    <w:name w:val="xl179"/>
    <w:basedOn w:val="1"/>
    <w:qFormat/>
    <w:uiPriority w:val="0"/>
    <w:pPr>
      <w:widowControl/>
      <w:pBdr>
        <w:left w:val="single" w:color="auto" w:sz="8" w:space="0"/>
        <w:bottom w:val="single" w:color="auto" w:sz="4" w:space="0"/>
        <w:right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323">
    <w:name w:val="xl180"/>
    <w:basedOn w:val="1"/>
    <w:qFormat/>
    <w:uiPriority w:val="0"/>
    <w:pPr>
      <w:widowControl/>
      <w:pBdr>
        <w:top w:val="single" w:color="auto" w:sz="8" w:space="0"/>
        <w:left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324">
    <w:name w:val="xl181"/>
    <w:basedOn w:val="1"/>
    <w:qFormat/>
    <w:uiPriority w:val="0"/>
    <w:pPr>
      <w:widowControl/>
      <w:pBdr>
        <w:left w:val="single" w:color="auto" w:sz="8" w:space="0"/>
        <w:bottom w:val="single" w:color="auto" w:sz="4" w:space="0"/>
        <w:right w:val="single" w:color="auto" w:sz="8"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325">
    <w:name w:val="xl182"/>
    <w:basedOn w:val="1"/>
    <w:qFormat/>
    <w:uiPriority w:val="0"/>
    <w:pPr>
      <w:widowControl/>
      <w:pBdr>
        <w:top w:val="single" w:color="auto" w:sz="8" w:space="0"/>
        <w:left w:val="single" w:color="auto" w:sz="8" w:space="0"/>
        <w:bottom w:val="single" w:color="auto" w:sz="8"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326">
    <w:name w:val="xl183"/>
    <w:basedOn w:val="1"/>
    <w:qFormat/>
    <w:uiPriority w:val="0"/>
    <w:pPr>
      <w:widowControl/>
      <w:pBdr>
        <w:top w:val="single" w:color="auto" w:sz="8" w:space="0"/>
        <w:bottom w:val="single" w:color="auto" w:sz="8"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327">
    <w:name w:val="xl184"/>
    <w:basedOn w:val="1"/>
    <w:qFormat/>
    <w:uiPriority w:val="0"/>
    <w:pPr>
      <w:widowControl/>
      <w:pBdr>
        <w:top w:val="single" w:color="auto" w:sz="8" w:space="0"/>
        <w:bottom w:val="single" w:color="auto" w:sz="8" w:space="0"/>
        <w:right w:val="single" w:color="auto" w:sz="8" w:space="0"/>
      </w:pBdr>
      <w:adjustRightInd/>
      <w:spacing w:before="100" w:beforeAutospacing="1" w:after="100" w:afterAutospacing="1" w:line="240" w:lineRule="auto"/>
      <w:jc w:val="center"/>
      <w:textAlignment w:val="auto"/>
    </w:pPr>
    <w:rPr>
      <w:rFonts w:ascii="宋体" w:hAnsi="宋体" w:cs="宋体"/>
      <w:b/>
      <w:bCs/>
      <w:szCs w:val="24"/>
    </w:rPr>
  </w:style>
  <w:style w:type="paragraph" w:customStyle="1" w:styleId="328">
    <w:name w:val="xl185"/>
    <w:basedOn w:val="1"/>
    <w:qFormat/>
    <w:uiPriority w:val="0"/>
    <w:pPr>
      <w:widowControl/>
      <w:pBdr>
        <w:bottom w:val="single" w:color="auto" w:sz="8" w:space="0"/>
      </w:pBdr>
      <w:adjustRightInd/>
      <w:spacing w:before="100" w:beforeAutospacing="1" w:after="100" w:afterAutospacing="1" w:line="240" w:lineRule="auto"/>
      <w:jc w:val="center"/>
      <w:textAlignment w:val="auto"/>
    </w:pPr>
    <w:rPr>
      <w:rFonts w:ascii="黑体" w:hAnsi="黑体" w:eastAsia="黑体" w:cs="宋体"/>
      <w:sz w:val="28"/>
      <w:szCs w:val="28"/>
    </w:rPr>
  </w:style>
  <w:style w:type="paragraph" w:customStyle="1" w:styleId="329">
    <w:name w:val="xl186"/>
    <w:basedOn w:val="1"/>
    <w:qFormat/>
    <w:uiPriority w:val="0"/>
    <w:pPr>
      <w:widowControl/>
      <w:pBdr>
        <w:left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330">
    <w:name w:val="xl187"/>
    <w:basedOn w:val="1"/>
    <w:qFormat/>
    <w:uiPriority w:val="0"/>
    <w:pPr>
      <w:widowControl/>
      <w:pBdr>
        <w:top w:val="single" w:color="auto" w:sz="8" w:space="0"/>
        <w:left w:val="single" w:color="auto" w:sz="8" w:space="0"/>
        <w:bottom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331">
    <w:name w:val="xl188"/>
    <w:basedOn w:val="1"/>
    <w:qFormat/>
    <w:uiPriority w:val="0"/>
    <w:pPr>
      <w:widowControl/>
      <w:pBdr>
        <w:top w:val="single" w:color="auto" w:sz="8" w:space="0"/>
        <w:bottom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332">
    <w:name w:val="xl189"/>
    <w:basedOn w:val="1"/>
    <w:qFormat/>
    <w:uiPriority w:val="0"/>
    <w:pPr>
      <w:widowControl/>
      <w:pBdr>
        <w:top w:val="single" w:color="auto" w:sz="8" w:space="0"/>
        <w:bottom w:val="single" w:color="auto" w:sz="8" w:space="0"/>
        <w:right w:val="single" w:color="auto" w:sz="8" w:space="0"/>
      </w:pBdr>
      <w:adjustRightInd/>
      <w:spacing w:before="100" w:beforeAutospacing="1" w:after="100" w:afterAutospacing="1" w:line="240" w:lineRule="auto"/>
      <w:jc w:val="center"/>
      <w:textAlignment w:val="center"/>
    </w:pPr>
    <w:rPr>
      <w:rFonts w:ascii="宋体" w:hAnsi="宋体" w:cs="宋体"/>
      <w:b/>
      <w:bCs/>
      <w:szCs w:val="24"/>
    </w:rPr>
  </w:style>
  <w:style w:type="paragraph" w:customStyle="1" w:styleId="333">
    <w:name w:val="xl190"/>
    <w:basedOn w:val="1"/>
    <w:qFormat/>
    <w:uiPriority w:val="0"/>
    <w:pPr>
      <w:widowControl/>
      <w:pBdr>
        <w:top w:val="single" w:color="auto" w:sz="8" w:space="0"/>
        <w:left w:val="single" w:color="auto" w:sz="8" w:space="0"/>
        <w:bottom w:val="single" w:color="auto" w:sz="4" w:space="0"/>
      </w:pBdr>
      <w:adjustRightInd/>
      <w:spacing w:before="100" w:beforeAutospacing="1" w:after="100" w:afterAutospacing="1" w:line="240" w:lineRule="auto"/>
      <w:jc w:val="center"/>
      <w:textAlignment w:val="center"/>
    </w:pPr>
    <w:rPr>
      <w:rFonts w:ascii="宋体" w:hAnsi="宋体" w:cs="宋体"/>
      <w:sz w:val="28"/>
      <w:szCs w:val="28"/>
    </w:rPr>
  </w:style>
  <w:style w:type="paragraph" w:customStyle="1" w:styleId="334">
    <w:name w:val="xl191"/>
    <w:basedOn w:val="1"/>
    <w:qFormat/>
    <w:uiPriority w:val="0"/>
    <w:pPr>
      <w:widowControl/>
      <w:pBdr>
        <w:top w:val="single" w:color="auto" w:sz="8" w:space="0"/>
        <w:bottom w:val="single" w:color="auto" w:sz="4" w:space="0"/>
      </w:pBdr>
      <w:adjustRightInd/>
      <w:spacing w:before="100" w:beforeAutospacing="1" w:after="100" w:afterAutospacing="1" w:line="240" w:lineRule="auto"/>
      <w:jc w:val="center"/>
      <w:textAlignment w:val="center"/>
    </w:pPr>
    <w:rPr>
      <w:rFonts w:ascii="宋体" w:hAnsi="宋体" w:cs="宋体"/>
      <w:sz w:val="28"/>
      <w:szCs w:val="28"/>
    </w:rPr>
  </w:style>
  <w:style w:type="paragraph" w:customStyle="1" w:styleId="335">
    <w:name w:val="xl192"/>
    <w:basedOn w:val="1"/>
    <w:qFormat/>
    <w:uiPriority w:val="0"/>
    <w:pPr>
      <w:widowControl/>
      <w:pBdr>
        <w:top w:val="single" w:color="auto" w:sz="4" w:space="0"/>
        <w:left w:val="single" w:color="auto" w:sz="8" w:space="0"/>
        <w:bottom w:val="single" w:color="auto" w:sz="8" w:space="0"/>
      </w:pBdr>
      <w:adjustRightInd/>
      <w:spacing w:before="100" w:beforeAutospacing="1" w:after="100" w:afterAutospacing="1" w:line="240" w:lineRule="auto"/>
      <w:jc w:val="center"/>
      <w:textAlignment w:val="center"/>
    </w:pPr>
    <w:rPr>
      <w:rFonts w:ascii="宋体" w:hAnsi="宋体" w:cs="宋体"/>
      <w:sz w:val="28"/>
      <w:szCs w:val="28"/>
    </w:rPr>
  </w:style>
  <w:style w:type="paragraph" w:customStyle="1" w:styleId="336">
    <w:name w:val="xl193"/>
    <w:basedOn w:val="1"/>
    <w:qFormat/>
    <w:uiPriority w:val="0"/>
    <w:pPr>
      <w:widowControl/>
      <w:pBdr>
        <w:top w:val="single" w:color="auto" w:sz="4" w:space="0"/>
        <w:bottom w:val="single" w:color="auto" w:sz="8" w:space="0"/>
      </w:pBdr>
      <w:adjustRightInd/>
      <w:spacing w:before="100" w:beforeAutospacing="1" w:after="100" w:afterAutospacing="1" w:line="240" w:lineRule="auto"/>
      <w:jc w:val="center"/>
      <w:textAlignment w:val="center"/>
    </w:pPr>
    <w:rPr>
      <w:rFonts w:ascii="宋体" w:hAnsi="宋体" w:cs="宋体"/>
      <w:sz w:val="28"/>
      <w:szCs w:val="28"/>
    </w:rPr>
  </w:style>
  <w:style w:type="paragraph" w:customStyle="1" w:styleId="337">
    <w:name w:val="xl194"/>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黑体" w:hAnsi="黑体" w:eastAsia="黑体" w:cs="宋体"/>
      <w:sz w:val="28"/>
      <w:szCs w:val="28"/>
    </w:rPr>
  </w:style>
  <w:style w:type="paragraph" w:customStyle="1" w:styleId="338">
    <w:name w:val="xl195"/>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center"/>
    </w:pPr>
    <w:rPr>
      <w:rFonts w:ascii="黑体" w:hAnsi="黑体" w:eastAsia="黑体" w:cs="宋体"/>
      <w:sz w:val="28"/>
      <w:szCs w:val="28"/>
    </w:rPr>
  </w:style>
  <w:style w:type="paragraph" w:customStyle="1" w:styleId="339">
    <w:name w:val="默认段落字体 Para Char Char Char Char Char Char Char"/>
    <w:basedOn w:val="1"/>
    <w:qFormat/>
    <w:uiPriority w:val="0"/>
    <w:pPr>
      <w:adjustRightInd/>
      <w:spacing w:line="240" w:lineRule="auto"/>
      <w:jc w:val="both"/>
      <w:textAlignment w:val="auto"/>
    </w:pPr>
    <w:rPr>
      <w:kern w:val="2"/>
      <w:sz w:val="21"/>
      <w:szCs w:val="24"/>
    </w:rPr>
  </w:style>
  <w:style w:type="paragraph" w:customStyle="1" w:styleId="340">
    <w:name w:val="正文文本 32"/>
    <w:basedOn w:val="1"/>
    <w:qFormat/>
    <w:uiPriority w:val="0"/>
    <w:pPr>
      <w:spacing w:line="360" w:lineRule="auto"/>
      <w:jc w:val="center"/>
    </w:pPr>
    <w:rPr>
      <w:rFonts w:ascii="宋体"/>
      <w:b/>
      <w:color w:val="FF0000"/>
      <w:u w:val="single"/>
    </w:rPr>
  </w:style>
  <w:style w:type="paragraph" w:customStyle="1" w:styleId="341">
    <w:name w:val="样式 标题 3 + (中文) 黑体 小四 非加粗 段前: 7.8 磅 段后: 0 磅 行距: 固定值 20 磅"/>
    <w:basedOn w:val="5"/>
    <w:qFormat/>
    <w:uiPriority w:val="0"/>
    <w:pPr>
      <w:adjustRightInd/>
      <w:spacing w:before="0" w:after="0" w:line="400" w:lineRule="exact"/>
      <w:jc w:val="both"/>
      <w:textAlignment w:val="auto"/>
    </w:pPr>
    <w:rPr>
      <w:rFonts w:eastAsia="黑体" w:cs="宋体"/>
      <w:b w:val="0"/>
      <w:kern w:val="2"/>
      <w:sz w:val="24"/>
    </w:rPr>
  </w:style>
  <w:style w:type="paragraph" w:customStyle="1" w:styleId="342">
    <w:name w:val="格式条款-2"/>
    <w:basedOn w:val="1"/>
    <w:link w:val="343"/>
    <w:qFormat/>
    <w:uiPriority w:val="0"/>
    <w:pPr>
      <w:numPr>
        <w:ilvl w:val="0"/>
        <w:numId w:val="12"/>
      </w:numPr>
      <w:tabs>
        <w:tab w:val="left" w:pos="735"/>
      </w:tabs>
      <w:adjustRightInd/>
      <w:spacing w:line="240" w:lineRule="auto"/>
      <w:jc w:val="both"/>
      <w:textAlignment w:val="auto"/>
    </w:pPr>
    <w:rPr>
      <w:rFonts w:ascii="宋体" w:hAnsi="宋体"/>
      <w:kern w:val="2"/>
      <w:szCs w:val="24"/>
    </w:rPr>
  </w:style>
  <w:style w:type="character" w:customStyle="1" w:styleId="343">
    <w:name w:val="格式条款-2 Char Char"/>
    <w:link w:val="342"/>
    <w:qFormat/>
    <w:uiPriority w:val="0"/>
    <w:rPr>
      <w:rFonts w:ascii="宋体" w:hAnsi="宋体" w:eastAsia="宋体" w:cs="Times New Roman"/>
      <w:sz w:val="24"/>
      <w:szCs w:val="24"/>
    </w:rPr>
  </w:style>
  <w:style w:type="paragraph" w:customStyle="1" w:styleId="344">
    <w:name w:val="格式条款-1"/>
    <w:basedOn w:val="1"/>
    <w:qFormat/>
    <w:uiPriority w:val="0"/>
    <w:pPr>
      <w:numPr>
        <w:ilvl w:val="0"/>
        <w:numId w:val="13"/>
      </w:numPr>
      <w:tabs>
        <w:tab w:val="left" w:pos="735"/>
      </w:tabs>
      <w:adjustRightInd/>
      <w:spacing w:line="240" w:lineRule="auto"/>
      <w:jc w:val="both"/>
      <w:textAlignment w:val="auto"/>
    </w:pPr>
    <w:rPr>
      <w:rFonts w:ascii="宋体"/>
      <w:kern w:val="2"/>
      <w:szCs w:val="24"/>
    </w:rPr>
  </w:style>
  <w:style w:type="paragraph" w:customStyle="1" w:styleId="345">
    <w:name w:val="协议段落"/>
    <w:basedOn w:val="1"/>
    <w:link w:val="346"/>
    <w:qFormat/>
    <w:uiPriority w:val="0"/>
    <w:pPr>
      <w:adjustRightInd/>
      <w:spacing w:line="240" w:lineRule="auto"/>
      <w:ind w:firstLine="480" w:firstLineChars="200"/>
      <w:jc w:val="both"/>
      <w:textAlignment w:val="auto"/>
    </w:pPr>
    <w:rPr>
      <w:rFonts w:ascii="宋体"/>
      <w:kern w:val="2"/>
      <w:szCs w:val="24"/>
    </w:rPr>
  </w:style>
  <w:style w:type="character" w:customStyle="1" w:styleId="346">
    <w:name w:val="协议段落 Char Char"/>
    <w:link w:val="345"/>
    <w:qFormat/>
    <w:uiPriority w:val="0"/>
    <w:rPr>
      <w:rFonts w:ascii="宋体" w:hAnsi="Times New Roman" w:eastAsia="宋体" w:cs="Times New Roman"/>
      <w:sz w:val="24"/>
      <w:szCs w:val="24"/>
    </w:rPr>
  </w:style>
  <w:style w:type="paragraph" w:customStyle="1" w:styleId="347">
    <w:name w:val="列出段落1"/>
    <w:basedOn w:val="1"/>
    <w:qFormat/>
    <w:uiPriority w:val="34"/>
    <w:pPr>
      <w:adjustRightInd/>
      <w:spacing w:line="240" w:lineRule="auto"/>
      <w:ind w:firstLine="420" w:firstLineChars="200"/>
      <w:jc w:val="both"/>
      <w:textAlignment w:val="auto"/>
    </w:pPr>
    <w:rPr>
      <w:rFonts w:ascii="Calibri" w:hAnsi="Calibri"/>
      <w:kern w:val="2"/>
      <w:sz w:val="21"/>
      <w:szCs w:val="22"/>
    </w:rPr>
  </w:style>
  <w:style w:type="character" w:customStyle="1" w:styleId="348">
    <w:name w:val="正文缩进 Char"/>
    <w:link w:val="7"/>
    <w:qFormat/>
    <w:uiPriority w:val="0"/>
    <w:rPr>
      <w:rFonts w:ascii="Times New Roman" w:hAnsi="Times New Roman" w:eastAsia="宋体" w:cs="Times New Roman"/>
      <w:kern w:val="0"/>
      <w:sz w:val="24"/>
      <w:szCs w:val="20"/>
    </w:rPr>
  </w:style>
  <w:style w:type="paragraph" w:customStyle="1" w:styleId="349">
    <w:name w:val="列出段落2"/>
    <w:basedOn w:val="1"/>
    <w:qFormat/>
    <w:uiPriority w:val="0"/>
    <w:pPr>
      <w:adjustRightInd/>
      <w:spacing w:line="240" w:lineRule="auto"/>
      <w:ind w:firstLine="420" w:firstLineChars="200"/>
      <w:jc w:val="both"/>
      <w:textAlignment w:val="auto"/>
    </w:pPr>
    <w:rPr>
      <w:kern w:val="2"/>
      <w:szCs w:val="24"/>
    </w:rPr>
  </w:style>
  <w:style w:type="paragraph" w:styleId="350">
    <w:name w:val="List Paragraph"/>
    <w:basedOn w:val="1"/>
    <w:qFormat/>
    <w:uiPriority w:val="99"/>
    <w:pPr>
      <w:adjustRightInd/>
      <w:spacing w:line="240" w:lineRule="auto"/>
      <w:ind w:firstLine="420" w:firstLineChars="200"/>
      <w:jc w:val="both"/>
      <w:textAlignment w:val="auto"/>
    </w:pPr>
    <w:rPr>
      <w:kern w:val="2"/>
      <w:sz w:val="21"/>
      <w:szCs w:val="24"/>
    </w:rPr>
  </w:style>
  <w:style w:type="paragraph" w:customStyle="1" w:styleId="351">
    <w:name w:val="Char Char Char Char"/>
    <w:basedOn w:val="1"/>
    <w:qFormat/>
    <w:uiPriority w:val="0"/>
    <w:pPr>
      <w:adjustRightInd/>
      <w:spacing w:line="240" w:lineRule="auto"/>
      <w:jc w:val="both"/>
      <w:textAlignment w:val="auto"/>
    </w:pPr>
    <w:rPr>
      <w:kern w:val="2"/>
      <w:sz w:val="21"/>
      <w:szCs w:val="24"/>
    </w:rPr>
  </w:style>
  <w:style w:type="character" w:customStyle="1" w:styleId="352">
    <w:name w:val="二级条标题 Char Char"/>
    <w:link w:val="185"/>
    <w:qFormat/>
    <w:uiPriority w:val="0"/>
    <w:rPr>
      <w:rFonts w:ascii="黑体" w:hAnsi="Times New Roman" w:eastAsia="黑体" w:cs="Times New Roman"/>
      <w:kern w:val="0"/>
      <w:szCs w:val="20"/>
    </w:rPr>
  </w:style>
  <w:style w:type="paragraph" w:customStyle="1" w:styleId="353">
    <w:name w:val="列出段落21"/>
    <w:basedOn w:val="1"/>
    <w:qFormat/>
    <w:uiPriority w:val="0"/>
    <w:pPr>
      <w:adjustRightInd/>
      <w:spacing w:line="240" w:lineRule="auto"/>
      <w:ind w:firstLine="420" w:firstLineChars="200"/>
      <w:jc w:val="both"/>
      <w:textAlignment w:val="auto"/>
    </w:pPr>
    <w:rPr>
      <w:kern w:val="2"/>
      <w:szCs w:val="24"/>
    </w:rPr>
  </w:style>
  <w:style w:type="character" w:customStyle="1" w:styleId="354">
    <w:name w:val="font21"/>
    <w:basedOn w:val="48"/>
    <w:qFormat/>
    <w:uiPriority w:val="0"/>
    <w:rPr>
      <w:rFonts w:hint="eastAsia" w:ascii="宋体" w:hAnsi="宋体" w:eastAsia="宋体" w:cs="宋体"/>
      <w:color w:val="000000"/>
      <w:sz w:val="20"/>
      <w:szCs w:val="20"/>
      <w:u w:val="none"/>
    </w:rPr>
  </w:style>
  <w:style w:type="character" w:customStyle="1" w:styleId="355">
    <w:name w:val="font41"/>
    <w:basedOn w:val="48"/>
    <w:qFormat/>
    <w:uiPriority w:val="0"/>
    <w:rPr>
      <w:rFonts w:hint="eastAsia" w:ascii="Dotum" w:hAnsi="Dotum" w:eastAsia="Dotum" w:cs="Dotum"/>
      <w:color w:val="000000"/>
      <w:sz w:val="20"/>
      <w:szCs w:val="20"/>
      <w:u w:val="none"/>
    </w:rPr>
  </w:style>
  <w:style w:type="paragraph" w:customStyle="1" w:styleId="356">
    <w:name w:val="样式 宋体 小四 加粗 行距: 固定值 25 磅"/>
    <w:basedOn w:val="357"/>
    <w:qFormat/>
    <w:uiPriority w:val="0"/>
    <w:pPr>
      <w:spacing w:line="500" w:lineRule="exact"/>
      <w:ind w:firstLine="473" w:firstLineChars="200"/>
    </w:pPr>
    <w:rPr>
      <w:rFonts w:ascii="宋体" w:hAnsi="宋体" w:cs="宋体"/>
      <w:b/>
      <w:bCs/>
      <w:sz w:val="24"/>
      <w:szCs w:val="20"/>
    </w:rPr>
  </w:style>
  <w:style w:type="paragraph" w:customStyle="1" w:styleId="357">
    <w:name w:val="正文_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8">
    <w:name w:val="NormalCharacter"/>
    <w:qFormat/>
    <w:uiPriority w:val="0"/>
  </w:style>
  <w:style w:type="paragraph" w:customStyle="1" w:styleId="359">
    <w:name w:val="AnnotationSubject"/>
    <w:basedOn w:val="360"/>
    <w:qFormat/>
    <w:uiPriority w:val="0"/>
    <w:rPr>
      <w:rFonts w:cs="Times New Roman"/>
      <w:b/>
      <w:bCs/>
    </w:rPr>
  </w:style>
  <w:style w:type="paragraph" w:customStyle="1" w:styleId="360">
    <w:name w:val="AnnotationText"/>
    <w:basedOn w:val="1"/>
    <w:qFormat/>
    <w:uiPriority w:val="0"/>
    <w:pPr>
      <w:jc w:val="left"/>
    </w:pPr>
  </w:style>
  <w:style w:type="paragraph" w:customStyle="1" w:styleId="36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1C93C8-BFA8-452C-B827-D0CEF9BE5251}">
  <ds:schemaRefs/>
</ds:datastoreItem>
</file>

<file path=docProps/app.xml><?xml version="1.0" encoding="utf-8"?>
<Properties xmlns="http://schemas.openxmlformats.org/officeDocument/2006/extended-properties" xmlns:vt="http://schemas.openxmlformats.org/officeDocument/2006/docPropsVTypes">
  <Pages>26</Pages>
  <Words>19098</Words>
  <Characters>20936</Characters>
  <Lines>131</Lines>
  <Paragraphs>36</Paragraphs>
  <TotalTime>70</TotalTime>
  <ScaleCrop>false</ScaleCrop>
  <LinksUpToDate>false</LinksUpToDate>
  <CharactersWithSpaces>21629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2024-01-24T00:52:00Z</dcterms:created>
  <dc:creator>王飞琛</dc:creator>
  <cp:lastModifiedBy>王飞琛</cp:lastModifiedBy>
  <cp:lastPrinted>2026-02-02T10:16:00Z</cp:lastPrinted>
  <dcterms:modified xsi:type="dcterms:W3CDTF">2026-04-08T02:59:42Z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3F8BB4258A91400A955F48D3686E2025_13</vt:lpwstr>
  </property>
  <property fmtid="{D5CDD505-2E9C-101B-9397-08002B2CF9AE}" pid="4" name="KSOTemplateDocerSaveRecord">
    <vt:lpwstr>eyJoZGlkIjoiODAzNzFmNmVkMzZjNTliNzZlMzVlZDVhOWM2MWI5ZDQiLCJ1c2VySWQiOiIxNTcwMjg4MTAxIn0=</vt:lpwstr>
  </property>
</Properties>
</file>