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6BA2C2">
      <w:pPr>
        <w:spacing w:line="500" w:lineRule="exact"/>
        <w:jc w:val="center"/>
        <w:rPr>
          <w:b/>
          <w:sz w:val="44"/>
          <w:szCs w:val="44"/>
          <w:highlight w:val="none"/>
        </w:rPr>
      </w:pPr>
      <w:bookmarkStart w:id="76" w:name="_GoBack"/>
      <w:bookmarkEnd w:id="76"/>
    </w:p>
    <w:p w14:paraId="1C97879E">
      <w:pPr>
        <w:ind w:firstLine="1767" w:firstLineChars="400"/>
        <w:rPr>
          <w:rFonts w:ascii="宋体" w:hAnsi="宋体" w:cs="宋体"/>
          <w:b/>
          <w:sz w:val="32"/>
          <w:szCs w:val="32"/>
          <w:highlight w:val="none"/>
        </w:rPr>
      </w:pPr>
      <w:r>
        <w:rPr>
          <w:b/>
          <w:sz w:val="44"/>
          <w:szCs w:val="44"/>
          <w:highlight w:val="none"/>
        </w:rPr>
        <w:drawing>
          <wp:anchor distT="0" distB="0" distL="114300" distR="114300" simplePos="0" relativeHeight="251660288" behindDoc="0" locked="0" layoutInCell="1" allowOverlap="1">
            <wp:simplePos x="0" y="0"/>
            <wp:positionH relativeFrom="column">
              <wp:posOffset>-3810</wp:posOffset>
            </wp:positionH>
            <wp:positionV relativeFrom="paragraph">
              <wp:posOffset>-5080</wp:posOffset>
            </wp:positionV>
            <wp:extent cx="714375" cy="593090"/>
            <wp:effectExtent l="0" t="0" r="9525" b="16510"/>
            <wp:wrapNone/>
            <wp:docPr id="38" name="图片 4" descr="8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 descr="888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714375" cy="593090"/>
                    </a:xfrm>
                    <a:prstGeom prst="rect">
                      <a:avLst/>
                    </a:prstGeom>
                    <a:noFill/>
                  </pic:spPr>
                </pic:pic>
              </a:graphicData>
            </a:graphic>
          </wp:anchor>
        </w:drawing>
      </w:r>
      <w:r>
        <w:rPr>
          <w:rFonts w:hint="eastAsia" w:ascii="宋体" w:hAnsi="宋体" w:cs="宋体"/>
          <w:b/>
          <w:sz w:val="32"/>
          <w:szCs w:val="32"/>
          <w:highlight w:val="none"/>
        </w:rPr>
        <w:t>伊犁新天煤化工有限责任公司</w:t>
      </w:r>
    </w:p>
    <w:p w14:paraId="45B55C2D">
      <w:pPr>
        <w:jc w:val="center"/>
        <w:rPr>
          <w:b/>
          <w:sz w:val="44"/>
          <w:szCs w:val="44"/>
          <w:highlight w:val="none"/>
        </w:rPr>
      </w:pPr>
    </w:p>
    <w:p w14:paraId="5FF0E669">
      <w:pPr>
        <w:jc w:val="center"/>
        <w:rPr>
          <w:b/>
          <w:sz w:val="44"/>
          <w:szCs w:val="44"/>
          <w:highlight w:val="none"/>
        </w:rPr>
      </w:pPr>
    </w:p>
    <w:p w14:paraId="4D7F4E7C">
      <w:pPr>
        <w:spacing w:line="360" w:lineRule="auto"/>
        <w:jc w:val="center"/>
        <w:rPr>
          <w:b/>
          <w:sz w:val="44"/>
          <w:szCs w:val="44"/>
          <w:highlight w:val="none"/>
        </w:rPr>
      </w:pPr>
    </w:p>
    <w:p w14:paraId="33FF6D6E">
      <w:pPr>
        <w:spacing w:line="360" w:lineRule="auto"/>
        <w:jc w:val="center"/>
        <w:rPr>
          <w:rFonts w:ascii="宋体" w:hAnsi="宋体"/>
          <w:b/>
          <w:sz w:val="48"/>
          <w:szCs w:val="48"/>
          <w:highlight w:val="none"/>
        </w:rPr>
      </w:pPr>
      <w:r>
        <w:rPr>
          <w:rFonts w:hint="eastAsia" w:ascii="宋体" w:hAnsi="宋体" w:cs="宋体"/>
          <w:b/>
          <w:sz w:val="44"/>
          <w:szCs w:val="44"/>
          <w:highlight w:val="none"/>
          <w:lang w:val="en-US" w:eastAsia="zh-CN"/>
        </w:rPr>
        <w:t>2026年度</w:t>
      </w:r>
      <w:r>
        <w:rPr>
          <w:rFonts w:hint="eastAsia" w:ascii="宋体" w:hAnsi="宋体" w:cs="宋体"/>
          <w:b/>
          <w:sz w:val="44"/>
          <w:szCs w:val="44"/>
          <w:highlight w:val="none"/>
        </w:rPr>
        <w:t>化工</w:t>
      </w:r>
      <w:r>
        <w:rPr>
          <w:rFonts w:hint="eastAsia" w:ascii="宋体" w:hAnsi="宋体" w:cs="宋体"/>
          <w:b/>
          <w:sz w:val="44"/>
          <w:szCs w:val="44"/>
          <w:highlight w:val="none"/>
          <w:lang w:val="en-US" w:eastAsia="zh-CN"/>
        </w:rPr>
        <w:t>装置设备设施</w:t>
      </w:r>
      <w:r>
        <w:rPr>
          <w:rFonts w:hint="eastAsia" w:ascii="宋体" w:hAnsi="宋体" w:cs="宋体"/>
          <w:b/>
          <w:sz w:val="44"/>
          <w:szCs w:val="44"/>
          <w:highlight w:val="none"/>
        </w:rPr>
        <w:t>防腐</w:t>
      </w:r>
      <w:r>
        <w:rPr>
          <w:rFonts w:hint="eastAsia" w:ascii="宋体" w:hAnsi="宋体" w:cs="宋体"/>
          <w:b/>
          <w:sz w:val="44"/>
          <w:szCs w:val="44"/>
          <w:highlight w:val="none"/>
          <w:lang w:val="en-US" w:eastAsia="zh-CN"/>
        </w:rPr>
        <w:t>及</w:t>
      </w:r>
      <w:r>
        <w:rPr>
          <w:rFonts w:hint="eastAsia" w:ascii="宋体" w:hAnsi="宋体" w:cs="宋体"/>
          <w:b/>
          <w:sz w:val="44"/>
          <w:szCs w:val="44"/>
          <w:highlight w:val="none"/>
        </w:rPr>
        <w:t>保温整治项目技术规范书</w:t>
      </w:r>
    </w:p>
    <w:p w14:paraId="58A69C04">
      <w:pPr>
        <w:jc w:val="center"/>
        <w:rPr>
          <w:rFonts w:ascii="宋体" w:hAnsi="宋体"/>
          <w:b/>
          <w:sz w:val="36"/>
          <w:szCs w:val="36"/>
          <w:highlight w:val="none"/>
        </w:rPr>
      </w:pPr>
    </w:p>
    <w:p w14:paraId="642F676A">
      <w:pPr>
        <w:spacing w:line="600" w:lineRule="exact"/>
        <w:ind w:firstLine="2240" w:firstLineChars="800"/>
        <w:rPr>
          <w:sz w:val="28"/>
          <w:highlight w:val="none"/>
        </w:rPr>
      </w:pPr>
    </w:p>
    <w:p w14:paraId="25BE7012">
      <w:pPr>
        <w:spacing w:line="600" w:lineRule="exact"/>
        <w:ind w:firstLine="2570" w:firstLineChars="800"/>
        <w:rPr>
          <w:rFonts w:ascii="黑体" w:hAnsi="黑体" w:eastAsia="黑体" w:cs="黑体"/>
          <w:b/>
          <w:sz w:val="32"/>
          <w:szCs w:val="32"/>
          <w:highlight w:val="none"/>
        </w:rPr>
      </w:pPr>
    </w:p>
    <w:p w14:paraId="62A7BB5F">
      <w:pPr>
        <w:spacing w:line="720" w:lineRule="auto"/>
        <w:ind w:firstLine="2560" w:firstLineChars="800"/>
        <w:rPr>
          <w:rFonts w:ascii="黑体" w:hAnsi="黑体" w:eastAsia="黑体" w:cs="黑体"/>
          <w:sz w:val="32"/>
          <w:szCs w:val="32"/>
          <w:highlight w:val="none"/>
        </w:rPr>
      </w:pPr>
      <w:r>
        <w:rPr>
          <w:rFonts w:hint="eastAsia" w:ascii="黑体" w:hAnsi="黑体" w:eastAsia="黑体" w:cs="黑体"/>
          <w:sz w:val="32"/>
          <w:szCs w:val="32"/>
          <w:highlight w:val="none"/>
        </w:rPr>
        <w:t>编制:</w:t>
      </w:r>
    </w:p>
    <w:p w14:paraId="2F484038">
      <w:pPr>
        <w:spacing w:line="720" w:lineRule="auto"/>
        <w:ind w:firstLine="2560" w:firstLineChars="800"/>
        <w:rPr>
          <w:rFonts w:ascii="黑体" w:hAnsi="黑体" w:eastAsia="黑体" w:cs="黑体"/>
          <w:sz w:val="32"/>
          <w:szCs w:val="32"/>
          <w:highlight w:val="none"/>
        </w:rPr>
      </w:pPr>
      <w:r>
        <w:rPr>
          <w:rFonts w:hint="eastAsia" w:ascii="黑体" w:hAnsi="黑体" w:eastAsia="黑体" w:cs="黑体"/>
          <w:sz w:val="32"/>
          <w:szCs w:val="32"/>
          <w:highlight w:val="none"/>
        </w:rPr>
        <w:t>审核:</w:t>
      </w:r>
    </w:p>
    <w:p w14:paraId="4D311CB4">
      <w:pPr>
        <w:spacing w:line="720" w:lineRule="auto"/>
        <w:ind w:firstLine="2560" w:firstLineChars="800"/>
        <w:rPr>
          <w:rFonts w:ascii="黑体" w:hAnsi="黑体" w:eastAsia="黑体" w:cs="黑体"/>
          <w:sz w:val="32"/>
          <w:szCs w:val="32"/>
          <w:highlight w:val="none"/>
        </w:rPr>
      </w:pPr>
      <w:r>
        <w:rPr>
          <w:rFonts w:ascii="黑体" w:hAnsi="黑体" w:eastAsia="黑体" w:cs="黑体"/>
          <w:sz w:val="32"/>
          <w:szCs w:val="32"/>
          <w:highlight w:val="none"/>
        </w:rPr>
        <w:t>审定</w:t>
      </w:r>
      <w:r>
        <w:rPr>
          <w:rFonts w:hint="eastAsia" w:ascii="黑体" w:hAnsi="黑体" w:eastAsia="黑体" w:cs="黑体"/>
          <w:sz w:val="32"/>
          <w:szCs w:val="32"/>
          <w:highlight w:val="none"/>
        </w:rPr>
        <w:t>：</w:t>
      </w:r>
    </w:p>
    <w:p w14:paraId="094AB214">
      <w:pPr>
        <w:spacing w:line="720" w:lineRule="auto"/>
        <w:ind w:firstLine="2560" w:firstLineChars="800"/>
        <w:rPr>
          <w:rFonts w:ascii="黑体" w:hAnsi="黑体" w:eastAsia="黑体" w:cs="黑体"/>
          <w:sz w:val="32"/>
          <w:szCs w:val="32"/>
          <w:highlight w:val="none"/>
        </w:rPr>
      </w:pPr>
      <w:r>
        <w:rPr>
          <w:rFonts w:hint="eastAsia" w:ascii="黑体" w:hAnsi="黑体" w:eastAsia="黑体" w:cs="黑体"/>
          <w:sz w:val="32"/>
          <w:szCs w:val="32"/>
          <w:highlight w:val="none"/>
        </w:rPr>
        <w:t>批准:</w:t>
      </w:r>
    </w:p>
    <w:p w14:paraId="67DD7A62">
      <w:pPr>
        <w:spacing w:line="600" w:lineRule="exact"/>
        <w:rPr>
          <w:rFonts w:ascii="黑体" w:hAnsi="黑体" w:eastAsia="黑体" w:cs="黑体"/>
          <w:b/>
          <w:sz w:val="32"/>
          <w:szCs w:val="32"/>
          <w:highlight w:val="none"/>
        </w:rPr>
      </w:pPr>
    </w:p>
    <w:p w14:paraId="45A63106">
      <w:pPr>
        <w:spacing w:line="600" w:lineRule="exact"/>
        <w:ind w:firstLine="2570" w:firstLineChars="800"/>
        <w:rPr>
          <w:rFonts w:ascii="黑体" w:hAnsi="黑体" w:eastAsia="黑体" w:cs="黑体"/>
          <w:b/>
          <w:sz w:val="32"/>
          <w:szCs w:val="32"/>
          <w:highlight w:val="none"/>
        </w:rPr>
      </w:pPr>
    </w:p>
    <w:p w14:paraId="6222CC96">
      <w:pPr>
        <w:spacing w:line="600" w:lineRule="exact"/>
        <w:ind w:firstLine="2064" w:firstLineChars="645"/>
        <w:rPr>
          <w:rFonts w:ascii="黑体" w:hAnsi="黑体" w:eastAsia="黑体" w:cs="黑体"/>
          <w:sz w:val="32"/>
          <w:szCs w:val="32"/>
          <w:highlight w:val="none"/>
        </w:rPr>
      </w:pPr>
      <w:r>
        <w:rPr>
          <w:rFonts w:hint="eastAsia" w:ascii="黑体" w:hAnsi="黑体" w:eastAsia="黑体" w:cs="黑体"/>
          <w:sz w:val="32"/>
          <w:szCs w:val="32"/>
          <w:highlight w:val="none"/>
        </w:rPr>
        <w:t>伊犁新天煤化工有限责任公司</w:t>
      </w:r>
    </w:p>
    <w:p w14:paraId="62CAF68A">
      <w:pPr>
        <w:spacing w:line="600" w:lineRule="exact"/>
        <w:ind w:firstLine="3200" w:firstLineChars="1000"/>
        <w:rPr>
          <w:rFonts w:hint="eastAsia" w:ascii="黑体" w:hAnsi="黑体" w:eastAsia="黑体" w:cs="黑体"/>
          <w:sz w:val="32"/>
          <w:szCs w:val="32"/>
          <w:highlight w:val="none"/>
        </w:rPr>
      </w:pPr>
      <w:r>
        <w:rPr>
          <w:rFonts w:hint="eastAsia" w:ascii="黑体" w:hAnsi="黑体" w:eastAsia="黑体" w:cs="黑体"/>
          <w:sz w:val="32"/>
          <w:szCs w:val="32"/>
          <w:highlight w:val="none"/>
        </w:rPr>
        <w:t>202</w:t>
      </w:r>
      <w:r>
        <w:rPr>
          <w:rFonts w:hint="eastAsia" w:ascii="黑体" w:hAnsi="黑体" w:eastAsia="黑体" w:cs="黑体"/>
          <w:sz w:val="32"/>
          <w:szCs w:val="32"/>
          <w:highlight w:val="none"/>
          <w:lang w:val="en-US" w:eastAsia="zh-CN"/>
        </w:rPr>
        <w:t>6</w:t>
      </w:r>
      <w:r>
        <w:rPr>
          <w:rFonts w:hint="eastAsia" w:ascii="黑体" w:hAnsi="黑体" w:eastAsia="黑体" w:cs="黑体"/>
          <w:sz w:val="32"/>
          <w:szCs w:val="32"/>
          <w:highlight w:val="none"/>
        </w:rPr>
        <w:t>年</w:t>
      </w:r>
      <w:r>
        <w:rPr>
          <w:rFonts w:hint="eastAsia" w:ascii="黑体" w:hAnsi="黑体" w:eastAsia="黑体" w:cs="黑体"/>
          <w:sz w:val="32"/>
          <w:szCs w:val="32"/>
          <w:highlight w:val="none"/>
          <w:lang w:val="en-US" w:eastAsia="zh-CN"/>
        </w:rPr>
        <w:t>1</w:t>
      </w:r>
      <w:r>
        <w:rPr>
          <w:rFonts w:hint="eastAsia" w:ascii="黑体" w:hAnsi="黑体" w:eastAsia="黑体" w:cs="黑体"/>
          <w:sz w:val="32"/>
          <w:szCs w:val="32"/>
          <w:highlight w:val="none"/>
        </w:rPr>
        <w:t>月</w:t>
      </w:r>
    </w:p>
    <w:p w14:paraId="44521FEC">
      <w:pPr>
        <w:spacing w:line="600" w:lineRule="exact"/>
        <w:ind w:firstLine="3200" w:firstLineChars="1000"/>
        <w:rPr>
          <w:rFonts w:hint="eastAsia" w:ascii="黑体" w:hAnsi="黑体" w:eastAsia="黑体" w:cs="黑体"/>
          <w:sz w:val="32"/>
          <w:szCs w:val="32"/>
          <w:highlight w:val="none"/>
        </w:rPr>
      </w:pPr>
    </w:p>
    <w:sdt>
      <w:sdtPr>
        <w:rPr>
          <w:rFonts w:ascii="宋体" w:hAnsi="宋体" w:eastAsia="宋体" w:cs="Times New Roman"/>
          <w:b/>
          <w:bCs/>
          <w:kern w:val="2"/>
          <w:sz w:val="24"/>
          <w:szCs w:val="32"/>
          <w:highlight w:val="none"/>
          <w:lang w:val="en-US" w:eastAsia="zh-CN" w:bidi="ar-SA"/>
        </w:rPr>
        <w:id w:val="147452780"/>
        <w15:color w:val="DBDBDB"/>
        <w:docPartObj>
          <w:docPartGallery w:val="Table of Contents"/>
          <w:docPartUnique/>
        </w:docPartObj>
      </w:sdtPr>
      <w:sdtEndPr>
        <w:rPr>
          <w:rFonts w:ascii="黑体" w:hAnsi="黑体" w:eastAsia="黑体" w:cs="黑体"/>
          <w:b/>
          <w:bCs/>
          <w:kern w:val="2"/>
          <w:sz w:val="24"/>
          <w:szCs w:val="32"/>
          <w:highlight w:val="none"/>
          <w:lang w:val="en-US" w:eastAsia="zh-CN" w:bidi="ar-SA"/>
        </w:rPr>
      </w:sdtEndPr>
      <w:sdtContent>
        <w:p w14:paraId="17AE8CC9">
          <w:pPr>
            <w:spacing w:before="0" w:beforeLines="0" w:after="0" w:afterLines="0" w:line="240" w:lineRule="auto"/>
            <w:ind w:left="0" w:leftChars="0" w:right="0" w:rightChars="0" w:firstLine="0" w:firstLineChars="0"/>
            <w:jc w:val="center"/>
            <w:rPr>
              <w:b/>
              <w:bCs/>
              <w:sz w:val="32"/>
              <w:szCs w:val="32"/>
              <w:highlight w:val="none"/>
            </w:rPr>
          </w:pPr>
          <w:r>
            <w:rPr>
              <w:rFonts w:ascii="宋体" w:hAnsi="宋体" w:eastAsia="宋体"/>
              <w:b/>
              <w:bCs/>
              <w:sz w:val="24"/>
              <w:szCs w:val="32"/>
              <w:highlight w:val="none"/>
            </w:rPr>
            <w:t>目录</w:t>
          </w:r>
        </w:p>
        <w:p w14:paraId="5854BE83">
          <w:pPr>
            <w:pStyle w:val="32"/>
            <w:tabs>
              <w:tab w:val="right" w:leader="dot" w:pos="8675"/>
              <w:tab w:val="clear" w:pos="9000"/>
            </w:tabs>
            <w:spacing w:line="360" w:lineRule="auto"/>
            <w:rPr>
              <w:sz w:val="22"/>
              <w:szCs w:val="22"/>
              <w:highlight w:val="none"/>
            </w:rPr>
          </w:pPr>
          <w:r>
            <w:rPr>
              <w:rFonts w:ascii="黑体" w:hAnsi="黑体" w:eastAsia="黑体" w:cs="黑体"/>
              <w:b/>
              <w:kern w:val="2"/>
              <w:sz w:val="32"/>
              <w:szCs w:val="32"/>
              <w:highlight w:val="none"/>
              <w:lang w:val="en-US" w:eastAsia="zh-CN" w:bidi="ar-SA"/>
            </w:rPr>
            <w:fldChar w:fldCharType="begin"/>
          </w:r>
          <w:r>
            <w:rPr>
              <w:rFonts w:ascii="黑体" w:hAnsi="黑体" w:eastAsia="黑体" w:cs="黑体"/>
              <w:b/>
              <w:kern w:val="2"/>
              <w:sz w:val="32"/>
              <w:szCs w:val="32"/>
              <w:highlight w:val="none"/>
              <w:lang w:val="en-US" w:eastAsia="zh-CN" w:bidi="ar-SA"/>
            </w:rPr>
            <w:instrText xml:space="preserve">TOC \o "1-3" \h \u </w:instrText>
          </w:r>
          <w:r>
            <w:rPr>
              <w:rFonts w:ascii="黑体" w:hAnsi="黑体" w:eastAsia="黑体" w:cs="黑体"/>
              <w:b/>
              <w:kern w:val="2"/>
              <w:sz w:val="32"/>
              <w:szCs w:val="32"/>
              <w:highlight w:val="none"/>
              <w:lang w:val="en-US" w:eastAsia="zh-CN" w:bidi="ar-SA"/>
            </w:rPr>
            <w:fldChar w:fldCharType="separate"/>
          </w: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_Toc7328 </w:instrText>
          </w:r>
          <w:r>
            <w:rPr>
              <w:rFonts w:ascii="黑体" w:hAnsi="黑体" w:eastAsia="黑体" w:cs="黑体"/>
              <w:kern w:val="2"/>
              <w:sz w:val="22"/>
              <w:szCs w:val="40"/>
              <w:highlight w:val="none"/>
              <w:lang w:val="en-US" w:eastAsia="zh-CN" w:bidi="ar-SA"/>
            </w:rPr>
            <w:fldChar w:fldCharType="separate"/>
          </w:r>
          <w:r>
            <w:rPr>
              <w:sz w:val="22"/>
              <w:szCs w:val="22"/>
              <w:highlight w:val="none"/>
            </w:rPr>
            <w:t>1</w:t>
          </w:r>
          <w:r>
            <w:rPr>
              <w:rFonts w:hint="eastAsia"/>
              <w:sz w:val="22"/>
              <w:szCs w:val="22"/>
              <w:highlight w:val="none"/>
            </w:rPr>
            <w:t xml:space="preserve"> 总则</w:t>
          </w:r>
          <w:r>
            <w:rPr>
              <w:sz w:val="22"/>
              <w:szCs w:val="22"/>
              <w:highlight w:val="none"/>
            </w:rPr>
            <w:tab/>
          </w:r>
          <w:r>
            <w:rPr>
              <w:sz w:val="22"/>
              <w:szCs w:val="22"/>
              <w:highlight w:val="none"/>
            </w:rPr>
            <w:fldChar w:fldCharType="begin"/>
          </w:r>
          <w:r>
            <w:rPr>
              <w:sz w:val="22"/>
              <w:szCs w:val="22"/>
              <w:highlight w:val="none"/>
            </w:rPr>
            <w:instrText xml:space="preserve"> PAGEREF _Toc7328 \h </w:instrText>
          </w:r>
          <w:r>
            <w:rPr>
              <w:sz w:val="22"/>
              <w:szCs w:val="22"/>
              <w:highlight w:val="none"/>
            </w:rPr>
            <w:fldChar w:fldCharType="separate"/>
          </w:r>
          <w:r>
            <w:rPr>
              <w:sz w:val="22"/>
              <w:szCs w:val="22"/>
              <w:highlight w:val="none"/>
            </w:rPr>
            <w:t>1</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2A4AA0BC">
          <w:pPr>
            <w:pStyle w:val="32"/>
            <w:tabs>
              <w:tab w:val="right" w:leader="dot" w:pos="8675"/>
              <w:tab w:val="clear" w:pos="9000"/>
            </w:tabs>
            <w:spacing w:line="360" w:lineRule="auto"/>
            <w:rPr>
              <w:sz w:val="22"/>
              <w:szCs w:val="22"/>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_Toc25299 </w:instrText>
          </w:r>
          <w:r>
            <w:rPr>
              <w:rFonts w:ascii="黑体" w:hAnsi="黑体" w:eastAsia="黑体" w:cs="黑体"/>
              <w:kern w:val="2"/>
              <w:sz w:val="22"/>
              <w:szCs w:val="40"/>
              <w:highlight w:val="none"/>
              <w:lang w:val="en-US" w:eastAsia="zh-CN" w:bidi="ar-SA"/>
            </w:rPr>
            <w:fldChar w:fldCharType="separate"/>
          </w:r>
          <w:r>
            <w:rPr>
              <w:rFonts w:hint="eastAsia"/>
              <w:sz w:val="22"/>
              <w:szCs w:val="22"/>
              <w:highlight w:val="none"/>
            </w:rPr>
            <w:t>2</w:t>
          </w:r>
          <w:r>
            <w:rPr>
              <w:rFonts w:hint="eastAsia"/>
              <w:sz w:val="22"/>
              <w:szCs w:val="22"/>
              <w:highlight w:val="none"/>
              <w:lang w:val="en-US" w:eastAsia="zh-CN"/>
            </w:rPr>
            <w:t xml:space="preserve"> </w:t>
          </w:r>
          <w:r>
            <w:rPr>
              <w:rFonts w:hint="eastAsia"/>
              <w:sz w:val="22"/>
              <w:szCs w:val="22"/>
              <w:highlight w:val="none"/>
            </w:rPr>
            <w:t>工程概况</w:t>
          </w:r>
          <w:r>
            <w:rPr>
              <w:sz w:val="22"/>
              <w:szCs w:val="22"/>
              <w:highlight w:val="none"/>
            </w:rPr>
            <w:tab/>
          </w:r>
          <w:r>
            <w:rPr>
              <w:sz w:val="22"/>
              <w:szCs w:val="22"/>
              <w:highlight w:val="none"/>
            </w:rPr>
            <w:fldChar w:fldCharType="begin"/>
          </w:r>
          <w:r>
            <w:rPr>
              <w:sz w:val="22"/>
              <w:szCs w:val="22"/>
              <w:highlight w:val="none"/>
            </w:rPr>
            <w:instrText xml:space="preserve"> PAGEREF _Toc25299 \h </w:instrText>
          </w:r>
          <w:r>
            <w:rPr>
              <w:sz w:val="22"/>
              <w:szCs w:val="22"/>
              <w:highlight w:val="none"/>
            </w:rPr>
            <w:fldChar w:fldCharType="separate"/>
          </w:r>
          <w:r>
            <w:rPr>
              <w:sz w:val="22"/>
              <w:szCs w:val="22"/>
              <w:highlight w:val="none"/>
            </w:rPr>
            <w:t>1</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7227A79F">
          <w:pPr>
            <w:pStyle w:val="32"/>
            <w:tabs>
              <w:tab w:val="right" w:leader="dot" w:pos="8675"/>
              <w:tab w:val="clear" w:pos="9000"/>
            </w:tabs>
            <w:spacing w:line="360" w:lineRule="auto"/>
            <w:rPr>
              <w:sz w:val="22"/>
              <w:szCs w:val="22"/>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_Toc17218 </w:instrText>
          </w:r>
          <w:r>
            <w:rPr>
              <w:rFonts w:ascii="黑体" w:hAnsi="黑体" w:eastAsia="黑体" w:cs="黑体"/>
              <w:kern w:val="2"/>
              <w:sz w:val="22"/>
              <w:szCs w:val="40"/>
              <w:highlight w:val="none"/>
              <w:lang w:val="en-US" w:eastAsia="zh-CN" w:bidi="ar-SA"/>
            </w:rPr>
            <w:fldChar w:fldCharType="separate"/>
          </w:r>
          <w:r>
            <w:rPr>
              <w:rFonts w:hint="eastAsia"/>
              <w:sz w:val="22"/>
              <w:szCs w:val="22"/>
              <w:highlight w:val="none"/>
            </w:rPr>
            <w:t>3 项目依据</w:t>
          </w:r>
          <w:r>
            <w:rPr>
              <w:sz w:val="22"/>
              <w:szCs w:val="22"/>
              <w:highlight w:val="none"/>
            </w:rPr>
            <w:tab/>
          </w:r>
          <w:r>
            <w:rPr>
              <w:sz w:val="22"/>
              <w:szCs w:val="22"/>
              <w:highlight w:val="none"/>
            </w:rPr>
            <w:fldChar w:fldCharType="begin"/>
          </w:r>
          <w:r>
            <w:rPr>
              <w:sz w:val="22"/>
              <w:szCs w:val="22"/>
              <w:highlight w:val="none"/>
            </w:rPr>
            <w:instrText xml:space="preserve"> PAGEREF _Toc17218 \h </w:instrText>
          </w:r>
          <w:r>
            <w:rPr>
              <w:sz w:val="22"/>
              <w:szCs w:val="22"/>
              <w:highlight w:val="none"/>
            </w:rPr>
            <w:fldChar w:fldCharType="separate"/>
          </w:r>
          <w:r>
            <w:rPr>
              <w:sz w:val="22"/>
              <w:szCs w:val="22"/>
              <w:highlight w:val="none"/>
            </w:rPr>
            <w:t>2</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52FB2020">
          <w:pPr>
            <w:pStyle w:val="32"/>
            <w:tabs>
              <w:tab w:val="right" w:leader="dot" w:pos="8675"/>
              <w:tab w:val="clear" w:pos="9000"/>
            </w:tabs>
            <w:spacing w:line="360" w:lineRule="auto"/>
            <w:rPr>
              <w:sz w:val="22"/>
              <w:szCs w:val="22"/>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_Toc22481 </w:instrText>
          </w:r>
          <w:r>
            <w:rPr>
              <w:rFonts w:ascii="黑体" w:hAnsi="黑体" w:eastAsia="黑体" w:cs="黑体"/>
              <w:kern w:val="2"/>
              <w:sz w:val="22"/>
              <w:szCs w:val="40"/>
              <w:highlight w:val="none"/>
              <w:lang w:val="en-US" w:eastAsia="zh-CN" w:bidi="ar-SA"/>
            </w:rPr>
            <w:fldChar w:fldCharType="separate"/>
          </w:r>
          <w:r>
            <w:rPr>
              <w:rFonts w:hint="eastAsia"/>
              <w:sz w:val="22"/>
              <w:szCs w:val="22"/>
              <w:highlight w:val="none"/>
            </w:rPr>
            <w:t>4 招标范围及工期</w:t>
          </w:r>
          <w:r>
            <w:rPr>
              <w:sz w:val="22"/>
              <w:szCs w:val="22"/>
              <w:highlight w:val="none"/>
            </w:rPr>
            <w:tab/>
          </w:r>
          <w:r>
            <w:rPr>
              <w:sz w:val="22"/>
              <w:szCs w:val="22"/>
              <w:highlight w:val="none"/>
            </w:rPr>
            <w:fldChar w:fldCharType="begin"/>
          </w:r>
          <w:r>
            <w:rPr>
              <w:sz w:val="22"/>
              <w:szCs w:val="22"/>
              <w:highlight w:val="none"/>
            </w:rPr>
            <w:instrText xml:space="preserve"> PAGEREF _Toc22481 \h </w:instrText>
          </w:r>
          <w:r>
            <w:rPr>
              <w:sz w:val="22"/>
              <w:szCs w:val="22"/>
              <w:highlight w:val="none"/>
            </w:rPr>
            <w:fldChar w:fldCharType="separate"/>
          </w:r>
          <w:r>
            <w:rPr>
              <w:sz w:val="22"/>
              <w:szCs w:val="22"/>
              <w:highlight w:val="none"/>
            </w:rPr>
            <w:t>3</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1083BBF1">
          <w:pPr>
            <w:pStyle w:val="32"/>
            <w:tabs>
              <w:tab w:val="right" w:leader="dot" w:pos="8675"/>
              <w:tab w:val="clear" w:pos="9000"/>
            </w:tabs>
            <w:spacing w:line="360" w:lineRule="auto"/>
            <w:rPr>
              <w:sz w:val="22"/>
              <w:szCs w:val="22"/>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_Toc19395 </w:instrText>
          </w:r>
          <w:r>
            <w:rPr>
              <w:rFonts w:ascii="黑体" w:hAnsi="黑体" w:eastAsia="黑体" w:cs="黑体"/>
              <w:kern w:val="2"/>
              <w:sz w:val="22"/>
              <w:szCs w:val="40"/>
              <w:highlight w:val="none"/>
              <w:lang w:val="en-US" w:eastAsia="zh-CN" w:bidi="ar-SA"/>
            </w:rPr>
            <w:fldChar w:fldCharType="separate"/>
          </w:r>
          <w:r>
            <w:rPr>
              <w:rFonts w:hint="eastAsia"/>
              <w:sz w:val="22"/>
              <w:szCs w:val="22"/>
              <w:highlight w:val="none"/>
            </w:rPr>
            <w:t>5 技术要求</w:t>
          </w:r>
          <w:r>
            <w:rPr>
              <w:sz w:val="22"/>
              <w:szCs w:val="22"/>
              <w:highlight w:val="none"/>
            </w:rPr>
            <w:tab/>
          </w:r>
          <w:r>
            <w:rPr>
              <w:sz w:val="22"/>
              <w:szCs w:val="22"/>
              <w:highlight w:val="none"/>
            </w:rPr>
            <w:fldChar w:fldCharType="begin"/>
          </w:r>
          <w:r>
            <w:rPr>
              <w:sz w:val="22"/>
              <w:szCs w:val="22"/>
              <w:highlight w:val="none"/>
            </w:rPr>
            <w:instrText xml:space="preserve"> PAGEREF _Toc19395 \h </w:instrText>
          </w:r>
          <w:r>
            <w:rPr>
              <w:sz w:val="22"/>
              <w:szCs w:val="22"/>
              <w:highlight w:val="none"/>
            </w:rPr>
            <w:fldChar w:fldCharType="separate"/>
          </w:r>
          <w:r>
            <w:rPr>
              <w:sz w:val="22"/>
              <w:szCs w:val="22"/>
              <w:highlight w:val="none"/>
            </w:rPr>
            <w:t>4</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5F92A641">
          <w:pPr>
            <w:pStyle w:val="32"/>
            <w:tabs>
              <w:tab w:val="right" w:leader="dot" w:pos="8675"/>
              <w:tab w:val="clear" w:pos="9000"/>
            </w:tabs>
            <w:spacing w:line="360" w:lineRule="auto"/>
            <w:rPr>
              <w:sz w:val="22"/>
              <w:szCs w:val="22"/>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_Toc5923 </w:instrText>
          </w:r>
          <w:r>
            <w:rPr>
              <w:rFonts w:ascii="黑体" w:hAnsi="黑体" w:eastAsia="黑体" w:cs="黑体"/>
              <w:kern w:val="2"/>
              <w:sz w:val="22"/>
              <w:szCs w:val="40"/>
              <w:highlight w:val="none"/>
              <w:lang w:val="en-US" w:eastAsia="zh-CN" w:bidi="ar-SA"/>
            </w:rPr>
            <w:fldChar w:fldCharType="separate"/>
          </w:r>
          <w:r>
            <w:rPr>
              <w:rFonts w:hint="eastAsia"/>
              <w:sz w:val="22"/>
              <w:szCs w:val="22"/>
              <w:highlight w:val="none"/>
            </w:rPr>
            <w:t>6</w:t>
          </w:r>
          <w:r>
            <w:rPr>
              <w:rFonts w:hint="eastAsia"/>
              <w:sz w:val="22"/>
              <w:szCs w:val="22"/>
              <w:highlight w:val="none"/>
              <w:lang w:val="en-US" w:eastAsia="zh-CN"/>
            </w:rPr>
            <w:t xml:space="preserve"> </w:t>
          </w:r>
          <w:r>
            <w:rPr>
              <w:rFonts w:hint="eastAsia"/>
              <w:sz w:val="22"/>
              <w:szCs w:val="22"/>
              <w:highlight w:val="none"/>
            </w:rPr>
            <w:t>工程质量保证</w:t>
          </w:r>
          <w:r>
            <w:rPr>
              <w:sz w:val="22"/>
              <w:szCs w:val="22"/>
              <w:highlight w:val="none"/>
            </w:rPr>
            <w:tab/>
          </w:r>
          <w:r>
            <w:rPr>
              <w:sz w:val="22"/>
              <w:szCs w:val="22"/>
              <w:highlight w:val="none"/>
            </w:rPr>
            <w:fldChar w:fldCharType="begin"/>
          </w:r>
          <w:r>
            <w:rPr>
              <w:sz w:val="22"/>
              <w:szCs w:val="22"/>
              <w:highlight w:val="none"/>
            </w:rPr>
            <w:instrText xml:space="preserve"> PAGEREF _Toc5923 \h </w:instrText>
          </w:r>
          <w:r>
            <w:rPr>
              <w:sz w:val="22"/>
              <w:szCs w:val="22"/>
              <w:highlight w:val="none"/>
            </w:rPr>
            <w:fldChar w:fldCharType="separate"/>
          </w:r>
          <w:r>
            <w:rPr>
              <w:sz w:val="22"/>
              <w:szCs w:val="22"/>
              <w:highlight w:val="none"/>
            </w:rPr>
            <w:t>10</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133E30AF">
          <w:pPr>
            <w:pStyle w:val="32"/>
            <w:tabs>
              <w:tab w:val="right" w:leader="dot" w:pos="8675"/>
              <w:tab w:val="clear" w:pos="9000"/>
            </w:tabs>
            <w:spacing w:line="360" w:lineRule="auto"/>
            <w:rPr>
              <w:sz w:val="22"/>
              <w:szCs w:val="22"/>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_Toc8179 </w:instrText>
          </w:r>
          <w:r>
            <w:rPr>
              <w:rFonts w:ascii="黑体" w:hAnsi="黑体" w:eastAsia="黑体" w:cs="黑体"/>
              <w:kern w:val="2"/>
              <w:sz w:val="22"/>
              <w:szCs w:val="40"/>
              <w:highlight w:val="none"/>
              <w:lang w:val="en-US" w:eastAsia="zh-CN" w:bidi="ar-SA"/>
            </w:rPr>
            <w:fldChar w:fldCharType="separate"/>
          </w:r>
          <w:r>
            <w:rPr>
              <w:rFonts w:hint="eastAsia"/>
              <w:sz w:val="22"/>
              <w:szCs w:val="22"/>
              <w:highlight w:val="none"/>
            </w:rPr>
            <w:t>7</w:t>
          </w:r>
          <w:r>
            <w:rPr>
              <w:rFonts w:hint="eastAsia"/>
              <w:sz w:val="22"/>
              <w:szCs w:val="22"/>
              <w:highlight w:val="none"/>
              <w:lang w:val="en-US" w:eastAsia="zh-CN"/>
            </w:rPr>
            <w:t xml:space="preserve"> </w:t>
          </w:r>
          <w:r>
            <w:rPr>
              <w:rFonts w:hint="eastAsia"/>
              <w:sz w:val="22"/>
              <w:szCs w:val="22"/>
              <w:highlight w:val="none"/>
            </w:rPr>
            <w:t>质量控制措施</w:t>
          </w:r>
          <w:r>
            <w:rPr>
              <w:sz w:val="22"/>
              <w:szCs w:val="22"/>
              <w:highlight w:val="none"/>
            </w:rPr>
            <w:tab/>
          </w:r>
          <w:r>
            <w:rPr>
              <w:sz w:val="22"/>
              <w:szCs w:val="22"/>
              <w:highlight w:val="none"/>
            </w:rPr>
            <w:fldChar w:fldCharType="begin"/>
          </w:r>
          <w:r>
            <w:rPr>
              <w:sz w:val="22"/>
              <w:szCs w:val="22"/>
              <w:highlight w:val="none"/>
            </w:rPr>
            <w:instrText xml:space="preserve"> PAGEREF _Toc8179 \h </w:instrText>
          </w:r>
          <w:r>
            <w:rPr>
              <w:sz w:val="22"/>
              <w:szCs w:val="22"/>
              <w:highlight w:val="none"/>
            </w:rPr>
            <w:fldChar w:fldCharType="separate"/>
          </w:r>
          <w:r>
            <w:rPr>
              <w:sz w:val="22"/>
              <w:szCs w:val="22"/>
              <w:highlight w:val="none"/>
            </w:rPr>
            <w:t>10</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5CEE541A">
          <w:pPr>
            <w:pStyle w:val="32"/>
            <w:tabs>
              <w:tab w:val="right" w:leader="dot" w:pos="8675"/>
              <w:tab w:val="clear" w:pos="9000"/>
            </w:tabs>
            <w:spacing w:line="360" w:lineRule="auto"/>
            <w:rPr>
              <w:sz w:val="22"/>
              <w:szCs w:val="22"/>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_Toc6232 </w:instrText>
          </w:r>
          <w:r>
            <w:rPr>
              <w:rFonts w:ascii="黑体" w:hAnsi="黑体" w:eastAsia="黑体" w:cs="黑体"/>
              <w:kern w:val="2"/>
              <w:sz w:val="22"/>
              <w:szCs w:val="40"/>
              <w:highlight w:val="none"/>
              <w:lang w:val="en-US" w:eastAsia="zh-CN" w:bidi="ar-SA"/>
            </w:rPr>
            <w:fldChar w:fldCharType="separate"/>
          </w:r>
          <w:r>
            <w:rPr>
              <w:rFonts w:hint="eastAsia"/>
              <w:sz w:val="22"/>
              <w:szCs w:val="22"/>
              <w:highlight w:val="none"/>
            </w:rPr>
            <w:t>8</w:t>
          </w:r>
          <w:r>
            <w:rPr>
              <w:rFonts w:hint="eastAsia"/>
              <w:sz w:val="22"/>
              <w:szCs w:val="22"/>
              <w:highlight w:val="none"/>
              <w:lang w:val="en-US" w:eastAsia="zh-CN"/>
            </w:rPr>
            <w:t xml:space="preserve"> </w:t>
          </w:r>
          <w:r>
            <w:rPr>
              <w:rFonts w:hint="eastAsia"/>
              <w:sz w:val="22"/>
              <w:szCs w:val="22"/>
              <w:highlight w:val="none"/>
            </w:rPr>
            <w:t>安全文明施工措施</w:t>
          </w:r>
          <w:r>
            <w:rPr>
              <w:sz w:val="22"/>
              <w:szCs w:val="22"/>
              <w:highlight w:val="none"/>
            </w:rPr>
            <w:tab/>
          </w:r>
          <w:r>
            <w:rPr>
              <w:sz w:val="22"/>
              <w:szCs w:val="22"/>
              <w:highlight w:val="none"/>
            </w:rPr>
            <w:fldChar w:fldCharType="begin"/>
          </w:r>
          <w:r>
            <w:rPr>
              <w:sz w:val="22"/>
              <w:szCs w:val="22"/>
              <w:highlight w:val="none"/>
            </w:rPr>
            <w:instrText xml:space="preserve"> PAGEREF _Toc6232 \h </w:instrText>
          </w:r>
          <w:r>
            <w:rPr>
              <w:sz w:val="22"/>
              <w:szCs w:val="22"/>
              <w:highlight w:val="none"/>
            </w:rPr>
            <w:fldChar w:fldCharType="separate"/>
          </w:r>
          <w:r>
            <w:rPr>
              <w:sz w:val="22"/>
              <w:szCs w:val="22"/>
              <w:highlight w:val="none"/>
            </w:rPr>
            <w:t>12</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7A06DB9A">
          <w:pPr>
            <w:pStyle w:val="32"/>
            <w:tabs>
              <w:tab w:val="right" w:leader="dot" w:pos="8675"/>
              <w:tab w:val="clear" w:pos="9000"/>
            </w:tabs>
            <w:spacing w:line="360" w:lineRule="auto"/>
            <w:rPr>
              <w:sz w:val="22"/>
              <w:szCs w:val="22"/>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_Toc18648 </w:instrText>
          </w:r>
          <w:r>
            <w:rPr>
              <w:rFonts w:ascii="黑体" w:hAnsi="黑体" w:eastAsia="黑体" w:cs="黑体"/>
              <w:kern w:val="2"/>
              <w:sz w:val="22"/>
              <w:szCs w:val="40"/>
              <w:highlight w:val="none"/>
              <w:lang w:val="en-US" w:eastAsia="zh-CN" w:bidi="ar-SA"/>
            </w:rPr>
            <w:fldChar w:fldCharType="separate"/>
          </w:r>
          <w:r>
            <w:rPr>
              <w:rFonts w:hint="eastAsia"/>
              <w:sz w:val="22"/>
              <w:szCs w:val="22"/>
              <w:highlight w:val="none"/>
            </w:rPr>
            <w:t>9</w:t>
          </w:r>
          <w:r>
            <w:rPr>
              <w:rFonts w:hint="eastAsia"/>
              <w:sz w:val="22"/>
              <w:szCs w:val="22"/>
              <w:highlight w:val="none"/>
              <w:lang w:val="en-US" w:eastAsia="zh-CN"/>
            </w:rPr>
            <w:t xml:space="preserve"> </w:t>
          </w:r>
          <w:r>
            <w:rPr>
              <w:rFonts w:hint="eastAsia"/>
              <w:sz w:val="22"/>
              <w:szCs w:val="22"/>
              <w:highlight w:val="none"/>
            </w:rPr>
            <w:t>其他要求</w:t>
          </w:r>
          <w:r>
            <w:rPr>
              <w:sz w:val="22"/>
              <w:szCs w:val="22"/>
              <w:highlight w:val="none"/>
            </w:rPr>
            <w:tab/>
          </w:r>
          <w:r>
            <w:rPr>
              <w:sz w:val="22"/>
              <w:szCs w:val="22"/>
              <w:highlight w:val="none"/>
            </w:rPr>
            <w:fldChar w:fldCharType="begin"/>
          </w:r>
          <w:r>
            <w:rPr>
              <w:sz w:val="22"/>
              <w:szCs w:val="22"/>
              <w:highlight w:val="none"/>
            </w:rPr>
            <w:instrText xml:space="preserve"> PAGEREF _Toc18648 \h </w:instrText>
          </w:r>
          <w:r>
            <w:rPr>
              <w:sz w:val="22"/>
              <w:szCs w:val="22"/>
              <w:highlight w:val="none"/>
            </w:rPr>
            <w:fldChar w:fldCharType="separate"/>
          </w:r>
          <w:r>
            <w:rPr>
              <w:sz w:val="22"/>
              <w:szCs w:val="22"/>
              <w:highlight w:val="none"/>
            </w:rPr>
            <w:t>13</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17B35C92">
          <w:pPr>
            <w:pStyle w:val="32"/>
            <w:tabs>
              <w:tab w:val="right" w:leader="dot" w:pos="8675"/>
              <w:tab w:val="clear" w:pos="9000"/>
            </w:tabs>
            <w:spacing w:line="360" w:lineRule="auto"/>
            <w:rPr>
              <w:sz w:val="22"/>
              <w:szCs w:val="22"/>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_Toc9234 </w:instrText>
          </w:r>
          <w:r>
            <w:rPr>
              <w:rFonts w:ascii="黑体" w:hAnsi="黑体" w:eastAsia="黑体" w:cs="黑体"/>
              <w:kern w:val="2"/>
              <w:sz w:val="22"/>
              <w:szCs w:val="40"/>
              <w:highlight w:val="none"/>
              <w:lang w:val="en-US" w:eastAsia="zh-CN" w:bidi="ar-SA"/>
            </w:rPr>
            <w:fldChar w:fldCharType="separate"/>
          </w:r>
          <w:r>
            <w:rPr>
              <w:rFonts w:hint="default"/>
              <w:sz w:val="22"/>
              <w:szCs w:val="22"/>
              <w:highlight w:val="none"/>
            </w:rPr>
            <w:t>10</w:t>
          </w:r>
          <w:r>
            <w:rPr>
              <w:rFonts w:hint="eastAsia"/>
              <w:sz w:val="22"/>
              <w:szCs w:val="22"/>
              <w:highlight w:val="none"/>
              <w:lang w:val="en-US" w:eastAsia="zh-CN"/>
            </w:rPr>
            <w:t xml:space="preserve"> </w:t>
          </w:r>
          <w:r>
            <w:rPr>
              <w:rFonts w:hint="eastAsia"/>
              <w:sz w:val="22"/>
              <w:szCs w:val="22"/>
              <w:highlight w:val="none"/>
            </w:rPr>
            <w:t>考核</w:t>
          </w:r>
          <w:r>
            <w:rPr>
              <w:sz w:val="22"/>
              <w:szCs w:val="22"/>
              <w:highlight w:val="none"/>
            </w:rPr>
            <w:tab/>
          </w:r>
          <w:r>
            <w:rPr>
              <w:sz w:val="22"/>
              <w:szCs w:val="22"/>
              <w:highlight w:val="none"/>
            </w:rPr>
            <w:fldChar w:fldCharType="begin"/>
          </w:r>
          <w:r>
            <w:rPr>
              <w:sz w:val="22"/>
              <w:szCs w:val="22"/>
              <w:highlight w:val="none"/>
            </w:rPr>
            <w:instrText xml:space="preserve"> PAGEREF _Toc9234 \h </w:instrText>
          </w:r>
          <w:r>
            <w:rPr>
              <w:sz w:val="22"/>
              <w:szCs w:val="22"/>
              <w:highlight w:val="none"/>
            </w:rPr>
            <w:fldChar w:fldCharType="separate"/>
          </w:r>
          <w:r>
            <w:rPr>
              <w:sz w:val="22"/>
              <w:szCs w:val="22"/>
              <w:highlight w:val="none"/>
            </w:rPr>
            <w:t>14</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1D128563">
          <w:pPr>
            <w:pStyle w:val="32"/>
            <w:tabs>
              <w:tab w:val="right" w:leader="dot" w:pos="8675"/>
              <w:tab w:val="clear" w:pos="9000"/>
            </w:tabs>
            <w:spacing w:line="360" w:lineRule="auto"/>
            <w:rPr>
              <w:highlight w:val="none"/>
            </w:rPr>
          </w:pPr>
          <w:r>
            <w:rPr>
              <w:rFonts w:ascii="黑体" w:hAnsi="黑体" w:eastAsia="黑体" w:cs="黑体"/>
              <w:kern w:val="2"/>
              <w:sz w:val="22"/>
              <w:szCs w:val="40"/>
              <w:highlight w:val="none"/>
              <w:lang w:val="en-US" w:eastAsia="zh-CN" w:bidi="ar-SA"/>
            </w:rPr>
            <w:fldChar w:fldCharType="begin"/>
          </w:r>
          <w:r>
            <w:rPr>
              <w:rFonts w:ascii="黑体" w:hAnsi="黑体" w:eastAsia="黑体" w:cs="黑体"/>
              <w:kern w:val="2"/>
              <w:sz w:val="22"/>
              <w:szCs w:val="40"/>
              <w:highlight w:val="none"/>
              <w:lang w:val="en-US" w:eastAsia="zh-CN" w:bidi="ar-SA"/>
            </w:rPr>
            <w:instrText xml:space="preserve"> HYPERLINK \l _Toc25221 </w:instrText>
          </w:r>
          <w:r>
            <w:rPr>
              <w:rFonts w:ascii="黑体" w:hAnsi="黑体" w:eastAsia="黑体" w:cs="黑体"/>
              <w:kern w:val="2"/>
              <w:sz w:val="22"/>
              <w:szCs w:val="40"/>
              <w:highlight w:val="none"/>
              <w:lang w:val="en-US" w:eastAsia="zh-CN" w:bidi="ar-SA"/>
            </w:rPr>
            <w:fldChar w:fldCharType="separate"/>
          </w:r>
          <w:r>
            <w:rPr>
              <w:rFonts w:hint="eastAsia"/>
              <w:sz w:val="22"/>
              <w:szCs w:val="22"/>
              <w:highlight w:val="none"/>
              <w:lang w:val="en-US" w:eastAsia="zh-CN"/>
            </w:rPr>
            <w:t>11 附件</w:t>
          </w:r>
          <w:r>
            <w:rPr>
              <w:sz w:val="22"/>
              <w:szCs w:val="22"/>
              <w:highlight w:val="none"/>
            </w:rPr>
            <w:tab/>
          </w:r>
          <w:r>
            <w:rPr>
              <w:sz w:val="22"/>
              <w:szCs w:val="22"/>
              <w:highlight w:val="none"/>
            </w:rPr>
            <w:fldChar w:fldCharType="begin"/>
          </w:r>
          <w:r>
            <w:rPr>
              <w:sz w:val="22"/>
              <w:szCs w:val="22"/>
              <w:highlight w:val="none"/>
            </w:rPr>
            <w:instrText xml:space="preserve"> PAGEREF _Toc25221 \h </w:instrText>
          </w:r>
          <w:r>
            <w:rPr>
              <w:sz w:val="22"/>
              <w:szCs w:val="22"/>
              <w:highlight w:val="none"/>
            </w:rPr>
            <w:fldChar w:fldCharType="separate"/>
          </w:r>
          <w:r>
            <w:rPr>
              <w:sz w:val="22"/>
              <w:szCs w:val="22"/>
              <w:highlight w:val="none"/>
            </w:rPr>
            <w:t>14</w:t>
          </w:r>
          <w:r>
            <w:rPr>
              <w:sz w:val="22"/>
              <w:szCs w:val="22"/>
              <w:highlight w:val="none"/>
            </w:rPr>
            <w:fldChar w:fldCharType="end"/>
          </w:r>
          <w:r>
            <w:rPr>
              <w:rFonts w:ascii="黑体" w:hAnsi="黑体" w:eastAsia="黑体" w:cs="黑体"/>
              <w:kern w:val="2"/>
              <w:sz w:val="22"/>
              <w:szCs w:val="40"/>
              <w:highlight w:val="none"/>
              <w:lang w:val="en-US" w:eastAsia="zh-CN" w:bidi="ar-SA"/>
            </w:rPr>
            <w:fldChar w:fldCharType="end"/>
          </w:r>
        </w:p>
        <w:p w14:paraId="23BFF0AA">
          <w:pPr>
            <w:spacing w:line="600" w:lineRule="exact"/>
            <w:ind w:firstLine="1920" w:firstLineChars="800"/>
            <w:rPr>
              <w:rFonts w:ascii="黑体" w:hAnsi="黑体" w:eastAsia="黑体" w:cs="黑体"/>
              <w:kern w:val="2"/>
              <w:sz w:val="24"/>
              <w:szCs w:val="32"/>
              <w:highlight w:val="none"/>
              <w:lang w:val="en-US" w:eastAsia="zh-CN" w:bidi="ar-SA"/>
            </w:rPr>
          </w:pPr>
          <w:r>
            <w:rPr>
              <w:rFonts w:ascii="黑体" w:hAnsi="黑体" w:eastAsia="黑体" w:cs="黑体"/>
              <w:kern w:val="2"/>
              <w:szCs w:val="32"/>
              <w:highlight w:val="none"/>
              <w:lang w:val="en-US" w:eastAsia="zh-CN" w:bidi="ar-SA"/>
            </w:rPr>
            <w:fldChar w:fldCharType="end"/>
          </w:r>
        </w:p>
      </w:sdtContent>
    </w:sdt>
    <w:p w14:paraId="4E01A672">
      <w:pPr>
        <w:pStyle w:val="3"/>
        <w:bidi w:val="0"/>
        <w:rPr>
          <w:highlight w:val="none"/>
        </w:rPr>
        <w:sectPr>
          <w:endnotePr>
            <w:numFmt w:val="decimal"/>
          </w:endnotePr>
          <w:pgSz w:w="11907" w:h="16840"/>
          <w:pgMar w:top="1418" w:right="1531" w:bottom="1418" w:left="1701" w:header="851" w:footer="1021" w:gutter="0"/>
          <w:cols w:space="720" w:num="1"/>
          <w:docGrid w:linePitch="326" w:charSpace="0"/>
        </w:sectPr>
      </w:pPr>
      <w:bookmarkStart w:id="0" w:name="_Toc3532453"/>
      <w:bookmarkStart w:id="1" w:name="_Toc3532207"/>
      <w:bookmarkStart w:id="2" w:name="_Toc3529066"/>
      <w:bookmarkStart w:id="3" w:name="_Toc232541275"/>
      <w:bookmarkStart w:id="4" w:name="_Toc3529238"/>
    </w:p>
    <w:p w14:paraId="1B9C3941">
      <w:pPr>
        <w:pStyle w:val="3"/>
        <w:bidi w:val="0"/>
        <w:rPr>
          <w:highlight w:val="none"/>
        </w:rPr>
      </w:pPr>
      <w:bookmarkStart w:id="5" w:name="_Toc7328"/>
      <w:r>
        <w:rPr>
          <w:highlight w:val="none"/>
        </w:rPr>
        <w:t>1</w:t>
      </w:r>
      <w:r>
        <w:rPr>
          <w:rFonts w:hint="eastAsia"/>
          <w:highlight w:val="none"/>
        </w:rPr>
        <w:t xml:space="preserve"> 总则</w:t>
      </w:r>
      <w:bookmarkEnd w:id="0"/>
      <w:bookmarkEnd w:id="1"/>
      <w:bookmarkEnd w:id="2"/>
      <w:bookmarkEnd w:id="3"/>
      <w:bookmarkEnd w:id="4"/>
      <w:bookmarkEnd w:id="5"/>
    </w:p>
    <w:p w14:paraId="1C23A15E">
      <w:pPr>
        <w:spacing w:line="360" w:lineRule="auto"/>
        <w:jc w:val="left"/>
        <w:rPr>
          <w:rFonts w:hAnsi="宋体"/>
          <w:highlight w:val="none"/>
        </w:rPr>
      </w:pPr>
      <w:r>
        <w:rPr>
          <w:rFonts w:hint="eastAsia" w:hAnsi="宋体"/>
          <w:highlight w:val="none"/>
        </w:rPr>
        <w:t>1.1 本技术规范书用于伊犁新天煤化工有限责任公司2026年度化工装置</w:t>
      </w:r>
      <w:r>
        <w:rPr>
          <w:rFonts w:hint="eastAsia" w:hAnsi="宋体"/>
          <w:highlight w:val="none"/>
          <w:lang w:val="en-US" w:eastAsia="zh-CN"/>
        </w:rPr>
        <w:t>部分</w:t>
      </w:r>
      <w:r>
        <w:rPr>
          <w:rFonts w:hint="eastAsia" w:hAnsi="宋体"/>
          <w:highlight w:val="none"/>
        </w:rPr>
        <w:t>设备设施防腐及保温整治项目。</w:t>
      </w:r>
    </w:p>
    <w:p w14:paraId="644ACC15">
      <w:pPr>
        <w:spacing w:line="360" w:lineRule="auto"/>
        <w:jc w:val="left"/>
        <w:rPr>
          <w:rFonts w:hAnsi="宋体"/>
          <w:highlight w:val="none"/>
        </w:rPr>
      </w:pPr>
      <w:r>
        <w:rPr>
          <w:rFonts w:hint="eastAsia" w:hAnsi="宋体"/>
          <w:highlight w:val="none"/>
        </w:rPr>
        <w:t>1.2 招标方在本技术规范中提出了最低限度的技术要求，并未规定所有的技术要求和适用的标准，</w:t>
      </w:r>
      <w:r>
        <w:rPr>
          <w:rFonts w:hAnsi="宋体"/>
          <w:highlight w:val="none"/>
        </w:rPr>
        <w:t>未对一切细节作出</w:t>
      </w:r>
      <w:r>
        <w:rPr>
          <w:rFonts w:hint="eastAsia" w:hAnsi="宋体"/>
          <w:highlight w:val="none"/>
        </w:rPr>
        <w:t>阐述</w:t>
      </w:r>
      <w:r>
        <w:rPr>
          <w:rFonts w:hAnsi="宋体"/>
          <w:highlight w:val="none"/>
        </w:rPr>
        <w:t>，也</w:t>
      </w:r>
      <w:r>
        <w:rPr>
          <w:rFonts w:hint="eastAsia" w:hAnsi="宋体"/>
          <w:highlight w:val="none"/>
        </w:rPr>
        <w:t>未</w:t>
      </w:r>
      <w:r>
        <w:rPr>
          <w:rFonts w:hAnsi="宋体"/>
          <w:highlight w:val="none"/>
        </w:rPr>
        <w:t>充分</w:t>
      </w:r>
      <w:r>
        <w:rPr>
          <w:rFonts w:hint="eastAsia" w:hAnsi="宋体"/>
          <w:highlight w:val="none"/>
        </w:rPr>
        <w:t>引述</w:t>
      </w:r>
      <w:r>
        <w:rPr>
          <w:rFonts w:hAnsi="宋体"/>
          <w:highlight w:val="none"/>
        </w:rPr>
        <w:t>有关标准和规范的条文，</w:t>
      </w:r>
      <w:r>
        <w:rPr>
          <w:rFonts w:hint="eastAsia" w:hAnsi="宋体"/>
          <w:highlight w:val="none"/>
        </w:rPr>
        <w:t>投标方</w:t>
      </w:r>
      <w:r>
        <w:rPr>
          <w:rFonts w:hAnsi="宋体"/>
          <w:highlight w:val="none"/>
        </w:rPr>
        <w:t>应保证提出</w:t>
      </w:r>
      <w:r>
        <w:rPr>
          <w:rFonts w:hint="eastAsia" w:hAnsi="宋体"/>
          <w:highlight w:val="none"/>
        </w:rPr>
        <w:t>符合本规范</w:t>
      </w:r>
      <w:r>
        <w:rPr>
          <w:rFonts w:hAnsi="宋体"/>
          <w:highlight w:val="none"/>
        </w:rPr>
        <w:t>和</w:t>
      </w:r>
      <w:r>
        <w:rPr>
          <w:rFonts w:hint="eastAsia" w:hAnsi="宋体"/>
          <w:highlight w:val="none"/>
        </w:rPr>
        <w:t>相关</w:t>
      </w:r>
      <w:r>
        <w:rPr>
          <w:rFonts w:hAnsi="宋体"/>
          <w:highlight w:val="none"/>
        </w:rPr>
        <w:t>国家文件要求的优质服务和成果资料。</w:t>
      </w:r>
      <w:r>
        <w:rPr>
          <w:rFonts w:hint="eastAsia" w:hAnsi="宋体"/>
          <w:highlight w:val="none"/>
        </w:rPr>
        <w:t>对国家和地方有关文件精神，必须满足其要求。</w:t>
      </w:r>
    </w:p>
    <w:p w14:paraId="671EC336">
      <w:pPr>
        <w:spacing w:line="360" w:lineRule="auto"/>
        <w:jc w:val="left"/>
        <w:rPr>
          <w:rFonts w:hAnsi="宋体"/>
          <w:highlight w:val="none"/>
        </w:rPr>
      </w:pPr>
      <w:r>
        <w:rPr>
          <w:rFonts w:hint="eastAsia" w:hAnsi="宋体"/>
          <w:highlight w:val="none"/>
        </w:rPr>
        <w:t>1.3</w:t>
      </w:r>
      <w:r>
        <w:rPr>
          <w:rFonts w:hint="eastAsia" w:hAnsi="宋体"/>
          <w:highlight w:val="none"/>
          <w:lang w:val="en-US" w:eastAsia="zh-CN"/>
        </w:rPr>
        <w:t xml:space="preserve"> </w:t>
      </w:r>
      <w:r>
        <w:rPr>
          <w:rFonts w:hint="eastAsia" w:hAnsi="宋体"/>
          <w:highlight w:val="none"/>
        </w:rPr>
        <w:t>本技术规范书所使用的标准为最新版本的技术标准，如遇与</w:t>
      </w:r>
      <w:r>
        <w:rPr>
          <w:rFonts w:hint="eastAsia" w:hAnsi="宋体"/>
          <w:highlight w:val="none"/>
          <w:lang w:eastAsia="zh-CN"/>
        </w:rPr>
        <w:t>投标方</w:t>
      </w:r>
      <w:r>
        <w:rPr>
          <w:rFonts w:hint="eastAsia" w:hAnsi="宋体"/>
          <w:highlight w:val="none"/>
        </w:rPr>
        <w:t>所执行的标准发生矛盾时，或与现行使用的有关国家标准有矛盾时，应采用最新和最严的标准，按较高标准执行。</w:t>
      </w:r>
    </w:p>
    <w:p w14:paraId="5F2A830F">
      <w:pPr>
        <w:spacing w:line="360" w:lineRule="auto"/>
        <w:jc w:val="left"/>
        <w:rPr>
          <w:rFonts w:hAnsi="宋体"/>
          <w:highlight w:val="none"/>
        </w:rPr>
      </w:pPr>
      <w:r>
        <w:rPr>
          <w:rFonts w:hint="eastAsia" w:hAnsi="宋体"/>
          <w:highlight w:val="none"/>
        </w:rPr>
        <w:t>1.4</w:t>
      </w:r>
      <w:r>
        <w:rPr>
          <w:rFonts w:hint="eastAsia" w:hAnsi="宋体"/>
          <w:highlight w:val="none"/>
          <w:lang w:val="en-US" w:eastAsia="zh-CN"/>
        </w:rPr>
        <w:t xml:space="preserve"> </w:t>
      </w:r>
      <w:r>
        <w:rPr>
          <w:rFonts w:hint="eastAsia" w:hAnsi="宋体"/>
          <w:highlight w:val="none"/>
          <w:lang w:eastAsia="zh-CN"/>
        </w:rPr>
        <w:t>投标方</w:t>
      </w:r>
      <w:r>
        <w:rPr>
          <w:rFonts w:hint="eastAsia" w:hAnsi="宋体"/>
          <w:highlight w:val="none"/>
        </w:rPr>
        <w:t>所提供的组件或附件如需向第三方采购时，必须保证质量向</w:t>
      </w:r>
      <w:r>
        <w:rPr>
          <w:rFonts w:hint="eastAsia" w:hAnsi="宋体"/>
          <w:highlight w:val="none"/>
          <w:lang w:eastAsia="zh-CN"/>
        </w:rPr>
        <w:t>招标方</w:t>
      </w:r>
      <w:r>
        <w:rPr>
          <w:rFonts w:hint="eastAsia" w:hAnsi="宋体"/>
          <w:highlight w:val="none"/>
        </w:rPr>
        <w:t>负责，并提供相应的出厂报告和验收证明；</w:t>
      </w:r>
      <w:r>
        <w:rPr>
          <w:rFonts w:hint="eastAsia" w:hAnsi="宋体"/>
          <w:highlight w:val="none"/>
          <w:lang w:eastAsia="zh-CN"/>
        </w:rPr>
        <w:t>投标方</w:t>
      </w:r>
      <w:r>
        <w:rPr>
          <w:rFonts w:hint="eastAsia" w:hAnsi="宋体"/>
          <w:highlight w:val="none"/>
        </w:rPr>
        <w:t>应单独列出外购组件或附件采用的材料、配件清单及基本信息，该部分内容包含在交付资料中。</w:t>
      </w:r>
    </w:p>
    <w:p w14:paraId="28846110">
      <w:pPr>
        <w:spacing w:line="360" w:lineRule="auto"/>
        <w:jc w:val="left"/>
        <w:rPr>
          <w:rFonts w:hAnsi="宋体"/>
          <w:highlight w:val="none"/>
        </w:rPr>
      </w:pPr>
      <w:r>
        <w:rPr>
          <w:rFonts w:hint="eastAsia" w:hAnsi="宋体"/>
          <w:highlight w:val="none"/>
        </w:rPr>
        <w:t>1.5 在签订合同之后，招标方有权提出因规范标准、文件要求发生变化而产生的一些补充要求，具体按合同规定执行。</w:t>
      </w:r>
    </w:p>
    <w:p w14:paraId="365ED3F9">
      <w:pPr>
        <w:pStyle w:val="3"/>
        <w:bidi w:val="0"/>
        <w:rPr>
          <w:highlight w:val="none"/>
        </w:rPr>
      </w:pPr>
      <w:bookmarkStart w:id="6" w:name="_Toc15410"/>
      <w:bookmarkStart w:id="7" w:name="_Toc25299"/>
      <w:r>
        <w:rPr>
          <w:rFonts w:hint="eastAsia"/>
          <w:highlight w:val="none"/>
        </w:rPr>
        <w:t>2</w:t>
      </w:r>
      <w:r>
        <w:rPr>
          <w:rFonts w:hint="eastAsia"/>
          <w:highlight w:val="none"/>
          <w:lang w:val="en-US" w:eastAsia="zh-CN"/>
        </w:rPr>
        <w:t xml:space="preserve"> </w:t>
      </w:r>
      <w:r>
        <w:rPr>
          <w:rFonts w:hint="eastAsia"/>
          <w:highlight w:val="none"/>
        </w:rPr>
        <w:t>工程概况</w:t>
      </w:r>
      <w:bookmarkEnd w:id="6"/>
      <w:bookmarkEnd w:id="7"/>
    </w:p>
    <w:p w14:paraId="06169B8F">
      <w:pPr>
        <w:spacing w:line="360" w:lineRule="auto"/>
        <w:ind w:firstLine="480" w:firstLineChars="200"/>
        <w:jc w:val="left"/>
        <w:rPr>
          <w:rFonts w:hAnsi="宋体"/>
          <w:highlight w:val="none"/>
        </w:rPr>
      </w:pPr>
      <w:r>
        <w:rPr>
          <w:rFonts w:hint="eastAsia" w:hAnsi="宋体"/>
          <w:highlight w:val="none"/>
        </w:rPr>
        <w:t>伊犁新天煤化工有限责任公司建于新疆维吾尔自治区伊宁市巴彦岱镇火龙洞以北，北靠天山支脉科古琴山，南临伊犁河，厂址地形高差较大，北高南低，海拔标高约1000</w:t>
      </w:r>
      <w:r>
        <w:rPr>
          <w:rFonts w:hint="eastAsia" w:hAnsi="宋体"/>
          <w:highlight w:val="none"/>
          <w:lang w:eastAsia="zh-CN"/>
        </w:rPr>
        <w:t>—</w:t>
      </w:r>
      <w:r>
        <w:rPr>
          <w:rFonts w:hint="eastAsia" w:hAnsi="宋体"/>
          <w:highlight w:val="none"/>
        </w:rPr>
        <w:t xml:space="preserve">1080m 之间，东西向中部大部分地段较为平缓。土地属于半荒漠草场。 </w:t>
      </w:r>
    </w:p>
    <w:p w14:paraId="3900CF8E">
      <w:pPr>
        <w:spacing w:line="360" w:lineRule="auto"/>
        <w:ind w:firstLine="480" w:firstLineChars="200"/>
        <w:jc w:val="left"/>
        <w:rPr>
          <w:rFonts w:hAnsi="宋体"/>
          <w:highlight w:val="none"/>
        </w:rPr>
      </w:pPr>
      <w:r>
        <w:rPr>
          <w:rFonts w:hint="eastAsia" w:hAnsi="宋体"/>
          <w:highlight w:val="none"/>
        </w:rPr>
        <w:t>该地区属大陆性气候，因地形关系，经常形成多雨雪的天气。冬季寒冷，夏季炎热，7月份极端最高气温为 39.2℃；1 月份最低气温为-30.9℃，极端最低气温为-36℃，全年平均气温9℃；年平均降水量269mm；年平均蒸发量为1604.3mm；空气平均相对湿度65%；50年一遇基本雪压1.0kPa，最大积雪厚度79cm。最大冻结深度120cm。常年主导风向为东风和偏西风，50年一遇基本风压0.6kPa。</w:t>
      </w:r>
    </w:p>
    <w:p w14:paraId="78062299">
      <w:pPr>
        <w:spacing w:line="360" w:lineRule="auto"/>
        <w:ind w:firstLine="480" w:firstLineChars="200"/>
        <w:jc w:val="left"/>
        <w:rPr>
          <w:rFonts w:hAnsi="宋体"/>
          <w:highlight w:val="none"/>
        </w:rPr>
      </w:pPr>
      <w:r>
        <w:rPr>
          <w:rFonts w:hint="eastAsia" w:hAnsi="宋体"/>
          <w:highlight w:val="none"/>
        </w:rPr>
        <w:t>全厂</w:t>
      </w:r>
      <w:r>
        <w:rPr>
          <w:rFonts w:hint="eastAsia" w:hAnsi="宋体"/>
          <w:highlight w:val="none"/>
          <w:lang w:eastAsia="zh-CN"/>
        </w:rPr>
        <w:t>设备设施钢结构</w:t>
      </w:r>
      <w:r>
        <w:rPr>
          <w:rFonts w:hint="eastAsia" w:hAnsi="宋体"/>
          <w:highlight w:val="none"/>
        </w:rPr>
        <w:t>自2017年使用至今已有8年时间，大部分</w:t>
      </w:r>
      <w:r>
        <w:rPr>
          <w:rFonts w:hint="eastAsia" w:hAnsi="宋体"/>
          <w:highlight w:val="none"/>
          <w:lang w:eastAsia="zh-CN"/>
        </w:rPr>
        <w:t>设备设施钢结构</w:t>
      </w:r>
      <w:r>
        <w:rPr>
          <w:rFonts w:hint="eastAsia" w:hAnsi="宋体"/>
          <w:highlight w:val="none"/>
        </w:rPr>
        <w:t>被酸性气体及其它非电解质液体锈蚀，因锈蚀产生的“锈坑”使</w:t>
      </w:r>
      <w:r>
        <w:rPr>
          <w:rFonts w:hint="eastAsia" w:hAnsi="宋体"/>
          <w:highlight w:val="none"/>
          <w:lang w:eastAsia="zh-CN"/>
        </w:rPr>
        <w:t>设备设施钢结构</w:t>
      </w:r>
      <w:r>
        <w:rPr>
          <w:rFonts w:hint="eastAsia" w:hAnsi="宋体"/>
          <w:highlight w:val="none"/>
        </w:rPr>
        <w:t>脆性破坏的可能性增大，影响</w:t>
      </w:r>
      <w:r>
        <w:rPr>
          <w:rFonts w:hint="eastAsia" w:hAnsi="宋体"/>
          <w:highlight w:val="none"/>
          <w:lang w:eastAsia="zh-CN"/>
        </w:rPr>
        <w:t>设备设施钢结构</w:t>
      </w:r>
      <w:r>
        <w:rPr>
          <w:rFonts w:hint="eastAsia" w:hAnsi="宋体"/>
          <w:highlight w:val="none"/>
        </w:rPr>
        <w:t>的耐久性。管道、钢构、设备腐蚀，存在较大安全隐患。</w:t>
      </w:r>
    </w:p>
    <w:p w14:paraId="3BD1137E">
      <w:pPr>
        <w:spacing w:line="360" w:lineRule="auto"/>
        <w:ind w:firstLine="480" w:firstLineChars="200"/>
        <w:jc w:val="left"/>
        <w:rPr>
          <w:rFonts w:hAnsi="宋体"/>
          <w:highlight w:val="none"/>
        </w:rPr>
      </w:pPr>
      <w:r>
        <w:rPr>
          <w:rFonts w:hint="eastAsia" w:hAnsi="宋体"/>
          <w:highlight w:val="none"/>
        </w:rPr>
        <w:t>全厂管道及设备保温自2017年使用至今已有8年时间，大部分保温设施被酸性气体及其它非电解质液体锈蚀，造成各装置区管道及设备保温表面出现腐蚀，保温铁皮包裹不严，存在较大安全隐患。</w:t>
      </w:r>
    </w:p>
    <w:p w14:paraId="6870B20B">
      <w:pPr>
        <w:pStyle w:val="3"/>
        <w:bidi w:val="0"/>
        <w:rPr>
          <w:highlight w:val="none"/>
        </w:rPr>
      </w:pPr>
      <w:bookmarkStart w:id="8" w:name="_Toc17218"/>
      <w:r>
        <w:rPr>
          <w:rFonts w:hint="eastAsia"/>
          <w:highlight w:val="none"/>
        </w:rPr>
        <w:t>3 项目依据</w:t>
      </w:r>
      <w:bookmarkEnd w:id="8"/>
    </w:p>
    <w:p w14:paraId="29194C2E">
      <w:pPr>
        <w:spacing w:line="360" w:lineRule="auto"/>
        <w:ind w:firstLine="240" w:firstLineChars="100"/>
        <w:rPr>
          <w:rFonts w:hAnsi="宋体"/>
          <w:highlight w:val="none"/>
        </w:rPr>
      </w:pPr>
      <w:r>
        <w:rPr>
          <w:rFonts w:hint="eastAsia" w:hAnsi="宋体"/>
          <w:highlight w:val="none"/>
        </w:rPr>
        <w:t xml:space="preserve">《建筑施工高处作业安全技术规范》 </w:t>
      </w:r>
      <w:r>
        <w:rPr>
          <w:rFonts w:hAnsi="宋体"/>
          <w:highlight w:val="none"/>
        </w:rPr>
        <w:t xml:space="preserve"> </w:t>
      </w:r>
      <w:r>
        <w:rPr>
          <w:rFonts w:hint="eastAsia" w:hAnsi="宋体"/>
          <w:highlight w:val="none"/>
        </w:rPr>
        <w:t>JGJ80</w:t>
      </w:r>
      <w:r>
        <w:rPr>
          <w:rFonts w:hAnsi="宋体"/>
          <w:highlight w:val="none"/>
        </w:rPr>
        <w:t xml:space="preserve"> </w:t>
      </w:r>
    </w:p>
    <w:p w14:paraId="598B6DB4">
      <w:pPr>
        <w:spacing w:line="360" w:lineRule="auto"/>
        <w:ind w:firstLine="240" w:firstLineChars="100"/>
        <w:rPr>
          <w:rFonts w:hAnsi="宋体"/>
          <w:highlight w:val="none"/>
        </w:rPr>
      </w:pPr>
      <w:r>
        <w:rPr>
          <w:rFonts w:hint="eastAsia" w:hAnsi="宋体"/>
          <w:highlight w:val="none"/>
        </w:rPr>
        <w:t>《涂装作业安全规程 涂漆工艺安全及其通风》 GB</w:t>
      </w:r>
      <w:r>
        <w:rPr>
          <w:rFonts w:hAnsi="宋体"/>
          <w:highlight w:val="none"/>
        </w:rPr>
        <w:t>6514</w:t>
      </w:r>
      <w:r>
        <w:rPr>
          <w:rFonts w:hint="eastAsia" w:hAnsi="宋体"/>
          <w:highlight w:val="none"/>
        </w:rPr>
        <w:t xml:space="preserve"> </w:t>
      </w:r>
    </w:p>
    <w:p w14:paraId="0C6808E8">
      <w:pPr>
        <w:spacing w:line="360" w:lineRule="auto"/>
        <w:ind w:firstLine="240" w:firstLineChars="100"/>
        <w:rPr>
          <w:rFonts w:hAnsi="宋体"/>
          <w:highlight w:val="none"/>
        </w:rPr>
      </w:pPr>
      <w:r>
        <w:rPr>
          <w:rFonts w:hint="eastAsia" w:hAnsi="宋体"/>
          <w:highlight w:val="none"/>
        </w:rPr>
        <w:t xml:space="preserve">《涂装作业安全规程 安全管理通则》 </w:t>
      </w:r>
      <w:r>
        <w:rPr>
          <w:rFonts w:hAnsi="宋体"/>
          <w:highlight w:val="none"/>
        </w:rPr>
        <w:t xml:space="preserve"> GB7691</w:t>
      </w:r>
    </w:p>
    <w:p w14:paraId="64426639">
      <w:pPr>
        <w:spacing w:line="360" w:lineRule="auto"/>
        <w:ind w:firstLine="240" w:firstLineChars="100"/>
        <w:rPr>
          <w:rFonts w:hAnsi="宋体"/>
          <w:highlight w:val="none"/>
        </w:rPr>
      </w:pPr>
      <w:r>
        <w:rPr>
          <w:rFonts w:hint="eastAsia" w:hAnsi="宋体"/>
          <w:highlight w:val="none"/>
        </w:rPr>
        <w:t xml:space="preserve">《涂装前钢材表面锈蚀等级和除锈等级》 </w:t>
      </w:r>
      <w:r>
        <w:rPr>
          <w:rFonts w:hAnsi="宋体"/>
          <w:highlight w:val="none"/>
        </w:rPr>
        <w:t xml:space="preserve"> </w:t>
      </w:r>
      <w:r>
        <w:rPr>
          <w:rFonts w:hint="eastAsia" w:hAnsi="宋体"/>
          <w:highlight w:val="none"/>
        </w:rPr>
        <w:t>GB8923-</w:t>
      </w:r>
      <w:r>
        <w:rPr>
          <w:rFonts w:hAnsi="宋体"/>
          <w:highlight w:val="none"/>
        </w:rPr>
        <w:t>88</w:t>
      </w:r>
    </w:p>
    <w:p w14:paraId="3CD4B981">
      <w:pPr>
        <w:spacing w:line="360" w:lineRule="auto"/>
        <w:ind w:left="480" w:leftChars="100" w:hanging="240" w:hangingChars="100"/>
        <w:rPr>
          <w:rFonts w:hAnsi="宋体"/>
          <w:highlight w:val="none"/>
        </w:rPr>
      </w:pPr>
      <w:r>
        <w:rPr>
          <w:rFonts w:hint="eastAsia" w:hAnsi="宋体"/>
          <w:highlight w:val="none"/>
        </w:rPr>
        <w:t>《涂覆涂料前钢材表面处理 表面清洁度的目视评定 第1部分：未涂覆过的钢材表面和全面清除原有涂层后的钢材表面的锈蚀等级和处理等级》</w:t>
      </w:r>
      <w:r>
        <w:rPr>
          <w:rFonts w:hAnsi="宋体"/>
          <w:highlight w:val="none"/>
        </w:rPr>
        <w:t xml:space="preserve"> GB8923.1</w:t>
      </w:r>
    </w:p>
    <w:p w14:paraId="58118A41">
      <w:pPr>
        <w:spacing w:line="360" w:lineRule="auto"/>
        <w:ind w:firstLine="240" w:firstLineChars="100"/>
        <w:rPr>
          <w:rFonts w:hAnsi="宋体"/>
          <w:highlight w:val="none"/>
        </w:rPr>
      </w:pPr>
      <w:r>
        <w:rPr>
          <w:rFonts w:hint="eastAsia" w:hAnsi="宋体"/>
          <w:highlight w:val="none"/>
        </w:rPr>
        <w:t>《工业设备、管道防腐工程施工及验收规范》 HGJ229</w:t>
      </w:r>
      <w:r>
        <w:rPr>
          <w:rFonts w:hAnsi="宋体"/>
          <w:highlight w:val="none"/>
        </w:rPr>
        <w:t xml:space="preserve"> </w:t>
      </w:r>
    </w:p>
    <w:p w14:paraId="46E4498E">
      <w:pPr>
        <w:spacing w:line="360" w:lineRule="auto"/>
        <w:ind w:firstLine="240" w:firstLineChars="100"/>
        <w:rPr>
          <w:rFonts w:hAnsi="宋体"/>
          <w:highlight w:val="none"/>
        </w:rPr>
      </w:pPr>
      <w:r>
        <w:rPr>
          <w:rFonts w:hint="eastAsia" w:hAnsi="宋体"/>
          <w:highlight w:val="none"/>
        </w:rPr>
        <w:t xml:space="preserve">《漆膜附着力测定方法》 </w:t>
      </w:r>
      <w:r>
        <w:rPr>
          <w:rFonts w:hAnsi="宋体"/>
          <w:highlight w:val="none"/>
        </w:rPr>
        <w:t xml:space="preserve"> </w:t>
      </w:r>
      <w:r>
        <w:rPr>
          <w:rFonts w:hint="eastAsia" w:hAnsi="宋体"/>
          <w:highlight w:val="none"/>
        </w:rPr>
        <w:t>GB1720</w:t>
      </w:r>
      <w:r>
        <w:rPr>
          <w:rFonts w:hAnsi="宋体"/>
          <w:highlight w:val="none"/>
        </w:rPr>
        <w:t xml:space="preserve"> </w:t>
      </w:r>
    </w:p>
    <w:p w14:paraId="70DC8F2F">
      <w:pPr>
        <w:spacing w:line="360" w:lineRule="auto"/>
        <w:ind w:firstLine="240" w:firstLineChars="100"/>
        <w:rPr>
          <w:rFonts w:hAnsi="宋体"/>
          <w:highlight w:val="none"/>
        </w:rPr>
      </w:pPr>
      <w:r>
        <w:rPr>
          <w:rFonts w:hint="eastAsia" w:hAnsi="宋体"/>
          <w:highlight w:val="none"/>
        </w:rPr>
        <w:t xml:space="preserve">《石油化工设备及管道涂料防腐蚀技术规范》 </w:t>
      </w:r>
      <w:r>
        <w:rPr>
          <w:rFonts w:hAnsi="宋体"/>
          <w:highlight w:val="none"/>
        </w:rPr>
        <w:t xml:space="preserve"> </w:t>
      </w:r>
      <w:r>
        <w:rPr>
          <w:rFonts w:hint="eastAsia" w:hAnsi="宋体"/>
          <w:highlight w:val="none"/>
        </w:rPr>
        <w:t xml:space="preserve">SH3022 </w:t>
      </w:r>
    </w:p>
    <w:p w14:paraId="1EF10EEB">
      <w:pPr>
        <w:spacing w:line="360" w:lineRule="auto"/>
        <w:ind w:firstLine="240" w:firstLineChars="100"/>
        <w:rPr>
          <w:rFonts w:hAnsi="宋体"/>
          <w:highlight w:val="none"/>
        </w:rPr>
      </w:pPr>
      <w:r>
        <w:rPr>
          <w:rFonts w:hint="eastAsia" w:hAnsi="宋体"/>
          <w:highlight w:val="none"/>
        </w:rPr>
        <w:t xml:space="preserve">《火力发电厂保温油漆设计规程》 </w:t>
      </w:r>
      <w:r>
        <w:rPr>
          <w:rFonts w:hAnsi="宋体"/>
          <w:highlight w:val="none"/>
        </w:rPr>
        <w:t xml:space="preserve"> </w:t>
      </w:r>
      <w:r>
        <w:rPr>
          <w:rFonts w:hint="eastAsia" w:hAnsi="宋体"/>
          <w:highlight w:val="none"/>
        </w:rPr>
        <w:t>DL/T 5072</w:t>
      </w:r>
      <w:r>
        <w:rPr>
          <w:rFonts w:hAnsi="宋体"/>
          <w:highlight w:val="none"/>
        </w:rPr>
        <w:t xml:space="preserve"> </w:t>
      </w:r>
    </w:p>
    <w:p w14:paraId="0AA6F611">
      <w:pPr>
        <w:spacing w:line="360" w:lineRule="auto"/>
        <w:ind w:firstLine="240" w:firstLineChars="100"/>
        <w:rPr>
          <w:rFonts w:hAnsi="宋体"/>
          <w:highlight w:val="none"/>
        </w:rPr>
      </w:pPr>
      <w:r>
        <w:rPr>
          <w:rFonts w:hint="eastAsia" w:hAnsi="宋体"/>
          <w:highlight w:val="none"/>
        </w:rPr>
        <w:t xml:space="preserve">《建筑防腐蚀工程施工及验收规范》 </w:t>
      </w:r>
      <w:r>
        <w:rPr>
          <w:rFonts w:hAnsi="宋体"/>
          <w:highlight w:val="none"/>
        </w:rPr>
        <w:t xml:space="preserve"> </w:t>
      </w:r>
      <w:r>
        <w:rPr>
          <w:rFonts w:hint="eastAsia" w:hAnsi="宋体"/>
          <w:highlight w:val="none"/>
        </w:rPr>
        <w:t>GB5021</w:t>
      </w:r>
      <w:r>
        <w:rPr>
          <w:rFonts w:hAnsi="宋体"/>
          <w:highlight w:val="none"/>
        </w:rPr>
        <w:t xml:space="preserve"> </w:t>
      </w:r>
    </w:p>
    <w:p w14:paraId="1812B1E1">
      <w:pPr>
        <w:spacing w:line="360" w:lineRule="auto"/>
        <w:ind w:firstLine="240" w:firstLineChars="100"/>
        <w:rPr>
          <w:rFonts w:hAnsi="宋体"/>
          <w:highlight w:val="none"/>
        </w:rPr>
      </w:pPr>
      <w:r>
        <w:rPr>
          <w:rFonts w:hint="eastAsia" w:hAnsi="宋体"/>
          <w:highlight w:val="none"/>
        </w:rPr>
        <w:t xml:space="preserve">《涂装作业安全规程、涂装前处理工艺安全》 </w:t>
      </w:r>
      <w:r>
        <w:rPr>
          <w:rFonts w:hAnsi="宋体"/>
          <w:highlight w:val="none"/>
        </w:rPr>
        <w:t xml:space="preserve"> </w:t>
      </w:r>
      <w:r>
        <w:rPr>
          <w:rFonts w:hint="eastAsia" w:hAnsi="宋体"/>
          <w:highlight w:val="none"/>
        </w:rPr>
        <w:t xml:space="preserve">GB7692 </w:t>
      </w:r>
    </w:p>
    <w:p w14:paraId="167DA403">
      <w:pPr>
        <w:spacing w:line="360" w:lineRule="auto"/>
        <w:ind w:firstLine="240" w:firstLineChars="100"/>
        <w:rPr>
          <w:rFonts w:hAnsi="宋体"/>
          <w:highlight w:val="none"/>
        </w:rPr>
      </w:pPr>
      <w:r>
        <w:rPr>
          <w:rFonts w:hint="eastAsia" w:hAnsi="宋体"/>
          <w:highlight w:val="none"/>
        </w:rPr>
        <w:t xml:space="preserve">《涂装前钢材表面锈蚀等级和除锈等级》 </w:t>
      </w:r>
      <w:r>
        <w:rPr>
          <w:rFonts w:hAnsi="宋体"/>
          <w:highlight w:val="none"/>
        </w:rPr>
        <w:t xml:space="preserve"> </w:t>
      </w:r>
      <w:r>
        <w:rPr>
          <w:rFonts w:hint="eastAsia" w:hAnsi="宋体"/>
          <w:highlight w:val="none"/>
        </w:rPr>
        <w:t>GB8923</w:t>
      </w:r>
      <w:r>
        <w:rPr>
          <w:rFonts w:hAnsi="宋体"/>
          <w:highlight w:val="none"/>
        </w:rPr>
        <w:t xml:space="preserve"> </w:t>
      </w:r>
    </w:p>
    <w:p w14:paraId="603E1EA9">
      <w:pPr>
        <w:spacing w:line="360" w:lineRule="auto"/>
        <w:ind w:firstLine="240" w:firstLineChars="100"/>
        <w:rPr>
          <w:rFonts w:hAnsi="宋体"/>
          <w:highlight w:val="none"/>
        </w:rPr>
      </w:pPr>
      <w:r>
        <w:rPr>
          <w:rFonts w:hint="eastAsia" w:hAnsi="宋体"/>
          <w:highlight w:val="none"/>
        </w:rPr>
        <w:t xml:space="preserve">《建筑设计防火规范》 </w:t>
      </w:r>
      <w:r>
        <w:rPr>
          <w:rFonts w:hAnsi="宋体"/>
          <w:highlight w:val="none"/>
        </w:rPr>
        <w:t xml:space="preserve"> </w:t>
      </w:r>
      <w:r>
        <w:rPr>
          <w:rFonts w:hint="eastAsia" w:hAnsi="宋体"/>
          <w:highlight w:val="none"/>
        </w:rPr>
        <w:t xml:space="preserve">GB50016 </w:t>
      </w:r>
    </w:p>
    <w:p w14:paraId="4E2A91D4">
      <w:pPr>
        <w:spacing w:line="360" w:lineRule="auto"/>
        <w:ind w:firstLine="240" w:firstLineChars="100"/>
        <w:rPr>
          <w:rFonts w:hAnsi="宋体"/>
          <w:highlight w:val="none"/>
        </w:rPr>
      </w:pPr>
      <w:r>
        <w:rPr>
          <w:rFonts w:hint="eastAsia" w:hAnsi="宋体"/>
          <w:highlight w:val="none"/>
        </w:rPr>
        <w:t xml:space="preserve">《设备及管道绝热技术通则》 </w:t>
      </w:r>
      <w:r>
        <w:rPr>
          <w:rFonts w:hAnsi="宋体"/>
          <w:highlight w:val="none"/>
        </w:rPr>
        <w:t xml:space="preserve"> </w:t>
      </w:r>
      <w:r>
        <w:rPr>
          <w:rFonts w:hint="eastAsia" w:hAnsi="宋体"/>
          <w:highlight w:val="none"/>
        </w:rPr>
        <w:t>GB</w:t>
      </w:r>
      <w:r>
        <w:rPr>
          <w:rFonts w:hAnsi="宋体"/>
          <w:highlight w:val="none"/>
        </w:rPr>
        <w:t xml:space="preserve">/T 4272                 </w:t>
      </w:r>
    </w:p>
    <w:p w14:paraId="0BBADA6C">
      <w:pPr>
        <w:spacing w:line="360" w:lineRule="auto"/>
        <w:ind w:firstLine="240" w:firstLineChars="100"/>
        <w:rPr>
          <w:rFonts w:hAnsi="宋体"/>
          <w:highlight w:val="none"/>
        </w:rPr>
      </w:pPr>
      <w:r>
        <w:rPr>
          <w:rFonts w:hint="eastAsia" w:hAnsi="宋体"/>
          <w:highlight w:val="none"/>
        </w:rPr>
        <w:t xml:space="preserve">《设备及管道绝热设计导则》 </w:t>
      </w:r>
      <w:r>
        <w:rPr>
          <w:rFonts w:hAnsi="宋体"/>
          <w:highlight w:val="none"/>
        </w:rPr>
        <w:t xml:space="preserve"> </w:t>
      </w:r>
      <w:r>
        <w:rPr>
          <w:rFonts w:hint="eastAsia" w:hAnsi="宋体"/>
          <w:highlight w:val="none"/>
        </w:rPr>
        <w:t>GB</w:t>
      </w:r>
      <w:r>
        <w:rPr>
          <w:rFonts w:hAnsi="宋体"/>
          <w:highlight w:val="none"/>
        </w:rPr>
        <w:t>/T 8175</w:t>
      </w:r>
    </w:p>
    <w:p w14:paraId="5DD451B9">
      <w:pPr>
        <w:spacing w:line="360" w:lineRule="auto"/>
        <w:ind w:firstLine="240" w:firstLineChars="100"/>
        <w:rPr>
          <w:rFonts w:hAnsi="宋体"/>
          <w:highlight w:val="none"/>
        </w:rPr>
      </w:pPr>
      <w:r>
        <w:rPr>
          <w:rFonts w:hint="eastAsia" w:hAnsi="宋体"/>
          <w:highlight w:val="none"/>
        </w:rPr>
        <w:t xml:space="preserve">《工业设备及管道绝热工程设计规范》 </w:t>
      </w:r>
      <w:r>
        <w:rPr>
          <w:rFonts w:hAnsi="宋体"/>
          <w:highlight w:val="none"/>
        </w:rPr>
        <w:t xml:space="preserve"> </w:t>
      </w:r>
      <w:r>
        <w:rPr>
          <w:rFonts w:hint="eastAsia" w:hAnsi="宋体"/>
          <w:highlight w:val="none"/>
        </w:rPr>
        <w:t>GB</w:t>
      </w:r>
      <w:r>
        <w:rPr>
          <w:rFonts w:hAnsi="宋体"/>
          <w:highlight w:val="none"/>
        </w:rPr>
        <w:t xml:space="preserve"> 50274</w:t>
      </w:r>
    </w:p>
    <w:p w14:paraId="55536C42">
      <w:pPr>
        <w:spacing w:line="360" w:lineRule="auto"/>
        <w:ind w:firstLine="240" w:firstLineChars="100"/>
        <w:rPr>
          <w:rFonts w:hAnsi="宋体"/>
          <w:highlight w:val="none"/>
        </w:rPr>
      </w:pPr>
      <w:r>
        <w:rPr>
          <w:rFonts w:hint="eastAsia" w:hAnsi="宋体"/>
          <w:highlight w:val="none"/>
        </w:rPr>
        <w:t xml:space="preserve">《工业设备及管道绝热工程施工规范》 </w:t>
      </w:r>
      <w:r>
        <w:rPr>
          <w:rFonts w:hAnsi="宋体"/>
          <w:highlight w:val="none"/>
        </w:rPr>
        <w:t xml:space="preserve"> </w:t>
      </w:r>
      <w:r>
        <w:rPr>
          <w:rFonts w:hint="eastAsia" w:hAnsi="宋体"/>
          <w:highlight w:val="none"/>
        </w:rPr>
        <w:t xml:space="preserve">GB </w:t>
      </w:r>
      <w:r>
        <w:rPr>
          <w:rFonts w:hAnsi="宋体"/>
          <w:highlight w:val="none"/>
        </w:rPr>
        <w:t>50126</w:t>
      </w:r>
    </w:p>
    <w:p w14:paraId="5D5CAD68">
      <w:pPr>
        <w:spacing w:line="360" w:lineRule="auto"/>
        <w:ind w:firstLine="240" w:firstLineChars="100"/>
        <w:rPr>
          <w:rFonts w:hAnsi="宋体"/>
          <w:highlight w:val="none"/>
        </w:rPr>
      </w:pPr>
      <w:r>
        <w:rPr>
          <w:rFonts w:hint="eastAsia" w:hAnsi="宋体"/>
          <w:highlight w:val="none"/>
        </w:rPr>
        <w:t xml:space="preserve">《工业设备及管道绝热工程施工质量验收标准》 </w:t>
      </w:r>
      <w:r>
        <w:rPr>
          <w:rFonts w:hAnsi="宋体"/>
          <w:highlight w:val="none"/>
        </w:rPr>
        <w:t xml:space="preserve"> </w:t>
      </w:r>
      <w:r>
        <w:rPr>
          <w:rFonts w:hint="eastAsia" w:hAnsi="宋体"/>
          <w:highlight w:val="none"/>
        </w:rPr>
        <w:t>GB</w:t>
      </w:r>
      <w:r>
        <w:rPr>
          <w:rFonts w:hAnsi="宋体"/>
          <w:highlight w:val="none"/>
        </w:rPr>
        <w:t>/T 50185</w:t>
      </w:r>
    </w:p>
    <w:p w14:paraId="187F5621">
      <w:pPr>
        <w:spacing w:line="360" w:lineRule="auto"/>
        <w:ind w:firstLine="240" w:firstLineChars="100"/>
        <w:rPr>
          <w:rFonts w:hAnsi="宋体"/>
          <w:highlight w:val="none"/>
        </w:rPr>
      </w:pPr>
      <w:r>
        <w:rPr>
          <w:rFonts w:hint="eastAsia" w:hAnsi="宋体"/>
          <w:highlight w:val="none"/>
        </w:rPr>
        <w:t xml:space="preserve">《火力发电厂热力设备和管道保温材料技术条件与检验办法》 </w:t>
      </w:r>
      <w:r>
        <w:rPr>
          <w:rFonts w:hAnsi="宋体"/>
          <w:highlight w:val="none"/>
        </w:rPr>
        <w:t xml:space="preserve"> </w:t>
      </w:r>
      <w:r>
        <w:rPr>
          <w:rFonts w:hint="eastAsia" w:hAnsi="宋体"/>
          <w:highlight w:val="none"/>
        </w:rPr>
        <w:t>SDJ68</w:t>
      </w:r>
    </w:p>
    <w:p w14:paraId="2FE34908">
      <w:pPr>
        <w:spacing w:line="360" w:lineRule="auto"/>
        <w:ind w:firstLine="240" w:firstLineChars="100"/>
        <w:rPr>
          <w:rFonts w:hAnsi="宋体"/>
          <w:highlight w:val="none"/>
        </w:rPr>
      </w:pPr>
      <w:r>
        <w:rPr>
          <w:rFonts w:hint="eastAsia" w:hAnsi="宋体"/>
          <w:highlight w:val="none"/>
        </w:rPr>
        <w:t xml:space="preserve">《石油化工设备和管道隔热技术规范》 </w:t>
      </w:r>
      <w:r>
        <w:rPr>
          <w:rFonts w:hAnsi="宋体"/>
          <w:highlight w:val="none"/>
        </w:rPr>
        <w:t xml:space="preserve"> </w:t>
      </w:r>
      <w:r>
        <w:rPr>
          <w:rFonts w:hint="eastAsia" w:hAnsi="宋体"/>
          <w:highlight w:val="none"/>
        </w:rPr>
        <w:t>SH3010</w:t>
      </w:r>
    </w:p>
    <w:p w14:paraId="09325FD3">
      <w:pPr>
        <w:spacing w:line="360" w:lineRule="auto"/>
        <w:ind w:firstLine="240" w:firstLineChars="100"/>
        <w:rPr>
          <w:rFonts w:hAnsi="宋体"/>
          <w:highlight w:val="none"/>
        </w:rPr>
      </w:pPr>
      <w:r>
        <w:rPr>
          <w:rFonts w:hint="eastAsia" w:hAnsi="宋体"/>
          <w:highlight w:val="none"/>
        </w:rPr>
        <w:t xml:space="preserve">《设备及管道保温效果的测试与评价》 </w:t>
      </w:r>
      <w:r>
        <w:rPr>
          <w:rFonts w:hAnsi="宋体"/>
          <w:highlight w:val="none"/>
        </w:rPr>
        <w:t xml:space="preserve"> </w:t>
      </w:r>
      <w:r>
        <w:rPr>
          <w:rFonts w:hint="eastAsia" w:hAnsi="宋体"/>
          <w:highlight w:val="none"/>
        </w:rPr>
        <w:t>GB 8174</w:t>
      </w:r>
    </w:p>
    <w:p w14:paraId="5B0092C8">
      <w:pPr>
        <w:spacing w:line="360" w:lineRule="auto"/>
        <w:ind w:firstLine="240" w:firstLineChars="100"/>
        <w:rPr>
          <w:rFonts w:hAnsi="宋体"/>
          <w:highlight w:val="none"/>
        </w:rPr>
      </w:pPr>
      <w:r>
        <w:rPr>
          <w:rFonts w:hint="eastAsia" w:hAnsi="宋体"/>
          <w:highlight w:val="none"/>
        </w:rPr>
        <w:t xml:space="preserve">《工业设备及管道绝热工程设计规范》 </w:t>
      </w:r>
      <w:r>
        <w:rPr>
          <w:rFonts w:hAnsi="宋体"/>
          <w:highlight w:val="none"/>
        </w:rPr>
        <w:t xml:space="preserve"> </w:t>
      </w:r>
      <w:r>
        <w:rPr>
          <w:rFonts w:hint="eastAsia" w:hAnsi="宋体"/>
          <w:highlight w:val="none"/>
        </w:rPr>
        <w:t xml:space="preserve">GB5026  </w:t>
      </w:r>
    </w:p>
    <w:p w14:paraId="35D5CAA6">
      <w:pPr>
        <w:spacing w:line="360" w:lineRule="auto"/>
        <w:ind w:firstLine="240" w:firstLineChars="100"/>
        <w:rPr>
          <w:rFonts w:hAnsi="宋体"/>
          <w:highlight w:val="none"/>
        </w:rPr>
      </w:pPr>
      <w:r>
        <w:rPr>
          <w:rFonts w:hint="eastAsia" w:hAnsi="宋体"/>
          <w:highlight w:val="none"/>
        </w:rPr>
        <w:t xml:space="preserve">《建筑工程施工质量验收统一标准》 </w:t>
      </w:r>
      <w:r>
        <w:rPr>
          <w:rFonts w:hAnsi="宋体"/>
          <w:highlight w:val="none"/>
        </w:rPr>
        <w:t xml:space="preserve"> </w:t>
      </w:r>
      <w:r>
        <w:rPr>
          <w:rFonts w:hint="eastAsia" w:hAnsi="宋体"/>
          <w:highlight w:val="none"/>
        </w:rPr>
        <w:t>GB 50300</w:t>
      </w:r>
      <w:r>
        <w:rPr>
          <w:rFonts w:hAnsi="宋体"/>
          <w:highlight w:val="none"/>
        </w:rPr>
        <w:t xml:space="preserve"> </w:t>
      </w:r>
    </w:p>
    <w:p w14:paraId="472EC032">
      <w:pPr>
        <w:spacing w:line="360" w:lineRule="auto"/>
        <w:ind w:firstLine="240" w:firstLineChars="100"/>
        <w:rPr>
          <w:rFonts w:hAnsi="宋体"/>
          <w:highlight w:val="none"/>
        </w:rPr>
      </w:pPr>
      <w:r>
        <w:rPr>
          <w:rFonts w:hint="eastAsia" w:hAnsi="宋体"/>
          <w:highlight w:val="none"/>
        </w:rPr>
        <w:t>《建筑施工安全技术统一规范》  GB 50870</w:t>
      </w:r>
      <w:r>
        <w:rPr>
          <w:rFonts w:hAnsi="宋体"/>
          <w:highlight w:val="none"/>
        </w:rPr>
        <w:t xml:space="preserve"> </w:t>
      </w:r>
    </w:p>
    <w:p w14:paraId="60D60D58">
      <w:pPr>
        <w:spacing w:line="360" w:lineRule="auto"/>
        <w:ind w:firstLine="240" w:firstLineChars="100"/>
        <w:rPr>
          <w:rFonts w:hAnsi="宋体"/>
          <w:highlight w:val="none"/>
        </w:rPr>
      </w:pPr>
      <w:r>
        <w:rPr>
          <w:rFonts w:hint="eastAsia" w:hAnsi="宋体"/>
          <w:highlight w:val="none"/>
        </w:rPr>
        <w:t xml:space="preserve">《建筑装饰装修工程质量验收规范》  GB 50210 </w:t>
      </w:r>
    </w:p>
    <w:p w14:paraId="70E4E123">
      <w:pPr>
        <w:spacing w:line="360" w:lineRule="auto"/>
        <w:ind w:firstLine="240" w:firstLineChars="100"/>
        <w:rPr>
          <w:rFonts w:hAnsi="宋体"/>
          <w:highlight w:val="none"/>
        </w:rPr>
      </w:pPr>
      <w:r>
        <w:rPr>
          <w:rFonts w:hint="eastAsia" w:hAnsi="宋体"/>
          <w:highlight w:val="none"/>
        </w:rPr>
        <w:t xml:space="preserve">《建设工程项目管理规范》  GB/T 50326 </w:t>
      </w:r>
    </w:p>
    <w:p w14:paraId="3B19F783">
      <w:pPr>
        <w:spacing w:line="360" w:lineRule="auto"/>
        <w:ind w:firstLine="240" w:firstLineChars="100"/>
        <w:rPr>
          <w:rFonts w:hAnsi="宋体"/>
          <w:highlight w:val="none"/>
        </w:rPr>
      </w:pPr>
      <w:r>
        <w:rPr>
          <w:rFonts w:hint="eastAsia" w:hAnsi="宋体"/>
          <w:highlight w:val="none"/>
        </w:rPr>
        <w:t>《建筑施工扣件式脚手架安全技术规范》  JGJ130</w:t>
      </w:r>
      <w:r>
        <w:rPr>
          <w:rFonts w:hAnsi="宋体"/>
          <w:highlight w:val="none"/>
        </w:rPr>
        <w:t xml:space="preserve"> </w:t>
      </w:r>
    </w:p>
    <w:p w14:paraId="4869D8C4">
      <w:pPr>
        <w:spacing w:line="360" w:lineRule="auto"/>
        <w:ind w:firstLine="240" w:firstLineChars="100"/>
        <w:rPr>
          <w:rFonts w:hAnsi="宋体"/>
          <w:highlight w:val="none"/>
        </w:rPr>
      </w:pPr>
      <w:r>
        <w:rPr>
          <w:rFonts w:hint="eastAsia" w:hAnsi="宋体"/>
          <w:highlight w:val="none"/>
        </w:rPr>
        <w:t>《锌基覆盖层钢板及异种金属覆盖层钢板》   GB/T12755</w:t>
      </w:r>
      <w:r>
        <w:rPr>
          <w:rFonts w:hAnsi="宋体"/>
          <w:highlight w:val="none"/>
        </w:rPr>
        <w:t xml:space="preserve"> </w:t>
      </w:r>
    </w:p>
    <w:p w14:paraId="08B916FD">
      <w:pPr>
        <w:spacing w:line="360" w:lineRule="auto"/>
        <w:ind w:firstLine="240" w:firstLineChars="100"/>
        <w:rPr>
          <w:rFonts w:hAnsi="宋体"/>
          <w:highlight w:val="none"/>
        </w:rPr>
      </w:pPr>
      <w:r>
        <w:rPr>
          <w:rFonts w:hint="eastAsia" w:hAnsi="宋体"/>
          <w:highlight w:val="none"/>
        </w:rPr>
        <w:t>《建筑施工高处作业安全技术规范》   JGJ80</w:t>
      </w:r>
    </w:p>
    <w:p w14:paraId="7D527E02">
      <w:pPr>
        <w:spacing w:line="360" w:lineRule="auto"/>
        <w:ind w:firstLine="240" w:firstLineChars="100"/>
        <w:rPr>
          <w:rFonts w:hAnsi="宋体"/>
          <w:highlight w:val="none"/>
        </w:rPr>
      </w:pPr>
      <w:r>
        <w:rPr>
          <w:rFonts w:hint="eastAsia" w:hAnsi="宋体"/>
          <w:highlight w:val="none"/>
        </w:rPr>
        <w:t xml:space="preserve">《钢结构工程施工质量验收规范》  </w:t>
      </w:r>
      <w:r>
        <w:rPr>
          <w:rFonts w:hAnsi="宋体"/>
          <w:highlight w:val="none"/>
        </w:rPr>
        <w:t xml:space="preserve"> </w:t>
      </w:r>
      <w:r>
        <w:rPr>
          <w:rFonts w:hint="eastAsia" w:hAnsi="宋体"/>
          <w:highlight w:val="none"/>
        </w:rPr>
        <w:t>GB50205</w:t>
      </w:r>
      <w:r>
        <w:rPr>
          <w:rFonts w:hAnsi="宋体"/>
          <w:highlight w:val="none"/>
        </w:rPr>
        <w:t xml:space="preserve"> </w:t>
      </w:r>
    </w:p>
    <w:p w14:paraId="260FAAB0">
      <w:pPr>
        <w:spacing w:line="360" w:lineRule="auto"/>
        <w:ind w:left="0" w:leftChars="0" w:firstLine="0" w:firstLineChars="0"/>
        <w:rPr>
          <w:rFonts w:hAnsi="宋体"/>
          <w:highlight w:val="none"/>
        </w:rPr>
      </w:pPr>
      <w:r>
        <w:rPr>
          <w:rFonts w:hAnsi="宋体"/>
          <w:highlight w:val="none"/>
        </w:rPr>
        <w:t xml:space="preserve">  《石油化工设备和管道涂料防腐蚀设计</w:t>
      </w:r>
      <w:r>
        <w:rPr>
          <w:rFonts w:hint="eastAsia" w:hAnsi="宋体"/>
          <w:highlight w:val="none"/>
        </w:rPr>
        <w:t>标准</w:t>
      </w:r>
      <w:r>
        <w:rPr>
          <w:rFonts w:hint="default" w:hAnsi="宋体"/>
          <w:highlight w:val="none"/>
        </w:rPr>
        <w:t xml:space="preserve">》  </w:t>
      </w:r>
      <w:r>
        <w:rPr>
          <w:rFonts w:hAnsi="宋体"/>
          <w:highlight w:val="none"/>
        </w:rPr>
        <w:t xml:space="preserve">SH/T 3022 </w:t>
      </w:r>
    </w:p>
    <w:p w14:paraId="58C02F9A">
      <w:pPr>
        <w:spacing w:line="360" w:lineRule="auto"/>
        <w:ind w:left="0" w:leftChars="0" w:firstLine="0" w:firstLineChars="0"/>
        <w:rPr>
          <w:rFonts w:hAnsi="宋体"/>
          <w:highlight w:val="none"/>
        </w:rPr>
      </w:pPr>
      <w:r>
        <w:rPr>
          <w:rFonts w:hAnsi="宋体"/>
          <w:highlight w:val="none"/>
        </w:rPr>
        <w:t xml:space="preserve">  《富锌底漆技术规范》   HG/T 3668</w:t>
      </w:r>
    </w:p>
    <w:p w14:paraId="4252D71C">
      <w:pPr>
        <w:spacing w:line="360" w:lineRule="auto"/>
        <w:ind w:left="0" w:leftChars="0" w:firstLine="0" w:firstLineChars="0"/>
        <w:rPr>
          <w:rFonts w:hAnsi="宋体"/>
          <w:highlight w:val="none"/>
        </w:rPr>
      </w:pPr>
      <w:r>
        <w:rPr>
          <w:rFonts w:hAnsi="宋体"/>
          <w:highlight w:val="none"/>
        </w:rPr>
        <w:t xml:space="preserve">  《溶剂型聚氨酯涂料</w:t>
      </w:r>
      <w:r>
        <w:rPr>
          <w:rFonts w:hint="eastAsia" w:hAnsi="宋体"/>
          <w:highlight w:val="none"/>
        </w:rPr>
        <w:t>（双组分）</w:t>
      </w:r>
      <w:r>
        <w:rPr>
          <w:rFonts w:hint="default" w:hAnsi="宋体"/>
          <w:highlight w:val="none"/>
        </w:rPr>
        <w:t xml:space="preserve">技术规范》  </w:t>
      </w:r>
      <w:r>
        <w:rPr>
          <w:rFonts w:hAnsi="宋体"/>
          <w:highlight w:val="none"/>
        </w:rPr>
        <w:t xml:space="preserve">HG/T 2454  </w:t>
      </w:r>
    </w:p>
    <w:p w14:paraId="76154272">
      <w:pPr>
        <w:spacing w:line="360" w:lineRule="auto"/>
        <w:ind w:firstLine="480" w:firstLineChars="200"/>
        <w:jc w:val="left"/>
        <w:rPr>
          <w:rFonts w:hAnsi="宋体"/>
          <w:highlight w:val="none"/>
        </w:rPr>
      </w:pPr>
      <w:r>
        <w:rPr>
          <w:rFonts w:hint="eastAsia" w:hAnsi="宋体"/>
          <w:highlight w:val="none"/>
        </w:rPr>
        <w:t>执行的标准规范包括但不限于上述内容，如果采用其它标准，其要求不得低于上述标准。上述标准如有新版本，以最新的版本为准。以上标准和规范均应采用最新版本，如上述标准和规范之间，或它们与本技术规范书之间有重大原则性冲突时，投标方应及时用书面形式向招标方提出解决方法的建议，并由双方</w:t>
      </w:r>
      <w:r>
        <w:rPr>
          <w:rFonts w:hint="eastAsia" w:hAnsi="宋体"/>
          <w:highlight w:val="none"/>
          <w:lang w:eastAsia="zh-CN"/>
        </w:rPr>
        <w:t>协商</w:t>
      </w:r>
      <w:r>
        <w:rPr>
          <w:rFonts w:hint="eastAsia" w:hAnsi="宋体"/>
          <w:highlight w:val="none"/>
        </w:rPr>
        <w:t>处理。从合同签订之日起至投标方开始施工之前的这段时间内，如果因规范、标准发生修改或变化，招标方有权提出补充要求，投标方应满足并遵守这些要求。</w:t>
      </w:r>
    </w:p>
    <w:p w14:paraId="2AE6051F">
      <w:pPr>
        <w:pStyle w:val="3"/>
        <w:bidi w:val="0"/>
        <w:rPr>
          <w:highlight w:val="none"/>
        </w:rPr>
      </w:pPr>
      <w:bookmarkStart w:id="9" w:name="_Toc22481"/>
      <w:r>
        <w:rPr>
          <w:rFonts w:hint="eastAsia"/>
          <w:highlight w:val="none"/>
        </w:rPr>
        <w:t>4 招标范围及工期</w:t>
      </w:r>
      <w:bookmarkEnd w:id="9"/>
    </w:p>
    <w:p w14:paraId="1FEF9A3C">
      <w:pPr>
        <w:adjustRightInd w:val="0"/>
        <w:snapToGrid w:val="0"/>
        <w:spacing w:line="360" w:lineRule="auto"/>
        <w:rPr>
          <w:rFonts w:hint="eastAsia" w:hAnsi="宋体"/>
          <w:highlight w:val="none"/>
          <w:lang w:val="en-US" w:eastAsia="zh-CN"/>
        </w:rPr>
      </w:pPr>
      <w:r>
        <w:rPr>
          <w:rFonts w:hint="eastAsia" w:hAnsi="宋体"/>
          <w:highlight w:val="none"/>
        </w:rPr>
        <w:t>4.</w:t>
      </w:r>
      <w:r>
        <w:rPr>
          <w:rFonts w:hAnsi="宋体"/>
          <w:highlight w:val="none"/>
        </w:rPr>
        <w:t>1</w:t>
      </w:r>
      <w:r>
        <w:rPr>
          <w:rFonts w:hint="eastAsia" w:hAnsi="宋体"/>
          <w:highlight w:val="none"/>
          <w:lang w:val="en-US" w:eastAsia="zh-CN"/>
        </w:rPr>
        <w:t xml:space="preserve"> </w:t>
      </w:r>
      <w:r>
        <w:rPr>
          <w:rFonts w:hint="eastAsia" w:hAnsi="宋体"/>
          <w:highlight w:val="none"/>
        </w:rPr>
        <w:t>化工</w:t>
      </w:r>
      <w:r>
        <w:rPr>
          <w:rFonts w:hint="eastAsia" w:hAnsi="宋体"/>
          <w:highlight w:val="none"/>
          <w:lang w:val="en-US" w:eastAsia="zh-CN"/>
        </w:rPr>
        <w:t>装置</w:t>
      </w:r>
      <w:r>
        <w:rPr>
          <w:rFonts w:hint="eastAsia" w:hAnsi="宋体"/>
          <w:highlight w:val="none"/>
        </w:rPr>
        <w:t>部分</w:t>
      </w:r>
      <w:r>
        <w:rPr>
          <w:rFonts w:hint="eastAsia" w:hAnsi="宋体"/>
          <w:highlight w:val="none"/>
          <w:lang w:val="en-US" w:eastAsia="zh-CN"/>
        </w:rPr>
        <w:t>设备设施钢结构防腐</w:t>
      </w:r>
    </w:p>
    <w:p w14:paraId="188FF178">
      <w:pPr>
        <w:adjustRightInd w:val="0"/>
        <w:snapToGrid w:val="0"/>
        <w:spacing w:line="360" w:lineRule="auto"/>
        <w:rPr>
          <w:rFonts w:hAnsi="宋体"/>
          <w:highlight w:val="none"/>
        </w:rPr>
      </w:pPr>
      <w:r>
        <w:rPr>
          <w:rFonts w:hint="eastAsia" w:hAnsi="宋体"/>
          <w:highlight w:val="none"/>
          <w:lang w:val="en-US" w:eastAsia="zh-CN"/>
        </w:rPr>
        <w:t>4.1.1 负责招标空分冷箱、液氮储槽、热电脱硫1#、2#、3#、4#吸收塔、循环槽、加氨槽、管廊桥架、振动流化床、旋流器、除尘器、渣仓、灰库、烟囱等区域设备设施的爬梯平台等区域设备设施的爬梯平台</w:t>
      </w:r>
      <w:r>
        <w:rPr>
          <w:rFonts w:hint="eastAsia" w:hAnsi="宋体"/>
          <w:highlight w:val="none"/>
        </w:rPr>
        <w:t>钢结构除锈、防腐工作。</w:t>
      </w:r>
    </w:p>
    <w:p w14:paraId="3D8A7F39">
      <w:pPr>
        <w:adjustRightInd w:val="0"/>
        <w:snapToGrid w:val="0"/>
        <w:spacing w:line="360" w:lineRule="auto"/>
        <w:rPr>
          <w:rFonts w:hint="eastAsia" w:hAnsi="宋体"/>
          <w:highlight w:val="none"/>
          <w:lang w:val="en-US" w:eastAsia="zh-CN"/>
        </w:rPr>
      </w:pPr>
      <w:r>
        <w:rPr>
          <w:rFonts w:hint="eastAsia" w:hAnsi="宋体"/>
          <w:highlight w:val="none"/>
          <w:lang w:val="en-US" w:eastAsia="zh-CN"/>
        </w:rPr>
        <w:t>4.1.2 防爆装置区采用水喷砂除锈，面积约12200㎡，除锈等级达到Sa2级标准；</w:t>
      </w:r>
    </w:p>
    <w:p w14:paraId="5BC0934F">
      <w:pPr>
        <w:adjustRightInd w:val="0"/>
        <w:snapToGrid w:val="0"/>
        <w:spacing w:line="360" w:lineRule="auto"/>
        <w:rPr>
          <w:rFonts w:hint="default" w:hAnsi="宋体"/>
          <w:highlight w:val="none"/>
          <w:lang w:val="en-US" w:eastAsia="zh-CN"/>
        </w:rPr>
      </w:pPr>
      <w:r>
        <w:rPr>
          <w:rFonts w:hint="eastAsia" w:hAnsi="宋体"/>
          <w:highlight w:val="none"/>
          <w:lang w:val="en-US" w:eastAsia="zh-CN"/>
        </w:rPr>
        <w:t>非防爆装置区采用手工机械除锈，面积约64900㎡，除锈等级达到St3级标准；</w:t>
      </w:r>
    </w:p>
    <w:p w14:paraId="7A222018">
      <w:pPr>
        <w:adjustRightInd w:val="0"/>
        <w:snapToGrid w:val="0"/>
        <w:spacing w:line="360" w:lineRule="auto"/>
        <w:rPr>
          <w:rFonts w:hint="eastAsia" w:hAnsi="宋体"/>
          <w:highlight w:val="none"/>
          <w:lang w:val="en-US" w:eastAsia="zh-CN"/>
        </w:rPr>
      </w:pPr>
      <w:r>
        <w:rPr>
          <w:rFonts w:hint="eastAsia" w:hAnsi="宋体"/>
          <w:highlight w:val="none"/>
          <w:lang w:val="en-US" w:eastAsia="zh-CN"/>
        </w:rPr>
        <w:t>4.1.3 底漆采用环氧富锌底漆涂刷两道（总涂层干漆膜厚度不小于100μm）；中间漆采用环氧云铁中间漆涂刷一道（总涂层干漆膜厚度不小于40μm）；面漆采用聚丙烯聚氨酯（空分主冷箱：环氧厚浆型面漆）涂刷两道（总涂层干漆膜厚度不小于90μm）。涂刷总面积约77100㎡。</w:t>
      </w:r>
    </w:p>
    <w:p w14:paraId="4BA4039B">
      <w:pPr>
        <w:adjustRightInd w:val="0"/>
        <w:snapToGrid w:val="0"/>
        <w:spacing w:line="360" w:lineRule="auto"/>
        <w:rPr>
          <w:rFonts w:hAnsi="宋体"/>
          <w:highlight w:val="none"/>
        </w:rPr>
      </w:pPr>
      <w:r>
        <w:rPr>
          <w:rFonts w:hint="eastAsia" w:hAnsi="宋体"/>
          <w:highlight w:val="none"/>
        </w:rPr>
        <w:t>4</w:t>
      </w:r>
      <w:r>
        <w:rPr>
          <w:rFonts w:hAnsi="宋体"/>
          <w:highlight w:val="none"/>
        </w:rPr>
        <w:t>.2</w:t>
      </w:r>
      <w:r>
        <w:rPr>
          <w:rFonts w:hint="eastAsia" w:hAnsi="宋体"/>
          <w:highlight w:val="none"/>
          <w:lang w:val="en-US" w:eastAsia="zh-CN"/>
        </w:rPr>
        <w:t xml:space="preserve"> </w:t>
      </w:r>
      <w:r>
        <w:rPr>
          <w:rFonts w:hint="eastAsia" w:hAnsi="宋体"/>
          <w:highlight w:val="none"/>
        </w:rPr>
        <w:t>化工</w:t>
      </w:r>
      <w:r>
        <w:rPr>
          <w:rFonts w:hint="eastAsia" w:hAnsi="宋体"/>
          <w:highlight w:val="none"/>
          <w:lang w:val="en-US" w:eastAsia="zh-CN"/>
        </w:rPr>
        <w:t>装置</w:t>
      </w:r>
      <w:r>
        <w:rPr>
          <w:rFonts w:hint="eastAsia" w:hAnsi="宋体"/>
          <w:highlight w:val="none"/>
        </w:rPr>
        <w:t>部分保温整治项目</w:t>
      </w:r>
    </w:p>
    <w:p w14:paraId="700EDF45">
      <w:pPr>
        <w:adjustRightInd w:val="0"/>
        <w:snapToGrid w:val="0"/>
        <w:spacing w:line="360" w:lineRule="auto"/>
        <w:rPr>
          <w:rFonts w:hAnsi="宋体"/>
          <w:highlight w:val="none"/>
        </w:rPr>
      </w:pPr>
      <w:r>
        <w:rPr>
          <w:rFonts w:hint="eastAsia" w:hAnsi="宋体"/>
          <w:highlight w:val="none"/>
        </w:rPr>
        <w:t>4.</w:t>
      </w:r>
      <w:r>
        <w:rPr>
          <w:rFonts w:hAnsi="宋体"/>
          <w:highlight w:val="none"/>
        </w:rPr>
        <w:t>2</w:t>
      </w:r>
      <w:r>
        <w:rPr>
          <w:rFonts w:hint="eastAsia" w:hAnsi="宋体"/>
          <w:highlight w:val="none"/>
        </w:rPr>
        <w:t>.1</w:t>
      </w:r>
      <w:r>
        <w:rPr>
          <w:rFonts w:hint="eastAsia" w:hAnsi="宋体"/>
          <w:highlight w:val="none"/>
          <w:lang w:val="en-US" w:eastAsia="zh-CN"/>
        </w:rPr>
        <w:t xml:space="preserve"> </w:t>
      </w:r>
      <w:r>
        <w:rPr>
          <w:rFonts w:hint="eastAsia" w:ascii="Times New Roman" w:hAnsi="宋体" w:eastAsia="宋体" w:cs="Times New Roman"/>
          <w:highlight w:val="none"/>
        </w:rPr>
        <w:t>负责招标方</w:t>
      </w:r>
      <w:r>
        <w:rPr>
          <w:rFonts w:hint="eastAsia" w:ascii="Times New Roman" w:hAnsi="宋体" w:eastAsia="宋体" w:cs="Times New Roman"/>
          <w:highlight w:val="none"/>
          <w:lang w:val="en-US" w:eastAsia="zh-CN"/>
        </w:rPr>
        <w:t>热电脱硫1-6#硫铵排出泵管线、气化A轴剩余弯头和膨胀弯、</w:t>
      </w:r>
      <w:r>
        <w:rPr>
          <w:rFonts w:hint="eastAsia" w:ascii="Times New Roman" w:hAnsi="宋体" w:eastAsia="宋体" w:cs="Times New Roman"/>
          <w:highlight w:val="none"/>
        </w:rPr>
        <w:t>气化</w:t>
      </w:r>
      <w:r>
        <w:rPr>
          <w:rFonts w:hint="eastAsia" w:ascii="Times New Roman" w:hAnsi="宋体" w:eastAsia="宋体" w:cs="Times New Roman"/>
          <w:highlight w:val="none"/>
          <w:lang w:val="en-US" w:eastAsia="zh-CN"/>
        </w:rPr>
        <w:t>C轴、E轴、B轴A/B段</w:t>
      </w:r>
      <w:r>
        <w:rPr>
          <w:rFonts w:hint="eastAsia" w:ascii="Times New Roman" w:hAnsi="宋体" w:eastAsia="宋体" w:cs="Times New Roman"/>
          <w:highlight w:val="none"/>
        </w:rPr>
        <w:t>、</w:t>
      </w:r>
      <w:r>
        <w:rPr>
          <w:rFonts w:hint="eastAsia" w:ascii="Times New Roman" w:hAnsi="宋体" w:eastAsia="宋体" w:cs="Times New Roman"/>
          <w:highlight w:val="none"/>
          <w:lang w:val="en-US" w:eastAsia="zh-CN"/>
        </w:rPr>
        <w:t>310管廊，水处理脱盐水南侧管廊、</w:t>
      </w:r>
      <w:r>
        <w:rPr>
          <w:rFonts w:hint="eastAsia" w:ascii="Times New Roman" w:hAnsi="宋体" w:eastAsia="宋体" w:cs="Times New Roman"/>
          <w:highlight w:val="none"/>
        </w:rPr>
        <w:t>回收</w:t>
      </w:r>
      <w:r>
        <w:rPr>
          <w:rFonts w:hint="eastAsia" w:ascii="Times New Roman" w:hAnsi="宋体" w:eastAsia="宋体" w:cs="Times New Roman"/>
          <w:highlight w:val="none"/>
          <w:lang w:val="en-US" w:eastAsia="zh-CN"/>
        </w:rPr>
        <w:t>装置煤气水分离310</w:t>
      </w:r>
      <w:r>
        <w:rPr>
          <w:rFonts w:hint="eastAsia" w:ascii="Times New Roman" w:hAnsi="宋体" w:eastAsia="宋体" w:cs="Times New Roman"/>
          <w:highlight w:val="none"/>
        </w:rPr>
        <w:t>管廊</w:t>
      </w:r>
      <w:r>
        <w:rPr>
          <w:rFonts w:hint="eastAsia" w:ascii="Times New Roman" w:hAnsi="宋体" w:eastAsia="宋体" w:cs="Times New Roman"/>
          <w:highlight w:val="none"/>
          <w:lang w:eastAsia="zh-CN"/>
        </w:rPr>
        <w:t>、</w:t>
      </w:r>
      <w:r>
        <w:rPr>
          <w:rFonts w:hint="eastAsia" w:ascii="Times New Roman" w:hAnsi="宋体" w:eastAsia="宋体" w:cs="Times New Roman"/>
          <w:highlight w:val="none"/>
          <w:lang w:val="en-US" w:eastAsia="zh-CN"/>
        </w:rPr>
        <w:t>C轴、D轴、E轴管廊</w:t>
      </w:r>
      <w:r>
        <w:rPr>
          <w:rFonts w:hint="eastAsia" w:ascii="Times New Roman" w:hAnsi="宋体" w:eastAsia="宋体" w:cs="Times New Roman"/>
          <w:highlight w:val="none"/>
        </w:rPr>
        <w:t>保温</w:t>
      </w:r>
      <w:r>
        <w:rPr>
          <w:rFonts w:hAnsi="宋体"/>
          <w:highlight w:val="none"/>
        </w:rPr>
        <w:t>等区域</w:t>
      </w:r>
      <w:r>
        <w:rPr>
          <w:rFonts w:hint="eastAsia" w:hAnsi="宋体"/>
          <w:highlight w:val="none"/>
        </w:rPr>
        <w:t>保温</w:t>
      </w:r>
      <w:r>
        <w:rPr>
          <w:rFonts w:hAnsi="宋体"/>
          <w:highlight w:val="none"/>
        </w:rPr>
        <w:t>的拆除</w:t>
      </w:r>
      <w:r>
        <w:rPr>
          <w:rFonts w:hint="eastAsia" w:hAnsi="宋体"/>
          <w:highlight w:val="none"/>
        </w:rPr>
        <w:t>及</w:t>
      </w:r>
      <w:r>
        <w:rPr>
          <w:rFonts w:hAnsi="宋体"/>
          <w:highlight w:val="none"/>
        </w:rPr>
        <w:t>更换工作</w:t>
      </w:r>
      <w:r>
        <w:rPr>
          <w:rFonts w:hint="eastAsia" w:hAnsi="宋体"/>
          <w:highlight w:val="none"/>
        </w:rPr>
        <w:t>，</w:t>
      </w:r>
      <w:r>
        <w:rPr>
          <w:rFonts w:hint="eastAsia" w:ascii="Times New Roman" w:hAnsi="宋体" w:eastAsia="宋体" w:cs="Times New Roman"/>
          <w:highlight w:val="none"/>
          <w:lang w:val="en-US" w:eastAsia="zh-CN"/>
        </w:rPr>
        <w:t>热电1-4#除尘器出入口烟道、热电脱硫吸收塔浓缩段以下及原烟道外墙面</w:t>
      </w:r>
      <w:r>
        <w:rPr>
          <w:rFonts w:hint="eastAsia" w:hAnsi="宋体"/>
          <w:highlight w:val="none"/>
        </w:rPr>
        <w:t>铝镁锰合金压型板拆除及更换。</w:t>
      </w:r>
    </w:p>
    <w:p w14:paraId="35BE755B">
      <w:pPr>
        <w:adjustRightInd w:val="0"/>
        <w:snapToGrid w:val="0"/>
        <w:spacing w:line="360" w:lineRule="auto"/>
        <w:rPr>
          <w:rFonts w:hint="eastAsia" w:ascii="Times New Roman" w:hAnsi="宋体" w:eastAsia="宋体" w:cs="Times New Roman"/>
          <w:highlight w:val="none"/>
        </w:rPr>
      </w:pPr>
      <w:r>
        <w:rPr>
          <w:rFonts w:hint="eastAsia" w:hAnsi="宋体"/>
          <w:highlight w:val="none"/>
        </w:rPr>
        <w:t>4.</w:t>
      </w:r>
      <w:r>
        <w:rPr>
          <w:rFonts w:hAnsi="宋体"/>
          <w:highlight w:val="none"/>
        </w:rPr>
        <w:t>2</w:t>
      </w:r>
      <w:r>
        <w:rPr>
          <w:rFonts w:hint="eastAsia" w:hAnsi="宋体"/>
          <w:highlight w:val="none"/>
        </w:rPr>
        <w:t>.2</w:t>
      </w:r>
      <w:r>
        <w:rPr>
          <w:rFonts w:hint="eastAsia" w:hAnsi="宋体"/>
          <w:highlight w:val="none"/>
          <w:lang w:val="en-US" w:eastAsia="zh-CN"/>
        </w:rPr>
        <w:t xml:space="preserve"> </w:t>
      </w:r>
      <w:r>
        <w:rPr>
          <w:rFonts w:hint="eastAsia" w:hAnsi="宋体"/>
          <w:highlight w:val="none"/>
        </w:rPr>
        <w:t>防爆装置区面积约为</w:t>
      </w:r>
      <w:r>
        <w:rPr>
          <w:rFonts w:hint="default" w:hAnsi="宋体"/>
          <w:highlight w:val="none"/>
        </w:rPr>
        <w:t>10340</w:t>
      </w:r>
      <w:r>
        <w:rPr>
          <w:rFonts w:hAnsi="宋体"/>
          <w:highlight w:val="none"/>
        </w:rPr>
        <w:t>㎡</w:t>
      </w:r>
      <w:r>
        <w:rPr>
          <w:rFonts w:hint="eastAsia" w:hAnsi="宋体"/>
          <w:highlight w:val="none"/>
        </w:rPr>
        <w:t>，非防爆装置区面积约为</w:t>
      </w:r>
      <w:r>
        <w:rPr>
          <w:rFonts w:hint="eastAsia" w:hAnsi="宋体"/>
          <w:highlight w:val="none"/>
          <w:lang w:val="en-US" w:eastAsia="zh-CN"/>
        </w:rPr>
        <w:t>78560</w:t>
      </w:r>
      <w:r>
        <w:rPr>
          <w:rFonts w:hAnsi="宋体"/>
          <w:highlight w:val="none"/>
        </w:rPr>
        <w:t>㎡</w:t>
      </w:r>
      <w:r>
        <w:rPr>
          <w:rFonts w:hint="eastAsia" w:hAnsi="宋体"/>
          <w:highlight w:val="none"/>
        </w:rPr>
        <w:t>，</w:t>
      </w:r>
      <w:r>
        <w:rPr>
          <w:rFonts w:hint="eastAsia" w:ascii="Times New Roman" w:hAnsi="宋体" w:eastAsia="宋体" w:cs="Times New Roman"/>
          <w:highlight w:val="none"/>
          <w:lang w:val="en-US" w:eastAsia="zh-CN"/>
        </w:rPr>
        <w:t>热电1-4#除尘器出入口烟道、热电脱硫吸收塔浓缩段以下及原烟道</w:t>
      </w:r>
      <w:r>
        <w:rPr>
          <w:rFonts w:hint="eastAsia" w:hAnsi="宋体"/>
          <w:highlight w:val="none"/>
        </w:rPr>
        <w:t>外墙面修复面积约为</w:t>
      </w:r>
      <w:r>
        <w:rPr>
          <w:rFonts w:hint="eastAsia" w:ascii="Times New Roman" w:hAnsi="宋体" w:eastAsia="宋体" w:cs="Times New Roman"/>
          <w:highlight w:val="none"/>
          <w:lang w:val="en-US" w:eastAsia="zh-CN"/>
        </w:rPr>
        <w:t>30600</w:t>
      </w:r>
      <w:r>
        <w:rPr>
          <w:rFonts w:hAnsi="宋体"/>
          <w:highlight w:val="none"/>
        </w:rPr>
        <w:t>㎡</w:t>
      </w:r>
      <w:r>
        <w:rPr>
          <w:rFonts w:hint="eastAsia" w:hAnsi="宋体"/>
          <w:highlight w:val="none"/>
        </w:rPr>
        <w:t>，总</w:t>
      </w:r>
      <w:r>
        <w:rPr>
          <w:rFonts w:hint="eastAsia" w:ascii="Times New Roman" w:hAnsi="宋体" w:eastAsia="宋体" w:cs="Times New Roman"/>
          <w:highlight w:val="none"/>
        </w:rPr>
        <w:t>计约为</w:t>
      </w:r>
      <w:r>
        <w:rPr>
          <w:rFonts w:hint="eastAsia" w:ascii="Times New Roman" w:hAnsi="宋体" w:eastAsia="宋体" w:cs="Times New Roman"/>
          <w:highlight w:val="none"/>
          <w:lang w:val="en-US" w:eastAsia="zh-CN"/>
        </w:rPr>
        <w:t>119500</w:t>
      </w:r>
      <w:r>
        <w:rPr>
          <w:rFonts w:hint="eastAsia" w:ascii="Times New Roman" w:hAnsi="宋体" w:eastAsia="宋体" w:cs="Times New Roman"/>
          <w:highlight w:val="none"/>
        </w:rPr>
        <w:t>㎡。</w:t>
      </w:r>
    </w:p>
    <w:p w14:paraId="1CA2275C">
      <w:pPr>
        <w:adjustRightInd w:val="0"/>
        <w:snapToGrid w:val="0"/>
        <w:spacing w:line="360" w:lineRule="auto"/>
        <w:rPr>
          <w:rFonts w:hint="eastAsia" w:hAnsi="宋体"/>
          <w:highlight w:val="none"/>
        </w:rPr>
      </w:pPr>
      <w:r>
        <w:rPr>
          <w:rFonts w:hint="eastAsia" w:hAnsi="宋体"/>
          <w:highlight w:val="none"/>
        </w:rPr>
        <w:t>4.</w:t>
      </w:r>
      <w:r>
        <w:rPr>
          <w:rFonts w:hint="eastAsia" w:hAnsi="宋体"/>
          <w:highlight w:val="none"/>
          <w:lang w:val="en-US" w:eastAsia="zh-CN"/>
        </w:rPr>
        <w:t>3</w:t>
      </w:r>
      <w:r>
        <w:rPr>
          <w:rFonts w:hAnsi="宋体"/>
          <w:highlight w:val="none"/>
        </w:rPr>
        <w:t xml:space="preserve"> 以上</w:t>
      </w:r>
      <w:r>
        <w:rPr>
          <w:rFonts w:hint="eastAsia" w:hAnsi="宋体"/>
          <w:highlight w:val="none"/>
          <w:lang w:val="en-US" w:eastAsia="zh-CN"/>
        </w:rPr>
        <w:t>两</w:t>
      </w:r>
      <w:r>
        <w:rPr>
          <w:rFonts w:hAnsi="宋体"/>
          <w:highlight w:val="none"/>
        </w:rPr>
        <w:t>项工程</w:t>
      </w:r>
      <w:r>
        <w:rPr>
          <w:rFonts w:hint="eastAsia" w:hAnsi="宋体"/>
          <w:highlight w:val="none"/>
        </w:rPr>
        <w:t>施工工期：150日历天，计划工期至202</w:t>
      </w:r>
      <w:r>
        <w:rPr>
          <w:rFonts w:hint="eastAsia" w:hAnsi="宋体"/>
          <w:highlight w:val="none"/>
          <w:lang w:val="en-US" w:eastAsia="zh-CN"/>
        </w:rPr>
        <w:t>6</w:t>
      </w:r>
      <w:r>
        <w:rPr>
          <w:rFonts w:hint="eastAsia" w:hAnsi="宋体"/>
          <w:highlight w:val="none"/>
        </w:rPr>
        <w:t>年11月1日前结束，具体开工时间以</w:t>
      </w:r>
      <w:r>
        <w:rPr>
          <w:rFonts w:hint="eastAsia" w:hAnsi="宋体"/>
          <w:highlight w:val="none"/>
          <w:lang w:eastAsia="zh-CN"/>
        </w:rPr>
        <w:t>招标方</w:t>
      </w:r>
      <w:r>
        <w:rPr>
          <w:rFonts w:hint="eastAsia" w:hAnsi="宋体"/>
          <w:highlight w:val="none"/>
        </w:rPr>
        <w:t>开工通知书为准。</w:t>
      </w:r>
    </w:p>
    <w:p w14:paraId="218270F9">
      <w:pPr>
        <w:adjustRightInd w:val="0"/>
        <w:snapToGrid w:val="0"/>
        <w:spacing w:line="360" w:lineRule="auto"/>
        <w:rPr>
          <w:rFonts w:hint="eastAsia" w:hAnsi="宋体" w:eastAsia="宋体"/>
          <w:highlight w:val="none"/>
        </w:rPr>
      </w:pPr>
      <w:r>
        <w:rPr>
          <w:rFonts w:hint="eastAsia" w:hAnsi="宋体" w:eastAsia="宋体"/>
          <w:highlight w:val="none"/>
        </w:rPr>
        <w:t>4.</w:t>
      </w:r>
      <w:r>
        <w:rPr>
          <w:rFonts w:hint="eastAsia" w:hAnsi="宋体" w:eastAsia="宋体"/>
          <w:highlight w:val="none"/>
          <w:lang w:val="en-US" w:eastAsia="zh-CN"/>
        </w:rPr>
        <w:t>4</w:t>
      </w:r>
      <w:r>
        <w:rPr>
          <w:rFonts w:hint="eastAsia" w:hAnsi="宋体" w:eastAsia="宋体"/>
          <w:highlight w:val="none"/>
        </w:rPr>
        <w:t>以上工程量均为模拟量，实际工程量以现场实际签证为准。</w:t>
      </w:r>
    </w:p>
    <w:p w14:paraId="4723A802">
      <w:pPr>
        <w:adjustRightInd w:val="0"/>
        <w:snapToGrid w:val="0"/>
        <w:spacing w:line="360" w:lineRule="auto"/>
        <w:rPr>
          <w:rFonts w:hint="eastAsia" w:hAnsi="宋体" w:eastAsia="宋体"/>
          <w:highlight w:val="none"/>
        </w:rPr>
      </w:pPr>
      <w:r>
        <w:rPr>
          <w:rFonts w:hint="eastAsia" w:hAnsi="宋体" w:eastAsia="宋体"/>
          <w:highlight w:val="none"/>
        </w:rPr>
        <w:t>4.</w:t>
      </w:r>
      <w:r>
        <w:rPr>
          <w:rFonts w:hint="eastAsia" w:hAnsi="宋体" w:eastAsia="宋体"/>
          <w:highlight w:val="none"/>
          <w:lang w:val="en-US" w:eastAsia="zh-CN"/>
        </w:rPr>
        <w:t>5</w:t>
      </w:r>
      <w:r>
        <w:rPr>
          <w:rFonts w:hint="eastAsia" w:hAnsi="宋体" w:eastAsia="宋体"/>
          <w:highlight w:val="none"/>
        </w:rPr>
        <w:t>施工所需人员、工器具、工程机械等均由投标方负责。</w:t>
      </w:r>
      <w:bookmarkStart w:id="10" w:name="_Toc170270574"/>
      <w:bookmarkStart w:id="11" w:name="_Toc170462600"/>
      <w:bookmarkStart w:id="12" w:name="_Toc96238075"/>
    </w:p>
    <w:p w14:paraId="0D2A6931">
      <w:pPr>
        <w:pStyle w:val="3"/>
        <w:bidi w:val="0"/>
        <w:rPr>
          <w:rFonts w:hint="eastAsia"/>
          <w:highlight w:val="none"/>
        </w:rPr>
      </w:pPr>
      <w:bookmarkStart w:id="13" w:name="_Toc19395"/>
      <w:r>
        <w:rPr>
          <w:rFonts w:hint="eastAsia"/>
          <w:highlight w:val="none"/>
        </w:rPr>
        <w:t>5 技术</w:t>
      </w:r>
      <w:bookmarkEnd w:id="10"/>
      <w:bookmarkEnd w:id="11"/>
      <w:bookmarkEnd w:id="12"/>
      <w:r>
        <w:rPr>
          <w:rFonts w:hint="eastAsia"/>
          <w:highlight w:val="none"/>
        </w:rPr>
        <w:t>要求</w:t>
      </w:r>
      <w:bookmarkEnd w:id="13"/>
    </w:p>
    <w:p w14:paraId="7443FE71">
      <w:pPr>
        <w:adjustRightInd w:val="0"/>
        <w:snapToGrid w:val="0"/>
        <w:spacing w:line="360" w:lineRule="auto"/>
        <w:rPr>
          <w:rFonts w:hint="default" w:hAnsi="宋体" w:eastAsia="宋体"/>
          <w:highlight w:val="none"/>
          <w:lang w:val="en-US" w:eastAsia="zh-CN"/>
        </w:rPr>
      </w:pPr>
      <w:bookmarkStart w:id="14" w:name="_Toc20390"/>
      <w:bookmarkStart w:id="15" w:name="_Toc2606"/>
      <w:bookmarkStart w:id="16" w:name="_Toc384026324"/>
      <w:bookmarkStart w:id="17" w:name="_Toc486514655"/>
      <w:bookmarkStart w:id="18" w:name="_Toc515768574"/>
      <w:bookmarkStart w:id="19" w:name="_Toc505691546"/>
      <w:bookmarkStart w:id="20" w:name="_Toc218356401"/>
      <w:r>
        <w:rPr>
          <w:rFonts w:hint="eastAsia" w:hAnsi="宋体" w:eastAsia="宋体"/>
          <w:highlight w:val="none"/>
        </w:rPr>
        <w:t>5.1</w:t>
      </w:r>
      <w:r>
        <w:rPr>
          <w:rFonts w:hint="eastAsia" w:hAnsi="宋体" w:eastAsia="宋体"/>
          <w:highlight w:val="none"/>
          <w:lang w:val="en-US" w:eastAsia="zh-CN"/>
        </w:rPr>
        <w:t xml:space="preserve"> </w:t>
      </w:r>
      <w:r>
        <w:rPr>
          <w:rFonts w:hint="eastAsia" w:hAnsi="宋体" w:eastAsia="宋体"/>
          <w:highlight w:val="none"/>
        </w:rPr>
        <w:t>化工</w:t>
      </w:r>
      <w:r>
        <w:rPr>
          <w:rFonts w:hint="eastAsia" w:hAnsi="宋体" w:eastAsia="宋体"/>
          <w:highlight w:val="none"/>
          <w:lang w:val="en-US" w:eastAsia="zh-CN"/>
        </w:rPr>
        <w:t>装置</w:t>
      </w:r>
      <w:r>
        <w:rPr>
          <w:rFonts w:hint="eastAsia" w:hAnsi="宋体" w:eastAsia="宋体"/>
          <w:highlight w:val="none"/>
        </w:rPr>
        <w:t>部分</w:t>
      </w:r>
      <w:bookmarkEnd w:id="14"/>
      <w:r>
        <w:rPr>
          <w:rFonts w:hint="eastAsia" w:hAnsi="宋体"/>
          <w:highlight w:val="none"/>
          <w:lang w:val="en-US" w:eastAsia="zh-CN"/>
        </w:rPr>
        <w:t>设备设施防腐</w:t>
      </w:r>
    </w:p>
    <w:p w14:paraId="1B6006BC">
      <w:pPr>
        <w:adjustRightInd w:val="0"/>
        <w:snapToGrid w:val="0"/>
        <w:spacing w:line="360" w:lineRule="auto"/>
        <w:rPr>
          <w:rFonts w:hint="eastAsia" w:hAnsi="宋体" w:eastAsia="宋体"/>
          <w:highlight w:val="none"/>
        </w:rPr>
      </w:pPr>
      <w:bookmarkStart w:id="21" w:name="_Toc26026"/>
      <w:r>
        <w:rPr>
          <w:rFonts w:hint="eastAsia" w:hAnsi="宋体" w:eastAsia="宋体"/>
          <w:highlight w:val="none"/>
        </w:rPr>
        <w:t>5.1.1</w:t>
      </w:r>
      <w:r>
        <w:rPr>
          <w:rFonts w:hint="eastAsia" w:hAnsi="宋体" w:eastAsia="宋体"/>
          <w:highlight w:val="none"/>
          <w:lang w:val="en-US" w:eastAsia="zh-CN"/>
        </w:rPr>
        <w:t xml:space="preserve"> </w:t>
      </w:r>
      <w:r>
        <w:rPr>
          <w:rFonts w:hint="eastAsia" w:hAnsi="宋体" w:eastAsia="宋体"/>
          <w:highlight w:val="none"/>
        </w:rPr>
        <w:t>施工准备</w:t>
      </w:r>
      <w:bookmarkEnd w:id="21"/>
    </w:p>
    <w:p w14:paraId="2493D831">
      <w:pPr>
        <w:spacing w:line="360" w:lineRule="auto"/>
        <w:jc w:val="left"/>
        <w:rPr>
          <w:rFonts w:hAnsi="宋体"/>
          <w:highlight w:val="none"/>
        </w:rPr>
      </w:pPr>
      <w:r>
        <w:rPr>
          <w:rFonts w:hint="eastAsia" w:hAnsi="宋体"/>
          <w:highlight w:val="none"/>
        </w:rPr>
        <w:t>5.</w:t>
      </w:r>
      <w:r>
        <w:rPr>
          <w:rFonts w:hAnsi="宋体"/>
          <w:highlight w:val="none"/>
        </w:rPr>
        <w:t>1</w:t>
      </w:r>
      <w:r>
        <w:rPr>
          <w:rFonts w:hint="eastAsia" w:hAnsi="宋体"/>
          <w:highlight w:val="none"/>
        </w:rPr>
        <w:t>.1</w:t>
      </w:r>
      <w:r>
        <w:rPr>
          <w:rFonts w:hAnsi="宋体"/>
          <w:highlight w:val="none"/>
        </w:rPr>
        <w:t>.1</w:t>
      </w:r>
      <w:r>
        <w:rPr>
          <w:rFonts w:hint="eastAsia" w:hAnsi="宋体"/>
          <w:highlight w:val="none"/>
          <w:lang w:val="en-US" w:eastAsia="zh-CN"/>
        </w:rPr>
        <w:t xml:space="preserve"> </w:t>
      </w:r>
      <w:r>
        <w:rPr>
          <w:rFonts w:hint="eastAsia" w:hAnsi="宋体"/>
          <w:highlight w:val="none"/>
        </w:rPr>
        <w:t>根据现场工程情况及招标方的进度、质量要求合理安排施工人员。</w:t>
      </w:r>
    </w:p>
    <w:p w14:paraId="4ABAB970">
      <w:pPr>
        <w:spacing w:line="360" w:lineRule="auto"/>
        <w:jc w:val="left"/>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1.</w:t>
      </w:r>
      <w:r>
        <w:rPr>
          <w:rFonts w:hint="eastAsia" w:hAnsi="宋体"/>
          <w:highlight w:val="none"/>
        </w:rPr>
        <w:t>2</w:t>
      </w:r>
      <w:r>
        <w:rPr>
          <w:rFonts w:hint="eastAsia" w:hAnsi="宋体"/>
          <w:highlight w:val="none"/>
          <w:lang w:val="en-US" w:eastAsia="zh-CN"/>
        </w:rPr>
        <w:t xml:space="preserve"> </w:t>
      </w:r>
      <w:r>
        <w:rPr>
          <w:rFonts w:hint="eastAsia" w:hAnsi="宋体"/>
          <w:highlight w:val="none"/>
        </w:rPr>
        <w:t>对全体参加施工的人员进行技术交底及相关安全教育，并熟悉了解工程概况及施工方案。</w:t>
      </w:r>
    </w:p>
    <w:p w14:paraId="0C86BFBD">
      <w:pPr>
        <w:spacing w:line="360" w:lineRule="auto"/>
        <w:jc w:val="left"/>
        <w:rPr>
          <w:rFonts w:hAnsi="宋体"/>
          <w:highlight w:val="none"/>
        </w:rPr>
      </w:pPr>
      <w:r>
        <w:rPr>
          <w:rFonts w:hint="eastAsia" w:hAnsi="宋体"/>
          <w:highlight w:val="none"/>
        </w:rPr>
        <w:t>5.</w:t>
      </w:r>
      <w:r>
        <w:rPr>
          <w:rFonts w:hAnsi="宋体"/>
          <w:highlight w:val="none"/>
        </w:rPr>
        <w:t>1.1</w:t>
      </w:r>
      <w:r>
        <w:rPr>
          <w:rFonts w:hint="eastAsia" w:hAnsi="宋体"/>
          <w:highlight w:val="none"/>
        </w:rPr>
        <w:t>.3</w:t>
      </w:r>
      <w:r>
        <w:rPr>
          <w:rFonts w:hint="eastAsia" w:hAnsi="宋体"/>
          <w:highlight w:val="none"/>
          <w:lang w:val="en-US" w:eastAsia="zh-CN"/>
        </w:rPr>
        <w:t xml:space="preserve"> </w:t>
      </w:r>
      <w:r>
        <w:rPr>
          <w:rFonts w:hint="eastAsia" w:hAnsi="宋体"/>
          <w:highlight w:val="none"/>
        </w:rPr>
        <w:t>所有用电设施均应安装漏电保护装置确保施工安全。</w:t>
      </w:r>
    </w:p>
    <w:p w14:paraId="242762BE">
      <w:pPr>
        <w:spacing w:line="360" w:lineRule="auto"/>
        <w:jc w:val="left"/>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1.</w:t>
      </w:r>
      <w:r>
        <w:rPr>
          <w:rFonts w:hint="eastAsia" w:hAnsi="宋体"/>
          <w:highlight w:val="none"/>
        </w:rPr>
        <w:t>4</w:t>
      </w:r>
      <w:r>
        <w:rPr>
          <w:rFonts w:hint="eastAsia" w:hAnsi="宋体"/>
          <w:highlight w:val="none"/>
          <w:lang w:val="en-US" w:eastAsia="zh-CN"/>
        </w:rPr>
        <w:t xml:space="preserve"> </w:t>
      </w:r>
      <w:r>
        <w:rPr>
          <w:rFonts w:hint="eastAsia" w:hAnsi="宋体"/>
          <w:highlight w:val="none"/>
        </w:rPr>
        <w:t>施工现场应设置明显的严禁烟火标志，作业区内严禁动火，作业人员严禁携带火种；配备必要的救援器具、灭火器材等。</w:t>
      </w:r>
    </w:p>
    <w:p w14:paraId="520CBC5B">
      <w:pPr>
        <w:spacing w:line="360" w:lineRule="auto"/>
        <w:jc w:val="left"/>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1.</w:t>
      </w:r>
      <w:r>
        <w:rPr>
          <w:rFonts w:hint="eastAsia" w:hAnsi="宋体"/>
          <w:highlight w:val="none"/>
        </w:rPr>
        <w:t>5</w:t>
      </w:r>
      <w:r>
        <w:rPr>
          <w:rFonts w:hint="eastAsia" w:hAnsi="宋体"/>
          <w:highlight w:val="none"/>
          <w:lang w:val="en-US" w:eastAsia="zh-CN"/>
        </w:rPr>
        <w:t xml:space="preserve"> </w:t>
      </w:r>
      <w:r>
        <w:rPr>
          <w:rFonts w:hint="eastAsia" w:hAnsi="宋体"/>
          <w:highlight w:val="none"/>
        </w:rPr>
        <w:t>施工作业时，施工人员必须佩戴安全帽、穿防护工作衣等，安全带必须为双钩安全带。</w:t>
      </w:r>
    </w:p>
    <w:p w14:paraId="6D26C337">
      <w:pPr>
        <w:spacing w:line="360" w:lineRule="auto"/>
        <w:jc w:val="left"/>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1.</w:t>
      </w:r>
      <w:r>
        <w:rPr>
          <w:rFonts w:hint="eastAsia" w:hAnsi="宋体"/>
          <w:highlight w:val="none"/>
        </w:rPr>
        <w:t>6</w:t>
      </w:r>
      <w:r>
        <w:rPr>
          <w:rFonts w:hint="eastAsia" w:hAnsi="宋体"/>
          <w:highlight w:val="none"/>
          <w:lang w:val="en-US" w:eastAsia="zh-CN"/>
        </w:rPr>
        <w:t xml:space="preserve"> </w:t>
      </w:r>
      <w:r>
        <w:rPr>
          <w:rFonts w:hint="eastAsia" w:hAnsi="宋体"/>
          <w:highlight w:val="none"/>
        </w:rPr>
        <w:t>水喷砂除锈时必须做好设备设施安全防护及环境保护措施。</w:t>
      </w:r>
    </w:p>
    <w:p w14:paraId="603CEA25">
      <w:pPr>
        <w:spacing w:line="360" w:lineRule="auto"/>
        <w:jc w:val="left"/>
        <w:outlineLvl w:val="2"/>
        <w:rPr>
          <w:rFonts w:hAnsi="宋体"/>
          <w:highlight w:val="none"/>
        </w:rPr>
      </w:pPr>
      <w:bookmarkStart w:id="22" w:name="_Toc8575"/>
      <w:bookmarkStart w:id="23" w:name="_Toc32590"/>
      <w:r>
        <w:rPr>
          <w:rFonts w:hint="eastAsia" w:hAnsi="宋体"/>
          <w:highlight w:val="none"/>
        </w:rPr>
        <w:t>5.</w:t>
      </w:r>
      <w:r>
        <w:rPr>
          <w:rFonts w:hAnsi="宋体"/>
          <w:highlight w:val="none"/>
        </w:rPr>
        <w:t>1.</w:t>
      </w:r>
      <w:r>
        <w:rPr>
          <w:rFonts w:hint="eastAsia" w:hAnsi="宋体"/>
          <w:highlight w:val="none"/>
        </w:rPr>
        <w:t>2</w:t>
      </w:r>
      <w:r>
        <w:rPr>
          <w:rFonts w:hint="eastAsia" w:hAnsi="宋体"/>
          <w:highlight w:val="none"/>
          <w:lang w:val="en-US" w:eastAsia="zh-CN"/>
        </w:rPr>
        <w:t xml:space="preserve"> </w:t>
      </w:r>
      <w:r>
        <w:rPr>
          <w:rFonts w:hint="eastAsia" w:hAnsi="宋体"/>
          <w:highlight w:val="none"/>
        </w:rPr>
        <w:t>施工用工器具准备：</w:t>
      </w:r>
      <w:bookmarkEnd w:id="22"/>
      <w:bookmarkEnd w:id="23"/>
    </w:p>
    <w:p w14:paraId="6AF2A542">
      <w:pPr>
        <w:spacing w:line="360" w:lineRule="auto"/>
        <w:jc w:val="left"/>
        <w:rPr>
          <w:rFonts w:hAnsi="宋体"/>
          <w:highlight w:val="none"/>
        </w:rPr>
      </w:pPr>
      <w:r>
        <w:rPr>
          <w:rFonts w:hint="eastAsia" w:hAnsi="宋体"/>
          <w:highlight w:val="none"/>
        </w:rPr>
        <w:t xml:space="preserve">   </w:t>
      </w:r>
      <w:r>
        <w:rPr>
          <w:rFonts w:hint="eastAsia" w:hAnsi="宋体"/>
          <w:highlight w:val="none"/>
          <w:lang w:val="en-US" w:eastAsia="zh-CN"/>
        </w:rPr>
        <w:t xml:space="preserve"> </w:t>
      </w:r>
      <w:r>
        <w:rPr>
          <w:rFonts w:hint="eastAsia" w:hAnsi="宋体"/>
          <w:highlight w:val="none"/>
        </w:rPr>
        <w:t>角磨机、铲刀、磨光机、抛光机、砂布、钢丝刷、油漆小桶、刷子、滚筒、电机、电控箱、高压泵、移动底盘、</w:t>
      </w:r>
      <w:r>
        <w:rPr>
          <w:rFonts w:hint="eastAsia" w:hAnsi="宋体"/>
          <w:highlight w:val="none"/>
          <w:lang w:val="en-US" w:eastAsia="zh-CN"/>
        </w:rPr>
        <w:t>喷涂机、</w:t>
      </w:r>
      <w:r>
        <w:rPr>
          <w:rFonts w:hint="eastAsia" w:hAnsi="宋体"/>
          <w:highlight w:val="none"/>
        </w:rPr>
        <w:t>收集斗等。角磨机、安全绳、悬挂绳、安全带、测厚仪、</w:t>
      </w:r>
      <w:r>
        <w:rPr>
          <w:rFonts w:hint="eastAsia" w:hAnsi="宋体"/>
          <w:highlight w:val="none"/>
          <w:lang w:val="en-US" w:eastAsia="zh-CN"/>
        </w:rPr>
        <w:t>防坠器、</w:t>
      </w:r>
      <w:r>
        <w:rPr>
          <w:rFonts w:hint="eastAsia" w:hAnsi="宋体"/>
          <w:highlight w:val="none"/>
        </w:rPr>
        <w:t>有害气体检测仪（经有资质检验机构检验合格的“四合一”报警仪）</w:t>
      </w:r>
      <w:r>
        <w:rPr>
          <w:rFonts w:hint="eastAsia" w:hAnsi="宋体"/>
          <w:highlight w:val="none"/>
          <w:lang w:eastAsia="zh-CN"/>
        </w:rPr>
        <w:t>、</w:t>
      </w:r>
      <w:r>
        <w:rPr>
          <w:rFonts w:hint="eastAsia" w:hAnsi="宋体"/>
          <w:highlight w:val="none"/>
          <w:lang w:val="en-US" w:eastAsia="zh-CN"/>
        </w:rPr>
        <w:t>空气储罐等</w:t>
      </w:r>
      <w:r>
        <w:rPr>
          <w:rFonts w:hint="eastAsia" w:hAnsi="宋体"/>
          <w:highlight w:val="none"/>
        </w:rPr>
        <w:t>机械、设备、工具需每天进行维修保养、调试、检验其运行状况，确保能在施工过程中正常使用。</w:t>
      </w:r>
    </w:p>
    <w:p w14:paraId="7E9159A6">
      <w:pPr>
        <w:spacing w:line="360" w:lineRule="auto"/>
        <w:jc w:val="left"/>
        <w:outlineLvl w:val="2"/>
        <w:rPr>
          <w:rFonts w:hAnsi="宋体"/>
          <w:highlight w:val="none"/>
        </w:rPr>
      </w:pPr>
      <w:bookmarkStart w:id="24" w:name="_Toc19716"/>
      <w:bookmarkStart w:id="25" w:name="_Toc30786"/>
      <w:r>
        <w:rPr>
          <w:rFonts w:hint="eastAsia" w:hAnsi="宋体"/>
          <w:highlight w:val="none"/>
        </w:rPr>
        <w:t>5.</w:t>
      </w:r>
      <w:r>
        <w:rPr>
          <w:rFonts w:hAnsi="宋体"/>
          <w:highlight w:val="none"/>
        </w:rPr>
        <w:t>1.3</w:t>
      </w:r>
      <w:r>
        <w:rPr>
          <w:rFonts w:hint="eastAsia" w:hAnsi="宋体"/>
          <w:highlight w:val="none"/>
          <w:lang w:val="en-US" w:eastAsia="zh-CN"/>
        </w:rPr>
        <w:t xml:space="preserve"> </w:t>
      </w:r>
      <w:r>
        <w:rPr>
          <w:rFonts w:hint="eastAsia" w:hAnsi="宋体"/>
          <w:highlight w:val="none"/>
        </w:rPr>
        <w:t>施工工艺流程</w:t>
      </w:r>
      <w:bookmarkEnd w:id="24"/>
      <w:bookmarkEnd w:id="25"/>
    </w:p>
    <w:p w14:paraId="10A14EC7">
      <w:pPr>
        <w:spacing w:line="360" w:lineRule="auto"/>
        <w:ind w:firstLine="480" w:firstLineChars="200"/>
        <w:jc w:val="left"/>
        <w:rPr>
          <w:rFonts w:hAnsi="宋体"/>
          <w:highlight w:val="none"/>
        </w:rPr>
      </w:pPr>
      <w:r>
        <w:rPr>
          <w:rFonts w:hint="eastAsia" w:hAnsi="宋体"/>
          <w:highlight w:val="none"/>
        </w:rPr>
        <w:t xml:space="preserve">施工准备→设施安全检查→水喷砂除锈达到Sa2或者手工除锈达到St2级→验收合格→涂刷底漆二道（总厚度不小于100 </w:t>
      </w:r>
      <w:r>
        <w:rPr>
          <w:rFonts w:hint="eastAsia" w:hAnsi="宋体"/>
          <w:highlight w:val="none"/>
          <w:lang w:eastAsia="zh-CN"/>
        </w:rPr>
        <w:t>μm</w:t>
      </w:r>
      <w:r>
        <w:rPr>
          <w:rFonts w:hint="eastAsia" w:hAnsi="宋体"/>
          <w:highlight w:val="none"/>
        </w:rPr>
        <w:t>）→验收合格（完全干燥后）→涂刷中间漆一道（厚度不小于40</w:t>
      </w:r>
      <w:r>
        <w:rPr>
          <w:highlight w:val="none"/>
        </w:rPr>
        <w:t xml:space="preserve"> </w:t>
      </w:r>
      <w:r>
        <w:rPr>
          <w:rFonts w:hint="eastAsia" w:hAnsi="宋体"/>
          <w:highlight w:val="none"/>
          <w:lang w:eastAsia="zh-CN"/>
        </w:rPr>
        <w:t>μm</w:t>
      </w:r>
      <w:r>
        <w:rPr>
          <w:rFonts w:hint="eastAsia" w:hAnsi="宋体"/>
          <w:highlight w:val="none"/>
        </w:rPr>
        <w:t>）→涂刷面漆二道（干膜总厚度不小于90</w:t>
      </w:r>
      <w:r>
        <w:rPr>
          <w:rFonts w:hint="eastAsia" w:hAnsi="宋体"/>
          <w:highlight w:val="none"/>
          <w:lang w:eastAsia="zh-CN"/>
        </w:rPr>
        <w:t>μm</w:t>
      </w:r>
      <w:r>
        <w:rPr>
          <w:rFonts w:hint="eastAsia" w:hAnsi="宋体"/>
          <w:highlight w:val="none"/>
        </w:rPr>
        <w:t>）→验收合格→交工验收、现场清理。</w:t>
      </w:r>
    </w:p>
    <w:p w14:paraId="5561DB08">
      <w:pPr>
        <w:spacing w:line="360" w:lineRule="auto"/>
        <w:jc w:val="left"/>
        <w:outlineLvl w:val="2"/>
        <w:rPr>
          <w:rFonts w:hAnsi="宋体"/>
          <w:highlight w:val="none"/>
        </w:rPr>
      </w:pPr>
      <w:bookmarkStart w:id="26" w:name="_Toc26120"/>
      <w:bookmarkStart w:id="27" w:name="_Toc19185"/>
      <w:r>
        <w:rPr>
          <w:rFonts w:hint="eastAsia" w:hAnsi="宋体"/>
          <w:highlight w:val="none"/>
        </w:rPr>
        <w:t>5.</w:t>
      </w:r>
      <w:r>
        <w:rPr>
          <w:rFonts w:hAnsi="宋体"/>
          <w:highlight w:val="none"/>
        </w:rPr>
        <w:t>1</w:t>
      </w:r>
      <w:r>
        <w:rPr>
          <w:rFonts w:hint="eastAsia" w:hAnsi="宋体"/>
          <w:highlight w:val="none"/>
        </w:rPr>
        <w:t>.</w:t>
      </w:r>
      <w:r>
        <w:rPr>
          <w:rFonts w:hAnsi="宋体"/>
          <w:highlight w:val="none"/>
        </w:rPr>
        <w:t>4</w:t>
      </w:r>
      <w:r>
        <w:rPr>
          <w:rFonts w:hint="eastAsia" w:hAnsi="宋体"/>
          <w:highlight w:val="none"/>
        </w:rPr>
        <w:t xml:space="preserve"> 技术参数及使用方法</w:t>
      </w:r>
      <w:bookmarkEnd w:id="26"/>
      <w:bookmarkEnd w:id="27"/>
    </w:p>
    <w:p w14:paraId="5BDE7362">
      <w:pPr>
        <w:spacing w:line="360" w:lineRule="auto"/>
        <w:jc w:val="left"/>
        <w:outlineLvl w:val="3"/>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4</w:t>
      </w:r>
      <w:r>
        <w:rPr>
          <w:rFonts w:hint="eastAsia" w:hAnsi="宋体"/>
          <w:highlight w:val="none"/>
        </w:rPr>
        <w:t>.1</w:t>
      </w:r>
      <w:r>
        <w:rPr>
          <w:rFonts w:hAnsi="宋体"/>
          <w:highlight w:val="none"/>
        </w:rPr>
        <w:t xml:space="preserve"> St2级处理的技术标准：</w:t>
      </w:r>
    </w:p>
    <w:p w14:paraId="61963C56">
      <w:pPr>
        <w:spacing w:line="360" w:lineRule="auto"/>
        <w:ind w:firstLine="480" w:firstLineChars="200"/>
        <w:jc w:val="left"/>
        <w:rPr>
          <w:rFonts w:hAnsi="宋体"/>
          <w:highlight w:val="none"/>
        </w:rPr>
      </w:pPr>
      <w:r>
        <w:rPr>
          <w:rFonts w:hint="eastAsia" w:hAnsi="宋体"/>
          <w:highlight w:val="none"/>
          <w:lang w:val="en-US" w:eastAsia="zh-CN"/>
        </w:rPr>
        <w:t>设备设施</w:t>
      </w:r>
      <w:r>
        <w:rPr>
          <w:rFonts w:hint="eastAsia" w:hAnsi="宋体"/>
          <w:highlight w:val="none"/>
        </w:rPr>
        <w:t>钢结构</w:t>
      </w:r>
      <w:r>
        <w:rPr>
          <w:rFonts w:hint="eastAsia" w:hAnsi="宋体"/>
          <w:highlight w:val="none"/>
          <w:lang w:val="en-US" w:eastAsia="zh-CN"/>
        </w:rPr>
        <w:t>设备设施</w:t>
      </w:r>
      <w:r>
        <w:rPr>
          <w:rFonts w:hAnsi="宋体"/>
          <w:highlight w:val="none"/>
        </w:rPr>
        <w:t>表面应不可见油腻和污垢</w:t>
      </w:r>
      <w:r>
        <w:rPr>
          <w:rFonts w:hint="eastAsia" w:hAnsi="宋体"/>
          <w:highlight w:val="none"/>
        </w:rPr>
        <w:t>，</w:t>
      </w:r>
      <w:r>
        <w:rPr>
          <w:rFonts w:hint="eastAsia" w:hAnsi="宋体"/>
          <w:highlight w:val="none"/>
          <w:lang w:val="en-US" w:eastAsia="zh-CN"/>
        </w:rPr>
        <w:t>彻底脱脂去污，</w:t>
      </w:r>
      <w:r>
        <w:rPr>
          <w:rFonts w:hAnsi="宋体"/>
          <w:highlight w:val="none"/>
        </w:rPr>
        <w:t>并且没有附着不牢的氧化皮</w:t>
      </w:r>
      <w:r>
        <w:rPr>
          <w:rFonts w:hint="eastAsia" w:hAnsi="宋体"/>
          <w:highlight w:val="none"/>
        </w:rPr>
        <w:t>、</w:t>
      </w:r>
      <w:r>
        <w:rPr>
          <w:rFonts w:hAnsi="宋体"/>
          <w:highlight w:val="none"/>
        </w:rPr>
        <w:t>铁锈和</w:t>
      </w:r>
      <w:r>
        <w:rPr>
          <w:rFonts w:hint="eastAsia" w:hAnsi="宋体"/>
          <w:highlight w:val="none"/>
          <w:lang w:val="en-US" w:eastAsia="zh-CN"/>
        </w:rPr>
        <w:t>旧</w:t>
      </w:r>
      <w:r>
        <w:rPr>
          <w:rFonts w:hAnsi="宋体"/>
          <w:highlight w:val="none"/>
        </w:rPr>
        <w:t>涂层等附着物</w:t>
      </w:r>
      <w:r>
        <w:rPr>
          <w:rFonts w:hint="eastAsia" w:hAnsi="宋体"/>
          <w:highlight w:val="none"/>
        </w:rPr>
        <w:t>。</w:t>
      </w:r>
    </w:p>
    <w:p w14:paraId="2D401516">
      <w:pPr>
        <w:spacing w:line="360" w:lineRule="auto"/>
        <w:ind w:left="480" w:leftChars="0" w:hanging="480" w:hangingChars="200"/>
        <w:jc w:val="left"/>
        <w:outlineLvl w:val="3"/>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4</w:t>
      </w:r>
      <w:r>
        <w:rPr>
          <w:rFonts w:hint="eastAsia" w:hAnsi="宋体"/>
          <w:highlight w:val="none"/>
        </w:rPr>
        <w:t>.2 Sa2级处理的技术标准：</w:t>
      </w:r>
    </w:p>
    <w:p w14:paraId="47C0A52E">
      <w:pPr>
        <w:spacing w:line="360" w:lineRule="auto"/>
        <w:ind w:left="480" w:hanging="480" w:hangingChars="200"/>
        <w:jc w:val="left"/>
        <w:rPr>
          <w:rFonts w:hAnsi="宋体"/>
          <w:highlight w:val="none"/>
        </w:rPr>
      </w:pPr>
      <w:r>
        <w:rPr>
          <w:rFonts w:hint="eastAsia" w:hAnsi="宋体"/>
          <w:highlight w:val="none"/>
        </w:rPr>
        <w:t xml:space="preserve">    </w:t>
      </w:r>
      <w:r>
        <w:rPr>
          <w:rFonts w:hint="eastAsia" w:hAnsi="宋体"/>
          <w:highlight w:val="none"/>
          <w:lang w:val="en-US" w:eastAsia="zh-CN"/>
        </w:rPr>
        <w:t>设备设施</w:t>
      </w:r>
      <w:r>
        <w:rPr>
          <w:rFonts w:hint="eastAsia" w:hAnsi="宋体"/>
          <w:highlight w:val="none"/>
        </w:rPr>
        <w:t>钢结构</w:t>
      </w:r>
      <w:r>
        <w:rPr>
          <w:rFonts w:hint="eastAsia" w:hAnsi="宋体"/>
          <w:highlight w:val="none"/>
          <w:lang w:val="en-US" w:eastAsia="zh-CN"/>
        </w:rPr>
        <w:t>设备设施</w:t>
      </w:r>
      <w:r>
        <w:rPr>
          <w:rFonts w:hAnsi="宋体"/>
          <w:highlight w:val="none"/>
        </w:rPr>
        <w:t>表面应不可见油腻和污垢</w:t>
      </w:r>
      <w:r>
        <w:rPr>
          <w:rFonts w:hint="eastAsia" w:hAnsi="宋体"/>
          <w:highlight w:val="none"/>
        </w:rPr>
        <w:t>，</w:t>
      </w:r>
      <w:r>
        <w:rPr>
          <w:rFonts w:hint="eastAsia" w:hAnsi="宋体"/>
          <w:highlight w:val="none"/>
          <w:lang w:val="en-US" w:eastAsia="zh-CN"/>
        </w:rPr>
        <w:t>彻底脱脂去污，</w:t>
      </w:r>
      <w:r>
        <w:rPr>
          <w:rFonts w:hAnsi="宋体"/>
          <w:highlight w:val="none"/>
        </w:rPr>
        <w:t>并且没有</w:t>
      </w:r>
    </w:p>
    <w:p w14:paraId="54492F16">
      <w:pPr>
        <w:spacing w:line="360" w:lineRule="auto"/>
        <w:ind w:left="480" w:hanging="480" w:hangingChars="200"/>
        <w:jc w:val="left"/>
        <w:rPr>
          <w:rFonts w:hint="eastAsia" w:hAnsi="宋体"/>
          <w:highlight w:val="none"/>
          <w:lang w:val="en-US" w:eastAsia="zh-CN"/>
        </w:rPr>
      </w:pPr>
      <w:r>
        <w:rPr>
          <w:rFonts w:hAnsi="宋体"/>
          <w:highlight w:val="none"/>
        </w:rPr>
        <w:t>附着不牢的氧化皮</w:t>
      </w:r>
      <w:r>
        <w:rPr>
          <w:rFonts w:hint="eastAsia" w:hAnsi="宋体"/>
          <w:highlight w:val="none"/>
        </w:rPr>
        <w:t>、</w:t>
      </w:r>
      <w:r>
        <w:rPr>
          <w:rFonts w:hAnsi="宋体"/>
          <w:highlight w:val="none"/>
        </w:rPr>
        <w:t>铁锈和</w:t>
      </w:r>
      <w:r>
        <w:rPr>
          <w:rFonts w:hint="eastAsia" w:hAnsi="宋体"/>
          <w:highlight w:val="none"/>
          <w:lang w:val="en-US" w:eastAsia="zh-CN"/>
        </w:rPr>
        <w:t>旧</w:t>
      </w:r>
      <w:r>
        <w:rPr>
          <w:rFonts w:hAnsi="宋体"/>
          <w:highlight w:val="none"/>
        </w:rPr>
        <w:t>涂层</w:t>
      </w:r>
      <w:r>
        <w:rPr>
          <w:rFonts w:hint="eastAsia" w:hAnsi="宋体"/>
          <w:highlight w:val="none"/>
          <w:lang w:eastAsia="zh-CN"/>
        </w:rPr>
        <w:t>、</w:t>
      </w:r>
      <w:r>
        <w:rPr>
          <w:rFonts w:hint="eastAsia" w:hAnsi="宋体"/>
          <w:highlight w:val="none"/>
          <w:lang w:val="en-US" w:eastAsia="zh-CN"/>
        </w:rPr>
        <w:t>外来杂质</w:t>
      </w:r>
      <w:r>
        <w:rPr>
          <w:rFonts w:hAnsi="宋体"/>
          <w:highlight w:val="none"/>
        </w:rPr>
        <w:t>等附着物</w:t>
      </w:r>
      <w:r>
        <w:rPr>
          <w:rFonts w:hint="eastAsia" w:hAnsi="宋体"/>
          <w:highlight w:val="none"/>
          <w:lang w:eastAsia="zh-CN"/>
        </w:rPr>
        <w:t>，</w:t>
      </w:r>
      <w:r>
        <w:rPr>
          <w:rFonts w:hint="eastAsia" w:hAnsi="宋体"/>
          <w:highlight w:val="none"/>
          <w:lang w:val="en-US" w:eastAsia="zh-CN"/>
        </w:rPr>
        <w:t>残留痕迹仅限点状/条纹状</w:t>
      </w:r>
    </w:p>
    <w:p w14:paraId="5D02FF0E">
      <w:pPr>
        <w:spacing w:line="360" w:lineRule="auto"/>
        <w:ind w:left="480" w:hanging="480" w:hangingChars="200"/>
        <w:jc w:val="left"/>
        <w:rPr>
          <w:rFonts w:hint="eastAsia" w:hAnsi="宋体"/>
          <w:highlight w:val="none"/>
          <w:lang w:val="en-US" w:eastAsia="zh-CN"/>
        </w:rPr>
      </w:pPr>
      <w:r>
        <w:rPr>
          <w:rFonts w:hint="eastAsia" w:hAnsi="宋体"/>
          <w:highlight w:val="none"/>
          <w:lang w:val="en-US" w:eastAsia="zh-CN"/>
        </w:rPr>
        <w:t>轻微色斑，</w:t>
      </w:r>
    </w:p>
    <w:p w14:paraId="58D58707">
      <w:pPr>
        <w:spacing w:line="360" w:lineRule="auto"/>
        <w:ind w:left="480" w:hanging="480" w:hangingChars="200"/>
        <w:jc w:val="left"/>
        <w:rPr>
          <w:rFonts w:hAnsi="宋体"/>
          <w:highlight w:val="none"/>
        </w:rPr>
      </w:pPr>
      <w:r>
        <w:rPr>
          <w:rFonts w:hint="eastAsia" w:hAnsi="宋体"/>
          <w:highlight w:val="none"/>
          <w:lang w:val="en-US" w:eastAsia="zh-CN"/>
        </w:rPr>
        <w:t>且必须附着牢固。</w:t>
      </w:r>
    </w:p>
    <w:p w14:paraId="157AC915">
      <w:pPr>
        <w:spacing w:line="360" w:lineRule="auto"/>
        <w:ind w:left="480" w:leftChars="0" w:hanging="480" w:hangingChars="200"/>
        <w:jc w:val="left"/>
        <w:outlineLvl w:val="3"/>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4</w:t>
      </w:r>
      <w:r>
        <w:rPr>
          <w:rFonts w:hint="eastAsia" w:hAnsi="宋体"/>
          <w:highlight w:val="none"/>
        </w:rPr>
        <w:t>.3 富锌</w:t>
      </w:r>
      <w:r>
        <w:rPr>
          <w:rFonts w:hAnsi="宋体"/>
          <w:highlight w:val="none"/>
        </w:rPr>
        <w:t>底漆使用方法：</w:t>
      </w:r>
      <w:r>
        <w:rPr>
          <w:rFonts w:hAnsi="宋体"/>
          <w:highlight w:val="none"/>
        </w:rPr>
        <w:br w:type="textWrapping"/>
      </w:r>
      <w:r>
        <w:rPr>
          <w:rFonts w:hint="eastAsia" w:hAnsi="宋体"/>
          <w:highlight w:val="none"/>
        </w:rPr>
        <w:t>（1）</w:t>
      </w:r>
      <w:r>
        <w:rPr>
          <w:rFonts w:hAnsi="宋体"/>
          <w:highlight w:val="none"/>
        </w:rPr>
        <w:t>用毛刷、滚刷、喷枪等工具，将本品涂覆在带锈蚀的钢铁工件表面</w:t>
      </w:r>
      <w:r>
        <w:rPr>
          <w:rFonts w:hint="eastAsia" w:hAnsi="宋体"/>
          <w:highlight w:val="none"/>
        </w:rPr>
        <w:t>。</w:t>
      </w:r>
    </w:p>
    <w:p w14:paraId="36F73971">
      <w:pPr>
        <w:spacing w:line="360" w:lineRule="auto"/>
        <w:ind w:left="480" w:leftChars="200"/>
        <w:jc w:val="left"/>
        <w:rPr>
          <w:rFonts w:hAnsi="宋体"/>
          <w:highlight w:val="none"/>
        </w:rPr>
      </w:pPr>
      <w:r>
        <w:rPr>
          <w:rFonts w:hint="eastAsia" w:hAnsi="宋体"/>
          <w:highlight w:val="none"/>
        </w:rPr>
        <w:t>（2）</w:t>
      </w:r>
      <w:r>
        <w:rPr>
          <w:rFonts w:hAnsi="宋体"/>
          <w:highlight w:val="none"/>
        </w:rPr>
        <w:t>在涂完一遍的基础上，间隔30分钟再涂</w:t>
      </w:r>
      <w:r>
        <w:rPr>
          <w:rFonts w:hint="eastAsia" w:hAnsi="宋体"/>
          <w:highlight w:val="none"/>
        </w:rPr>
        <w:t>第2</w:t>
      </w:r>
      <w:r>
        <w:rPr>
          <w:rFonts w:hAnsi="宋体"/>
          <w:highlight w:val="none"/>
        </w:rPr>
        <w:t>遍，使膜层均匀、致密，防</w:t>
      </w:r>
    </w:p>
    <w:p w14:paraId="1D0E5F6A">
      <w:pPr>
        <w:spacing w:line="360" w:lineRule="auto"/>
        <w:jc w:val="left"/>
        <w:rPr>
          <w:rFonts w:hAnsi="宋体"/>
          <w:highlight w:val="none"/>
        </w:rPr>
      </w:pPr>
      <w:r>
        <w:rPr>
          <w:rFonts w:hAnsi="宋体"/>
          <w:highlight w:val="none"/>
        </w:rPr>
        <w:t>腐性能更强。</w:t>
      </w:r>
      <w:r>
        <w:rPr>
          <w:rFonts w:hAnsi="宋体"/>
          <w:highlight w:val="none"/>
        </w:rPr>
        <w:br w:type="textWrapping"/>
      </w:r>
      <w:r>
        <w:rPr>
          <w:rFonts w:hint="eastAsia" w:hAnsi="宋体"/>
          <w:highlight w:val="none"/>
        </w:rPr>
        <w:t xml:space="preserve">    （3）每层厚度不小于50 </w:t>
      </w:r>
      <w:r>
        <w:rPr>
          <w:rFonts w:hint="eastAsia" w:hAnsi="宋体"/>
          <w:highlight w:val="none"/>
          <w:lang w:eastAsia="zh-CN"/>
        </w:rPr>
        <w:t>μm</w:t>
      </w:r>
      <w:r>
        <w:rPr>
          <w:rFonts w:hint="eastAsia" w:hAnsi="宋体"/>
          <w:highlight w:val="none"/>
        </w:rPr>
        <w:t>。</w:t>
      </w:r>
      <w:r>
        <w:rPr>
          <w:rFonts w:hAnsi="宋体"/>
          <w:highlight w:val="none"/>
        </w:rPr>
        <w:br w:type="textWrapping"/>
      </w:r>
      <w:r>
        <w:rPr>
          <w:rFonts w:hint="eastAsia" w:hAnsi="宋体"/>
          <w:highlight w:val="none"/>
        </w:rPr>
        <w:t>5.</w:t>
      </w:r>
      <w:r>
        <w:rPr>
          <w:rFonts w:hAnsi="宋体"/>
          <w:highlight w:val="none"/>
        </w:rPr>
        <w:t>1</w:t>
      </w:r>
      <w:r>
        <w:rPr>
          <w:rFonts w:hint="eastAsia" w:hAnsi="宋体"/>
          <w:highlight w:val="none"/>
        </w:rPr>
        <w:t>.</w:t>
      </w:r>
      <w:r>
        <w:rPr>
          <w:rFonts w:hAnsi="宋体"/>
          <w:highlight w:val="none"/>
        </w:rPr>
        <w:t>4</w:t>
      </w:r>
      <w:r>
        <w:rPr>
          <w:rFonts w:hint="eastAsia" w:hAnsi="宋体"/>
          <w:highlight w:val="none"/>
        </w:rPr>
        <w:t xml:space="preserve">.4 富锌底漆主要特性： </w:t>
      </w:r>
    </w:p>
    <w:p w14:paraId="2287300F">
      <w:pPr>
        <w:spacing w:line="360" w:lineRule="auto"/>
        <w:ind w:firstLine="480" w:firstLineChars="200"/>
        <w:jc w:val="left"/>
        <w:rPr>
          <w:rFonts w:hAnsi="宋体"/>
          <w:highlight w:val="none"/>
        </w:rPr>
      </w:pPr>
      <w:r>
        <w:rPr>
          <w:rFonts w:hint="eastAsia" w:hAnsi="宋体"/>
          <w:highlight w:val="none"/>
        </w:rPr>
        <w:t>附着力强；施工工艺简便、涂层常温固化；耐酸碱、耐海水、耐磨、耐冲击、耐热、耐老化；</w:t>
      </w:r>
      <w:r>
        <w:rPr>
          <w:rFonts w:hAnsi="宋体"/>
          <w:highlight w:val="none"/>
        </w:rPr>
        <w:t xml:space="preserve"> </w:t>
      </w:r>
      <w:r>
        <w:rPr>
          <w:rFonts w:hint="eastAsia" w:hAnsi="宋体"/>
          <w:highlight w:val="none"/>
        </w:rPr>
        <w:t>使用温度宽、寿命长、从-60℃~+150℃可长期使用，地上可达15年以上。</w:t>
      </w:r>
    </w:p>
    <w:p w14:paraId="3A490A09">
      <w:pPr>
        <w:spacing w:line="360" w:lineRule="auto"/>
        <w:jc w:val="left"/>
        <w:outlineLvl w:val="2"/>
        <w:rPr>
          <w:rFonts w:hAnsi="宋体"/>
          <w:highlight w:val="none"/>
        </w:rPr>
      </w:pPr>
      <w:bookmarkStart w:id="28" w:name="_Toc6328"/>
      <w:bookmarkStart w:id="29" w:name="_Toc14131"/>
      <w:r>
        <w:rPr>
          <w:rFonts w:hint="eastAsia" w:hAnsi="宋体"/>
          <w:highlight w:val="none"/>
        </w:rPr>
        <w:t>5.</w:t>
      </w:r>
      <w:r>
        <w:rPr>
          <w:rFonts w:hAnsi="宋体"/>
          <w:highlight w:val="none"/>
        </w:rPr>
        <w:t>1</w:t>
      </w:r>
      <w:r>
        <w:rPr>
          <w:rFonts w:hint="eastAsia" w:hAnsi="宋体"/>
          <w:highlight w:val="none"/>
        </w:rPr>
        <w:t>.</w:t>
      </w:r>
      <w:r>
        <w:rPr>
          <w:rFonts w:hAnsi="宋体"/>
          <w:highlight w:val="none"/>
        </w:rPr>
        <w:t>5</w:t>
      </w:r>
      <w:r>
        <w:rPr>
          <w:rFonts w:hint="eastAsia" w:hAnsi="宋体"/>
          <w:highlight w:val="none"/>
          <w:lang w:val="en-US" w:eastAsia="zh-CN"/>
        </w:rPr>
        <w:t xml:space="preserve"> </w:t>
      </w:r>
      <w:r>
        <w:rPr>
          <w:rFonts w:hint="eastAsia" w:hAnsi="宋体"/>
          <w:highlight w:val="none"/>
        </w:rPr>
        <w:t>涂料涂装</w:t>
      </w:r>
      <w:bookmarkEnd w:id="28"/>
      <w:bookmarkEnd w:id="29"/>
    </w:p>
    <w:p w14:paraId="25F31226">
      <w:pPr>
        <w:spacing w:line="360" w:lineRule="auto"/>
        <w:jc w:val="left"/>
        <w:outlineLvl w:val="3"/>
        <w:rPr>
          <w:rFonts w:hAnsi="宋体"/>
          <w:highlight w:val="none"/>
        </w:rPr>
      </w:pPr>
      <w:bookmarkStart w:id="30" w:name="_Toc22727821"/>
      <w:r>
        <w:rPr>
          <w:rFonts w:hint="eastAsia" w:hAnsi="宋体"/>
          <w:highlight w:val="none"/>
        </w:rPr>
        <w:t>5.</w:t>
      </w:r>
      <w:r>
        <w:rPr>
          <w:rFonts w:hAnsi="宋体"/>
          <w:highlight w:val="none"/>
        </w:rPr>
        <w:t>1</w:t>
      </w:r>
      <w:r>
        <w:rPr>
          <w:rFonts w:hint="eastAsia" w:hAnsi="宋体"/>
          <w:highlight w:val="none"/>
        </w:rPr>
        <w:t>.</w:t>
      </w:r>
      <w:r>
        <w:rPr>
          <w:rFonts w:hAnsi="宋体"/>
          <w:highlight w:val="none"/>
        </w:rPr>
        <w:t>5.1</w:t>
      </w:r>
      <w:r>
        <w:rPr>
          <w:rFonts w:hint="eastAsia" w:hAnsi="宋体"/>
          <w:highlight w:val="none"/>
          <w:lang w:val="en-US" w:eastAsia="zh-CN"/>
        </w:rPr>
        <w:t xml:space="preserve"> </w:t>
      </w:r>
      <w:r>
        <w:rPr>
          <w:rFonts w:hint="eastAsia" w:hAnsi="宋体"/>
          <w:highlight w:val="none"/>
        </w:rPr>
        <w:t>涂装技术条件</w:t>
      </w:r>
      <w:bookmarkEnd w:id="30"/>
    </w:p>
    <w:p w14:paraId="2B74A687">
      <w:pPr>
        <w:spacing w:line="360" w:lineRule="auto"/>
        <w:ind w:firstLine="480" w:firstLineChars="200"/>
        <w:jc w:val="left"/>
        <w:rPr>
          <w:rFonts w:hAnsi="宋体"/>
          <w:highlight w:val="none"/>
        </w:rPr>
      </w:pPr>
      <w:r>
        <w:rPr>
          <w:rFonts w:hint="eastAsia" w:hAnsi="宋体"/>
          <w:highlight w:val="none"/>
        </w:rPr>
        <w:t>（1）涂装前需对涂料配套和选用的涂料进行检查，以确认是否符合规范的要求。</w:t>
      </w:r>
    </w:p>
    <w:p w14:paraId="0EB1425B">
      <w:pPr>
        <w:spacing w:line="360" w:lineRule="auto"/>
        <w:ind w:firstLine="480" w:firstLineChars="200"/>
        <w:jc w:val="left"/>
        <w:rPr>
          <w:rFonts w:hAnsi="宋体"/>
          <w:highlight w:val="none"/>
        </w:rPr>
      </w:pPr>
      <w:r>
        <w:rPr>
          <w:rFonts w:hint="eastAsia" w:hAnsi="宋体"/>
          <w:highlight w:val="none"/>
        </w:rPr>
        <w:t>（2）施工作业人员要熟读涂料的施工指导、涂料产品技术说明书、前处理要求和涂料的使用说明的技术资料，避免用错稀释剂和工具清洗剂等。</w:t>
      </w:r>
    </w:p>
    <w:p w14:paraId="57492660">
      <w:pPr>
        <w:spacing w:line="360" w:lineRule="auto"/>
        <w:ind w:firstLine="480" w:firstLineChars="200"/>
        <w:jc w:val="left"/>
        <w:rPr>
          <w:rFonts w:hAnsi="宋体"/>
          <w:highlight w:val="none"/>
        </w:rPr>
      </w:pPr>
      <w:r>
        <w:rPr>
          <w:rFonts w:hint="eastAsia" w:hAnsi="宋体"/>
          <w:highlight w:val="none"/>
        </w:rPr>
        <w:t>（3）</w:t>
      </w:r>
      <w:r>
        <w:rPr>
          <w:rFonts w:hint="eastAsia" w:hAnsi="宋体"/>
          <w:highlight w:val="none"/>
          <w:lang w:eastAsia="zh-CN"/>
        </w:rPr>
        <w:t>每</w:t>
      </w:r>
      <w:r>
        <w:rPr>
          <w:rFonts w:hint="eastAsia" w:hAnsi="宋体"/>
          <w:highlight w:val="none"/>
        </w:rPr>
        <w:t>一道油漆之间的重涂间隔时间，必须符合油漆说明书的规定，若超过规定时间要采取相应的工艺措施。</w:t>
      </w:r>
    </w:p>
    <w:p w14:paraId="649F242A">
      <w:pPr>
        <w:spacing w:line="360" w:lineRule="auto"/>
        <w:ind w:firstLine="480" w:firstLineChars="200"/>
        <w:jc w:val="left"/>
        <w:rPr>
          <w:rFonts w:hAnsi="宋体"/>
          <w:highlight w:val="none"/>
        </w:rPr>
      </w:pPr>
      <w:r>
        <w:rPr>
          <w:rFonts w:hint="eastAsia" w:hAnsi="宋体"/>
          <w:highlight w:val="none"/>
        </w:rPr>
        <w:t>（4）每道油漆涂装之前，焊缝、构件边缘等难以涂装到的位置应先做一道预涂，以确保所有部位都均匀达到设计要求的厚度值。</w:t>
      </w:r>
    </w:p>
    <w:p w14:paraId="7B585521">
      <w:pPr>
        <w:spacing w:line="360" w:lineRule="auto"/>
        <w:ind w:firstLine="480" w:firstLineChars="200"/>
        <w:jc w:val="left"/>
        <w:rPr>
          <w:rFonts w:hAnsi="宋体"/>
          <w:highlight w:val="none"/>
        </w:rPr>
      </w:pPr>
      <w:r>
        <w:rPr>
          <w:rFonts w:hint="eastAsia" w:hAnsi="宋体"/>
          <w:highlight w:val="none"/>
        </w:rPr>
        <w:t>（5）施工过程中</w:t>
      </w:r>
      <w:r>
        <w:rPr>
          <w:rFonts w:hint="eastAsia" w:hAnsi="宋体"/>
          <w:highlight w:val="none"/>
          <w:lang w:eastAsia="zh-CN"/>
        </w:rPr>
        <w:t>施工者</w:t>
      </w:r>
      <w:r>
        <w:rPr>
          <w:rFonts w:hint="eastAsia" w:hAnsi="宋体"/>
          <w:highlight w:val="none"/>
        </w:rPr>
        <w:t>必须按规范规定的表格做好施工记录。</w:t>
      </w:r>
    </w:p>
    <w:p w14:paraId="429BDE39">
      <w:pPr>
        <w:spacing w:line="360" w:lineRule="auto"/>
        <w:ind w:firstLine="480" w:firstLineChars="200"/>
        <w:jc w:val="left"/>
        <w:rPr>
          <w:rFonts w:hAnsi="宋体"/>
          <w:highlight w:val="none"/>
        </w:rPr>
      </w:pPr>
      <w:r>
        <w:rPr>
          <w:rFonts w:hint="eastAsia" w:hAnsi="宋体"/>
          <w:highlight w:val="none"/>
        </w:rPr>
        <w:t>（6）涂装过程中要注意保护周围邻近的表面，防止落尘的污染，尤其要保护好已完工的表面。</w:t>
      </w:r>
    </w:p>
    <w:p w14:paraId="2C4692A5">
      <w:pPr>
        <w:spacing w:line="360" w:lineRule="auto"/>
        <w:ind w:firstLine="480" w:firstLineChars="200"/>
        <w:jc w:val="left"/>
        <w:rPr>
          <w:rFonts w:hAnsi="宋体"/>
          <w:highlight w:val="none"/>
        </w:rPr>
      </w:pPr>
      <w:r>
        <w:rPr>
          <w:rFonts w:hint="eastAsia" w:hAnsi="宋体"/>
          <w:highlight w:val="none"/>
        </w:rPr>
        <w:t>（7）涂刷</w:t>
      </w:r>
      <w:r>
        <w:rPr>
          <w:rFonts w:hint="eastAsia" w:hAnsi="宋体"/>
          <w:highlight w:val="none"/>
          <w:lang w:eastAsia="zh-CN"/>
        </w:rPr>
        <w:t>前</w:t>
      </w:r>
      <w:r>
        <w:rPr>
          <w:rFonts w:hint="eastAsia" w:hAnsi="宋体"/>
          <w:highlight w:val="none"/>
        </w:rPr>
        <w:t>专业技术人员严格按照使用说明书配合比、统一配制。</w:t>
      </w:r>
    </w:p>
    <w:p w14:paraId="4D9495D3">
      <w:pPr>
        <w:spacing w:line="360" w:lineRule="auto"/>
        <w:ind w:firstLine="480" w:firstLineChars="200"/>
        <w:jc w:val="left"/>
        <w:rPr>
          <w:rFonts w:hAnsi="宋体"/>
          <w:highlight w:val="none"/>
        </w:rPr>
      </w:pPr>
      <w:r>
        <w:rPr>
          <w:rFonts w:hint="eastAsia" w:hAnsi="宋体"/>
          <w:highlight w:val="none"/>
        </w:rPr>
        <w:t>（8）涂料配制时，要根据涂刷面积的大小适量配制，</w:t>
      </w:r>
      <w:r>
        <w:rPr>
          <w:rFonts w:hint="eastAsia" w:hAnsi="宋体"/>
          <w:highlight w:val="none"/>
          <w:lang w:eastAsia="zh-CN"/>
        </w:rPr>
        <w:t>双组分</w:t>
      </w:r>
      <w:r>
        <w:rPr>
          <w:rFonts w:hint="eastAsia" w:hAnsi="宋体"/>
          <w:highlight w:val="none"/>
        </w:rPr>
        <w:t>涂料配制前应搅拌均匀，配制完成的涂料在均匀搅拌并静置熟化后方可使用。</w:t>
      </w:r>
    </w:p>
    <w:p w14:paraId="4BD056ED">
      <w:pPr>
        <w:spacing w:line="360" w:lineRule="auto"/>
        <w:ind w:firstLine="480" w:firstLineChars="200"/>
        <w:jc w:val="left"/>
        <w:rPr>
          <w:rFonts w:hAnsi="宋体"/>
          <w:highlight w:val="none"/>
        </w:rPr>
      </w:pPr>
      <w:r>
        <w:rPr>
          <w:rFonts w:hint="eastAsia" w:hAnsi="宋体"/>
          <w:highlight w:val="none"/>
        </w:rPr>
        <w:t>（9）涂料进行涂装时应采取合理的涂装方法，如：滚筒、毛刷等，进行涂装要均匀一致不能有流坠、桔皮、厚薄不均等现象，涂装时要从上至下一个方向刷到另一个方向，不得乱涂乱刷。</w:t>
      </w:r>
    </w:p>
    <w:p w14:paraId="1FC7DA5B">
      <w:pPr>
        <w:spacing w:line="360" w:lineRule="auto"/>
        <w:ind w:firstLine="480" w:firstLineChars="200"/>
        <w:jc w:val="left"/>
        <w:rPr>
          <w:rFonts w:hAnsi="宋体"/>
          <w:highlight w:val="none"/>
        </w:rPr>
      </w:pPr>
      <w:r>
        <w:rPr>
          <w:rFonts w:hint="eastAsia" w:hAnsi="宋体"/>
          <w:highlight w:val="none"/>
        </w:rPr>
        <w:t>（10）精细完工：全面检查每道涂层有无漏、流挂等缺陷，重点是边、角、缝、棱</w:t>
      </w:r>
      <w:r>
        <w:rPr>
          <w:rFonts w:hint="eastAsia" w:hAnsi="宋体"/>
          <w:highlight w:val="none"/>
          <w:lang w:eastAsia="zh-CN"/>
        </w:rPr>
        <w:t>等</w:t>
      </w:r>
      <w:r>
        <w:rPr>
          <w:rFonts w:hint="eastAsia" w:hAnsi="宋体"/>
          <w:highlight w:val="none"/>
        </w:rPr>
        <w:t>结构部位，在检查中发现的缺陷，要在下一道漆涂刷前修补好，并在进行修补后重新进行检查直至合格。</w:t>
      </w:r>
    </w:p>
    <w:p w14:paraId="75F0E3E9">
      <w:pPr>
        <w:spacing w:line="360" w:lineRule="auto"/>
        <w:ind w:firstLine="480" w:firstLineChars="200"/>
        <w:jc w:val="left"/>
        <w:rPr>
          <w:rFonts w:hAnsi="宋体"/>
          <w:highlight w:val="none"/>
        </w:rPr>
      </w:pPr>
      <w:r>
        <w:rPr>
          <w:rFonts w:hint="eastAsia" w:hAnsi="宋体"/>
          <w:highlight w:val="none"/>
        </w:rPr>
        <w:t>（11）每一道工序完毕后，项目负责人必须按规范规定的表格进行记录，且必须在经过招标方有关人员认可签字后方可再进行下一道工序的施工。</w:t>
      </w:r>
    </w:p>
    <w:p w14:paraId="2F4DB24A">
      <w:pPr>
        <w:spacing w:line="360" w:lineRule="auto"/>
        <w:jc w:val="left"/>
        <w:outlineLvl w:val="3"/>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5</w:t>
      </w:r>
      <w:r>
        <w:rPr>
          <w:rFonts w:hint="eastAsia" w:hAnsi="宋体"/>
          <w:highlight w:val="none"/>
        </w:rPr>
        <w:t>.</w:t>
      </w:r>
      <w:r>
        <w:rPr>
          <w:rFonts w:hAnsi="宋体"/>
          <w:highlight w:val="none"/>
        </w:rPr>
        <w:t>2</w:t>
      </w:r>
      <w:r>
        <w:rPr>
          <w:rFonts w:hint="eastAsia" w:hAnsi="宋体"/>
          <w:highlight w:val="none"/>
          <w:lang w:val="en-US" w:eastAsia="zh-CN"/>
        </w:rPr>
        <w:t xml:space="preserve"> </w:t>
      </w:r>
      <w:r>
        <w:rPr>
          <w:rFonts w:hint="eastAsia" w:hAnsi="宋体"/>
          <w:highlight w:val="none"/>
        </w:rPr>
        <w:t>涂装工艺。</w:t>
      </w:r>
    </w:p>
    <w:p w14:paraId="4334A688">
      <w:pPr>
        <w:spacing w:line="360" w:lineRule="auto"/>
        <w:ind w:firstLine="480" w:firstLineChars="200"/>
        <w:jc w:val="left"/>
        <w:rPr>
          <w:rFonts w:hAnsi="宋体"/>
          <w:highlight w:val="none"/>
        </w:rPr>
      </w:pPr>
      <w:r>
        <w:rPr>
          <w:rFonts w:hint="eastAsia" w:hAnsi="宋体"/>
          <w:highlight w:val="none"/>
        </w:rPr>
        <w:t>（1）使用水喷砂或合金刀、角磨机等除锈工具将</w:t>
      </w:r>
      <w:r>
        <w:rPr>
          <w:rFonts w:hint="eastAsia" w:hAnsi="宋体"/>
          <w:highlight w:val="none"/>
          <w:lang w:val="en-US" w:eastAsia="zh-CN"/>
        </w:rPr>
        <w:t>设备设施</w:t>
      </w:r>
      <w:r>
        <w:rPr>
          <w:rFonts w:hint="eastAsia" w:hAnsi="宋体"/>
          <w:highlight w:val="none"/>
        </w:rPr>
        <w:t>钢结构外表面的浮锈及松动的旧漆膜清除干净，处理后的钢材表面应无附着不牢的氧化皮、铁锈、松动的旧漆膜及其它杂质。</w:t>
      </w:r>
    </w:p>
    <w:p w14:paraId="4B66F1E0">
      <w:pPr>
        <w:spacing w:line="360" w:lineRule="auto"/>
        <w:ind w:firstLine="480" w:firstLineChars="200"/>
        <w:jc w:val="left"/>
        <w:rPr>
          <w:rFonts w:hAnsi="宋体"/>
          <w:highlight w:val="none"/>
        </w:rPr>
      </w:pPr>
      <w:r>
        <w:rPr>
          <w:rFonts w:hint="eastAsia" w:hAnsi="宋体"/>
          <w:highlight w:val="none"/>
        </w:rPr>
        <w:t>（2）对</w:t>
      </w:r>
      <w:r>
        <w:rPr>
          <w:rFonts w:hint="eastAsia" w:hAnsi="宋体"/>
          <w:highlight w:val="none"/>
          <w:lang w:eastAsia="zh-CN"/>
        </w:rPr>
        <w:t>设备设施钢结构</w:t>
      </w:r>
      <w:r>
        <w:rPr>
          <w:rFonts w:hint="eastAsia" w:hAnsi="宋体"/>
          <w:highlight w:val="none"/>
        </w:rPr>
        <w:t>外表面没有受到锈蚀影响的</w:t>
      </w:r>
      <w:r>
        <w:rPr>
          <w:rFonts w:hint="eastAsia" w:hAnsi="宋体"/>
          <w:highlight w:val="none"/>
          <w:lang w:eastAsia="zh-CN"/>
        </w:rPr>
        <w:t>部位</w:t>
      </w:r>
      <w:r>
        <w:rPr>
          <w:rFonts w:hint="eastAsia" w:hAnsi="宋体"/>
          <w:highlight w:val="none"/>
        </w:rPr>
        <w:t>使用粗砂布进行拉毛处理。</w:t>
      </w:r>
    </w:p>
    <w:p w14:paraId="6418D42F">
      <w:pPr>
        <w:spacing w:line="360" w:lineRule="auto"/>
        <w:ind w:firstLine="480" w:firstLineChars="200"/>
        <w:jc w:val="left"/>
        <w:rPr>
          <w:rFonts w:hAnsi="宋体"/>
          <w:highlight w:val="none"/>
        </w:rPr>
      </w:pPr>
      <w:r>
        <w:rPr>
          <w:rFonts w:hint="eastAsia" w:hAnsi="宋体"/>
          <w:highlight w:val="none"/>
        </w:rPr>
        <w:t>（3）表面处理完成后须及时报请招标方验收，经验收合格方可进行下道工序的施工（在验收合格后，必须及时涂装第一道底漆，以免返锈）。</w:t>
      </w:r>
    </w:p>
    <w:p w14:paraId="7D1CA44E">
      <w:pPr>
        <w:spacing w:line="360" w:lineRule="auto"/>
        <w:jc w:val="left"/>
        <w:outlineLvl w:val="3"/>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5</w:t>
      </w:r>
      <w:r>
        <w:rPr>
          <w:rFonts w:hint="eastAsia" w:hAnsi="宋体"/>
          <w:highlight w:val="none"/>
        </w:rPr>
        <w:t>.</w:t>
      </w:r>
      <w:r>
        <w:rPr>
          <w:rFonts w:hAnsi="宋体"/>
          <w:highlight w:val="none"/>
        </w:rPr>
        <w:t>3</w:t>
      </w:r>
      <w:r>
        <w:rPr>
          <w:rFonts w:hint="eastAsia" w:hAnsi="宋体"/>
          <w:highlight w:val="none"/>
          <w:lang w:val="en-US" w:eastAsia="zh-CN"/>
        </w:rPr>
        <w:t xml:space="preserve"> </w:t>
      </w:r>
      <w:r>
        <w:rPr>
          <w:rFonts w:hint="eastAsia" w:hAnsi="宋体"/>
          <w:highlight w:val="none"/>
        </w:rPr>
        <w:t>富锌底漆涂装：</w:t>
      </w:r>
    </w:p>
    <w:p w14:paraId="069C609C">
      <w:pPr>
        <w:spacing w:line="360" w:lineRule="auto"/>
        <w:ind w:firstLine="480" w:firstLineChars="200"/>
        <w:jc w:val="left"/>
        <w:rPr>
          <w:rFonts w:hAnsi="宋体"/>
          <w:highlight w:val="none"/>
        </w:rPr>
      </w:pPr>
      <w:r>
        <w:rPr>
          <w:rFonts w:hint="eastAsia" w:hAnsi="宋体"/>
          <w:highlight w:val="none"/>
        </w:rPr>
        <w:t>（1）钢材表面除锈处理完毕并经验收合格后，对</w:t>
      </w:r>
      <w:r>
        <w:rPr>
          <w:rFonts w:hint="eastAsia" w:hAnsi="宋体"/>
          <w:highlight w:val="none"/>
          <w:lang w:eastAsia="zh-CN"/>
        </w:rPr>
        <w:t>设备设施钢结构</w:t>
      </w:r>
      <w:r>
        <w:rPr>
          <w:rFonts w:hint="eastAsia" w:hAnsi="宋体"/>
          <w:highlight w:val="none"/>
        </w:rPr>
        <w:t>整体进行涂刷，在涂刷时注意检查温度、湿度、钢材温度、油漆温度。如果环境条件达不到施工要求，停止油漆施工。</w:t>
      </w:r>
    </w:p>
    <w:p w14:paraId="78BBD828">
      <w:pPr>
        <w:spacing w:line="360" w:lineRule="auto"/>
        <w:ind w:firstLine="480" w:firstLineChars="200"/>
        <w:jc w:val="left"/>
        <w:rPr>
          <w:rFonts w:hAnsi="宋体"/>
          <w:highlight w:val="none"/>
        </w:rPr>
      </w:pPr>
      <w:r>
        <w:rPr>
          <w:rFonts w:hint="eastAsia" w:hAnsi="宋体"/>
          <w:highlight w:val="none"/>
        </w:rPr>
        <w:t>（2）按照油漆说明书文件准备好油漆、稀释剂并确认颜色是正确的，记录批号、检查包装，如果有</w:t>
      </w:r>
      <w:r>
        <w:rPr>
          <w:rFonts w:hint="eastAsia" w:hAnsi="宋体"/>
          <w:highlight w:val="none"/>
          <w:lang w:eastAsia="zh-CN"/>
        </w:rPr>
        <w:t>泄漏</w:t>
      </w:r>
      <w:r>
        <w:rPr>
          <w:rFonts w:hint="eastAsia" w:hAnsi="宋体"/>
          <w:highlight w:val="none"/>
        </w:rPr>
        <w:t>不得使用，或请油漆生产厂商确认可使用后方能使用。</w:t>
      </w:r>
    </w:p>
    <w:p w14:paraId="6CEFADC7">
      <w:pPr>
        <w:spacing w:line="360" w:lineRule="auto"/>
        <w:ind w:firstLine="480" w:firstLineChars="200"/>
        <w:jc w:val="left"/>
        <w:rPr>
          <w:rFonts w:hAnsi="宋体"/>
          <w:highlight w:val="none"/>
        </w:rPr>
      </w:pPr>
      <w:r>
        <w:rPr>
          <w:rFonts w:hint="eastAsia" w:hAnsi="宋体"/>
          <w:highlight w:val="none"/>
        </w:rPr>
        <w:t>（3）采用辊涂、刷涂的方式进行油漆涂装以达到施工要求。</w:t>
      </w:r>
    </w:p>
    <w:p w14:paraId="61372968">
      <w:pPr>
        <w:spacing w:line="360" w:lineRule="auto"/>
        <w:jc w:val="left"/>
        <w:outlineLvl w:val="3"/>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5</w:t>
      </w:r>
      <w:r>
        <w:rPr>
          <w:rFonts w:hint="eastAsia" w:hAnsi="宋体"/>
          <w:highlight w:val="none"/>
        </w:rPr>
        <w:t>.</w:t>
      </w:r>
      <w:r>
        <w:rPr>
          <w:rFonts w:hAnsi="宋体"/>
          <w:highlight w:val="none"/>
        </w:rPr>
        <w:t>4</w:t>
      </w:r>
      <w:r>
        <w:rPr>
          <w:rFonts w:hint="eastAsia" w:hAnsi="宋体"/>
          <w:highlight w:val="none"/>
          <w:lang w:val="en-US" w:eastAsia="zh-CN"/>
        </w:rPr>
        <w:t xml:space="preserve"> </w:t>
      </w:r>
      <w:r>
        <w:rPr>
          <w:rFonts w:hint="eastAsia" w:hAnsi="宋体"/>
          <w:highlight w:val="none"/>
        </w:rPr>
        <w:t>中间漆、面漆涂装</w:t>
      </w:r>
    </w:p>
    <w:p w14:paraId="26C9DBCF">
      <w:pPr>
        <w:spacing w:line="360" w:lineRule="auto"/>
        <w:ind w:firstLine="480" w:firstLineChars="200"/>
        <w:jc w:val="left"/>
        <w:rPr>
          <w:rFonts w:hAnsi="宋体"/>
          <w:highlight w:val="none"/>
        </w:rPr>
      </w:pPr>
      <w:r>
        <w:rPr>
          <w:rFonts w:hint="eastAsia" w:hAnsi="宋体"/>
          <w:highlight w:val="none"/>
        </w:rPr>
        <w:t>（1）检查底漆漆膜外观等，在确认底漆表面清洁无油污</w:t>
      </w:r>
      <w:r>
        <w:rPr>
          <w:rFonts w:hint="eastAsia" w:hAnsi="宋体"/>
          <w:highlight w:val="none"/>
          <w:lang w:eastAsia="zh-CN"/>
        </w:rPr>
        <w:t>，并且</w:t>
      </w:r>
      <w:r>
        <w:rPr>
          <w:rFonts w:hint="eastAsia" w:hAnsi="宋体"/>
          <w:highlight w:val="none"/>
        </w:rPr>
        <w:t>完全固化干燥后无缺陷施涂中间漆、面漆。</w:t>
      </w:r>
    </w:p>
    <w:p w14:paraId="5ABBBCE8">
      <w:pPr>
        <w:spacing w:line="360" w:lineRule="auto"/>
        <w:ind w:firstLine="480" w:firstLineChars="200"/>
        <w:jc w:val="left"/>
        <w:rPr>
          <w:rFonts w:hAnsi="宋体"/>
          <w:highlight w:val="none"/>
        </w:rPr>
      </w:pPr>
      <w:r>
        <w:rPr>
          <w:rFonts w:hint="eastAsia" w:hAnsi="宋体"/>
          <w:highlight w:val="none"/>
        </w:rPr>
        <w:t>（2）在中间漆、面漆涂刷时同样注意检查温度、湿度、钢材温度、油漆温度。如果环境条件达不到施工要求，停止油漆施工。</w:t>
      </w:r>
    </w:p>
    <w:p w14:paraId="3C90F724">
      <w:pPr>
        <w:spacing w:line="360" w:lineRule="auto"/>
        <w:ind w:firstLine="480" w:firstLineChars="200"/>
        <w:jc w:val="left"/>
        <w:rPr>
          <w:rFonts w:hAnsi="宋体"/>
          <w:highlight w:val="none"/>
        </w:rPr>
      </w:pPr>
      <w:r>
        <w:rPr>
          <w:rFonts w:hint="eastAsia" w:hAnsi="宋体"/>
          <w:highlight w:val="none"/>
        </w:rPr>
        <w:t>（3）采用辊涂、刷涂的方式进行油漆涂装以达到施工要求。</w:t>
      </w:r>
    </w:p>
    <w:p w14:paraId="4C24D661">
      <w:pPr>
        <w:spacing w:line="360" w:lineRule="auto"/>
        <w:ind w:firstLine="480" w:firstLineChars="200"/>
        <w:jc w:val="left"/>
        <w:rPr>
          <w:rFonts w:hint="eastAsia" w:hAnsi="宋体"/>
          <w:highlight w:val="none"/>
        </w:rPr>
      </w:pPr>
      <w:r>
        <w:rPr>
          <w:rFonts w:hint="eastAsia" w:hAnsi="宋体"/>
          <w:highlight w:val="none"/>
        </w:rPr>
        <w:t>（4）检查：涂层表面应光滑平整，颜色一致，目测有无漏涂、流挂、桔皮、针孔等现象，在检查中发现的缺陷，则采取相应的工艺措施进行修补，在进行修补后要重新进行检查直至合格优良。</w:t>
      </w:r>
    </w:p>
    <w:p w14:paraId="47C7A040">
      <w:pPr>
        <w:spacing w:line="360" w:lineRule="auto"/>
        <w:jc w:val="left"/>
        <w:outlineLvl w:val="3"/>
        <w:rPr>
          <w:rFonts w:hint="eastAsia" w:ascii="宋体" w:hAnsi="宋体" w:eastAsia="宋体" w:cs="宋体"/>
          <w:sz w:val="24"/>
          <w:szCs w:val="24"/>
          <w:highlight w:val="none"/>
          <w:lang w:val="en-US" w:eastAsia="zh-CN"/>
        </w:rPr>
      </w:pPr>
      <w:r>
        <w:rPr>
          <w:rFonts w:hint="eastAsia" w:hAnsi="宋体"/>
          <w:highlight w:val="none"/>
          <w:lang w:val="en-US" w:eastAsia="zh-CN"/>
        </w:rPr>
        <w:t xml:space="preserve">5.1.5.4 </w:t>
      </w:r>
      <w:r>
        <w:rPr>
          <w:rFonts w:ascii="宋体" w:hAnsi="宋体" w:eastAsia="宋体" w:cs="宋体"/>
          <w:sz w:val="24"/>
          <w:szCs w:val="24"/>
          <w:highlight w:val="none"/>
        </w:rPr>
        <w:t>乙烯酯玻璃鳞片耐酸漆</w:t>
      </w:r>
      <w:r>
        <w:rPr>
          <w:rFonts w:hint="eastAsia" w:ascii="宋体" w:hAnsi="宋体" w:eastAsia="宋体" w:cs="宋体"/>
          <w:sz w:val="24"/>
          <w:szCs w:val="24"/>
          <w:highlight w:val="none"/>
          <w:lang w:val="en-US" w:eastAsia="zh-CN"/>
        </w:rPr>
        <w:t>涂装：</w:t>
      </w:r>
    </w:p>
    <w:p w14:paraId="0354F344">
      <w:pPr>
        <w:numPr>
          <w:ilvl w:val="0"/>
          <w:numId w:val="3"/>
        </w:numPr>
        <w:spacing w:line="360" w:lineRule="auto"/>
        <w:ind w:firstLine="480" w:firstLineChars="200"/>
        <w:jc w:val="left"/>
        <w:rPr>
          <w:rFonts w:hint="eastAsia" w:hAnsi="宋体"/>
          <w:highlight w:val="none"/>
        </w:rPr>
      </w:pPr>
      <w:r>
        <w:rPr>
          <w:rFonts w:hint="eastAsia" w:hAnsi="宋体"/>
          <w:highlight w:val="none"/>
          <w:lang w:val="en-US" w:eastAsia="zh-CN"/>
        </w:rPr>
        <w:t>钢</w:t>
      </w:r>
      <w:r>
        <w:rPr>
          <w:rFonts w:hint="eastAsia" w:hAnsi="宋体"/>
          <w:highlight w:val="none"/>
        </w:rPr>
        <w:t>材表面除锈处理完毕并经验收合格后，对</w:t>
      </w:r>
      <w:r>
        <w:rPr>
          <w:rFonts w:hint="eastAsia" w:hAnsi="宋体"/>
          <w:highlight w:val="none"/>
          <w:lang w:eastAsia="zh-CN"/>
        </w:rPr>
        <w:t>设备设施钢结构</w:t>
      </w:r>
      <w:r>
        <w:rPr>
          <w:rFonts w:hint="eastAsia" w:hAnsi="宋体"/>
          <w:highlight w:val="none"/>
        </w:rPr>
        <w:t>整体进行涂刷，在涂刷时注意检查温度、湿度、钢材温度、油漆温度。如果环境条件达不到施工要求，停止油漆施工。</w:t>
      </w:r>
    </w:p>
    <w:p w14:paraId="74EBCC38">
      <w:pPr>
        <w:spacing w:line="360" w:lineRule="auto"/>
        <w:ind w:firstLine="480" w:firstLineChars="200"/>
        <w:jc w:val="left"/>
        <w:rPr>
          <w:rFonts w:hint="eastAsia" w:hAnsi="宋体"/>
          <w:highlight w:val="none"/>
        </w:rPr>
      </w:pP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2</w:t>
      </w:r>
      <w:r>
        <w:rPr>
          <w:rFonts w:hint="eastAsia" w:ascii="宋体" w:hAnsi="宋体" w:cs="宋体"/>
          <w:sz w:val="24"/>
          <w:szCs w:val="24"/>
          <w:highlight w:val="none"/>
          <w:lang w:eastAsia="zh-CN"/>
        </w:rPr>
        <w:t>）</w:t>
      </w:r>
      <w:r>
        <w:rPr>
          <w:rFonts w:ascii="宋体" w:hAnsi="宋体" w:eastAsia="宋体" w:cs="宋体"/>
          <w:sz w:val="24"/>
          <w:szCs w:val="24"/>
          <w:highlight w:val="none"/>
        </w:rPr>
        <w:t>核对油漆主漆、固化剂、促进剂型号匹配性，确认在保质期内，无结块、分层、沉淀；配套苯乙烯专用稀释剂、固化剂（过氧化类）、促进剂（钴盐类）单独存放，严禁混放。</w:t>
      </w:r>
    </w:p>
    <w:p w14:paraId="4F6D1786">
      <w:pPr>
        <w:numPr>
          <w:ilvl w:val="0"/>
          <w:numId w:val="0"/>
        </w:numPr>
        <w:spacing w:line="360" w:lineRule="auto"/>
        <w:ind w:firstLine="480" w:firstLineChars="200"/>
        <w:jc w:val="left"/>
        <w:rPr>
          <w:rFonts w:hint="eastAsia" w:hAnsi="宋体"/>
          <w:highlight w:val="none"/>
        </w:rPr>
      </w:pPr>
      <w:r>
        <w:rPr>
          <w:rFonts w:hint="eastAsia" w:ascii="宋体" w:hAnsi="宋体" w:eastAsia="宋体" w:cs="宋体"/>
          <w:sz w:val="24"/>
          <w:szCs w:val="24"/>
          <w:highlight w:val="none"/>
          <w:lang w:val="en-US" w:eastAsia="zh-CN"/>
        </w:rPr>
        <w:t>（3）</w:t>
      </w:r>
      <w:r>
        <w:rPr>
          <w:rFonts w:ascii="宋体" w:hAnsi="宋体" w:eastAsia="宋体" w:cs="宋体"/>
          <w:sz w:val="24"/>
          <w:szCs w:val="24"/>
          <w:highlight w:val="none"/>
        </w:rPr>
        <w:t>配料遵循「先主漆+促进剂，后加固化剂」顺序，严禁固化剂与促进剂直接混合（防止爆聚）；全程采用质量比调配，通用配比为主漆</w:t>
      </w:r>
      <w:r>
        <w:rPr>
          <w:rFonts w:hint="eastAsia" w:ascii="宋体" w:hAnsi="宋体" w:cs="宋体"/>
          <w:sz w:val="24"/>
          <w:szCs w:val="24"/>
          <w:highlight w:val="none"/>
          <w:lang w:eastAsia="zh-CN"/>
        </w:rPr>
        <w:t>：</w:t>
      </w:r>
      <w:r>
        <w:rPr>
          <w:rFonts w:ascii="宋体" w:hAnsi="宋体" w:eastAsia="宋体" w:cs="宋体"/>
          <w:sz w:val="24"/>
          <w:szCs w:val="24"/>
          <w:highlight w:val="none"/>
        </w:rPr>
        <w:t>固化剂</w:t>
      </w:r>
      <w:r>
        <w:rPr>
          <w:rFonts w:hint="eastAsia" w:ascii="宋体" w:hAnsi="宋体" w:cs="宋体"/>
          <w:sz w:val="24"/>
          <w:szCs w:val="24"/>
          <w:highlight w:val="none"/>
          <w:lang w:eastAsia="zh-CN"/>
        </w:rPr>
        <w:t>：</w:t>
      </w:r>
      <w:r>
        <w:rPr>
          <w:rFonts w:ascii="宋体" w:hAnsi="宋体" w:eastAsia="宋体" w:cs="宋体"/>
          <w:sz w:val="24"/>
          <w:szCs w:val="24"/>
          <w:highlight w:val="none"/>
        </w:rPr>
        <w:t>促进剂=100:1.5~3.0:0.2~0.8。</w:t>
      </w:r>
    </w:p>
    <w:p w14:paraId="7736F07A">
      <w:pPr>
        <w:spacing w:line="360" w:lineRule="auto"/>
        <w:ind w:firstLine="480" w:firstLineChars="200"/>
        <w:jc w:val="left"/>
        <w:rPr>
          <w:rFonts w:ascii="宋体" w:hAnsi="宋体" w:eastAsia="宋体" w:cs="宋体"/>
          <w:sz w:val="24"/>
          <w:szCs w:val="24"/>
          <w:highlight w:val="none"/>
        </w:rPr>
      </w:pPr>
      <w:r>
        <w:rPr>
          <w:rFonts w:hint="eastAsia" w:ascii="宋体" w:hAnsi="宋体" w:cs="宋体"/>
          <w:sz w:val="24"/>
          <w:szCs w:val="24"/>
          <w:highlight w:val="none"/>
          <w:lang w:val="en-US" w:eastAsia="zh-CN"/>
        </w:rPr>
        <w:t>（4）</w:t>
      </w:r>
      <w:r>
        <w:rPr>
          <w:rFonts w:ascii="宋体" w:hAnsi="宋体" w:eastAsia="宋体" w:cs="宋体"/>
          <w:sz w:val="24"/>
          <w:szCs w:val="24"/>
          <w:highlight w:val="none"/>
        </w:rPr>
        <w:t>大面积平整</w:t>
      </w:r>
      <w:r>
        <w:rPr>
          <w:rFonts w:hint="eastAsia" w:ascii="宋体" w:hAnsi="宋体" w:cs="宋体"/>
          <w:sz w:val="24"/>
          <w:szCs w:val="24"/>
          <w:highlight w:val="none"/>
          <w:lang w:eastAsia="zh-CN"/>
        </w:rPr>
        <w:t>设备设施钢结构</w:t>
      </w:r>
      <w:r>
        <w:rPr>
          <w:rFonts w:ascii="宋体" w:hAnsi="宋体" w:eastAsia="宋体" w:cs="宋体"/>
          <w:sz w:val="24"/>
          <w:szCs w:val="24"/>
          <w:highlight w:val="none"/>
        </w:rPr>
        <w:t>：优先高压无气喷涂，施工效率高、涂层均匀，鳞片排列规整； 焊缝、边角、螺栓连接处、异形构件：先采用刮板/短毛滚刷预涂，避免漏涂、涂层厚度不足，再进行大面积喷涂；</w:t>
      </w:r>
    </w:p>
    <w:p w14:paraId="4BD65A6B">
      <w:pPr>
        <w:spacing w:line="360" w:lineRule="auto"/>
        <w:ind w:firstLine="480" w:firstLineChars="200"/>
        <w:jc w:val="left"/>
        <w:rPr>
          <w:rFonts w:ascii="宋体" w:hAnsi="宋体" w:eastAsia="宋体" w:cs="宋体"/>
          <w:sz w:val="24"/>
          <w:szCs w:val="24"/>
          <w:highlight w:val="none"/>
        </w:rPr>
      </w:pPr>
      <w:r>
        <w:rPr>
          <w:rFonts w:hint="eastAsia" w:ascii="宋体" w:hAnsi="宋体" w:cs="宋体"/>
          <w:sz w:val="24"/>
          <w:szCs w:val="24"/>
          <w:highlight w:val="none"/>
          <w:lang w:val="en-US" w:eastAsia="zh-CN"/>
        </w:rPr>
        <w:t>（5）</w:t>
      </w:r>
      <w:r>
        <w:rPr>
          <w:rFonts w:ascii="宋体" w:hAnsi="宋体" w:eastAsia="宋体" w:cs="宋体"/>
          <w:sz w:val="24"/>
          <w:szCs w:val="24"/>
          <w:highlight w:val="none"/>
        </w:rPr>
        <w:t>层间间隔时间按环境温度调整，常温（25℃）下间隔8~24小时，以涂层指触干、无粘手为准</w:t>
      </w:r>
      <w:r>
        <w:rPr>
          <w:rFonts w:hint="eastAsia" w:ascii="宋体" w:hAnsi="宋体" w:cs="宋体"/>
          <w:sz w:val="24"/>
          <w:szCs w:val="24"/>
          <w:highlight w:val="none"/>
          <w:lang w:eastAsia="zh-CN"/>
        </w:rPr>
        <w:t>，</w:t>
      </w:r>
      <w:r>
        <w:rPr>
          <w:rFonts w:ascii="宋体" w:hAnsi="宋体" w:eastAsia="宋体" w:cs="宋体"/>
          <w:sz w:val="24"/>
          <w:szCs w:val="24"/>
          <w:highlight w:val="none"/>
        </w:rPr>
        <w:t>下一道涂装前，检查上道涂层表面，无油污、粉尘、流挂、针孔；若有缺陷，打磨清理后补涂；若涂层表面结皮、起粉，用细砂纸轻磨拉毛，吹扫干净后再涂装。</w:t>
      </w:r>
    </w:p>
    <w:p w14:paraId="1BBADA55">
      <w:pPr>
        <w:spacing w:line="360" w:lineRule="auto"/>
        <w:ind w:firstLine="480" w:firstLineChars="200"/>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施工后检查</w:t>
      </w:r>
      <w:r>
        <w:rPr>
          <w:rFonts w:ascii="宋体" w:hAnsi="宋体" w:eastAsia="宋体" w:cs="宋体"/>
          <w:sz w:val="24"/>
          <w:szCs w:val="24"/>
          <w:highlight w:val="none"/>
        </w:rPr>
        <w:t>采用目视+手触方式全数检查，涂层表面需平整致密、色泽均匀一致，无流挂、针孔、气泡、起皮、开裂、漏涂、露底等缺陷</w:t>
      </w:r>
      <w:r>
        <w:rPr>
          <w:rFonts w:hint="eastAsia" w:ascii="宋体" w:hAnsi="宋体" w:eastAsia="宋体" w:cs="宋体"/>
          <w:sz w:val="24"/>
          <w:szCs w:val="24"/>
          <w:highlight w:val="none"/>
          <w:lang w:eastAsia="zh-CN"/>
        </w:rPr>
        <w:t>，</w:t>
      </w:r>
      <w:r>
        <w:rPr>
          <w:rFonts w:ascii="宋体" w:hAnsi="宋体" w:eastAsia="宋体" w:cs="宋体"/>
          <w:sz w:val="24"/>
          <w:szCs w:val="24"/>
          <w:highlight w:val="none"/>
        </w:rPr>
        <w:t>玻璃鳞片分布均匀，无明显鳞片沉降、堆积，无刷痕、喷痕，焊缝、边角、螺栓等复杂部位无缺涂、薄涂</w:t>
      </w:r>
      <w:r>
        <w:rPr>
          <w:rFonts w:hint="eastAsia" w:ascii="宋体" w:hAnsi="宋体" w:eastAsia="宋体" w:cs="宋体"/>
          <w:sz w:val="24"/>
          <w:szCs w:val="24"/>
          <w:highlight w:val="none"/>
          <w:lang w:eastAsia="zh-CN"/>
        </w:rPr>
        <w:t>。</w:t>
      </w:r>
    </w:p>
    <w:p w14:paraId="3DBA93B9">
      <w:pPr>
        <w:spacing w:line="360" w:lineRule="auto"/>
        <w:jc w:val="left"/>
        <w:outlineLvl w:val="2"/>
        <w:rPr>
          <w:rFonts w:hAnsi="宋体"/>
          <w:highlight w:val="none"/>
        </w:rPr>
      </w:pPr>
      <w:bookmarkStart w:id="31" w:name="_Toc11969"/>
      <w:bookmarkStart w:id="32" w:name="_Toc22030"/>
      <w:r>
        <w:rPr>
          <w:rFonts w:hint="eastAsia" w:hAnsi="宋体"/>
          <w:highlight w:val="none"/>
        </w:rPr>
        <w:t>5.</w:t>
      </w:r>
      <w:r>
        <w:rPr>
          <w:rFonts w:hAnsi="宋体"/>
          <w:highlight w:val="none"/>
        </w:rPr>
        <w:t>1</w:t>
      </w:r>
      <w:r>
        <w:rPr>
          <w:rFonts w:hint="eastAsia" w:hAnsi="宋体"/>
          <w:highlight w:val="none"/>
        </w:rPr>
        <w:t>.</w:t>
      </w:r>
      <w:r>
        <w:rPr>
          <w:rFonts w:hAnsi="宋体"/>
          <w:highlight w:val="none"/>
        </w:rPr>
        <w:t>6</w:t>
      </w:r>
      <w:r>
        <w:rPr>
          <w:rFonts w:hint="eastAsia" w:hAnsi="宋体"/>
          <w:highlight w:val="none"/>
          <w:lang w:val="en-US" w:eastAsia="zh-CN"/>
        </w:rPr>
        <w:t xml:space="preserve"> </w:t>
      </w:r>
      <w:r>
        <w:rPr>
          <w:rFonts w:hint="eastAsia" w:hAnsi="宋体"/>
          <w:highlight w:val="none"/>
        </w:rPr>
        <w:t>漆膜修补</w:t>
      </w:r>
      <w:bookmarkEnd w:id="31"/>
      <w:bookmarkEnd w:id="32"/>
    </w:p>
    <w:p w14:paraId="2686E1F4">
      <w:pPr>
        <w:spacing w:line="360" w:lineRule="auto"/>
        <w:jc w:val="left"/>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6</w:t>
      </w:r>
      <w:r>
        <w:rPr>
          <w:rFonts w:hint="eastAsia" w:hAnsi="宋体"/>
          <w:highlight w:val="none"/>
        </w:rPr>
        <w:t>.1</w:t>
      </w:r>
      <w:r>
        <w:rPr>
          <w:rFonts w:hint="eastAsia" w:hAnsi="宋体"/>
          <w:highlight w:val="none"/>
          <w:lang w:val="en-US" w:eastAsia="zh-CN"/>
        </w:rPr>
        <w:t xml:space="preserve"> </w:t>
      </w:r>
      <w:r>
        <w:rPr>
          <w:rFonts w:hint="eastAsia" w:hAnsi="宋体"/>
          <w:highlight w:val="none"/>
        </w:rPr>
        <w:t>受到破损的漆膜要按照规定的工艺进行修补，而且修补工作要在涂刷最后一道面漆之前完成。</w:t>
      </w:r>
    </w:p>
    <w:p w14:paraId="06C4BBAD">
      <w:pPr>
        <w:spacing w:line="360" w:lineRule="auto"/>
        <w:jc w:val="left"/>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6</w:t>
      </w:r>
      <w:r>
        <w:rPr>
          <w:rFonts w:hint="eastAsia" w:hAnsi="宋体"/>
          <w:highlight w:val="none"/>
        </w:rPr>
        <w:t>.2</w:t>
      </w:r>
      <w:r>
        <w:rPr>
          <w:rFonts w:hint="eastAsia" w:hAnsi="宋体"/>
          <w:highlight w:val="none"/>
          <w:lang w:val="en-US" w:eastAsia="zh-CN"/>
        </w:rPr>
        <w:t xml:space="preserve"> </w:t>
      </w:r>
      <w:r>
        <w:rPr>
          <w:rFonts w:hint="eastAsia" w:hAnsi="宋体"/>
          <w:highlight w:val="none"/>
        </w:rPr>
        <w:t>修补方式：修补采用毛刷或滚筒进行涂装。</w:t>
      </w:r>
    </w:p>
    <w:p w14:paraId="5139648C">
      <w:pPr>
        <w:spacing w:line="360" w:lineRule="auto"/>
        <w:jc w:val="left"/>
        <w:rPr>
          <w:rFonts w:hAnsi="宋体"/>
          <w:highlight w:val="none"/>
        </w:rPr>
      </w:pPr>
      <w:r>
        <w:rPr>
          <w:rFonts w:hint="eastAsia" w:hAnsi="宋体"/>
          <w:highlight w:val="none"/>
        </w:rPr>
        <w:t>5.</w:t>
      </w:r>
      <w:r>
        <w:rPr>
          <w:rFonts w:hAnsi="宋体"/>
          <w:highlight w:val="none"/>
        </w:rPr>
        <w:t>1</w:t>
      </w:r>
      <w:r>
        <w:rPr>
          <w:rFonts w:hint="eastAsia" w:hAnsi="宋体"/>
          <w:highlight w:val="none"/>
        </w:rPr>
        <w:t>.</w:t>
      </w:r>
      <w:r>
        <w:rPr>
          <w:rFonts w:hAnsi="宋体"/>
          <w:highlight w:val="none"/>
        </w:rPr>
        <w:t>6</w:t>
      </w:r>
      <w:r>
        <w:rPr>
          <w:rFonts w:hint="eastAsia" w:hAnsi="宋体"/>
          <w:highlight w:val="none"/>
        </w:rPr>
        <w:t>.3</w:t>
      </w:r>
      <w:r>
        <w:rPr>
          <w:rFonts w:hint="eastAsia" w:hAnsi="宋体"/>
          <w:highlight w:val="none"/>
          <w:lang w:val="en-US" w:eastAsia="zh-CN"/>
        </w:rPr>
        <w:t xml:space="preserve"> </w:t>
      </w:r>
      <w:r>
        <w:rPr>
          <w:rFonts w:hint="eastAsia" w:hAnsi="宋体"/>
          <w:highlight w:val="none"/>
        </w:rPr>
        <w:t>修补工艺</w:t>
      </w:r>
    </w:p>
    <w:p w14:paraId="65BEB5D2">
      <w:pPr>
        <w:spacing w:line="360" w:lineRule="auto"/>
        <w:ind w:firstLine="480" w:firstLineChars="200"/>
        <w:jc w:val="left"/>
        <w:rPr>
          <w:rFonts w:hAnsi="宋体"/>
          <w:highlight w:val="none"/>
        </w:rPr>
      </w:pPr>
      <w:r>
        <w:rPr>
          <w:rFonts w:hint="eastAsia" w:hAnsi="宋体"/>
          <w:highlight w:val="none"/>
        </w:rPr>
        <w:t>油漆涂层按配套系统逐层补齐，界面注意涂刷均匀，避免突变现象，修补的范围要比破损位置稍大，边缘打磨</w:t>
      </w:r>
      <w:r>
        <w:rPr>
          <w:rFonts w:hint="eastAsia" w:hAnsi="宋体"/>
          <w:highlight w:val="none"/>
          <w:lang w:eastAsia="zh-CN"/>
        </w:rPr>
        <w:t>过渡</w:t>
      </w:r>
      <w:r>
        <w:rPr>
          <w:rFonts w:hint="eastAsia" w:hAnsi="宋体"/>
          <w:highlight w:val="none"/>
        </w:rPr>
        <w:t>平稳。</w:t>
      </w:r>
    </w:p>
    <w:p w14:paraId="7CABDD4F">
      <w:pPr>
        <w:spacing w:line="360" w:lineRule="auto"/>
        <w:jc w:val="left"/>
        <w:outlineLvl w:val="2"/>
        <w:rPr>
          <w:rFonts w:hAnsi="宋体"/>
          <w:highlight w:val="none"/>
        </w:rPr>
      </w:pPr>
      <w:bookmarkStart w:id="33" w:name="_Toc1990"/>
      <w:bookmarkStart w:id="34" w:name="_Toc397"/>
      <w:r>
        <w:rPr>
          <w:rFonts w:hint="eastAsia" w:hAnsi="宋体"/>
          <w:highlight w:val="none"/>
        </w:rPr>
        <w:t>5.</w:t>
      </w:r>
      <w:r>
        <w:rPr>
          <w:rFonts w:hAnsi="宋体"/>
          <w:highlight w:val="none"/>
        </w:rPr>
        <w:t>1</w:t>
      </w:r>
      <w:r>
        <w:rPr>
          <w:rFonts w:hint="eastAsia" w:hAnsi="宋体"/>
          <w:highlight w:val="none"/>
        </w:rPr>
        <w:t>.</w:t>
      </w:r>
      <w:r>
        <w:rPr>
          <w:rFonts w:hAnsi="宋体"/>
          <w:highlight w:val="none"/>
        </w:rPr>
        <w:t>7</w:t>
      </w:r>
      <w:r>
        <w:rPr>
          <w:rFonts w:hint="eastAsia" w:hAnsi="宋体"/>
          <w:highlight w:val="none"/>
          <w:lang w:val="en-US" w:eastAsia="zh-CN"/>
        </w:rPr>
        <w:t xml:space="preserve"> </w:t>
      </w:r>
      <w:r>
        <w:rPr>
          <w:rFonts w:hint="eastAsia" w:hAnsi="宋体"/>
          <w:highlight w:val="none"/>
        </w:rPr>
        <w:t>涂装工作的限制</w:t>
      </w:r>
      <w:bookmarkEnd w:id="33"/>
      <w:bookmarkEnd w:id="34"/>
    </w:p>
    <w:p w14:paraId="49A0F4E3">
      <w:pPr>
        <w:spacing w:line="360" w:lineRule="auto"/>
        <w:ind w:firstLine="480" w:firstLineChars="200"/>
        <w:jc w:val="left"/>
        <w:rPr>
          <w:rFonts w:hAnsi="宋体"/>
          <w:highlight w:val="none"/>
        </w:rPr>
      </w:pPr>
      <w:r>
        <w:rPr>
          <w:rFonts w:hint="eastAsia" w:hAnsi="宋体"/>
          <w:highlight w:val="none"/>
        </w:rPr>
        <w:t>出现下述情况时，工件的涂装工作应予以停止。在采取了相应的措施后才能继续进行涂装。</w:t>
      </w:r>
    </w:p>
    <w:tbl>
      <w:tblPr>
        <w:tblStyle w:val="38"/>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73"/>
        <w:gridCol w:w="3247"/>
        <w:gridCol w:w="2505"/>
        <w:gridCol w:w="2466"/>
      </w:tblGrid>
      <w:tr w14:paraId="332A2B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2" w:hRule="atLeast"/>
          <w:tblHeader/>
        </w:trPr>
        <w:tc>
          <w:tcPr>
            <w:tcW w:w="379" w:type="pct"/>
            <w:vAlign w:val="center"/>
          </w:tcPr>
          <w:p w14:paraId="3B631421">
            <w:pPr>
              <w:spacing w:line="360" w:lineRule="auto"/>
              <w:jc w:val="center"/>
              <w:rPr>
                <w:rFonts w:hAnsi="宋体"/>
                <w:b/>
                <w:bCs/>
                <w:sz w:val="21"/>
                <w:szCs w:val="21"/>
                <w:highlight w:val="none"/>
              </w:rPr>
            </w:pPr>
            <w:r>
              <w:rPr>
                <w:rFonts w:hint="eastAsia" w:hAnsi="宋体"/>
                <w:b/>
                <w:bCs/>
                <w:sz w:val="21"/>
                <w:szCs w:val="21"/>
                <w:highlight w:val="none"/>
              </w:rPr>
              <w:t>序号</w:t>
            </w:r>
          </w:p>
        </w:tc>
        <w:tc>
          <w:tcPr>
            <w:tcW w:w="1825" w:type="pct"/>
            <w:vAlign w:val="center"/>
          </w:tcPr>
          <w:p w14:paraId="6092206E">
            <w:pPr>
              <w:spacing w:line="360" w:lineRule="auto"/>
              <w:jc w:val="center"/>
              <w:rPr>
                <w:rFonts w:hAnsi="宋体"/>
                <w:b/>
                <w:bCs/>
                <w:sz w:val="21"/>
                <w:szCs w:val="21"/>
                <w:highlight w:val="none"/>
              </w:rPr>
            </w:pPr>
            <w:r>
              <w:rPr>
                <w:rFonts w:hint="eastAsia" w:hAnsi="宋体"/>
                <w:b/>
                <w:bCs/>
                <w:sz w:val="21"/>
                <w:szCs w:val="21"/>
                <w:highlight w:val="none"/>
              </w:rPr>
              <w:t>禁止状态</w:t>
            </w:r>
          </w:p>
        </w:tc>
        <w:tc>
          <w:tcPr>
            <w:tcW w:w="1408" w:type="pct"/>
            <w:vAlign w:val="center"/>
          </w:tcPr>
          <w:p w14:paraId="469D22D4">
            <w:pPr>
              <w:spacing w:line="360" w:lineRule="auto"/>
              <w:jc w:val="center"/>
              <w:rPr>
                <w:rFonts w:hAnsi="宋体"/>
                <w:b/>
                <w:bCs/>
                <w:sz w:val="21"/>
                <w:szCs w:val="21"/>
                <w:highlight w:val="none"/>
              </w:rPr>
            </w:pPr>
            <w:r>
              <w:rPr>
                <w:rFonts w:hint="eastAsia" w:hAnsi="宋体"/>
                <w:b/>
                <w:bCs/>
                <w:sz w:val="21"/>
                <w:szCs w:val="21"/>
                <w:highlight w:val="none"/>
              </w:rPr>
              <w:t>相应措施</w:t>
            </w:r>
          </w:p>
        </w:tc>
        <w:tc>
          <w:tcPr>
            <w:tcW w:w="1386" w:type="pct"/>
            <w:vAlign w:val="center"/>
          </w:tcPr>
          <w:p w14:paraId="03320EE6">
            <w:pPr>
              <w:spacing w:line="360" w:lineRule="auto"/>
              <w:jc w:val="center"/>
              <w:rPr>
                <w:rFonts w:hAnsi="宋体"/>
                <w:b/>
                <w:bCs/>
                <w:sz w:val="21"/>
                <w:szCs w:val="21"/>
                <w:highlight w:val="none"/>
              </w:rPr>
            </w:pPr>
            <w:r>
              <w:rPr>
                <w:rFonts w:hint="eastAsia" w:hAnsi="宋体"/>
                <w:b/>
                <w:bCs/>
                <w:sz w:val="21"/>
                <w:szCs w:val="21"/>
                <w:highlight w:val="none"/>
              </w:rPr>
              <w:t>理由</w:t>
            </w:r>
          </w:p>
        </w:tc>
      </w:tr>
      <w:tr w14:paraId="65C01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7" w:hRule="atLeast"/>
        </w:trPr>
        <w:tc>
          <w:tcPr>
            <w:tcW w:w="379" w:type="pct"/>
            <w:vAlign w:val="center"/>
          </w:tcPr>
          <w:p w14:paraId="3FE3D836">
            <w:pPr>
              <w:spacing w:line="360" w:lineRule="auto"/>
              <w:jc w:val="center"/>
              <w:rPr>
                <w:rFonts w:hAnsi="宋体"/>
                <w:sz w:val="21"/>
                <w:szCs w:val="21"/>
                <w:highlight w:val="none"/>
              </w:rPr>
            </w:pPr>
            <w:r>
              <w:rPr>
                <w:rFonts w:hint="eastAsia" w:hAnsi="宋体"/>
                <w:sz w:val="21"/>
                <w:szCs w:val="21"/>
                <w:highlight w:val="none"/>
              </w:rPr>
              <w:t>1</w:t>
            </w:r>
          </w:p>
        </w:tc>
        <w:tc>
          <w:tcPr>
            <w:tcW w:w="1825" w:type="pct"/>
            <w:vAlign w:val="center"/>
          </w:tcPr>
          <w:p w14:paraId="153FCEB5">
            <w:pPr>
              <w:spacing w:line="360" w:lineRule="auto"/>
              <w:jc w:val="left"/>
              <w:rPr>
                <w:rFonts w:hAnsi="宋体"/>
                <w:sz w:val="21"/>
                <w:szCs w:val="21"/>
                <w:highlight w:val="none"/>
              </w:rPr>
            </w:pPr>
            <w:r>
              <w:rPr>
                <w:rFonts w:hint="eastAsia" w:hAnsi="宋体"/>
                <w:sz w:val="21"/>
                <w:szCs w:val="21"/>
                <w:highlight w:val="none"/>
              </w:rPr>
              <w:t>被涂表面被冷凝水污染而且有延续的可能</w:t>
            </w:r>
          </w:p>
        </w:tc>
        <w:tc>
          <w:tcPr>
            <w:tcW w:w="1408" w:type="pct"/>
            <w:vAlign w:val="center"/>
          </w:tcPr>
          <w:p w14:paraId="06C347D1">
            <w:pPr>
              <w:spacing w:line="360" w:lineRule="auto"/>
              <w:jc w:val="left"/>
              <w:rPr>
                <w:rFonts w:hAnsi="宋体"/>
                <w:sz w:val="21"/>
                <w:szCs w:val="21"/>
                <w:highlight w:val="none"/>
              </w:rPr>
            </w:pPr>
            <w:r>
              <w:rPr>
                <w:rFonts w:hint="eastAsia" w:hAnsi="宋体"/>
                <w:sz w:val="21"/>
                <w:szCs w:val="21"/>
                <w:highlight w:val="none"/>
              </w:rPr>
              <w:t>用风吹干水</w:t>
            </w:r>
          </w:p>
        </w:tc>
        <w:tc>
          <w:tcPr>
            <w:tcW w:w="1386" w:type="pct"/>
            <w:vAlign w:val="center"/>
          </w:tcPr>
          <w:p w14:paraId="2A16CA90">
            <w:pPr>
              <w:spacing w:line="360" w:lineRule="auto"/>
              <w:jc w:val="left"/>
              <w:rPr>
                <w:rFonts w:hAnsi="宋体"/>
                <w:sz w:val="21"/>
                <w:szCs w:val="21"/>
                <w:highlight w:val="none"/>
              </w:rPr>
            </w:pPr>
            <w:r>
              <w:rPr>
                <w:rFonts w:hint="eastAsia" w:hAnsi="宋体"/>
                <w:sz w:val="21"/>
                <w:szCs w:val="21"/>
                <w:highlight w:val="none"/>
              </w:rPr>
              <w:t>会使油漆附着力不好或膨胀</w:t>
            </w:r>
          </w:p>
        </w:tc>
      </w:tr>
      <w:tr w14:paraId="15CC0E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8" w:hRule="atLeast"/>
        </w:trPr>
        <w:tc>
          <w:tcPr>
            <w:tcW w:w="379" w:type="pct"/>
            <w:vAlign w:val="center"/>
          </w:tcPr>
          <w:p w14:paraId="526666B6">
            <w:pPr>
              <w:spacing w:line="360" w:lineRule="auto"/>
              <w:jc w:val="center"/>
              <w:rPr>
                <w:rFonts w:hAnsi="宋体"/>
                <w:sz w:val="21"/>
                <w:szCs w:val="21"/>
                <w:highlight w:val="none"/>
              </w:rPr>
            </w:pPr>
            <w:r>
              <w:rPr>
                <w:rFonts w:hint="eastAsia" w:hAnsi="宋体"/>
                <w:sz w:val="21"/>
                <w:szCs w:val="21"/>
                <w:highlight w:val="none"/>
              </w:rPr>
              <w:t>2</w:t>
            </w:r>
          </w:p>
        </w:tc>
        <w:tc>
          <w:tcPr>
            <w:tcW w:w="1825" w:type="pct"/>
            <w:vAlign w:val="center"/>
          </w:tcPr>
          <w:p w14:paraId="006923BB">
            <w:pPr>
              <w:spacing w:line="360" w:lineRule="auto"/>
              <w:jc w:val="left"/>
              <w:rPr>
                <w:rFonts w:hAnsi="宋体"/>
                <w:sz w:val="21"/>
                <w:szCs w:val="21"/>
                <w:highlight w:val="none"/>
              </w:rPr>
            </w:pPr>
            <w:r>
              <w:rPr>
                <w:rFonts w:hint="eastAsia" w:hAnsi="宋体"/>
                <w:sz w:val="21"/>
                <w:szCs w:val="21"/>
                <w:highlight w:val="none"/>
              </w:rPr>
              <w:t>被涂表面有油、砂、尘等杂物</w:t>
            </w:r>
          </w:p>
        </w:tc>
        <w:tc>
          <w:tcPr>
            <w:tcW w:w="1408" w:type="pct"/>
            <w:vAlign w:val="center"/>
          </w:tcPr>
          <w:p w14:paraId="295E511F">
            <w:pPr>
              <w:spacing w:line="360" w:lineRule="auto"/>
              <w:jc w:val="left"/>
              <w:rPr>
                <w:rFonts w:hAnsi="宋体"/>
                <w:sz w:val="21"/>
                <w:szCs w:val="21"/>
                <w:highlight w:val="none"/>
              </w:rPr>
            </w:pPr>
            <w:r>
              <w:rPr>
                <w:rFonts w:hint="eastAsia" w:hAnsi="宋体"/>
                <w:sz w:val="21"/>
                <w:szCs w:val="21"/>
                <w:highlight w:val="none"/>
              </w:rPr>
              <w:t>用水或溶剂清洗并干燥</w:t>
            </w:r>
          </w:p>
        </w:tc>
        <w:tc>
          <w:tcPr>
            <w:tcW w:w="1386" w:type="pct"/>
            <w:vAlign w:val="center"/>
          </w:tcPr>
          <w:p w14:paraId="578B5C61">
            <w:pPr>
              <w:spacing w:line="360" w:lineRule="auto"/>
              <w:jc w:val="left"/>
              <w:rPr>
                <w:rFonts w:hAnsi="宋体"/>
                <w:sz w:val="21"/>
                <w:szCs w:val="21"/>
                <w:highlight w:val="none"/>
              </w:rPr>
            </w:pPr>
            <w:r>
              <w:rPr>
                <w:rFonts w:hint="eastAsia" w:hAnsi="宋体"/>
                <w:sz w:val="21"/>
                <w:szCs w:val="21"/>
                <w:highlight w:val="none"/>
              </w:rPr>
              <w:t>会使油漆附着力不好或膨胀</w:t>
            </w:r>
          </w:p>
        </w:tc>
      </w:tr>
      <w:tr w14:paraId="5C9A04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trPr>
        <w:tc>
          <w:tcPr>
            <w:tcW w:w="379" w:type="pct"/>
            <w:vAlign w:val="center"/>
          </w:tcPr>
          <w:p w14:paraId="503C0318">
            <w:pPr>
              <w:spacing w:line="360" w:lineRule="auto"/>
              <w:jc w:val="center"/>
              <w:rPr>
                <w:rFonts w:hAnsi="宋体"/>
                <w:sz w:val="21"/>
                <w:szCs w:val="21"/>
                <w:highlight w:val="none"/>
              </w:rPr>
            </w:pPr>
            <w:r>
              <w:rPr>
                <w:rFonts w:hint="eastAsia" w:hAnsi="宋体"/>
                <w:sz w:val="21"/>
                <w:szCs w:val="21"/>
                <w:highlight w:val="none"/>
              </w:rPr>
              <w:t>3</w:t>
            </w:r>
          </w:p>
        </w:tc>
        <w:tc>
          <w:tcPr>
            <w:tcW w:w="1825" w:type="pct"/>
            <w:vAlign w:val="center"/>
          </w:tcPr>
          <w:p w14:paraId="7CB1D6AA">
            <w:pPr>
              <w:spacing w:line="360" w:lineRule="auto"/>
              <w:jc w:val="left"/>
              <w:rPr>
                <w:rFonts w:hAnsi="宋体"/>
                <w:sz w:val="21"/>
                <w:szCs w:val="21"/>
                <w:highlight w:val="none"/>
              </w:rPr>
            </w:pPr>
            <w:r>
              <w:rPr>
                <w:rFonts w:hint="eastAsia" w:hAnsi="宋体"/>
                <w:sz w:val="21"/>
                <w:szCs w:val="21"/>
                <w:highlight w:val="none"/>
              </w:rPr>
              <w:t>经常有外来物黏附被涂表面的情况</w:t>
            </w:r>
          </w:p>
        </w:tc>
        <w:tc>
          <w:tcPr>
            <w:tcW w:w="1408" w:type="pct"/>
            <w:vAlign w:val="center"/>
          </w:tcPr>
          <w:p w14:paraId="271F514B">
            <w:pPr>
              <w:spacing w:line="360" w:lineRule="auto"/>
              <w:jc w:val="left"/>
              <w:rPr>
                <w:rFonts w:hAnsi="宋体"/>
                <w:sz w:val="21"/>
                <w:szCs w:val="21"/>
                <w:highlight w:val="none"/>
              </w:rPr>
            </w:pPr>
            <w:r>
              <w:rPr>
                <w:rFonts w:hint="eastAsia" w:hAnsi="宋体"/>
                <w:sz w:val="21"/>
                <w:szCs w:val="21"/>
                <w:highlight w:val="none"/>
              </w:rPr>
              <w:t>停止涂装工作，遮盖被涂表面</w:t>
            </w:r>
          </w:p>
        </w:tc>
        <w:tc>
          <w:tcPr>
            <w:tcW w:w="1386" w:type="pct"/>
            <w:vAlign w:val="center"/>
          </w:tcPr>
          <w:p w14:paraId="4FACDC36">
            <w:pPr>
              <w:spacing w:line="360" w:lineRule="auto"/>
              <w:jc w:val="left"/>
              <w:rPr>
                <w:rFonts w:hAnsi="宋体"/>
                <w:sz w:val="21"/>
                <w:szCs w:val="21"/>
                <w:highlight w:val="none"/>
              </w:rPr>
            </w:pPr>
            <w:r>
              <w:rPr>
                <w:rFonts w:hint="eastAsia" w:hAnsi="宋体"/>
                <w:sz w:val="21"/>
                <w:szCs w:val="21"/>
                <w:highlight w:val="none"/>
              </w:rPr>
              <w:t>会使油漆附着力不好或膨胀</w:t>
            </w:r>
          </w:p>
        </w:tc>
      </w:tr>
      <w:tr w14:paraId="5EB5B3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9" w:hRule="atLeast"/>
        </w:trPr>
        <w:tc>
          <w:tcPr>
            <w:tcW w:w="379" w:type="pct"/>
            <w:vAlign w:val="center"/>
          </w:tcPr>
          <w:p w14:paraId="736067D2">
            <w:pPr>
              <w:spacing w:line="360" w:lineRule="auto"/>
              <w:jc w:val="center"/>
              <w:rPr>
                <w:rFonts w:hAnsi="宋体"/>
                <w:sz w:val="21"/>
                <w:szCs w:val="21"/>
                <w:highlight w:val="none"/>
              </w:rPr>
            </w:pPr>
            <w:r>
              <w:rPr>
                <w:rFonts w:hint="eastAsia" w:hAnsi="宋体"/>
                <w:sz w:val="21"/>
                <w:szCs w:val="21"/>
                <w:highlight w:val="none"/>
              </w:rPr>
              <w:t>4</w:t>
            </w:r>
          </w:p>
        </w:tc>
        <w:tc>
          <w:tcPr>
            <w:tcW w:w="1825" w:type="pct"/>
            <w:vAlign w:val="center"/>
          </w:tcPr>
          <w:p w14:paraId="5F589932">
            <w:pPr>
              <w:spacing w:line="360" w:lineRule="auto"/>
              <w:jc w:val="left"/>
              <w:rPr>
                <w:rFonts w:hAnsi="宋体"/>
                <w:sz w:val="21"/>
                <w:szCs w:val="21"/>
                <w:highlight w:val="none"/>
              </w:rPr>
            </w:pPr>
            <w:r>
              <w:rPr>
                <w:rFonts w:hint="eastAsia" w:hAnsi="宋体"/>
                <w:sz w:val="21"/>
                <w:szCs w:val="21"/>
                <w:highlight w:val="none"/>
              </w:rPr>
              <w:t>在没有做常规的清洁工作情况下</w:t>
            </w:r>
          </w:p>
        </w:tc>
        <w:tc>
          <w:tcPr>
            <w:tcW w:w="1408" w:type="pct"/>
            <w:vAlign w:val="center"/>
          </w:tcPr>
          <w:p w14:paraId="3DEBACD9">
            <w:pPr>
              <w:spacing w:line="360" w:lineRule="auto"/>
              <w:jc w:val="left"/>
              <w:rPr>
                <w:rFonts w:hAnsi="宋体"/>
                <w:sz w:val="21"/>
                <w:szCs w:val="21"/>
                <w:highlight w:val="none"/>
              </w:rPr>
            </w:pPr>
            <w:r>
              <w:rPr>
                <w:rFonts w:hint="eastAsia" w:hAnsi="宋体"/>
                <w:sz w:val="21"/>
                <w:szCs w:val="21"/>
                <w:highlight w:val="none"/>
              </w:rPr>
              <w:t>重新做清洁</w:t>
            </w:r>
          </w:p>
        </w:tc>
        <w:tc>
          <w:tcPr>
            <w:tcW w:w="1386" w:type="pct"/>
            <w:vAlign w:val="center"/>
          </w:tcPr>
          <w:p w14:paraId="4A649569">
            <w:pPr>
              <w:spacing w:line="360" w:lineRule="auto"/>
              <w:jc w:val="left"/>
              <w:rPr>
                <w:rFonts w:hAnsi="宋体"/>
                <w:sz w:val="21"/>
                <w:szCs w:val="21"/>
                <w:highlight w:val="none"/>
              </w:rPr>
            </w:pPr>
            <w:r>
              <w:rPr>
                <w:rFonts w:hint="eastAsia" w:hAnsi="宋体"/>
                <w:sz w:val="21"/>
                <w:szCs w:val="21"/>
                <w:highlight w:val="none"/>
              </w:rPr>
              <w:t>会使油漆附着力不好或膨胀</w:t>
            </w:r>
          </w:p>
        </w:tc>
      </w:tr>
      <w:tr w14:paraId="6FA110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1" w:hRule="atLeast"/>
        </w:trPr>
        <w:tc>
          <w:tcPr>
            <w:tcW w:w="379" w:type="pct"/>
            <w:vAlign w:val="center"/>
          </w:tcPr>
          <w:p w14:paraId="53A5E078">
            <w:pPr>
              <w:spacing w:line="360" w:lineRule="auto"/>
              <w:jc w:val="center"/>
              <w:rPr>
                <w:rFonts w:hAnsi="宋体"/>
                <w:sz w:val="21"/>
                <w:szCs w:val="21"/>
                <w:highlight w:val="none"/>
              </w:rPr>
            </w:pPr>
            <w:r>
              <w:rPr>
                <w:rFonts w:hint="eastAsia" w:hAnsi="宋体"/>
                <w:sz w:val="21"/>
                <w:szCs w:val="21"/>
                <w:highlight w:val="none"/>
              </w:rPr>
              <w:t>5</w:t>
            </w:r>
          </w:p>
        </w:tc>
        <w:tc>
          <w:tcPr>
            <w:tcW w:w="1825" w:type="pct"/>
            <w:vAlign w:val="center"/>
          </w:tcPr>
          <w:p w14:paraId="3B134AB4">
            <w:pPr>
              <w:spacing w:line="360" w:lineRule="auto"/>
              <w:jc w:val="left"/>
              <w:rPr>
                <w:rFonts w:hAnsi="宋体"/>
                <w:sz w:val="21"/>
                <w:szCs w:val="21"/>
                <w:highlight w:val="none"/>
              </w:rPr>
            </w:pPr>
            <w:r>
              <w:rPr>
                <w:rFonts w:hint="eastAsia" w:hAnsi="宋体"/>
                <w:sz w:val="21"/>
                <w:szCs w:val="21"/>
                <w:highlight w:val="none"/>
              </w:rPr>
              <w:t>油漆有效期已过</w:t>
            </w:r>
          </w:p>
        </w:tc>
        <w:tc>
          <w:tcPr>
            <w:tcW w:w="1408" w:type="pct"/>
            <w:vAlign w:val="center"/>
          </w:tcPr>
          <w:p w14:paraId="29CDE551">
            <w:pPr>
              <w:spacing w:line="360" w:lineRule="auto"/>
              <w:jc w:val="left"/>
              <w:rPr>
                <w:rFonts w:hAnsi="宋体"/>
                <w:sz w:val="21"/>
                <w:szCs w:val="21"/>
                <w:highlight w:val="none"/>
              </w:rPr>
            </w:pPr>
            <w:r>
              <w:rPr>
                <w:rFonts w:hint="eastAsia" w:hAnsi="宋体"/>
                <w:sz w:val="21"/>
                <w:szCs w:val="21"/>
                <w:highlight w:val="none"/>
              </w:rPr>
              <w:t>废弃过期油漆</w:t>
            </w:r>
          </w:p>
        </w:tc>
        <w:tc>
          <w:tcPr>
            <w:tcW w:w="1386" w:type="pct"/>
            <w:vAlign w:val="center"/>
          </w:tcPr>
          <w:p w14:paraId="2A6D755C">
            <w:pPr>
              <w:spacing w:line="360" w:lineRule="auto"/>
              <w:jc w:val="left"/>
              <w:rPr>
                <w:rFonts w:hAnsi="宋体"/>
                <w:sz w:val="21"/>
                <w:szCs w:val="21"/>
                <w:highlight w:val="none"/>
              </w:rPr>
            </w:pPr>
            <w:r>
              <w:rPr>
                <w:rFonts w:hint="eastAsia" w:hAnsi="宋体"/>
                <w:sz w:val="21"/>
                <w:szCs w:val="21"/>
                <w:highlight w:val="none"/>
              </w:rPr>
              <w:t>对涂层的作用产生很坏的影响</w:t>
            </w:r>
          </w:p>
        </w:tc>
      </w:tr>
      <w:tr w14:paraId="0BC414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7" w:hRule="atLeast"/>
        </w:trPr>
        <w:tc>
          <w:tcPr>
            <w:tcW w:w="379" w:type="pct"/>
            <w:vAlign w:val="center"/>
          </w:tcPr>
          <w:p w14:paraId="61A7D5E4">
            <w:pPr>
              <w:spacing w:line="360" w:lineRule="auto"/>
              <w:jc w:val="center"/>
              <w:rPr>
                <w:rFonts w:hAnsi="宋体"/>
                <w:sz w:val="21"/>
                <w:szCs w:val="21"/>
                <w:highlight w:val="none"/>
              </w:rPr>
            </w:pPr>
            <w:r>
              <w:rPr>
                <w:rFonts w:hint="eastAsia" w:hAnsi="宋体"/>
                <w:sz w:val="21"/>
                <w:szCs w:val="21"/>
                <w:highlight w:val="none"/>
              </w:rPr>
              <w:t>6</w:t>
            </w:r>
          </w:p>
        </w:tc>
        <w:tc>
          <w:tcPr>
            <w:tcW w:w="1825" w:type="pct"/>
            <w:vAlign w:val="center"/>
          </w:tcPr>
          <w:p w14:paraId="5A8928A6">
            <w:pPr>
              <w:spacing w:line="360" w:lineRule="auto"/>
              <w:jc w:val="left"/>
              <w:rPr>
                <w:rFonts w:hAnsi="宋体"/>
                <w:sz w:val="21"/>
                <w:szCs w:val="21"/>
                <w:highlight w:val="none"/>
              </w:rPr>
            </w:pPr>
            <w:r>
              <w:rPr>
                <w:rFonts w:hint="eastAsia" w:hAnsi="宋体"/>
                <w:sz w:val="21"/>
                <w:szCs w:val="21"/>
                <w:highlight w:val="none"/>
              </w:rPr>
              <w:t>没按照规定稀释、混合、搅拌油漆</w:t>
            </w:r>
          </w:p>
        </w:tc>
        <w:tc>
          <w:tcPr>
            <w:tcW w:w="1408" w:type="pct"/>
            <w:vAlign w:val="center"/>
          </w:tcPr>
          <w:p w14:paraId="4AA07DAA">
            <w:pPr>
              <w:spacing w:line="360" w:lineRule="auto"/>
              <w:jc w:val="left"/>
              <w:rPr>
                <w:rFonts w:hAnsi="宋体"/>
                <w:sz w:val="21"/>
                <w:szCs w:val="21"/>
                <w:highlight w:val="none"/>
              </w:rPr>
            </w:pPr>
            <w:r>
              <w:rPr>
                <w:rFonts w:hint="eastAsia" w:hAnsi="宋体"/>
                <w:sz w:val="21"/>
                <w:szCs w:val="21"/>
                <w:highlight w:val="none"/>
              </w:rPr>
              <w:t>废弃此批油漆</w:t>
            </w:r>
          </w:p>
        </w:tc>
        <w:tc>
          <w:tcPr>
            <w:tcW w:w="1386" w:type="pct"/>
            <w:vAlign w:val="center"/>
          </w:tcPr>
          <w:p w14:paraId="58D4986A">
            <w:pPr>
              <w:spacing w:line="360" w:lineRule="auto"/>
              <w:jc w:val="left"/>
              <w:rPr>
                <w:rFonts w:hAnsi="宋体"/>
                <w:sz w:val="21"/>
                <w:szCs w:val="21"/>
                <w:highlight w:val="none"/>
              </w:rPr>
            </w:pPr>
            <w:r>
              <w:rPr>
                <w:rFonts w:hint="eastAsia" w:hAnsi="宋体"/>
                <w:sz w:val="21"/>
                <w:szCs w:val="21"/>
                <w:highlight w:val="none"/>
              </w:rPr>
              <w:t>对涂层的作用产生很坏的影响</w:t>
            </w:r>
          </w:p>
        </w:tc>
      </w:tr>
    </w:tbl>
    <w:p w14:paraId="73CD7F0A">
      <w:pPr>
        <w:spacing w:line="360" w:lineRule="auto"/>
        <w:outlineLvl w:val="1"/>
        <w:rPr>
          <w:rFonts w:hint="eastAsia" w:hAnsi="宋体"/>
          <w:highlight w:val="none"/>
        </w:rPr>
      </w:pPr>
      <w:bookmarkStart w:id="35" w:name="_Toc8088"/>
    </w:p>
    <w:p w14:paraId="27B66B02">
      <w:pPr>
        <w:spacing w:line="360" w:lineRule="auto"/>
        <w:outlineLvl w:val="1"/>
        <w:rPr>
          <w:rFonts w:hAnsi="宋体"/>
          <w:highlight w:val="none"/>
        </w:rPr>
      </w:pPr>
      <w:bookmarkStart w:id="36" w:name="_Toc27004"/>
      <w:r>
        <w:rPr>
          <w:rFonts w:hint="eastAsia" w:hAnsi="宋体"/>
          <w:highlight w:val="none"/>
        </w:rPr>
        <w:t>5</w:t>
      </w:r>
      <w:r>
        <w:rPr>
          <w:rFonts w:hAnsi="宋体"/>
          <w:highlight w:val="none"/>
        </w:rPr>
        <w:t xml:space="preserve">.2 </w:t>
      </w:r>
      <w:r>
        <w:rPr>
          <w:rFonts w:hint="eastAsia" w:hAnsi="宋体"/>
          <w:highlight w:val="none"/>
        </w:rPr>
        <w:t>化工</w:t>
      </w:r>
      <w:r>
        <w:rPr>
          <w:rFonts w:hint="eastAsia" w:hAnsi="宋体"/>
          <w:highlight w:val="none"/>
          <w:lang w:val="en-US" w:eastAsia="zh-CN"/>
        </w:rPr>
        <w:t>装置</w:t>
      </w:r>
      <w:r>
        <w:rPr>
          <w:rFonts w:hint="eastAsia" w:hAnsi="宋体"/>
          <w:highlight w:val="none"/>
        </w:rPr>
        <w:t>部分保温整治项目</w:t>
      </w:r>
      <w:bookmarkEnd w:id="35"/>
      <w:bookmarkEnd w:id="36"/>
    </w:p>
    <w:p w14:paraId="3ED40AF1">
      <w:pPr>
        <w:spacing w:line="360" w:lineRule="auto"/>
        <w:outlineLvl w:val="2"/>
        <w:rPr>
          <w:rFonts w:hAnsi="宋体"/>
          <w:highlight w:val="none"/>
        </w:rPr>
      </w:pPr>
      <w:bookmarkStart w:id="37" w:name="_Toc29588"/>
      <w:bookmarkStart w:id="38" w:name="_Toc2479"/>
      <w:r>
        <w:rPr>
          <w:rFonts w:hint="eastAsia" w:hAnsi="宋体"/>
          <w:highlight w:val="none"/>
        </w:rPr>
        <w:t>5</w:t>
      </w:r>
      <w:r>
        <w:rPr>
          <w:rFonts w:hAnsi="宋体"/>
          <w:highlight w:val="none"/>
        </w:rPr>
        <w:t>.2.</w:t>
      </w:r>
      <w:r>
        <w:rPr>
          <w:rFonts w:hint="eastAsia" w:hAnsi="宋体"/>
          <w:highlight w:val="none"/>
          <w:lang w:val="en-US" w:eastAsia="zh-CN"/>
        </w:rPr>
        <w:t xml:space="preserve">1 </w:t>
      </w:r>
      <w:r>
        <w:rPr>
          <w:rFonts w:hint="eastAsia" w:hAnsi="宋体"/>
          <w:highlight w:val="none"/>
        </w:rPr>
        <w:t>施工准备</w:t>
      </w:r>
      <w:bookmarkEnd w:id="37"/>
      <w:bookmarkEnd w:id="38"/>
    </w:p>
    <w:p w14:paraId="5FFF2A6B">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rPr>
        <w:t>.</w:t>
      </w:r>
      <w:r>
        <w:rPr>
          <w:rFonts w:hint="eastAsia" w:hAnsi="宋体"/>
          <w:highlight w:val="none"/>
          <w:lang w:val="en-US" w:eastAsia="zh-CN"/>
        </w:rPr>
        <w:t>1</w:t>
      </w:r>
      <w:r>
        <w:rPr>
          <w:rFonts w:hAnsi="宋体"/>
          <w:highlight w:val="none"/>
        </w:rPr>
        <w:t>.</w:t>
      </w:r>
      <w:r>
        <w:rPr>
          <w:rFonts w:hint="eastAsia" w:hAnsi="宋体"/>
          <w:highlight w:val="none"/>
        </w:rPr>
        <w:t>1</w:t>
      </w:r>
      <w:r>
        <w:rPr>
          <w:rFonts w:hint="eastAsia" w:hAnsi="宋体"/>
          <w:highlight w:val="none"/>
          <w:lang w:val="en-US" w:eastAsia="zh-CN"/>
        </w:rPr>
        <w:t xml:space="preserve"> </w:t>
      </w:r>
      <w:r>
        <w:rPr>
          <w:rFonts w:hint="eastAsia" w:hAnsi="宋体"/>
          <w:highlight w:val="none"/>
        </w:rPr>
        <w:t>根据现场工程情况及招标方的进度、质量要求合理安排施工人员。</w:t>
      </w:r>
    </w:p>
    <w:p w14:paraId="45D66A72">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rPr>
        <w:t>.</w:t>
      </w:r>
      <w:r>
        <w:rPr>
          <w:rFonts w:hint="eastAsia" w:hAnsi="宋体"/>
          <w:highlight w:val="none"/>
          <w:lang w:val="en-US" w:eastAsia="zh-CN"/>
        </w:rPr>
        <w:t>1</w:t>
      </w:r>
      <w:r>
        <w:rPr>
          <w:rFonts w:hAnsi="宋体"/>
          <w:highlight w:val="none"/>
        </w:rPr>
        <w:t>.</w:t>
      </w:r>
      <w:r>
        <w:rPr>
          <w:rFonts w:hint="eastAsia" w:hAnsi="宋体"/>
          <w:highlight w:val="none"/>
        </w:rPr>
        <w:t>2</w:t>
      </w:r>
      <w:r>
        <w:rPr>
          <w:rFonts w:hint="eastAsia" w:hAnsi="宋体"/>
          <w:highlight w:val="none"/>
          <w:lang w:val="en-US" w:eastAsia="zh-CN"/>
        </w:rPr>
        <w:t xml:space="preserve"> </w:t>
      </w:r>
      <w:r>
        <w:rPr>
          <w:rFonts w:hint="eastAsia" w:hAnsi="宋体"/>
          <w:highlight w:val="none"/>
        </w:rPr>
        <w:t>对全体参加施工的人员进行技术交底及相关安全教育，并熟悉了解工程概况及施工方案。</w:t>
      </w:r>
    </w:p>
    <w:p w14:paraId="06FAABE1">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1</w:t>
      </w:r>
      <w:r>
        <w:rPr>
          <w:rFonts w:hint="eastAsia" w:hAnsi="宋体"/>
          <w:highlight w:val="none"/>
        </w:rPr>
        <w:t>.3</w:t>
      </w:r>
      <w:r>
        <w:rPr>
          <w:rFonts w:hint="eastAsia" w:hAnsi="宋体"/>
          <w:highlight w:val="none"/>
          <w:lang w:val="en-US" w:eastAsia="zh-CN"/>
        </w:rPr>
        <w:t xml:space="preserve"> </w:t>
      </w:r>
      <w:r>
        <w:rPr>
          <w:rFonts w:hint="eastAsia" w:hAnsi="宋体"/>
          <w:highlight w:val="none"/>
        </w:rPr>
        <w:t>所有用电设施均应安装漏电保护装置确保施工安全。</w:t>
      </w:r>
    </w:p>
    <w:p w14:paraId="2481D835">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1</w:t>
      </w:r>
      <w:r>
        <w:rPr>
          <w:rFonts w:hint="eastAsia" w:hAnsi="宋体"/>
          <w:highlight w:val="none"/>
        </w:rPr>
        <w:t>.4</w:t>
      </w:r>
      <w:r>
        <w:rPr>
          <w:rFonts w:hint="eastAsia" w:hAnsi="宋体"/>
          <w:highlight w:val="none"/>
          <w:lang w:val="en-US" w:eastAsia="zh-CN"/>
        </w:rPr>
        <w:t xml:space="preserve"> </w:t>
      </w:r>
      <w:r>
        <w:rPr>
          <w:rFonts w:hint="eastAsia" w:hAnsi="宋体"/>
          <w:highlight w:val="none"/>
        </w:rPr>
        <w:t>施工现场应设置明显的严禁烟火标志，作业区内严禁动火，作业人员严禁携带火种；配备必要的救援器具、灭火器材等。</w:t>
      </w:r>
    </w:p>
    <w:p w14:paraId="6D894603">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1</w:t>
      </w:r>
      <w:r>
        <w:rPr>
          <w:rFonts w:hint="eastAsia" w:hAnsi="宋体"/>
          <w:highlight w:val="none"/>
        </w:rPr>
        <w:t>.5</w:t>
      </w:r>
      <w:r>
        <w:rPr>
          <w:rFonts w:hint="eastAsia" w:hAnsi="宋体"/>
          <w:highlight w:val="none"/>
          <w:lang w:val="en-US" w:eastAsia="zh-CN"/>
        </w:rPr>
        <w:t xml:space="preserve"> </w:t>
      </w:r>
      <w:r>
        <w:rPr>
          <w:rFonts w:hint="eastAsia" w:hAnsi="宋体"/>
          <w:highlight w:val="none"/>
        </w:rPr>
        <w:t>施工作业时，施工人员必须佩戴安全帽、穿防护工作衣等，安全带必须为双钩安全带。</w:t>
      </w:r>
    </w:p>
    <w:p w14:paraId="174ED85B">
      <w:pPr>
        <w:spacing w:line="360" w:lineRule="auto"/>
        <w:outlineLvl w:val="2"/>
        <w:rPr>
          <w:rFonts w:hAnsi="宋体"/>
          <w:highlight w:val="none"/>
        </w:rPr>
      </w:pPr>
      <w:bookmarkStart w:id="39" w:name="_Toc10291"/>
      <w:bookmarkStart w:id="40" w:name="_Toc19473"/>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 xml:space="preserve"> 绝热层施工技术要求</w:t>
      </w:r>
      <w:bookmarkEnd w:id="39"/>
      <w:bookmarkEnd w:id="40"/>
    </w:p>
    <w:p w14:paraId="4230625E">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.1 当保温层厚度大于或等于</w:t>
      </w:r>
      <w:r>
        <w:rPr>
          <w:rFonts w:hint="eastAsia" w:hAnsi="宋体"/>
          <w:highlight w:val="none"/>
        </w:rPr>
        <w:t>1</w:t>
      </w:r>
      <w:r>
        <w:rPr>
          <w:rFonts w:hAnsi="宋体"/>
          <w:highlight w:val="none"/>
        </w:rPr>
        <w:t>00mm</w:t>
      </w:r>
      <w:r>
        <w:rPr>
          <w:rFonts w:hint="eastAsia" w:hAnsi="宋体"/>
          <w:highlight w:val="none"/>
        </w:rPr>
        <w:t>，</w:t>
      </w:r>
      <w:r>
        <w:rPr>
          <w:rFonts w:hAnsi="宋体"/>
          <w:highlight w:val="none"/>
        </w:rPr>
        <w:t>应分为两层或多层逐层施工</w:t>
      </w:r>
      <w:r>
        <w:rPr>
          <w:rFonts w:hint="eastAsia" w:hAnsi="宋体"/>
          <w:highlight w:val="none"/>
        </w:rPr>
        <w:t>，</w:t>
      </w:r>
      <w:r>
        <w:rPr>
          <w:rFonts w:hAnsi="宋体"/>
          <w:highlight w:val="none"/>
        </w:rPr>
        <w:t>各层厚度一致</w:t>
      </w:r>
      <w:r>
        <w:rPr>
          <w:rFonts w:hint="eastAsia" w:hAnsi="宋体"/>
          <w:highlight w:val="none"/>
        </w:rPr>
        <w:t>。</w:t>
      </w:r>
    </w:p>
    <w:p w14:paraId="61D40155">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.2 绝热层施工时</w:t>
      </w:r>
      <w:r>
        <w:rPr>
          <w:rFonts w:hint="eastAsia" w:hAnsi="宋体"/>
          <w:highlight w:val="none"/>
        </w:rPr>
        <w:t>，</w:t>
      </w:r>
      <w:r>
        <w:rPr>
          <w:rFonts w:hAnsi="宋体"/>
          <w:highlight w:val="none"/>
        </w:rPr>
        <w:t>同层应错缝</w:t>
      </w:r>
      <w:r>
        <w:rPr>
          <w:rFonts w:hint="eastAsia" w:hAnsi="宋体"/>
          <w:highlight w:val="none"/>
        </w:rPr>
        <w:t>，</w:t>
      </w:r>
      <w:r>
        <w:rPr>
          <w:rFonts w:hAnsi="宋体"/>
          <w:highlight w:val="none"/>
        </w:rPr>
        <w:t>上下层应压缝</w:t>
      </w:r>
      <w:r>
        <w:rPr>
          <w:rFonts w:hint="eastAsia" w:hAnsi="宋体"/>
          <w:highlight w:val="none"/>
        </w:rPr>
        <w:t>，</w:t>
      </w:r>
      <w:r>
        <w:rPr>
          <w:rFonts w:hAnsi="宋体"/>
          <w:highlight w:val="none"/>
        </w:rPr>
        <w:t>其搭接的长度不宜小于</w:t>
      </w:r>
      <w:r>
        <w:rPr>
          <w:rFonts w:hint="eastAsia" w:hAnsi="宋体"/>
          <w:highlight w:val="none"/>
        </w:rPr>
        <w:t>1</w:t>
      </w:r>
      <w:r>
        <w:rPr>
          <w:rFonts w:hAnsi="宋体"/>
          <w:highlight w:val="none"/>
        </w:rPr>
        <w:t>00mm</w:t>
      </w:r>
      <w:r>
        <w:rPr>
          <w:rFonts w:hint="eastAsia" w:hAnsi="宋体"/>
          <w:highlight w:val="none"/>
        </w:rPr>
        <w:t>。</w:t>
      </w:r>
    </w:p>
    <w:p w14:paraId="5B29DF62">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.3 管道端部或有盲板的部位</w:t>
      </w:r>
      <w:r>
        <w:rPr>
          <w:rFonts w:hint="eastAsia" w:hAnsi="宋体"/>
          <w:highlight w:val="none"/>
        </w:rPr>
        <w:t>，</w:t>
      </w:r>
      <w:r>
        <w:rPr>
          <w:rFonts w:hAnsi="宋体"/>
          <w:highlight w:val="none"/>
        </w:rPr>
        <w:t>应敷设绝热层</w:t>
      </w:r>
      <w:r>
        <w:rPr>
          <w:rFonts w:hint="eastAsia" w:hAnsi="宋体"/>
          <w:highlight w:val="none"/>
        </w:rPr>
        <w:t>，</w:t>
      </w:r>
      <w:r>
        <w:rPr>
          <w:rFonts w:hAnsi="宋体"/>
          <w:highlight w:val="none"/>
        </w:rPr>
        <w:t>并应密封</w:t>
      </w:r>
      <w:r>
        <w:rPr>
          <w:rFonts w:hint="eastAsia" w:hAnsi="宋体"/>
          <w:highlight w:val="none"/>
        </w:rPr>
        <w:t>。</w:t>
      </w:r>
    </w:p>
    <w:p w14:paraId="6D0C3C2D">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.4 施工后的保温层不得覆盖设备铭牌</w:t>
      </w:r>
      <w:r>
        <w:rPr>
          <w:rFonts w:hint="eastAsia" w:hAnsi="宋体"/>
          <w:highlight w:val="none"/>
        </w:rPr>
        <w:t>。</w:t>
      </w:r>
      <w:r>
        <w:rPr>
          <w:rFonts w:hAnsi="宋体"/>
          <w:highlight w:val="none"/>
        </w:rPr>
        <w:t>当保温层厚度高于设备铭牌时</w:t>
      </w:r>
      <w:r>
        <w:rPr>
          <w:rFonts w:hint="eastAsia" w:hAnsi="宋体"/>
          <w:highlight w:val="none"/>
        </w:rPr>
        <w:t>，</w:t>
      </w:r>
      <w:r>
        <w:rPr>
          <w:rFonts w:hAnsi="宋体"/>
          <w:highlight w:val="none"/>
        </w:rPr>
        <w:t>可将铭牌周围的保温层切割成喇叭形开口</w:t>
      </w:r>
      <w:r>
        <w:rPr>
          <w:rFonts w:hint="eastAsia" w:hAnsi="宋体"/>
          <w:highlight w:val="none"/>
        </w:rPr>
        <w:t>，</w:t>
      </w:r>
      <w:r>
        <w:rPr>
          <w:rFonts w:hAnsi="宋体"/>
          <w:highlight w:val="none"/>
        </w:rPr>
        <w:t>开口处应规整</w:t>
      </w:r>
      <w:r>
        <w:rPr>
          <w:rFonts w:hint="eastAsia" w:hAnsi="宋体"/>
          <w:highlight w:val="none"/>
        </w:rPr>
        <w:t>，</w:t>
      </w:r>
      <w:r>
        <w:rPr>
          <w:rFonts w:hAnsi="宋体"/>
          <w:highlight w:val="none"/>
        </w:rPr>
        <w:t>并应设置密封的防水盖</w:t>
      </w:r>
      <w:r>
        <w:rPr>
          <w:rFonts w:hint="eastAsia" w:hAnsi="宋体"/>
          <w:highlight w:val="none"/>
        </w:rPr>
        <w:t>。</w:t>
      </w:r>
    </w:p>
    <w:p w14:paraId="63399AD0">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.5 应根据绝热层的材料和绝热后设备</w:t>
      </w:r>
      <w:r>
        <w:rPr>
          <w:rFonts w:hint="eastAsia" w:hAnsi="宋体"/>
          <w:highlight w:val="none"/>
        </w:rPr>
        <w:t>、</w:t>
      </w:r>
      <w:r>
        <w:rPr>
          <w:rFonts w:hAnsi="宋体"/>
          <w:highlight w:val="none"/>
        </w:rPr>
        <w:t>管径大小选用φ0.8</w:t>
      </w:r>
      <w:r>
        <w:rPr>
          <w:rFonts w:hint="eastAsia" w:hAnsi="宋体"/>
          <w:highlight w:val="none"/>
        </w:rPr>
        <w:t>-</w:t>
      </w:r>
      <w:r>
        <w:rPr>
          <w:rFonts w:hAnsi="宋体"/>
          <w:highlight w:val="none"/>
        </w:rPr>
        <w:t>φ2.5mm的镀锌铁丝或不锈钢丝进行捆扎</w:t>
      </w:r>
      <w:r>
        <w:rPr>
          <w:rFonts w:hint="eastAsia" w:hAnsi="宋体"/>
          <w:highlight w:val="none"/>
        </w:rPr>
        <w:t>。捆扎间距不得大于2</w:t>
      </w:r>
      <w:r>
        <w:rPr>
          <w:rFonts w:hAnsi="宋体"/>
          <w:highlight w:val="none"/>
        </w:rPr>
        <w:t>00mm</w:t>
      </w:r>
      <w:r>
        <w:rPr>
          <w:rFonts w:hint="eastAsia" w:hAnsi="宋体"/>
          <w:highlight w:val="none"/>
        </w:rPr>
        <w:t>，</w:t>
      </w:r>
      <w:r>
        <w:rPr>
          <w:rFonts w:hAnsi="宋体"/>
          <w:highlight w:val="none"/>
        </w:rPr>
        <w:t>每块绝热制品上的捆扎不得少于两道</w:t>
      </w:r>
      <w:r>
        <w:rPr>
          <w:rFonts w:hint="eastAsia" w:hAnsi="宋体"/>
          <w:highlight w:val="none"/>
        </w:rPr>
        <w:t>，</w:t>
      </w:r>
      <w:r>
        <w:rPr>
          <w:rFonts w:hAnsi="宋体"/>
          <w:highlight w:val="none"/>
        </w:rPr>
        <w:t>对有振动的部位应加强捆扎</w:t>
      </w:r>
      <w:r>
        <w:rPr>
          <w:rFonts w:hint="eastAsia" w:hAnsi="宋体"/>
          <w:highlight w:val="none"/>
        </w:rPr>
        <w:t>，且不得采用螺旋式缠绕捆扎。</w:t>
      </w:r>
    </w:p>
    <w:p w14:paraId="34F58691">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.6 绝热层应均匀</w:t>
      </w:r>
      <w:r>
        <w:rPr>
          <w:rFonts w:hint="eastAsia" w:hAnsi="宋体"/>
          <w:highlight w:val="none"/>
        </w:rPr>
        <w:t>，</w:t>
      </w:r>
      <w:r>
        <w:rPr>
          <w:rFonts w:hAnsi="宋体"/>
          <w:highlight w:val="none"/>
        </w:rPr>
        <w:t>外形规整</w:t>
      </w:r>
      <w:r>
        <w:rPr>
          <w:rFonts w:hint="eastAsia" w:hAnsi="宋体"/>
          <w:highlight w:val="none"/>
        </w:rPr>
        <w:t>，</w:t>
      </w:r>
      <w:r>
        <w:rPr>
          <w:rFonts w:hAnsi="宋体"/>
          <w:highlight w:val="none"/>
        </w:rPr>
        <w:t>经压实捆扎后必须符合设计厚度</w:t>
      </w:r>
      <w:r>
        <w:rPr>
          <w:rFonts w:hint="eastAsia" w:hAnsi="宋体"/>
          <w:highlight w:val="none"/>
        </w:rPr>
        <w:t>。</w:t>
      </w:r>
      <w:r>
        <w:rPr>
          <w:rFonts w:hAnsi="宋体"/>
          <w:highlight w:val="none"/>
        </w:rPr>
        <w:t>双层或多层绝热层的绝热制品</w:t>
      </w:r>
      <w:r>
        <w:rPr>
          <w:rFonts w:hint="eastAsia" w:hAnsi="宋体"/>
          <w:highlight w:val="none"/>
        </w:rPr>
        <w:t>，</w:t>
      </w:r>
      <w:r>
        <w:rPr>
          <w:rFonts w:hAnsi="宋体"/>
          <w:highlight w:val="none"/>
        </w:rPr>
        <w:t>应逐层捆扎</w:t>
      </w:r>
      <w:r>
        <w:rPr>
          <w:rFonts w:hint="eastAsia" w:hAnsi="宋体"/>
          <w:highlight w:val="none"/>
        </w:rPr>
        <w:t>，</w:t>
      </w:r>
      <w:r>
        <w:rPr>
          <w:rFonts w:hAnsi="宋体"/>
          <w:highlight w:val="none"/>
        </w:rPr>
        <w:t>并应对各层表面进行找平和严缝处理</w:t>
      </w:r>
      <w:r>
        <w:rPr>
          <w:rFonts w:hint="eastAsia" w:hAnsi="宋体"/>
          <w:highlight w:val="none"/>
        </w:rPr>
        <w:t>。</w:t>
      </w:r>
    </w:p>
    <w:p w14:paraId="2D18BAB3">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.7 公称直径小于或等于</w:t>
      </w:r>
      <w:r>
        <w:rPr>
          <w:rFonts w:hint="eastAsia" w:hAnsi="宋体"/>
          <w:highlight w:val="none"/>
        </w:rPr>
        <w:t>1</w:t>
      </w:r>
      <w:r>
        <w:rPr>
          <w:rFonts w:hAnsi="宋体"/>
          <w:highlight w:val="none"/>
        </w:rPr>
        <w:t>00mm</w:t>
      </w:r>
      <w:r>
        <w:rPr>
          <w:rFonts w:hint="eastAsia" w:hAnsi="宋体"/>
          <w:highlight w:val="none"/>
        </w:rPr>
        <w:t>，</w:t>
      </w:r>
      <w:r>
        <w:rPr>
          <w:rFonts w:hAnsi="宋体"/>
          <w:highlight w:val="none"/>
        </w:rPr>
        <w:t>且未装设固定件的保温</w:t>
      </w:r>
      <w:r>
        <w:rPr>
          <w:rFonts w:hint="eastAsia" w:hAnsi="宋体"/>
          <w:highlight w:val="none"/>
        </w:rPr>
        <w:t>，</w:t>
      </w:r>
      <w:r>
        <w:rPr>
          <w:rFonts w:hAnsi="宋体"/>
          <w:highlight w:val="none"/>
        </w:rPr>
        <w:t>垂直管道</w:t>
      </w:r>
      <w:r>
        <w:rPr>
          <w:rFonts w:hint="eastAsia" w:hAnsi="宋体"/>
          <w:highlight w:val="none"/>
        </w:rPr>
        <w:t>，</w:t>
      </w:r>
      <w:r>
        <w:rPr>
          <w:rFonts w:hAnsi="宋体"/>
          <w:highlight w:val="none"/>
        </w:rPr>
        <w:t>应采用φ4.0mm镀锌铁丝</w:t>
      </w:r>
      <w:r>
        <w:rPr>
          <w:rFonts w:hint="eastAsia" w:hAnsi="宋体"/>
          <w:highlight w:val="none"/>
        </w:rPr>
        <w:t>，</w:t>
      </w:r>
      <w:r>
        <w:rPr>
          <w:rFonts w:hAnsi="宋体"/>
          <w:highlight w:val="none"/>
        </w:rPr>
        <w:t>并应在管壁上拧成扭辫箍环</w:t>
      </w:r>
      <w:r>
        <w:rPr>
          <w:rFonts w:hint="eastAsia" w:hAnsi="宋体"/>
          <w:highlight w:val="none"/>
        </w:rPr>
        <w:t>，</w:t>
      </w:r>
      <w:r>
        <w:rPr>
          <w:rFonts w:hAnsi="宋体"/>
          <w:highlight w:val="none"/>
        </w:rPr>
        <w:t>同时应利用扭辫索挂镀锌铁丝固定保温层</w:t>
      </w:r>
      <w:r>
        <w:rPr>
          <w:rFonts w:hint="eastAsia" w:hAnsi="宋体"/>
          <w:highlight w:val="none"/>
        </w:rPr>
        <w:t>。</w:t>
      </w:r>
    </w:p>
    <w:p w14:paraId="6C65A7FB">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.8 蒸汽伴热管应先采用镀锌铁丝网或</w:t>
      </w:r>
      <w:r>
        <w:rPr>
          <w:rFonts w:hint="eastAsia" w:hAnsi="宋体"/>
          <w:highlight w:val="none"/>
        </w:rPr>
        <w:t>“V”形金属伴热罩将伴热管包裹在主管上并扎紧，不得将加热空间堵塞，然后再进行保温。</w:t>
      </w:r>
    </w:p>
    <w:p w14:paraId="7BFC5AC8">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2</w:t>
      </w:r>
      <w:r>
        <w:rPr>
          <w:rFonts w:hAnsi="宋体"/>
          <w:highlight w:val="none"/>
        </w:rPr>
        <w:t>.9 当绝热绳缠绕施工时</w:t>
      </w:r>
      <w:r>
        <w:rPr>
          <w:rFonts w:hint="eastAsia" w:hAnsi="宋体"/>
          <w:highlight w:val="none"/>
        </w:rPr>
        <w:t>，</w:t>
      </w:r>
      <w:r>
        <w:rPr>
          <w:rFonts w:hAnsi="宋体"/>
          <w:highlight w:val="none"/>
        </w:rPr>
        <w:t>各层缠绳应拉紧</w:t>
      </w:r>
      <w:r>
        <w:rPr>
          <w:rFonts w:hint="eastAsia" w:hAnsi="宋体"/>
          <w:highlight w:val="none"/>
        </w:rPr>
        <w:t>，</w:t>
      </w:r>
      <w:r>
        <w:rPr>
          <w:rFonts w:hAnsi="宋体"/>
          <w:highlight w:val="none"/>
        </w:rPr>
        <w:t>第二层应与第一层反向缠绕并应压缝</w:t>
      </w:r>
      <w:r>
        <w:rPr>
          <w:rFonts w:hint="eastAsia" w:hAnsi="宋体"/>
          <w:highlight w:val="none"/>
        </w:rPr>
        <w:t>。</w:t>
      </w:r>
      <w:r>
        <w:rPr>
          <w:rFonts w:hAnsi="宋体"/>
          <w:highlight w:val="none"/>
        </w:rPr>
        <w:t>绳的两端应用镀锌铁丝捆扎于管道上</w:t>
      </w:r>
      <w:r>
        <w:rPr>
          <w:rFonts w:hint="eastAsia" w:hAnsi="宋体"/>
          <w:highlight w:val="none"/>
        </w:rPr>
        <w:t>。</w:t>
      </w:r>
    </w:p>
    <w:p w14:paraId="58F3AE1B">
      <w:pPr>
        <w:spacing w:line="360" w:lineRule="auto"/>
        <w:outlineLvl w:val="2"/>
        <w:rPr>
          <w:rFonts w:hAnsi="宋体"/>
          <w:highlight w:val="none"/>
        </w:rPr>
      </w:pPr>
      <w:bookmarkStart w:id="41" w:name="_Toc8705"/>
      <w:bookmarkStart w:id="42" w:name="_Toc26880"/>
      <w:r>
        <w:rPr>
          <w:rFonts w:hint="eastAsia" w:hAnsi="宋体"/>
          <w:highlight w:val="none"/>
        </w:rPr>
        <w:t>5</w:t>
      </w:r>
      <w:r>
        <w:rPr>
          <w:rFonts w:hAnsi="宋体"/>
          <w:highlight w:val="none"/>
        </w:rPr>
        <w:t>.2.</w:t>
      </w:r>
      <w:r>
        <w:rPr>
          <w:rFonts w:hint="eastAsia" w:hAnsi="宋体"/>
          <w:highlight w:val="none"/>
          <w:lang w:val="en-US" w:eastAsia="zh-CN"/>
        </w:rPr>
        <w:t>3</w:t>
      </w:r>
      <w:r>
        <w:rPr>
          <w:rFonts w:hAnsi="宋体"/>
          <w:highlight w:val="none"/>
        </w:rPr>
        <w:t xml:space="preserve"> 金属保护层施工技术要求</w:t>
      </w:r>
      <w:bookmarkEnd w:id="41"/>
      <w:bookmarkEnd w:id="42"/>
    </w:p>
    <w:p w14:paraId="245840B5">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3</w:t>
      </w:r>
      <w:r>
        <w:rPr>
          <w:rFonts w:hAnsi="宋体"/>
          <w:highlight w:val="none"/>
        </w:rPr>
        <w:t>.1 金属护壳环向及纵向搭接一边应压出凸筋</w:t>
      </w:r>
      <w:r>
        <w:rPr>
          <w:rFonts w:hint="eastAsia" w:hAnsi="宋体"/>
          <w:highlight w:val="none"/>
        </w:rPr>
        <w:t>，</w:t>
      </w:r>
      <w:r>
        <w:rPr>
          <w:rFonts w:hAnsi="宋体"/>
          <w:highlight w:val="none"/>
        </w:rPr>
        <w:t>环向搭接尺寸不得少于</w:t>
      </w:r>
      <w:r>
        <w:rPr>
          <w:rFonts w:hint="eastAsia" w:hAnsi="宋体"/>
          <w:highlight w:val="none"/>
        </w:rPr>
        <w:t>5</w:t>
      </w:r>
      <w:r>
        <w:rPr>
          <w:rFonts w:hAnsi="宋体"/>
          <w:highlight w:val="none"/>
        </w:rPr>
        <w:t>0mm</w:t>
      </w:r>
      <w:r>
        <w:rPr>
          <w:rFonts w:hint="eastAsia" w:hAnsi="宋体"/>
          <w:highlight w:val="none"/>
        </w:rPr>
        <w:t>，</w:t>
      </w:r>
      <w:r>
        <w:rPr>
          <w:rFonts w:hAnsi="宋体"/>
          <w:highlight w:val="none"/>
        </w:rPr>
        <w:t>纵向搭接尺寸不得少于</w:t>
      </w:r>
      <w:r>
        <w:rPr>
          <w:rFonts w:hint="eastAsia" w:hAnsi="宋体"/>
          <w:highlight w:val="none"/>
        </w:rPr>
        <w:t>3</w:t>
      </w:r>
      <w:r>
        <w:rPr>
          <w:rFonts w:hAnsi="宋体"/>
          <w:highlight w:val="none"/>
        </w:rPr>
        <w:t>0mm</w:t>
      </w:r>
      <w:r>
        <w:rPr>
          <w:rFonts w:hint="eastAsia" w:hAnsi="宋体"/>
          <w:highlight w:val="none"/>
        </w:rPr>
        <w:t>。</w:t>
      </w:r>
      <w:r>
        <w:rPr>
          <w:rFonts w:hAnsi="宋体"/>
          <w:highlight w:val="none"/>
        </w:rPr>
        <w:t>高温管道弯头部位搭接尺寸</w:t>
      </w:r>
      <w:r>
        <w:rPr>
          <w:rFonts w:hint="eastAsia" w:hAnsi="宋体"/>
          <w:highlight w:val="none"/>
        </w:rPr>
        <w:t>应</w:t>
      </w:r>
      <w:r>
        <w:rPr>
          <w:rFonts w:hAnsi="宋体"/>
          <w:highlight w:val="none"/>
        </w:rPr>
        <w:t>在此基础上增大</w:t>
      </w:r>
      <w:r>
        <w:rPr>
          <w:rFonts w:hint="eastAsia" w:hAnsi="宋体"/>
          <w:highlight w:val="none"/>
        </w:rPr>
        <w:t>。</w:t>
      </w:r>
    </w:p>
    <w:p w14:paraId="4A7852B8">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3</w:t>
      </w:r>
      <w:r>
        <w:rPr>
          <w:rFonts w:hAnsi="宋体"/>
          <w:highlight w:val="none"/>
        </w:rPr>
        <w:t>.2 绝热层外径小于</w:t>
      </w:r>
      <w:r>
        <w:rPr>
          <w:rFonts w:hint="eastAsia" w:hAnsi="宋体"/>
          <w:highlight w:val="none"/>
        </w:rPr>
        <w:t>2</w:t>
      </w:r>
      <w:r>
        <w:rPr>
          <w:rFonts w:hAnsi="宋体"/>
          <w:highlight w:val="none"/>
        </w:rPr>
        <w:t>00mm</w:t>
      </w:r>
      <w:r>
        <w:rPr>
          <w:rFonts w:hint="eastAsia" w:hAnsi="宋体"/>
          <w:highlight w:val="none"/>
        </w:rPr>
        <w:t>，</w:t>
      </w:r>
      <w:r>
        <w:rPr>
          <w:rFonts w:hAnsi="宋体"/>
          <w:highlight w:val="none"/>
        </w:rPr>
        <w:t>且弯头弯曲半径较小的</w:t>
      </w:r>
      <w:r>
        <w:rPr>
          <w:rFonts w:hint="eastAsia" w:hAnsi="宋体"/>
          <w:highlight w:val="none"/>
        </w:rPr>
        <w:t>，</w:t>
      </w:r>
      <w:r>
        <w:rPr>
          <w:rFonts w:hAnsi="宋体"/>
          <w:highlight w:val="none"/>
        </w:rPr>
        <w:t>外保护层弯头可以做成</w:t>
      </w:r>
      <w:r>
        <w:rPr>
          <w:rFonts w:hint="eastAsia" w:hAnsi="宋体"/>
          <w:highlight w:val="none"/>
        </w:rPr>
        <w:t>直角，并注意防水。绝热层外径大于或等于2</w:t>
      </w:r>
      <w:r>
        <w:rPr>
          <w:rFonts w:hAnsi="宋体"/>
          <w:highlight w:val="none"/>
        </w:rPr>
        <w:t>00mm的不同外径的分节弯头保护层分节数</w:t>
      </w:r>
      <w:r>
        <w:rPr>
          <w:rFonts w:hint="eastAsia" w:hAnsi="宋体"/>
          <w:highlight w:val="none"/>
        </w:rPr>
        <w:t>应</w:t>
      </w:r>
      <w:r>
        <w:rPr>
          <w:rFonts w:hAnsi="宋体"/>
          <w:highlight w:val="none"/>
        </w:rPr>
        <w:t>符合</w:t>
      </w:r>
      <w:r>
        <w:rPr>
          <w:rFonts w:hint="eastAsia" w:hAnsi="宋体"/>
          <w:highlight w:val="none"/>
        </w:rPr>
        <w:t>：</w:t>
      </w:r>
      <w:r>
        <w:rPr>
          <w:rFonts w:hAnsi="宋体"/>
          <w:highlight w:val="none"/>
        </w:rPr>
        <w:t>公称直径</w:t>
      </w:r>
      <w:r>
        <w:rPr>
          <w:rFonts w:hint="eastAsia" w:hAnsi="宋体"/>
          <w:highlight w:val="none"/>
        </w:rPr>
        <w:t>2</w:t>
      </w:r>
      <w:r>
        <w:rPr>
          <w:rFonts w:hAnsi="宋体"/>
          <w:highlight w:val="none"/>
        </w:rPr>
        <w:t>00</w:t>
      </w:r>
      <w:r>
        <w:rPr>
          <w:rFonts w:hint="eastAsia" w:hAnsi="宋体"/>
          <w:highlight w:val="none"/>
          <w:lang w:eastAsia="zh-CN"/>
        </w:rPr>
        <w:t>—</w:t>
      </w:r>
      <w:r>
        <w:rPr>
          <w:rFonts w:hAnsi="宋体"/>
          <w:highlight w:val="none"/>
        </w:rPr>
        <w:t>300mm的管道不得小于六节</w:t>
      </w:r>
      <w:r>
        <w:rPr>
          <w:rFonts w:hint="eastAsia" w:hAnsi="宋体"/>
          <w:highlight w:val="none"/>
        </w:rPr>
        <w:t>；</w:t>
      </w:r>
      <w:r>
        <w:rPr>
          <w:rFonts w:hAnsi="宋体"/>
          <w:highlight w:val="none"/>
        </w:rPr>
        <w:t>公称直径</w:t>
      </w:r>
      <w:r>
        <w:rPr>
          <w:rFonts w:hint="eastAsia" w:hAnsi="宋体"/>
          <w:highlight w:val="none"/>
        </w:rPr>
        <w:t>3</w:t>
      </w:r>
      <w:r>
        <w:rPr>
          <w:rFonts w:hAnsi="宋体"/>
          <w:highlight w:val="none"/>
        </w:rPr>
        <w:t>50mm以上的管道不得小于七节</w:t>
      </w:r>
      <w:r>
        <w:rPr>
          <w:rFonts w:hint="eastAsia" w:hAnsi="宋体"/>
          <w:highlight w:val="none"/>
        </w:rPr>
        <w:t>。</w:t>
      </w:r>
    </w:p>
    <w:p w14:paraId="78A213CE">
      <w:pPr>
        <w:spacing w:line="360" w:lineRule="auto"/>
        <w:outlineLvl w:val="2"/>
        <w:rPr>
          <w:rFonts w:hint="eastAsia" w:hAnsi="宋体" w:eastAsia="宋体"/>
          <w:highlight w:val="none"/>
          <w:lang w:eastAsia="zh-CN"/>
        </w:rPr>
      </w:pPr>
      <w:bookmarkStart w:id="43" w:name="_Toc16111"/>
      <w:bookmarkStart w:id="44" w:name="_Toc12664"/>
      <w:r>
        <w:rPr>
          <w:rFonts w:hint="eastAsia" w:hAnsi="宋体"/>
          <w:highlight w:val="none"/>
        </w:rPr>
        <w:t>5</w:t>
      </w:r>
      <w:r>
        <w:rPr>
          <w:rFonts w:hAnsi="宋体"/>
          <w:highlight w:val="none"/>
        </w:rPr>
        <w:t>.2.</w:t>
      </w:r>
      <w:r>
        <w:rPr>
          <w:rFonts w:hint="eastAsia" w:hAnsi="宋体"/>
          <w:highlight w:val="none"/>
          <w:lang w:val="en-US" w:eastAsia="zh-CN"/>
        </w:rPr>
        <w:t>4</w:t>
      </w:r>
      <w:r>
        <w:rPr>
          <w:rFonts w:hAnsi="宋体"/>
          <w:highlight w:val="none"/>
        </w:rPr>
        <w:t xml:space="preserve"> 旧保温拆除技术要求</w:t>
      </w:r>
      <w:bookmarkEnd w:id="43"/>
      <w:bookmarkEnd w:id="44"/>
    </w:p>
    <w:p w14:paraId="3BDBB413">
      <w:pPr>
        <w:spacing w:line="360" w:lineRule="auto"/>
        <w:rPr>
          <w:rFonts w:hAnsi="宋体"/>
          <w:highlight w:val="none"/>
        </w:rPr>
      </w:pPr>
      <w:r>
        <w:rPr>
          <w:rFonts w:hint="eastAsia" w:hAnsi="宋体"/>
          <w:highlight w:val="none"/>
        </w:rPr>
        <w:t>5</w:t>
      </w:r>
      <w:r>
        <w:rPr>
          <w:rFonts w:hAnsi="宋体"/>
          <w:highlight w:val="none"/>
        </w:rPr>
        <w:t>.2.</w:t>
      </w:r>
      <w:r>
        <w:rPr>
          <w:rFonts w:hint="eastAsia" w:hAnsi="宋体"/>
          <w:highlight w:val="none"/>
          <w:lang w:val="en-US" w:eastAsia="zh-CN"/>
        </w:rPr>
        <w:t>4</w:t>
      </w:r>
      <w:r>
        <w:rPr>
          <w:rFonts w:hAnsi="宋体"/>
          <w:highlight w:val="none"/>
        </w:rPr>
        <w:t>.1 对</w:t>
      </w:r>
      <w:r>
        <w:rPr>
          <w:rFonts w:hint="eastAsia" w:hAnsi="宋体"/>
          <w:highlight w:val="none"/>
        </w:rPr>
        <w:t>旧保温的金属保护层应全部拆除，不得直接将新金属保护层安装在旧保护层表面。</w:t>
      </w:r>
    </w:p>
    <w:p w14:paraId="4FDB3C8C">
      <w:pPr>
        <w:spacing w:line="360" w:lineRule="auto"/>
        <w:rPr>
          <w:rFonts w:hint="eastAsia" w:hAnsi="宋体" w:eastAsia="宋体"/>
          <w:highlight w:val="none"/>
          <w:lang w:val="en-US" w:eastAsia="zh-CN"/>
        </w:rPr>
      </w:pPr>
      <w:r>
        <w:rPr>
          <w:rFonts w:hint="eastAsia" w:hAnsi="宋体"/>
          <w:highlight w:val="none"/>
        </w:rPr>
        <w:t>5</w:t>
      </w:r>
      <w:r>
        <w:rPr>
          <w:rFonts w:hAnsi="宋体"/>
          <w:highlight w:val="none"/>
        </w:rPr>
        <w:t>.2.</w:t>
      </w:r>
      <w:r>
        <w:rPr>
          <w:rFonts w:hint="eastAsia" w:hAnsi="宋体"/>
          <w:highlight w:val="none"/>
          <w:lang w:val="en-US" w:eastAsia="zh-CN"/>
        </w:rPr>
        <w:t>4</w:t>
      </w:r>
      <w:r>
        <w:rPr>
          <w:rFonts w:hAnsi="宋体"/>
          <w:highlight w:val="none"/>
        </w:rPr>
        <w:t>.2 绝热层的拆除应根据损坏程度</w:t>
      </w:r>
      <w:r>
        <w:rPr>
          <w:rFonts w:hint="eastAsia" w:hAnsi="宋体"/>
          <w:highlight w:val="none"/>
        </w:rPr>
        <w:t>决定，并由招标方技术人员现场确认是否对绝热层进行拆除更换。</w:t>
      </w:r>
      <w:r>
        <w:rPr>
          <w:rFonts w:hint="eastAsia" w:hAnsi="宋体"/>
          <w:highlight w:val="none"/>
          <w:lang w:val="en-US" w:eastAsia="zh-CN"/>
        </w:rPr>
        <w:tab/>
      </w:r>
    </w:p>
    <w:p w14:paraId="4A22E203">
      <w:pPr>
        <w:pStyle w:val="3"/>
        <w:bidi w:val="0"/>
        <w:rPr>
          <w:rFonts w:hint="eastAsia"/>
          <w:highlight w:val="none"/>
        </w:rPr>
      </w:pPr>
      <w:bookmarkStart w:id="45" w:name="_Toc5923"/>
      <w:r>
        <w:rPr>
          <w:rFonts w:hint="eastAsia"/>
          <w:highlight w:val="none"/>
        </w:rPr>
        <w:t>6</w:t>
      </w:r>
      <w:r>
        <w:rPr>
          <w:rFonts w:hint="eastAsia"/>
          <w:highlight w:val="none"/>
          <w:lang w:val="en-US" w:eastAsia="zh-CN"/>
        </w:rPr>
        <w:t xml:space="preserve"> </w:t>
      </w:r>
      <w:r>
        <w:rPr>
          <w:rFonts w:hint="eastAsia"/>
          <w:highlight w:val="none"/>
        </w:rPr>
        <w:t>工程质量保证</w:t>
      </w:r>
      <w:bookmarkEnd w:id="45"/>
    </w:p>
    <w:p w14:paraId="2A4B43EE">
      <w:pPr>
        <w:spacing w:line="360" w:lineRule="auto"/>
        <w:rPr>
          <w:rFonts w:hAnsi="宋体"/>
          <w:highlight w:val="none"/>
        </w:rPr>
      </w:pPr>
      <w:r>
        <w:rPr>
          <w:rFonts w:hint="eastAsia" w:hAnsi="宋体"/>
          <w:highlight w:val="none"/>
        </w:rPr>
        <w:t>6.1</w:t>
      </w:r>
      <w:r>
        <w:rPr>
          <w:rFonts w:hint="eastAsia" w:hAnsi="宋体"/>
          <w:highlight w:val="none"/>
          <w:lang w:val="en-US" w:eastAsia="zh-CN"/>
        </w:rPr>
        <w:t xml:space="preserve"> </w:t>
      </w:r>
      <w:r>
        <w:rPr>
          <w:rFonts w:hint="eastAsia" w:hAnsi="宋体"/>
          <w:highlight w:val="none"/>
        </w:rPr>
        <w:t>本工程将按GB／T9002－ISO9002质量保证模式要求，实行质量管理，实行全员、全过程质量管理，从而保证工程的顺利实施和有效控制。</w:t>
      </w:r>
    </w:p>
    <w:p w14:paraId="4599DA4C">
      <w:pPr>
        <w:spacing w:line="360" w:lineRule="auto"/>
        <w:rPr>
          <w:rFonts w:hAnsi="宋体"/>
          <w:highlight w:val="none"/>
        </w:rPr>
      </w:pPr>
      <w:r>
        <w:rPr>
          <w:rFonts w:hint="eastAsia" w:hAnsi="宋体"/>
          <w:highlight w:val="none"/>
        </w:rPr>
        <w:t>6.2</w:t>
      </w:r>
      <w:r>
        <w:rPr>
          <w:rFonts w:hint="eastAsia" w:hAnsi="宋体"/>
          <w:highlight w:val="none"/>
          <w:lang w:val="en-US" w:eastAsia="zh-CN"/>
        </w:rPr>
        <w:t xml:space="preserve"> </w:t>
      </w:r>
      <w:r>
        <w:rPr>
          <w:rFonts w:hint="eastAsia" w:hAnsi="宋体"/>
          <w:highlight w:val="none"/>
        </w:rPr>
        <w:t>施工前组织施工人员进行安全学习及方案讨论，详细了解施工程序。施工人员进驻现场后，严格遵守纪律，按招标方有关规章制度，在工作范围内活动，不做与工作无关的事，恪守职业道德。</w:t>
      </w:r>
    </w:p>
    <w:p w14:paraId="20B80977">
      <w:pPr>
        <w:spacing w:line="360" w:lineRule="auto"/>
        <w:rPr>
          <w:rFonts w:hAnsi="宋体"/>
          <w:highlight w:val="none"/>
        </w:rPr>
      </w:pPr>
      <w:r>
        <w:rPr>
          <w:rFonts w:hint="eastAsia" w:hAnsi="宋体"/>
          <w:highlight w:val="none"/>
        </w:rPr>
        <w:t>6.3</w:t>
      </w:r>
      <w:r>
        <w:rPr>
          <w:rFonts w:hint="eastAsia" w:hAnsi="宋体"/>
          <w:highlight w:val="none"/>
          <w:lang w:val="en-US" w:eastAsia="zh-CN"/>
        </w:rPr>
        <w:t xml:space="preserve"> </w:t>
      </w:r>
      <w:r>
        <w:rPr>
          <w:rFonts w:hint="eastAsia" w:hAnsi="宋体"/>
          <w:highlight w:val="none"/>
        </w:rPr>
        <w:t>做好技术交底，严格按照</w:t>
      </w:r>
      <w:r>
        <w:rPr>
          <w:rFonts w:hint="eastAsia" w:hAnsi="宋体"/>
          <w:highlight w:val="none"/>
          <w:lang w:eastAsia="zh-CN"/>
        </w:rPr>
        <w:t>规定</w:t>
      </w:r>
      <w:r>
        <w:rPr>
          <w:rFonts w:hint="eastAsia" w:hAnsi="宋体"/>
          <w:highlight w:val="none"/>
        </w:rPr>
        <w:t>程序要求和消防标准施工。</w:t>
      </w:r>
    </w:p>
    <w:p w14:paraId="15E0417E">
      <w:pPr>
        <w:spacing w:line="360" w:lineRule="auto"/>
        <w:rPr>
          <w:rFonts w:hAnsi="宋体"/>
          <w:highlight w:val="none"/>
        </w:rPr>
      </w:pPr>
      <w:r>
        <w:rPr>
          <w:rFonts w:hint="eastAsia" w:hAnsi="宋体"/>
          <w:highlight w:val="none"/>
        </w:rPr>
        <w:t>6.4</w:t>
      </w:r>
      <w:r>
        <w:rPr>
          <w:rFonts w:hint="eastAsia" w:hAnsi="宋体"/>
          <w:highlight w:val="none"/>
          <w:lang w:val="en-US" w:eastAsia="zh-CN"/>
        </w:rPr>
        <w:t xml:space="preserve"> </w:t>
      </w:r>
      <w:r>
        <w:rPr>
          <w:rFonts w:hint="eastAsia" w:hAnsi="宋体"/>
          <w:highlight w:val="none"/>
        </w:rPr>
        <w:t>施工中采用自检、互检和专业检查相结合，确保工程质量。</w:t>
      </w:r>
    </w:p>
    <w:p w14:paraId="64AFD7B3">
      <w:pPr>
        <w:spacing w:line="360" w:lineRule="auto"/>
        <w:rPr>
          <w:rFonts w:hAnsi="宋体"/>
          <w:highlight w:val="none"/>
        </w:rPr>
      </w:pPr>
      <w:r>
        <w:rPr>
          <w:rFonts w:hint="eastAsia" w:hAnsi="宋体"/>
          <w:highlight w:val="none"/>
        </w:rPr>
        <w:t>6.5</w:t>
      </w:r>
      <w:r>
        <w:rPr>
          <w:rFonts w:hint="eastAsia" w:hAnsi="宋体"/>
          <w:highlight w:val="none"/>
          <w:lang w:val="en-US" w:eastAsia="zh-CN"/>
        </w:rPr>
        <w:t xml:space="preserve"> </w:t>
      </w:r>
      <w:r>
        <w:rPr>
          <w:rFonts w:hint="eastAsia" w:hAnsi="宋体"/>
          <w:highlight w:val="none"/>
        </w:rPr>
        <w:t>项目经理应全过程按程序验收法跟踪监督质量，前道工序验收确认签字后方可进行下道工序的施工。</w:t>
      </w:r>
    </w:p>
    <w:p w14:paraId="5EFB38AC">
      <w:pPr>
        <w:spacing w:line="360" w:lineRule="auto"/>
        <w:rPr>
          <w:rFonts w:hAnsi="宋体"/>
          <w:highlight w:val="none"/>
        </w:rPr>
      </w:pPr>
      <w:r>
        <w:rPr>
          <w:rFonts w:hint="eastAsia" w:hAnsi="宋体"/>
          <w:highlight w:val="none"/>
        </w:rPr>
        <w:t>6.6</w:t>
      </w:r>
      <w:r>
        <w:rPr>
          <w:rFonts w:hint="eastAsia" w:hAnsi="宋体"/>
          <w:highlight w:val="none"/>
          <w:lang w:val="en-US" w:eastAsia="zh-CN"/>
        </w:rPr>
        <w:t xml:space="preserve"> </w:t>
      </w:r>
      <w:r>
        <w:rPr>
          <w:rFonts w:hint="eastAsia" w:hAnsi="宋体"/>
          <w:highlight w:val="none"/>
        </w:rPr>
        <w:t>合理安排施工，缩短工期，杜绝窝工、怠工、返工损失。</w:t>
      </w:r>
    </w:p>
    <w:p w14:paraId="14E37390">
      <w:pPr>
        <w:spacing w:line="360" w:lineRule="auto"/>
        <w:rPr>
          <w:rFonts w:hAnsi="宋体"/>
          <w:highlight w:val="none"/>
        </w:rPr>
      </w:pPr>
      <w:r>
        <w:rPr>
          <w:rFonts w:hint="eastAsia" w:hAnsi="宋体"/>
          <w:highlight w:val="none"/>
        </w:rPr>
        <w:t>6.7</w:t>
      </w:r>
      <w:r>
        <w:rPr>
          <w:rFonts w:hint="eastAsia" w:hAnsi="宋体"/>
          <w:highlight w:val="none"/>
          <w:lang w:val="en-US" w:eastAsia="zh-CN"/>
        </w:rPr>
        <w:t xml:space="preserve"> </w:t>
      </w:r>
      <w:r>
        <w:rPr>
          <w:rFonts w:hint="eastAsia" w:hAnsi="宋体"/>
          <w:highlight w:val="none"/>
        </w:rPr>
        <w:t>施工中要严格控制二次污染，保证施工设备的干净和整洁。</w:t>
      </w:r>
    </w:p>
    <w:p w14:paraId="3F589154">
      <w:pPr>
        <w:spacing w:line="360" w:lineRule="auto"/>
        <w:rPr>
          <w:rFonts w:hAnsi="宋体"/>
          <w:highlight w:val="none"/>
        </w:rPr>
      </w:pPr>
      <w:r>
        <w:rPr>
          <w:rFonts w:hint="eastAsia" w:hAnsi="宋体"/>
          <w:highlight w:val="none"/>
        </w:rPr>
        <w:t>6.8</w:t>
      </w:r>
      <w:r>
        <w:rPr>
          <w:rFonts w:hint="eastAsia" w:hAnsi="宋体"/>
          <w:highlight w:val="none"/>
          <w:lang w:val="en-US" w:eastAsia="zh-CN"/>
        </w:rPr>
        <w:t xml:space="preserve"> 施工区域</w:t>
      </w:r>
      <w:r>
        <w:rPr>
          <w:rFonts w:hint="eastAsia" w:hAnsi="宋体"/>
          <w:highlight w:val="none"/>
        </w:rPr>
        <w:t>材料要堆放整齐稳妥，并设置专人管理；对部分有机溶剂要严格控制。</w:t>
      </w:r>
    </w:p>
    <w:p w14:paraId="50B48F4F">
      <w:pPr>
        <w:spacing w:line="360" w:lineRule="auto"/>
        <w:rPr>
          <w:rFonts w:hAnsi="宋体"/>
          <w:highlight w:val="none"/>
        </w:rPr>
      </w:pPr>
      <w:r>
        <w:rPr>
          <w:rFonts w:hint="eastAsia" w:hAnsi="宋体"/>
          <w:highlight w:val="none"/>
        </w:rPr>
        <w:t>6.9</w:t>
      </w:r>
      <w:r>
        <w:rPr>
          <w:rFonts w:hint="eastAsia" w:hAnsi="宋体"/>
          <w:highlight w:val="none"/>
          <w:lang w:val="en-US" w:eastAsia="zh-CN"/>
        </w:rPr>
        <w:t xml:space="preserve"> </w:t>
      </w:r>
      <w:r>
        <w:rPr>
          <w:rFonts w:hint="eastAsia" w:hAnsi="宋体"/>
          <w:highlight w:val="none"/>
        </w:rPr>
        <w:t>保持现场清洁卫生，及时处理施工垃圾，保证工完料尽场地清。废弃的材料要有专人专门的措施进行处理，收工时未用尽的材料应及时带回保管或堆放在不影响施工的地方，防止丢失和损坏。</w:t>
      </w:r>
    </w:p>
    <w:p w14:paraId="413D0281">
      <w:pPr>
        <w:pStyle w:val="3"/>
        <w:bidi w:val="0"/>
        <w:rPr>
          <w:rFonts w:hint="eastAsia"/>
          <w:highlight w:val="none"/>
        </w:rPr>
      </w:pPr>
      <w:bookmarkStart w:id="46" w:name="_Toc8179"/>
      <w:bookmarkStart w:id="47" w:name="_Toc17812759"/>
      <w:r>
        <w:rPr>
          <w:rFonts w:hint="eastAsia"/>
          <w:highlight w:val="none"/>
        </w:rPr>
        <w:t>7</w:t>
      </w:r>
      <w:r>
        <w:rPr>
          <w:rFonts w:hint="eastAsia"/>
          <w:highlight w:val="none"/>
          <w:lang w:val="en-US" w:eastAsia="zh-CN"/>
        </w:rPr>
        <w:t xml:space="preserve"> </w:t>
      </w:r>
      <w:r>
        <w:rPr>
          <w:rFonts w:hint="eastAsia"/>
          <w:highlight w:val="none"/>
        </w:rPr>
        <w:t>质量控制措施</w:t>
      </w:r>
      <w:bookmarkEnd w:id="15"/>
      <w:bookmarkEnd w:id="16"/>
      <w:bookmarkEnd w:id="46"/>
      <w:bookmarkEnd w:id="47"/>
    </w:p>
    <w:p w14:paraId="428E3477">
      <w:pPr>
        <w:pStyle w:val="99"/>
        <w:widowControl w:val="0"/>
        <w:spacing w:before="0" w:beforeAutospacing="0" w:after="0" w:afterAutospacing="0"/>
        <w:jc w:val="left"/>
        <w:outlineLvl w:val="1"/>
        <w:rPr>
          <w:rFonts w:hint="eastAsia"/>
          <w:highlight w:val="none"/>
          <w:lang w:val="en-US" w:eastAsia="zh-CN"/>
        </w:rPr>
      </w:pPr>
      <w:bookmarkStart w:id="48" w:name="_Toc8556"/>
      <w:bookmarkStart w:id="49" w:name="_Toc13037"/>
      <w:r>
        <w:rPr>
          <w:rFonts w:hint="eastAsia"/>
          <w:highlight w:val="none"/>
        </w:rPr>
        <w:t>7.1</w:t>
      </w:r>
      <w:r>
        <w:rPr>
          <w:rFonts w:hint="eastAsia"/>
          <w:highlight w:val="none"/>
          <w:lang w:val="en-US" w:eastAsia="zh-CN"/>
        </w:rPr>
        <w:t xml:space="preserve"> </w:t>
      </w:r>
      <w:r>
        <w:rPr>
          <w:rFonts w:hint="eastAsia"/>
          <w:highlight w:val="none"/>
        </w:rPr>
        <w:t>化工</w:t>
      </w:r>
      <w:r>
        <w:rPr>
          <w:rFonts w:hint="eastAsia"/>
          <w:highlight w:val="none"/>
          <w:lang w:val="en-US" w:eastAsia="zh-CN"/>
        </w:rPr>
        <w:t>装置</w:t>
      </w:r>
      <w:r>
        <w:rPr>
          <w:rFonts w:hint="eastAsia"/>
          <w:highlight w:val="none"/>
        </w:rPr>
        <w:t>部分</w:t>
      </w:r>
      <w:r>
        <w:rPr>
          <w:rFonts w:hint="eastAsia"/>
          <w:bCs/>
          <w:highlight w:val="none"/>
          <w:lang w:eastAsia="zh-CN"/>
        </w:rPr>
        <w:t>设备设施防腐</w:t>
      </w:r>
      <w:r>
        <w:rPr>
          <w:rFonts w:hint="eastAsia"/>
          <w:bCs/>
          <w:highlight w:val="none"/>
        </w:rPr>
        <w:t>工程</w:t>
      </w:r>
      <w:r>
        <w:rPr>
          <w:rFonts w:hint="eastAsia"/>
          <w:highlight w:val="none"/>
        </w:rPr>
        <w:t>质量控制点及验收标准</w:t>
      </w:r>
      <w:bookmarkEnd w:id="48"/>
      <w:r>
        <w:rPr>
          <w:rFonts w:hint="eastAsia"/>
          <w:highlight w:val="none"/>
          <w:lang w:val="en-US" w:eastAsia="zh-CN"/>
        </w:rPr>
        <w:t>如下：</w:t>
      </w:r>
      <w:bookmarkEnd w:id="49"/>
    </w:p>
    <w:p w14:paraId="17A0C9F0">
      <w:pPr>
        <w:pStyle w:val="99"/>
        <w:widowControl w:val="0"/>
        <w:spacing w:before="0" w:beforeAutospacing="0" w:after="0" w:afterAutospacing="0"/>
        <w:jc w:val="left"/>
        <w:outlineLvl w:val="1"/>
        <w:rPr>
          <w:rFonts w:hint="eastAsia"/>
          <w:highlight w:val="none"/>
          <w:lang w:val="en-US" w:eastAsia="zh-CN"/>
        </w:rPr>
      </w:pPr>
    </w:p>
    <w:tbl>
      <w:tblPr>
        <w:tblStyle w:val="38"/>
        <w:tblW w:w="9308"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61"/>
        <w:gridCol w:w="850"/>
        <w:gridCol w:w="1844"/>
        <w:gridCol w:w="2080"/>
        <w:gridCol w:w="1289"/>
        <w:gridCol w:w="1450"/>
        <w:gridCol w:w="1134"/>
      </w:tblGrid>
      <w:tr w14:paraId="1206A6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684" w:hRule="atLeast"/>
          <w:tblHeader/>
          <w:jc w:val="center"/>
        </w:trPr>
        <w:tc>
          <w:tcPr>
            <w:tcW w:w="661" w:type="dxa"/>
            <w:tcBorders>
              <w:top w:val="single" w:color="auto" w:sz="12" w:space="0"/>
              <w:left w:val="single" w:color="auto" w:sz="12" w:space="0"/>
              <w:bottom w:val="single" w:color="auto" w:sz="6" w:space="0"/>
            </w:tcBorders>
            <w:vAlign w:val="center"/>
          </w:tcPr>
          <w:p w14:paraId="046AF049">
            <w:pPr>
              <w:spacing w:line="360" w:lineRule="auto"/>
              <w:jc w:val="center"/>
              <w:rPr>
                <w:rFonts w:hAnsi="宋体"/>
                <w:sz w:val="21"/>
                <w:szCs w:val="21"/>
                <w:highlight w:val="none"/>
              </w:rPr>
            </w:pPr>
            <w:bookmarkStart w:id="50" w:name="_Toc17812760"/>
            <w:bookmarkStart w:id="51" w:name="_Toc26548"/>
            <w:bookmarkStart w:id="52" w:name="_Toc384026325"/>
            <w:r>
              <w:rPr>
                <w:rFonts w:hint="eastAsia" w:hAnsi="宋体"/>
                <w:sz w:val="21"/>
                <w:szCs w:val="21"/>
                <w:highlight w:val="none"/>
              </w:rPr>
              <w:t>序号</w:t>
            </w:r>
          </w:p>
        </w:tc>
        <w:tc>
          <w:tcPr>
            <w:tcW w:w="850" w:type="dxa"/>
            <w:tcBorders>
              <w:top w:val="single" w:color="auto" w:sz="12" w:space="0"/>
              <w:bottom w:val="single" w:color="auto" w:sz="6" w:space="0"/>
            </w:tcBorders>
            <w:vAlign w:val="center"/>
          </w:tcPr>
          <w:p w14:paraId="0D4EC832">
            <w:pPr>
              <w:spacing w:line="360" w:lineRule="auto"/>
              <w:jc w:val="center"/>
              <w:rPr>
                <w:rFonts w:hAnsi="宋体"/>
                <w:sz w:val="21"/>
                <w:szCs w:val="21"/>
                <w:highlight w:val="none"/>
              </w:rPr>
            </w:pPr>
            <w:r>
              <w:rPr>
                <w:rFonts w:hint="eastAsia" w:hAnsi="宋体"/>
                <w:sz w:val="21"/>
                <w:szCs w:val="21"/>
                <w:highlight w:val="none"/>
              </w:rPr>
              <w:t>项  目</w:t>
            </w:r>
          </w:p>
        </w:tc>
        <w:tc>
          <w:tcPr>
            <w:tcW w:w="1844" w:type="dxa"/>
            <w:tcBorders>
              <w:top w:val="single" w:color="auto" w:sz="12" w:space="0"/>
              <w:bottom w:val="single" w:color="auto" w:sz="6" w:space="0"/>
            </w:tcBorders>
            <w:vAlign w:val="center"/>
          </w:tcPr>
          <w:p w14:paraId="7C7066E8">
            <w:pPr>
              <w:spacing w:line="360" w:lineRule="auto"/>
              <w:jc w:val="center"/>
              <w:rPr>
                <w:rFonts w:hAnsi="宋体"/>
                <w:sz w:val="21"/>
                <w:szCs w:val="21"/>
                <w:highlight w:val="none"/>
              </w:rPr>
            </w:pPr>
            <w:r>
              <w:rPr>
                <w:rFonts w:hint="eastAsia" w:hAnsi="宋体"/>
                <w:sz w:val="21"/>
                <w:szCs w:val="21"/>
                <w:highlight w:val="none"/>
              </w:rPr>
              <w:t>检查内容</w:t>
            </w:r>
          </w:p>
        </w:tc>
        <w:tc>
          <w:tcPr>
            <w:tcW w:w="2080" w:type="dxa"/>
            <w:tcBorders>
              <w:top w:val="single" w:color="auto" w:sz="12" w:space="0"/>
              <w:bottom w:val="single" w:color="auto" w:sz="6" w:space="0"/>
            </w:tcBorders>
            <w:vAlign w:val="center"/>
          </w:tcPr>
          <w:p w14:paraId="1F9A4ECF">
            <w:pPr>
              <w:spacing w:line="360" w:lineRule="auto"/>
              <w:jc w:val="center"/>
              <w:rPr>
                <w:rFonts w:hAnsi="宋体"/>
                <w:sz w:val="21"/>
                <w:szCs w:val="21"/>
                <w:highlight w:val="none"/>
              </w:rPr>
            </w:pPr>
            <w:r>
              <w:rPr>
                <w:rFonts w:hint="eastAsia" w:hAnsi="宋体"/>
                <w:sz w:val="21"/>
                <w:szCs w:val="21"/>
                <w:highlight w:val="none"/>
              </w:rPr>
              <w:t>检验标准</w:t>
            </w:r>
          </w:p>
        </w:tc>
        <w:tc>
          <w:tcPr>
            <w:tcW w:w="1289" w:type="dxa"/>
            <w:tcBorders>
              <w:top w:val="single" w:color="auto" w:sz="12" w:space="0"/>
              <w:bottom w:val="single" w:color="auto" w:sz="6" w:space="0"/>
            </w:tcBorders>
            <w:vAlign w:val="center"/>
          </w:tcPr>
          <w:p w14:paraId="59D7B4D1">
            <w:pPr>
              <w:spacing w:line="360" w:lineRule="auto"/>
              <w:jc w:val="center"/>
              <w:rPr>
                <w:rFonts w:hAnsi="宋体"/>
                <w:sz w:val="21"/>
                <w:szCs w:val="21"/>
                <w:highlight w:val="none"/>
              </w:rPr>
            </w:pPr>
            <w:r>
              <w:rPr>
                <w:rFonts w:hint="eastAsia" w:hAnsi="宋体"/>
                <w:sz w:val="21"/>
                <w:szCs w:val="21"/>
                <w:highlight w:val="none"/>
              </w:rPr>
              <w:t>检测范围</w:t>
            </w:r>
          </w:p>
        </w:tc>
        <w:tc>
          <w:tcPr>
            <w:tcW w:w="1450" w:type="dxa"/>
            <w:tcBorders>
              <w:top w:val="single" w:color="auto" w:sz="12" w:space="0"/>
              <w:bottom w:val="single" w:color="auto" w:sz="6" w:space="0"/>
              <w:right w:val="single" w:color="auto" w:sz="4" w:space="0"/>
            </w:tcBorders>
            <w:vAlign w:val="center"/>
          </w:tcPr>
          <w:p w14:paraId="643319D9">
            <w:pPr>
              <w:spacing w:line="360" w:lineRule="auto"/>
              <w:jc w:val="center"/>
              <w:rPr>
                <w:rFonts w:hAnsi="宋体"/>
                <w:sz w:val="21"/>
                <w:szCs w:val="21"/>
                <w:highlight w:val="none"/>
              </w:rPr>
            </w:pPr>
            <w:r>
              <w:rPr>
                <w:rFonts w:hint="eastAsia" w:hAnsi="宋体"/>
                <w:sz w:val="21"/>
                <w:szCs w:val="21"/>
                <w:highlight w:val="none"/>
              </w:rPr>
              <w:t>记录文件</w:t>
            </w:r>
          </w:p>
        </w:tc>
        <w:tc>
          <w:tcPr>
            <w:tcW w:w="1134" w:type="dxa"/>
            <w:tcBorders>
              <w:top w:val="single" w:color="auto" w:sz="12" w:space="0"/>
              <w:left w:val="single" w:color="auto" w:sz="4" w:space="0"/>
              <w:bottom w:val="single" w:color="auto" w:sz="6" w:space="0"/>
              <w:right w:val="single" w:color="auto" w:sz="12" w:space="0"/>
            </w:tcBorders>
            <w:vAlign w:val="center"/>
          </w:tcPr>
          <w:p w14:paraId="1A4CB1F4">
            <w:pPr>
              <w:spacing w:line="360" w:lineRule="auto"/>
              <w:jc w:val="center"/>
              <w:rPr>
                <w:rFonts w:hAnsi="宋体"/>
                <w:sz w:val="21"/>
                <w:szCs w:val="21"/>
                <w:highlight w:val="none"/>
              </w:rPr>
            </w:pPr>
            <w:r>
              <w:rPr>
                <w:rFonts w:hint="eastAsia" w:hAnsi="宋体"/>
                <w:sz w:val="21"/>
                <w:szCs w:val="21"/>
                <w:highlight w:val="none"/>
              </w:rPr>
              <w:t>检测仪器或方法</w:t>
            </w:r>
          </w:p>
        </w:tc>
      </w:tr>
      <w:tr w14:paraId="6335D82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9" w:hRule="atLeast"/>
          <w:jc w:val="center"/>
        </w:trPr>
        <w:tc>
          <w:tcPr>
            <w:tcW w:w="661" w:type="dxa"/>
            <w:tcBorders>
              <w:top w:val="single" w:color="auto" w:sz="6" w:space="0"/>
              <w:left w:val="single" w:color="auto" w:sz="12" w:space="0"/>
              <w:bottom w:val="single" w:color="auto" w:sz="6" w:space="0"/>
            </w:tcBorders>
            <w:vAlign w:val="center"/>
          </w:tcPr>
          <w:p w14:paraId="5E64DACA">
            <w:pPr>
              <w:spacing w:line="360" w:lineRule="auto"/>
              <w:rPr>
                <w:rFonts w:hAnsi="宋体"/>
                <w:sz w:val="21"/>
                <w:szCs w:val="21"/>
                <w:highlight w:val="none"/>
              </w:rPr>
            </w:pPr>
            <w:r>
              <w:rPr>
                <w:rFonts w:hint="eastAsia" w:hAnsi="宋体"/>
                <w:sz w:val="21"/>
                <w:szCs w:val="21"/>
                <w:highlight w:val="none"/>
              </w:rPr>
              <w:t>1</w:t>
            </w:r>
          </w:p>
        </w:tc>
        <w:tc>
          <w:tcPr>
            <w:tcW w:w="850" w:type="dxa"/>
            <w:tcBorders>
              <w:top w:val="single" w:color="auto" w:sz="6" w:space="0"/>
              <w:bottom w:val="single" w:color="auto" w:sz="6" w:space="0"/>
            </w:tcBorders>
            <w:vAlign w:val="center"/>
          </w:tcPr>
          <w:p w14:paraId="76B1EC91">
            <w:pPr>
              <w:spacing w:line="360" w:lineRule="auto"/>
              <w:rPr>
                <w:rFonts w:hAnsi="宋体"/>
                <w:sz w:val="21"/>
                <w:szCs w:val="21"/>
                <w:highlight w:val="none"/>
              </w:rPr>
            </w:pPr>
            <w:r>
              <w:rPr>
                <w:rFonts w:hint="eastAsia" w:hAnsi="宋体"/>
                <w:sz w:val="21"/>
                <w:szCs w:val="21"/>
                <w:highlight w:val="none"/>
                <w:lang w:eastAsia="zh-CN"/>
              </w:rPr>
              <w:t>设备设施钢结构</w:t>
            </w:r>
            <w:r>
              <w:rPr>
                <w:rFonts w:hint="eastAsia" w:hAnsi="宋体"/>
                <w:sz w:val="21"/>
                <w:szCs w:val="21"/>
                <w:highlight w:val="none"/>
              </w:rPr>
              <w:t>处理</w:t>
            </w:r>
          </w:p>
        </w:tc>
        <w:tc>
          <w:tcPr>
            <w:tcW w:w="1844" w:type="dxa"/>
            <w:tcBorders>
              <w:top w:val="single" w:color="auto" w:sz="6" w:space="0"/>
              <w:bottom w:val="single" w:color="auto" w:sz="6" w:space="0"/>
            </w:tcBorders>
            <w:vAlign w:val="center"/>
          </w:tcPr>
          <w:p w14:paraId="2312964B">
            <w:pPr>
              <w:spacing w:line="360" w:lineRule="auto"/>
              <w:rPr>
                <w:rFonts w:hAnsi="宋体"/>
                <w:sz w:val="21"/>
                <w:szCs w:val="21"/>
                <w:highlight w:val="none"/>
              </w:rPr>
            </w:pPr>
            <w:r>
              <w:rPr>
                <w:rFonts w:hint="eastAsia" w:hAnsi="宋体"/>
                <w:sz w:val="21"/>
                <w:szCs w:val="21"/>
                <w:highlight w:val="none"/>
                <w:lang w:eastAsia="zh-CN"/>
              </w:rPr>
              <w:t>设备设施钢结构</w:t>
            </w:r>
            <w:r>
              <w:rPr>
                <w:rFonts w:hint="eastAsia" w:hAnsi="宋体"/>
                <w:sz w:val="21"/>
                <w:szCs w:val="21"/>
                <w:highlight w:val="none"/>
              </w:rPr>
              <w:t>打磨，其他异常情况。</w:t>
            </w:r>
          </w:p>
        </w:tc>
        <w:tc>
          <w:tcPr>
            <w:tcW w:w="2080" w:type="dxa"/>
            <w:tcBorders>
              <w:top w:val="single" w:color="auto" w:sz="6" w:space="0"/>
              <w:bottom w:val="single" w:color="auto" w:sz="6" w:space="0"/>
            </w:tcBorders>
            <w:vAlign w:val="center"/>
          </w:tcPr>
          <w:p w14:paraId="5BFB2D4A">
            <w:pPr>
              <w:spacing w:line="360" w:lineRule="auto"/>
              <w:rPr>
                <w:rFonts w:hAnsi="宋体"/>
                <w:sz w:val="21"/>
                <w:szCs w:val="21"/>
                <w:highlight w:val="none"/>
              </w:rPr>
            </w:pPr>
            <w:r>
              <w:rPr>
                <w:rFonts w:hint="eastAsia" w:hAnsi="宋体"/>
                <w:sz w:val="21"/>
                <w:szCs w:val="21"/>
                <w:highlight w:val="none"/>
              </w:rPr>
              <w:t>原防腐漆打磨干净，满足打磨要求St2、Sa2。</w:t>
            </w:r>
          </w:p>
        </w:tc>
        <w:tc>
          <w:tcPr>
            <w:tcW w:w="1289" w:type="dxa"/>
            <w:tcBorders>
              <w:top w:val="single" w:color="auto" w:sz="6" w:space="0"/>
              <w:bottom w:val="single" w:color="auto" w:sz="6" w:space="0"/>
            </w:tcBorders>
            <w:vAlign w:val="center"/>
          </w:tcPr>
          <w:p w14:paraId="3F0EE4E9">
            <w:pPr>
              <w:spacing w:line="360" w:lineRule="auto"/>
              <w:rPr>
                <w:rFonts w:hAnsi="宋体"/>
                <w:sz w:val="21"/>
                <w:szCs w:val="21"/>
                <w:highlight w:val="none"/>
              </w:rPr>
            </w:pPr>
            <w:r>
              <w:rPr>
                <w:rFonts w:hint="eastAsia" w:hAnsi="宋体"/>
                <w:sz w:val="21"/>
                <w:szCs w:val="21"/>
                <w:highlight w:val="none"/>
              </w:rPr>
              <w:t>100%</w:t>
            </w:r>
          </w:p>
        </w:tc>
        <w:tc>
          <w:tcPr>
            <w:tcW w:w="1450" w:type="dxa"/>
            <w:tcBorders>
              <w:top w:val="single" w:color="auto" w:sz="6" w:space="0"/>
              <w:bottom w:val="single" w:color="auto" w:sz="6" w:space="0"/>
              <w:right w:val="single" w:color="auto" w:sz="4" w:space="0"/>
            </w:tcBorders>
            <w:vAlign w:val="center"/>
          </w:tcPr>
          <w:p w14:paraId="21EA580C">
            <w:pPr>
              <w:spacing w:line="360" w:lineRule="auto"/>
              <w:rPr>
                <w:rFonts w:hAnsi="宋体"/>
                <w:sz w:val="21"/>
                <w:szCs w:val="21"/>
                <w:highlight w:val="none"/>
              </w:rPr>
            </w:pPr>
            <w:r>
              <w:rPr>
                <w:rFonts w:hint="eastAsia" w:hAnsi="宋体"/>
                <w:sz w:val="21"/>
                <w:szCs w:val="21"/>
                <w:highlight w:val="none"/>
                <w:lang w:eastAsia="zh-CN"/>
              </w:rPr>
              <w:t>设备设施钢结构</w:t>
            </w:r>
            <w:r>
              <w:rPr>
                <w:rFonts w:hint="eastAsia" w:hAnsi="宋体"/>
                <w:sz w:val="21"/>
                <w:szCs w:val="21"/>
                <w:highlight w:val="none"/>
              </w:rPr>
              <w:t>验收表；</w:t>
            </w:r>
          </w:p>
          <w:p w14:paraId="178DC64A">
            <w:pPr>
              <w:spacing w:line="360" w:lineRule="auto"/>
              <w:rPr>
                <w:rFonts w:hAnsi="宋体"/>
                <w:sz w:val="21"/>
                <w:szCs w:val="21"/>
                <w:highlight w:val="none"/>
              </w:rPr>
            </w:pPr>
            <w:r>
              <w:rPr>
                <w:rFonts w:hint="eastAsia" w:hAnsi="宋体"/>
                <w:sz w:val="21"/>
                <w:szCs w:val="21"/>
                <w:highlight w:val="none"/>
              </w:rPr>
              <w:t>现场联络单</w:t>
            </w:r>
          </w:p>
        </w:tc>
        <w:tc>
          <w:tcPr>
            <w:tcW w:w="1134" w:type="dxa"/>
            <w:tcBorders>
              <w:top w:val="single" w:color="auto" w:sz="6" w:space="0"/>
              <w:left w:val="single" w:color="auto" w:sz="4" w:space="0"/>
              <w:bottom w:val="single" w:color="auto" w:sz="6" w:space="0"/>
              <w:right w:val="single" w:color="auto" w:sz="12" w:space="0"/>
            </w:tcBorders>
            <w:vAlign w:val="center"/>
          </w:tcPr>
          <w:p w14:paraId="10474600">
            <w:pPr>
              <w:spacing w:line="360" w:lineRule="auto"/>
              <w:rPr>
                <w:rFonts w:hAnsi="宋体"/>
                <w:sz w:val="21"/>
                <w:szCs w:val="21"/>
                <w:highlight w:val="none"/>
              </w:rPr>
            </w:pPr>
          </w:p>
          <w:p w14:paraId="0546BAF1">
            <w:pPr>
              <w:spacing w:line="360" w:lineRule="auto"/>
              <w:rPr>
                <w:rFonts w:hAnsi="宋体"/>
                <w:sz w:val="21"/>
                <w:szCs w:val="21"/>
                <w:highlight w:val="none"/>
              </w:rPr>
            </w:pPr>
            <w:r>
              <w:rPr>
                <w:rFonts w:hint="eastAsia" w:hAnsi="宋体"/>
                <w:sz w:val="21"/>
                <w:szCs w:val="21"/>
                <w:highlight w:val="none"/>
              </w:rPr>
              <w:t>目测</w:t>
            </w:r>
          </w:p>
        </w:tc>
      </w:tr>
      <w:tr w14:paraId="7C665A0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710" w:hRule="atLeast"/>
          <w:jc w:val="center"/>
        </w:trPr>
        <w:tc>
          <w:tcPr>
            <w:tcW w:w="661" w:type="dxa"/>
            <w:tcBorders>
              <w:top w:val="single" w:color="auto" w:sz="6" w:space="0"/>
              <w:left w:val="single" w:color="auto" w:sz="12" w:space="0"/>
              <w:bottom w:val="single" w:color="auto" w:sz="6" w:space="0"/>
            </w:tcBorders>
            <w:vAlign w:val="center"/>
          </w:tcPr>
          <w:p w14:paraId="619EF327">
            <w:pPr>
              <w:spacing w:line="360" w:lineRule="auto"/>
              <w:rPr>
                <w:rFonts w:hAnsi="宋体"/>
                <w:sz w:val="21"/>
                <w:szCs w:val="21"/>
                <w:highlight w:val="none"/>
              </w:rPr>
            </w:pPr>
            <w:r>
              <w:rPr>
                <w:rFonts w:hint="eastAsia" w:hAnsi="宋体"/>
                <w:sz w:val="21"/>
                <w:szCs w:val="21"/>
                <w:highlight w:val="none"/>
              </w:rPr>
              <w:t>2</w:t>
            </w:r>
          </w:p>
        </w:tc>
        <w:tc>
          <w:tcPr>
            <w:tcW w:w="850" w:type="dxa"/>
            <w:tcBorders>
              <w:top w:val="single" w:color="auto" w:sz="6" w:space="0"/>
              <w:bottom w:val="single" w:color="auto" w:sz="6" w:space="0"/>
            </w:tcBorders>
            <w:vAlign w:val="center"/>
          </w:tcPr>
          <w:p w14:paraId="419ED521">
            <w:pPr>
              <w:spacing w:line="360" w:lineRule="auto"/>
              <w:rPr>
                <w:rFonts w:hAnsi="宋体"/>
                <w:sz w:val="21"/>
                <w:szCs w:val="21"/>
                <w:highlight w:val="none"/>
              </w:rPr>
            </w:pPr>
            <w:r>
              <w:rPr>
                <w:rFonts w:hint="eastAsia" w:hAnsi="宋体"/>
                <w:sz w:val="21"/>
                <w:szCs w:val="21"/>
                <w:highlight w:val="none"/>
              </w:rPr>
              <w:t>施工环境</w:t>
            </w:r>
          </w:p>
        </w:tc>
        <w:tc>
          <w:tcPr>
            <w:tcW w:w="1844" w:type="dxa"/>
            <w:tcBorders>
              <w:top w:val="single" w:color="auto" w:sz="6" w:space="0"/>
              <w:bottom w:val="single" w:color="auto" w:sz="6" w:space="0"/>
            </w:tcBorders>
            <w:vAlign w:val="center"/>
          </w:tcPr>
          <w:p w14:paraId="0EBD23D2">
            <w:pPr>
              <w:spacing w:line="360" w:lineRule="auto"/>
              <w:rPr>
                <w:rFonts w:hAnsi="宋体"/>
                <w:sz w:val="21"/>
                <w:szCs w:val="21"/>
                <w:highlight w:val="none"/>
              </w:rPr>
            </w:pPr>
            <w:r>
              <w:rPr>
                <w:rFonts w:hint="eastAsia" w:hAnsi="宋体"/>
                <w:sz w:val="21"/>
                <w:szCs w:val="21"/>
                <w:highlight w:val="none"/>
              </w:rPr>
              <w:t>湿度；是否下雨、起雾。</w:t>
            </w:r>
          </w:p>
        </w:tc>
        <w:tc>
          <w:tcPr>
            <w:tcW w:w="2080" w:type="dxa"/>
            <w:tcBorders>
              <w:top w:val="single" w:color="auto" w:sz="6" w:space="0"/>
              <w:bottom w:val="single" w:color="auto" w:sz="6" w:space="0"/>
            </w:tcBorders>
            <w:vAlign w:val="center"/>
          </w:tcPr>
          <w:p w14:paraId="56141C1C">
            <w:pPr>
              <w:spacing w:line="360" w:lineRule="auto"/>
              <w:rPr>
                <w:rFonts w:hAnsi="宋体"/>
                <w:sz w:val="21"/>
                <w:szCs w:val="21"/>
                <w:highlight w:val="none"/>
              </w:rPr>
            </w:pPr>
            <w:r>
              <w:rPr>
                <w:rFonts w:hint="eastAsia" w:hAnsi="宋体"/>
                <w:sz w:val="21"/>
                <w:szCs w:val="21"/>
                <w:highlight w:val="none"/>
              </w:rPr>
              <w:t>湿度大于85％时停止施工；下雨停止施工。</w:t>
            </w:r>
          </w:p>
        </w:tc>
        <w:tc>
          <w:tcPr>
            <w:tcW w:w="1289" w:type="dxa"/>
            <w:tcBorders>
              <w:top w:val="single" w:color="auto" w:sz="6" w:space="0"/>
              <w:bottom w:val="single" w:color="auto" w:sz="6" w:space="0"/>
            </w:tcBorders>
            <w:vAlign w:val="center"/>
          </w:tcPr>
          <w:p w14:paraId="73E611CB">
            <w:pPr>
              <w:spacing w:line="360" w:lineRule="auto"/>
              <w:rPr>
                <w:rFonts w:hAnsi="宋体"/>
                <w:sz w:val="21"/>
                <w:szCs w:val="21"/>
                <w:highlight w:val="none"/>
              </w:rPr>
            </w:pPr>
            <w:r>
              <w:rPr>
                <w:rFonts w:hint="eastAsia" w:hAnsi="宋体"/>
                <w:sz w:val="21"/>
                <w:szCs w:val="21"/>
                <w:highlight w:val="none"/>
              </w:rPr>
              <w:t>工作区域内</w:t>
            </w:r>
            <w:r>
              <w:rPr>
                <w:rFonts w:hAnsi="宋体"/>
                <w:sz w:val="21"/>
                <w:szCs w:val="21"/>
                <w:highlight w:val="none"/>
              </w:rPr>
              <w:t>,</w:t>
            </w:r>
            <w:r>
              <w:rPr>
                <w:rFonts w:hint="eastAsia" w:hAnsi="宋体"/>
                <w:sz w:val="21"/>
                <w:szCs w:val="21"/>
                <w:highlight w:val="none"/>
              </w:rPr>
              <w:t>每天测量</w:t>
            </w:r>
            <w:r>
              <w:rPr>
                <w:rFonts w:hAnsi="宋体"/>
                <w:sz w:val="21"/>
                <w:szCs w:val="21"/>
                <w:highlight w:val="none"/>
              </w:rPr>
              <w:t>3</w:t>
            </w:r>
            <w:r>
              <w:rPr>
                <w:rFonts w:hint="eastAsia" w:hAnsi="宋体"/>
                <w:sz w:val="21"/>
                <w:szCs w:val="21"/>
                <w:highlight w:val="none"/>
              </w:rPr>
              <w:t>次</w:t>
            </w:r>
          </w:p>
        </w:tc>
        <w:tc>
          <w:tcPr>
            <w:tcW w:w="1450" w:type="dxa"/>
            <w:tcBorders>
              <w:top w:val="single" w:color="auto" w:sz="6" w:space="0"/>
              <w:bottom w:val="single" w:color="auto" w:sz="6" w:space="0"/>
              <w:right w:val="single" w:color="auto" w:sz="4" w:space="0"/>
            </w:tcBorders>
            <w:vAlign w:val="center"/>
          </w:tcPr>
          <w:p w14:paraId="68FF9A33">
            <w:pPr>
              <w:spacing w:line="360" w:lineRule="auto"/>
              <w:rPr>
                <w:rFonts w:hAnsi="宋体"/>
                <w:sz w:val="21"/>
                <w:szCs w:val="21"/>
                <w:highlight w:val="none"/>
              </w:rPr>
            </w:pPr>
            <w:r>
              <w:rPr>
                <w:rFonts w:hint="eastAsia" w:hAnsi="宋体"/>
                <w:sz w:val="21"/>
                <w:szCs w:val="21"/>
                <w:highlight w:val="none"/>
              </w:rPr>
              <w:t>环境气候记录表</w:t>
            </w:r>
          </w:p>
        </w:tc>
        <w:tc>
          <w:tcPr>
            <w:tcW w:w="1134" w:type="dxa"/>
            <w:tcBorders>
              <w:top w:val="single" w:color="auto" w:sz="6" w:space="0"/>
              <w:left w:val="single" w:color="auto" w:sz="4" w:space="0"/>
              <w:bottom w:val="single" w:color="auto" w:sz="6" w:space="0"/>
              <w:right w:val="single" w:color="auto" w:sz="12" w:space="0"/>
            </w:tcBorders>
            <w:vAlign w:val="center"/>
          </w:tcPr>
          <w:p w14:paraId="29A3D364">
            <w:pPr>
              <w:spacing w:line="360" w:lineRule="auto"/>
              <w:rPr>
                <w:rFonts w:hAnsi="宋体"/>
                <w:sz w:val="21"/>
                <w:szCs w:val="21"/>
                <w:highlight w:val="none"/>
              </w:rPr>
            </w:pPr>
            <w:r>
              <w:rPr>
                <w:rFonts w:hint="eastAsia" w:hAnsi="宋体"/>
                <w:sz w:val="21"/>
                <w:szCs w:val="21"/>
                <w:highlight w:val="none"/>
              </w:rPr>
              <w:t>温、湿度仪</w:t>
            </w:r>
          </w:p>
        </w:tc>
      </w:tr>
      <w:tr w14:paraId="58AA5DC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9" w:hRule="atLeast"/>
          <w:jc w:val="center"/>
        </w:trPr>
        <w:tc>
          <w:tcPr>
            <w:tcW w:w="661" w:type="dxa"/>
            <w:tcBorders>
              <w:top w:val="single" w:color="auto" w:sz="6" w:space="0"/>
              <w:left w:val="single" w:color="auto" w:sz="12" w:space="0"/>
              <w:bottom w:val="single" w:color="auto" w:sz="6" w:space="0"/>
            </w:tcBorders>
            <w:vAlign w:val="center"/>
          </w:tcPr>
          <w:p w14:paraId="77CD8AF5">
            <w:pPr>
              <w:spacing w:line="360" w:lineRule="auto"/>
              <w:rPr>
                <w:rFonts w:hAnsi="宋体"/>
                <w:sz w:val="21"/>
                <w:szCs w:val="21"/>
                <w:highlight w:val="none"/>
              </w:rPr>
            </w:pPr>
            <w:r>
              <w:rPr>
                <w:rFonts w:hint="eastAsia" w:hAnsi="宋体"/>
                <w:sz w:val="21"/>
                <w:szCs w:val="21"/>
                <w:highlight w:val="none"/>
              </w:rPr>
              <w:t>3</w:t>
            </w:r>
          </w:p>
        </w:tc>
        <w:tc>
          <w:tcPr>
            <w:tcW w:w="850" w:type="dxa"/>
            <w:tcBorders>
              <w:top w:val="single" w:color="auto" w:sz="6" w:space="0"/>
              <w:bottom w:val="single" w:color="auto" w:sz="6" w:space="0"/>
            </w:tcBorders>
            <w:vAlign w:val="center"/>
          </w:tcPr>
          <w:p w14:paraId="0608A27D">
            <w:pPr>
              <w:spacing w:line="360" w:lineRule="auto"/>
              <w:rPr>
                <w:rFonts w:hAnsi="宋体"/>
                <w:sz w:val="21"/>
                <w:szCs w:val="21"/>
                <w:highlight w:val="none"/>
              </w:rPr>
            </w:pPr>
            <w:r>
              <w:rPr>
                <w:rFonts w:hint="eastAsia" w:hAnsi="宋体"/>
                <w:sz w:val="21"/>
                <w:szCs w:val="21"/>
                <w:highlight w:val="none"/>
              </w:rPr>
              <w:t>底漆涂刷</w:t>
            </w:r>
          </w:p>
        </w:tc>
        <w:tc>
          <w:tcPr>
            <w:tcW w:w="1844" w:type="dxa"/>
            <w:tcBorders>
              <w:top w:val="single" w:color="auto" w:sz="6" w:space="0"/>
              <w:bottom w:val="single" w:color="auto" w:sz="6" w:space="0"/>
            </w:tcBorders>
            <w:vAlign w:val="center"/>
          </w:tcPr>
          <w:p w14:paraId="3A81C943">
            <w:pPr>
              <w:spacing w:line="360" w:lineRule="auto"/>
              <w:rPr>
                <w:rFonts w:hAnsi="宋体"/>
                <w:sz w:val="21"/>
                <w:szCs w:val="21"/>
                <w:highlight w:val="none"/>
              </w:rPr>
            </w:pPr>
            <w:r>
              <w:rPr>
                <w:rFonts w:hint="eastAsia" w:hAnsi="宋体"/>
                <w:sz w:val="21"/>
                <w:szCs w:val="21"/>
                <w:highlight w:val="none"/>
              </w:rPr>
              <w:t>均匀程度；厚度控制；涂刷区域。</w:t>
            </w:r>
          </w:p>
        </w:tc>
        <w:tc>
          <w:tcPr>
            <w:tcW w:w="2080" w:type="dxa"/>
            <w:tcBorders>
              <w:top w:val="single" w:color="auto" w:sz="6" w:space="0"/>
              <w:bottom w:val="single" w:color="auto" w:sz="6" w:space="0"/>
            </w:tcBorders>
            <w:vAlign w:val="center"/>
          </w:tcPr>
          <w:p w14:paraId="3B4E5765">
            <w:pPr>
              <w:spacing w:line="360" w:lineRule="auto"/>
              <w:rPr>
                <w:rFonts w:hAnsi="宋体"/>
                <w:sz w:val="21"/>
                <w:szCs w:val="21"/>
                <w:highlight w:val="none"/>
              </w:rPr>
            </w:pPr>
            <w:r>
              <w:rPr>
                <w:rFonts w:hint="eastAsia" w:hAnsi="宋体"/>
                <w:sz w:val="21"/>
                <w:szCs w:val="21"/>
                <w:highlight w:val="none"/>
              </w:rPr>
              <w:t>厚度100μm，不得漏涂；</w:t>
            </w:r>
          </w:p>
          <w:p w14:paraId="2B44FA9F">
            <w:pPr>
              <w:spacing w:line="360" w:lineRule="auto"/>
              <w:rPr>
                <w:rFonts w:hAnsi="宋体"/>
                <w:sz w:val="21"/>
                <w:szCs w:val="21"/>
                <w:highlight w:val="none"/>
              </w:rPr>
            </w:pPr>
            <w:r>
              <w:rPr>
                <w:rFonts w:hint="eastAsia" w:hAnsi="宋体"/>
                <w:sz w:val="21"/>
                <w:szCs w:val="21"/>
                <w:highlight w:val="none"/>
              </w:rPr>
              <w:t>厚度均匀无流挂。</w:t>
            </w:r>
          </w:p>
        </w:tc>
        <w:tc>
          <w:tcPr>
            <w:tcW w:w="1289" w:type="dxa"/>
            <w:tcBorders>
              <w:top w:val="single" w:color="auto" w:sz="6" w:space="0"/>
              <w:bottom w:val="single" w:color="auto" w:sz="6" w:space="0"/>
            </w:tcBorders>
            <w:vAlign w:val="center"/>
          </w:tcPr>
          <w:p w14:paraId="012DCD0B">
            <w:pPr>
              <w:spacing w:line="360" w:lineRule="auto"/>
              <w:rPr>
                <w:rFonts w:hAnsi="宋体"/>
                <w:sz w:val="21"/>
                <w:szCs w:val="21"/>
                <w:highlight w:val="none"/>
              </w:rPr>
            </w:pPr>
            <w:r>
              <w:rPr>
                <w:rFonts w:hint="eastAsia" w:hAnsi="宋体"/>
                <w:sz w:val="21"/>
                <w:szCs w:val="21"/>
                <w:highlight w:val="none"/>
              </w:rPr>
              <w:t>100%</w:t>
            </w:r>
          </w:p>
        </w:tc>
        <w:tc>
          <w:tcPr>
            <w:tcW w:w="1450" w:type="dxa"/>
            <w:tcBorders>
              <w:top w:val="single" w:color="auto" w:sz="6" w:space="0"/>
              <w:bottom w:val="single" w:color="auto" w:sz="6" w:space="0"/>
              <w:right w:val="single" w:color="auto" w:sz="4" w:space="0"/>
            </w:tcBorders>
            <w:vAlign w:val="center"/>
          </w:tcPr>
          <w:p w14:paraId="1C368FBB">
            <w:pPr>
              <w:spacing w:line="360" w:lineRule="auto"/>
              <w:rPr>
                <w:rFonts w:hAnsi="宋体"/>
                <w:sz w:val="21"/>
                <w:szCs w:val="21"/>
                <w:highlight w:val="none"/>
              </w:rPr>
            </w:pPr>
            <w:r>
              <w:rPr>
                <w:rFonts w:hint="eastAsia" w:hAnsi="宋体"/>
                <w:sz w:val="21"/>
                <w:szCs w:val="21"/>
                <w:highlight w:val="none"/>
              </w:rPr>
              <w:t>防腐层、底涂检查记录表</w:t>
            </w:r>
          </w:p>
        </w:tc>
        <w:tc>
          <w:tcPr>
            <w:tcW w:w="1134" w:type="dxa"/>
            <w:tcBorders>
              <w:top w:val="single" w:color="auto" w:sz="6" w:space="0"/>
              <w:left w:val="single" w:color="auto" w:sz="4" w:space="0"/>
              <w:bottom w:val="single" w:color="auto" w:sz="6" w:space="0"/>
              <w:right w:val="single" w:color="auto" w:sz="12" w:space="0"/>
            </w:tcBorders>
            <w:vAlign w:val="center"/>
          </w:tcPr>
          <w:p w14:paraId="1069A939">
            <w:pPr>
              <w:spacing w:line="360" w:lineRule="auto"/>
              <w:rPr>
                <w:rFonts w:hAnsi="宋体"/>
                <w:sz w:val="21"/>
                <w:szCs w:val="21"/>
                <w:highlight w:val="none"/>
              </w:rPr>
            </w:pPr>
            <w:r>
              <w:rPr>
                <w:rFonts w:hint="eastAsia" w:hAnsi="宋体"/>
                <w:sz w:val="21"/>
                <w:szCs w:val="21"/>
                <w:highlight w:val="none"/>
              </w:rPr>
              <w:t>目测、测厚仪</w:t>
            </w:r>
          </w:p>
        </w:tc>
      </w:tr>
      <w:tr w14:paraId="3923DEF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9" w:hRule="atLeast"/>
          <w:jc w:val="center"/>
        </w:trPr>
        <w:tc>
          <w:tcPr>
            <w:tcW w:w="661" w:type="dxa"/>
            <w:tcBorders>
              <w:top w:val="single" w:color="auto" w:sz="6" w:space="0"/>
              <w:left w:val="single" w:color="auto" w:sz="12" w:space="0"/>
              <w:bottom w:val="single" w:color="auto" w:sz="6" w:space="0"/>
            </w:tcBorders>
            <w:vAlign w:val="center"/>
          </w:tcPr>
          <w:p w14:paraId="4575D8D2">
            <w:pPr>
              <w:spacing w:line="360" w:lineRule="auto"/>
              <w:rPr>
                <w:rFonts w:hAnsi="宋体"/>
                <w:sz w:val="21"/>
                <w:szCs w:val="21"/>
                <w:highlight w:val="none"/>
              </w:rPr>
            </w:pPr>
            <w:r>
              <w:rPr>
                <w:rFonts w:hint="eastAsia" w:hAnsi="宋体"/>
                <w:sz w:val="21"/>
                <w:szCs w:val="21"/>
                <w:highlight w:val="none"/>
              </w:rPr>
              <w:t>4</w:t>
            </w:r>
          </w:p>
        </w:tc>
        <w:tc>
          <w:tcPr>
            <w:tcW w:w="850" w:type="dxa"/>
            <w:tcBorders>
              <w:top w:val="single" w:color="auto" w:sz="6" w:space="0"/>
              <w:bottom w:val="single" w:color="auto" w:sz="6" w:space="0"/>
            </w:tcBorders>
            <w:vAlign w:val="center"/>
          </w:tcPr>
          <w:p w14:paraId="2D1F9B80">
            <w:pPr>
              <w:spacing w:line="360" w:lineRule="auto"/>
              <w:rPr>
                <w:rFonts w:hAnsi="宋体"/>
                <w:sz w:val="21"/>
                <w:szCs w:val="21"/>
                <w:highlight w:val="none"/>
              </w:rPr>
            </w:pPr>
            <w:r>
              <w:rPr>
                <w:rFonts w:hAnsi="宋体"/>
                <w:sz w:val="21"/>
                <w:szCs w:val="21"/>
                <w:highlight w:val="none"/>
              </w:rPr>
              <w:t>中间漆</w:t>
            </w:r>
          </w:p>
        </w:tc>
        <w:tc>
          <w:tcPr>
            <w:tcW w:w="1844" w:type="dxa"/>
            <w:tcBorders>
              <w:top w:val="single" w:color="auto" w:sz="6" w:space="0"/>
              <w:bottom w:val="single" w:color="auto" w:sz="6" w:space="0"/>
            </w:tcBorders>
            <w:vAlign w:val="center"/>
          </w:tcPr>
          <w:p w14:paraId="791DE812">
            <w:pPr>
              <w:spacing w:line="360" w:lineRule="auto"/>
              <w:rPr>
                <w:rFonts w:hAnsi="宋体"/>
                <w:sz w:val="21"/>
                <w:szCs w:val="21"/>
                <w:highlight w:val="none"/>
              </w:rPr>
            </w:pPr>
            <w:r>
              <w:rPr>
                <w:rFonts w:hint="eastAsia" w:hAnsi="宋体"/>
                <w:sz w:val="21"/>
                <w:szCs w:val="21"/>
                <w:highlight w:val="none"/>
              </w:rPr>
              <w:t>均匀程度；厚度控制；涂刷区域。</w:t>
            </w:r>
          </w:p>
        </w:tc>
        <w:tc>
          <w:tcPr>
            <w:tcW w:w="2080" w:type="dxa"/>
            <w:tcBorders>
              <w:top w:val="single" w:color="auto" w:sz="6" w:space="0"/>
              <w:bottom w:val="single" w:color="auto" w:sz="6" w:space="0"/>
            </w:tcBorders>
            <w:vAlign w:val="center"/>
          </w:tcPr>
          <w:p w14:paraId="5CF16F5B">
            <w:pPr>
              <w:spacing w:line="360" w:lineRule="auto"/>
              <w:rPr>
                <w:rFonts w:hAnsi="宋体"/>
                <w:sz w:val="21"/>
                <w:szCs w:val="21"/>
                <w:highlight w:val="none"/>
              </w:rPr>
            </w:pPr>
            <w:r>
              <w:rPr>
                <w:rFonts w:hint="eastAsia" w:hAnsi="宋体"/>
                <w:sz w:val="21"/>
                <w:szCs w:val="21"/>
                <w:highlight w:val="none"/>
              </w:rPr>
              <w:t>厚度40μm，不得漏涂；</w:t>
            </w:r>
          </w:p>
        </w:tc>
        <w:tc>
          <w:tcPr>
            <w:tcW w:w="1289" w:type="dxa"/>
            <w:tcBorders>
              <w:top w:val="single" w:color="auto" w:sz="6" w:space="0"/>
              <w:bottom w:val="single" w:color="auto" w:sz="6" w:space="0"/>
            </w:tcBorders>
            <w:vAlign w:val="center"/>
          </w:tcPr>
          <w:p w14:paraId="466207D9">
            <w:pPr>
              <w:spacing w:line="360" w:lineRule="auto"/>
              <w:rPr>
                <w:rFonts w:hAnsi="宋体"/>
                <w:sz w:val="21"/>
                <w:szCs w:val="21"/>
                <w:highlight w:val="none"/>
              </w:rPr>
            </w:pPr>
            <w:r>
              <w:rPr>
                <w:rFonts w:hAnsi="宋体"/>
                <w:sz w:val="21"/>
                <w:szCs w:val="21"/>
                <w:highlight w:val="none"/>
              </w:rPr>
              <w:t>100%</w:t>
            </w:r>
          </w:p>
        </w:tc>
        <w:tc>
          <w:tcPr>
            <w:tcW w:w="1450" w:type="dxa"/>
            <w:tcBorders>
              <w:top w:val="single" w:color="auto" w:sz="6" w:space="0"/>
              <w:bottom w:val="single" w:color="auto" w:sz="6" w:space="0"/>
              <w:right w:val="single" w:color="auto" w:sz="4" w:space="0"/>
            </w:tcBorders>
            <w:vAlign w:val="center"/>
          </w:tcPr>
          <w:p w14:paraId="2385524C">
            <w:pPr>
              <w:spacing w:line="360" w:lineRule="auto"/>
              <w:rPr>
                <w:rFonts w:hAnsi="宋体"/>
                <w:sz w:val="21"/>
                <w:szCs w:val="21"/>
                <w:highlight w:val="none"/>
              </w:rPr>
            </w:pPr>
            <w:r>
              <w:rPr>
                <w:rFonts w:hint="eastAsia" w:hAnsi="宋体"/>
                <w:sz w:val="21"/>
                <w:szCs w:val="21"/>
                <w:highlight w:val="none"/>
              </w:rPr>
              <w:t>防腐层、底涂检查记录表</w:t>
            </w:r>
          </w:p>
        </w:tc>
        <w:tc>
          <w:tcPr>
            <w:tcW w:w="1134" w:type="dxa"/>
            <w:tcBorders>
              <w:top w:val="single" w:color="auto" w:sz="6" w:space="0"/>
              <w:left w:val="single" w:color="auto" w:sz="4" w:space="0"/>
              <w:bottom w:val="single" w:color="auto" w:sz="6" w:space="0"/>
              <w:right w:val="single" w:color="auto" w:sz="12" w:space="0"/>
            </w:tcBorders>
            <w:vAlign w:val="center"/>
          </w:tcPr>
          <w:p w14:paraId="033E23F1">
            <w:pPr>
              <w:spacing w:line="360" w:lineRule="auto"/>
              <w:rPr>
                <w:rFonts w:hAnsi="宋体"/>
                <w:sz w:val="21"/>
                <w:szCs w:val="21"/>
                <w:highlight w:val="none"/>
              </w:rPr>
            </w:pPr>
            <w:r>
              <w:rPr>
                <w:rFonts w:hint="eastAsia" w:hAnsi="宋体"/>
                <w:sz w:val="21"/>
                <w:szCs w:val="21"/>
                <w:highlight w:val="none"/>
              </w:rPr>
              <w:t>目测、测厚仪</w:t>
            </w:r>
          </w:p>
        </w:tc>
      </w:tr>
      <w:tr w14:paraId="26CC64A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9" w:hRule="atLeast"/>
          <w:jc w:val="center"/>
        </w:trPr>
        <w:tc>
          <w:tcPr>
            <w:tcW w:w="661" w:type="dxa"/>
            <w:tcBorders>
              <w:top w:val="single" w:color="auto" w:sz="6" w:space="0"/>
              <w:left w:val="single" w:color="auto" w:sz="12" w:space="0"/>
              <w:bottom w:val="single" w:color="auto" w:sz="6" w:space="0"/>
            </w:tcBorders>
            <w:vAlign w:val="center"/>
          </w:tcPr>
          <w:p w14:paraId="7EE118DB">
            <w:pPr>
              <w:spacing w:line="360" w:lineRule="auto"/>
              <w:rPr>
                <w:rFonts w:hAnsi="宋体"/>
                <w:sz w:val="21"/>
                <w:szCs w:val="21"/>
                <w:highlight w:val="none"/>
              </w:rPr>
            </w:pPr>
            <w:r>
              <w:rPr>
                <w:rFonts w:hint="eastAsia" w:hAnsi="宋体"/>
                <w:sz w:val="21"/>
                <w:szCs w:val="21"/>
                <w:highlight w:val="none"/>
              </w:rPr>
              <w:t>4</w:t>
            </w:r>
          </w:p>
        </w:tc>
        <w:tc>
          <w:tcPr>
            <w:tcW w:w="850" w:type="dxa"/>
            <w:tcBorders>
              <w:top w:val="single" w:color="auto" w:sz="6" w:space="0"/>
              <w:bottom w:val="single" w:color="auto" w:sz="6" w:space="0"/>
            </w:tcBorders>
            <w:vAlign w:val="center"/>
          </w:tcPr>
          <w:p w14:paraId="6753FC87">
            <w:pPr>
              <w:spacing w:line="360" w:lineRule="auto"/>
              <w:rPr>
                <w:rFonts w:hAnsi="宋体"/>
                <w:sz w:val="21"/>
                <w:szCs w:val="21"/>
                <w:highlight w:val="none"/>
              </w:rPr>
            </w:pPr>
            <w:r>
              <w:rPr>
                <w:rFonts w:hint="eastAsia" w:hAnsi="宋体"/>
                <w:sz w:val="21"/>
                <w:szCs w:val="21"/>
                <w:highlight w:val="none"/>
              </w:rPr>
              <w:t>面漆</w:t>
            </w:r>
          </w:p>
        </w:tc>
        <w:tc>
          <w:tcPr>
            <w:tcW w:w="1844" w:type="dxa"/>
            <w:tcBorders>
              <w:top w:val="single" w:color="auto" w:sz="6" w:space="0"/>
              <w:bottom w:val="single" w:color="auto" w:sz="6" w:space="0"/>
            </w:tcBorders>
            <w:vAlign w:val="center"/>
          </w:tcPr>
          <w:p w14:paraId="65B3C1BD">
            <w:pPr>
              <w:spacing w:line="360" w:lineRule="auto"/>
              <w:rPr>
                <w:rFonts w:hAnsi="宋体"/>
                <w:sz w:val="21"/>
                <w:szCs w:val="21"/>
                <w:highlight w:val="none"/>
              </w:rPr>
            </w:pPr>
            <w:r>
              <w:rPr>
                <w:rFonts w:hint="eastAsia" w:hAnsi="宋体"/>
                <w:sz w:val="21"/>
                <w:szCs w:val="21"/>
                <w:highlight w:val="none"/>
              </w:rPr>
              <w:t>厚度控制；均匀程度；涂抹区域；</w:t>
            </w:r>
          </w:p>
        </w:tc>
        <w:tc>
          <w:tcPr>
            <w:tcW w:w="2080" w:type="dxa"/>
            <w:tcBorders>
              <w:top w:val="single" w:color="auto" w:sz="6" w:space="0"/>
              <w:bottom w:val="single" w:color="auto" w:sz="6" w:space="0"/>
            </w:tcBorders>
            <w:vAlign w:val="center"/>
          </w:tcPr>
          <w:p w14:paraId="0D0127CF">
            <w:pPr>
              <w:spacing w:line="360" w:lineRule="auto"/>
              <w:rPr>
                <w:rFonts w:hAnsi="宋体"/>
                <w:sz w:val="21"/>
                <w:szCs w:val="21"/>
                <w:highlight w:val="none"/>
              </w:rPr>
            </w:pPr>
            <w:r>
              <w:rPr>
                <w:rFonts w:hint="eastAsia" w:hAnsi="宋体"/>
                <w:sz w:val="21"/>
                <w:szCs w:val="21"/>
                <w:highlight w:val="none"/>
              </w:rPr>
              <w:t>厚度90μm，不得漏涂；</w:t>
            </w:r>
            <w:r>
              <w:rPr>
                <w:rFonts w:hAnsi="宋体"/>
                <w:sz w:val="21"/>
                <w:szCs w:val="21"/>
                <w:highlight w:val="none"/>
              </w:rPr>
              <w:t xml:space="preserve"> </w:t>
            </w:r>
          </w:p>
        </w:tc>
        <w:tc>
          <w:tcPr>
            <w:tcW w:w="1289" w:type="dxa"/>
            <w:tcBorders>
              <w:top w:val="single" w:color="auto" w:sz="6" w:space="0"/>
              <w:bottom w:val="single" w:color="auto" w:sz="6" w:space="0"/>
            </w:tcBorders>
            <w:vAlign w:val="center"/>
          </w:tcPr>
          <w:p w14:paraId="07C4EF1D">
            <w:pPr>
              <w:spacing w:line="360" w:lineRule="auto"/>
              <w:rPr>
                <w:rFonts w:hAnsi="宋体"/>
                <w:sz w:val="21"/>
                <w:szCs w:val="21"/>
                <w:highlight w:val="none"/>
              </w:rPr>
            </w:pPr>
            <w:r>
              <w:rPr>
                <w:rFonts w:hint="eastAsia" w:hAnsi="宋体"/>
                <w:sz w:val="21"/>
                <w:szCs w:val="21"/>
                <w:highlight w:val="none"/>
              </w:rPr>
              <w:t>100%</w:t>
            </w:r>
          </w:p>
          <w:p w14:paraId="3911B423">
            <w:pPr>
              <w:spacing w:line="360" w:lineRule="auto"/>
              <w:rPr>
                <w:rFonts w:hAnsi="宋体"/>
                <w:sz w:val="21"/>
                <w:szCs w:val="21"/>
                <w:highlight w:val="none"/>
              </w:rPr>
            </w:pPr>
          </w:p>
        </w:tc>
        <w:tc>
          <w:tcPr>
            <w:tcW w:w="1450" w:type="dxa"/>
            <w:tcBorders>
              <w:top w:val="single" w:color="auto" w:sz="6" w:space="0"/>
              <w:bottom w:val="single" w:color="auto" w:sz="6" w:space="0"/>
              <w:right w:val="single" w:color="auto" w:sz="4" w:space="0"/>
            </w:tcBorders>
            <w:vAlign w:val="center"/>
          </w:tcPr>
          <w:p w14:paraId="2E82EFFD">
            <w:pPr>
              <w:spacing w:line="360" w:lineRule="auto"/>
              <w:rPr>
                <w:rFonts w:hAnsi="宋体"/>
                <w:sz w:val="21"/>
                <w:szCs w:val="21"/>
                <w:highlight w:val="none"/>
              </w:rPr>
            </w:pPr>
            <w:r>
              <w:rPr>
                <w:rFonts w:hint="eastAsia" w:hAnsi="宋体"/>
                <w:sz w:val="21"/>
                <w:szCs w:val="21"/>
                <w:highlight w:val="none"/>
              </w:rPr>
              <w:t>防腐漆层检查记录表</w:t>
            </w:r>
          </w:p>
        </w:tc>
        <w:tc>
          <w:tcPr>
            <w:tcW w:w="1134" w:type="dxa"/>
            <w:tcBorders>
              <w:top w:val="single" w:color="auto" w:sz="6" w:space="0"/>
              <w:left w:val="single" w:color="auto" w:sz="4" w:space="0"/>
              <w:bottom w:val="single" w:color="auto" w:sz="6" w:space="0"/>
              <w:right w:val="single" w:color="auto" w:sz="12" w:space="0"/>
            </w:tcBorders>
            <w:vAlign w:val="center"/>
          </w:tcPr>
          <w:p w14:paraId="0C0189FE">
            <w:pPr>
              <w:spacing w:line="360" w:lineRule="auto"/>
              <w:rPr>
                <w:rFonts w:hAnsi="宋体"/>
                <w:sz w:val="21"/>
                <w:szCs w:val="21"/>
                <w:highlight w:val="none"/>
              </w:rPr>
            </w:pPr>
            <w:r>
              <w:rPr>
                <w:rFonts w:hint="eastAsia" w:hAnsi="宋体"/>
                <w:sz w:val="21"/>
                <w:szCs w:val="21"/>
                <w:highlight w:val="none"/>
              </w:rPr>
              <w:t>目测、测厚仪</w:t>
            </w:r>
          </w:p>
        </w:tc>
      </w:tr>
      <w:tr w14:paraId="2236B6F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839" w:hRule="atLeast"/>
          <w:jc w:val="center"/>
        </w:trPr>
        <w:tc>
          <w:tcPr>
            <w:tcW w:w="661" w:type="dxa"/>
            <w:tcBorders>
              <w:top w:val="single" w:color="auto" w:sz="6" w:space="0"/>
              <w:left w:val="single" w:color="auto" w:sz="12" w:space="0"/>
              <w:bottom w:val="single" w:color="auto" w:sz="6" w:space="0"/>
            </w:tcBorders>
            <w:vAlign w:val="center"/>
          </w:tcPr>
          <w:p w14:paraId="7C731B1C">
            <w:pPr>
              <w:spacing w:line="360" w:lineRule="auto"/>
              <w:rPr>
                <w:rFonts w:hAnsi="宋体"/>
                <w:sz w:val="21"/>
                <w:szCs w:val="21"/>
                <w:highlight w:val="none"/>
              </w:rPr>
            </w:pPr>
            <w:r>
              <w:rPr>
                <w:rFonts w:hint="eastAsia" w:hAnsi="宋体"/>
                <w:sz w:val="21"/>
                <w:szCs w:val="21"/>
                <w:highlight w:val="none"/>
              </w:rPr>
              <w:t>5</w:t>
            </w:r>
          </w:p>
        </w:tc>
        <w:tc>
          <w:tcPr>
            <w:tcW w:w="850" w:type="dxa"/>
            <w:tcBorders>
              <w:top w:val="single" w:color="auto" w:sz="6" w:space="0"/>
              <w:bottom w:val="single" w:color="auto" w:sz="6" w:space="0"/>
            </w:tcBorders>
            <w:vAlign w:val="center"/>
          </w:tcPr>
          <w:p w14:paraId="4FBF9690">
            <w:pPr>
              <w:spacing w:line="360" w:lineRule="auto"/>
              <w:rPr>
                <w:rFonts w:hAnsi="宋体"/>
                <w:sz w:val="21"/>
                <w:szCs w:val="21"/>
                <w:highlight w:val="none"/>
              </w:rPr>
            </w:pPr>
            <w:r>
              <w:rPr>
                <w:rFonts w:hint="eastAsia" w:hAnsi="宋体"/>
                <w:sz w:val="21"/>
                <w:szCs w:val="21"/>
                <w:highlight w:val="none"/>
              </w:rPr>
              <w:t>厚度检测</w:t>
            </w:r>
          </w:p>
        </w:tc>
        <w:tc>
          <w:tcPr>
            <w:tcW w:w="1844" w:type="dxa"/>
            <w:tcBorders>
              <w:top w:val="single" w:color="auto" w:sz="6" w:space="0"/>
              <w:bottom w:val="single" w:color="auto" w:sz="6" w:space="0"/>
            </w:tcBorders>
            <w:vAlign w:val="center"/>
          </w:tcPr>
          <w:p w14:paraId="6024B02D">
            <w:pPr>
              <w:spacing w:line="360" w:lineRule="auto"/>
              <w:rPr>
                <w:rFonts w:hAnsi="宋体"/>
                <w:sz w:val="21"/>
                <w:szCs w:val="21"/>
                <w:highlight w:val="none"/>
              </w:rPr>
            </w:pPr>
            <w:r>
              <w:rPr>
                <w:rFonts w:hint="eastAsia" w:hAnsi="宋体"/>
                <w:sz w:val="21"/>
                <w:szCs w:val="21"/>
                <w:highlight w:val="none"/>
              </w:rPr>
              <w:t>整体厚度</w:t>
            </w:r>
          </w:p>
        </w:tc>
        <w:tc>
          <w:tcPr>
            <w:tcW w:w="2080" w:type="dxa"/>
            <w:tcBorders>
              <w:top w:val="single" w:color="auto" w:sz="6" w:space="0"/>
              <w:bottom w:val="single" w:color="auto" w:sz="6" w:space="0"/>
            </w:tcBorders>
            <w:vAlign w:val="center"/>
          </w:tcPr>
          <w:p w14:paraId="2869E90A">
            <w:pPr>
              <w:spacing w:line="360" w:lineRule="auto"/>
              <w:rPr>
                <w:rFonts w:hAnsi="宋体"/>
                <w:sz w:val="21"/>
                <w:szCs w:val="21"/>
                <w:highlight w:val="none"/>
              </w:rPr>
            </w:pPr>
            <w:r>
              <w:rPr>
                <w:rFonts w:hint="eastAsia" w:hAnsi="宋体"/>
                <w:sz w:val="21"/>
                <w:szCs w:val="21"/>
                <w:highlight w:val="none"/>
              </w:rPr>
              <w:t>施工方案</w:t>
            </w:r>
          </w:p>
        </w:tc>
        <w:tc>
          <w:tcPr>
            <w:tcW w:w="1289" w:type="dxa"/>
            <w:tcBorders>
              <w:top w:val="single" w:color="auto" w:sz="6" w:space="0"/>
              <w:bottom w:val="single" w:color="auto" w:sz="6" w:space="0"/>
            </w:tcBorders>
            <w:vAlign w:val="center"/>
          </w:tcPr>
          <w:p w14:paraId="0AD93674">
            <w:pPr>
              <w:spacing w:line="360" w:lineRule="auto"/>
              <w:rPr>
                <w:rFonts w:hAnsi="宋体"/>
                <w:sz w:val="21"/>
                <w:szCs w:val="21"/>
                <w:highlight w:val="none"/>
              </w:rPr>
            </w:pPr>
            <w:r>
              <w:rPr>
                <w:rFonts w:hint="eastAsia" w:hAnsi="宋体"/>
                <w:sz w:val="21"/>
                <w:szCs w:val="21"/>
                <w:highlight w:val="none"/>
              </w:rPr>
              <w:t>按每㎡测3～4点处</w:t>
            </w:r>
          </w:p>
        </w:tc>
        <w:tc>
          <w:tcPr>
            <w:tcW w:w="1450" w:type="dxa"/>
            <w:tcBorders>
              <w:top w:val="single" w:color="auto" w:sz="6" w:space="0"/>
              <w:bottom w:val="single" w:color="auto" w:sz="6" w:space="0"/>
              <w:right w:val="single" w:color="auto" w:sz="4" w:space="0"/>
            </w:tcBorders>
            <w:vAlign w:val="center"/>
          </w:tcPr>
          <w:p w14:paraId="06767C5A">
            <w:pPr>
              <w:spacing w:line="360" w:lineRule="auto"/>
              <w:rPr>
                <w:rFonts w:hAnsi="宋体"/>
                <w:sz w:val="21"/>
                <w:szCs w:val="21"/>
                <w:highlight w:val="none"/>
              </w:rPr>
            </w:pPr>
            <w:r>
              <w:rPr>
                <w:rFonts w:hint="eastAsia" w:hAnsi="宋体"/>
                <w:sz w:val="21"/>
                <w:szCs w:val="21"/>
                <w:highlight w:val="none"/>
              </w:rPr>
              <w:t>防腐漆层检查记录表</w:t>
            </w:r>
          </w:p>
        </w:tc>
        <w:tc>
          <w:tcPr>
            <w:tcW w:w="1134" w:type="dxa"/>
            <w:tcBorders>
              <w:top w:val="single" w:color="auto" w:sz="6" w:space="0"/>
              <w:left w:val="single" w:color="auto" w:sz="4" w:space="0"/>
              <w:bottom w:val="single" w:color="auto" w:sz="6" w:space="0"/>
              <w:right w:val="single" w:color="auto" w:sz="12" w:space="0"/>
            </w:tcBorders>
            <w:vAlign w:val="center"/>
          </w:tcPr>
          <w:p w14:paraId="3305AB9F">
            <w:pPr>
              <w:spacing w:line="360" w:lineRule="auto"/>
              <w:rPr>
                <w:rFonts w:hAnsi="宋体"/>
                <w:sz w:val="21"/>
                <w:szCs w:val="21"/>
                <w:highlight w:val="none"/>
              </w:rPr>
            </w:pPr>
            <w:r>
              <w:rPr>
                <w:rFonts w:hint="eastAsia" w:hAnsi="宋体"/>
                <w:sz w:val="21"/>
                <w:szCs w:val="21"/>
                <w:highlight w:val="none"/>
              </w:rPr>
              <w:t>测厚仪</w:t>
            </w:r>
          </w:p>
        </w:tc>
      </w:tr>
    </w:tbl>
    <w:p w14:paraId="5F30B934">
      <w:pPr>
        <w:spacing w:line="360" w:lineRule="auto"/>
        <w:outlineLvl w:val="1"/>
        <w:rPr>
          <w:rFonts w:hint="eastAsia" w:hAnsi="宋体"/>
          <w:highlight w:val="none"/>
        </w:rPr>
      </w:pPr>
      <w:bookmarkStart w:id="53" w:name="_Toc25014"/>
    </w:p>
    <w:p w14:paraId="4E9AA8C7">
      <w:pPr>
        <w:spacing w:line="360" w:lineRule="auto"/>
        <w:outlineLvl w:val="1"/>
        <w:rPr>
          <w:rFonts w:hAnsi="宋体"/>
          <w:highlight w:val="none"/>
        </w:rPr>
      </w:pPr>
      <w:bookmarkStart w:id="54" w:name="_Toc3249"/>
      <w:r>
        <w:rPr>
          <w:rFonts w:hint="eastAsia" w:hAnsi="宋体"/>
          <w:highlight w:val="none"/>
        </w:rPr>
        <w:t>7</w:t>
      </w:r>
      <w:r>
        <w:rPr>
          <w:rFonts w:hAnsi="宋体"/>
          <w:highlight w:val="none"/>
        </w:rPr>
        <w:t>.2</w:t>
      </w:r>
      <w:r>
        <w:rPr>
          <w:rFonts w:hint="eastAsia" w:hAnsi="宋体"/>
          <w:highlight w:val="none"/>
          <w:lang w:val="en-US" w:eastAsia="zh-CN"/>
        </w:rPr>
        <w:t xml:space="preserve"> </w:t>
      </w:r>
      <w:r>
        <w:rPr>
          <w:rFonts w:hint="eastAsia" w:hAnsi="宋体"/>
          <w:highlight w:val="none"/>
        </w:rPr>
        <w:t>化工</w:t>
      </w:r>
      <w:r>
        <w:rPr>
          <w:rFonts w:hint="eastAsia" w:hAnsi="宋体"/>
          <w:highlight w:val="none"/>
          <w:lang w:val="en-US" w:eastAsia="zh-CN"/>
        </w:rPr>
        <w:t>装置</w:t>
      </w:r>
      <w:r>
        <w:rPr>
          <w:rFonts w:hint="eastAsia"/>
          <w:highlight w:val="none"/>
        </w:rPr>
        <w:t>部分</w:t>
      </w:r>
      <w:r>
        <w:rPr>
          <w:rFonts w:hint="eastAsia"/>
          <w:bCs/>
          <w:highlight w:val="none"/>
        </w:rPr>
        <w:t>保温整治工程</w:t>
      </w:r>
      <w:r>
        <w:rPr>
          <w:rFonts w:hint="eastAsia"/>
          <w:highlight w:val="none"/>
        </w:rPr>
        <w:t>质量控制及验收标准</w:t>
      </w:r>
      <w:bookmarkEnd w:id="53"/>
      <w:bookmarkEnd w:id="54"/>
    </w:p>
    <w:p w14:paraId="125949AE">
      <w:pPr>
        <w:spacing w:line="360" w:lineRule="auto"/>
        <w:outlineLvl w:val="2"/>
        <w:rPr>
          <w:rFonts w:hAnsi="宋体"/>
          <w:highlight w:val="none"/>
        </w:rPr>
      </w:pPr>
      <w:bookmarkStart w:id="55" w:name="_Toc13951"/>
      <w:bookmarkStart w:id="56" w:name="_Toc24740"/>
      <w:r>
        <w:rPr>
          <w:rFonts w:hint="eastAsia" w:hAnsi="宋体"/>
          <w:highlight w:val="none"/>
        </w:rPr>
        <w:t>7</w:t>
      </w:r>
      <w:r>
        <w:rPr>
          <w:rFonts w:hAnsi="宋体"/>
          <w:highlight w:val="none"/>
        </w:rPr>
        <w:t>.2.1</w:t>
      </w:r>
      <w:r>
        <w:rPr>
          <w:rFonts w:hint="eastAsia" w:hAnsi="宋体"/>
          <w:highlight w:val="none"/>
          <w:lang w:val="en-US" w:eastAsia="zh-CN"/>
        </w:rPr>
        <w:t xml:space="preserve"> </w:t>
      </w:r>
      <w:r>
        <w:rPr>
          <w:rFonts w:hAnsi="宋体"/>
          <w:highlight w:val="none"/>
        </w:rPr>
        <w:t>绝热层质量验收要求</w:t>
      </w:r>
      <w:bookmarkEnd w:id="55"/>
      <w:bookmarkEnd w:id="56"/>
    </w:p>
    <w:p w14:paraId="4CAEB2E8">
      <w:pPr>
        <w:spacing w:line="360" w:lineRule="auto"/>
        <w:rPr>
          <w:rFonts w:hAnsi="宋体"/>
          <w:highlight w:val="none"/>
        </w:rPr>
      </w:pPr>
      <w:r>
        <w:rPr>
          <w:rFonts w:hint="eastAsia" w:hAnsi="宋体"/>
          <w:highlight w:val="none"/>
        </w:rPr>
        <w:t>7</w:t>
      </w:r>
      <w:r>
        <w:rPr>
          <w:rFonts w:hAnsi="宋体"/>
          <w:highlight w:val="none"/>
        </w:rPr>
        <w:t>.2.1.1</w:t>
      </w:r>
      <w:r>
        <w:rPr>
          <w:rFonts w:hint="eastAsia" w:hAnsi="宋体"/>
          <w:highlight w:val="none"/>
          <w:lang w:val="en-US" w:eastAsia="zh-CN"/>
        </w:rPr>
        <w:t xml:space="preserve"> </w:t>
      </w:r>
      <w:r>
        <w:rPr>
          <w:rFonts w:hAnsi="宋体"/>
          <w:highlight w:val="none"/>
        </w:rPr>
        <w:t>设备及管道的附件和管道端部或有盲板部位的保温</w:t>
      </w:r>
      <w:r>
        <w:rPr>
          <w:rFonts w:hint="eastAsia" w:hAnsi="宋体"/>
          <w:highlight w:val="none"/>
          <w:lang w:eastAsia="zh-CN"/>
        </w:rPr>
        <w:t>应</w:t>
      </w:r>
      <w:r>
        <w:rPr>
          <w:rFonts w:hAnsi="宋体"/>
          <w:highlight w:val="none"/>
        </w:rPr>
        <w:t>符合设计要求</w:t>
      </w:r>
      <w:r>
        <w:rPr>
          <w:rFonts w:hint="eastAsia" w:hAnsi="宋体"/>
          <w:highlight w:val="none"/>
        </w:rPr>
        <w:t>，</w:t>
      </w:r>
      <w:r>
        <w:rPr>
          <w:rFonts w:hAnsi="宋体"/>
          <w:highlight w:val="none"/>
        </w:rPr>
        <w:t>并应结构合理</w:t>
      </w:r>
      <w:r>
        <w:rPr>
          <w:rFonts w:hint="eastAsia" w:hAnsi="宋体"/>
          <w:highlight w:val="none"/>
        </w:rPr>
        <w:t>、</w:t>
      </w:r>
      <w:r>
        <w:rPr>
          <w:rFonts w:hAnsi="宋体"/>
          <w:highlight w:val="none"/>
        </w:rPr>
        <w:t>安装牢固</w:t>
      </w:r>
      <w:r>
        <w:rPr>
          <w:rFonts w:hint="eastAsia" w:hAnsi="宋体"/>
          <w:highlight w:val="none"/>
        </w:rPr>
        <w:t>、</w:t>
      </w:r>
      <w:r>
        <w:rPr>
          <w:rFonts w:hAnsi="宋体"/>
          <w:highlight w:val="none"/>
        </w:rPr>
        <w:t>拼缝严密和平整完好</w:t>
      </w:r>
      <w:r>
        <w:rPr>
          <w:rFonts w:hint="eastAsia" w:hAnsi="宋体"/>
          <w:highlight w:val="none"/>
        </w:rPr>
        <w:t>。</w:t>
      </w:r>
    </w:p>
    <w:p w14:paraId="7B95D589">
      <w:pPr>
        <w:spacing w:line="360" w:lineRule="auto"/>
        <w:rPr>
          <w:rFonts w:hAnsi="宋体"/>
          <w:highlight w:val="none"/>
        </w:rPr>
      </w:pPr>
      <w:r>
        <w:rPr>
          <w:rFonts w:hint="eastAsia" w:hAnsi="宋体"/>
          <w:highlight w:val="none"/>
        </w:rPr>
        <w:t>7</w:t>
      </w:r>
      <w:r>
        <w:rPr>
          <w:rFonts w:hAnsi="宋体"/>
          <w:highlight w:val="none"/>
        </w:rPr>
        <w:t>.2.1.2 施工后的绝热层不得覆盖设备铭牌</w:t>
      </w:r>
      <w:r>
        <w:rPr>
          <w:rFonts w:hint="eastAsia" w:hAnsi="宋体"/>
          <w:highlight w:val="none"/>
        </w:rPr>
        <w:t>。</w:t>
      </w:r>
    </w:p>
    <w:p w14:paraId="7A415EB7">
      <w:pPr>
        <w:spacing w:line="360" w:lineRule="auto"/>
        <w:rPr>
          <w:rFonts w:hAnsi="宋体"/>
          <w:highlight w:val="none"/>
        </w:rPr>
      </w:pPr>
      <w:r>
        <w:rPr>
          <w:rFonts w:hint="eastAsia" w:hAnsi="宋体"/>
          <w:highlight w:val="none"/>
        </w:rPr>
        <w:t>7</w:t>
      </w:r>
      <w:r>
        <w:rPr>
          <w:rFonts w:hAnsi="宋体"/>
          <w:highlight w:val="none"/>
        </w:rPr>
        <w:t>.2.1.3 施工后的绝热层不得影响管道膨胀和管道膨胀指示装置的安装</w:t>
      </w:r>
      <w:r>
        <w:rPr>
          <w:rFonts w:hint="eastAsia" w:hAnsi="宋体"/>
          <w:highlight w:val="none"/>
        </w:rPr>
        <w:t>。</w:t>
      </w:r>
    </w:p>
    <w:p w14:paraId="3725D3F1">
      <w:pPr>
        <w:spacing w:line="360" w:lineRule="auto"/>
        <w:rPr>
          <w:rFonts w:hAnsi="宋体"/>
          <w:highlight w:val="none"/>
        </w:rPr>
      </w:pPr>
      <w:r>
        <w:rPr>
          <w:rFonts w:hint="eastAsia" w:hAnsi="宋体"/>
          <w:highlight w:val="none"/>
        </w:rPr>
        <w:t>7</w:t>
      </w:r>
      <w:r>
        <w:rPr>
          <w:rFonts w:hAnsi="宋体"/>
          <w:highlight w:val="none"/>
        </w:rPr>
        <w:t>.2.1.4 绝热层应捆扎牢固</w:t>
      </w:r>
      <w:r>
        <w:rPr>
          <w:rFonts w:hint="eastAsia" w:hAnsi="宋体"/>
          <w:highlight w:val="none"/>
        </w:rPr>
        <w:t>，</w:t>
      </w:r>
      <w:r>
        <w:rPr>
          <w:rFonts w:hAnsi="宋体"/>
          <w:highlight w:val="none"/>
        </w:rPr>
        <w:t>铁丝应扳平嵌入绝热层内</w:t>
      </w:r>
      <w:r>
        <w:rPr>
          <w:rFonts w:hint="eastAsia" w:hAnsi="宋体"/>
          <w:highlight w:val="none"/>
        </w:rPr>
        <w:t>，捆扎间距不得大于200mm，每块绝热制品上的捆扎不得少于两道，对有振动的部位应加强捆扎，且不得采用螺旋式缠绕捆扎。</w:t>
      </w:r>
    </w:p>
    <w:p w14:paraId="6AFE7387">
      <w:pPr>
        <w:spacing w:line="360" w:lineRule="auto"/>
        <w:outlineLvl w:val="2"/>
        <w:rPr>
          <w:rFonts w:hAnsi="宋体"/>
          <w:highlight w:val="none"/>
        </w:rPr>
      </w:pPr>
      <w:bookmarkStart w:id="57" w:name="_Toc27626"/>
      <w:bookmarkStart w:id="58" w:name="_Toc1591"/>
      <w:r>
        <w:rPr>
          <w:rFonts w:hint="eastAsia" w:hAnsi="宋体"/>
          <w:highlight w:val="none"/>
        </w:rPr>
        <w:t>7</w:t>
      </w:r>
      <w:r>
        <w:rPr>
          <w:rFonts w:hAnsi="宋体"/>
          <w:highlight w:val="none"/>
        </w:rPr>
        <w:t>.2.2 金属保护层质量验收要求</w:t>
      </w:r>
      <w:bookmarkEnd w:id="57"/>
      <w:bookmarkEnd w:id="58"/>
    </w:p>
    <w:p w14:paraId="2FF862E1">
      <w:pPr>
        <w:spacing w:line="360" w:lineRule="auto"/>
        <w:rPr>
          <w:rFonts w:hAnsi="宋体"/>
          <w:highlight w:val="none"/>
        </w:rPr>
      </w:pPr>
      <w:r>
        <w:rPr>
          <w:rFonts w:hint="eastAsia" w:hAnsi="宋体"/>
          <w:highlight w:val="none"/>
        </w:rPr>
        <w:t>7</w:t>
      </w:r>
      <w:r>
        <w:rPr>
          <w:rFonts w:hAnsi="宋体"/>
          <w:highlight w:val="none"/>
        </w:rPr>
        <w:t>.2.2.1 下列部位保护层均不得固定</w:t>
      </w:r>
      <w:r>
        <w:rPr>
          <w:rFonts w:hint="eastAsia" w:hAnsi="宋体"/>
          <w:highlight w:val="none"/>
        </w:rPr>
        <w:t>：</w:t>
      </w:r>
    </w:p>
    <w:p w14:paraId="04746BDD">
      <w:pPr>
        <w:spacing w:line="360" w:lineRule="auto"/>
        <w:rPr>
          <w:rFonts w:hAnsi="宋体"/>
          <w:highlight w:val="none"/>
        </w:rPr>
      </w:pPr>
      <w:r>
        <w:rPr>
          <w:rFonts w:hint="eastAsia" w:hAnsi="宋体"/>
          <w:highlight w:val="none"/>
        </w:rPr>
        <w:t xml:space="preserve"> </w:t>
      </w:r>
      <w:r>
        <w:rPr>
          <w:rFonts w:hAnsi="宋体"/>
          <w:highlight w:val="none"/>
        </w:rPr>
        <w:t xml:space="preserve">  </w:t>
      </w:r>
      <w:r>
        <w:rPr>
          <w:rFonts w:hint="eastAsia" w:hAnsi="宋体"/>
          <w:highlight w:val="none"/>
          <w:lang w:eastAsia="zh-CN"/>
        </w:rPr>
        <w:t>a）</w:t>
      </w:r>
      <w:r>
        <w:rPr>
          <w:rFonts w:hAnsi="宋体"/>
          <w:highlight w:val="none"/>
        </w:rPr>
        <w:t xml:space="preserve"> 管道弯头与直管段上金属护壳的搭接部位</w:t>
      </w:r>
      <w:r>
        <w:rPr>
          <w:rFonts w:hint="eastAsia" w:hAnsi="宋体"/>
          <w:highlight w:val="none"/>
        </w:rPr>
        <w:t>；</w:t>
      </w:r>
    </w:p>
    <w:p w14:paraId="4ED9EF83">
      <w:pPr>
        <w:spacing w:line="360" w:lineRule="auto"/>
        <w:rPr>
          <w:rFonts w:hAnsi="宋体"/>
          <w:highlight w:val="none"/>
        </w:rPr>
      </w:pPr>
      <w:r>
        <w:rPr>
          <w:rFonts w:hint="eastAsia" w:hAnsi="宋体"/>
          <w:highlight w:val="none"/>
        </w:rPr>
        <w:t xml:space="preserve"> </w:t>
      </w:r>
      <w:r>
        <w:rPr>
          <w:rFonts w:hAnsi="宋体"/>
          <w:highlight w:val="none"/>
        </w:rPr>
        <w:t xml:space="preserve">  b</w:t>
      </w:r>
      <w:r>
        <w:rPr>
          <w:rFonts w:hint="eastAsia" w:hAnsi="宋体"/>
          <w:highlight w:val="none"/>
        </w:rPr>
        <w:t>）</w:t>
      </w:r>
      <w:r>
        <w:rPr>
          <w:rFonts w:hAnsi="宋体"/>
          <w:highlight w:val="none"/>
        </w:rPr>
        <w:t>直管段金属护壳膨胀的环向接缝部位</w:t>
      </w:r>
      <w:r>
        <w:rPr>
          <w:rFonts w:hint="eastAsia" w:hAnsi="宋体"/>
          <w:highlight w:val="none"/>
        </w:rPr>
        <w:t>；</w:t>
      </w:r>
    </w:p>
    <w:p w14:paraId="417323CA">
      <w:pPr>
        <w:spacing w:line="360" w:lineRule="auto"/>
        <w:rPr>
          <w:rFonts w:hAnsi="宋体"/>
          <w:highlight w:val="none"/>
        </w:rPr>
      </w:pPr>
      <w:r>
        <w:rPr>
          <w:rFonts w:hint="eastAsia" w:hAnsi="宋体"/>
          <w:highlight w:val="none"/>
        </w:rPr>
        <w:t xml:space="preserve"> </w:t>
      </w:r>
      <w:r>
        <w:rPr>
          <w:rFonts w:hAnsi="宋体"/>
          <w:highlight w:val="none"/>
        </w:rPr>
        <w:t xml:space="preserve">  c</w:t>
      </w:r>
      <w:r>
        <w:rPr>
          <w:rFonts w:hint="eastAsia" w:hAnsi="宋体"/>
          <w:highlight w:val="none"/>
        </w:rPr>
        <w:t>）静置设备、转动机械的金属护壳膨胀缝的部位。</w:t>
      </w:r>
    </w:p>
    <w:p w14:paraId="585288B8">
      <w:pPr>
        <w:spacing w:line="360" w:lineRule="auto"/>
        <w:rPr>
          <w:rFonts w:hAnsi="宋体"/>
          <w:highlight w:val="none"/>
        </w:rPr>
      </w:pPr>
      <w:r>
        <w:rPr>
          <w:rFonts w:hint="eastAsia" w:hAnsi="宋体"/>
          <w:highlight w:val="none"/>
        </w:rPr>
        <w:t>7</w:t>
      </w:r>
      <w:r>
        <w:rPr>
          <w:rFonts w:hAnsi="宋体"/>
          <w:highlight w:val="none"/>
        </w:rPr>
        <w:t>.2.2.2 设备及管道金属保护层的接缝应顺水搭接</w:t>
      </w:r>
      <w:r>
        <w:rPr>
          <w:rFonts w:hint="eastAsia" w:hAnsi="宋体"/>
          <w:highlight w:val="none"/>
        </w:rPr>
        <w:t>。</w:t>
      </w:r>
    </w:p>
    <w:p w14:paraId="6A61FE9E">
      <w:pPr>
        <w:spacing w:line="360" w:lineRule="auto"/>
        <w:rPr>
          <w:rFonts w:hAnsi="宋体"/>
          <w:highlight w:val="none"/>
        </w:rPr>
      </w:pPr>
      <w:r>
        <w:rPr>
          <w:rFonts w:hAnsi="宋体"/>
          <w:highlight w:val="none"/>
        </w:rPr>
        <w:t>7.2.2.3 金属保护层的外观应无翻边</w:t>
      </w:r>
      <w:r>
        <w:rPr>
          <w:rFonts w:hint="eastAsia" w:hAnsi="宋体"/>
          <w:highlight w:val="none"/>
        </w:rPr>
        <w:t>、</w:t>
      </w:r>
      <w:r>
        <w:rPr>
          <w:rFonts w:hAnsi="宋体"/>
          <w:highlight w:val="none"/>
        </w:rPr>
        <w:t>豁口</w:t>
      </w:r>
      <w:r>
        <w:rPr>
          <w:rFonts w:hint="eastAsia" w:hAnsi="宋体"/>
          <w:highlight w:val="none"/>
        </w:rPr>
        <w:t>、</w:t>
      </w:r>
      <w:r>
        <w:rPr>
          <w:rFonts w:hAnsi="宋体"/>
          <w:highlight w:val="none"/>
        </w:rPr>
        <w:t>翘缝或凹坑</w:t>
      </w:r>
      <w:r>
        <w:rPr>
          <w:rFonts w:hint="eastAsia" w:hAnsi="宋体"/>
          <w:highlight w:val="none"/>
        </w:rPr>
        <w:t>。</w:t>
      </w:r>
    </w:p>
    <w:p w14:paraId="6F601A38">
      <w:pPr>
        <w:spacing w:line="360" w:lineRule="auto"/>
        <w:rPr>
          <w:rFonts w:hAnsi="宋体"/>
          <w:highlight w:val="none"/>
        </w:rPr>
      </w:pPr>
      <w:r>
        <w:rPr>
          <w:rFonts w:hint="eastAsia" w:hAnsi="宋体"/>
          <w:highlight w:val="none"/>
        </w:rPr>
        <w:t>7</w:t>
      </w:r>
      <w:r>
        <w:rPr>
          <w:rFonts w:hAnsi="宋体"/>
          <w:highlight w:val="none"/>
        </w:rPr>
        <w:t>.2.2.4 金属保护层的固定应牢固</w:t>
      </w:r>
      <w:r>
        <w:rPr>
          <w:rFonts w:hint="eastAsia" w:hAnsi="宋体"/>
          <w:highlight w:val="none"/>
        </w:rPr>
        <w:t>、</w:t>
      </w:r>
      <w:r>
        <w:rPr>
          <w:rFonts w:hAnsi="宋体"/>
          <w:highlight w:val="none"/>
        </w:rPr>
        <w:t>无松动</w:t>
      </w:r>
      <w:r>
        <w:rPr>
          <w:rFonts w:hint="eastAsia" w:hAnsi="宋体"/>
          <w:highlight w:val="none"/>
        </w:rPr>
        <w:t>，间距应均匀一致。</w:t>
      </w:r>
    </w:p>
    <w:p w14:paraId="3EFE2C72">
      <w:pPr>
        <w:spacing w:line="360" w:lineRule="auto"/>
        <w:rPr>
          <w:rFonts w:hAnsi="宋体"/>
          <w:highlight w:val="none"/>
        </w:rPr>
      </w:pPr>
      <w:r>
        <w:rPr>
          <w:rFonts w:hint="eastAsia" w:hAnsi="宋体"/>
          <w:highlight w:val="none"/>
        </w:rPr>
        <w:t>7</w:t>
      </w:r>
      <w:r>
        <w:rPr>
          <w:rFonts w:hAnsi="宋体"/>
          <w:highlight w:val="none"/>
        </w:rPr>
        <w:t>.2.2.5 管道金属保护层的纵向接缝应与管道轴线保持平行</w:t>
      </w:r>
      <w:r>
        <w:rPr>
          <w:rFonts w:hint="eastAsia" w:hAnsi="宋体"/>
          <w:highlight w:val="none"/>
        </w:rPr>
        <w:t>，</w:t>
      </w:r>
      <w:r>
        <w:rPr>
          <w:rFonts w:hAnsi="宋体"/>
          <w:highlight w:val="none"/>
        </w:rPr>
        <w:t>应整齐美观</w:t>
      </w:r>
      <w:r>
        <w:rPr>
          <w:rFonts w:hint="eastAsia" w:hAnsi="宋体"/>
          <w:highlight w:val="none"/>
        </w:rPr>
        <w:t>，</w:t>
      </w:r>
      <w:r>
        <w:rPr>
          <w:rFonts w:hAnsi="宋体"/>
          <w:highlight w:val="none"/>
        </w:rPr>
        <w:t>位置宜在水平中心线下方的</w:t>
      </w:r>
      <w:r>
        <w:rPr>
          <w:rFonts w:hint="eastAsia" w:hAnsi="宋体"/>
          <w:highlight w:val="none"/>
        </w:rPr>
        <w:t>1</w:t>
      </w:r>
      <w:r>
        <w:rPr>
          <w:rFonts w:hAnsi="宋体"/>
          <w:highlight w:val="none"/>
        </w:rPr>
        <w:t>5°</w:t>
      </w:r>
      <w:r>
        <w:rPr>
          <w:rFonts w:hint="eastAsia" w:ascii="宋体" w:hAnsi="宋体"/>
          <w:highlight w:val="none"/>
        </w:rPr>
        <w:t>～</w:t>
      </w:r>
      <w:r>
        <w:rPr>
          <w:rFonts w:hAnsi="宋体"/>
          <w:highlight w:val="none"/>
        </w:rPr>
        <w:t>45°处</w:t>
      </w:r>
      <w:r>
        <w:rPr>
          <w:rFonts w:hint="eastAsia" w:hAnsi="宋体"/>
          <w:highlight w:val="none"/>
        </w:rPr>
        <w:t>，</w:t>
      </w:r>
      <w:r>
        <w:rPr>
          <w:rFonts w:hAnsi="宋体"/>
          <w:highlight w:val="none"/>
        </w:rPr>
        <w:t>当侧面或底部有障碍物时</w:t>
      </w:r>
      <w:r>
        <w:rPr>
          <w:rFonts w:hint="eastAsia" w:hAnsi="宋体"/>
          <w:highlight w:val="none"/>
        </w:rPr>
        <w:t>，</w:t>
      </w:r>
      <w:r>
        <w:rPr>
          <w:rFonts w:hAnsi="宋体"/>
          <w:highlight w:val="none"/>
        </w:rPr>
        <w:t>可移至管道水平中心线上方</w:t>
      </w:r>
      <w:r>
        <w:rPr>
          <w:rFonts w:hint="eastAsia" w:hAnsi="宋体"/>
          <w:highlight w:val="none"/>
        </w:rPr>
        <w:t>6</w:t>
      </w:r>
      <w:r>
        <w:rPr>
          <w:rFonts w:hAnsi="宋体"/>
          <w:highlight w:val="none"/>
        </w:rPr>
        <w:t>0°以内</w:t>
      </w:r>
      <w:r>
        <w:rPr>
          <w:rFonts w:hint="eastAsia" w:hAnsi="宋体"/>
          <w:highlight w:val="none"/>
        </w:rPr>
        <w:t>。</w:t>
      </w:r>
    </w:p>
    <w:p w14:paraId="317ABD7D">
      <w:pPr>
        <w:spacing w:line="360" w:lineRule="auto"/>
        <w:rPr>
          <w:rFonts w:hAnsi="宋体"/>
          <w:highlight w:val="none"/>
        </w:rPr>
      </w:pPr>
      <w:r>
        <w:rPr>
          <w:rFonts w:hint="eastAsia" w:hAnsi="宋体"/>
          <w:highlight w:val="none"/>
        </w:rPr>
        <w:t>7</w:t>
      </w:r>
      <w:r>
        <w:rPr>
          <w:rFonts w:hAnsi="宋体"/>
          <w:highlight w:val="none"/>
        </w:rPr>
        <w:t>.2.2.6 管道金属保护层的环向接缝应与</w:t>
      </w:r>
      <w:r>
        <w:rPr>
          <w:rFonts w:hint="eastAsia" w:hAnsi="宋体"/>
          <w:highlight w:val="none"/>
        </w:rPr>
        <w:t>管道</w:t>
      </w:r>
      <w:r>
        <w:rPr>
          <w:rFonts w:hAnsi="宋体"/>
          <w:highlight w:val="none"/>
        </w:rPr>
        <w:t>轴线保持垂直</w:t>
      </w:r>
      <w:r>
        <w:rPr>
          <w:rFonts w:hint="eastAsia" w:hAnsi="宋体"/>
          <w:highlight w:val="none"/>
        </w:rPr>
        <w:t>。</w:t>
      </w:r>
    </w:p>
    <w:p w14:paraId="1BB0E55C">
      <w:pPr>
        <w:spacing w:line="360" w:lineRule="auto"/>
        <w:rPr>
          <w:rFonts w:hAnsi="宋体"/>
          <w:highlight w:val="none"/>
        </w:rPr>
      </w:pPr>
      <w:r>
        <w:rPr>
          <w:rFonts w:hint="eastAsia" w:hAnsi="宋体"/>
          <w:highlight w:val="none"/>
        </w:rPr>
        <w:t>7</w:t>
      </w:r>
      <w:r>
        <w:rPr>
          <w:rFonts w:hAnsi="宋体"/>
          <w:highlight w:val="none"/>
        </w:rPr>
        <w:t>.2.2.7 管道三通部位金属保护层支管与主管在相交部位宜翻边固定</w:t>
      </w:r>
      <w:r>
        <w:rPr>
          <w:rFonts w:hint="eastAsia" w:hAnsi="宋体"/>
          <w:highlight w:val="none"/>
        </w:rPr>
        <w:t>，</w:t>
      </w:r>
      <w:r>
        <w:rPr>
          <w:rFonts w:hAnsi="宋体"/>
          <w:highlight w:val="none"/>
        </w:rPr>
        <w:t>并应顺水搭接</w:t>
      </w:r>
      <w:r>
        <w:rPr>
          <w:rFonts w:hint="eastAsia" w:hAnsi="宋体"/>
          <w:highlight w:val="none"/>
        </w:rPr>
        <w:t>。</w:t>
      </w:r>
    </w:p>
    <w:p w14:paraId="7AC48F55">
      <w:pPr>
        <w:spacing w:line="360" w:lineRule="auto"/>
        <w:rPr>
          <w:rFonts w:hAnsi="宋体"/>
          <w:highlight w:val="none"/>
        </w:rPr>
      </w:pPr>
      <w:r>
        <w:rPr>
          <w:rFonts w:hint="eastAsia" w:hAnsi="宋体"/>
          <w:highlight w:val="none"/>
        </w:rPr>
        <w:t>7</w:t>
      </w:r>
      <w:r>
        <w:rPr>
          <w:rFonts w:hAnsi="宋体"/>
          <w:highlight w:val="none"/>
        </w:rPr>
        <w:t>.2.2.8 管道在法兰断开处的断面应用金属保护层做成防水结构进行封堵</w:t>
      </w:r>
      <w:r>
        <w:rPr>
          <w:rFonts w:hint="eastAsia" w:hAnsi="宋体"/>
          <w:highlight w:val="none"/>
        </w:rPr>
        <w:t>。</w:t>
      </w:r>
      <w:r>
        <w:rPr>
          <w:rFonts w:hAnsi="宋体"/>
          <w:highlight w:val="none"/>
        </w:rPr>
        <w:t>不得与奥氏体</w:t>
      </w:r>
      <w:r>
        <w:rPr>
          <w:rFonts w:hint="eastAsia" w:hAnsi="宋体"/>
          <w:highlight w:val="none"/>
          <w:lang w:eastAsia="zh-CN"/>
        </w:rPr>
        <w:t>不锈钢</w:t>
      </w:r>
      <w:r>
        <w:rPr>
          <w:rFonts w:hAnsi="宋体"/>
          <w:highlight w:val="none"/>
        </w:rPr>
        <w:t>管材或高温管道相接触</w:t>
      </w:r>
      <w:r>
        <w:rPr>
          <w:rFonts w:hint="eastAsia" w:hAnsi="宋体"/>
          <w:highlight w:val="none"/>
        </w:rPr>
        <w:t>。</w:t>
      </w:r>
    </w:p>
    <w:p w14:paraId="04D0BEB6">
      <w:pPr>
        <w:pStyle w:val="3"/>
        <w:bidi w:val="0"/>
        <w:rPr>
          <w:rFonts w:hint="eastAsia"/>
          <w:highlight w:val="none"/>
        </w:rPr>
      </w:pPr>
      <w:bookmarkStart w:id="59" w:name="_Toc6232"/>
      <w:r>
        <w:rPr>
          <w:rFonts w:hint="eastAsia"/>
          <w:highlight w:val="none"/>
        </w:rPr>
        <w:t>8</w:t>
      </w:r>
      <w:r>
        <w:rPr>
          <w:rFonts w:hint="eastAsia"/>
          <w:highlight w:val="none"/>
          <w:lang w:val="en-US" w:eastAsia="zh-CN"/>
        </w:rPr>
        <w:t xml:space="preserve"> </w:t>
      </w:r>
      <w:r>
        <w:rPr>
          <w:rFonts w:hint="eastAsia"/>
          <w:highlight w:val="none"/>
        </w:rPr>
        <w:t>安全文明施工措施</w:t>
      </w:r>
      <w:bookmarkEnd w:id="50"/>
      <w:bookmarkEnd w:id="51"/>
      <w:bookmarkEnd w:id="52"/>
      <w:bookmarkEnd w:id="59"/>
    </w:p>
    <w:p w14:paraId="3E55A086">
      <w:pPr>
        <w:spacing w:line="360" w:lineRule="auto"/>
        <w:outlineLvl w:val="1"/>
        <w:rPr>
          <w:rFonts w:hAnsi="宋体"/>
          <w:highlight w:val="none"/>
        </w:rPr>
      </w:pPr>
      <w:bookmarkStart w:id="60" w:name="_Toc6891"/>
      <w:bookmarkStart w:id="61" w:name="_Toc25610"/>
      <w:r>
        <w:rPr>
          <w:rFonts w:hint="eastAsia" w:hAnsi="宋体"/>
          <w:highlight w:val="none"/>
        </w:rPr>
        <w:t>8.1</w:t>
      </w:r>
      <w:r>
        <w:rPr>
          <w:rFonts w:hAnsi="宋体"/>
          <w:highlight w:val="none"/>
        </w:rPr>
        <w:t xml:space="preserve"> </w:t>
      </w:r>
      <w:r>
        <w:rPr>
          <w:rFonts w:hint="eastAsia" w:hAnsi="宋体"/>
          <w:highlight w:val="none"/>
        </w:rPr>
        <w:t>施工用电</w:t>
      </w:r>
      <w:bookmarkEnd w:id="60"/>
      <w:bookmarkEnd w:id="61"/>
    </w:p>
    <w:p w14:paraId="41FA11DC">
      <w:pPr>
        <w:spacing w:line="360" w:lineRule="auto"/>
        <w:rPr>
          <w:rFonts w:hAnsi="宋体"/>
          <w:highlight w:val="none"/>
        </w:rPr>
      </w:pPr>
      <w:r>
        <w:rPr>
          <w:rFonts w:hint="eastAsia" w:hAnsi="宋体"/>
          <w:highlight w:val="none"/>
        </w:rPr>
        <w:t>8.1.1</w:t>
      </w:r>
      <w:r>
        <w:rPr>
          <w:rFonts w:hint="eastAsia" w:hAnsi="宋体"/>
          <w:highlight w:val="none"/>
          <w:lang w:val="en-US" w:eastAsia="zh-CN"/>
        </w:rPr>
        <w:t xml:space="preserve"> </w:t>
      </w:r>
      <w:r>
        <w:rPr>
          <w:rFonts w:hint="eastAsia" w:hAnsi="宋体"/>
          <w:highlight w:val="none"/>
        </w:rPr>
        <w:t>非电气工作人员不得修理、处理电气设备。</w:t>
      </w:r>
    </w:p>
    <w:p w14:paraId="7F4B6165">
      <w:pPr>
        <w:spacing w:line="360" w:lineRule="auto"/>
        <w:rPr>
          <w:rFonts w:hAnsi="宋体"/>
          <w:highlight w:val="none"/>
        </w:rPr>
      </w:pPr>
      <w:r>
        <w:rPr>
          <w:rFonts w:hint="eastAsia" w:hAnsi="宋体"/>
          <w:highlight w:val="none"/>
        </w:rPr>
        <w:t>8.1.2</w:t>
      </w:r>
      <w:r>
        <w:rPr>
          <w:rFonts w:hint="eastAsia" w:hAnsi="宋体"/>
          <w:highlight w:val="none"/>
          <w:lang w:val="en-US" w:eastAsia="zh-CN"/>
        </w:rPr>
        <w:t xml:space="preserve"> </w:t>
      </w:r>
      <w:r>
        <w:rPr>
          <w:rFonts w:hint="eastAsia" w:hAnsi="宋体"/>
          <w:highlight w:val="none"/>
        </w:rPr>
        <w:t>必须使用36V以下的安全电源。</w:t>
      </w:r>
    </w:p>
    <w:p w14:paraId="17878C5B">
      <w:pPr>
        <w:spacing w:line="360" w:lineRule="auto"/>
        <w:rPr>
          <w:rFonts w:hAnsi="宋体"/>
          <w:highlight w:val="none"/>
        </w:rPr>
      </w:pPr>
      <w:r>
        <w:rPr>
          <w:rFonts w:hint="eastAsia" w:hAnsi="宋体"/>
          <w:highlight w:val="none"/>
        </w:rPr>
        <w:t>8.1.3</w:t>
      </w:r>
      <w:r>
        <w:rPr>
          <w:rFonts w:hint="eastAsia" w:hAnsi="宋体"/>
          <w:highlight w:val="none"/>
          <w:lang w:val="en-US" w:eastAsia="zh-CN"/>
        </w:rPr>
        <w:t xml:space="preserve"> </w:t>
      </w:r>
      <w:r>
        <w:rPr>
          <w:rFonts w:hint="eastAsia" w:hAnsi="宋体"/>
          <w:highlight w:val="none"/>
        </w:rPr>
        <w:t>施工用电必须由专人管理。</w:t>
      </w:r>
    </w:p>
    <w:p w14:paraId="5E3EC7CD">
      <w:pPr>
        <w:spacing w:line="360" w:lineRule="auto"/>
        <w:rPr>
          <w:rFonts w:hAnsi="宋体"/>
          <w:highlight w:val="none"/>
        </w:rPr>
      </w:pPr>
      <w:r>
        <w:rPr>
          <w:rFonts w:hint="eastAsia" w:hAnsi="宋体"/>
          <w:highlight w:val="none"/>
        </w:rPr>
        <w:t>8.1.4</w:t>
      </w:r>
      <w:r>
        <w:rPr>
          <w:rFonts w:hint="eastAsia" w:hAnsi="宋体"/>
          <w:highlight w:val="none"/>
          <w:lang w:val="en-US" w:eastAsia="zh-CN"/>
        </w:rPr>
        <w:t xml:space="preserve"> </w:t>
      </w:r>
      <w:r>
        <w:rPr>
          <w:rFonts w:hint="eastAsia" w:hAnsi="宋体"/>
          <w:highlight w:val="none"/>
        </w:rPr>
        <w:t>使用照明设备（36V以下）。</w:t>
      </w:r>
    </w:p>
    <w:p w14:paraId="6B12C7CE">
      <w:pPr>
        <w:spacing w:line="360" w:lineRule="auto"/>
        <w:rPr>
          <w:rFonts w:hAnsi="宋体"/>
          <w:highlight w:val="none"/>
        </w:rPr>
      </w:pPr>
      <w:r>
        <w:rPr>
          <w:rFonts w:hint="eastAsia" w:hAnsi="宋体"/>
          <w:highlight w:val="none"/>
        </w:rPr>
        <w:t>8.1.5</w:t>
      </w:r>
      <w:r>
        <w:rPr>
          <w:rFonts w:hint="eastAsia" w:hAnsi="宋体"/>
          <w:highlight w:val="none"/>
          <w:lang w:val="en-US" w:eastAsia="zh-CN"/>
        </w:rPr>
        <w:t xml:space="preserve"> </w:t>
      </w:r>
      <w:r>
        <w:rPr>
          <w:rFonts w:hint="eastAsia" w:hAnsi="宋体"/>
          <w:highlight w:val="none"/>
        </w:rPr>
        <w:t>电动工具、照明灯具必须确保合格并经电工确认后方可使用。</w:t>
      </w:r>
    </w:p>
    <w:p w14:paraId="19D41468">
      <w:pPr>
        <w:spacing w:line="360" w:lineRule="auto"/>
        <w:rPr>
          <w:rFonts w:hAnsi="宋体"/>
          <w:highlight w:val="none"/>
        </w:rPr>
      </w:pPr>
      <w:r>
        <w:rPr>
          <w:rFonts w:hint="eastAsia" w:hAnsi="宋体"/>
          <w:highlight w:val="none"/>
        </w:rPr>
        <w:t>8.1.6</w:t>
      </w:r>
      <w:r>
        <w:rPr>
          <w:rFonts w:hint="eastAsia" w:hAnsi="宋体"/>
          <w:highlight w:val="none"/>
          <w:lang w:val="en-US" w:eastAsia="zh-CN"/>
        </w:rPr>
        <w:t xml:space="preserve"> </w:t>
      </w:r>
      <w:r>
        <w:rPr>
          <w:rFonts w:hint="eastAsia" w:hAnsi="宋体"/>
          <w:highlight w:val="none"/>
        </w:rPr>
        <w:t>现场临时照明的接线必须保留接线记录，有专人监管。</w:t>
      </w:r>
    </w:p>
    <w:p w14:paraId="1A8E303A">
      <w:pPr>
        <w:spacing w:line="360" w:lineRule="auto"/>
        <w:outlineLvl w:val="1"/>
        <w:rPr>
          <w:rFonts w:hAnsi="宋体"/>
          <w:highlight w:val="none"/>
        </w:rPr>
      </w:pPr>
      <w:bookmarkStart w:id="62" w:name="_Toc10495"/>
      <w:bookmarkStart w:id="63" w:name="_Toc10465"/>
      <w:r>
        <w:rPr>
          <w:rFonts w:hint="eastAsia" w:hAnsi="宋体"/>
          <w:highlight w:val="none"/>
        </w:rPr>
        <w:t>8.2</w:t>
      </w:r>
      <w:r>
        <w:rPr>
          <w:rFonts w:hint="eastAsia" w:hAnsi="宋体"/>
          <w:highlight w:val="none"/>
          <w:lang w:val="en-US" w:eastAsia="zh-CN"/>
        </w:rPr>
        <w:t xml:space="preserve"> 脚手架</w:t>
      </w:r>
      <w:r>
        <w:rPr>
          <w:rFonts w:hint="eastAsia" w:hAnsi="宋体"/>
          <w:highlight w:val="none"/>
        </w:rPr>
        <w:t>搭设</w:t>
      </w:r>
      <w:bookmarkEnd w:id="62"/>
      <w:bookmarkEnd w:id="63"/>
    </w:p>
    <w:p w14:paraId="12B84D6F">
      <w:pPr>
        <w:spacing w:line="360" w:lineRule="auto"/>
        <w:rPr>
          <w:rFonts w:hAnsi="宋体"/>
          <w:highlight w:val="none"/>
        </w:rPr>
      </w:pPr>
      <w:r>
        <w:rPr>
          <w:rFonts w:hint="eastAsia" w:hAnsi="宋体"/>
          <w:highlight w:val="none"/>
        </w:rPr>
        <w:t>8.2.1</w:t>
      </w:r>
      <w:r>
        <w:rPr>
          <w:rFonts w:hint="eastAsia" w:hAnsi="宋体"/>
          <w:highlight w:val="none"/>
          <w:lang w:val="en-US" w:eastAsia="zh-CN"/>
        </w:rPr>
        <w:t xml:space="preserve"> </w:t>
      </w:r>
      <w:r>
        <w:rPr>
          <w:rFonts w:hint="eastAsia" w:hAnsi="宋体"/>
          <w:highlight w:val="none"/>
        </w:rPr>
        <w:t>脚手架的外侧、斜道和平台应搭设由上下两道横杆及栏杆组成的防护栏杆。上杆离地高度</w:t>
      </w:r>
      <w:r>
        <w:rPr>
          <w:rFonts w:hAnsi="宋体"/>
          <w:highlight w:val="none"/>
        </w:rPr>
        <w:t>1.05m</w:t>
      </w:r>
      <w:r>
        <w:rPr>
          <w:rFonts w:hint="eastAsia" w:hAnsi="宋体"/>
          <w:highlight w:val="none"/>
        </w:rPr>
        <w:t>～</w:t>
      </w:r>
      <w:r>
        <w:rPr>
          <w:rFonts w:hAnsi="宋体"/>
          <w:highlight w:val="none"/>
        </w:rPr>
        <w:t>1.2m</w:t>
      </w:r>
      <w:r>
        <w:rPr>
          <w:rFonts w:hint="eastAsia" w:hAnsi="宋体"/>
          <w:highlight w:val="none"/>
        </w:rPr>
        <w:t>，下杆离地高度</w:t>
      </w:r>
      <w:r>
        <w:rPr>
          <w:rFonts w:hAnsi="宋体"/>
          <w:highlight w:val="none"/>
        </w:rPr>
        <w:t>0.5m</w:t>
      </w:r>
      <w:r>
        <w:rPr>
          <w:rFonts w:hint="eastAsia" w:hAnsi="宋体"/>
          <w:highlight w:val="none"/>
        </w:rPr>
        <w:t>～</w:t>
      </w:r>
      <w:r>
        <w:rPr>
          <w:rFonts w:hAnsi="宋体"/>
          <w:highlight w:val="none"/>
        </w:rPr>
        <w:t>0.6m</w:t>
      </w:r>
      <w:r>
        <w:rPr>
          <w:rFonts w:hint="eastAsia" w:hAnsi="宋体"/>
          <w:highlight w:val="none"/>
        </w:rPr>
        <w:t>。并设</w:t>
      </w:r>
      <w:r>
        <w:rPr>
          <w:rFonts w:hAnsi="宋体"/>
          <w:highlight w:val="none"/>
        </w:rPr>
        <w:t>18cm</w:t>
      </w:r>
      <w:r>
        <w:rPr>
          <w:rFonts w:hint="eastAsia" w:hAnsi="宋体"/>
          <w:highlight w:val="none"/>
        </w:rPr>
        <w:t>高的挡脚板或设防护立网；里脚手的高度应低于外墙</w:t>
      </w:r>
      <w:r>
        <w:rPr>
          <w:rFonts w:hAnsi="宋体"/>
          <w:highlight w:val="none"/>
        </w:rPr>
        <w:t>20cm</w:t>
      </w:r>
      <w:r>
        <w:rPr>
          <w:rFonts w:hint="eastAsia" w:hAnsi="宋体"/>
          <w:highlight w:val="none"/>
        </w:rPr>
        <w:t>。</w:t>
      </w:r>
    </w:p>
    <w:p w14:paraId="41A6550D">
      <w:pPr>
        <w:spacing w:line="360" w:lineRule="auto"/>
        <w:rPr>
          <w:rFonts w:hAnsi="宋体"/>
          <w:highlight w:val="none"/>
        </w:rPr>
      </w:pPr>
      <w:r>
        <w:rPr>
          <w:rFonts w:hint="eastAsia" w:hAnsi="宋体"/>
          <w:highlight w:val="none"/>
        </w:rPr>
        <w:t>8.2.2</w:t>
      </w:r>
      <w:r>
        <w:rPr>
          <w:rFonts w:hint="eastAsia" w:hAnsi="宋体"/>
          <w:highlight w:val="none"/>
          <w:lang w:val="en-US" w:eastAsia="zh-CN"/>
        </w:rPr>
        <w:t xml:space="preserve"> </w:t>
      </w:r>
      <w:r>
        <w:rPr>
          <w:rFonts w:hint="eastAsia" w:hAnsi="宋体"/>
          <w:highlight w:val="none"/>
        </w:rPr>
        <w:t>斜道板、跳板的坡度不得大于</w:t>
      </w:r>
      <w:r>
        <w:rPr>
          <w:rFonts w:hAnsi="宋体"/>
          <w:highlight w:val="none"/>
        </w:rPr>
        <w:t>1</w:t>
      </w:r>
      <w:r>
        <w:rPr>
          <w:rFonts w:hint="eastAsia" w:hAnsi="宋体"/>
          <w:highlight w:val="none"/>
          <w:lang w:eastAsia="zh-CN"/>
        </w:rPr>
        <w:t>:</w:t>
      </w:r>
      <w:r>
        <w:rPr>
          <w:rFonts w:hAnsi="宋体"/>
          <w:highlight w:val="none"/>
        </w:rPr>
        <w:t>3</w:t>
      </w:r>
      <w:r>
        <w:rPr>
          <w:rFonts w:hint="eastAsia" w:hAnsi="宋体"/>
          <w:highlight w:val="none"/>
        </w:rPr>
        <w:t>，宽度不得小于</w:t>
      </w:r>
      <w:r>
        <w:rPr>
          <w:rFonts w:hAnsi="宋体"/>
          <w:highlight w:val="none"/>
        </w:rPr>
        <w:t>1.5m</w:t>
      </w:r>
      <w:r>
        <w:rPr>
          <w:rFonts w:hint="eastAsia" w:hAnsi="宋体"/>
          <w:highlight w:val="none"/>
        </w:rPr>
        <w:t>，并应钉防滑条。防滑条的间距不得大于</w:t>
      </w:r>
      <w:r>
        <w:rPr>
          <w:rFonts w:hAnsi="宋体"/>
          <w:highlight w:val="none"/>
        </w:rPr>
        <w:t>30cm</w:t>
      </w:r>
      <w:r>
        <w:rPr>
          <w:rFonts w:hint="eastAsia" w:hAnsi="宋体"/>
          <w:highlight w:val="none"/>
        </w:rPr>
        <w:t>。</w:t>
      </w:r>
    </w:p>
    <w:p w14:paraId="453475C1">
      <w:pPr>
        <w:spacing w:line="360" w:lineRule="auto"/>
        <w:rPr>
          <w:rFonts w:hAnsi="宋体"/>
          <w:highlight w:val="none"/>
        </w:rPr>
      </w:pPr>
      <w:r>
        <w:rPr>
          <w:rFonts w:hint="eastAsia" w:hAnsi="宋体"/>
          <w:highlight w:val="none"/>
        </w:rPr>
        <w:t>8.2.3</w:t>
      </w:r>
      <w:r>
        <w:rPr>
          <w:rFonts w:hint="eastAsia" w:hAnsi="宋体"/>
          <w:highlight w:val="none"/>
          <w:lang w:val="en-US" w:eastAsia="zh-CN"/>
        </w:rPr>
        <w:t xml:space="preserve"> </w:t>
      </w:r>
      <w:r>
        <w:rPr>
          <w:rFonts w:hint="eastAsia" w:hAnsi="宋体"/>
          <w:highlight w:val="none"/>
        </w:rPr>
        <w:t>采用直立爬梯时梯档应绑扎牢固，间距不大于</w:t>
      </w:r>
      <w:r>
        <w:rPr>
          <w:rFonts w:hAnsi="宋体"/>
          <w:highlight w:val="none"/>
        </w:rPr>
        <w:t>30cm</w:t>
      </w:r>
      <w:r>
        <w:rPr>
          <w:rFonts w:hint="eastAsia" w:hAnsi="宋体"/>
          <w:highlight w:val="none"/>
        </w:rPr>
        <w:t>。严禁手中拿物攀登。不得在梯子上运送、传递材料及物品。直立爬梯的高度超过</w:t>
      </w:r>
      <w:r>
        <w:rPr>
          <w:rFonts w:hAnsi="宋体"/>
          <w:highlight w:val="none"/>
        </w:rPr>
        <w:t>2m</w:t>
      </w:r>
      <w:r>
        <w:rPr>
          <w:rFonts w:hint="eastAsia" w:hAnsi="宋体"/>
          <w:highlight w:val="none"/>
        </w:rPr>
        <w:t>时应使用攀登自锁器。</w:t>
      </w:r>
    </w:p>
    <w:p w14:paraId="7F30E9DF">
      <w:pPr>
        <w:spacing w:line="360" w:lineRule="auto"/>
        <w:rPr>
          <w:rFonts w:hAnsi="宋体"/>
          <w:highlight w:val="none"/>
        </w:rPr>
      </w:pPr>
      <w:r>
        <w:rPr>
          <w:rFonts w:hint="eastAsia" w:hAnsi="宋体"/>
          <w:highlight w:val="none"/>
        </w:rPr>
        <w:t>8.2.4</w:t>
      </w:r>
      <w:r>
        <w:rPr>
          <w:rFonts w:hint="eastAsia" w:hAnsi="宋体"/>
          <w:highlight w:val="none"/>
          <w:lang w:val="en-US" w:eastAsia="zh-CN"/>
        </w:rPr>
        <w:t xml:space="preserve"> </w:t>
      </w:r>
      <w:r>
        <w:rPr>
          <w:rFonts w:hint="eastAsia" w:hAnsi="宋体"/>
          <w:highlight w:val="none"/>
        </w:rPr>
        <w:t>脚手架应经常检查，在大风、暴雨后及解冻期应加强检查。长期停用的脚手架，在恢复使用前应经检查、鉴定合格后方可使用。</w:t>
      </w:r>
    </w:p>
    <w:p w14:paraId="24F8F426">
      <w:pPr>
        <w:spacing w:line="360" w:lineRule="auto"/>
        <w:rPr>
          <w:rFonts w:hAnsi="宋体"/>
          <w:highlight w:val="none"/>
        </w:rPr>
      </w:pPr>
      <w:r>
        <w:rPr>
          <w:rFonts w:hint="eastAsia" w:hAnsi="宋体"/>
          <w:highlight w:val="none"/>
        </w:rPr>
        <w:t>8.2.5</w:t>
      </w:r>
      <w:r>
        <w:rPr>
          <w:rFonts w:hint="eastAsia" w:hAnsi="宋体"/>
          <w:highlight w:val="none"/>
          <w:lang w:val="en-US" w:eastAsia="zh-CN"/>
        </w:rPr>
        <w:t xml:space="preserve"> </w:t>
      </w:r>
      <w:r>
        <w:rPr>
          <w:rFonts w:hint="eastAsia" w:hAnsi="宋体"/>
          <w:highlight w:val="none"/>
        </w:rPr>
        <w:t>非专业工种人员不得搭、拆脚手架。搭设脚手架时作业人员应挂好安全带，递杆、撑杆作业人员应密切配合。施工区周围围栏或警告标志，并由专人监护，严禁无关人员入内。</w:t>
      </w:r>
    </w:p>
    <w:p w14:paraId="3B67939D">
      <w:pPr>
        <w:spacing w:line="360" w:lineRule="auto"/>
        <w:outlineLvl w:val="1"/>
        <w:rPr>
          <w:rFonts w:hAnsi="宋体"/>
          <w:highlight w:val="none"/>
        </w:rPr>
      </w:pPr>
      <w:bookmarkStart w:id="64" w:name="_Toc6145"/>
      <w:bookmarkStart w:id="65" w:name="_Toc29993"/>
      <w:r>
        <w:rPr>
          <w:rFonts w:hint="eastAsia" w:hAnsi="宋体"/>
          <w:highlight w:val="none"/>
        </w:rPr>
        <w:t>8.3</w:t>
      </w:r>
      <w:r>
        <w:rPr>
          <w:rFonts w:hint="eastAsia" w:hAnsi="宋体"/>
          <w:highlight w:val="none"/>
          <w:lang w:val="en-US" w:eastAsia="zh-CN"/>
        </w:rPr>
        <w:t xml:space="preserve"> </w:t>
      </w:r>
      <w:r>
        <w:rPr>
          <w:rFonts w:hint="eastAsia" w:hAnsi="宋体"/>
          <w:highlight w:val="none"/>
        </w:rPr>
        <w:t>滑板的使用</w:t>
      </w:r>
      <w:bookmarkEnd w:id="64"/>
      <w:bookmarkEnd w:id="65"/>
    </w:p>
    <w:p w14:paraId="0070FA3D">
      <w:pPr>
        <w:spacing w:line="360" w:lineRule="auto"/>
        <w:rPr>
          <w:rFonts w:hAnsi="宋体"/>
          <w:highlight w:val="none"/>
        </w:rPr>
      </w:pPr>
      <w:r>
        <w:rPr>
          <w:rFonts w:hint="eastAsia" w:hAnsi="宋体"/>
          <w:highlight w:val="none"/>
        </w:rPr>
        <w:t>8.3.1</w:t>
      </w:r>
      <w:r>
        <w:rPr>
          <w:rFonts w:hint="eastAsia" w:hAnsi="宋体"/>
          <w:highlight w:val="none"/>
          <w:lang w:val="en-US" w:eastAsia="zh-CN"/>
        </w:rPr>
        <w:t xml:space="preserve"> </w:t>
      </w:r>
      <w:r>
        <w:rPr>
          <w:rFonts w:hint="eastAsia" w:hAnsi="宋体"/>
          <w:highlight w:val="none"/>
        </w:rPr>
        <w:t>滑板使用前需先将安全绳、悬挂绳固定在爬梯、平台等牢靠的地方；安全绳、悬挂绳必须定向</w:t>
      </w:r>
      <w:r>
        <w:rPr>
          <w:rFonts w:hint="eastAsia" w:hAnsi="宋体"/>
          <w:highlight w:val="none"/>
          <w:lang w:eastAsia="zh-CN"/>
        </w:rPr>
        <w:t>检验</w:t>
      </w:r>
      <w:r>
        <w:rPr>
          <w:rFonts w:hint="eastAsia" w:hAnsi="宋体"/>
          <w:highlight w:val="none"/>
        </w:rPr>
        <w:t>，反复检查。</w:t>
      </w:r>
    </w:p>
    <w:p w14:paraId="48DF0DED">
      <w:pPr>
        <w:spacing w:line="360" w:lineRule="auto"/>
        <w:rPr>
          <w:rFonts w:hAnsi="宋体"/>
          <w:highlight w:val="none"/>
        </w:rPr>
      </w:pPr>
      <w:r>
        <w:rPr>
          <w:rFonts w:hint="eastAsia" w:hAnsi="宋体"/>
          <w:highlight w:val="none"/>
        </w:rPr>
        <w:t>8.3.2</w:t>
      </w:r>
      <w:r>
        <w:rPr>
          <w:rFonts w:hint="eastAsia" w:hAnsi="宋体"/>
          <w:highlight w:val="none"/>
          <w:lang w:val="en-US" w:eastAsia="zh-CN"/>
        </w:rPr>
        <w:t xml:space="preserve"> </w:t>
      </w:r>
      <w:r>
        <w:rPr>
          <w:rFonts w:hint="eastAsia" w:hAnsi="宋体"/>
          <w:highlight w:val="none"/>
        </w:rPr>
        <w:t>部分框架施工人员需坐滑板（滑板固定到￠18悬挂棕绳上，安全带固定到￠16悬挂棕绳上）。</w:t>
      </w:r>
    </w:p>
    <w:p w14:paraId="52D39939">
      <w:pPr>
        <w:spacing w:line="360" w:lineRule="auto"/>
        <w:outlineLvl w:val="1"/>
        <w:rPr>
          <w:rFonts w:hAnsi="宋体"/>
          <w:highlight w:val="none"/>
        </w:rPr>
      </w:pPr>
      <w:bookmarkStart w:id="66" w:name="_Toc12646"/>
      <w:bookmarkStart w:id="67" w:name="_Toc7726"/>
      <w:r>
        <w:rPr>
          <w:rFonts w:hint="eastAsia" w:hAnsi="宋体"/>
          <w:highlight w:val="none"/>
        </w:rPr>
        <w:t>8.4</w:t>
      </w:r>
      <w:r>
        <w:rPr>
          <w:rFonts w:hint="eastAsia" w:hAnsi="宋体"/>
          <w:highlight w:val="none"/>
          <w:lang w:val="en-US" w:eastAsia="zh-CN"/>
        </w:rPr>
        <w:t xml:space="preserve"> </w:t>
      </w:r>
      <w:r>
        <w:rPr>
          <w:rFonts w:hint="eastAsia" w:hAnsi="宋体"/>
          <w:highlight w:val="none"/>
        </w:rPr>
        <w:t>高处作业</w:t>
      </w:r>
      <w:bookmarkEnd w:id="66"/>
      <w:bookmarkEnd w:id="67"/>
    </w:p>
    <w:p w14:paraId="18BFF61A">
      <w:pPr>
        <w:spacing w:line="360" w:lineRule="auto"/>
        <w:rPr>
          <w:rFonts w:hAnsi="宋体"/>
          <w:highlight w:val="none"/>
        </w:rPr>
      </w:pPr>
      <w:r>
        <w:rPr>
          <w:rFonts w:hint="eastAsia" w:hAnsi="宋体"/>
          <w:highlight w:val="none"/>
        </w:rPr>
        <w:t>8.4.1</w:t>
      </w:r>
      <w:r>
        <w:rPr>
          <w:rFonts w:hint="eastAsia" w:hAnsi="宋体"/>
          <w:highlight w:val="none"/>
          <w:lang w:val="en-US" w:eastAsia="zh-CN"/>
        </w:rPr>
        <w:t xml:space="preserve"> </w:t>
      </w:r>
      <w:r>
        <w:rPr>
          <w:rFonts w:hint="eastAsia" w:hAnsi="宋体"/>
          <w:highlight w:val="none"/>
        </w:rPr>
        <w:t>凡在坠落高基准面2m及2m以上的高处作业必须系好安全带，安全带应挂于上方的牢固可靠处；高处作业人员应衣着灵便、穿软底鞋。</w:t>
      </w:r>
    </w:p>
    <w:p w14:paraId="6AD6C2B9">
      <w:pPr>
        <w:spacing w:line="360" w:lineRule="auto"/>
        <w:rPr>
          <w:rFonts w:hAnsi="宋体"/>
          <w:highlight w:val="none"/>
        </w:rPr>
      </w:pPr>
      <w:r>
        <w:rPr>
          <w:rFonts w:hint="eastAsia" w:hAnsi="宋体"/>
          <w:highlight w:val="none"/>
        </w:rPr>
        <w:t>8.4.2</w:t>
      </w:r>
      <w:r>
        <w:rPr>
          <w:rFonts w:hint="eastAsia" w:hAnsi="宋体"/>
          <w:highlight w:val="none"/>
          <w:lang w:val="en-US" w:eastAsia="zh-CN"/>
        </w:rPr>
        <w:t xml:space="preserve"> </w:t>
      </w:r>
      <w:r>
        <w:rPr>
          <w:rFonts w:hint="eastAsia" w:hAnsi="宋体"/>
          <w:highlight w:val="none"/>
        </w:rPr>
        <w:t>遇有五级及以上大风或恶劣天气时，应停止露天高处作业。在霜冻及雨雪天气进行高处作业时，应采取防滑措施。</w:t>
      </w:r>
    </w:p>
    <w:p w14:paraId="5CC4DED1">
      <w:pPr>
        <w:spacing w:line="360" w:lineRule="auto"/>
        <w:rPr>
          <w:rFonts w:hAnsi="宋体"/>
          <w:highlight w:val="none"/>
        </w:rPr>
      </w:pPr>
      <w:r>
        <w:rPr>
          <w:rFonts w:hint="eastAsia" w:hAnsi="宋体"/>
          <w:highlight w:val="none"/>
        </w:rPr>
        <w:t>8.4.3</w:t>
      </w:r>
      <w:r>
        <w:rPr>
          <w:rFonts w:hint="eastAsia" w:hAnsi="宋体"/>
          <w:highlight w:val="none"/>
          <w:lang w:val="en-US" w:eastAsia="zh-CN"/>
        </w:rPr>
        <w:t xml:space="preserve"> </w:t>
      </w:r>
      <w:r>
        <w:rPr>
          <w:rFonts w:hint="eastAsia" w:hAnsi="宋体"/>
          <w:highlight w:val="none"/>
        </w:rPr>
        <w:t>高处作业人员应配备工具袋，较大的工具应系保险绳；传递物品时严禁投掷。</w:t>
      </w:r>
    </w:p>
    <w:p w14:paraId="69182017">
      <w:pPr>
        <w:spacing w:line="360" w:lineRule="auto"/>
        <w:rPr>
          <w:rFonts w:hAnsi="宋体"/>
          <w:highlight w:val="none"/>
        </w:rPr>
      </w:pPr>
      <w:r>
        <w:rPr>
          <w:rFonts w:hint="eastAsia" w:hAnsi="宋体"/>
          <w:highlight w:val="none"/>
        </w:rPr>
        <w:t>8.4.4</w:t>
      </w:r>
      <w:r>
        <w:rPr>
          <w:rFonts w:hint="eastAsia" w:hAnsi="宋体"/>
          <w:highlight w:val="none"/>
          <w:lang w:val="en-US" w:eastAsia="zh-CN"/>
        </w:rPr>
        <w:t xml:space="preserve"> </w:t>
      </w:r>
      <w:r>
        <w:rPr>
          <w:rFonts w:hint="eastAsia" w:hAnsi="宋体"/>
          <w:highlight w:val="none"/>
        </w:rPr>
        <w:t>高处作业时，边角余料等就旋转在牢靠的地方或用铁丝扣牢并有防止坠落的措施。</w:t>
      </w:r>
    </w:p>
    <w:p w14:paraId="0737BF2E">
      <w:pPr>
        <w:spacing w:line="360" w:lineRule="auto"/>
        <w:outlineLvl w:val="1"/>
        <w:rPr>
          <w:rFonts w:hAnsi="宋体"/>
          <w:highlight w:val="none"/>
        </w:rPr>
      </w:pPr>
      <w:bookmarkStart w:id="68" w:name="_Toc26757"/>
      <w:bookmarkStart w:id="69" w:name="_Toc4573"/>
      <w:r>
        <w:rPr>
          <w:rFonts w:hint="eastAsia" w:hAnsi="宋体"/>
          <w:highlight w:val="none"/>
        </w:rPr>
        <w:t>8.5</w:t>
      </w:r>
      <w:r>
        <w:rPr>
          <w:rFonts w:hint="eastAsia" w:hAnsi="宋体"/>
          <w:highlight w:val="none"/>
          <w:lang w:val="en-US" w:eastAsia="zh-CN"/>
        </w:rPr>
        <w:t xml:space="preserve"> </w:t>
      </w:r>
      <w:r>
        <w:rPr>
          <w:rFonts w:hint="eastAsia" w:hAnsi="宋体"/>
          <w:highlight w:val="none"/>
        </w:rPr>
        <w:t>小型机工具使用</w:t>
      </w:r>
      <w:bookmarkEnd w:id="68"/>
      <w:bookmarkEnd w:id="69"/>
    </w:p>
    <w:p w14:paraId="7774D8EF">
      <w:pPr>
        <w:spacing w:line="360" w:lineRule="auto"/>
        <w:rPr>
          <w:rFonts w:hAnsi="宋体"/>
          <w:highlight w:val="none"/>
        </w:rPr>
      </w:pPr>
      <w:r>
        <w:rPr>
          <w:rFonts w:hint="eastAsia" w:hAnsi="宋体"/>
          <w:highlight w:val="none"/>
        </w:rPr>
        <w:t>8.5.1</w:t>
      </w:r>
      <w:r>
        <w:rPr>
          <w:rFonts w:hint="eastAsia" w:hAnsi="宋体"/>
          <w:highlight w:val="none"/>
          <w:lang w:val="en-US" w:eastAsia="zh-CN"/>
        </w:rPr>
        <w:t xml:space="preserve"> </w:t>
      </w:r>
      <w:r>
        <w:rPr>
          <w:rFonts w:hint="eastAsia" w:hAnsi="宋体"/>
          <w:highlight w:val="none"/>
        </w:rPr>
        <w:t>使用磨光机时应双手操作，磨光切线不得正对</w:t>
      </w:r>
      <w:r>
        <w:rPr>
          <w:rFonts w:hint="eastAsia" w:hAnsi="宋体"/>
          <w:highlight w:val="none"/>
          <w:lang w:eastAsia="zh-CN"/>
        </w:rPr>
        <w:t>其他机械</w:t>
      </w:r>
      <w:r>
        <w:rPr>
          <w:rFonts w:hint="eastAsia" w:hAnsi="宋体"/>
          <w:highlight w:val="none"/>
        </w:rPr>
        <w:t>或人；砂轮磨损至原半径的1/3时必须进行更换。</w:t>
      </w:r>
    </w:p>
    <w:p w14:paraId="6F2B1CF8">
      <w:pPr>
        <w:spacing w:line="360" w:lineRule="auto"/>
        <w:rPr>
          <w:rFonts w:hAnsi="宋体"/>
          <w:highlight w:val="none"/>
        </w:rPr>
      </w:pPr>
      <w:r>
        <w:rPr>
          <w:rFonts w:hint="eastAsia" w:hAnsi="宋体"/>
          <w:highlight w:val="none"/>
        </w:rPr>
        <w:t>8.5.2</w:t>
      </w:r>
      <w:r>
        <w:rPr>
          <w:rFonts w:hint="eastAsia" w:hAnsi="宋体"/>
          <w:highlight w:val="none"/>
          <w:lang w:val="en-US" w:eastAsia="zh-CN"/>
        </w:rPr>
        <w:t xml:space="preserve"> </w:t>
      </w:r>
      <w:r>
        <w:rPr>
          <w:rFonts w:hint="eastAsia" w:hAnsi="宋体"/>
          <w:highlight w:val="none"/>
        </w:rPr>
        <w:t>使用手锤时严禁戴手套，锤柄、锤头上不得有油污；打锤时，甩锤方向不得有人。</w:t>
      </w:r>
    </w:p>
    <w:p w14:paraId="2D2EB349">
      <w:pPr>
        <w:spacing w:line="360" w:lineRule="auto"/>
        <w:rPr>
          <w:rFonts w:hAnsi="宋体"/>
          <w:highlight w:val="none"/>
        </w:rPr>
      </w:pPr>
      <w:r>
        <w:rPr>
          <w:rFonts w:hint="eastAsia" w:hAnsi="宋体"/>
          <w:highlight w:val="none"/>
        </w:rPr>
        <w:t>8.5.3</w:t>
      </w:r>
      <w:r>
        <w:rPr>
          <w:rFonts w:hint="eastAsia" w:hAnsi="宋体"/>
          <w:highlight w:val="none"/>
          <w:lang w:val="en-US" w:eastAsia="zh-CN"/>
        </w:rPr>
        <w:t xml:space="preserve"> </w:t>
      </w:r>
      <w:r>
        <w:rPr>
          <w:rFonts w:hint="eastAsia" w:hAnsi="宋体"/>
          <w:highlight w:val="none"/>
        </w:rPr>
        <w:t>施工中注意合理用电，注意防火，坚决杜绝火灾及触电事故的发生。</w:t>
      </w:r>
    </w:p>
    <w:p w14:paraId="5905692F">
      <w:pPr>
        <w:spacing w:line="360" w:lineRule="auto"/>
        <w:outlineLvl w:val="1"/>
        <w:rPr>
          <w:rFonts w:hAnsi="宋体"/>
          <w:highlight w:val="none"/>
        </w:rPr>
      </w:pPr>
      <w:bookmarkStart w:id="70" w:name="_Toc1976"/>
      <w:bookmarkStart w:id="71" w:name="_Toc12154"/>
      <w:r>
        <w:rPr>
          <w:rFonts w:hint="eastAsia" w:hAnsi="宋体"/>
          <w:highlight w:val="none"/>
        </w:rPr>
        <w:t>8.6</w:t>
      </w:r>
      <w:r>
        <w:rPr>
          <w:rFonts w:hint="eastAsia" w:hAnsi="宋体"/>
          <w:highlight w:val="none"/>
          <w:lang w:val="en-US" w:eastAsia="zh-CN"/>
        </w:rPr>
        <w:t xml:space="preserve"> </w:t>
      </w:r>
      <w:r>
        <w:rPr>
          <w:rFonts w:hint="eastAsia" w:hAnsi="宋体"/>
          <w:highlight w:val="none"/>
        </w:rPr>
        <w:t>文明施工措施</w:t>
      </w:r>
      <w:bookmarkEnd w:id="70"/>
      <w:bookmarkEnd w:id="71"/>
    </w:p>
    <w:p w14:paraId="145ABBB9">
      <w:pPr>
        <w:spacing w:line="360" w:lineRule="auto"/>
        <w:rPr>
          <w:rFonts w:hAnsi="宋体"/>
          <w:highlight w:val="none"/>
        </w:rPr>
      </w:pPr>
      <w:r>
        <w:rPr>
          <w:rFonts w:hint="eastAsia" w:hAnsi="宋体"/>
          <w:highlight w:val="none"/>
        </w:rPr>
        <w:t>8.6.1</w:t>
      </w:r>
      <w:r>
        <w:rPr>
          <w:rFonts w:hint="eastAsia" w:hAnsi="宋体"/>
          <w:highlight w:val="none"/>
          <w:lang w:val="en-US" w:eastAsia="zh-CN"/>
        </w:rPr>
        <w:t xml:space="preserve"> </w:t>
      </w:r>
      <w:r>
        <w:rPr>
          <w:rFonts w:hint="eastAsia" w:hAnsi="宋体"/>
          <w:highlight w:val="none"/>
        </w:rPr>
        <w:t>施工现场在醒目位置设置文明施工标牌，内容涉及施工组织机构人员的姓名及联系方式，落实单位、落实责任，施工区域设置相应安全防护围栏。</w:t>
      </w:r>
    </w:p>
    <w:p w14:paraId="43D1CE66">
      <w:pPr>
        <w:spacing w:line="360" w:lineRule="auto"/>
        <w:rPr>
          <w:rFonts w:hAnsi="宋体"/>
          <w:highlight w:val="none"/>
        </w:rPr>
      </w:pPr>
      <w:r>
        <w:rPr>
          <w:rFonts w:hint="eastAsia" w:hAnsi="宋体"/>
          <w:highlight w:val="none"/>
        </w:rPr>
        <w:t>8.</w:t>
      </w:r>
      <w:r>
        <w:rPr>
          <w:rFonts w:hAnsi="宋体"/>
          <w:highlight w:val="none"/>
        </w:rPr>
        <w:t>6</w:t>
      </w:r>
      <w:r>
        <w:rPr>
          <w:rFonts w:hint="eastAsia" w:hAnsi="宋体"/>
          <w:highlight w:val="none"/>
        </w:rPr>
        <w:t>.2</w:t>
      </w:r>
      <w:r>
        <w:rPr>
          <w:rFonts w:hint="eastAsia" w:hAnsi="宋体"/>
          <w:highlight w:val="none"/>
          <w:lang w:val="en-US" w:eastAsia="zh-CN"/>
        </w:rPr>
        <w:t xml:space="preserve"> </w:t>
      </w:r>
      <w:r>
        <w:rPr>
          <w:rFonts w:hAnsi="宋体"/>
          <w:highlight w:val="none"/>
        </w:rPr>
        <w:t>施工所用机械、设备完好、标识清楚、清洁、安全、操作规程齐全；</w:t>
      </w:r>
    </w:p>
    <w:p w14:paraId="03809E33">
      <w:pPr>
        <w:spacing w:line="360" w:lineRule="auto"/>
        <w:rPr>
          <w:rFonts w:hAnsi="宋体"/>
          <w:highlight w:val="none"/>
        </w:rPr>
      </w:pPr>
      <w:r>
        <w:rPr>
          <w:rFonts w:hint="eastAsia" w:hAnsi="宋体"/>
          <w:highlight w:val="none"/>
        </w:rPr>
        <w:t>8.</w:t>
      </w:r>
      <w:r>
        <w:rPr>
          <w:rFonts w:hAnsi="宋体"/>
          <w:highlight w:val="none"/>
        </w:rPr>
        <w:t>6</w:t>
      </w:r>
      <w:r>
        <w:rPr>
          <w:rFonts w:hint="eastAsia" w:hAnsi="宋体"/>
          <w:highlight w:val="none"/>
        </w:rPr>
        <w:t>.3</w:t>
      </w:r>
      <w:r>
        <w:rPr>
          <w:rFonts w:hint="eastAsia" w:hAnsi="宋体"/>
          <w:highlight w:val="none"/>
          <w:lang w:val="en-US" w:eastAsia="zh-CN"/>
        </w:rPr>
        <w:t xml:space="preserve"> </w:t>
      </w:r>
      <w:r>
        <w:rPr>
          <w:rFonts w:hAnsi="宋体"/>
          <w:highlight w:val="none"/>
        </w:rPr>
        <w:t>施工临建设施完整、布置得当、环境清洁；</w:t>
      </w:r>
    </w:p>
    <w:p w14:paraId="316EAC45">
      <w:pPr>
        <w:spacing w:line="360" w:lineRule="auto"/>
        <w:rPr>
          <w:rFonts w:hAnsi="宋体"/>
          <w:highlight w:val="none"/>
        </w:rPr>
      </w:pPr>
      <w:r>
        <w:rPr>
          <w:rFonts w:hint="eastAsia" w:hAnsi="宋体"/>
          <w:highlight w:val="none"/>
        </w:rPr>
        <w:t>8.</w:t>
      </w:r>
      <w:r>
        <w:rPr>
          <w:rFonts w:hAnsi="宋体"/>
          <w:highlight w:val="none"/>
        </w:rPr>
        <w:t>6</w:t>
      </w:r>
      <w:r>
        <w:rPr>
          <w:rFonts w:hint="eastAsia" w:hAnsi="宋体"/>
          <w:highlight w:val="none"/>
        </w:rPr>
        <w:t>.4</w:t>
      </w:r>
      <w:r>
        <w:rPr>
          <w:rFonts w:hint="eastAsia" w:hAnsi="宋体"/>
          <w:highlight w:val="none"/>
          <w:lang w:val="en-US" w:eastAsia="zh-CN"/>
        </w:rPr>
        <w:t xml:space="preserve"> </w:t>
      </w:r>
      <w:r>
        <w:rPr>
          <w:rFonts w:hAnsi="宋体"/>
          <w:highlight w:val="none"/>
        </w:rPr>
        <w:t>施工</w:t>
      </w:r>
      <w:r>
        <w:rPr>
          <w:rFonts w:hint="eastAsia" w:hAnsi="宋体"/>
          <w:highlight w:val="none"/>
        </w:rPr>
        <w:t>现场</w:t>
      </w:r>
      <w:r>
        <w:rPr>
          <w:rFonts w:hAnsi="宋体"/>
          <w:highlight w:val="none"/>
        </w:rPr>
        <w:t>设备材料堆放整齐、布置合理；施工人员统一</w:t>
      </w:r>
      <w:r>
        <w:rPr>
          <w:rFonts w:hint="eastAsia" w:hAnsi="宋体"/>
          <w:highlight w:val="none"/>
          <w:lang w:eastAsia="zh-CN"/>
        </w:rPr>
        <w:t>佩戴</w:t>
      </w:r>
      <w:r>
        <w:rPr>
          <w:rFonts w:hAnsi="宋体"/>
          <w:highlight w:val="none"/>
        </w:rPr>
        <w:t>安全帽；</w:t>
      </w:r>
      <w:r>
        <w:rPr>
          <w:rFonts w:hint="eastAsia" w:hAnsi="宋体"/>
          <w:highlight w:val="none"/>
        </w:rPr>
        <w:t>当天</w:t>
      </w:r>
      <w:r>
        <w:rPr>
          <w:rFonts w:hAnsi="宋体"/>
          <w:highlight w:val="none"/>
        </w:rPr>
        <w:t>施工结束时应及时清场，做到工完、料尽、场地清。</w:t>
      </w:r>
    </w:p>
    <w:p w14:paraId="296885E5">
      <w:pPr>
        <w:spacing w:line="360" w:lineRule="auto"/>
        <w:rPr>
          <w:rFonts w:hAnsi="宋体"/>
          <w:highlight w:val="none"/>
        </w:rPr>
      </w:pPr>
      <w:r>
        <w:rPr>
          <w:rFonts w:hint="eastAsia" w:hAnsi="宋体"/>
          <w:highlight w:val="none"/>
        </w:rPr>
        <w:t>8.</w:t>
      </w:r>
      <w:r>
        <w:rPr>
          <w:rFonts w:hAnsi="宋体"/>
          <w:highlight w:val="none"/>
        </w:rPr>
        <w:t>6</w:t>
      </w:r>
      <w:r>
        <w:rPr>
          <w:rFonts w:hint="eastAsia" w:hAnsi="宋体"/>
          <w:highlight w:val="none"/>
        </w:rPr>
        <w:t>.</w:t>
      </w:r>
      <w:r>
        <w:rPr>
          <w:rFonts w:hint="eastAsia" w:hAnsi="宋体"/>
          <w:highlight w:val="none"/>
          <w:lang w:val="en-US" w:eastAsia="zh-CN"/>
        </w:rPr>
        <w:t xml:space="preserve">5 </w:t>
      </w:r>
      <w:r>
        <w:rPr>
          <w:rFonts w:hAnsi="宋体"/>
          <w:highlight w:val="none"/>
        </w:rPr>
        <w:t>施工中，各类资料和技术资料应整理齐全、归档准确、查阅方便、保管妥善。</w:t>
      </w:r>
    </w:p>
    <w:p w14:paraId="1899C2E0">
      <w:pPr>
        <w:spacing w:line="360" w:lineRule="auto"/>
        <w:rPr>
          <w:rFonts w:hAnsi="宋体"/>
          <w:highlight w:val="none"/>
        </w:rPr>
      </w:pPr>
      <w:r>
        <w:rPr>
          <w:rFonts w:hint="eastAsia" w:hAnsi="宋体"/>
          <w:highlight w:val="none"/>
        </w:rPr>
        <w:t>8.</w:t>
      </w:r>
      <w:r>
        <w:rPr>
          <w:rFonts w:hAnsi="宋体"/>
          <w:highlight w:val="none"/>
        </w:rPr>
        <w:t>6</w:t>
      </w:r>
      <w:r>
        <w:rPr>
          <w:rFonts w:hint="eastAsia" w:hAnsi="宋体"/>
          <w:highlight w:val="none"/>
        </w:rPr>
        <w:t>.</w:t>
      </w:r>
      <w:r>
        <w:rPr>
          <w:rFonts w:hint="eastAsia" w:hAnsi="宋体"/>
          <w:highlight w:val="none"/>
          <w:lang w:val="en-US" w:eastAsia="zh-CN"/>
        </w:rPr>
        <w:t xml:space="preserve">6 </w:t>
      </w:r>
      <w:r>
        <w:rPr>
          <w:rFonts w:hint="eastAsia" w:hAnsi="宋体"/>
          <w:highlight w:val="none"/>
        </w:rPr>
        <w:t>施工人员进入施工现场必须正确戴好安全帽，严禁穿拖鞋、凉鞋、高跟鞋，严禁酒后进入施工现场。</w:t>
      </w:r>
    </w:p>
    <w:p w14:paraId="6BD37020">
      <w:pPr>
        <w:pStyle w:val="3"/>
        <w:bidi w:val="0"/>
        <w:rPr>
          <w:highlight w:val="none"/>
        </w:rPr>
      </w:pPr>
      <w:bookmarkStart w:id="72" w:name="_Toc18648"/>
      <w:r>
        <w:rPr>
          <w:rFonts w:hint="eastAsia"/>
          <w:highlight w:val="none"/>
        </w:rPr>
        <w:t>9</w:t>
      </w:r>
      <w:r>
        <w:rPr>
          <w:rFonts w:hint="eastAsia"/>
          <w:highlight w:val="none"/>
          <w:lang w:val="en-US" w:eastAsia="zh-CN"/>
        </w:rPr>
        <w:t xml:space="preserve"> </w:t>
      </w:r>
      <w:r>
        <w:rPr>
          <w:rFonts w:hint="eastAsia"/>
          <w:highlight w:val="none"/>
        </w:rPr>
        <w:t>其他要求</w:t>
      </w:r>
      <w:bookmarkEnd w:id="72"/>
    </w:p>
    <w:p w14:paraId="312F7765">
      <w:pPr>
        <w:spacing w:line="360" w:lineRule="auto"/>
        <w:rPr>
          <w:rFonts w:hAnsi="宋体"/>
          <w:highlight w:val="none"/>
        </w:rPr>
      </w:pPr>
      <w:r>
        <w:rPr>
          <w:rFonts w:hint="default" w:hAnsi="宋体"/>
          <w:highlight w:val="none"/>
        </w:rPr>
        <w:t>9</w:t>
      </w:r>
      <w:r>
        <w:rPr>
          <w:rFonts w:hint="eastAsia" w:hAnsi="宋体"/>
          <w:highlight w:val="none"/>
        </w:rPr>
        <w:t>.1工程竣工验收应遵守GB50300《建筑工程施工质量验收统一标准》和相关国家、行业规范的规定。</w:t>
      </w:r>
    </w:p>
    <w:p w14:paraId="6B7FBBA3">
      <w:pPr>
        <w:spacing w:line="360" w:lineRule="auto"/>
        <w:rPr>
          <w:rFonts w:hAnsi="宋体"/>
          <w:highlight w:val="none"/>
        </w:rPr>
      </w:pPr>
      <w:r>
        <w:rPr>
          <w:rFonts w:hint="default" w:hAnsi="宋体"/>
          <w:highlight w:val="none"/>
        </w:rPr>
        <w:t>9</w:t>
      </w:r>
      <w:r>
        <w:rPr>
          <w:rFonts w:hint="eastAsia" w:hAnsi="宋体"/>
          <w:highlight w:val="none"/>
        </w:rPr>
        <w:t>.2各项单位工程、分部工程完工后，投标方应按合同的约定，向招标方提交该项验收工程的竣工验收申请报告。招标方收到竣工验收申请报告后，应按合同约定的程序和时限完成验收工作。</w:t>
      </w:r>
    </w:p>
    <w:p w14:paraId="4E236EB1">
      <w:pPr>
        <w:spacing w:line="360" w:lineRule="auto"/>
        <w:rPr>
          <w:rFonts w:hAnsi="宋体"/>
          <w:highlight w:val="none"/>
        </w:rPr>
      </w:pPr>
      <w:r>
        <w:rPr>
          <w:rFonts w:hint="default" w:hAnsi="宋体"/>
          <w:highlight w:val="none"/>
        </w:rPr>
        <w:t>9</w:t>
      </w:r>
      <w:r>
        <w:rPr>
          <w:rFonts w:hint="eastAsia" w:hAnsi="宋体"/>
          <w:highlight w:val="none"/>
        </w:rPr>
        <w:t>.3各项工程竣工验收前，招标方应整编以下竣工验收资料提交招标方，其内容包括（不限于）：</w:t>
      </w:r>
    </w:p>
    <w:p w14:paraId="7B670BB0">
      <w:pPr>
        <w:spacing w:line="360" w:lineRule="auto"/>
        <w:rPr>
          <w:rFonts w:hAnsi="宋体"/>
          <w:highlight w:val="none"/>
        </w:rPr>
      </w:pPr>
      <w:r>
        <w:rPr>
          <w:rFonts w:hint="default" w:hAnsi="宋体"/>
          <w:highlight w:val="none"/>
        </w:rPr>
        <w:t>9</w:t>
      </w:r>
      <w:r>
        <w:rPr>
          <w:rFonts w:hint="eastAsia" w:hAnsi="宋体"/>
          <w:highlight w:val="none"/>
        </w:rPr>
        <w:t>.3.1验收工程的各项施工材料的试验检验成果；</w:t>
      </w:r>
    </w:p>
    <w:p w14:paraId="015E46DD">
      <w:pPr>
        <w:spacing w:line="360" w:lineRule="auto"/>
        <w:rPr>
          <w:rFonts w:hAnsi="宋体"/>
          <w:highlight w:val="none"/>
        </w:rPr>
      </w:pPr>
      <w:r>
        <w:rPr>
          <w:rFonts w:hint="default" w:hAnsi="宋体"/>
          <w:highlight w:val="none"/>
        </w:rPr>
        <w:t>9</w:t>
      </w:r>
      <w:r>
        <w:rPr>
          <w:rFonts w:hint="eastAsia" w:hAnsi="宋体"/>
          <w:highlight w:val="none"/>
        </w:rPr>
        <w:t>.3.2对验收工程及其工程设备的质量检查记录；</w:t>
      </w:r>
    </w:p>
    <w:p w14:paraId="101CA5EF">
      <w:pPr>
        <w:spacing w:line="360" w:lineRule="auto"/>
        <w:rPr>
          <w:rFonts w:hAnsi="宋体"/>
          <w:highlight w:val="none"/>
        </w:rPr>
      </w:pPr>
      <w:r>
        <w:rPr>
          <w:rFonts w:hint="default" w:hAnsi="宋体"/>
          <w:highlight w:val="none"/>
        </w:rPr>
        <w:t>9</w:t>
      </w:r>
      <w:r>
        <w:rPr>
          <w:rFonts w:hint="eastAsia" w:hAnsi="宋体"/>
          <w:highlight w:val="none"/>
        </w:rPr>
        <w:t>.4本工程工期要求为绝对工期，质保期1年，以竣工验收签字时间为准。</w:t>
      </w:r>
    </w:p>
    <w:p w14:paraId="3D5B45FD">
      <w:pPr>
        <w:spacing w:line="360" w:lineRule="auto"/>
        <w:rPr>
          <w:rFonts w:hint="eastAsia" w:hAnsi="宋体"/>
          <w:highlight w:val="none"/>
        </w:rPr>
      </w:pPr>
      <w:r>
        <w:rPr>
          <w:rFonts w:hint="default" w:hAnsi="宋体"/>
          <w:highlight w:val="none"/>
        </w:rPr>
        <w:t>9</w:t>
      </w:r>
      <w:r>
        <w:rPr>
          <w:rFonts w:hint="eastAsia" w:hAnsi="宋体"/>
          <w:highlight w:val="none"/>
        </w:rPr>
        <w:t>.5 全体施工人员必须严格遵守各项安全施工规程及规定，不得违章作业。认真贯彻执行“安全第一，预防为主”的方针。定期组织安全检查，及时发现并消除隐患。</w:t>
      </w:r>
    </w:p>
    <w:p w14:paraId="032321B5">
      <w:pPr>
        <w:spacing w:line="360" w:lineRule="auto"/>
        <w:rPr>
          <w:rFonts w:hAnsi="宋体"/>
          <w:highlight w:val="none"/>
        </w:rPr>
      </w:pPr>
      <w:r>
        <w:rPr>
          <w:rFonts w:hAnsi="宋体"/>
          <w:highlight w:val="none"/>
        </w:rPr>
        <w:t>9.6</w:t>
      </w:r>
      <w:r>
        <w:rPr>
          <w:rFonts w:hint="eastAsia" w:hAnsi="宋体"/>
          <w:highlight w:val="none"/>
        </w:rPr>
        <w:t xml:space="preserve"> 施工现场必须在醒目位置</w:t>
      </w:r>
      <w:r>
        <w:rPr>
          <w:rFonts w:hint="eastAsia" w:hAnsi="宋体"/>
          <w:highlight w:val="none"/>
          <w:lang w:eastAsia="zh-CN"/>
        </w:rPr>
        <w:t>设置</w:t>
      </w:r>
      <w:r>
        <w:rPr>
          <w:rFonts w:hint="eastAsia" w:hAnsi="宋体"/>
          <w:highlight w:val="none"/>
        </w:rPr>
        <w:t>施工标牌，施工现场和路边用安全栏杆设置相应安全保护设施。</w:t>
      </w:r>
    </w:p>
    <w:p w14:paraId="23BAA827">
      <w:pPr>
        <w:spacing w:line="360" w:lineRule="auto"/>
        <w:rPr>
          <w:rFonts w:hAnsi="宋体"/>
          <w:highlight w:val="none"/>
        </w:rPr>
      </w:pPr>
      <w:r>
        <w:rPr>
          <w:rFonts w:hAnsi="宋体"/>
          <w:highlight w:val="none"/>
        </w:rPr>
        <w:t>9.7</w:t>
      </w:r>
      <w:r>
        <w:rPr>
          <w:rFonts w:hint="eastAsia" w:hAnsi="宋体"/>
          <w:highlight w:val="none"/>
        </w:rPr>
        <w:t xml:space="preserve"> 做好现场文明施工，做到“工完、料尽、场地清”。</w:t>
      </w:r>
    </w:p>
    <w:p w14:paraId="6DCF7B41">
      <w:pPr>
        <w:spacing w:line="360" w:lineRule="auto"/>
        <w:rPr>
          <w:rFonts w:hAnsi="宋体"/>
          <w:highlight w:val="none"/>
        </w:rPr>
      </w:pPr>
      <w:r>
        <w:rPr>
          <w:rFonts w:hAnsi="宋体"/>
          <w:highlight w:val="none"/>
        </w:rPr>
        <w:t>9.8</w:t>
      </w:r>
      <w:r>
        <w:rPr>
          <w:rFonts w:hint="eastAsia" w:hAnsi="宋体"/>
          <w:highlight w:val="none"/>
        </w:rPr>
        <w:t xml:space="preserve"> 现场检修需要临时电源时，使用电源拖线盘，同时将拖线盘线头处固定牢靠，电源线应尽量靠墙贴地布放，以防他人</w:t>
      </w:r>
      <w:r>
        <w:rPr>
          <w:rFonts w:hint="eastAsia" w:hAnsi="宋体"/>
          <w:highlight w:val="none"/>
          <w:lang w:eastAsia="zh-CN"/>
        </w:rPr>
        <w:t>绊倒</w:t>
      </w:r>
      <w:r>
        <w:rPr>
          <w:rFonts w:hint="eastAsia" w:hAnsi="宋体"/>
          <w:highlight w:val="none"/>
        </w:rPr>
        <w:t>或拉脱而损坏电源线。</w:t>
      </w:r>
    </w:p>
    <w:p w14:paraId="4A297C10">
      <w:pPr>
        <w:spacing w:line="360" w:lineRule="auto"/>
        <w:rPr>
          <w:rFonts w:hAnsi="宋体"/>
          <w:highlight w:val="none"/>
        </w:rPr>
      </w:pPr>
      <w:r>
        <w:rPr>
          <w:rFonts w:hAnsi="宋体"/>
          <w:highlight w:val="none"/>
        </w:rPr>
        <w:t>9.9</w:t>
      </w:r>
      <w:r>
        <w:rPr>
          <w:rFonts w:hint="eastAsia" w:hAnsi="宋体"/>
          <w:highlight w:val="none"/>
        </w:rPr>
        <w:t xml:space="preserve"> 现场使用吊篮或排架等高空作业应严格加强互保措施，防止高空坠人或坠物伤人事故发生。</w:t>
      </w:r>
    </w:p>
    <w:p w14:paraId="54917FCC">
      <w:pPr>
        <w:spacing w:line="360" w:lineRule="auto"/>
        <w:rPr>
          <w:rFonts w:hAnsi="宋体"/>
          <w:highlight w:val="none"/>
        </w:rPr>
      </w:pPr>
      <w:r>
        <w:rPr>
          <w:rFonts w:hAnsi="宋体"/>
          <w:highlight w:val="none"/>
        </w:rPr>
        <w:t>9.10</w:t>
      </w:r>
      <w:r>
        <w:rPr>
          <w:rFonts w:hint="eastAsia" w:hAnsi="宋体"/>
          <w:highlight w:val="none"/>
        </w:rPr>
        <w:t xml:space="preserve"> 编制安全专项方案，并通过公司审核。</w:t>
      </w:r>
    </w:p>
    <w:p w14:paraId="4AAE7410">
      <w:pPr>
        <w:pStyle w:val="3"/>
        <w:bidi w:val="0"/>
        <w:rPr>
          <w:highlight w:val="none"/>
        </w:rPr>
      </w:pPr>
      <w:bookmarkStart w:id="73" w:name="_Toc9234"/>
      <w:r>
        <w:rPr>
          <w:rFonts w:hint="default"/>
          <w:highlight w:val="none"/>
        </w:rPr>
        <w:t>10</w:t>
      </w:r>
      <w:r>
        <w:rPr>
          <w:rFonts w:hint="eastAsia"/>
          <w:highlight w:val="none"/>
          <w:lang w:val="en-US" w:eastAsia="zh-CN"/>
        </w:rPr>
        <w:t xml:space="preserve"> </w:t>
      </w:r>
      <w:r>
        <w:rPr>
          <w:rFonts w:hint="eastAsia"/>
          <w:highlight w:val="none"/>
        </w:rPr>
        <w:t>考核</w:t>
      </w:r>
      <w:bookmarkEnd w:id="73"/>
    </w:p>
    <w:p w14:paraId="5B51977A">
      <w:pPr>
        <w:spacing w:line="360" w:lineRule="auto"/>
        <w:ind w:firstLine="480" w:firstLineChars="200"/>
        <w:rPr>
          <w:rFonts w:hAnsi="宋体"/>
          <w:highlight w:val="none"/>
        </w:rPr>
      </w:pPr>
      <w:r>
        <w:rPr>
          <w:rFonts w:hint="eastAsia" w:hAnsi="宋体"/>
          <w:highlight w:val="none"/>
        </w:rPr>
        <w:t>投标方在施工期间，违反招标方工程施工及安全管理规定的，按照招标方相关考核标准执行</w:t>
      </w:r>
      <w:bookmarkEnd w:id="17"/>
      <w:bookmarkEnd w:id="18"/>
      <w:bookmarkEnd w:id="19"/>
      <w:bookmarkEnd w:id="20"/>
      <w:r>
        <w:rPr>
          <w:rFonts w:hint="eastAsia" w:hAnsi="宋体"/>
          <w:highlight w:val="none"/>
        </w:rPr>
        <w:t>。</w:t>
      </w:r>
    </w:p>
    <w:p w14:paraId="1F178B6D">
      <w:pPr>
        <w:spacing w:line="360" w:lineRule="auto"/>
        <w:ind w:firstLine="480" w:firstLineChars="200"/>
        <w:rPr>
          <w:rFonts w:hAnsi="宋体"/>
          <w:highlight w:val="none"/>
        </w:rPr>
      </w:pPr>
      <w:r>
        <w:rPr>
          <w:rFonts w:hint="eastAsia" w:hAnsi="宋体"/>
          <w:highlight w:val="none"/>
        </w:rPr>
        <w:t>由招标方相关部门按相应职责负责维护管理、维护质量、安全文明生产工作的考核。考核按月进行，每月5日前将上月的考核结果通报承包人。（按以下最新制度考核）</w:t>
      </w:r>
    </w:p>
    <w:p w14:paraId="70DEA3A7">
      <w:pPr>
        <w:spacing w:line="360" w:lineRule="auto"/>
        <w:ind w:firstLine="480" w:firstLineChars="200"/>
        <w:rPr>
          <w:rFonts w:hAnsi="宋体"/>
          <w:highlight w:val="none"/>
        </w:rPr>
      </w:pPr>
      <w:r>
        <w:rPr>
          <w:rFonts w:hint="eastAsia" w:hAnsi="宋体"/>
          <w:highlight w:val="none"/>
        </w:rPr>
        <w:t>（Q/XT212082）《安全生产考核标准》附件一：《伊犁新天煤化工有限责任公司安全生产月度考核标准》</w:t>
      </w:r>
    </w:p>
    <w:p w14:paraId="4E62373D">
      <w:pPr>
        <w:spacing w:line="360" w:lineRule="auto"/>
        <w:ind w:firstLine="480" w:firstLineChars="200"/>
        <w:rPr>
          <w:rFonts w:hAnsi="宋体"/>
          <w:highlight w:val="none"/>
        </w:rPr>
      </w:pPr>
      <w:r>
        <w:rPr>
          <w:rFonts w:hint="eastAsia" w:hAnsi="宋体"/>
          <w:highlight w:val="none"/>
        </w:rPr>
        <w:t>（Q/XT212082）《安全生产考核标准》附件二：《伊犁新天煤化工有限责任公司安全生产年度考核标准》</w:t>
      </w:r>
    </w:p>
    <w:p w14:paraId="37E260B1">
      <w:pPr>
        <w:spacing w:line="360" w:lineRule="auto"/>
        <w:ind w:firstLine="480" w:firstLineChars="200"/>
        <w:rPr>
          <w:rFonts w:hAnsi="宋体"/>
          <w:highlight w:val="none"/>
        </w:rPr>
      </w:pPr>
      <w:r>
        <w:rPr>
          <w:rFonts w:hint="eastAsia" w:hAnsi="宋体"/>
          <w:highlight w:val="none"/>
        </w:rPr>
        <w:t>（Q/XT212004）《反习惯性违章安全管理规定》</w:t>
      </w:r>
    </w:p>
    <w:p w14:paraId="5872A24D">
      <w:pPr>
        <w:spacing w:line="360" w:lineRule="auto"/>
        <w:ind w:firstLine="480" w:firstLineChars="200"/>
        <w:rPr>
          <w:rFonts w:hAnsi="宋体"/>
          <w:highlight w:val="none"/>
        </w:rPr>
      </w:pPr>
      <w:r>
        <w:rPr>
          <w:rFonts w:hint="eastAsia" w:hAnsi="宋体"/>
          <w:highlight w:val="none"/>
        </w:rPr>
        <w:t>（Q/XT2040011）《设备检修管理标准》</w:t>
      </w:r>
    </w:p>
    <w:p w14:paraId="209C99BE">
      <w:pPr>
        <w:spacing w:line="360" w:lineRule="auto"/>
        <w:ind w:firstLine="480" w:firstLineChars="200"/>
        <w:rPr>
          <w:rFonts w:hint="eastAsia" w:hAnsi="宋体"/>
          <w:highlight w:val="none"/>
        </w:rPr>
      </w:pPr>
      <w:r>
        <w:rPr>
          <w:rFonts w:hint="eastAsia" w:hAnsi="宋体"/>
          <w:highlight w:val="none"/>
        </w:rPr>
        <w:t>（Q/XT205051）《常年维检外包单位日常管理规定》</w:t>
      </w:r>
    </w:p>
    <w:p w14:paraId="1469B1B4">
      <w:pPr>
        <w:pStyle w:val="3"/>
        <w:bidi w:val="0"/>
        <w:rPr>
          <w:rFonts w:hint="default"/>
          <w:highlight w:val="none"/>
          <w:lang w:val="en-US" w:eastAsia="zh-CN"/>
        </w:rPr>
      </w:pPr>
      <w:bookmarkStart w:id="74" w:name="_Toc25221"/>
      <w:r>
        <w:rPr>
          <w:rFonts w:hint="eastAsia"/>
          <w:highlight w:val="none"/>
          <w:lang w:val="en-US" w:eastAsia="zh-CN"/>
        </w:rPr>
        <w:t>11 附件</w:t>
      </w:r>
      <w:bookmarkEnd w:id="74"/>
    </w:p>
    <w:p w14:paraId="1C62471F">
      <w:pPr>
        <w:spacing w:line="360" w:lineRule="auto"/>
        <w:rPr>
          <w:rFonts w:hAnsi="宋体"/>
          <w:highlight w:val="none"/>
        </w:rPr>
      </w:pPr>
    </w:p>
    <w:p w14:paraId="348863EA">
      <w:pPr>
        <w:spacing w:line="360" w:lineRule="auto"/>
        <w:rPr>
          <w:rFonts w:hAnsi="宋体"/>
          <w:highlight w:val="none"/>
        </w:rPr>
      </w:pPr>
    </w:p>
    <w:p w14:paraId="10CE4197">
      <w:pPr>
        <w:spacing w:line="360" w:lineRule="auto"/>
        <w:rPr>
          <w:rFonts w:hAnsi="宋体"/>
          <w:highlight w:val="none"/>
        </w:rPr>
      </w:pPr>
    </w:p>
    <w:p w14:paraId="7EAD4B4A">
      <w:pPr>
        <w:spacing w:line="360" w:lineRule="auto"/>
        <w:outlineLvl w:val="0"/>
        <w:rPr>
          <w:rFonts w:hAnsi="宋体"/>
          <w:b/>
          <w:bCs/>
          <w:highlight w:val="none"/>
        </w:rPr>
      </w:pPr>
      <w:bookmarkStart w:id="75" w:name="_Toc29432"/>
      <w:r>
        <w:rPr>
          <w:rFonts w:hAnsi="宋体"/>
          <w:b/>
          <w:bCs/>
          <w:highlight w:val="none"/>
        </w:rPr>
        <w:t>附件</w:t>
      </w:r>
      <w:r>
        <w:rPr>
          <w:rFonts w:hint="eastAsia" w:hAnsi="宋体"/>
          <w:b/>
          <w:bCs/>
          <w:highlight w:val="none"/>
        </w:rPr>
        <w:t>1：</w:t>
      </w:r>
      <w:bookmarkEnd w:id="75"/>
    </w:p>
    <w:tbl>
      <w:tblPr>
        <w:tblStyle w:val="38"/>
        <w:tblW w:w="8642" w:type="dxa"/>
        <w:tblInd w:w="113" w:type="dxa"/>
        <w:tblLayout w:type="autofit"/>
        <w:tblCellMar>
          <w:top w:w="0" w:type="dxa"/>
          <w:left w:w="108" w:type="dxa"/>
          <w:bottom w:w="0" w:type="dxa"/>
          <w:right w:w="108" w:type="dxa"/>
        </w:tblCellMar>
      </w:tblPr>
      <w:tblGrid>
        <w:gridCol w:w="660"/>
        <w:gridCol w:w="1480"/>
        <w:gridCol w:w="2360"/>
        <w:gridCol w:w="1600"/>
        <w:gridCol w:w="699"/>
        <w:gridCol w:w="851"/>
        <w:gridCol w:w="992"/>
      </w:tblGrid>
      <w:tr w14:paraId="590F5F1E">
        <w:tblPrEx>
          <w:tblCellMar>
            <w:top w:w="0" w:type="dxa"/>
            <w:left w:w="108" w:type="dxa"/>
            <w:bottom w:w="0" w:type="dxa"/>
            <w:right w:w="108" w:type="dxa"/>
          </w:tblCellMar>
        </w:tblPrEx>
        <w:trPr>
          <w:trHeight w:val="503" w:hRule="atLeast"/>
        </w:trPr>
        <w:tc>
          <w:tcPr>
            <w:tcW w:w="8642" w:type="dxa"/>
            <w:gridSpan w:val="7"/>
            <w:tcBorders>
              <w:top w:val="nil"/>
              <w:left w:val="nil"/>
              <w:bottom w:val="nil"/>
              <w:right w:val="nil"/>
            </w:tcBorders>
            <w:shd w:val="clear" w:color="auto" w:fill="auto"/>
            <w:noWrap/>
            <w:vAlign w:val="center"/>
          </w:tcPr>
          <w:p w14:paraId="54DDB5EE">
            <w:pPr>
              <w:widowControl/>
              <w:jc w:val="center"/>
              <w:rPr>
                <w:rFonts w:ascii="宋体" w:hAnsi="宋体" w:cs="宋体"/>
                <w:kern w:val="0"/>
                <w:highlight w:val="none"/>
              </w:rPr>
            </w:pPr>
            <w:r>
              <w:rPr>
                <w:rFonts w:hint="eastAsia" w:ascii="宋体" w:hAnsi="宋体" w:cs="宋体"/>
                <w:kern w:val="0"/>
                <w:highlight w:val="none"/>
              </w:rPr>
              <w:t>化工片区部分保温整治项目工程量预估量清单（主材由招标方提供）</w:t>
            </w:r>
          </w:p>
        </w:tc>
      </w:tr>
      <w:tr w14:paraId="65CC6DAC">
        <w:tblPrEx>
          <w:tblCellMar>
            <w:top w:w="0" w:type="dxa"/>
            <w:left w:w="108" w:type="dxa"/>
            <w:bottom w:w="0" w:type="dxa"/>
            <w:right w:w="108" w:type="dxa"/>
          </w:tblCellMar>
        </w:tblPrEx>
        <w:trPr>
          <w:trHeight w:val="503" w:hRule="atLeast"/>
        </w:trPr>
        <w:tc>
          <w:tcPr>
            <w:tcW w:w="660" w:type="dxa"/>
            <w:tcBorders>
              <w:top w:val="single" w:color="auto" w:sz="4" w:space="0"/>
              <w:left w:val="single" w:color="auto" w:sz="4" w:space="0"/>
              <w:bottom w:val="single" w:color="auto" w:sz="4" w:space="0"/>
              <w:right w:val="single" w:color="auto" w:sz="4" w:space="0"/>
            </w:tcBorders>
            <w:shd w:val="clear" w:color="auto" w:fill="auto"/>
            <w:vAlign w:val="center"/>
          </w:tcPr>
          <w:p w14:paraId="65523569">
            <w:pPr>
              <w:widowControl/>
              <w:jc w:val="center"/>
              <w:rPr>
                <w:rFonts w:ascii="黑体" w:hAnsi="黑体" w:eastAsia="黑体" w:cs="宋体"/>
                <w:kern w:val="0"/>
                <w:sz w:val="20"/>
                <w:szCs w:val="20"/>
                <w:highlight w:val="none"/>
              </w:rPr>
            </w:pPr>
            <w:r>
              <w:rPr>
                <w:rFonts w:hint="eastAsia" w:ascii="黑体" w:hAnsi="黑体" w:eastAsia="黑体" w:cs="宋体"/>
                <w:kern w:val="0"/>
                <w:sz w:val="20"/>
                <w:szCs w:val="20"/>
                <w:highlight w:val="none"/>
              </w:rPr>
              <w:t>序号</w:t>
            </w:r>
          </w:p>
        </w:tc>
        <w:tc>
          <w:tcPr>
            <w:tcW w:w="1480" w:type="dxa"/>
            <w:tcBorders>
              <w:top w:val="single" w:color="auto" w:sz="4" w:space="0"/>
              <w:left w:val="nil"/>
              <w:bottom w:val="single" w:color="auto" w:sz="4" w:space="0"/>
              <w:right w:val="single" w:color="auto" w:sz="4" w:space="0"/>
            </w:tcBorders>
            <w:shd w:val="clear" w:color="auto" w:fill="auto"/>
            <w:vAlign w:val="center"/>
          </w:tcPr>
          <w:p w14:paraId="18035FF5">
            <w:pPr>
              <w:widowControl/>
              <w:jc w:val="center"/>
              <w:rPr>
                <w:rFonts w:ascii="黑体" w:hAnsi="黑体" w:eastAsia="黑体" w:cs="宋体"/>
                <w:kern w:val="0"/>
                <w:sz w:val="20"/>
                <w:szCs w:val="20"/>
                <w:highlight w:val="none"/>
              </w:rPr>
            </w:pPr>
            <w:r>
              <w:rPr>
                <w:rFonts w:hint="eastAsia" w:ascii="黑体" w:hAnsi="黑体" w:eastAsia="黑体" w:cs="宋体"/>
                <w:kern w:val="0"/>
                <w:sz w:val="20"/>
                <w:szCs w:val="20"/>
                <w:highlight w:val="none"/>
              </w:rPr>
              <w:t>项目名称</w:t>
            </w:r>
          </w:p>
        </w:tc>
        <w:tc>
          <w:tcPr>
            <w:tcW w:w="2360" w:type="dxa"/>
            <w:tcBorders>
              <w:top w:val="single" w:color="auto" w:sz="4" w:space="0"/>
              <w:left w:val="nil"/>
              <w:bottom w:val="single" w:color="auto" w:sz="4" w:space="0"/>
              <w:right w:val="single" w:color="auto" w:sz="4" w:space="0"/>
            </w:tcBorders>
            <w:shd w:val="clear" w:color="auto" w:fill="auto"/>
            <w:vAlign w:val="center"/>
          </w:tcPr>
          <w:p w14:paraId="44191E60">
            <w:pPr>
              <w:widowControl/>
              <w:jc w:val="left"/>
              <w:rPr>
                <w:rFonts w:ascii="黑体" w:hAnsi="黑体" w:eastAsia="黑体" w:cs="宋体"/>
                <w:kern w:val="0"/>
                <w:sz w:val="20"/>
                <w:szCs w:val="20"/>
                <w:highlight w:val="none"/>
              </w:rPr>
            </w:pPr>
            <w:r>
              <w:rPr>
                <w:rFonts w:hint="eastAsia" w:ascii="黑体" w:hAnsi="黑体" w:eastAsia="黑体" w:cs="宋体"/>
                <w:kern w:val="0"/>
                <w:sz w:val="20"/>
                <w:szCs w:val="20"/>
                <w:highlight w:val="none"/>
              </w:rPr>
              <w:t>特征描述</w:t>
            </w:r>
          </w:p>
        </w:tc>
        <w:tc>
          <w:tcPr>
            <w:tcW w:w="1600" w:type="dxa"/>
            <w:tcBorders>
              <w:top w:val="single" w:color="auto" w:sz="4" w:space="0"/>
              <w:left w:val="nil"/>
              <w:bottom w:val="single" w:color="auto" w:sz="4" w:space="0"/>
              <w:right w:val="single" w:color="auto" w:sz="4" w:space="0"/>
            </w:tcBorders>
            <w:shd w:val="clear" w:color="auto" w:fill="auto"/>
            <w:vAlign w:val="center"/>
          </w:tcPr>
          <w:p w14:paraId="05041F88">
            <w:pPr>
              <w:widowControl/>
              <w:jc w:val="center"/>
              <w:rPr>
                <w:rFonts w:ascii="黑体" w:hAnsi="黑体" w:eastAsia="黑体" w:cs="宋体"/>
                <w:kern w:val="0"/>
                <w:sz w:val="20"/>
                <w:szCs w:val="20"/>
                <w:highlight w:val="none"/>
              </w:rPr>
            </w:pPr>
            <w:r>
              <w:rPr>
                <w:rFonts w:hint="eastAsia" w:ascii="黑体" w:hAnsi="黑体" w:eastAsia="黑体" w:cs="宋体"/>
                <w:kern w:val="0"/>
                <w:sz w:val="20"/>
                <w:szCs w:val="20"/>
                <w:highlight w:val="none"/>
              </w:rPr>
              <w:t>规格要求</w:t>
            </w:r>
          </w:p>
        </w:tc>
        <w:tc>
          <w:tcPr>
            <w:tcW w:w="699" w:type="dxa"/>
            <w:tcBorders>
              <w:top w:val="single" w:color="auto" w:sz="4" w:space="0"/>
              <w:left w:val="nil"/>
              <w:bottom w:val="single" w:color="auto" w:sz="4" w:space="0"/>
              <w:right w:val="single" w:color="auto" w:sz="4" w:space="0"/>
            </w:tcBorders>
            <w:shd w:val="clear" w:color="auto" w:fill="auto"/>
            <w:vAlign w:val="center"/>
          </w:tcPr>
          <w:p w14:paraId="6A139D6F">
            <w:pPr>
              <w:widowControl/>
              <w:jc w:val="center"/>
              <w:rPr>
                <w:rFonts w:ascii="黑体" w:hAnsi="黑体" w:eastAsia="黑体" w:cs="宋体"/>
                <w:kern w:val="0"/>
                <w:sz w:val="20"/>
                <w:szCs w:val="20"/>
                <w:highlight w:val="none"/>
              </w:rPr>
            </w:pPr>
            <w:r>
              <w:rPr>
                <w:rFonts w:hint="eastAsia" w:ascii="黑体" w:hAnsi="黑体" w:eastAsia="黑体" w:cs="宋体"/>
                <w:kern w:val="0"/>
                <w:sz w:val="20"/>
                <w:szCs w:val="20"/>
                <w:highlight w:val="none"/>
              </w:rPr>
              <w:t>单位</w:t>
            </w:r>
          </w:p>
        </w:tc>
        <w:tc>
          <w:tcPr>
            <w:tcW w:w="851" w:type="dxa"/>
            <w:tcBorders>
              <w:top w:val="single" w:color="auto" w:sz="4" w:space="0"/>
              <w:left w:val="nil"/>
              <w:bottom w:val="single" w:color="auto" w:sz="4" w:space="0"/>
              <w:right w:val="single" w:color="auto" w:sz="4" w:space="0"/>
            </w:tcBorders>
            <w:shd w:val="clear" w:color="auto" w:fill="auto"/>
            <w:vAlign w:val="center"/>
          </w:tcPr>
          <w:p w14:paraId="22008754">
            <w:pPr>
              <w:widowControl/>
              <w:jc w:val="center"/>
              <w:rPr>
                <w:rFonts w:ascii="黑体" w:hAnsi="黑体" w:eastAsia="黑体" w:cs="宋体"/>
                <w:kern w:val="0"/>
                <w:sz w:val="20"/>
                <w:szCs w:val="20"/>
                <w:highlight w:val="none"/>
              </w:rPr>
            </w:pPr>
            <w:r>
              <w:rPr>
                <w:rFonts w:hint="eastAsia" w:ascii="黑体" w:hAnsi="黑体" w:eastAsia="黑体" w:cs="宋体"/>
                <w:kern w:val="0"/>
                <w:sz w:val="20"/>
                <w:szCs w:val="20"/>
                <w:highlight w:val="none"/>
              </w:rPr>
              <w:t>工程模拟量</w:t>
            </w:r>
          </w:p>
        </w:tc>
        <w:tc>
          <w:tcPr>
            <w:tcW w:w="992" w:type="dxa"/>
            <w:tcBorders>
              <w:top w:val="single" w:color="auto" w:sz="4" w:space="0"/>
              <w:left w:val="nil"/>
              <w:bottom w:val="single" w:color="auto" w:sz="4" w:space="0"/>
              <w:right w:val="single" w:color="auto" w:sz="4" w:space="0"/>
            </w:tcBorders>
            <w:shd w:val="clear" w:color="auto" w:fill="auto"/>
            <w:vAlign w:val="center"/>
          </w:tcPr>
          <w:p w14:paraId="7CC878C2">
            <w:pPr>
              <w:widowControl/>
              <w:jc w:val="center"/>
              <w:rPr>
                <w:rFonts w:ascii="黑体" w:hAnsi="黑体" w:eastAsia="黑体" w:cs="宋体"/>
                <w:kern w:val="0"/>
                <w:sz w:val="20"/>
                <w:szCs w:val="20"/>
                <w:highlight w:val="none"/>
              </w:rPr>
            </w:pPr>
            <w:r>
              <w:rPr>
                <w:rFonts w:hint="eastAsia" w:ascii="黑体" w:hAnsi="黑体" w:eastAsia="黑体" w:cs="宋体"/>
                <w:kern w:val="0"/>
                <w:sz w:val="20"/>
                <w:szCs w:val="20"/>
                <w:highlight w:val="none"/>
              </w:rPr>
              <w:t>备注</w:t>
            </w:r>
          </w:p>
        </w:tc>
      </w:tr>
      <w:tr w14:paraId="0FC7FF37">
        <w:tblPrEx>
          <w:tblCellMar>
            <w:top w:w="0" w:type="dxa"/>
            <w:left w:w="108" w:type="dxa"/>
            <w:bottom w:w="0" w:type="dxa"/>
            <w:right w:w="108" w:type="dxa"/>
          </w:tblCellMar>
        </w:tblPrEx>
        <w:trPr>
          <w:trHeight w:val="503" w:hRule="atLeast"/>
        </w:trPr>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073E409E">
            <w:pPr>
              <w:widowControl/>
              <w:jc w:val="center"/>
              <w:rPr>
                <w:rFonts w:ascii="宋体" w:hAnsi="宋体" w:cs="宋体"/>
                <w:kern w:val="0"/>
                <w:highlight w:val="none"/>
              </w:rPr>
            </w:pPr>
            <w:r>
              <w:rPr>
                <w:rFonts w:hint="eastAsia" w:ascii="宋体" w:hAnsi="宋体" w:cs="宋体"/>
                <w:kern w:val="0"/>
                <w:highlight w:val="none"/>
              </w:rPr>
              <w:t>1</w:t>
            </w:r>
          </w:p>
        </w:tc>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53AEFE27">
            <w:pPr>
              <w:widowControl/>
              <w:jc w:val="center"/>
              <w:rPr>
                <w:rFonts w:ascii="宋体" w:hAnsi="宋体" w:cs="宋体"/>
                <w:kern w:val="0"/>
                <w:sz w:val="18"/>
                <w:szCs w:val="18"/>
                <w:highlight w:val="none"/>
              </w:rPr>
            </w:pPr>
            <w:r>
              <w:rPr>
                <w:rFonts w:hint="eastAsia" w:ascii="宋体" w:hAnsi="宋体" w:cs="宋体"/>
                <w:kern w:val="0"/>
                <w:sz w:val="18"/>
                <w:szCs w:val="18"/>
                <w:highlight w:val="none"/>
              </w:rPr>
              <w:t>设备及矩形管道绝热（保温拆卸、涂刷</w:t>
            </w:r>
            <w:r>
              <w:rPr>
                <w:rFonts w:hint="eastAsia" w:ascii="宋体" w:hAnsi="宋体" w:cs="宋体"/>
                <w:kern w:val="0"/>
                <w:sz w:val="18"/>
                <w:szCs w:val="18"/>
                <w:highlight w:val="none"/>
                <w:lang w:eastAsia="zh-CN"/>
              </w:rPr>
              <w:t>粘结剂</w:t>
            </w:r>
            <w:r>
              <w:rPr>
                <w:rFonts w:hint="eastAsia" w:ascii="宋体" w:hAnsi="宋体" w:cs="宋体"/>
                <w:kern w:val="0"/>
                <w:sz w:val="18"/>
                <w:szCs w:val="18"/>
                <w:highlight w:val="none"/>
              </w:rPr>
              <w:t>、恢复、修补</w:t>
            </w:r>
          </w:p>
        </w:tc>
        <w:tc>
          <w:tcPr>
            <w:tcW w:w="2360" w:type="dxa"/>
            <w:vMerge w:val="restart"/>
            <w:tcBorders>
              <w:top w:val="nil"/>
              <w:left w:val="single" w:color="auto" w:sz="4" w:space="0"/>
              <w:bottom w:val="single" w:color="auto" w:sz="4" w:space="0"/>
              <w:right w:val="single" w:color="auto" w:sz="4" w:space="0"/>
            </w:tcBorders>
            <w:shd w:val="clear" w:color="auto" w:fill="auto"/>
            <w:vAlign w:val="center"/>
          </w:tcPr>
          <w:p w14:paraId="36E3904B">
            <w:pPr>
              <w:widowControl/>
              <w:jc w:val="left"/>
              <w:rPr>
                <w:rFonts w:ascii="宋体" w:hAnsi="宋体" w:cs="宋体"/>
                <w:kern w:val="0"/>
                <w:sz w:val="18"/>
                <w:szCs w:val="18"/>
                <w:highlight w:val="none"/>
              </w:rPr>
            </w:pPr>
            <w:r>
              <w:rPr>
                <w:rFonts w:hint="eastAsia" w:ascii="宋体" w:hAnsi="宋体" w:cs="宋体"/>
                <w:kern w:val="0"/>
                <w:sz w:val="18"/>
                <w:szCs w:val="18"/>
                <w:highlight w:val="none"/>
              </w:rPr>
              <w:t>陶瓷纤维毡</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14:paraId="73FF9284">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厚度50mm以内</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6FC06714">
            <w:pPr>
              <w:widowControl/>
              <w:jc w:val="center"/>
              <w:rPr>
                <w:rFonts w:ascii="宋体" w:hAnsi="宋体" w:cs="宋体"/>
                <w:kern w:val="0"/>
                <w:sz w:val="18"/>
                <w:szCs w:val="18"/>
                <w:highlight w:val="none"/>
              </w:rPr>
            </w:pPr>
            <w:r>
              <w:rPr>
                <w:rFonts w:hint="eastAsia" w:ascii="宋体" w:hAnsi="宋体" w:cs="宋体"/>
                <w:kern w:val="0"/>
                <w:sz w:val="18"/>
                <w:szCs w:val="18"/>
                <w:highlight w:val="none"/>
              </w:rPr>
              <w:t>m³</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14:paraId="3E57799B">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500</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6E2C1371">
            <w:pPr>
              <w:widowControl/>
              <w:jc w:val="center"/>
              <w:rPr>
                <w:rFonts w:ascii="宋体" w:hAnsi="宋体" w:cs="宋体"/>
                <w:kern w:val="0"/>
                <w:sz w:val="18"/>
                <w:szCs w:val="18"/>
                <w:highlight w:val="none"/>
              </w:rPr>
            </w:pPr>
            <w:r>
              <w:rPr>
                <w:rFonts w:hint="eastAsia" w:ascii="宋体" w:hAnsi="宋体" w:cs="宋体"/>
                <w:kern w:val="0"/>
                <w:sz w:val="18"/>
                <w:szCs w:val="18"/>
                <w:highlight w:val="none"/>
              </w:rPr>
              <w:t>　</w:t>
            </w:r>
          </w:p>
        </w:tc>
      </w:tr>
      <w:tr w14:paraId="64AF4441">
        <w:tblPrEx>
          <w:tblCellMar>
            <w:top w:w="0" w:type="dxa"/>
            <w:left w:w="108" w:type="dxa"/>
            <w:bottom w:w="0" w:type="dxa"/>
            <w:right w:w="108" w:type="dxa"/>
          </w:tblCellMar>
        </w:tblPrEx>
        <w:trPr>
          <w:trHeight w:val="503" w:hRule="atLeast"/>
        </w:trPr>
        <w:tc>
          <w:tcPr>
            <w:tcW w:w="660" w:type="dxa"/>
            <w:vMerge w:val="continue"/>
            <w:tcBorders>
              <w:top w:val="nil"/>
              <w:left w:val="single" w:color="auto" w:sz="4" w:space="0"/>
              <w:bottom w:val="single" w:color="auto" w:sz="4" w:space="0"/>
              <w:right w:val="single" w:color="auto" w:sz="4" w:space="0"/>
            </w:tcBorders>
            <w:vAlign w:val="center"/>
          </w:tcPr>
          <w:p w14:paraId="1BB86844">
            <w:pPr>
              <w:widowControl/>
              <w:jc w:val="left"/>
              <w:rPr>
                <w:rFonts w:ascii="宋体" w:hAnsi="宋体" w:cs="宋体"/>
                <w:kern w:val="0"/>
                <w:highlight w:val="none"/>
              </w:rPr>
            </w:pPr>
          </w:p>
        </w:tc>
        <w:tc>
          <w:tcPr>
            <w:tcW w:w="1480" w:type="dxa"/>
            <w:vMerge w:val="continue"/>
            <w:tcBorders>
              <w:top w:val="nil"/>
              <w:left w:val="single" w:color="auto" w:sz="4" w:space="0"/>
              <w:bottom w:val="single" w:color="auto" w:sz="4" w:space="0"/>
              <w:right w:val="single" w:color="auto" w:sz="4" w:space="0"/>
            </w:tcBorders>
            <w:vAlign w:val="center"/>
          </w:tcPr>
          <w:p w14:paraId="3F662CF6">
            <w:pPr>
              <w:widowControl/>
              <w:jc w:val="left"/>
              <w:rPr>
                <w:rFonts w:ascii="宋体" w:hAnsi="宋体" w:cs="宋体"/>
                <w:kern w:val="0"/>
                <w:sz w:val="18"/>
                <w:szCs w:val="18"/>
                <w:highlight w:val="none"/>
              </w:rPr>
            </w:pPr>
          </w:p>
        </w:tc>
        <w:tc>
          <w:tcPr>
            <w:tcW w:w="2360" w:type="dxa"/>
            <w:vMerge w:val="continue"/>
            <w:tcBorders>
              <w:top w:val="nil"/>
              <w:left w:val="single" w:color="auto" w:sz="4" w:space="0"/>
              <w:bottom w:val="single" w:color="auto" w:sz="4" w:space="0"/>
              <w:right w:val="single" w:color="auto" w:sz="4" w:space="0"/>
            </w:tcBorders>
            <w:vAlign w:val="center"/>
          </w:tcPr>
          <w:p w14:paraId="378F83E5">
            <w:pPr>
              <w:widowControl/>
              <w:jc w:val="left"/>
              <w:rPr>
                <w:rFonts w:ascii="宋体" w:hAnsi="宋体" w:cs="宋体"/>
                <w:kern w:val="0"/>
                <w:sz w:val="18"/>
                <w:szCs w:val="18"/>
                <w:highlight w:val="none"/>
              </w:rPr>
            </w:pPr>
          </w:p>
        </w:tc>
        <w:tc>
          <w:tcPr>
            <w:tcW w:w="1600" w:type="dxa"/>
            <w:vMerge w:val="continue"/>
            <w:tcBorders>
              <w:top w:val="nil"/>
              <w:left w:val="single" w:color="auto" w:sz="4" w:space="0"/>
              <w:bottom w:val="single" w:color="auto" w:sz="4" w:space="0"/>
              <w:right w:val="single" w:color="auto" w:sz="4" w:space="0"/>
            </w:tcBorders>
            <w:vAlign w:val="center"/>
          </w:tcPr>
          <w:p w14:paraId="6B2BE1AD">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47064262">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6FC417F7">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7E1B1F56">
            <w:pPr>
              <w:widowControl/>
              <w:jc w:val="left"/>
              <w:rPr>
                <w:rFonts w:ascii="宋体" w:hAnsi="宋体" w:cs="宋体"/>
                <w:kern w:val="0"/>
                <w:sz w:val="18"/>
                <w:szCs w:val="18"/>
                <w:highlight w:val="none"/>
              </w:rPr>
            </w:pPr>
          </w:p>
        </w:tc>
      </w:tr>
      <w:tr w14:paraId="3F3A866B">
        <w:tblPrEx>
          <w:tblCellMar>
            <w:top w:w="0" w:type="dxa"/>
            <w:left w:w="108" w:type="dxa"/>
            <w:bottom w:w="0" w:type="dxa"/>
            <w:right w:w="108" w:type="dxa"/>
          </w:tblCellMar>
        </w:tblPrEx>
        <w:trPr>
          <w:trHeight w:val="503" w:hRule="atLeast"/>
        </w:trPr>
        <w:tc>
          <w:tcPr>
            <w:tcW w:w="660" w:type="dxa"/>
            <w:vMerge w:val="continue"/>
            <w:tcBorders>
              <w:top w:val="nil"/>
              <w:left w:val="single" w:color="auto" w:sz="4" w:space="0"/>
              <w:bottom w:val="single" w:color="auto" w:sz="4" w:space="0"/>
              <w:right w:val="single" w:color="auto" w:sz="4" w:space="0"/>
            </w:tcBorders>
            <w:vAlign w:val="center"/>
          </w:tcPr>
          <w:p w14:paraId="06E1EF36">
            <w:pPr>
              <w:widowControl/>
              <w:jc w:val="left"/>
              <w:rPr>
                <w:rFonts w:ascii="宋体" w:hAnsi="宋体" w:cs="宋体"/>
                <w:kern w:val="0"/>
                <w:highlight w:val="none"/>
              </w:rPr>
            </w:pPr>
          </w:p>
        </w:tc>
        <w:tc>
          <w:tcPr>
            <w:tcW w:w="1480" w:type="dxa"/>
            <w:vMerge w:val="continue"/>
            <w:tcBorders>
              <w:top w:val="nil"/>
              <w:left w:val="single" w:color="auto" w:sz="4" w:space="0"/>
              <w:bottom w:val="single" w:color="auto" w:sz="4" w:space="0"/>
              <w:right w:val="single" w:color="auto" w:sz="4" w:space="0"/>
            </w:tcBorders>
            <w:vAlign w:val="center"/>
          </w:tcPr>
          <w:p w14:paraId="5C452223">
            <w:pPr>
              <w:widowControl/>
              <w:jc w:val="left"/>
              <w:rPr>
                <w:rFonts w:ascii="宋体" w:hAnsi="宋体" w:cs="宋体"/>
                <w:kern w:val="0"/>
                <w:sz w:val="18"/>
                <w:szCs w:val="18"/>
                <w:highlight w:val="none"/>
              </w:rPr>
            </w:pPr>
          </w:p>
        </w:tc>
        <w:tc>
          <w:tcPr>
            <w:tcW w:w="2360" w:type="dxa"/>
            <w:vMerge w:val="continue"/>
            <w:tcBorders>
              <w:top w:val="nil"/>
              <w:left w:val="single" w:color="auto" w:sz="4" w:space="0"/>
              <w:bottom w:val="single" w:color="auto" w:sz="4" w:space="0"/>
              <w:right w:val="single" w:color="auto" w:sz="4" w:space="0"/>
            </w:tcBorders>
            <w:vAlign w:val="center"/>
          </w:tcPr>
          <w:p w14:paraId="283D1EC1">
            <w:pPr>
              <w:widowControl/>
              <w:jc w:val="left"/>
              <w:rPr>
                <w:rFonts w:ascii="宋体" w:hAnsi="宋体" w:cs="宋体"/>
                <w:kern w:val="0"/>
                <w:sz w:val="18"/>
                <w:szCs w:val="18"/>
                <w:highlight w:val="none"/>
              </w:rPr>
            </w:pPr>
          </w:p>
        </w:tc>
        <w:tc>
          <w:tcPr>
            <w:tcW w:w="1600" w:type="dxa"/>
            <w:vMerge w:val="continue"/>
            <w:tcBorders>
              <w:top w:val="nil"/>
              <w:left w:val="single" w:color="auto" w:sz="4" w:space="0"/>
              <w:bottom w:val="single" w:color="auto" w:sz="4" w:space="0"/>
              <w:right w:val="single" w:color="auto" w:sz="4" w:space="0"/>
            </w:tcBorders>
            <w:vAlign w:val="center"/>
          </w:tcPr>
          <w:p w14:paraId="60212877">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43D5B1CB">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37B644B9">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179428A5">
            <w:pPr>
              <w:widowControl/>
              <w:jc w:val="left"/>
              <w:rPr>
                <w:rFonts w:ascii="宋体" w:hAnsi="宋体" w:cs="宋体"/>
                <w:kern w:val="0"/>
                <w:sz w:val="18"/>
                <w:szCs w:val="18"/>
                <w:highlight w:val="none"/>
              </w:rPr>
            </w:pPr>
          </w:p>
        </w:tc>
      </w:tr>
      <w:tr w14:paraId="7393E216">
        <w:tblPrEx>
          <w:tblCellMar>
            <w:top w:w="0" w:type="dxa"/>
            <w:left w:w="108" w:type="dxa"/>
            <w:bottom w:w="0" w:type="dxa"/>
            <w:right w:w="108" w:type="dxa"/>
          </w:tblCellMar>
        </w:tblPrEx>
        <w:trPr>
          <w:trHeight w:val="503" w:hRule="atLeast"/>
        </w:trPr>
        <w:tc>
          <w:tcPr>
            <w:tcW w:w="660" w:type="dxa"/>
            <w:vMerge w:val="continue"/>
            <w:tcBorders>
              <w:top w:val="nil"/>
              <w:left w:val="single" w:color="auto" w:sz="4" w:space="0"/>
              <w:bottom w:val="single" w:color="auto" w:sz="4" w:space="0"/>
              <w:right w:val="single" w:color="auto" w:sz="4" w:space="0"/>
            </w:tcBorders>
            <w:vAlign w:val="center"/>
          </w:tcPr>
          <w:p w14:paraId="1C3B0993">
            <w:pPr>
              <w:widowControl/>
              <w:jc w:val="left"/>
              <w:rPr>
                <w:rFonts w:ascii="宋体" w:hAnsi="宋体" w:cs="宋体"/>
                <w:kern w:val="0"/>
                <w:highlight w:val="none"/>
              </w:rPr>
            </w:pPr>
          </w:p>
        </w:tc>
        <w:tc>
          <w:tcPr>
            <w:tcW w:w="1480" w:type="dxa"/>
            <w:vMerge w:val="continue"/>
            <w:tcBorders>
              <w:top w:val="nil"/>
              <w:left w:val="single" w:color="auto" w:sz="4" w:space="0"/>
              <w:bottom w:val="single" w:color="auto" w:sz="4" w:space="0"/>
              <w:right w:val="single" w:color="auto" w:sz="4" w:space="0"/>
            </w:tcBorders>
            <w:vAlign w:val="center"/>
          </w:tcPr>
          <w:p w14:paraId="11ACDF1D">
            <w:pPr>
              <w:widowControl/>
              <w:jc w:val="left"/>
              <w:rPr>
                <w:rFonts w:ascii="宋体" w:hAnsi="宋体" w:cs="宋体"/>
                <w:kern w:val="0"/>
                <w:sz w:val="18"/>
                <w:szCs w:val="18"/>
                <w:highlight w:val="none"/>
              </w:rPr>
            </w:pPr>
          </w:p>
        </w:tc>
        <w:tc>
          <w:tcPr>
            <w:tcW w:w="2360" w:type="dxa"/>
            <w:vMerge w:val="continue"/>
            <w:tcBorders>
              <w:top w:val="nil"/>
              <w:left w:val="single" w:color="auto" w:sz="4" w:space="0"/>
              <w:bottom w:val="single" w:color="auto" w:sz="4" w:space="0"/>
              <w:right w:val="single" w:color="auto" w:sz="4" w:space="0"/>
            </w:tcBorders>
            <w:vAlign w:val="center"/>
          </w:tcPr>
          <w:p w14:paraId="4F53D8F3">
            <w:pPr>
              <w:widowControl/>
              <w:jc w:val="left"/>
              <w:rPr>
                <w:rFonts w:ascii="宋体" w:hAnsi="宋体" w:cs="宋体"/>
                <w:kern w:val="0"/>
                <w:sz w:val="18"/>
                <w:szCs w:val="18"/>
                <w:highlight w:val="none"/>
              </w:rPr>
            </w:pPr>
          </w:p>
        </w:tc>
        <w:tc>
          <w:tcPr>
            <w:tcW w:w="1600" w:type="dxa"/>
            <w:vMerge w:val="continue"/>
            <w:tcBorders>
              <w:top w:val="nil"/>
              <w:left w:val="single" w:color="auto" w:sz="4" w:space="0"/>
              <w:bottom w:val="single" w:color="auto" w:sz="4" w:space="0"/>
              <w:right w:val="single" w:color="auto" w:sz="4" w:space="0"/>
            </w:tcBorders>
            <w:vAlign w:val="center"/>
          </w:tcPr>
          <w:p w14:paraId="4D69C81C">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1C7841FD">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18C244A0">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106DA488">
            <w:pPr>
              <w:widowControl/>
              <w:jc w:val="left"/>
              <w:rPr>
                <w:rFonts w:ascii="宋体" w:hAnsi="宋体" w:cs="宋体"/>
                <w:kern w:val="0"/>
                <w:sz w:val="18"/>
                <w:szCs w:val="18"/>
                <w:highlight w:val="none"/>
              </w:rPr>
            </w:pPr>
          </w:p>
        </w:tc>
      </w:tr>
      <w:tr w14:paraId="52140BEA">
        <w:tblPrEx>
          <w:tblCellMar>
            <w:top w:w="0" w:type="dxa"/>
            <w:left w:w="108" w:type="dxa"/>
            <w:bottom w:w="0" w:type="dxa"/>
            <w:right w:w="108" w:type="dxa"/>
          </w:tblCellMar>
        </w:tblPrEx>
        <w:trPr>
          <w:trHeight w:val="2310" w:hRule="atLeast"/>
        </w:trPr>
        <w:tc>
          <w:tcPr>
            <w:tcW w:w="660" w:type="dxa"/>
            <w:tcBorders>
              <w:top w:val="nil"/>
              <w:left w:val="single" w:color="auto" w:sz="4" w:space="0"/>
              <w:bottom w:val="single" w:color="auto" w:sz="4" w:space="0"/>
              <w:right w:val="single" w:color="auto" w:sz="4" w:space="0"/>
            </w:tcBorders>
            <w:shd w:val="clear" w:color="auto" w:fill="auto"/>
            <w:vAlign w:val="center"/>
          </w:tcPr>
          <w:p w14:paraId="7CDA1ACF">
            <w:pPr>
              <w:widowControl/>
              <w:jc w:val="center"/>
              <w:rPr>
                <w:rFonts w:ascii="宋体" w:hAnsi="宋体" w:cs="宋体"/>
                <w:kern w:val="0"/>
                <w:highlight w:val="none"/>
              </w:rPr>
            </w:pPr>
            <w:r>
              <w:rPr>
                <w:rFonts w:hint="eastAsia" w:ascii="宋体" w:hAnsi="宋体" w:cs="宋体"/>
                <w:kern w:val="0"/>
                <w:highlight w:val="none"/>
              </w:rPr>
              <w:t>2</w:t>
            </w:r>
          </w:p>
        </w:tc>
        <w:tc>
          <w:tcPr>
            <w:tcW w:w="1480" w:type="dxa"/>
            <w:tcBorders>
              <w:top w:val="nil"/>
              <w:left w:val="nil"/>
              <w:bottom w:val="single" w:color="auto" w:sz="4" w:space="0"/>
              <w:right w:val="single" w:color="auto" w:sz="4" w:space="0"/>
            </w:tcBorders>
            <w:shd w:val="clear" w:color="auto" w:fill="auto"/>
            <w:vAlign w:val="center"/>
          </w:tcPr>
          <w:p w14:paraId="4AB3F9FD">
            <w:pPr>
              <w:widowControl/>
              <w:jc w:val="center"/>
              <w:rPr>
                <w:rFonts w:ascii="宋体" w:hAnsi="宋体" w:cs="宋体"/>
                <w:kern w:val="0"/>
                <w:sz w:val="18"/>
                <w:szCs w:val="18"/>
                <w:highlight w:val="none"/>
              </w:rPr>
            </w:pPr>
            <w:r>
              <w:rPr>
                <w:rFonts w:hint="eastAsia" w:ascii="宋体" w:hAnsi="宋体" w:cs="宋体"/>
                <w:kern w:val="0"/>
                <w:sz w:val="18"/>
                <w:szCs w:val="18"/>
                <w:highlight w:val="none"/>
              </w:rPr>
              <w:t>管道、管件（弯头、三通等）绝热（陶瓷纤维毡）</w:t>
            </w:r>
          </w:p>
        </w:tc>
        <w:tc>
          <w:tcPr>
            <w:tcW w:w="2360" w:type="dxa"/>
            <w:tcBorders>
              <w:top w:val="nil"/>
              <w:left w:val="nil"/>
              <w:bottom w:val="nil"/>
              <w:right w:val="single" w:color="auto" w:sz="4" w:space="0"/>
            </w:tcBorders>
            <w:shd w:val="clear" w:color="auto" w:fill="auto"/>
            <w:vAlign w:val="center"/>
          </w:tcPr>
          <w:p w14:paraId="5F251BFD">
            <w:pPr>
              <w:widowControl/>
              <w:jc w:val="left"/>
              <w:rPr>
                <w:rFonts w:ascii="宋体" w:hAnsi="宋体" w:cs="宋体"/>
                <w:kern w:val="0"/>
                <w:sz w:val="18"/>
                <w:szCs w:val="18"/>
                <w:highlight w:val="none"/>
              </w:rPr>
            </w:pPr>
            <w:r>
              <w:rPr>
                <w:rFonts w:hint="eastAsia" w:ascii="宋体" w:hAnsi="宋体" w:cs="宋体"/>
                <w:kern w:val="0"/>
                <w:sz w:val="18"/>
                <w:szCs w:val="18"/>
                <w:highlight w:val="none"/>
              </w:rPr>
              <w:t>1.管道、管件（弯头、三通等）绝热保温拆卸、恢复、修补</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2.材质：陶瓷纤维毡</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3.绝热厚度：按实际需求</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4.形式</w:t>
            </w:r>
            <w:r>
              <w:rPr>
                <w:rFonts w:hint="eastAsia" w:ascii="宋体" w:hAnsi="宋体" w:cs="宋体"/>
                <w:kern w:val="0"/>
                <w:sz w:val="18"/>
                <w:szCs w:val="18"/>
                <w:highlight w:val="none"/>
                <w:lang w:eastAsia="zh-CN"/>
              </w:rPr>
              <w:t>：</w:t>
            </w:r>
            <w:r>
              <w:rPr>
                <w:rFonts w:hint="eastAsia" w:ascii="宋体" w:hAnsi="宋体" w:cs="宋体"/>
                <w:kern w:val="0"/>
                <w:sz w:val="18"/>
                <w:szCs w:val="18"/>
                <w:highlight w:val="none"/>
              </w:rPr>
              <w:t>管道DN300以内</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5.详细做法详见技术规范书</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6.保温主材及辅材由招标方提供</w:t>
            </w:r>
          </w:p>
        </w:tc>
        <w:tc>
          <w:tcPr>
            <w:tcW w:w="1600" w:type="dxa"/>
            <w:tcBorders>
              <w:top w:val="nil"/>
              <w:left w:val="nil"/>
              <w:bottom w:val="single" w:color="auto" w:sz="4" w:space="0"/>
              <w:right w:val="single" w:color="auto" w:sz="4" w:space="0"/>
            </w:tcBorders>
            <w:shd w:val="clear" w:color="auto" w:fill="auto"/>
            <w:vAlign w:val="center"/>
          </w:tcPr>
          <w:p w14:paraId="3D3FFB6A">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厚度50mm以内</w:t>
            </w:r>
          </w:p>
        </w:tc>
        <w:tc>
          <w:tcPr>
            <w:tcW w:w="699" w:type="dxa"/>
            <w:tcBorders>
              <w:top w:val="nil"/>
              <w:left w:val="nil"/>
              <w:bottom w:val="single" w:color="auto" w:sz="4" w:space="0"/>
              <w:right w:val="single" w:color="auto" w:sz="4" w:space="0"/>
            </w:tcBorders>
            <w:shd w:val="clear" w:color="auto" w:fill="auto"/>
            <w:vAlign w:val="center"/>
          </w:tcPr>
          <w:p w14:paraId="36586055">
            <w:pPr>
              <w:widowControl/>
              <w:jc w:val="center"/>
              <w:rPr>
                <w:rFonts w:ascii="宋体" w:hAnsi="宋体" w:cs="宋体"/>
                <w:kern w:val="0"/>
                <w:sz w:val="18"/>
                <w:szCs w:val="18"/>
                <w:highlight w:val="none"/>
              </w:rPr>
            </w:pPr>
            <w:r>
              <w:rPr>
                <w:rFonts w:hint="eastAsia" w:ascii="宋体" w:hAnsi="宋体" w:cs="宋体"/>
                <w:kern w:val="0"/>
                <w:sz w:val="18"/>
                <w:szCs w:val="18"/>
                <w:highlight w:val="none"/>
              </w:rPr>
              <w:t>m³</w:t>
            </w:r>
          </w:p>
        </w:tc>
        <w:tc>
          <w:tcPr>
            <w:tcW w:w="851" w:type="dxa"/>
            <w:tcBorders>
              <w:top w:val="nil"/>
              <w:left w:val="nil"/>
              <w:bottom w:val="single" w:color="auto" w:sz="4" w:space="0"/>
              <w:right w:val="single" w:color="auto" w:sz="4" w:space="0"/>
            </w:tcBorders>
            <w:shd w:val="clear" w:color="auto" w:fill="auto"/>
            <w:vAlign w:val="center"/>
          </w:tcPr>
          <w:p w14:paraId="1EAF6BA0">
            <w:pPr>
              <w:widowControl/>
              <w:jc w:val="center"/>
              <w:rPr>
                <w:rFonts w:ascii="宋体" w:hAnsi="宋体" w:cs="宋体"/>
                <w:kern w:val="0"/>
                <w:sz w:val="18"/>
                <w:szCs w:val="18"/>
                <w:highlight w:val="none"/>
              </w:rPr>
            </w:pPr>
            <w:r>
              <w:rPr>
                <w:rFonts w:hint="eastAsia" w:ascii="宋体" w:hAnsi="宋体" w:cs="宋体"/>
                <w:kern w:val="0"/>
                <w:sz w:val="18"/>
                <w:szCs w:val="18"/>
                <w:highlight w:val="none"/>
                <w:lang w:val="en-US" w:eastAsia="zh-CN"/>
              </w:rPr>
              <w:t>10</w:t>
            </w:r>
            <w:r>
              <w:rPr>
                <w:rFonts w:hint="eastAsia" w:ascii="宋体" w:hAnsi="宋体" w:cs="宋体"/>
                <w:kern w:val="0"/>
                <w:sz w:val="18"/>
                <w:szCs w:val="18"/>
                <w:highlight w:val="none"/>
              </w:rPr>
              <w:t>00</w:t>
            </w:r>
          </w:p>
        </w:tc>
        <w:tc>
          <w:tcPr>
            <w:tcW w:w="992" w:type="dxa"/>
            <w:tcBorders>
              <w:top w:val="nil"/>
              <w:left w:val="nil"/>
              <w:bottom w:val="single" w:color="auto" w:sz="4" w:space="0"/>
              <w:right w:val="single" w:color="auto" w:sz="4" w:space="0"/>
            </w:tcBorders>
            <w:shd w:val="clear" w:color="auto" w:fill="auto"/>
            <w:vAlign w:val="center"/>
          </w:tcPr>
          <w:p w14:paraId="0AC70038">
            <w:pPr>
              <w:widowControl/>
              <w:jc w:val="center"/>
              <w:rPr>
                <w:rFonts w:ascii="宋体" w:hAnsi="宋体" w:cs="宋体"/>
                <w:kern w:val="0"/>
                <w:sz w:val="18"/>
                <w:szCs w:val="18"/>
                <w:highlight w:val="none"/>
              </w:rPr>
            </w:pPr>
            <w:r>
              <w:rPr>
                <w:rFonts w:hint="eastAsia" w:ascii="宋体" w:hAnsi="宋体" w:cs="宋体"/>
                <w:kern w:val="0"/>
                <w:sz w:val="18"/>
                <w:szCs w:val="18"/>
                <w:highlight w:val="none"/>
              </w:rPr>
              <w:t>　</w:t>
            </w:r>
          </w:p>
        </w:tc>
      </w:tr>
      <w:tr w14:paraId="3F240B05">
        <w:tblPrEx>
          <w:tblCellMar>
            <w:top w:w="0" w:type="dxa"/>
            <w:left w:w="108" w:type="dxa"/>
            <w:bottom w:w="0" w:type="dxa"/>
            <w:right w:w="108" w:type="dxa"/>
          </w:tblCellMar>
        </w:tblPrEx>
        <w:trPr>
          <w:trHeight w:val="2175" w:hRule="atLeast"/>
        </w:trPr>
        <w:tc>
          <w:tcPr>
            <w:tcW w:w="660" w:type="dxa"/>
            <w:tcBorders>
              <w:top w:val="nil"/>
              <w:left w:val="single" w:color="auto" w:sz="4" w:space="0"/>
              <w:bottom w:val="single" w:color="auto" w:sz="4" w:space="0"/>
              <w:right w:val="single" w:color="auto" w:sz="4" w:space="0"/>
            </w:tcBorders>
            <w:shd w:val="clear" w:color="auto" w:fill="auto"/>
            <w:vAlign w:val="center"/>
          </w:tcPr>
          <w:p w14:paraId="689FCFB4">
            <w:pPr>
              <w:widowControl/>
              <w:jc w:val="center"/>
              <w:rPr>
                <w:rFonts w:ascii="宋体" w:hAnsi="宋体" w:cs="宋体"/>
                <w:kern w:val="0"/>
                <w:highlight w:val="none"/>
              </w:rPr>
            </w:pPr>
            <w:r>
              <w:rPr>
                <w:rFonts w:hint="eastAsia" w:ascii="宋体" w:hAnsi="宋体" w:cs="宋体"/>
                <w:kern w:val="0"/>
                <w:highlight w:val="none"/>
              </w:rPr>
              <w:t>3</w:t>
            </w:r>
          </w:p>
        </w:tc>
        <w:tc>
          <w:tcPr>
            <w:tcW w:w="1480" w:type="dxa"/>
            <w:tcBorders>
              <w:top w:val="nil"/>
              <w:left w:val="nil"/>
              <w:bottom w:val="nil"/>
              <w:right w:val="single" w:color="auto" w:sz="4" w:space="0"/>
            </w:tcBorders>
            <w:shd w:val="clear" w:color="auto" w:fill="auto"/>
            <w:vAlign w:val="center"/>
          </w:tcPr>
          <w:p w14:paraId="6978F5B1">
            <w:pPr>
              <w:widowControl/>
              <w:jc w:val="center"/>
              <w:rPr>
                <w:rFonts w:ascii="宋体" w:hAnsi="宋体" w:cs="宋体"/>
                <w:kern w:val="0"/>
                <w:sz w:val="18"/>
                <w:szCs w:val="18"/>
                <w:highlight w:val="none"/>
              </w:rPr>
            </w:pPr>
            <w:r>
              <w:rPr>
                <w:rFonts w:hint="eastAsia" w:ascii="宋体" w:hAnsi="宋体" w:cs="宋体"/>
                <w:kern w:val="0"/>
                <w:sz w:val="18"/>
                <w:szCs w:val="18"/>
                <w:highlight w:val="none"/>
              </w:rPr>
              <w:t>管道绝热</w:t>
            </w:r>
          </w:p>
        </w:tc>
        <w:tc>
          <w:tcPr>
            <w:tcW w:w="2360" w:type="dxa"/>
            <w:tcBorders>
              <w:top w:val="single" w:color="auto" w:sz="4" w:space="0"/>
              <w:left w:val="nil"/>
              <w:bottom w:val="nil"/>
              <w:right w:val="single" w:color="auto" w:sz="4" w:space="0"/>
            </w:tcBorders>
            <w:shd w:val="clear" w:color="auto" w:fill="auto"/>
            <w:vAlign w:val="center"/>
          </w:tcPr>
          <w:p w14:paraId="335C82CA">
            <w:pPr>
              <w:widowControl/>
              <w:jc w:val="left"/>
              <w:rPr>
                <w:rFonts w:ascii="宋体" w:hAnsi="宋体" w:cs="宋体"/>
                <w:kern w:val="0"/>
                <w:sz w:val="18"/>
                <w:szCs w:val="18"/>
                <w:highlight w:val="none"/>
              </w:rPr>
            </w:pPr>
            <w:r>
              <w:rPr>
                <w:rFonts w:hint="eastAsia" w:ascii="宋体" w:hAnsi="宋体" w:cs="宋体"/>
                <w:kern w:val="0"/>
                <w:sz w:val="18"/>
                <w:szCs w:val="18"/>
                <w:highlight w:val="none"/>
              </w:rPr>
              <w:t>1.管道、管件（弯头、三通等）绝热保温拆卸、恢复、修补</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2.材质：陶瓷纤维毡</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3.绝热厚度：按实际需求</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4.形式</w:t>
            </w:r>
            <w:r>
              <w:rPr>
                <w:rFonts w:hint="eastAsia" w:ascii="宋体" w:hAnsi="宋体" w:cs="宋体"/>
                <w:kern w:val="0"/>
                <w:sz w:val="18"/>
                <w:szCs w:val="18"/>
                <w:highlight w:val="none"/>
                <w:lang w:eastAsia="zh-CN"/>
              </w:rPr>
              <w:t>：</w:t>
            </w:r>
            <w:r>
              <w:rPr>
                <w:rFonts w:hint="eastAsia" w:ascii="宋体" w:hAnsi="宋体" w:cs="宋体"/>
                <w:kern w:val="0"/>
                <w:sz w:val="18"/>
                <w:szCs w:val="18"/>
                <w:highlight w:val="none"/>
              </w:rPr>
              <w:t>管道DN500以内</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5.详细做法详见技术规范书</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6.保温主材及辅材由招标方提供</w:t>
            </w:r>
          </w:p>
        </w:tc>
        <w:tc>
          <w:tcPr>
            <w:tcW w:w="1600" w:type="dxa"/>
            <w:tcBorders>
              <w:top w:val="nil"/>
              <w:left w:val="nil"/>
              <w:bottom w:val="single" w:color="auto" w:sz="4" w:space="0"/>
              <w:right w:val="single" w:color="auto" w:sz="4" w:space="0"/>
            </w:tcBorders>
            <w:shd w:val="clear" w:color="auto" w:fill="auto"/>
            <w:vAlign w:val="center"/>
          </w:tcPr>
          <w:p w14:paraId="7B4E044D">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厚度50mm以内</w:t>
            </w:r>
          </w:p>
        </w:tc>
        <w:tc>
          <w:tcPr>
            <w:tcW w:w="699" w:type="dxa"/>
            <w:tcBorders>
              <w:top w:val="nil"/>
              <w:left w:val="nil"/>
              <w:bottom w:val="single" w:color="auto" w:sz="4" w:space="0"/>
              <w:right w:val="single" w:color="auto" w:sz="4" w:space="0"/>
            </w:tcBorders>
            <w:shd w:val="clear" w:color="auto" w:fill="auto"/>
            <w:vAlign w:val="center"/>
          </w:tcPr>
          <w:p w14:paraId="7D4D5059">
            <w:pPr>
              <w:widowControl/>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m³</w:t>
            </w:r>
          </w:p>
        </w:tc>
        <w:tc>
          <w:tcPr>
            <w:tcW w:w="851" w:type="dxa"/>
            <w:tcBorders>
              <w:top w:val="nil"/>
              <w:left w:val="nil"/>
              <w:bottom w:val="single" w:color="auto" w:sz="4" w:space="0"/>
              <w:right w:val="single" w:color="auto" w:sz="4" w:space="0"/>
            </w:tcBorders>
            <w:shd w:val="clear" w:color="auto" w:fill="auto"/>
            <w:vAlign w:val="center"/>
          </w:tcPr>
          <w:p w14:paraId="04400E4B">
            <w:pPr>
              <w:widowControl/>
              <w:jc w:val="center"/>
              <w:rPr>
                <w:rFonts w:hint="eastAsia" w:ascii="宋体" w:hAnsi="宋体" w:eastAsia="宋体" w:cs="宋体"/>
                <w:kern w:val="0"/>
                <w:sz w:val="18"/>
                <w:szCs w:val="18"/>
                <w:highlight w:val="none"/>
              </w:rPr>
            </w:pPr>
            <w:r>
              <w:rPr>
                <w:rFonts w:hint="eastAsia" w:ascii="宋体" w:hAnsi="宋体" w:eastAsia="宋体" w:cs="宋体"/>
                <w:kern w:val="0"/>
                <w:sz w:val="18"/>
                <w:szCs w:val="18"/>
                <w:highlight w:val="none"/>
              </w:rPr>
              <w:t>1000</w:t>
            </w:r>
          </w:p>
        </w:tc>
        <w:tc>
          <w:tcPr>
            <w:tcW w:w="992" w:type="dxa"/>
            <w:tcBorders>
              <w:top w:val="nil"/>
              <w:left w:val="nil"/>
              <w:bottom w:val="single" w:color="auto" w:sz="4" w:space="0"/>
              <w:right w:val="single" w:color="auto" w:sz="4" w:space="0"/>
            </w:tcBorders>
            <w:shd w:val="clear" w:color="auto" w:fill="auto"/>
            <w:vAlign w:val="center"/>
          </w:tcPr>
          <w:p w14:paraId="18D800DA">
            <w:pPr>
              <w:widowControl/>
              <w:jc w:val="center"/>
              <w:rPr>
                <w:rFonts w:ascii="宋体" w:hAnsi="宋体" w:cs="宋体"/>
                <w:color w:val="000000" w:themeColor="text1"/>
                <w:kern w:val="0"/>
                <w:sz w:val="18"/>
                <w:szCs w:val="18"/>
                <w:highlight w:val="none"/>
              </w:rPr>
            </w:pPr>
            <w:r>
              <w:rPr>
                <w:rFonts w:hint="eastAsia" w:ascii="宋体" w:hAnsi="宋体" w:cs="宋体"/>
                <w:color w:val="000000" w:themeColor="text1"/>
                <w:kern w:val="0"/>
                <w:sz w:val="18"/>
                <w:szCs w:val="18"/>
                <w:highlight w:val="none"/>
              </w:rPr>
              <w:t>　</w:t>
            </w:r>
          </w:p>
        </w:tc>
      </w:tr>
      <w:tr w14:paraId="1BA7FB05">
        <w:tblPrEx>
          <w:tblCellMar>
            <w:top w:w="0" w:type="dxa"/>
            <w:left w:w="108" w:type="dxa"/>
            <w:bottom w:w="0" w:type="dxa"/>
            <w:right w:w="108" w:type="dxa"/>
          </w:tblCellMar>
        </w:tblPrEx>
        <w:trPr>
          <w:trHeight w:val="2190" w:hRule="atLeast"/>
        </w:trPr>
        <w:tc>
          <w:tcPr>
            <w:tcW w:w="660" w:type="dxa"/>
            <w:tcBorders>
              <w:top w:val="nil"/>
              <w:left w:val="single" w:color="auto" w:sz="4" w:space="0"/>
              <w:bottom w:val="single" w:color="auto" w:sz="4" w:space="0"/>
              <w:right w:val="single" w:color="auto" w:sz="4" w:space="0"/>
            </w:tcBorders>
            <w:shd w:val="clear" w:color="auto" w:fill="auto"/>
            <w:vAlign w:val="center"/>
          </w:tcPr>
          <w:p w14:paraId="70B2F177">
            <w:pPr>
              <w:widowControl/>
              <w:jc w:val="center"/>
              <w:rPr>
                <w:rFonts w:ascii="宋体" w:hAnsi="宋体" w:cs="宋体"/>
                <w:kern w:val="0"/>
                <w:highlight w:val="none"/>
              </w:rPr>
            </w:pPr>
            <w:r>
              <w:rPr>
                <w:rFonts w:hint="eastAsia" w:ascii="宋体" w:hAnsi="宋体" w:cs="宋体"/>
                <w:kern w:val="0"/>
                <w:highlight w:val="none"/>
              </w:rPr>
              <w:t>4</w:t>
            </w:r>
          </w:p>
        </w:tc>
        <w:tc>
          <w:tcPr>
            <w:tcW w:w="1480" w:type="dxa"/>
            <w:tcBorders>
              <w:top w:val="single" w:color="auto" w:sz="4" w:space="0"/>
              <w:left w:val="nil"/>
              <w:bottom w:val="nil"/>
              <w:right w:val="single" w:color="auto" w:sz="4" w:space="0"/>
            </w:tcBorders>
            <w:shd w:val="clear" w:color="auto" w:fill="auto"/>
            <w:vAlign w:val="center"/>
          </w:tcPr>
          <w:p w14:paraId="4DF70BEA">
            <w:pPr>
              <w:widowControl/>
              <w:jc w:val="center"/>
              <w:rPr>
                <w:rFonts w:ascii="宋体" w:hAnsi="宋体" w:cs="宋体"/>
                <w:kern w:val="0"/>
                <w:sz w:val="18"/>
                <w:szCs w:val="18"/>
                <w:highlight w:val="none"/>
              </w:rPr>
            </w:pPr>
            <w:r>
              <w:rPr>
                <w:rFonts w:hint="eastAsia" w:ascii="宋体" w:hAnsi="宋体" w:cs="宋体"/>
                <w:kern w:val="0"/>
                <w:sz w:val="18"/>
                <w:szCs w:val="18"/>
                <w:highlight w:val="none"/>
              </w:rPr>
              <w:t>管道绝热</w:t>
            </w:r>
          </w:p>
        </w:tc>
        <w:tc>
          <w:tcPr>
            <w:tcW w:w="2360" w:type="dxa"/>
            <w:tcBorders>
              <w:top w:val="single" w:color="auto" w:sz="4" w:space="0"/>
              <w:left w:val="nil"/>
              <w:bottom w:val="nil"/>
              <w:right w:val="single" w:color="auto" w:sz="4" w:space="0"/>
            </w:tcBorders>
            <w:shd w:val="clear" w:color="auto" w:fill="auto"/>
            <w:vAlign w:val="center"/>
          </w:tcPr>
          <w:p w14:paraId="3EE7D90C">
            <w:pPr>
              <w:widowControl/>
              <w:jc w:val="left"/>
              <w:rPr>
                <w:rFonts w:ascii="宋体" w:hAnsi="宋体" w:cs="宋体"/>
                <w:kern w:val="0"/>
                <w:sz w:val="18"/>
                <w:szCs w:val="18"/>
                <w:highlight w:val="none"/>
              </w:rPr>
            </w:pPr>
            <w:r>
              <w:rPr>
                <w:rFonts w:hint="eastAsia" w:ascii="宋体" w:hAnsi="宋体" w:cs="宋体"/>
                <w:kern w:val="0"/>
                <w:sz w:val="18"/>
                <w:szCs w:val="18"/>
                <w:highlight w:val="none"/>
              </w:rPr>
              <w:t>1.管道、管件（弯头、三通等）绝热保温拆卸、恢复、修补</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2.材质：陶瓷纤维毡</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3.绝热厚度：按实际需求</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4.形式</w:t>
            </w:r>
            <w:r>
              <w:rPr>
                <w:rFonts w:hint="eastAsia" w:ascii="宋体" w:hAnsi="宋体" w:cs="宋体"/>
                <w:kern w:val="0"/>
                <w:sz w:val="18"/>
                <w:szCs w:val="18"/>
                <w:highlight w:val="none"/>
                <w:lang w:eastAsia="zh-CN"/>
              </w:rPr>
              <w:t>：</w:t>
            </w:r>
            <w:r>
              <w:rPr>
                <w:rFonts w:hint="eastAsia" w:ascii="宋体" w:hAnsi="宋体" w:cs="宋体"/>
                <w:kern w:val="0"/>
                <w:sz w:val="18"/>
                <w:szCs w:val="18"/>
                <w:highlight w:val="none"/>
              </w:rPr>
              <w:t>管道DN700以内</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5.详细做法详见技术规范书</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6.保温主材及辅材由招标方提供</w:t>
            </w:r>
          </w:p>
        </w:tc>
        <w:tc>
          <w:tcPr>
            <w:tcW w:w="1600" w:type="dxa"/>
            <w:tcBorders>
              <w:top w:val="nil"/>
              <w:left w:val="nil"/>
              <w:bottom w:val="single" w:color="auto" w:sz="4" w:space="0"/>
              <w:right w:val="single" w:color="auto" w:sz="4" w:space="0"/>
            </w:tcBorders>
            <w:shd w:val="clear" w:color="auto" w:fill="auto"/>
            <w:vAlign w:val="center"/>
          </w:tcPr>
          <w:p w14:paraId="0DC85C75">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厚度50mm以内</w:t>
            </w:r>
          </w:p>
        </w:tc>
        <w:tc>
          <w:tcPr>
            <w:tcW w:w="699" w:type="dxa"/>
            <w:tcBorders>
              <w:top w:val="nil"/>
              <w:left w:val="nil"/>
              <w:bottom w:val="single" w:color="auto" w:sz="4" w:space="0"/>
              <w:right w:val="single" w:color="auto" w:sz="4" w:space="0"/>
            </w:tcBorders>
            <w:shd w:val="clear" w:color="auto" w:fill="auto"/>
            <w:vAlign w:val="center"/>
          </w:tcPr>
          <w:p w14:paraId="6E9D4852">
            <w:pPr>
              <w:widowControl/>
              <w:jc w:val="center"/>
              <w:rPr>
                <w:rFonts w:ascii="宋体" w:hAnsi="宋体" w:cs="宋体"/>
                <w:kern w:val="0"/>
                <w:sz w:val="18"/>
                <w:szCs w:val="18"/>
                <w:highlight w:val="none"/>
              </w:rPr>
            </w:pPr>
            <w:r>
              <w:rPr>
                <w:rFonts w:hint="eastAsia" w:ascii="宋体" w:hAnsi="宋体" w:cs="宋体"/>
                <w:kern w:val="0"/>
                <w:sz w:val="18"/>
                <w:szCs w:val="18"/>
                <w:highlight w:val="none"/>
              </w:rPr>
              <w:t>m³</w:t>
            </w:r>
          </w:p>
        </w:tc>
        <w:tc>
          <w:tcPr>
            <w:tcW w:w="851" w:type="dxa"/>
            <w:tcBorders>
              <w:top w:val="nil"/>
              <w:left w:val="nil"/>
              <w:bottom w:val="single" w:color="000000" w:sz="4" w:space="0"/>
              <w:right w:val="single" w:color="000000" w:sz="4" w:space="0"/>
            </w:tcBorders>
            <w:shd w:val="clear" w:color="auto" w:fill="auto"/>
            <w:vAlign w:val="center"/>
          </w:tcPr>
          <w:p w14:paraId="22549337">
            <w:pPr>
              <w:widowControl/>
              <w:jc w:val="center"/>
              <w:rPr>
                <w:rFonts w:ascii="宋体" w:hAnsi="宋体" w:cs="宋体"/>
                <w:kern w:val="0"/>
                <w:sz w:val="18"/>
                <w:szCs w:val="18"/>
                <w:highlight w:val="none"/>
              </w:rPr>
            </w:pPr>
            <w:r>
              <w:rPr>
                <w:rFonts w:hint="eastAsia" w:ascii="宋体" w:hAnsi="宋体" w:cs="宋体"/>
                <w:kern w:val="0"/>
                <w:sz w:val="18"/>
                <w:szCs w:val="18"/>
                <w:highlight w:val="none"/>
              </w:rPr>
              <w:t xml:space="preserve">1500 </w:t>
            </w:r>
          </w:p>
        </w:tc>
        <w:tc>
          <w:tcPr>
            <w:tcW w:w="992" w:type="dxa"/>
            <w:tcBorders>
              <w:top w:val="nil"/>
              <w:left w:val="nil"/>
              <w:bottom w:val="single" w:color="auto" w:sz="4" w:space="0"/>
              <w:right w:val="single" w:color="auto" w:sz="4" w:space="0"/>
            </w:tcBorders>
            <w:shd w:val="clear" w:color="auto" w:fill="auto"/>
            <w:vAlign w:val="center"/>
          </w:tcPr>
          <w:p w14:paraId="66C1B76E">
            <w:pPr>
              <w:widowControl/>
              <w:jc w:val="center"/>
              <w:rPr>
                <w:rFonts w:ascii="宋体" w:hAnsi="宋体" w:cs="宋体"/>
                <w:kern w:val="0"/>
                <w:sz w:val="18"/>
                <w:szCs w:val="18"/>
                <w:highlight w:val="none"/>
              </w:rPr>
            </w:pPr>
            <w:r>
              <w:rPr>
                <w:rFonts w:hint="eastAsia" w:ascii="宋体" w:hAnsi="宋体" w:cs="宋体"/>
                <w:kern w:val="0"/>
                <w:sz w:val="18"/>
                <w:szCs w:val="18"/>
                <w:highlight w:val="none"/>
              </w:rPr>
              <w:t>　</w:t>
            </w:r>
          </w:p>
        </w:tc>
      </w:tr>
      <w:tr w14:paraId="24399F96">
        <w:tblPrEx>
          <w:tblCellMar>
            <w:top w:w="0" w:type="dxa"/>
            <w:left w:w="108" w:type="dxa"/>
            <w:bottom w:w="0" w:type="dxa"/>
            <w:right w:w="108" w:type="dxa"/>
          </w:tblCellMar>
        </w:tblPrEx>
        <w:trPr>
          <w:trHeight w:val="1770" w:hRule="atLeast"/>
        </w:trPr>
        <w:tc>
          <w:tcPr>
            <w:tcW w:w="660" w:type="dxa"/>
            <w:tcBorders>
              <w:top w:val="nil"/>
              <w:left w:val="single" w:color="auto" w:sz="4" w:space="0"/>
              <w:bottom w:val="single" w:color="auto" w:sz="4" w:space="0"/>
              <w:right w:val="single" w:color="auto" w:sz="4" w:space="0"/>
            </w:tcBorders>
            <w:shd w:val="clear" w:color="auto" w:fill="auto"/>
            <w:vAlign w:val="center"/>
          </w:tcPr>
          <w:p w14:paraId="7DF41BAA">
            <w:pPr>
              <w:widowControl/>
              <w:jc w:val="center"/>
              <w:rPr>
                <w:rFonts w:ascii="宋体" w:hAnsi="宋体" w:cs="宋体"/>
                <w:kern w:val="0"/>
                <w:highlight w:val="none"/>
              </w:rPr>
            </w:pPr>
            <w:r>
              <w:rPr>
                <w:rFonts w:hint="eastAsia" w:ascii="宋体" w:hAnsi="宋体" w:cs="宋体"/>
                <w:kern w:val="0"/>
                <w:highlight w:val="none"/>
              </w:rPr>
              <w:t>5</w:t>
            </w:r>
          </w:p>
        </w:tc>
        <w:tc>
          <w:tcPr>
            <w:tcW w:w="1480" w:type="dxa"/>
            <w:tcBorders>
              <w:top w:val="single" w:color="auto" w:sz="4" w:space="0"/>
              <w:left w:val="nil"/>
              <w:bottom w:val="nil"/>
              <w:right w:val="single" w:color="auto" w:sz="4" w:space="0"/>
            </w:tcBorders>
            <w:shd w:val="clear" w:color="auto" w:fill="auto"/>
            <w:vAlign w:val="center"/>
          </w:tcPr>
          <w:p w14:paraId="49A1D748">
            <w:pPr>
              <w:widowControl/>
              <w:jc w:val="center"/>
              <w:rPr>
                <w:rFonts w:ascii="宋体" w:hAnsi="宋体" w:cs="宋体"/>
                <w:kern w:val="0"/>
                <w:sz w:val="18"/>
                <w:szCs w:val="18"/>
                <w:highlight w:val="none"/>
              </w:rPr>
            </w:pPr>
            <w:r>
              <w:rPr>
                <w:rFonts w:hint="eastAsia" w:ascii="宋体" w:hAnsi="宋体" w:cs="宋体"/>
                <w:kern w:val="0"/>
                <w:sz w:val="18"/>
                <w:szCs w:val="18"/>
                <w:highlight w:val="none"/>
              </w:rPr>
              <w:t>管道绝热</w:t>
            </w:r>
          </w:p>
        </w:tc>
        <w:tc>
          <w:tcPr>
            <w:tcW w:w="2360" w:type="dxa"/>
            <w:tcBorders>
              <w:top w:val="single" w:color="auto" w:sz="4" w:space="0"/>
              <w:left w:val="nil"/>
              <w:bottom w:val="nil"/>
              <w:right w:val="single" w:color="auto" w:sz="4" w:space="0"/>
            </w:tcBorders>
            <w:shd w:val="clear" w:color="auto" w:fill="auto"/>
            <w:vAlign w:val="center"/>
          </w:tcPr>
          <w:p w14:paraId="72F1B461">
            <w:pPr>
              <w:widowControl/>
              <w:jc w:val="left"/>
              <w:rPr>
                <w:rFonts w:ascii="宋体" w:hAnsi="宋体" w:cs="宋体"/>
                <w:kern w:val="0"/>
                <w:sz w:val="18"/>
                <w:szCs w:val="18"/>
                <w:highlight w:val="none"/>
              </w:rPr>
            </w:pPr>
            <w:r>
              <w:rPr>
                <w:rFonts w:hint="eastAsia" w:ascii="宋体" w:hAnsi="宋体" w:cs="宋体"/>
                <w:kern w:val="0"/>
                <w:sz w:val="18"/>
                <w:szCs w:val="18"/>
                <w:highlight w:val="none"/>
              </w:rPr>
              <w:t>1.管道、管件（弯头、三通等）绝热保温拆卸、恢复、修补</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2.材质：陶瓷纤维毡</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3.绝热厚度：按实际需求</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4.形式</w:t>
            </w:r>
            <w:r>
              <w:rPr>
                <w:rFonts w:hint="eastAsia" w:ascii="宋体" w:hAnsi="宋体" w:cs="宋体"/>
                <w:kern w:val="0"/>
                <w:sz w:val="18"/>
                <w:szCs w:val="18"/>
                <w:highlight w:val="none"/>
                <w:lang w:eastAsia="zh-CN"/>
              </w:rPr>
              <w:t>：</w:t>
            </w:r>
            <w:r>
              <w:rPr>
                <w:rFonts w:hint="eastAsia" w:ascii="宋体" w:hAnsi="宋体" w:cs="宋体"/>
                <w:kern w:val="0"/>
                <w:sz w:val="18"/>
                <w:szCs w:val="18"/>
                <w:highlight w:val="none"/>
              </w:rPr>
              <w:t>管道DN700以上</w:t>
            </w:r>
            <w:r>
              <w:rPr>
                <w:rFonts w:hint="eastAsia" w:ascii="宋体" w:hAnsi="宋体" w:cs="宋体"/>
                <w:kern w:val="0"/>
                <w:sz w:val="18"/>
                <w:szCs w:val="18"/>
                <w:highlight w:val="none"/>
              </w:rPr>
              <w:br w:type="textWrapping"/>
            </w:r>
            <w:r>
              <w:rPr>
                <w:rFonts w:hint="eastAsia" w:ascii="宋体" w:hAnsi="宋体" w:cs="宋体"/>
                <w:kern w:val="0"/>
                <w:sz w:val="18"/>
                <w:szCs w:val="18"/>
                <w:highlight w:val="none"/>
              </w:rPr>
              <w:t>5.详细做法详见技术规范书</w:t>
            </w:r>
          </w:p>
        </w:tc>
        <w:tc>
          <w:tcPr>
            <w:tcW w:w="1600" w:type="dxa"/>
            <w:tcBorders>
              <w:top w:val="nil"/>
              <w:left w:val="nil"/>
              <w:bottom w:val="single" w:color="auto" w:sz="4" w:space="0"/>
              <w:right w:val="single" w:color="auto" w:sz="4" w:space="0"/>
            </w:tcBorders>
            <w:shd w:val="clear" w:color="auto" w:fill="auto"/>
            <w:vAlign w:val="center"/>
          </w:tcPr>
          <w:p w14:paraId="6667C63D">
            <w:pPr>
              <w:widowControl/>
              <w:jc w:val="center"/>
              <w:rPr>
                <w:rFonts w:ascii="宋体" w:hAnsi="宋体" w:cs="宋体"/>
                <w:kern w:val="0"/>
                <w:sz w:val="18"/>
                <w:szCs w:val="18"/>
                <w:highlight w:val="none"/>
              </w:rPr>
            </w:pPr>
            <w:r>
              <w:rPr>
                <w:rFonts w:hint="eastAsia" w:ascii="宋体" w:hAnsi="宋体" w:cs="宋体"/>
                <w:kern w:val="0"/>
                <w:sz w:val="18"/>
                <w:szCs w:val="18"/>
                <w:highlight w:val="none"/>
              </w:rPr>
              <w:t>厚度50mm以内</w:t>
            </w:r>
          </w:p>
        </w:tc>
        <w:tc>
          <w:tcPr>
            <w:tcW w:w="699" w:type="dxa"/>
            <w:tcBorders>
              <w:top w:val="nil"/>
              <w:left w:val="nil"/>
              <w:bottom w:val="single" w:color="auto" w:sz="4" w:space="0"/>
              <w:right w:val="single" w:color="auto" w:sz="4" w:space="0"/>
            </w:tcBorders>
            <w:shd w:val="clear" w:color="auto" w:fill="auto"/>
            <w:vAlign w:val="center"/>
          </w:tcPr>
          <w:p w14:paraId="6A4337BD">
            <w:pPr>
              <w:widowControl/>
              <w:jc w:val="center"/>
              <w:rPr>
                <w:rFonts w:ascii="宋体" w:hAnsi="宋体" w:cs="宋体"/>
                <w:kern w:val="0"/>
                <w:sz w:val="18"/>
                <w:szCs w:val="18"/>
                <w:highlight w:val="none"/>
              </w:rPr>
            </w:pPr>
            <w:r>
              <w:rPr>
                <w:rFonts w:hint="eastAsia" w:ascii="宋体" w:hAnsi="宋体" w:cs="宋体"/>
                <w:kern w:val="0"/>
                <w:sz w:val="18"/>
                <w:szCs w:val="18"/>
                <w:highlight w:val="none"/>
              </w:rPr>
              <w:t>m³</w:t>
            </w:r>
          </w:p>
        </w:tc>
        <w:tc>
          <w:tcPr>
            <w:tcW w:w="851" w:type="dxa"/>
            <w:tcBorders>
              <w:top w:val="nil"/>
              <w:left w:val="nil"/>
              <w:bottom w:val="single" w:color="000000" w:sz="4" w:space="0"/>
              <w:right w:val="single" w:color="000000" w:sz="4" w:space="0"/>
            </w:tcBorders>
            <w:shd w:val="clear" w:color="auto" w:fill="auto"/>
            <w:vAlign w:val="center"/>
          </w:tcPr>
          <w:p w14:paraId="515DA635">
            <w:pPr>
              <w:widowControl/>
              <w:jc w:val="center"/>
              <w:rPr>
                <w:rFonts w:ascii="宋体" w:hAnsi="宋体" w:cs="宋体"/>
                <w:kern w:val="0"/>
                <w:sz w:val="18"/>
                <w:szCs w:val="18"/>
                <w:highlight w:val="none"/>
              </w:rPr>
            </w:pPr>
            <w:r>
              <w:rPr>
                <w:rFonts w:hint="eastAsia" w:ascii="宋体" w:hAnsi="宋体" w:cs="宋体"/>
                <w:kern w:val="0"/>
                <w:sz w:val="18"/>
                <w:szCs w:val="18"/>
                <w:highlight w:val="none"/>
                <w:lang w:val="en-US" w:eastAsia="zh-CN"/>
              </w:rPr>
              <w:t>5</w:t>
            </w:r>
            <w:r>
              <w:rPr>
                <w:rFonts w:hint="eastAsia" w:ascii="宋体" w:hAnsi="宋体" w:cs="宋体"/>
                <w:kern w:val="0"/>
                <w:sz w:val="18"/>
                <w:szCs w:val="18"/>
                <w:highlight w:val="none"/>
              </w:rPr>
              <w:t xml:space="preserve">00 </w:t>
            </w:r>
          </w:p>
        </w:tc>
        <w:tc>
          <w:tcPr>
            <w:tcW w:w="992" w:type="dxa"/>
            <w:tcBorders>
              <w:top w:val="nil"/>
              <w:left w:val="nil"/>
              <w:bottom w:val="single" w:color="auto" w:sz="4" w:space="0"/>
              <w:right w:val="single" w:color="auto" w:sz="4" w:space="0"/>
            </w:tcBorders>
            <w:shd w:val="clear" w:color="auto" w:fill="auto"/>
            <w:vAlign w:val="center"/>
          </w:tcPr>
          <w:p w14:paraId="2E2EE049">
            <w:pPr>
              <w:widowControl/>
              <w:jc w:val="center"/>
              <w:rPr>
                <w:rFonts w:ascii="宋体" w:hAnsi="宋体" w:cs="宋体"/>
                <w:kern w:val="0"/>
                <w:sz w:val="18"/>
                <w:szCs w:val="18"/>
                <w:highlight w:val="none"/>
              </w:rPr>
            </w:pPr>
            <w:r>
              <w:rPr>
                <w:rFonts w:hint="eastAsia" w:ascii="宋体" w:hAnsi="宋体" w:cs="宋体"/>
                <w:kern w:val="0"/>
                <w:sz w:val="18"/>
                <w:szCs w:val="18"/>
                <w:highlight w:val="none"/>
              </w:rPr>
              <w:t>　</w:t>
            </w:r>
          </w:p>
        </w:tc>
      </w:tr>
      <w:tr w14:paraId="0C9307E5">
        <w:tblPrEx>
          <w:tblCellMar>
            <w:top w:w="0" w:type="dxa"/>
            <w:left w:w="108" w:type="dxa"/>
            <w:bottom w:w="0" w:type="dxa"/>
            <w:right w:w="108" w:type="dxa"/>
          </w:tblCellMar>
        </w:tblPrEx>
        <w:trPr>
          <w:trHeight w:val="503" w:hRule="atLeast"/>
        </w:trPr>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015425A7">
            <w:pPr>
              <w:widowControl/>
              <w:jc w:val="center"/>
              <w:rPr>
                <w:rFonts w:ascii="宋体" w:hAnsi="宋体" w:cs="宋体"/>
                <w:kern w:val="0"/>
                <w:highlight w:val="none"/>
              </w:rPr>
            </w:pPr>
            <w:r>
              <w:rPr>
                <w:rFonts w:hint="eastAsia" w:ascii="宋体" w:hAnsi="宋体" w:cs="宋体"/>
                <w:kern w:val="0"/>
                <w:highlight w:val="none"/>
              </w:rPr>
              <w:t>6</w:t>
            </w:r>
          </w:p>
        </w:tc>
        <w:tc>
          <w:tcPr>
            <w:tcW w:w="148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8759292">
            <w:pPr>
              <w:widowControl/>
              <w:jc w:val="center"/>
              <w:rPr>
                <w:rFonts w:ascii="宋体" w:hAnsi="宋体" w:cs="宋体"/>
                <w:kern w:val="0"/>
                <w:sz w:val="18"/>
                <w:szCs w:val="18"/>
                <w:highlight w:val="none"/>
              </w:rPr>
            </w:pPr>
            <w:r>
              <w:rPr>
                <w:rFonts w:hint="eastAsia" w:ascii="宋体" w:hAnsi="宋体" w:cs="宋体"/>
                <w:kern w:val="0"/>
                <w:sz w:val="18"/>
                <w:szCs w:val="18"/>
                <w:highlight w:val="none"/>
              </w:rPr>
              <w:t>防潮层、保护层</w:t>
            </w:r>
          </w:p>
        </w:tc>
        <w:tc>
          <w:tcPr>
            <w:tcW w:w="2360" w:type="dxa"/>
            <w:tcBorders>
              <w:top w:val="single" w:color="auto" w:sz="4" w:space="0"/>
              <w:left w:val="nil"/>
              <w:bottom w:val="single" w:color="auto" w:sz="4" w:space="0"/>
              <w:right w:val="single" w:color="auto" w:sz="4" w:space="0"/>
            </w:tcBorders>
            <w:shd w:val="clear" w:color="auto" w:fill="auto"/>
            <w:vAlign w:val="center"/>
          </w:tcPr>
          <w:p w14:paraId="278493AF">
            <w:pPr>
              <w:widowControl/>
              <w:jc w:val="left"/>
              <w:rPr>
                <w:rFonts w:ascii="宋体" w:hAnsi="宋体" w:cs="宋体"/>
                <w:kern w:val="0"/>
                <w:sz w:val="18"/>
                <w:szCs w:val="18"/>
                <w:highlight w:val="none"/>
              </w:rPr>
            </w:pPr>
            <w:r>
              <w:rPr>
                <w:rFonts w:hint="eastAsia" w:ascii="宋体" w:hAnsi="宋体" w:cs="宋体"/>
                <w:kern w:val="0"/>
                <w:sz w:val="18"/>
                <w:szCs w:val="18"/>
                <w:highlight w:val="none"/>
              </w:rPr>
              <w:t>1.材料：镀锌钢板、铝板（拆除、恢复）</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14:paraId="5CB0CC2D">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0.5mm</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2BC6639C">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14:paraId="5F2E2FA5">
            <w:pPr>
              <w:widowControl/>
              <w:jc w:val="center"/>
              <w:rPr>
                <w:rFonts w:hint="default" w:ascii="宋体" w:hAnsi="宋体" w:eastAsia="宋体" w:cs="宋体"/>
                <w:kern w:val="0"/>
                <w:sz w:val="18"/>
                <w:szCs w:val="18"/>
                <w:highlight w:val="none"/>
                <w:lang w:val="en-US" w:eastAsia="zh-CN"/>
              </w:rPr>
            </w:pPr>
            <w:r>
              <w:rPr>
                <w:rFonts w:hint="eastAsia" w:ascii="宋体" w:hAnsi="宋体" w:cs="宋体"/>
                <w:kern w:val="0"/>
                <w:sz w:val="18"/>
                <w:szCs w:val="18"/>
                <w:highlight w:val="none"/>
                <w:lang w:val="en-US" w:eastAsia="zh-CN"/>
              </w:rPr>
              <w:t>88900</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377DEE06">
            <w:pPr>
              <w:widowControl/>
              <w:jc w:val="center"/>
              <w:rPr>
                <w:rFonts w:ascii="宋体" w:hAnsi="宋体" w:cs="宋体"/>
                <w:kern w:val="0"/>
                <w:sz w:val="18"/>
                <w:szCs w:val="18"/>
                <w:highlight w:val="none"/>
              </w:rPr>
            </w:pPr>
            <w:r>
              <w:rPr>
                <w:rFonts w:hint="eastAsia" w:ascii="宋体" w:hAnsi="宋体" w:cs="宋体"/>
                <w:kern w:val="0"/>
                <w:sz w:val="18"/>
                <w:szCs w:val="18"/>
                <w:highlight w:val="none"/>
              </w:rPr>
              <w:t>　</w:t>
            </w:r>
          </w:p>
        </w:tc>
      </w:tr>
      <w:tr w14:paraId="74458E57">
        <w:tblPrEx>
          <w:tblCellMar>
            <w:top w:w="0" w:type="dxa"/>
            <w:left w:w="108" w:type="dxa"/>
            <w:bottom w:w="0" w:type="dxa"/>
            <w:right w:w="108" w:type="dxa"/>
          </w:tblCellMar>
        </w:tblPrEx>
        <w:trPr>
          <w:trHeight w:val="345" w:hRule="atLeast"/>
        </w:trPr>
        <w:tc>
          <w:tcPr>
            <w:tcW w:w="660" w:type="dxa"/>
            <w:vMerge w:val="continue"/>
            <w:tcBorders>
              <w:top w:val="nil"/>
              <w:left w:val="single" w:color="auto" w:sz="4" w:space="0"/>
              <w:bottom w:val="single" w:color="auto" w:sz="4" w:space="0"/>
              <w:right w:val="single" w:color="auto" w:sz="4" w:space="0"/>
            </w:tcBorders>
            <w:vAlign w:val="center"/>
          </w:tcPr>
          <w:p w14:paraId="01EF3CE3">
            <w:pPr>
              <w:widowControl/>
              <w:jc w:val="left"/>
              <w:rPr>
                <w:rFonts w:ascii="宋体" w:hAnsi="宋体" w:cs="宋体"/>
                <w:kern w:val="0"/>
                <w:highlight w:val="none"/>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14:paraId="1E4AFF49">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7D0FB5A4">
            <w:pPr>
              <w:widowControl/>
              <w:jc w:val="left"/>
              <w:rPr>
                <w:rFonts w:ascii="宋体" w:hAnsi="宋体" w:cs="宋体"/>
                <w:kern w:val="0"/>
                <w:sz w:val="18"/>
                <w:szCs w:val="18"/>
                <w:highlight w:val="none"/>
              </w:rPr>
            </w:pPr>
            <w:r>
              <w:rPr>
                <w:rFonts w:hint="eastAsia" w:ascii="宋体" w:hAnsi="宋体" w:cs="宋体"/>
                <w:kern w:val="0"/>
                <w:sz w:val="18"/>
                <w:szCs w:val="18"/>
                <w:highlight w:val="none"/>
              </w:rPr>
              <w:t>2.厚度：0.3mm^0.7mm</w:t>
            </w:r>
          </w:p>
        </w:tc>
        <w:tc>
          <w:tcPr>
            <w:tcW w:w="1600" w:type="dxa"/>
            <w:vMerge w:val="continue"/>
            <w:tcBorders>
              <w:top w:val="nil"/>
              <w:left w:val="single" w:color="auto" w:sz="4" w:space="0"/>
              <w:bottom w:val="single" w:color="auto" w:sz="4" w:space="0"/>
              <w:right w:val="single" w:color="auto" w:sz="4" w:space="0"/>
            </w:tcBorders>
            <w:vAlign w:val="center"/>
          </w:tcPr>
          <w:p w14:paraId="7C15FDA8">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7BF9A82A">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55FB355A">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64B291D2">
            <w:pPr>
              <w:widowControl/>
              <w:jc w:val="left"/>
              <w:rPr>
                <w:rFonts w:ascii="宋体" w:hAnsi="宋体" w:cs="宋体"/>
                <w:kern w:val="0"/>
                <w:sz w:val="18"/>
                <w:szCs w:val="18"/>
                <w:highlight w:val="none"/>
              </w:rPr>
            </w:pPr>
          </w:p>
        </w:tc>
      </w:tr>
      <w:tr w14:paraId="6361822D">
        <w:tblPrEx>
          <w:tblCellMar>
            <w:top w:w="0" w:type="dxa"/>
            <w:left w:w="108" w:type="dxa"/>
            <w:bottom w:w="0" w:type="dxa"/>
            <w:right w:w="108" w:type="dxa"/>
          </w:tblCellMar>
        </w:tblPrEx>
        <w:trPr>
          <w:trHeight w:val="330" w:hRule="atLeast"/>
        </w:trPr>
        <w:tc>
          <w:tcPr>
            <w:tcW w:w="660" w:type="dxa"/>
            <w:vMerge w:val="continue"/>
            <w:tcBorders>
              <w:top w:val="nil"/>
              <w:left w:val="single" w:color="auto" w:sz="4" w:space="0"/>
              <w:bottom w:val="single" w:color="auto" w:sz="4" w:space="0"/>
              <w:right w:val="single" w:color="auto" w:sz="4" w:space="0"/>
            </w:tcBorders>
            <w:vAlign w:val="center"/>
          </w:tcPr>
          <w:p w14:paraId="0CB32CED">
            <w:pPr>
              <w:widowControl/>
              <w:jc w:val="left"/>
              <w:rPr>
                <w:rFonts w:ascii="宋体" w:hAnsi="宋体" w:cs="宋体"/>
                <w:kern w:val="0"/>
                <w:highlight w:val="none"/>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14:paraId="237EE18A">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06639018">
            <w:pPr>
              <w:widowControl/>
              <w:jc w:val="left"/>
              <w:rPr>
                <w:rFonts w:ascii="宋体" w:hAnsi="宋体" w:cs="宋体"/>
                <w:kern w:val="0"/>
                <w:sz w:val="18"/>
                <w:szCs w:val="18"/>
                <w:highlight w:val="none"/>
              </w:rPr>
            </w:pPr>
            <w:r>
              <w:rPr>
                <w:rFonts w:hint="eastAsia" w:ascii="宋体" w:hAnsi="宋体" w:cs="宋体"/>
                <w:kern w:val="0"/>
                <w:sz w:val="18"/>
                <w:szCs w:val="18"/>
                <w:highlight w:val="none"/>
              </w:rPr>
              <w:t>3.层数：1</w:t>
            </w:r>
          </w:p>
        </w:tc>
        <w:tc>
          <w:tcPr>
            <w:tcW w:w="1600" w:type="dxa"/>
            <w:vMerge w:val="continue"/>
            <w:tcBorders>
              <w:top w:val="nil"/>
              <w:left w:val="single" w:color="auto" w:sz="4" w:space="0"/>
              <w:bottom w:val="single" w:color="auto" w:sz="4" w:space="0"/>
              <w:right w:val="single" w:color="auto" w:sz="4" w:space="0"/>
            </w:tcBorders>
            <w:vAlign w:val="center"/>
          </w:tcPr>
          <w:p w14:paraId="671D0B2B">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19AB8817">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38BD593B">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3A650D65">
            <w:pPr>
              <w:widowControl/>
              <w:jc w:val="left"/>
              <w:rPr>
                <w:rFonts w:ascii="宋体" w:hAnsi="宋体" w:cs="宋体"/>
                <w:kern w:val="0"/>
                <w:sz w:val="18"/>
                <w:szCs w:val="18"/>
                <w:highlight w:val="none"/>
              </w:rPr>
            </w:pPr>
          </w:p>
        </w:tc>
      </w:tr>
      <w:tr w14:paraId="38337C29">
        <w:tblPrEx>
          <w:tblCellMar>
            <w:top w:w="0" w:type="dxa"/>
            <w:left w:w="108" w:type="dxa"/>
            <w:bottom w:w="0" w:type="dxa"/>
            <w:right w:w="108" w:type="dxa"/>
          </w:tblCellMar>
        </w:tblPrEx>
        <w:trPr>
          <w:trHeight w:val="390" w:hRule="atLeast"/>
        </w:trPr>
        <w:tc>
          <w:tcPr>
            <w:tcW w:w="660" w:type="dxa"/>
            <w:vMerge w:val="continue"/>
            <w:tcBorders>
              <w:top w:val="nil"/>
              <w:left w:val="single" w:color="auto" w:sz="4" w:space="0"/>
              <w:bottom w:val="single" w:color="auto" w:sz="4" w:space="0"/>
              <w:right w:val="single" w:color="auto" w:sz="4" w:space="0"/>
            </w:tcBorders>
            <w:vAlign w:val="center"/>
          </w:tcPr>
          <w:p w14:paraId="5A6215E5">
            <w:pPr>
              <w:widowControl/>
              <w:jc w:val="left"/>
              <w:rPr>
                <w:rFonts w:ascii="宋体" w:hAnsi="宋体" w:cs="宋体"/>
                <w:kern w:val="0"/>
                <w:highlight w:val="none"/>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14:paraId="01B57B62">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47B3E42D">
            <w:pPr>
              <w:widowControl/>
              <w:jc w:val="left"/>
              <w:rPr>
                <w:rFonts w:ascii="宋体" w:hAnsi="宋体" w:cs="宋体"/>
                <w:kern w:val="0"/>
                <w:sz w:val="18"/>
                <w:szCs w:val="18"/>
                <w:highlight w:val="none"/>
              </w:rPr>
            </w:pPr>
            <w:r>
              <w:rPr>
                <w:rFonts w:hint="eastAsia" w:ascii="宋体" w:hAnsi="宋体" w:cs="宋体"/>
                <w:kern w:val="0"/>
                <w:sz w:val="18"/>
                <w:szCs w:val="18"/>
                <w:highlight w:val="none"/>
              </w:rPr>
              <w:t>4.对象：管道、管件综合</w:t>
            </w:r>
          </w:p>
        </w:tc>
        <w:tc>
          <w:tcPr>
            <w:tcW w:w="1600" w:type="dxa"/>
            <w:vMerge w:val="continue"/>
            <w:tcBorders>
              <w:top w:val="nil"/>
              <w:left w:val="single" w:color="auto" w:sz="4" w:space="0"/>
              <w:bottom w:val="single" w:color="auto" w:sz="4" w:space="0"/>
              <w:right w:val="single" w:color="auto" w:sz="4" w:space="0"/>
            </w:tcBorders>
            <w:vAlign w:val="center"/>
          </w:tcPr>
          <w:p w14:paraId="075D19A6">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3F50A9AE">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71682689">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3F610624">
            <w:pPr>
              <w:widowControl/>
              <w:jc w:val="left"/>
              <w:rPr>
                <w:rFonts w:ascii="宋体" w:hAnsi="宋体" w:cs="宋体"/>
                <w:kern w:val="0"/>
                <w:sz w:val="18"/>
                <w:szCs w:val="18"/>
                <w:highlight w:val="none"/>
              </w:rPr>
            </w:pPr>
          </w:p>
        </w:tc>
      </w:tr>
      <w:tr w14:paraId="78FCBCEA">
        <w:tblPrEx>
          <w:tblCellMar>
            <w:top w:w="0" w:type="dxa"/>
            <w:left w:w="108" w:type="dxa"/>
            <w:bottom w:w="0" w:type="dxa"/>
            <w:right w:w="108" w:type="dxa"/>
          </w:tblCellMar>
        </w:tblPrEx>
        <w:trPr>
          <w:trHeight w:val="375" w:hRule="atLeast"/>
        </w:trPr>
        <w:tc>
          <w:tcPr>
            <w:tcW w:w="660" w:type="dxa"/>
            <w:vMerge w:val="continue"/>
            <w:tcBorders>
              <w:top w:val="nil"/>
              <w:left w:val="single" w:color="auto" w:sz="4" w:space="0"/>
              <w:bottom w:val="single" w:color="auto" w:sz="4" w:space="0"/>
              <w:right w:val="single" w:color="auto" w:sz="4" w:space="0"/>
            </w:tcBorders>
            <w:vAlign w:val="center"/>
          </w:tcPr>
          <w:p w14:paraId="73EB47F4">
            <w:pPr>
              <w:widowControl/>
              <w:jc w:val="left"/>
              <w:rPr>
                <w:rFonts w:ascii="宋体" w:hAnsi="宋体" w:cs="宋体"/>
                <w:kern w:val="0"/>
                <w:highlight w:val="none"/>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14:paraId="5237602D">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4CBBEA40">
            <w:pPr>
              <w:widowControl/>
              <w:jc w:val="left"/>
              <w:rPr>
                <w:rFonts w:ascii="宋体" w:hAnsi="宋体" w:cs="宋体"/>
                <w:kern w:val="0"/>
                <w:sz w:val="18"/>
                <w:szCs w:val="18"/>
                <w:highlight w:val="none"/>
              </w:rPr>
            </w:pPr>
            <w:r>
              <w:rPr>
                <w:rFonts w:hint="eastAsia" w:ascii="宋体" w:hAnsi="宋体" w:cs="宋体"/>
                <w:kern w:val="0"/>
                <w:sz w:val="18"/>
                <w:szCs w:val="18"/>
                <w:highlight w:val="none"/>
              </w:rPr>
              <w:t>5.具体做法</w:t>
            </w:r>
            <w:r>
              <w:rPr>
                <w:rFonts w:hint="eastAsia" w:ascii="宋体" w:hAnsi="宋体" w:cs="宋体"/>
                <w:kern w:val="0"/>
                <w:sz w:val="18"/>
                <w:szCs w:val="18"/>
                <w:highlight w:val="none"/>
                <w:lang w:eastAsia="zh-CN"/>
              </w:rPr>
              <w:t>详见</w:t>
            </w:r>
            <w:r>
              <w:rPr>
                <w:rFonts w:hint="eastAsia" w:ascii="宋体" w:hAnsi="宋体" w:cs="宋体"/>
                <w:kern w:val="0"/>
                <w:sz w:val="18"/>
                <w:szCs w:val="18"/>
                <w:highlight w:val="none"/>
              </w:rPr>
              <w:t>技术规范书</w:t>
            </w:r>
          </w:p>
        </w:tc>
        <w:tc>
          <w:tcPr>
            <w:tcW w:w="1600" w:type="dxa"/>
            <w:vMerge w:val="continue"/>
            <w:tcBorders>
              <w:top w:val="nil"/>
              <w:left w:val="single" w:color="auto" w:sz="4" w:space="0"/>
              <w:bottom w:val="single" w:color="auto" w:sz="4" w:space="0"/>
              <w:right w:val="single" w:color="auto" w:sz="4" w:space="0"/>
            </w:tcBorders>
            <w:vAlign w:val="center"/>
          </w:tcPr>
          <w:p w14:paraId="2441E97A">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40A7249E">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5166D42A">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71F5B4D1">
            <w:pPr>
              <w:widowControl/>
              <w:jc w:val="left"/>
              <w:rPr>
                <w:rFonts w:ascii="宋体" w:hAnsi="宋体" w:cs="宋体"/>
                <w:kern w:val="0"/>
                <w:sz w:val="18"/>
                <w:szCs w:val="18"/>
                <w:highlight w:val="none"/>
              </w:rPr>
            </w:pPr>
          </w:p>
        </w:tc>
      </w:tr>
      <w:tr w14:paraId="33748DB2">
        <w:tblPrEx>
          <w:tblCellMar>
            <w:top w:w="0" w:type="dxa"/>
            <w:left w:w="108" w:type="dxa"/>
            <w:bottom w:w="0" w:type="dxa"/>
            <w:right w:w="108" w:type="dxa"/>
          </w:tblCellMar>
        </w:tblPrEx>
        <w:trPr>
          <w:trHeight w:val="503" w:hRule="atLeast"/>
        </w:trPr>
        <w:tc>
          <w:tcPr>
            <w:tcW w:w="660" w:type="dxa"/>
            <w:vMerge w:val="continue"/>
            <w:tcBorders>
              <w:top w:val="nil"/>
              <w:left w:val="single" w:color="auto" w:sz="4" w:space="0"/>
              <w:bottom w:val="single" w:color="auto" w:sz="4" w:space="0"/>
              <w:right w:val="single" w:color="auto" w:sz="4" w:space="0"/>
            </w:tcBorders>
            <w:vAlign w:val="center"/>
          </w:tcPr>
          <w:p w14:paraId="5C67D275">
            <w:pPr>
              <w:widowControl/>
              <w:jc w:val="left"/>
              <w:rPr>
                <w:rFonts w:ascii="宋体" w:hAnsi="宋体" w:cs="宋体"/>
                <w:kern w:val="0"/>
                <w:highlight w:val="none"/>
              </w:rPr>
            </w:pPr>
          </w:p>
        </w:tc>
        <w:tc>
          <w:tcPr>
            <w:tcW w:w="1480" w:type="dxa"/>
            <w:vMerge w:val="continue"/>
            <w:tcBorders>
              <w:top w:val="single" w:color="auto" w:sz="4" w:space="0"/>
              <w:left w:val="single" w:color="auto" w:sz="4" w:space="0"/>
              <w:bottom w:val="single" w:color="auto" w:sz="4" w:space="0"/>
              <w:right w:val="single" w:color="auto" w:sz="4" w:space="0"/>
            </w:tcBorders>
            <w:vAlign w:val="center"/>
          </w:tcPr>
          <w:p w14:paraId="07E7295A">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63D57265">
            <w:pPr>
              <w:widowControl/>
              <w:jc w:val="left"/>
              <w:rPr>
                <w:rFonts w:ascii="宋体" w:hAnsi="宋体" w:cs="宋体"/>
                <w:kern w:val="0"/>
                <w:sz w:val="18"/>
                <w:szCs w:val="18"/>
                <w:highlight w:val="none"/>
              </w:rPr>
            </w:pPr>
            <w:r>
              <w:rPr>
                <w:rFonts w:hint="eastAsia" w:ascii="宋体" w:hAnsi="宋体" w:cs="宋体"/>
                <w:kern w:val="0"/>
                <w:sz w:val="18"/>
                <w:szCs w:val="18"/>
                <w:highlight w:val="none"/>
              </w:rPr>
              <w:t>6.镀锌钢板、铝板主材由招标方提供</w:t>
            </w:r>
          </w:p>
        </w:tc>
        <w:tc>
          <w:tcPr>
            <w:tcW w:w="1600" w:type="dxa"/>
            <w:vMerge w:val="continue"/>
            <w:tcBorders>
              <w:top w:val="nil"/>
              <w:left w:val="single" w:color="auto" w:sz="4" w:space="0"/>
              <w:bottom w:val="single" w:color="auto" w:sz="4" w:space="0"/>
              <w:right w:val="single" w:color="auto" w:sz="4" w:space="0"/>
            </w:tcBorders>
            <w:vAlign w:val="center"/>
          </w:tcPr>
          <w:p w14:paraId="336CAE6A">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3E8DAA2B">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20734FC1">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159AA72D">
            <w:pPr>
              <w:widowControl/>
              <w:jc w:val="left"/>
              <w:rPr>
                <w:rFonts w:ascii="宋体" w:hAnsi="宋体" w:cs="宋体"/>
                <w:kern w:val="0"/>
                <w:sz w:val="18"/>
                <w:szCs w:val="18"/>
                <w:highlight w:val="none"/>
              </w:rPr>
            </w:pPr>
          </w:p>
        </w:tc>
      </w:tr>
      <w:tr w14:paraId="60494D9F">
        <w:tblPrEx>
          <w:tblCellMar>
            <w:top w:w="0" w:type="dxa"/>
            <w:left w:w="108" w:type="dxa"/>
            <w:bottom w:w="0" w:type="dxa"/>
            <w:right w:w="108" w:type="dxa"/>
          </w:tblCellMar>
        </w:tblPrEx>
        <w:trPr>
          <w:trHeight w:val="503" w:hRule="atLeast"/>
        </w:trPr>
        <w:tc>
          <w:tcPr>
            <w:tcW w:w="660" w:type="dxa"/>
            <w:vMerge w:val="restart"/>
            <w:tcBorders>
              <w:top w:val="nil"/>
              <w:left w:val="single" w:color="auto" w:sz="4" w:space="0"/>
              <w:bottom w:val="single" w:color="auto" w:sz="4" w:space="0"/>
              <w:right w:val="single" w:color="auto" w:sz="4" w:space="0"/>
            </w:tcBorders>
            <w:shd w:val="clear" w:color="auto" w:fill="auto"/>
            <w:vAlign w:val="center"/>
          </w:tcPr>
          <w:p w14:paraId="12357BF9">
            <w:pPr>
              <w:widowControl/>
              <w:jc w:val="center"/>
              <w:rPr>
                <w:rFonts w:ascii="宋体" w:hAnsi="宋体" w:cs="宋体"/>
                <w:kern w:val="0"/>
                <w:highlight w:val="none"/>
              </w:rPr>
            </w:pPr>
            <w:r>
              <w:rPr>
                <w:rFonts w:hint="eastAsia" w:ascii="宋体" w:hAnsi="宋体" w:cs="宋体"/>
                <w:kern w:val="0"/>
                <w:highlight w:val="none"/>
              </w:rPr>
              <w:t>7</w:t>
            </w:r>
          </w:p>
        </w:tc>
        <w:tc>
          <w:tcPr>
            <w:tcW w:w="1480" w:type="dxa"/>
            <w:vMerge w:val="restart"/>
            <w:tcBorders>
              <w:top w:val="nil"/>
              <w:left w:val="single" w:color="auto" w:sz="4" w:space="0"/>
              <w:bottom w:val="single" w:color="auto" w:sz="4" w:space="0"/>
              <w:right w:val="single" w:color="auto" w:sz="4" w:space="0"/>
            </w:tcBorders>
            <w:shd w:val="clear" w:color="auto" w:fill="auto"/>
            <w:vAlign w:val="center"/>
          </w:tcPr>
          <w:p w14:paraId="36AFB657">
            <w:pPr>
              <w:widowControl/>
              <w:jc w:val="center"/>
              <w:rPr>
                <w:rFonts w:ascii="宋体" w:hAnsi="宋体" w:cs="宋体"/>
                <w:kern w:val="0"/>
                <w:sz w:val="18"/>
                <w:szCs w:val="18"/>
                <w:highlight w:val="none"/>
              </w:rPr>
            </w:pPr>
            <w:r>
              <w:rPr>
                <w:rFonts w:hint="eastAsia" w:ascii="宋体" w:hAnsi="宋体" w:cs="宋体"/>
                <w:kern w:val="0"/>
                <w:sz w:val="18"/>
                <w:szCs w:val="18"/>
                <w:highlight w:val="none"/>
              </w:rPr>
              <w:t>防潮层、保护层</w:t>
            </w:r>
          </w:p>
        </w:tc>
        <w:tc>
          <w:tcPr>
            <w:tcW w:w="2360" w:type="dxa"/>
            <w:tcBorders>
              <w:top w:val="nil"/>
              <w:left w:val="nil"/>
              <w:bottom w:val="single" w:color="auto" w:sz="4" w:space="0"/>
              <w:right w:val="single" w:color="auto" w:sz="4" w:space="0"/>
            </w:tcBorders>
            <w:shd w:val="clear" w:color="auto" w:fill="auto"/>
            <w:vAlign w:val="center"/>
          </w:tcPr>
          <w:p w14:paraId="36FE1F11">
            <w:pPr>
              <w:widowControl/>
              <w:jc w:val="left"/>
              <w:rPr>
                <w:rFonts w:ascii="宋体" w:hAnsi="宋体" w:cs="宋体"/>
                <w:kern w:val="0"/>
                <w:sz w:val="18"/>
                <w:szCs w:val="18"/>
                <w:highlight w:val="none"/>
              </w:rPr>
            </w:pPr>
            <w:r>
              <w:rPr>
                <w:rFonts w:hint="eastAsia" w:ascii="宋体" w:hAnsi="宋体" w:cs="宋体"/>
                <w:kern w:val="0"/>
                <w:sz w:val="18"/>
                <w:szCs w:val="18"/>
                <w:highlight w:val="none"/>
              </w:rPr>
              <w:t>1.材料：压型板拆除、恢复</w:t>
            </w:r>
          </w:p>
        </w:tc>
        <w:tc>
          <w:tcPr>
            <w:tcW w:w="1600" w:type="dxa"/>
            <w:vMerge w:val="restart"/>
            <w:tcBorders>
              <w:top w:val="nil"/>
              <w:left w:val="single" w:color="auto" w:sz="4" w:space="0"/>
              <w:bottom w:val="single" w:color="auto" w:sz="4" w:space="0"/>
              <w:right w:val="single" w:color="auto" w:sz="4" w:space="0"/>
            </w:tcBorders>
            <w:shd w:val="clear" w:color="auto" w:fill="auto"/>
            <w:vAlign w:val="center"/>
          </w:tcPr>
          <w:p w14:paraId="0D1BDCE8">
            <w:pPr>
              <w:widowControl/>
              <w:jc w:val="center"/>
              <w:rPr>
                <w:rFonts w:ascii="宋体" w:hAnsi="宋体" w:cs="宋体"/>
                <w:kern w:val="0"/>
                <w:sz w:val="18"/>
                <w:szCs w:val="18"/>
                <w:highlight w:val="none"/>
              </w:rPr>
            </w:pPr>
            <w:r>
              <w:rPr>
                <w:rFonts w:hint="eastAsia" w:ascii="宋体" w:hAnsi="宋体" w:cs="宋体"/>
                <w:kern w:val="0"/>
                <w:sz w:val="18"/>
                <w:szCs w:val="18"/>
                <w:highlight w:val="none"/>
              </w:rPr>
              <w:t>0.5mm</w:t>
            </w:r>
          </w:p>
        </w:tc>
        <w:tc>
          <w:tcPr>
            <w:tcW w:w="699" w:type="dxa"/>
            <w:vMerge w:val="restart"/>
            <w:tcBorders>
              <w:top w:val="nil"/>
              <w:left w:val="single" w:color="auto" w:sz="4" w:space="0"/>
              <w:bottom w:val="single" w:color="auto" w:sz="4" w:space="0"/>
              <w:right w:val="single" w:color="auto" w:sz="4" w:space="0"/>
            </w:tcBorders>
            <w:shd w:val="clear" w:color="auto" w:fill="auto"/>
            <w:vAlign w:val="center"/>
          </w:tcPr>
          <w:p w14:paraId="5D3CFCA8">
            <w:pPr>
              <w:widowControl/>
              <w:jc w:val="center"/>
              <w:rPr>
                <w:rFonts w:ascii="宋体" w:hAnsi="宋体" w:cs="宋体"/>
                <w:kern w:val="0"/>
                <w:sz w:val="18"/>
                <w:szCs w:val="18"/>
                <w:highlight w:val="none"/>
              </w:rPr>
            </w:pPr>
            <w:r>
              <w:rPr>
                <w:rFonts w:hint="eastAsia" w:ascii="宋体" w:hAnsi="宋体" w:cs="宋体"/>
                <w:kern w:val="0"/>
                <w:sz w:val="18"/>
                <w:szCs w:val="18"/>
                <w:highlight w:val="none"/>
              </w:rPr>
              <w:t>㎡</w:t>
            </w:r>
          </w:p>
        </w:tc>
        <w:tc>
          <w:tcPr>
            <w:tcW w:w="851" w:type="dxa"/>
            <w:vMerge w:val="restart"/>
            <w:tcBorders>
              <w:top w:val="nil"/>
              <w:left w:val="single" w:color="auto" w:sz="4" w:space="0"/>
              <w:bottom w:val="single" w:color="auto" w:sz="4" w:space="0"/>
              <w:right w:val="single" w:color="auto" w:sz="4" w:space="0"/>
            </w:tcBorders>
            <w:shd w:val="clear" w:color="auto" w:fill="auto"/>
            <w:vAlign w:val="center"/>
          </w:tcPr>
          <w:p w14:paraId="79AD4527">
            <w:pPr>
              <w:widowControl/>
              <w:jc w:val="center"/>
              <w:rPr>
                <w:rFonts w:ascii="宋体" w:hAnsi="宋体" w:cs="宋体"/>
                <w:kern w:val="0"/>
                <w:sz w:val="18"/>
                <w:szCs w:val="18"/>
                <w:highlight w:val="none"/>
              </w:rPr>
            </w:pPr>
            <w:r>
              <w:rPr>
                <w:rFonts w:hint="eastAsia" w:ascii="宋体" w:hAnsi="宋体" w:eastAsia="宋体" w:cs="宋体"/>
                <w:kern w:val="0"/>
                <w:sz w:val="18"/>
                <w:szCs w:val="18"/>
                <w:highlight w:val="none"/>
                <w:lang w:val="en-US" w:eastAsia="zh-CN"/>
              </w:rPr>
              <w:t>30600</w:t>
            </w:r>
          </w:p>
        </w:tc>
        <w:tc>
          <w:tcPr>
            <w:tcW w:w="992" w:type="dxa"/>
            <w:vMerge w:val="restart"/>
            <w:tcBorders>
              <w:top w:val="nil"/>
              <w:left w:val="single" w:color="auto" w:sz="4" w:space="0"/>
              <w:bottom w:val="single" w:color="auto" w:sz="4" w:space="0"/>
              <w:right w:val="single" w:color="auto" w:sz="4" w:space="0"/>
            </w:tcBorders>
            <w:shd w:val="clear" w:color="auto" w:fill="auto"/>
            <w:vAlign w:val="center"/>
          </w:tcPr>
          <w:p w14:paraId="472B14A1">
            <w:pPr>
              <w:widowControl/>
              <w:jc w:val="center"/>
              <w:rPr>
                <w:rFonts w:ascii="宋体" w:hAnsi="宋体" w:cs="宋体"/>
                <w:kern w:val="0"/>
                <w:sz w:val="18"/>
                <w:szCs w:val="18"/>
                <w:highlight w:val="none"/>
              </w:rPr>
            </w:pPr>
            <w:r>
              <w:rPr>
                <w:rFonts w:hint="eastAsia" w:ascii="宋体" w:hAnsi="宋体" w:cs="宋体"/>
                <w:kern w:val="0"/>
                <w:sz w:val="18"/>
                <w:szCs w:val="18"/>
                <w:highlight w:val="none"/>
              </w:rPr>
              <w:t>　</w:t>
            </w:r>
          </w:p>
        </w:tc>
      </w:tr>
      <w:tr w14:paraId="027FE6DC">
        <w:tblPrEx>
          <w:tblCellMar>
            <w:top w:w="0" w:type="dxa"/>
            <w:left w:w="108" w:type="dxa"/>
            <w:bottom w:w="0" w:type="dxa"/>
            <w:right w:w="108" w:type="dxa"/>
          </w:tblCellMar>
        </w:tblPrEx>
        <w:trPr>
          <w:trHeight w:val="503" w:hRule="atLeast"/>
        </w:trPr>
        <w:tc>
          <w:tcPr>
            <w:tcW w:w="660" w:type="dxa"/>
            <w:vMerge w:val="continue"/>
            <w:tcBorders>
              <w:top w:val="nil"/>
              <w:left w:val="single" w:color="auto" w:sz="4" w:space="0"/>
              <w:bottom w:val="single" w:color="auto" w:sz="4" w:space="0"/>
              <w:right w:val="single" w:color="auto" w:sz="4" w:space="0"/>
            </w:tcBorders>
            <w:vAlign w:val="center"/>
          </w:tcPr>
          <w:p w14:paraId="4A7B9289">
            <w:pPr>
              <w:widowControl/>
              <w:jc w:val="left"/>
              <w:rPr>
                <w:rFonts w:ascii="宋体" w:hAnsi="宋体" w:cs="宋体"/>
                <w:kern w:val="0"/>
                <w:highlight w:val="none"/>
              </w:rPr>
            </w:pPr>
          </w:p>
        </w:tc>
        <w:tc>
          <w:tcPr>
            <w:tcW w:w="1480" w:type="dxa"/>
            <w:vMerge w:val="continue"/>
            <w:tcBorders>
              <w:top w:val="nil"/>
              <w:left w:val="single" w:color="auto" w:sz="4" w:space="0"/>
              <w:bottom w:val="single" w:color="auto" w:sz="4" w:space="0"/>
              <w:right w:val="single" w:color="auto" w:sz="4" w:space="0"/>
            </w:tcBorders>
            <w:vAlign w:val="center"/>
          </w:tcPr>
          <w:p w14:paraId="5746269B">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02C320C0">
            <w:pPr>
              <w:widowControl/>
              <w:jc w:val="left"/>
              <w:rPr>
                <w:rFonts w:ascii="宋体" w:hAnsi="宋体" w:cs="宋体"/>
                <w:kern w:val="0"/>
                <w:sz w:val="18"/>
                <w:szCs w:val="18"/>
                <w:highlight w:val="none"/>
              </w:rPr>
            </w:pPr>
            <w:r>
              <w:rPr>
                <w:rFonts w:hint="eastAsia" w:ascii="宋体" w:hAnsi="宋体" w:cs="宋体"/>
                <w:kern w:val="0"/>
                <w:sz w:val="18"/>
                <w:szCs w:val="18"/>
                <w:highlight w:val="none"/>
              </w:rPr>
              <w:t>2.厚度：0.3mm^0.75mm</w:t>
            </w:r>
          </w:p>
        </w:tc>
        <w:tc>
          <w:tcPr>
            <w:tcW w:w="1600" w:type="dxa"/>
            <w:vMerge w:val="continue"/>
            <w:tcBorders>
              <w:top w:val="nil"/>
              <w:left w:val="single" w:color="auto" w:sz="4" w:space="0"/>
              <w:bottom w:val="single" w:color="auto" w:sz="4" w:space="0"/>
              <w:right w:val="single" w:color="auto" w:sz="4" w:space="0"/>
            </w:tcBorders>
            <w:vAlign w:val="center"/>
          </w:tcPr>
          <w:p w14:paraId="2FD84CB0">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4ED2963C">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5781918C">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4AA5E49E">
            <w:pPr>
              <w:widowControl/>
              <w:jc w:val="left"/>
              <w:rPr>
                <w:rFonts w:ascii="宋体" w:hAnsi="宋体" w:cs="宋体"/>
                <w:kern w:val="0"/>
                <w:sz w:val="18"/>
                <w:szCs w:val="18"/>
                <w:highlight w:val="none"/>
              </w:rPr>
            </w:pPr>
          </w:p>
        </w:tc>
      </w:tr>
      <w:tr w14:paraId="2050ED67">
        <w:tblPrEx>
          <w:tblCellMar>
            <w:top w:w="0" w:type="dxa"/>
            <w:left w:w="108" w:type="dxa"/>
            <w:bottom w:w="0" w:type="dxa"/>
            <w:right w:w="108" w:type="dxa"/>
          </w:tblCellMar>
        </w:tblPrEx>
        <w:trPr>
          <w:trHeight w:val="503" w:hRule="atLeast"/>
        </w:trPr>
        <w:tc>
          <w:tcPr>
            <w:tcW w:w="660" w:type="dxa"/>
            <w:vMerge w:val="continue"/>
            <w:tcBorders>
              <w:top w:val="nil"/>
              <w:left w:val="single" w:color="auto" w:sz="4" w:space="0"/>
              <w:bottom w:val="single" w:color="auto" w:sz="4" w:space="0"/>
              <w:right w:val="single" w:color="auto" w:sz="4" w:space="0"/>
            </w:tcBorders>
            <w:vAlign w:val="center"/>
          </w:tcPr>
          <w:p w14:paraId="1A956C4D">
            <w:pPr>
              <w:widowControl/>
              <w:jc w:val="left"/>
              <w:rPr>
                <w:rFonts w:ascii="宋体" w:hAnsi="宋体" w:cs="宋体"/>
                <w:kern w:val="0"/>
                <w:highlight w:val="none"/>
              </w:rPr>
            </w:pPr>
          </w:p>
        </w:tc>
        <w:tc>
          <w:tcPr>
            <w:tcW w:w="1480" w:type="dxa"/>
            <w:vMerge w:val="continue"/>
            <w:tcBorders>
              <w:top w:val="nil"/>
              <w:left w:val="single" w:color="auto" w:sz="4" w:space="0"/>
              <w:bottom w:val="single" w:color="auto" w:sz="4" w:space="0"/>
              <w:right w:val="single" w:color="auto" w:sz="4" w:space="0"/>
            </w:tcBorders>
            <w:vAlign w:val="center"/>
          </w:tcPr>
          <w:p w14:paraId="0F79C6D4">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418EB7A9">
            <w:pPr>
              <w:widowControl/>
              <w:jc w:val="left"/>
              <w:rPr>
                <w:rFonts w:ascii="宋体" w:hAnsi="宋体" w:cs="宋体"/>
                <w:kern w:val="0"/>
                <w:sz w:val="18"/>
                <w:szCs w:val="18"/>
                <w:highlight w:val="none"/>
              </w:rPr>
            </w:pPr>
            <w:r>
              <w:rPr>
                <w:rFonts w:hint="eastAsia" w:ascii="宋体" w:hAnsi="宋体" w:cs="宋体"/>
                <w:kern w:val="0"/>
                <w:sz w:val="18"/>
                <w:szCs w:val="18"/>
                <w:highlight w:val="none"/>
              </w:rPr>
              <w:t>3.层数：1</w:t>
            </w:r>
          </w:p>
        </w:tc>
        <w:tc>
          <w:tcPr>
            <w:tcW w:w="1600" w:type="dxa"/>
            <w:vMerge w:val="continue"/>
            <w:tcBorders>
              <w:top w:val="nil"/>
              <w:left w:val="single" w:color="auto" w:sz="4" w:space="0"/>
              <w:bottom w:val="single" w:color="auto" w:sz="4" w:space="0"/>
              <w:right w:val="single" w:color="auto" w:sz="4" w:space="0"/>
            </w:tcBorders>
            <w:vAlign w:val="center"/>
          </w:tcPr>
          <w:p w14:paraId="234FA6C3">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0ECAA565">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137A4E0B">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4189AD1A">
            <w:pPr>
              <w:widowControl/>
              <w:jc w:val="left"/>
              <w:rPr>
                <w:rFonts w:ascii="宋体" w:hAnsi="宋体" w:cs="宋体"/>
                <w:kern w:val="0"/>
                <w:sz w:val="18"/>
                <w:szCs w:val="18"/>
                <w:highlight w:val="none"/>
              </w:rPr>
            </w:pPr>
          </w:p>
        </w:tc>
      </w:tr>
      <w:tr w14:paraId="2DC760A9">
        <w:tblPrEx>
          <w:tblCellMar>
            <w:top w:w="0" w:type="dxa"/>
            <w:left w:w="108" w:type="dxa"/>
            <w:bottom w:w="0" w:type="dxa"/>
            <w:right w:w="108" w:type="dxa"/>
          </w:tblCellMar>
        </w:tblPrEx>
        <w:trPr>
          <w:trHeight w:val="503" w:hRule="atLeast"/>
        </w:trPr>
        <w:tc>
          <w:tcPr>
            <w:tcW w:w="660" w:type="dxa"/>
            <w:vMerge w:val="continue"/>
            <w:tcBorders>
              <w:top w:val="nil"/>
              <w:left w:val="single" w:color="auto" w:sz="4" w:space="0"/>
              <w:bottom w:val="single" w:color="auto" w:sz="4" w:space="0"/>
              <w:right w:val="single" w:color="auto" w:sz="4" w:space="0"/>
            </w:tcBorders>
            <w:vAlign w:val="center"/>
          </w:tcPr>
          <w:p w14:paraId="3DE24F21">
            <w:pPr>
              <w:widowControl/>
              <w:jc w:val="left"/>
              <w:rPr>
                <w:rFonts w:ascii="宋体" w:hAnsi="宋体" w:cs="宋体"/>
                <w:kern w:val="0"/>
                <w:highlight w:val="none"/>
              </w:rPr>
            </w:pPr>
          </w:p>
        </w:tc>
        <w:tc>
          <w:tcPr>
            <w:tcW w:w="1480" w:type="dxa"/>
            <w:vMerge w:val="continue"/>
            <w:tcBorders>
              <w:top w:val="nil"/>
              <w:left w:val="single" w:color="auto" w:sz="4" w:space="0"/>
              <w:bottom w:val="single" w:color="auto" w:sz="4" w:space="0"/>
              <w:right w:val="single" w:color="auto" w:sz="4" w:space="0"/>
            </w:tcBorders>
            <w:vAlign w:val="center"/>
          </w:tcPr>
          <w:p w14:paraId="697CD242">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170937EA">
            <w:pPr>
              <w:widowControl/>
              <w:jc w:val="left"/>
              <w:rPr>
                <w:rFonts w:ascii="宋体" w:hAnsi="宋体" w:cs="宋体"/>
                <w:kern w:val="0"/>
                <w:sz w:val="18"/>
                <w:szCs w:val="18"/>
                <w:highlight w:val="none"/>
              </w:rPr>
            </w:pPr>
            <w:r>
              <w:rPr>
                <w:rFonts w:hint="eastAsia" w:ascii="宋体" w:hAnsi="宋体" w:cs="宋体"/>
                <w:kern w:val="0"/>
                <w:sz w:val="18"/>
                <w:szCs w:val="18"/>
                <w:highlight w:val="none"/>
              </w:rPr>
              <w:t>4.对象：设备</w:t>
            </w:r>
          </w:p>
        </w:tc>
        <w:tc>
          <w:tcPr>
            <w:tcW w:w="1600" w:type="dxa"/>
            <w:vMerge w:val="continue"/>
            <w:tcBorders>
              <w:top w:val="nil"/>
              <w:left w:val="single" w:color="auto" w:sz="4" w:space="0"/>
              <w:bottom w:val="single" w:color="auto" w:sz="4" w:space="0"/>
              <w:right w:val="single" w:color="auto" w:sz="4" w:space="0"/>
            </w:tcBorders>
            <w:vAlign w:val="center"/>
          </w:tcPr>
          <w:p w14:paraId="0E4BA1D1">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3041CC15">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23149168">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6C5D9E17">
            <w:pPr>
              <w:widowControl/>
              <w:jc w:val="left"/>
              <w:rPr>
                <w:rFonts w:ascii="宋体" w:hAnsi="宋体" w:cs="宋体"/>
                <w:kern w:val="0"/>
                <w:sz w:val="18"/>
                <w:szCs w:val="18"/>
                <w:highlight w:val="none"/>
              </w:rPr>
            </w:pPr>
          </w:p>
        </w:tc>
      </w:tr>
      <w:tr w14:paraId="0A6C77BA">
        <w:tblPrEx>
          <w:tblCellMar>
            <w:top w:w="0" w:type="dxa"/>
            <w:left w:w="108" w:type="dxa"/>
            <w:bottom w:w="0" w:type="dxa"/>
            <w:right w:w="108" w:type="dxa"/>
          </w:tblCellMar>
        </w:tblPrEx>
        <w:trPr>
          <w:trHeight w:val="503" w:hRule="atLeast"/>
        </w:trPr>
        <w:tc>
          <w:tcPr>
            <w:tcW w:w="660" w:type="dxa"/>
            <w:vMerge w:val="continue"/>
            <w:tcBorders>
              <w:top w:val="nil"/>
              <w:left w:val="single" w:color="auto" w:sz="4" w:space="0"/>
              <w:bottom w:val="single" w:color="auto" w:sz="4" w:space="0"/>
              <w:right w:val="single" w:color="auto" w:sz="4" w:space="0"/>
            </w:tcBorders>
            <w:vAlign w:val="center"/>
          </w:tcPr>
          <w:p w14:paraId="2967EAC2">
            <w:pPr>
              <w:widowControl/>
              <w:jc w:val="left"/>
              <w:rPr>
                <w:rFonts w:ascii="宋体" w:hAnsi="宋体" w:cs="宋体"/>
                <w:kern w:val="0"/>
                <w:highlight w:val="none"/>
              </w:rPr>
            </w:pPr>
          </w:p>
        </w:tc>
        <w:tc>
          <w:tcPr>
            <w:tcW w:w="1480" w:type="dxa"/>
            <w:vMerge w:val="continue"/>
            <w:tcBorders>
              <w:top w:val="nil"/>
              <w:left w:val="single" w:color="auto" w:sz="4" w:space="0"/>
              <w:bottom w:val="single" w:color="auto" w:sz="4" w:space="0"/>
              <w:right w:val="single" w:color="auto" w:sz="4" w:space="0"/>
            </w:tcBorders>
            <w:vAlign w:val="center"/>
          </w:tcPr>
          <w:p w14:paraId="1D20F5D7">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5551AD1A">
            <w:pPr>
              <w:widowControl/>
              <w:jc w:val="left"/>
              <w:rPr>
                <w:rFonts w:ascii="宋体" w:hAnsi="宋体" w:cs="宋体"/>
                <w:kern w:val="0"/>
                <w:sz w:val="18"/>
                <w:szCs w:val="18"/>
                <w:highlight w:val="none"/>
              </w:rPr>
            </w:pPr>
            <w:r>
              <w:rPr>
                <w:rFonts w:hint="eastAsia" w:ascii="宋体" w:hAnsi="宋体" w:cs="宋体"/>
                <w:kern w:val="0"/>
                <w:sz w:val="18"/>
                <w:szCs w:val="18"/>
                <w:highlight w:val="none"/>
              </w:rPr>
              <w:t>5.具体做法</w:t>
            </w:r>
            <w:r>
              <w:rPr>
                <w:rFonts w:hint="eastAsia" w:ascii="宋体" w:hAnsi="宋体" w:cs="宋体"/>
                <w:kern w:val="0"/>
                <w:sz w:val="18"/>
                <w:szCs w:val="18"/>
                <w:highlight w:val="none"/>
                <w:lang w:eastAsia="zh-CN"/>
              </w:rPr>
              <w:t>详见</w:t>
            </w:r>
            <w:r>
              <w:rPr>
                <w:rFonts w:hint="eastAsia" w:ascii="宋体" w:hAnsi="宋体" w:cs="宋体"/>
                <w:kern w:val="0"/>
                <w:sz w:val="18"/>
                <w:szCs w:val="18"/>
                <w:highlight w:val="none"/>
              </w:rPr>
              <w:t>技术规范书</w:t>
            </w:r>
          </w:p>
        </w:tc>
        <w:tc>
          <w:tcPr>
            <w:tcW w:w="1600" w:type="dxa"/>
            <w:vMerge w:val="continue"/>
            <w:tcBorders>
              <w:top w:val="nil"/>
              <w:left w:val="single" w:color="auto" w:sz="4" w:space="0"/>
              <w:bottom w:val="single" w:color="auto" w:sz="4" w:space="0"/>
              <w:right w:val="single" w:color="auto" w:sz="4" w:space="0"/>
            </w:tcBorders>
            <w:vAlign w:val="center"/>
          </w:tcPr>
          <w:p w14:paraId="6E697D8D">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3A771F76">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6099AADF">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30552782">
            <w:pPr>
              <w:widowControl/>
              <w:jc w:val="left"/>
              <w:rPr>
                <w:rFonts w:ascii="宋体" w:hAnsi="宋体" w:cs="宋体"/>
                <w:kern w:val="0"/>
                <w:sz w:val="18"/>
                <w:szCs w:val="18"/>
                <w:highlight w:val="none"/>
              </w:rPr>
            </w:pPr>
          </w:p>
        </w:tc>
      </w:tr>
      <w:tr w14:paraId="07CDE5FD">
        <w:tblPrEx>
          <w:tblCellMar>
            <w:top w:w="0" w:type="dxa"/>
            <w:left w:w="108" w:type="dxa"/>
            <w:bottom w:w="0" w:type="dxa"/>
            <w:right w:w="108" w:type="dxa"/>
          </w:tblCellMar>
        </w:tblPrEx>
        <w:trPr>
          <w:trHeight w:val="503" w:hRule="atLeast"/>
        </w:trPr>
        <w:tc>
          <w:tcPr>
            <w:tcW w:w="660" w:type="dxa"/>
            <w:vMerge w:val="continue"/>
            <w:tcBorders>
              <w:top w:val="nil"/>
              <w:left w:val="single" w:color="auto" w:sz="4" w:space="0"/>
              <w:bottom w:val="single" w:color="auto" w:sz="4" w:space="0"/>
              <w:right w:val="single" w:color="auto" w:sz="4" w:space="0"/>
            </w:tcBorders>
            <w:vAlign w:val="center"/>
          </w:tcPr>
          <w:p w14:paraId="700BF7DC">
            <w:pPr>
              <w:widowControl/>
              <w:jc w:val="left"/>
              <w:rPr>
                <w:rFonts w:ascii="宋体" w:hAnsi="宋体" w:cs="宋体"/>
                <w:kern w:val="0"/>
                <w:highlight w:val="none"/>
              </w:rPr>
            </w:pPr>
          </w:p>
        </w:tc>
        <w:tc>
          <w:tcPr>
            <w:tcW w:w="1480" w:type="dxa"/>
            <w:vMerge w:val="continue"/>
            <w:tcBorders>
              <w:top w:val="nil"/>
              <w:left w:val="single" w:color="auto" w:sz="4" w:space="0"/>
              <w:bottom w:val="single" w:color="auto" w:sz="4" w:space="0"/>
              <w:right w:val="single" w:color="auto" w:sz="4" w:space="0"/>
            </w:tcBorders>
            <w:vAlign w:val="center"/>
          </w:tcPr>
          <w:p w14:paraId="3A877767">
            <w:pPr>
              <w:widowControl/>
              <w:jc w:val="left"/>
              <w:rPr>
                <w:rFonts w:ascii="宋体" w:hAnsi="宋体" w:cs="宋体"/>
                <w:kern w:val="0"/>
                <w:sz w:val="18"/>
                <w:szCs w:val="18"/>
                <w:highlight w:val="none"/>
              </w:rPr>
            </w:pPr>
          </w:p>
        </w:tc>
        <w:tc>
          <w:tcPr>
            <w:tcW w:w="2360" w:type="dxa"/>
            <w:tcBorders>
              <w:top w:val="nil"/>
              <w:left w:val="nil"/>
              <w:bottom w:val="single" w:color="auto" w:sz="4" w:space="0"/>
              <w:right w:val="single" w:color="auto" w:sz="4" w:space="0"/>
            </w:tcBorders>
            <w:shd w:val="clear" w:color="auto" w:fill="auto"/>
            <w:vAlign w:val="center"/>
          </w:tcPr>
          <w:p w14:paraId="137646ED">
            <w:pPr>
              <w:widowControl/>
              <w:jc w:val="left"/>
              <w:rPr>
                <w:rFonts w:ascii="宋体" w:hAnsi="宋体" w:cs="宋体"/>
                <w:kern w:val="0"/>
                <w:sz w:val="18"/>
                <w:szCs w:val="18"/>
                <w:highlight w:val="none"/>
              </w:rPr>
            </w:pPr>
            <w:r>
              <w:rPr>
                <w:rFonts w:hint="eastAsia" w:ascii="宋体" w:hAnsi="宋体" w:cs="宋体"/>
                <w:kern w:val="0"/>
                <w:sz w:val="18"/>
                <w:szCs w:val="18"/>
                <w:highlight w:val="none"/>
              </w:rPr>
              <w:t>6.压型板主材由招标方提供</w:t>
            </w:r>
          </w:p>
        </w:tc>
        <w:tc>
          <w:tcPr>
            <w:tcW w:w="1600" w:type="dxa"/>
            <w:vMerge w:val="continue"/>
            <w:tcBorders>
              <w:top w:val="nil"/>
              <w:left w:val="single" w:color="auto" w:sz="4" w:space="0"/>
              <w:bottom w:val="single" w:color="auto" w:sz="4" w:space="0"/>
              <w:right w:val="single" w:color="auto" w:sz="4" w:space="0"/>
            </w:tcBorders>
            <w:vAlign w:val="center"/>
          </w:tcPr>
          <w:p w14:paraId="23C8B48A">
            <w:pPr>
              <w:widowControl/>
              <w:jc w:val="left"/>
              <w:rPr>
                <w:rFonts w:ascii="宋体" w:hAnsi="宋体" w:cs="宋体"/>
                <w:kern w:val="0"/>
                <w:sz w:val="18"/>
                <w:szCs w:val="18"/>
                <w:highlight w:val="none"/>
              </w:rPr>
            </w:pPr>
          </w:p>
        </w:tc>
        <w:tc>
          <w:tcPr>
            <w:tcW w:w="699" w:type="dxa"/>
            <w:vMerge w:val="continue"/>
            <w:tcBorders>
              <w:top w:val="nil"/>
              <w:left w:val="single" w:color="auto" w:sz="4" w:space="0"/>
              <w:bottom w:val="single" w:color="auto" w:sz="4" w:space="0"/>
              <w:right w:val="single" w:color="auto" w:sz="4" w:space="0"/>
            </w:tcBorders>
            <w:vAlign w:val="center"/>
          </w:tcPr>
          <w:p w14:paraId="6554A8E8">
            <w:pPr>
              <w:widowControl/>
              <w:jc w:val="left"/>
              <w:rPr>
                <w:rFonts w:ascii="宋体" w:hAnsi="宋体" w:cs="宋体"/>
                <w:kern w:val="0"/>
                <w:sz w:val="18"/>
                <w:szCs w:val="18"/>
                <w:highlight w:val="none"/>
              </w:rPr>
            </w:pPr>
          </w:p>
        </w:tc>
        <w:tc>
          <w:tcPr>
            <w:tcW w:w="851" w:type="dxa"/>
            <w:vMerge w:val="continue"/>
            <w:tcBorders>
              <w:top w:val="nil"/>
              <w:left w:val="single" w:color="auto" w:sz="4" w:space="0"/>
              <w:bottom w:val="single" w:color="auto" w:sz="4" w:space="0"/>
              <w:right w:val="single" w:color="auto" w:sz="4" w:space="0"/>
            </w:tcBorders>
            <w:vAlign w:val="center"/>
          </w:tcPr>
          <w:p w14:paraId="48A67E1B">
            <w:pPr>
              <w:widowControl/>
              <w:jc w:val="left"/>
              <w:rPr>
                <w:rFonts w:ascii="宋体" w:hAnsi="宋体" w:cs="宋体"/>
                <w:kern w:val="0"/>
                <w:sz w:val="18"/>
                <w:szCs w:val="18"/>
                <w:highlight w:val="none"/>
              </w:rPr>
            </w:pPr>
          </w:p>
        </w:tc>
        <w:tc>
          <w:tcPr>
            <w:tcW w:w="992" w:type="dxa"/>
            <w:vMerge w:val="continue"/>
            <w:tcBorders>
              <w:top w:val="nil"/>
              <w:left w:val="single" w:color="auto" w:sz="4" w:space="0"/>
              <w:bottom w:val="single" w:color="auto" w:sz="4" w:space="0"/>
              <w:right w:val="single" w:color="auto" w:sz="4" w:space="0"/>
            </w:tcBorders>
            <w:vAlign w:val="center"/>
          </w:tcPr>
          <w:p w14:paraId="56853339">
            <w:pPr>
              <w:widowControl/>
              <w:jc w:val="left"/>
              <w:rPr>
                <w:rFonts w:ascii="宋体" w:hAnsi="宋体" w:cs="宋体"/>
                <w:kern w:val="0"/>
                <w:sz w:val="18"/>
                <w:szCs w:val="18"/>
                <w:highlight w:val="none"/>
              </w:rPr>
            </w:pPr>
          </w:p>
        </w:tc>
      </w:tr>
    </w:tbl>
    <w:p w14:paraId="259B82C8">
      <w:pPr>
        <w:spacing w:line="360" w:lineRule="auto"/>
        <w:rPr>
          <w:rFonts w:hAnsi="宋体"/>
          <w:highlight w:val="none"/>
        </w:rPr>
      </w:pPr>
    </w:p>
    <w:p w14:paraId="1E38680D">
      <w:pPr>
        <w:spacing w:line="360" w:lineRule="auto"/>
        <w:outlineLvl w:val="0"/>
        <w:rPr>
          <w:rFonts w:hAnsi="宋体"/>
          <w:b/>
          <w:bCs/>
          <w:highlight w:val="none"/>
        </w:rPr>
      </w:pPr>
      <w:r>
        <w:rPr>
          <w:rFonts w:hAnsi="宋体"/>
          <w:b/>
          <w:bCs/>
          <w:highlight w:val="none"/>
        </w:rPr>
        <w:t>附件</w:t>
      </w:r>
      <w:r>
        <w:rPr>
          <w:rFonts w:hint="eastAsia" w:hAnsi="宋体"/>
          <w:b/>
          <w:bCs/>
          <w:highlight w:val="none"/>
          <w:lang w:val="en-US" w:eastAsia="zh-CN"/>
        </w:rPr>
        <w:t>2</w:t>
      </w:r>
      <w:r>
        <w:rPr>
          <w:rFonts w:hint="eastAsia" w:hAnsi="宋体"/>
          <w:b/>
          <w:bCs/>
          <w:highlight w:val="none"/>
        </w:rPr>
        <w:t>：</w:t>
      </w:r>
    </w:p>
    <w:tbl>
      <w:tblPr>
        <w:tblStyle w:val="38"/>
        <w:tblW w:w="8756" w:type="dxa"/>
        <w:tblInd w:w="0" w:type="dxa"/>
        <w:tblLayout w:type="fixed"/>
        <w:tblCellMar>
          <w:top w:w="0" w:type="dxa"/>
          <w:left w:w="108" w:type="dxa"/>
          <w:bottom w:w="0" w:type="dxa"/>
          <w:right w:w="108" w:type="dxa"/>
        </w:tblCellMar>
      </w:tblPr>
      <w:tblGrid>
        <w:gridCol w:w="65"/>
        <w:gridCol w:w="391"/>
        <w:gridCol w:w="1319"/>
        <w:gridCol w:w="737"/>
        <w:gridCol w:w="625"/>
        <w:gridCol w:w="3525"/>
        <w:gridCol w:w="463"/>
        <w:gridCol w:w="850"/>
        <w:gridCol w:w="700"/>
        <w:gridCol w:w="81"/>
      </w:tblGrid>
      <w:tr w14:paraId="3654FA99">
        <w:tblPrEx>
          <w:tblCellMar>
            <w:top w:w="0" w:type="dxa"/>
            <w:left w:w="108" w:type="dxa"/>
            <w:bottom w:w="0" w:type="dxa"/>
            <w:right w:w="108" w:type="dxa"/>
          </w:tblCellMar>
        </w:tblPrEx>
        <w:trPr>
          <w:gridBefore w:val="1"/>
          <w:wBefore w:w="65" w:type="dxa"/>
          <w:trHeight w:val="503" w:hRule="atLeast"/>
        </w:trPr>
        <w:tc>
          <w:tcPr>
            <w:tcW w:w="8691" w:type="dxa"/>
            <w:gridSpan w:val="9"/>
            <w:tcBorders>
              <w:top w:val="nil"/>
              <w:left w:val="nil"/>
              <w:bottom w:val="nil"/>
              <w:right w:val="nil"/>
            </w:tcBorders>
            <w:shd w:val="clear" w:color="auto" w:fill="auto"/>
            <w:noWrap/>
            <w:vAlign w:val="center"/>
          </w:tcPr>
          <w:p w14:paraId="6936CA0A">
            <w:pPr>
              <w:spacing w:line="360" w:lineRule="auto"/>
              <w:jc w:val="center"/>
              <w:rPr>
                <w:rFonts w:ascii="宋体" w:hAnsi="宋体" w:cs="宋体"/>
                <w:kern w:val="0"/>
                <w:highlight w:val="none"/>
              </w:rPr>
            </w:pPr>
            <w:r>
              <w:rPr>
                <w:rFonts w:hint="eastAsia" w:hAnsi="宋体"/>
                <w:lang w:val="en-US" w:eastAsia="zh-CN"/>
              </w:rPr>
              <w:t>化工装置设备设施防腐项目工程量预估量清单</w:t>
            </w:r>
            <w:r>
              <w:rPr>
                <w:rFonts w:hint="eastAsia" w:ascii="宋体" w:hAnsi="宋体" w:cs="宋体"/>
                <w:kern w:val="0"/>
                <w:highlight w:val="none"/>
              </w:rPr>
              <w:t>（主材由招标方提供）</w:t>
            </w:r>
          </w:p>
        </w:tc>
      </w:tr>
      <w:tr w14:paraId="39C93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1" w:type="dxa"/>
          <w:cantSplit/>
          <w:jc w:val="center"/>
        </w:trPr>
        <w:tc>
          <w:tcPr>
            <w:tcW w:w="456" w:type="dxa"/>
            <w:gridSpan w:val="2"/>
            <w:vAlign w:val="center"/>
          </w:tcPr>
          <w:p w14:paraId="0336A154">
            <w:pPr>
              <w:widowControl/>
              <w:jc w:val="center"/>
              <w:rPr>
                <w:rFonts w:hint="eastAsia" w:ascii="黑体" w:hAnsi="黑体" w:eastAsia="黑体" w:cs="宋体"/>
                <w:kern w:val="0"/>
                <w:sz w:val="20"/>
                <w:szCs w:val="20"/>
                <w:highlight w:val="none"/>
                <w:lang w:eastAsia="zh-CN"/>
              </w:rPr>
            </w:pPr>
            <w:r>
              <w:rPr>
                <w:rFonts w:hint="eastAsia" w:ascii="黑体" w:hAnsi="黑体" w:eastAsia="黑体" w:cs="宋体"/>
                <w:kern w:val="0"/>
                <w:sz w:val="20"/>
                <w:szCs w:val="20"/>
                <w:highlight w:val="none"/>
                <w:lang w:val="en-US" w:eastAsia="zh-CN"/>
              </w:rPr>
              <w:t>序号</w:t>
            </w:r>
          </w:p>
        </w:tc>
        <w:tc>
          <w:tcPr>
            <w:tcW w:w="1319" w:type="dxa"/>
            <w:vAlign w:val="center"/>
          </w:tcPr>
          <w:p w14:paraId="41EFB60D">
            <w:pPr>
              <w:widowControl/>
              <w:jc w:val="center"/>
              <w:rPr>
                <w:rFonts w:hint="eastAsia" w:ascii="黑体" w:hAnsi="黑体" w:eastAsia="黑体" w:cs="宋体"/>
                <w:kern w:val="0"/>
                <w:sz w:val="20"/>
                <w:szCs w:val="20"/>
                <w:highlight w:val="none"/>
              </w:rPr>
            </w:pPr>
            <w:r>
              <w:rPr>
                <w:rFonts w:hint="eastAsia" w:ascii="黑体" w:hAnsi="黑体" w:eastAsia="黑体" w:cs="宋体"/>
                <w:kern w:val="0"/>
                <w:sz w:val="20"/>
                <w:szCs w:val="20"/>
                <w:highlight w:val="none"/>
                <w:lang w:val="en-US" w:eastAsia="zh-CN"/>
              </w:rPr>
              <w:t>设备</w:t>
            </w:r>
            <w:r>
              <w:rPr>
                <w:rFonts w:hint="eastAsia" w:ascii="黑体" w:hAnsi="黑体" w:eastAsia="黑体" w:cs="宋体"/>
                <w:kern w:val="0"/>
                <w:sz w:val="20"/>
                <w:szCs w:val="20"/>
                <w:highlight w:val="none"/>
              </w:rPr>
              <w:t>名称</w:t>
            </w:r>
          </w:p>
        </w:tc>
        <w:tc>
          <w:tcPr>
            <w:tcW w:w="737" w:type="dxa"/>
            <w:vAlign w:val="center"/>
          </w:tcPr>
          <w:p w14:paraId="5FEC43B5">
            <w:pPr>
              <w:widowControl/>
              <w:jc w:val="center"/>
              <w:rPr>
                <w:rFonts w:hint="default" w:ascii="黑体" w:hAnsi="黑体" w:eastAsia="黑体" w:cs="宋体"/>
                <w:kern w:val="0"/>
                <w:sz w:val="20"/>
                <w:szCs w:val="20"/>
                <w:highlight w:val="none"/>
                <w:lang w:eastAsia="zh-CN"/>
              </w:rPr>
            </w:pPr>
            <w:r>
              <w:rPr>
                <w:rFonts w:hint="default" w:ascii="黑体" w:hAnsi="黑体" w:eastAsia="黑体" w:cs="宋体"/>
                <w:kern w:val="0"/>
                <w:sz w:val="20"/>
                <w:szCs w:val="20"/>
                <w:highlight w:val="none"/>
                <w:lang w:eastAsia="zh-CN"/>
              </w:rPr>
              <w:t>防腐部位</w:t>
            </w:r>
          </w:p>
        </w:tc>
        <w:tc>
          <w:tcPr>
            <w:tcW w:w="625" w:type="dxa"/>
            <w:vAlign w:val="center"/>
          </w:tcPr>
          <w:p w14:paraId="69522786">
            <w:pPr>
              <w:widowControl/>
              <w:jc w:val="center"/>
              <w:rPr>
                <w:rFonts w:hint="default" w:ascii="黑体" w:hAnsi="黑体" w:eastAsia="黑体" w:cs="宋体"/>
                <w:kern w:val="0"/>
                <w:sz w:val="20"/>
                <w:szCs w:val="20"/>
                <w:highlight w:val="none"/>
              </w:rPr>
            </w:pPr>
            <w:r>
              <w:rPr>
                <w:rFonts w:hint="eastAsia" w:ascii="黑体" w:hAnsi="黑体" w:eastAsia="黑体" w:cs="宋体"/>
                <w:kern w:val="0"/>
                <w:sz w:val="20"/>
                <w:szCs w:val="20"/>
                <w:highlight w:val="none"/>
              </w:rPr>
              <w:t>处理要求</w:t>
            </w:r>
          </w:p>
        </w:tc>
        <w:tc>
          <w:tcPr>
            <w:tcW w:w="3525" w:type="dxa"/>
            <w:vAlign w:val="center"/>
          </w:tcPr>
          <w:p w14:paraId="405A14CA">
            <w:pPr>
              <w:widowControl/>
              <w:jc w:val="center"/>
              <w:rPr>
                <w:rFonts w:hint="default" w:ascii="黑体" w:hAnsi="黑体" w:eastAsia="黑体" w:cs="宋体"/>
                <w:kern w:val="0"/>
                <w:sz w:val="20"/>
                <w:szCs w:val="20"/>
                <w:highlight w:val="none"/>
              </w:rPr>
            </w:pPr>
            <w:r>
              <w:rPr>
                <w:rFonts w:hint="eastAsia" w:ascii="黑体" w:hAnsi="黑体" w:eastAsia="黑体" w:cs="宋体"/>
                <w:kern w:val="0"/>
                <w:sz w:val="20"/>
                <w:szCs w:val="20"/>
                <w:highlight w:val="none"/>
              </w:rPr>
              <w:t>防腐涂层体系</w:t>
            </w:r>
          </w:p>
        </w:tc>
        <w:tc>
          <w:tcPr>
            <w:tcW w:w="463" w:type="dxa"/>
            <w:vAlign w:val="center"/>
          </w:tcPr>
          <w:p w14:paraId="7FFA73FD">
            <w:pPr>
              <w:widowControl/>
              <w:jc w:val="center"/>
              <w:rPr>
                <w:rFonts w:hint="default" w:ascii="黑体" w:hAnsi="黑体" w:eastAsia="黑体" w:cs="宋体"/>
                <w:kern w:val="0"/>
                <w:sz w:val="20"/>
                <w:szCs w:val="20"/>
                <w:highlight w:val="none"/>
              </w:rPr>
            </w:pPr>
            <w:r>
              <w:rPr>
                <w:rFonts w:hint="eastAsia" w:ascii="黑体" w:hAnsi="黑体" w:eastAsia="黑体" w:cs="宋体"/>
                <w:kern w:val="0"/>
                <w:sz w:val="20"/>
                <w:szCs w:val="20"/>
                <w:highlight w:val="none"/>
              </w:rPr>
              <w:t>单位</w:t>
            </w:r>
          </w:p>
        </w:tc>
        <w:tc>
          <w:tcPr>
            <w:tcW w:w="850" w:type="dxa"/>
            <w:vAlign w:val="center"/>
          </w:tcPr>
          <w:p w14:paraId="202B7778">
            <w:pPr>
              <w:widowControl/>
              <w:jc w:val="center"/>
              <w:rPr>
                <w:rFonts w:hint="default" w:ascii="黑体" w:hAnsi="黑体" w:eastAsia="黑体" w:cs="宋体"/>
                <w:kern w:val="0"/>
                <w:sz w:val="20"/>
                <w:szCs w:val="20"/>
                <w:highlight w:val="none"/>
              </w:rPr>
            </w:pPr>
            <w:r>
              <w:rPr>
                <w:rFonts w:hint="default" w:ascii="黑体" w:hAnsi="黑体" w:eastAsia="黑体" w:cs="宋体"/>
                <w:kern w:val="0"/>
                <w:sz w:val="20"/>
                <w:szCs w:val="20"/>
                <w:highlight w:val="none"/>
              </w:rPr>
              <w:t>工程模拟量</w:t>
            </w:r>
          </w:p>
        </w:tc>
        <w:tc>
          <w:tcPr>
            <w:tcW w:w="700" w:type="dxa"/>
            <w:vAlign w:val="center"/>
          </w:tcPr>
          <w:p w14:paraId="30F0E149">
            <w:pPr>
              <w:widowControl/>
              <w:jc w:val="center"/>
              <w:rPr>
                <w:rFonts w:hint="default" w:ascii="黑体" w:hAnsi="黑体" w:eastAsia="黑体" w:cs="宋体"/>
                <w:kern w:val="0"/>
                <w:sz w:val="20"/>
                <w:szCs w:val="20"/>
                <w:highlight w:val="none"/>
              </w:rPr>
            </w:pPr>
            <w:r>
              <w:rPr>
                <w:rFonts w:hint="default" w:ascii="黑体" w:hAnsi="黑体" w:eastAsia="黑体" w:cs="宋体"/>
                <w:kern w:val="0"/>
                <w:sz w:val="20"/>
                <w:szCs w:val="20"/>
                <w:highlight w:val="none"/>
              </w:rPr>
              <w:t>备注</w:t>
            </w:r>
          </w:p>
        </w:tc>
      </w:tr>
      <w:tr w14:paraId="65CD8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1" w:type="dxa"/>
          <w:cantSplit/>
          <w:trHeight w:val="179" w:hRule="atLeast"/>
          <w:jc w:val="center"/>
        </w:trPr>
        <w:tc>
          <w:tcPr>
            <w:tcW w:w="456" w:type="dxa"/>
            <w:gridSpan w:val="2"/>
            <w:vAlign w:val="center"/>
          </w:tcPr>
          <w:p w14:paraId="184363C3">
            <w:pPr>
              <w:widowControl/>
              <w:jc w:val="center"/>
              <w:rPr>
                <w:rFonts w:hint="eastAsia" w:ascii="宋体" w:hAnsi="宋体" w:cs="宋体"/>
                <w:kern w:val="0"/>
                <w:sz w:val="18"/>
                <w:szCs w:val="18"/>
                <w:highlight w:val="yellow"/>
                <w:lang w:val="en-US" w:eastAsia="zh-CN"/>
              </w:rPr>
            </w:pPr>
            <w:r>
              <w:rPr>
                <w:rFonts w:hint="eastAsia" w:ascii="宋体" w:hAnsi="宋体" w:cs="宋体"/>
                <w:kern w:val="0"/>
                <w:sz w:val="18"/>
                <w:szCs w:val="18"/>
                <w:highlight w:val="none"/>
                <w:lang w:val="en-US" w:eastAsia="zh-CN"/>
              </w:rPr>
              <w:t>1</w:t>
            </w:r>
          </w:p>
        </w:tc>
        <w:tc>
          <w:tcPr>
            <w:tcW w:w="1319" w:type="dxa"/>
            <w:vAlign w:val="center"/>
          </w:tcPr>
          <w:p w14:paraId="21A03B8F">
            <w:pPr>
              <w:widowControl/>
              <w:jc w:val="center"/>
              <w:rPr>
                <w:rFonts w:hint="default" w:ascii="宋体" w:hAnsi="宋体" w:cs="宋体"/>
                <w:kern w:val="0"/>
                <w:sz w:val="18"/>
                <w:szCs w:val="18"/>
                <w:highlight w:val="yellow"/>
                <w:lang w:val="en-US" w:eastAsia="zh-CN"/>
              </w:rPr>
            </w:pPr>
            <w:r>
              <w:rPr>
                <w:rFonts w:hint="eastAsia" w:ascii="宋体" w:hAnsi="宋体" w:cs="宋体"/>
                <w:kern w:val="0"/>
                <w:sz w:val="18"/>
                <w:szCs w:val="18"/>
                <w:highlight w:val="none"/>
                <w:lang w:val="en-US" w:eastAsia="zh-CN"/>
              </w:rPr>
              <w:t>空分</w:t>
            </w:r>
            <w:r>
              <w:rPr>
                <w:rFonts w:hint="default" w:ascii="宋体" w:hAnsi="宋体" w:cs="宋体"/>
                <w:kern w:val="0"/>
                <w:sz w:val="18"/>
                <w:szCs w:val="18"/>
                <w:highlight w:val="none"/>
                <w:lang w:eastAsia="zh-CN"/>
              </w:rPr>
              <w:t>主</w:t>
            </w:r>
            <w:r>
              <w:rPr>
                <w:rFonts w:hint="eastAsia" w:ascii="宋体" w:hAnsi="宋体" w:cs="宋体"/>
                <w:kern w:val="0"/>
                <w:sz w:val="18"/>
                <w:szCs w:val="18"/>
                <w:highlight w:val="none"/>
                <w:lang w:val="en-US" w:eastAsia="zh-CN"/>
              </w:rPr>
              <w:t>冷箱</w:t>
            </w:r>
          </w:p>
        </w:tc>
        <w:tc>
          <w:tcPr>
            <w:tcW w:w="737" w:type="dxa"/>
            <w:vAlign w:val="center"/>
          </w:tcPr>
          <w:p w14:paraId="78EF94A5">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空分主冷箱本体</w:t>
            </w:r>
          </w:p>
        </w:tc>
        <w:tc>
          <w:tcPr>
            <w:tcW w:w="625" w:type="dxa"/>
            <w:vAlign w:val="center"/>
          </w:tcPr>
          <w:p w14:paraId="7507423C">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S</w:t>
            </w:r>
            <w:r>
              <w:rPr>
                <w:rFonts w:hint="eastAsia" w:ascii="宋体" w:hAnsi="宋体" w:cs="宋体"/>
                <w:kern w:val="0"/>
                <w:sz w:val="18"/>
                <w:szCs w:val="18"/>
                <w:highlight w:val="none"/>
                <w:lang w:val="en-US" w:eastAsia="zh-CN"/>
              </w:rPr>
              <w:t>a2</w:t>
            </w:r>
          </w:p>
        </w:tc>
        <w:tc>
          <w:tcPr>
            <w:tcW w:w="3525" w:type="dxa"/>
            <w:vAlign w:val="center"/>
          </w:tcPr>
          <w:p w14:paraId="6753DFAD">
            <w:pPr>
              <w:widowControl/>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建议采用水喷砂除锈喷涂工艺，除锈等级达到Sa2；</w:t>
            </w:r>
          </w:p>
          <w:p w14:paraId="75309605">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lang w:val="en-US" w:eastAsia="zh-CN"/>
              </w:rPr>
              <w:t>底漆采用环氧富锌底漆刷两道（总涂层干漆膜厚度不小于100μm）；</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中间漆采用环氧云铁中间漆涂刷一道（总涂层干漆膜厚度不小于</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40μm）；面漆采用环氧厚浆型面漆涂刷两道（总涂层干漆膜厚度不小</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 xml:space="preserve">于90μm）。 </w:t>
            </w:r>
          </w:p>
        </w:tc>
        <w:tc>
          <w:tcPr>
            <w:tcW w:w="463" w:type="dxa"/>
            <w:vAlign w:val="center"/>
          </w:tcPr>
          <w:p w14:paraId="6DF65479">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rPr>
              <w:t>㎡</w:t>
            </w:r>
          </w:p>
        </w:tc>
        <w:tc>
          <w:tcPr>
            <w:tcW w:w="850" w:type="dxa"/>
            <w:vAlign w:val="center"/>
          </w:tcPr>
          <w:p w14:paraId="0B960468">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7700</w:t>
            </w:r>
          </w:p>
        </w:tc>
        <w:tc>
          <w:tcPr>
            <w:tcW w:w="700" w:type="dxa"/>
            <w:vAlign w:val="center"/>
          </w:tcPr>
          <w:p w14:paraId="06F99797">
            <w:pPr>
              <w:widowControl/>
              <w:jc w:val="center"/>
              <w:rPr>
                <w:rFonts w:hint="eastAsia" w:ascii="宋体" w:hAnsi="宋体" w:cs="宋体"/>
                <w:kern w:val="0"/>
                <w:sz w:val="18"/>
                <w:szCs w:val="18"/>
                <w:highlight w:val="yellow"/>
              </w:rPr>
            </w:pPr>
          </w:p>
        </w:tc>
      </w:tr>
      <w:tr w14:paraId="729F2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1" w:type="dxa"/>
          <w:cantSplit/>
          <w:trHeight w:val="179" w:hRule="atLeast"/>
          <w:jc w:val="center"/>
        </w:trPr>
        <w:tc>
          <w:tcPr>
            <w:tcW w:w="456" w:type="dxa"/>
            <w:gridSpan w:val="2"/>
            <w:vAlign w:val="center"/>
          </w:tcPr>
          <w:p w14:paraId="6497D8B7">
            <w:pPr>
              <w:widowControl/>
              <w:jc w:val="center"/>
              <w:rPr>
                <w:rFonts w:hint="eastAsia" w:ascii="宋体" w:hAnsi="宋体" w:cs="宋体"/>
                <w:kern w:val="0"/>
                <w:sz w:val="18"/>
                <w:szCs w:val="18"/>
                <w:highlight w:val="yellow"/>
                <w:lang w:val="en-US" w:eastAsia="zh-CN"/>
              </w:rPr>
            </w:pPr>
            <w:r>
              <w:rPr>
                <w:rFonts w:hint="eastAsia" w:ascii="宋体" w:hAnsi="宋体" w:cs="宋体"/>
                <w:kern w:val="0"/>
                <w:sz w:val="18"/>
                <w:szCs w:val="18"/>
                <w:highlight w:val="none"/>
                <w:lang w:val="en-US" w:eastAsia="zh-CN"/>
              </w:rPr>
              <w:t>2</w:t>
            </w:r>
          </w:p>
        </w:tc>
        <w:tc>
          <w:tcPr>
            <w:tcW w:w="1319" w:type="dxa"/>
            <w:vAlign w:val="center"/>
          </w:tcPr>
          <w:p w14:paraId="01B1DFF9">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空分副冷箱及液氧泵冷箱</w:t>
            </w:r>
          </w:p>
        </w:tc>
        <w:tc>
          <w:tcPr>
            <w:tcW w:w="737" w:type="dxa"/>
            <w:vAlign w:val="center"/>
          </w:tcPr>
          <w:p w14:paraId="6B9C5E4B">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空分副冷箱及液氧泵冷箱本体</w:t>
            </w:r>
          </w:p>
        </w:tc>
        <w:tc>
          <w:tcPr>
            <w:tcW w:w="625" w:type="dxa"/>
            <w:vAlign w:val="center"/>
          </w:tcPr>
          <w:p w14:paraId="19F510D8">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S</w:t>
            </w:r>
            <w:r>
              <w:rPr>
                <w:rFonts w:hint="eastAsia" w:ascii="宋体" w:hAnsi="宋体" w:cs="宋体"/>
                <w:kern w:val="0"/>
                <w:sz w:val="18"/>
                <w:szCs w:val="18"/>
                <w:highlight w:val="none"/>
                <w:lang w:val="en-US" w:eastAsia="zh-CN"/>
              </w:rPr>
              <w:t>a2</w:t>
            </w:r>
          </w:p>
        </w:tc>
        <w:tc>
          <w:tcPr>
            <w:tcW w:w="3525" w:type="dxa"/>
            <w:vAlign w:val="center"/>
          </w:tcPr>
          <w:p w14:paraId="5F862FBC">
            <w:pPr>
              <w:widowControl/>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建议采用水喷砂除锈喷涂工艺，除锈等级达到Sa2；</w:t>
            </w:r>
          </w:p>
          <w:p w14:paraId="61776B58">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lang w:val="en-US" w:eastAsia="zh-CN"/>
              </w:rPr>
              <w:t>底漆采用环氧富锌底漆刷两道（总涂层干漆膜厚度不小于100μm）；</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中间漆采用环氧云铁中间漆涂刷一道（总涂层干漆膜厚度不小于</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40μm）；面漆采用环氧厚浆型面漆涂刷两道（总涂层干漆膜厚度不小</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 xml:space="preserve">于90μm）。 </w:t>
            </w:r>
          </w:p>
        </w:tc>
        <w:tc>
          <w:tcPr>
            <w:tcW w:w="463" w:type="dxa"/>
            <w:vAlign w:val="center"/>
          </w:tcPr>
          <w:p w14:paraId="1425673A">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rPr>
              <w:t>㎡</w:t>
            </w:r>
          </w:p>
        </w:tc>
        <w:tc>
          <w:tcPr>
            <w:tcW w:w="850" w:type="dxa"/>
            <w:vAlign w:val="center"/>
          </w:tcPr>
          <w:p w14:paraId="47D96738">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3300</w:t>
            </w:r>
          </w:p>
        </w:tc>
        <w:tc>
          <w:tcPr>
            <w:tcW w:w="700" w:type="dxa"/>
            <w:vAlign w:val="center"/>
          </w:tcPr>
          <w:p w14:paraId="4AAF6822">
            <w:pPr>
              <w:widowControl/>
              <w:jc w:val="center"/>
              <w:rPr>
                <w:rFonts w:hint="eastAsia" w:ascii="宋体" w:hAnsi="宋体" w:cs="宋体"/>
                <w:kern w:val="0"/>
                <w:sz w:val="18"/>
                <w:szCs w:val="18"/>
                <w:highlight w:val="yellow"/>
              </w:rPr>
            </w:pPr>
          </w:p>
        </w:tc>
      </w:tr>
      <w:tr w14:paraId="28113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1" w:type="dxa"/>
          <w:cantSplit/>
          <w:trHeight w:val="321" w:hRule="atLeast"/>
          <w:jc w:val="center"/>
        </w:trPr>
        <w:tc>
          <w:tcPr>
            <w:tcW w:w="456" w:type="dxa"/>
            <w:gridSpan w:val="2"/>
            <w:vAlign w:val="center"/>
          </w:tcPr>
          <w:p w14:paraId="33508BFC">
            <w:pPr>
              <w:widowControl/>
              <w:jc w:val="center"/>
              <w:rPr>
                <w:rFonts w:hint="eastAsia" w:ascii="宋体" w:hAnsi="宋体" w:cs="宋体"/>
                <w:kern w:val="0"/>
                <w:sz w:val="18"/>
                <w:szCs w:val="18"/>
                <w:highlight w:val="yellow"/>
                <w:lang w:val="en-US" w:eastAsia="zh-CN"/>
              </w:rPr>
            </w:pPr>
            <w:r>
              <w:rPr>
                <w:rFonts w:hint="eastAsia" w:ascii="宋体" w:hAnsi="宋体" w:cs="宋体"/>
                <w:kern w:val="0"/>
                <w:sz w:val="18"/>
                <w:szCs w:val="18"/>
                <w:highlight w:val="none"/>
                <w:lang w:val="en-US" w:eastAsia="zh-CN"/>
              </w:rPr>
              <w:t>3</w:t>
            </w:r>
          </w:p>
        </w:tc>
        <w:tc>
          <w:tcPr>
            <w:tcW w:w="1319" w:type="dxa"/>
            <w:vAlign w:val="center"/>
          </w:tcPr>
          <w:p w14:paraId="0B0BA973">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lang w:val="en-US" w:eastAsia="zh-CN"/>
              </w:rPr>
              <w:t>液氮储槽</w:t>
            </w:r>
          </w:p>
        </w:tc>
        <w:tc>
          <w:tcPr>
            <w:tcW w:w="737" w:type="dxa"/>
            <w:vAlign w:val="center"/>
          </w:tcPr>
          <w:p w14:paraId="55CC017E">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液氮储槽本体</w:t>
            </w:r>
          </w:p>
        </w:tc>
        <w:tc>
          <w:tcPr>
            <w:tcW w:w="625" w:type="dxa"/>
            <w:vAlign w:val="center"/>
          </w:tcPr>
          <w:p w14:paraId="4618AA8F">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rPr>
              <w:t>S</w:t>
            </w:r>
            <w:r>
              <w:rPr>
                <w:rFonts w:hint="eastAsia" w:ascii="宋体" w:hAnsi="宋体" w:cs="宋体"/>
                <w:kern w:val="0"/>
                <w:sz w:val="18"/>
                <w:szCs w:val="18"/>
                <w:highlight w:val="none"/>
                <w:lang w:val="en-US" w:eastAsia="zh-CN"/>
              </w:rPr>
              <w:t>a2</w:t>
            </w:r>
          </w:p>
        </w:tc>
        <w:tc>
          <w:tcPr>
            <w:tcW w:w="3525" w:type="dxa"/>
            <w:vAlign w:val="center"/>
          </w:tcPr>
          <w:p w14:paraId="75038718">
            <w:pPr>
              <w:widowControl/>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建议采用水喷砂除锈喷涂工艺，除锈等级达到Sa2；</w:t>
            </w:r>
          </w:p>
          <w:p w14:paraId="331AF16F">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lang w:val="en-US" w:eastAsia="zh-CN"/>
              </w:rPr>
              <w:t>底漆采用环氧富锌底漆刷两道（总涂层干漆膜厚度不小于100μm）；</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中间漆采用环氧云铁中间漆涂刷一道（总涂层干漆膜厚度不小于</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40μm）；面漆采用环氧厚浆型面漆涂刷两道（总涂层干漆膜厚度不小</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 xml:space="preserve">于90μm）。 </w:t>
            </w:r>
          </w:p>
        </w:tc>
        <w:tc>
          <w:tcPr>
            <w:tcW w:w="463" w:type="dxa"/>
            <w:vAlign w:val="center"/>
          </w:tcPr>
          <w:p w14:paraId="5304D198">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rPr>
              <w:t>㎡</w:t>
            </w:r>
          </w:p>
        </w:tc>
        <w:tc>
          <w:tcPr>
            <w:tcW w:w="850" w:type="dxa"/>
            <w:vAlign w:val="center"/>
          </w:tcPr>
          <w:p w14:paraId="3B8A1406">
            <w:pPr>
              <w:widowControl/>
              <w:jc w:val="center"/>
              <w:rPr>
                <w:rFonts w:hint="default" w:ascii="宋体" w:hAnsi="宋体" w:cs="宋体"/>
                <w:kern w:val="0"/>
                <w:sz w:val="18"/>
                <w:szCs w:val="18"/>
                <w:highlight w:val="yellow"/>
              </w:rPr>
            </w:pPr>
            <w:r>
              <w:rPr>
                <w:rFonts w:hint="default" w:ascii="宋体" w:hAnsi="宋体" w:cs="宋体"/>
                <w:kern w:val="0"/>
                <w:sz w:val="18"/>
                <w:szCs w:val="18"/>
                <w:highlight w:val="none"/>
              </w:rPr>
              <w:t>1200</w:t>
            </w:r>
          </w:p>
        </w:tc>
        <w:tc>
          <w:tcPr>
            <w:tcW w:w="700" w:type="dxa"/>
            <w:vAlign w:val="center"/>
          </w:tcPr>
          <w:p w14:paraId="502D1F55">
            <w:pPr>
              <w:widowControl/>
              <w:jc w:val="center"/>
              <w:rPr>
                <w:rFonts w:hint="eastAsia" w:ascii="宋体" w:hAnsi="宋体" w:cs="宋体"/>
                <w:kern w:val="0"/>
                <w:sz w:val="18"/>
                <w:szCs w:val="18"/>
                <w:highlight w:val="yellow"/>
              </w:rPr>
            </w:pPr>
          </w:p>
        </w:tc>
      </w:tr>
      <w:tr w14:paraId="2E8EC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1" w:type="dxa"/>
          <w:cantSplit/>
          <w:jc w:val="center"/>
        </w:trPr>
        <w:tc>
          <w:tcPr>
            <w:tcW w:w="456" w:type="dxa"/>
            <w:gridSpan w:val="2"/>
            <w:vAlign w:val="center"/>
          </w:tcPr>
          <w:p w14:paraId="7BFFA54D">
            <w:pPr>
              <w:widowControl/>
              <w:jc w:val="center"/>
              <w:rPr>
                <w:rFonts w:hint="eastAsia" w:ascii="宋体" w:hAnsi="宋体" w:cs="宋体"/>
                <w:kern w:val="0"/>
                <w:sz w:val="18"/>
                <w:szCs w:val="18"/>
                <w:highlight w:val="yellow"/>
                <w:lang w:val="en-US" w:eastAsia="zh-CN"/>
              </w:rPr>
            </w:pPr>
            <w:r>
              <w:rPr>
                <w:rFonts w:hint="eastAsia" w:ascii="宋体" w:hAnsi="宋体" w:cs="宋体"/>
                <w:kern w:val="0"/>
                <w:sz w:val="18"/>
                <w:szCs w:val="18"/>
                <w:highlight w:val="none"/>
                <w:lang w:val="en-US" w:eastAsia="zh-CN"/>
              </w:rPr>
              <w:t>4</w:t>
            </w:r>
          </w:p>
        </w:tc>
        <w:tc>
          <w:tcPr>
            <w:tcW w:w="1319" w:type="dxa"/>
            <w:vAlign w:val="center"/>
          </w:tcPr>
          <w:p w14:paraId="0E3CD6EB">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lang w:val="en-US" w:eastAsia="zh-CN"/>
              </w:rPr>
              <w:t>热电脱硫1#、2#、3#、4#吸收塔、循环槽、加氨槽、振动流化床、旋流器、除尘器、渣仓、灰库、烟囱等区域设备设施的</w:t>
            </w:r>
            <w:r>
              <w:rPr>
                <w:rFonts w:hint="default" w:ascii="宋体" w:hAnsi="宋体" w:cs="宋体"/>
                <w:kern w:val="0"/>
                <w:sz w:val="18"/>
                <w:szCs w:val="18"/>
                <w:highlight w:val="none"/>
                <w:lang w:eastAsia="zh-CN"/>
              </w:rPr>
              <w:t>爬梯、平台</w:t>
            </w:r>
          </w:p>
        </w:tc>
        <w:tc>
          <w:tcPr>
            <w:tcW w:w="737" w:type="dxa"/>
            <w:vAlign w:val="center"/>
          </w:tcPr>
          <w:p w14:paraId="589F0520">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设备框架、操作平台、梯子、设备支腿等</w:t>
            </w:r>
          </w:p>
        </w:tc>
        <w:tc>
          <w:tcPr>
            <w:tcW w:w="625" w:type="dxa"/>
            <w:vAlign w:val="center"/>
          </w:tcPr>
          <w:p w14:paraId="58DEB08F">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St</w:t>
            </w:r>
            <w:r>
              <w:rPr>
                <w:rFonts w:hint="eastAsia" w:ascii="宋体" w:hAnsi="宋体" w:cs="宋体"/>
                <w:kern w:val="0"/>
                <w:sz w:val="18"/>
                <w:szCs w:val="18"/>
                <w:highlight w:val="none"/>
                <w:lang w:val="en-US" w:eastAsia="zh-CN"/>
              </w:rPr>
              <w:t>3</w:t>
            </w:r>
          </w:p>
        </w:tc>
        <w:tc>
          <w:tcPr>
            <w:tcW w:w="3525" w:type="dxa"/>
            <w:vAlign w:val="center"/>
          </w:tcPr>
          <w:p w14:paraId="431201ED">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lang w:val="en-US" w:eastAsia="zh-CN"/>
              </w:rPr>
              <w:t>建议采用传统打磨喷涂工艺，除锈等级达到St2</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级标准；底漆采用环氧富锌底漆刷两道（总涂层干漆膜厚度不小于</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100μm）；中间漆采用环氧云铁中间漆涂刷一道（总涂层干漆膜厚度</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不小于40μm）；面漆采用聚丙烯脂肪蔟聚氨酯涂刷两道（总涂层干</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 xml:space="preserve">漆膜厚度不小于90μm）。 </w:t>
            </w:r>
          </w:p>
        </w:tc>
        <w:tc>
          <w:tcPr>
            <w:tcW w:w="463" w:type="dxa"/>
            <w:vAlign w:val="center"/>
          </w:tcPr>
          <w:p w14:paraId="6262DB24">
            <w:pPr>
              <w:widowControl/>
              <w:jc w:val="center"/>
              <w:rPr>
                <w:rFonts w:hint="eastAsia" w:ascii="宋体" w:hAnsi="宋体" w:cs="宋体"/>
                <w:kern w:val="0"/>
                <w:sz w:val="18"/>
                <w:szCs w:val="18"/>
                <w:highlight w:val="yellow"/>
              </w:rPr>
            </w:pPr>
            <w:r>
              <w:rPr>
                <w:rFonts w:hint="eastAsia" w:ascii="宋体" w:hAnsi="宋体" w:cs="宋体"/>
                <w:kern w:val="0"/>
                <w:sz w:val="18"/>
                <w:szCs w:val="18"/>
                <w:highlight w:val="none"/>
              </w:rPr>
              <w:t>㎡</w:t>
            </w:r>
          </w:p>
        </w:tc>
        <w:tc>
          <w:tcPr>
            <w:tcW w:w="850" w:type="dxa"/>
            <w:vAlign w:val="center"/>
          </w:tcPr>
          <w:p w14:paraId="49B2F786">
            <w:pPr>
              <w:widowControl/>
              <w:jc w:val="center"/>
              <w:rPr>
                <w:rFonts w:hint="default" w:ascii="宋体" w:hAnsi="宋体" w:cs="宋体"/>
                <w:kern w:val="0"/>
                <w:sz w:val="18"/>
                <w:szCs w:val="18"/>
                <w:highlight w:val="yellow"/>
              </w:rPr>
            </w:pPr>
            <w:r>
              <w:rPr>
                <w:rFonts w:hint="eastAsia" w:ascii="宋体" w:hAnsi="宋体" w:cs="宋体"/>
                <w:kern w:val="0"/>
                <w:sz w:val="18"/>
                <w:szCs w:val="18"/>
                <w:highlight w:val="none"/>
              </w:rPr>
              <w:t>56900</w:t>
            </w:r>
          </w:p>
        </w:tc>
        <w:tc>
          <w:tcPr>
            <w:tcW w:w="700" w:type="dxa"/>
            <w:vAlign w:val="center"/>
          </w:tcPr>
          <w:p w14:paraId="63079E11">
            <w:pPr>
              <w:widowControl/>
              <w:jc w:val="center"/>
              <w:rPr>
                <w:rFonts w:hint="eastAsia" w:ascii="宋体" w:hAnsi="宋体" w:cs="宋体"/>
                <w:kern w:val="0"/>
                <w:sz w:val="18"/>
                <w:szCs w:val="18"/>
                <w:highlight w:val="yellow"/>
              </w:rPr>
            </w:pPr>
          </w:p>
        </w:tc>
      </w:tr>
      <w:tr w14:paraId="1ABC0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1" w:type="dxa"/>
          <w:cantSplit/>
          <w:trHeight w:val="310" w:hRule="atLeast"/>
          <w:jc w:val="center"/>
        </w:trPr>
        <w:tc>
          <w:tcPr>
            <w:tcW w:w="456" w:type="dxa"/>
            <w:gridSpan w:val="2"/>
            <w:vAlign w:val="center"/>
          </w:tcPr>
          <w:p w14:paraId="04376587">
            <w:pPr>
              <w:widowControl/>
              <w:jc w:val="center"/>
              <w:rPr>
                <w:rFonts w:hint="eastAsia" w:ascii="宋体" w:hAnsi="宋体" w:cs="宋体"/>
                <w:kern w:val="0"/>
                <w:sz w:val="18"/>
                <w:szCs w:val="18"/>
                <w:highlight w:val="none"/>
                <w:lang w:val="en-US" w:eastAsia="zh-CN"/>
              </w:rPr>
            </w:pPr>
            <w:r>
              <w:rPr>
                <w:rFonts w:hint="eastAsia" w:ascii="宋体" w:hAnsi="宋体" w:cs="宋体"/>
                <w:kern w:val="0"/>
                <w:sz w:val="18"/>
                <w:szCs w:val="18"/>
                <w:highlight w:val="none"/>
                <w:lang w:val="en-US" w:eastAsia="zh-CN"/>
              </w:rPr>
              <w:t>5</w:t>
            </w:r>
          </w:p>
        </w:tc>
        <w:tc>
          <w:tcPr>
            <w:tcW w:w="1319" w:type="dxa"/>
            <w:vAlign w:val="center"/>
          </w:tcPr>
          <w:p w14:paraId="2BDD12AE">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管廊桥架</w:t>
            </w:r>
          </w:p>
        </w:tc>
        <w:tc>
          <w:tcPr>
            <w:tcW w:w="737" w:type="dxa"/>
            <w:vAlign w:val="center"/>
          </w:tcPr>
          <w:p w14:paraId="64A1E264">
            <w:pPr>
              <w:widowControl/>
              <w:jc w:val="center"/>
              <w:rPr>
                <w:rFonts w:hint="default" w:ascii="宋体" w:hAnsi="宋体" w:cs="宋体"/>
                <w:kern w:val="0"/>
                <w:sz w:val="18"/>
                <w:szCs w:val="18"/>
                <w:highlight w:val="none"/>
              </w:rPr>
            </w:pPr>
            <w:r>
              <w:rPr>
                <w:rFonts w:hint="eastAsia" w:ascii="宋体" w:hAnsi="宋体" w:cs="宋体"/>
                <w:kern w:val="0"/>
                <w:sz w:val="18"/>
                <w:szCs w:val="18"/>
                <w:highlight w:val="none"/>
              </w:rPr>
              <w:t>管廊本体、支架本体，连接结点</w:t>
            </w:r>
          </w:p>
        </w:tc>
        <w:tc>
          <w:tcPr>
            <w:tcW w:w="625" w:type="dxa"/>
            <w:vAlign w:val="center"/>
          </w:tcPr>
          <w:p w14:paraId="42A0608F">
            <w:pPr>
              <w:widowControl/>
              <w:jc w:val="center"/>
              <w:rPr>
                <w:rFonts w:hint="default" w:ascii="宋体" w:hAnsi="宋体" w:cs="宋体"/>
                <w:kern w:val="0"/>
                <w:sz w:val="18"/>
                <w:szCs w:val="18"/>
                <w:highlight w:val="none"/>
              </w:rPr>
            </w:pPr>
            <w:r>
              <w:rPr>
                <w:rFonts w:hint="eastAsia" w:ascii="宋体" w:hAnsi="宋体" w:cs="宋体"/>
                <w:kern w:val="0"/>
                <w:sz w:val="18"/>
                <w:szCs w:val="18"/>
                <w:highlight w:val="none"/>
              </w:rPr>
              <w:t>St2</w:t>
            </w:r>
          </w:p>
        </w:tc>
        <w:tc>
          <w:tcPr>
            <w:tcW w:w="3525" w:type="dxa"/>
            <w:vAlign w:val="center"/>
          </w:tcPr>
          <w:p w14:paraId="6C0BFAF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lang w:val="en-US" w:eastAsia="zh-CN"/>
              </w:rPr>
              <w:t>建议采用传统打磨喷涂工艺，除锈等级达到St2</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级标准；底漆采用环氧富锌底漆刷两道（总涂层干漆膜厚度不小于</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100μm）；中间漆采用环氧云铁中间漆涂刷一道（总涂层干漆膜厚度</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不小于40μm）；面漆采用聚丙烯脂肪蔟聚氨酯涂刷两道（总涂层干</w:t>
            </w:r>
            <w:r>
              <w:rPr>
                <w:rFonts w:hint="eastAsia" w:ascii="宋体" w:hAnsi="宋体" w:cs="宋体"/>
                <w:kern w:val="0"/>
                <w:sz w:val="18"/>
                <w:szCs w:val="18"/>
                <w:highlight w:val="none"/>
                <w:lang w:val="en-US" w:eastAsia="zh-CN"/>
              </w:rPr>
              <w:br w:type="textWrapping"/>
            </w:r>
            <w:r>
              <w:rPr>
                <w:rFonts w:hint="eastAsia" w:ascii="宋体" w:hAnsi="宋体" w:cs="宋体"/>
                <w:kern w:val="0"/>
                <w:sz w:val="18"/>
                <w:szCs w:val="18"/>
                <w:highlight w:val="none"/>
                <w:lang w:val="en-US" w:eastAsia="zh-CN"/>
              </w:rPr>
              <w:t xml:space="preserve">漆膜厚度不小于90μm）。 </w:t>
            </w:r>
          </w:p>
          <w:p w14:paraId="03649FDE">
            <w:pPr>
              <w:widowControl/>
              <w:jc w:val="center"/>
              <w:rPr>
                <w:rFonts w:hint="eastAsia" w:ascii="宋体" w:hAnsi="宋体" w:cs="宋体"/>
                <w:kern w:val="0"/>
                <w:sz w:val="18"/>
                <w:szCs w:val="18"/>
                <w:highlight w:val="none"/>
              </w:rPr>
            </w:pPr>
          </w:p>
        </w:tc>
        <w:tc>
          <w:tcPr>
            <w:tcW w:w="463" w:type="dxa"/>
            <w:vAlign w:val="center"/>
          </w:tcPr>
          <w:p w14:paraId="57ED106A">
            <w:pPr>
              <w:widowControl/>
              <w:jc w:val="center"/>
              <w:rPr>
                <w:rFonts w:hint="eastAsia" w:ascii="宋体" w:hAnsi="宋体" w:cs="宋体"/>
                <w:kern w:val="0"/>
                <w:sz w:val="18"/>
                <w:szCs w:val="18"/>
                <w:highlight w:val="none"/>
              </w:rPr>
            </w:pPr>
            <w:r>
              <w:rPr>
                <w:rFonts w:hint="eastAsia" w:ascii="宋体" w:hAnsi="宋体" w:cs="宋体"/>
                <w:kern w:val="0"/>
                <w:sz w:val="18"/>
                <w:szCs w:val="18"/>
                <w:highlight w:val="none"/>
              </w:rPr>
              <w:t>㎡</w:t>
            </w:r>
          </w:p>
        </w:tc>
        <w:tc>
          <w:tcPr>
            <w:tcW w:w="850" w:type="dxa"/>
            <w:vAlign w:val="center"/>
          </w:tcPr>
          <w:p w14:paraId="68E34FBB">
            <w:pPr>
              <w:widowControl/>
              <w:jc w:val="center"/>
              <w:rPr>
                <w:rFonts w:hint="default" w:ascii="宋体" w:hAnsi="宋体" w:cs="宋体"/>
                <w:kern w:val="0"/>
                <w:sz w:val="18"/>
                <w:szCs w:val="18"/>
                <w:highlight w:val="none"/>
              </w:rPr>
            </w:pPr>
            <w:r>
              <w:rPr>
                <w:rFonts w:hint="eastAsia" w:ascii="宋体" w:hAnsi="宋体" w:cs="宋体"/>
                <w:kern w:val="0"/>
                <w:sz w:val="18"/>
                <w:szCs w:val="18"/>
                <w:highlight w:val="none"/>
              </w:rPr>
              <w:t>8000</w:t>
            </w:r>
          </w:p>
        </w:tc>
        <w:tc>
          <w:tcPr>
            <w:tcW w:w="700" w:type="dxa"/>
            <w:vAlign w:val="center"/>
          </w:tcPr>
          <w:p w14:paraId="0A86AB29">
            <w:pPr>
              <w:widowControl/>
              <w:jc w:val="center"/>
              <w:rPr>
                <w:rFonts w:hint="eastAsia" w:ascii="宋体" w:hAnsi="宋体" w:cs="宋体"/>
                <w:kern w:val="0"/>
                <w:sz w:val="18"/>
                <w:szCs w:val="18"/>
                <w:highlight w:val="none"/>
              </w:rPr>
            </w:pPr>
          </w:p>
        </w:tc>
      </w:tr>
    </w:tbl>
    <w:p w14:paraId="1DC0A3CC">
      <w:pPr>
        <w:spacing w:line="360" w:lineRule="auto"/>
        <w:rPr>
          <w:rFonts w:hAnsi="宋体"/>
          <w:highlight w:val="none"/>
        </w:rPr>
      </w:pPr>
    </w:p>
    <w:sectPr>
      <w:footerReference r:id="rId3" w:type="default"/>
      <w:endnotePr>
        <w:numFmt w:val="decimal"/>
      </w:endnotePr>
      <w:pgSz w:w="11907" w:h="16840"/>
      <w:pgMar w:top="1418" w:right="1531" w:bottom="1418" w:left="1701" w:header="851" w:footer="1021" w:gutter="0"/>
      <w:pgNumType w:fmt="decimal" w:start="1"/>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小标宋">
    <w:altName w:val="微软雅黑"/>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2735A">
    <w:pPr>
      <w:pStyle w:val="25"/>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55A0CE2A">
                <w:pPr>
                  <w:pStyle w:val="25"/>
                </w:pPr>
                <w:r>
                  <w:fldChar w:fldCharType="begin"/>
                </w:r>
                <w:r>
                  <w:instrText xml:space="preserve"> PAGE  \* MERGEFORMAT </w:instrText>
                </w:r>
                <w:r>
                  <w:fldChar w:fldCharType="separate"/>
                </w:r>
                <w:r>
                  <w:t>3</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7C1CA7"/>
    <w:multiLevelType w:val="singleLevel"/>
    <w:tmpl w:val="807C1CA7"/>
    <w:lvl w:ilvl="0" w:tentative="0">
      <w:start w:val="1"/>
      <w:numFmt w:val="decimal"/>
      <w:lvlText w:val="(%1)"/>
      <w:lvlJc w:val="left"/>
      <w:pPr>
        <w:tabs>
          <w:tab w:val="left" w:pos="312"/>
        </w:tabs>
      </w:pPr>
    </w:lvl>
  </w:abstractNum>
  <w:abstractNum w:abstractNumId="1">
    <w:nsid w:val="58A87B9C"/>
    <w:multiLevelType w:val="multilevel"/>
    <w:tmpl w:val="58A87B9C"/>
    <w:lvl w:ilvl="0" w:tentative="0">
      <w:start w:val="1"/>
      <w:numFmt w:val="decimal"/>
      <w:suff w:val="nothing"/>
      <w:lvlText w:val="%1."/>
      <w:lvlJc w:val="left"/>
      <w:rPr>
        <w:rFonts w:hint="eastAsia"/>
      </w:rPr>
    </w:lvl>
    <w:lvl w:ilvl="1" w:tentative="0">
      <w:start w:val="1"/>
      <w:numFmt w:val="decimal"/>
      <w:suff w:val="nothing"/>
      <w:lvlText w:val="%1.%2"/>
      <w:lvlJc w:val="left"/>
      <w:rPr>
        <w:rFonts w:hint="eastAsia"/>
      </w:rPr>
    </w:lvl>
    <w:lvl w:ilvl="2" w:tentative="0">
      <w:start w:val="1"/>
      <w:numFmt w:val="chineseCountingThousand"/>
      <w:suff w:val="nothing"/>
      <w:lvlText w:val="附件%3："/>
      <w:lvlJc w:val="left"/>
      <w:rPr>
        <w:rFonts w:hint="eastAsia"/>
      </w:rPr>
    </w:lvl>
    <w:lvl w:ilvl="3" w:tentative="0">
      <w:start w:val="1"/>
      <w:numFmt w:val="decimal"/>
      <w:suff w:val="nothing"/>
      <w:lvlText w:val="%4."/>
      <w:lvlJc w:val="left"/>
      <w:rPr>
        <w:rFonts w:hint="eastAsia"/>
      </w:rPr>
    </w:lvl>
    <w:lvl w:ilvl="4" w:tentative="0">
      <w:start w:val="1"/>
      <w:numFmt w:val="decimal"/>
      <w:pStyle w:val="7"/>
      <w:suff w:val="nothing"/>
      <w:lvlText w:val="%4.%5"/>
      <w:lvlJc w:val="left"/>
      <w:rPr>
        <w:rFonts w:hint="eastAsia"/>
      </w:rPr>
    </w:lvl>
    <w:lvl w:ilvl="5" w:tentative="0">
      <w:start w:val="1"/>
      <w:numFmt w:val="none"/>
      <w:pStyle w:val="8"/>
      <w:suff w:val="nothing"/>
      <w:lvlText w:val=""/>
      <w:lvlJc w:val="left"/>
      <w:rPr>
        <w:rFonts w:hint="eastAsia"/>
      </w:rPr>
    </w:lvl>
    <w:lvl w:ilvl="6" w:tentative="0">
      <w:start w:val="1"/>
      <w:numFmt w:val="none"/>
      <w:pStyle w:val="9"/>
      <w:suff w:val="nothing"/>
      <w:lvlText w:val=""/>
      <w:lvlJc w:val="left"/>
      <w:rPr>
        <w:rFonts w:hint="eastAsia"/>
      </w:rPr>
    </w:lvl>
    <w:lvl w:ilvl="7" w:tentative="0">
      <w:start w:val="1"/>
      <w:numFmt w:val="none"/>
      <w:pStyle w:val="10"/>
      <w:suff w:val="nothing"/>
      <w:lvlText w:val=""/>
      <w:lvlJc w:val="left"/>
      <w:rPr>
        <w:rFonts w:hint="eastAsia"/>
      </w:rPr>
    </w:lvl>
    <w:lvl w:ilvl="8" w:tentative="0">
      <w:start w:val="1"/>
      <w:numFmt w:val="none"/>
      <w:pStyle w:val="11"/>
      <w:suff w:val="nothing"/>
      <w:lvlText w:val=""/>
      <w:lvlJc w:val="left"/>
      <w:rPr>
        <w:rFonts w:hint="eastAsia"/>
      </w:rPr>
    </w:lvl>
  </w:abstractNum>
  <w:abstractNum w:abstractNumId="2">
    <w:nsid w:val="74F53DD4"/>
    <w:multiLevelType w:val="multilevel"/>
    <w:tmpl w:val="74F53DD4"/>
    <w:lvl w:ilvl="0" w:tentative="0">
      <w:start w:val="0"/>
      <w:numFmt w:val="decimal"/>
      <w:pStyle w:val="6"/>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endnotePr>
    <w:numFmt w:val="decimal"/>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I5OTdjNjdkMmVhZGFhMjM0M2Q3MmE4NDY3NWI2ZDcifQ=="/>
  </w:docVars>
  <w:rsids>
    <w:rsidRoot w:val="009236C4"/>
    <w:rsid w:val="00000975"/>
    <w:rsid w:val="00002290"/>
    <w:rsid w:val="00004A21"/>
    <w:rsid w:val="00004DC7"/>
    <w:rsid w:val="000062DB"/>
    <w:rsid w:val="000119CB"/>
    <w:rsid w:val="00011A5A"/>
    <w:rsid w:val="00012156"/>
    <w:rsid w:val="00013A04"/>
    <w:rsid w:val="000145ED"/>
    <w:rsid w:val="00014B8F"/>
    <w:rsid w:val="000158EF"/>
    <w:rsid w:val="000166D0"/>
    <w:rsid w:val="00016FE8"/>
    <w:rsid w:val="000175B2"/>
    <w:rsid w:val="0001777A"/>
    <w:rsid w:val="000203CF"/>
    <w:rsid w:val="000204FC"/>
    <w:rsid w:val="000217A5"/>
    <w:rsid w:val="00024405"/>
    <w:rsid w:val="00024621"/>
    <w:rsid w:val="00026477"/>
    <w:rsid w:val="00026EEF"/>
    <w:rsid w:val="000278DF"/>
    <w:rsid w:val="00027EE0"/>
    <w:rsid w:val="000301FD"/>
    <w:rsid w:val="00032F08"/>
    <w:rsid w:val="0003481A"/>
    <w:rsid w:val="00035107"/>
    <w:rsid w:val="00037F0C"/>
    <w:rsid w:val="0004080F"/>
    <w:rsid w:val="00040979"/>
    <w:rsid w:val="00040A22"/>
    <w:rsid w:val="00041CDD"/>
    <w:rsid w:val="00043F54"/>
    <w:rsid w:val="00046180"/>
    <w:rsid w:val="00047E2C"/>
    <w:rsid w:val="00050E75"/>
    <w:rsid w:val="00051F61"/>
    <w:rsid w:val="0005295F"/>
    <w:rsid w:val="00054363"/>
    <w:rsid w:val="0005467C"/>
    <w:rsid w:val="000546ED"/>
    <w:rsid w:val="000549B4"/>
    <w:rsid w:val="00055163"/>
    <w:rsid w:val="0005534A"/>
    <w:rsid w:val="00055623"/>
    <w:rsid w:val="0005571F"/>
    <w:rsid w:val="00056BF9"/>
    <w:rsid w:val="000579B0"/>
    <w:rsid w:val="00057E48"/>
    <w:rsid w:val="0006069A"/>
    <w:rsid w:val="00060728"/>
    <w:rsid w:val="00061254"/>
    <w:rsid w:val="000620F2"/>
    <w:rsid w:val="00062212"/>
    <w:rsid w:val="00062D69"/>
    <w:rsid w:val="00063612"/>
    <w:rsid w:val="0006561D"/>
    <w:rsid w:val="00066DDA"/>
    <w:rsid w:val="00066F20"/>
    <w:rsid w:val="0007072C"/>
    <w:rsid w:val="00070B36"/>
    <w:rsid w:val="00071B6A"/>
    <w:rsid w:val="0007258E"/>
    <w:rsid w:val="00072E09"/>
    <w:rsid w:val="00073BEB"/>
    <w:rsid w:val="00077FFB"/>
    <w:rsid w:val="0008090A"/>
    <w:rsid w:val="00081E3E"/>
    <w:rsid w:val="00084070"/>
    <w:rsid w:val="00084642"/>
    <w:rsid w:val="00084B04"/>
    <w:rsid w:val="000860DA"/>
    <w:rsid w:val="00090F69"/>
    <w:rsid w:val="00091A7C"/>
    <w:rsid w:val="0009245D"/>
    <w:rsid w:val="0009341A"/>
    <w:rsid w:val="000965E6"/>
    <w:rsid w:val="0009798E"/>
    <w:rsid w:val="000A0931"/>
    <w:rsid w:val="000A1393"/>
    <w:rsid w:val="000A1FAE"/>
    <w:rsid w:val="000A41C5"/>
    <w:rsid w:val="000A51C7"/>
    <w:rsid w:val="000A52E4"/>
    <w:rsid w:val="000A5A5C"/>
    <w:rsid w:val="000A5BEA"/>
    <w:rsid w:val="000A665D"/>
    <w:rsid w:val="000A6703"/>
    <w:rsid w:val="000B105C"/>
    <w:rsid w:val="000B6F65"/>
    <w:rsid w:val="000C1B44"/>
    <w:rsid w:val="000C282C"/>
    <w:rsid w:val="000C50FA"/>
    <w:rsid w:val="000D161F"/>
    <w:rsid w:val="000D22F3"/>
    <w:rsid w:val="000D3DA4"/>
    <w:rsid w:val="000D3DE4"/>
    <w:rsid w:val="000D61C9"/>
    <w:rsid w:val="000D79DF"/>
    <w:rsid w:val="000E023B"/>
    <w:rsid w:val="000E0539"/>
    <w:rsid w:val="000E0562"/>
    <w:rsid w:val="000E07F5"/>
    <w:rsid w:val="000E11A9"/>
    <w:rsid w:val="000E2A38"/>
    <w:rsid w:val="000E35BB"/>
    <w:rsid w:val="000E4523"/>
    <w:rsid w:val="000E472C"/>
    <w:rsid w:val="000E5928"/>
    <w:rsid w:val="000E62C3"/>
    <w:rsid w:val="000E6306"/>
    <w:rsid w:val="000E7738"/>
    <w:rsid w:val="000F06AC"/>
    <w:rsid w:val="000F090E"/>
    <w:rsid w:val="000F0FA5"/>
    <w:rsid w:val="000F1857"/>
    <w:rsid w:val="000F29C6"/>
    <w:rsid w:val="000F46C5"/>
    <w:rsid w:val="000F5BAF"/>
    <w:rsid w:val="000F6F87"/>
    <w:rsid w:val="000F71E1"/>
    <w:rsid w:val="001004D7"/>
    <w:rsid w:val="00100936"/>
    <w:rsid w:val="00101836"/>
    <w:rsid w:val="0010195A"/>
    <w:rsid w:val="00104736"/>
    <w:rsid w:val="00106A25"/>
    <w:rsid w:val="0010796D"/>
    <w:rsid w:val="00107E4C"/>
    <w:rsid w:val="0011058A"/>
    <w:rsid w:val="0011264E"/>
    <w:rsid w:val="00113E97"/>
    <w:rsid w:val="0011405B"/>
    <w:rsid w:val="00114100"/>
    <w:rsid w:val="00114886"/>
    <w:rsid w:val="001163A6"/>
    <w:rsid w:val="00117040"/>
    <w:rsid w:val="00117BFA"/>
    <w:rsid w:val="0012229F"/>
    <w:rsid w:val="0012391E"/>
    <w:rsid w:val="001243C1"/>
    <w:rsid w:val="00124EE0"/>
    <w:rsid w:val="001273DA"/>
    <w:rsid w:val="00127462"/>
    <w:rsid w:val="00130654"/>
    <w:rsid w:val="00131CE4"/>
    <w:rsid w:val="001340C4"/>
    <w:rsid w:val="00134599"/>
    <w:rsid w:val="001347FA"/>
    <w:rsid w:val="00134E80"/>
    <w:rsid w:val="00136C0D"/>
    <w:rsid w:val="0013726A"/>
    <w:rsid w:val="00137299"/>
    <w:rsid w:val="00137515"/>
    <w:rsid w:val="00145076"/>
    <w:rsid w:val="001454B3"/>
    <w:rsid w:val="00145685"/>
    <w:rsid w:val="0014640E"/>
    <w:rsid w:val="001507C8"/>
    <w:rsid w:val="00152348"/>
    <w:rsid w:val="00153C79"/>
    <w:rsid w:val="001560CA"/>
    <w:rsid w:val="00156FDB"/>
    <w:rsid w:val="00160E90"/>
    <w:rsid w:val="001622AF"/>
    <w:rsid w:val="001641F4"/>
    <w:rsid w:val="00172994"/>
    <w:rsid w:val="00172D08"/>
    <w:rsid w:val="001738C9"/>
    <w:rsid w:val="00173BFC"/>
    <w:rsid w:val="00177EAF"/>
    <w:rsid w:val="001800B1"/>
    <w:rsid w:val="00181550"/>
    <w:rsid w:val="001831BA"/>
    <w:rsid w:val="001846D1"/>
    <w:rsid w:val="00184810"/>
    <w:rsid w:val="0018624C"/>
    <w:rsid w:val="00186E0D"/>
    <w:rsid w:val="00192261"/>
    <w:rsid w:val="001925B5"/>
    <w:rsid w:val="00193E6E"/>
    <w:rsid w:val="00193EE7"/>
    <w:rsid w:val="00194CBD"/>
    <w:rsid w:val="00195CE8"/>
    <w:rsid w:val="00196B36"/>
    <w:rsid w:val="00197210"/>
    <w:rsid w:val="001A0F5F"/>
    <w:rsid w:val="001A193A"/>
    <w:rsid w:val="001A29B2"/>
    <w:rsid w:val="001A5B4B"/>
    <w:rsid w:val="001B2BB3"/>
    <w:rsid w:val="001B2DA5"/>
    <w:rsid w:val="001B408F"/>
    <w:rsid w:val="001B4745"/>
    <w:rsid w:val="001B58BC"/>
    <w:rsid w:val="001B5C40"/>
    <w:rsid w:val="001B71EA"/>
    <w:rsid w:val="001C0015"/>
    <w:rsid w:val="001C088C"/>
    <w:rsid w:val="001C273F"/>
    <w:rsid w:val="001C3C5C"/>
    <w:rsid w:val="001C5D55"/>
    <w:rsid w:val="001C6929"/>
    <w:rsid w:val="001C7F9A"/>
    <w:rsid w:val="001D074D"/>
    <w:rsid w:val="001D2338"/>
    <w:rsid w:val="001D2A7C"/>
    <w:rsid w:val="001D55E5"/>
    <w:rsid w:val="001D5B7B"/>
    <w:rsid w:val="001D6888"/>
    <w:rsid w:val="001D68B7"/>
    <w:rsid w:val="001E226E"/>
    <w:rsid w:val="001E2EAC"/>
    <w:rsid w:val="001E3F67"/>
    <w:rsid w:val="001E6E6A"/>
    <w:rsid w:val="001F078E"/>
    <w:rsid w:val="001F40B0"/>
    <w:rsid w:val="001F4469"/>
    <w:rsid w:val="001F5FC6"/>
    <w:rsid w:val="001F61B3"/>
    <w:rsid w:val="001F7A1B"/>
    <w:rsid w:val="00202B6C"/>
    <w:rsid w:val="00202E5C"/>
    <w:rsid w:val="002044DF"/>
    <w:rsid w:val="0020793C"/>
    <w:rsid w:val="00207C5C"/>
    <w:rsid w:val="00210FD5"/>
    <w:rsid w:val="002113CC"/>
    <w:rsid w:val="00212412"/>
    <w:rsid w:val="00212820"/>
    <w:rsid w:val="00212FAC"/>
    <w:rsid w:val="00213766"/>
    <w:rsid w:val="00213D00"/>
    <w:rsid w:val="0021416C"/>
    <w:rsid w:val="0021508A"/>
    <w:rsid w:val="00216371"/>
    <w:rsid w:val="00216FB7"/>
    <w:rsid w:val="00217994"/>
    <w:rsid w:val="00221F17"/>
    <w:rsid w:val="00221F1F"/>
    <w:rsid w:val="002271BC"/>
    <w:rsid w:val="00231881"/>
    <w:rsid w:val="00231E1A"/>
    <w:rsid w:val="002322E5"/>
    <w:rsid w:val="00232B9B"/>
    <w:rsid w:val="00232E31"/>
    <w:rsid w:val="00233A2C"/>
    <w:rsid w:val="00233B74"/>
    <w:rsid w:val="00235D63"/>
    <w:rsid w:val="00236024"/>
    <w:rsid w:val="00236D77"/>
    <w:rsid w:val="00237A6E"/>
    <w:rsid w:val="0024010F"/>
    <w:rsid w:val="00240C03"/>
    <w:rsid w:val="00241BBF"/>
    <w:rsid w:val="00243FF4"/>
    <w:rsid w:val="002454DF"/>
    <w:rsid w:val="00246DC1"/>
    <w:rsid w:val="002500A7"/>
    <w:rsid w:val="00252C1C"/>
    <w:rsid w:val="002530D9"/>
    <w:rsid w:val="00254667"/>
    <w:rsid w:val="0025503D"/>
    <w:rsid w:val="00255397"/>
    <w:rsid w:val="00256D20"/>
    <w:rsid w:val="00256D7E"/>
    <w:rsid w:val="002618EE"/>
    <w:rsid w:val="00261EA0"/>
    <w:rsid w:val="00266B83"/>
    <w:rsid w:val="00266C9D"/>
    <w:rsid w:val="00267D5D"/>
    <w:rsid w:val="00271440"/>
    <w:rsid w:val="002730E0"/>
    <w:rsid w:val="002734CE"/>
    <w:rsid w:val="00274524"/>
    <w:rsid w:val="002751EB"/>
    <w:rsid w:val="00276447"/>
    <w:rsid w:val="00280601"/>
    <w:rsid w:val="00280B39"/>
    <w:rsid w:val="002823A5"/>
    <w:rsid w:val="00282E2C"/>
    <w:rsid w:val="0028492E"/>
    <w:rsid w:val="00286290"/>
    <w:rsid w:val="00290A9A"/>
    <w:rsid w:val="0029245C"/>
    <w:rsid w:val="00297207"/>
    <w:rsid w:val="0029790B"/>
    <w:rsid w:val="002A119D"/>
    <w:rsid w:val="002A13E3"/>
    <w:rsid w:val="002A25D3"/>
    <w:rsid w:val="002A290D"/>
    <w:rsid w:val="002A5C5F"/>
    <w:rsid w:val="002A6E26"/>
    <w:rsid w:val="002B1897"/>
    <w:rsid w:val="002B3B13"/>
    <w:rsid w:val="002B3CB4"/>
    <w:rsid w:val="002B40B9"/>
    <w:rsid w:val="002B40F7"/>
    <w:rsid w:val="002B7159"/>
    <w:rsid w:val="002C1A45"/>
    <w:rsid w:val="002C1D81"/>
    <w:rsid w:val="002C26F8"/>
    <w:rsid w:val="002C307E"/>
    <w:rsid w:val="002C4913"/>
    <w:rsid w:val="002C6115"/>
    <w:rsid w:val="002D047C"/>
    <w:rsid w:val="002D0F3B"/>
    <w:rsid w:val="002D2AA0"/>
    <w:rsid w:val="002D342F"/>
    <w:rsid w:val="002D367E"/>
    <w:rsid w:val="002D4A69"/>
    <w:rsid w:val="002D4DDA"/>
    <w:rsid w:val="002D4E66"/>
    <w:rsid w:val="002D63A8"/>
    <w:rsid w:val="002E168C"/>
    <w:rsid w:val="002E17AF"/>
    <w:rsid w:val="002E1A9B"/>
    <w:rsid w:val="002E49F4"/>
    <w:rsid w:val="002E6BB6"/>
    <w:rsid w:val="002E7739"/>
    <w:rsid w:val="002E7E11"/>
    <w:rsid w:val="002F1C93"/>
    <w:rsid w:val="002F22B9"/>
    <w:rsid w:val="002F232B"/>
    <w:rsid w:val="002F261A"/>
    <w:rsid w:val="002F2ACA"/>
    <w:rsid w:val="002F2EEF"/>
    <w:rsid w:val="002F3AB1"/>
    <w:rsid w:val="002F3D00"/>
    <w:rsid w:val="002F4B5E"/>
    <w:rsid w:val="002F687D"/>
    <w:rsid w:val="002F7728"/>
    <w:rsid w:val="00300D04"/>
    <w:rsid w:val="00302246"/>
    <w:rsid w:val="00304561"/>
    <w:rsid w:val="00304FC6"/>
    <w:rsid w:val="00306AC6"/>
    <w:rsid w:val="00310424"/>
    <w:rsid w:val="00310E65"/>
    <w:rsid w:val="00311672"/>
    <w:rsid w:val="0031212A"/>
    <w:rsid w:val="00314DFF"/>
    <w:rsid w:val="0031646A"/>
    <w:rsid w:val="003165F9"/>
    <w:rsid w:val="00316874"/>
    <w:rsid w:val="00317A88"/>
    <w:rsid w:val="00320317"/>
    <w:rsid w:val="00320F53"/>
    <w:rsid w:val="00322078"/>
    <w:rsid w:val="003235E0"/>
    <w:rsid w:val="003237A7"/>
    <w:rsid w:val="003243DA"/>
    <w:rsid w:val="00325BC5"/>
    <w:rsid w:val="003302FB"/>
    <w:rsid w:val="00330ED2"/>
    <w:rsid w:val="0033150F"/>
    <w:rsid w:val="00331FB0"/>
    <w:rsid w:val="00332A27"/>
    <w:rsid w:val="00333661"/>
    <w:rsid w:val="00334143"/>
    <w:rsid w:val="0033547A"/>
    <w:rsid w:val="00336B65"/>
    <w:rsid w:val="00336CE7"/>
    <w:rsid w:val="00337CE1"/>
    <w:rsid w:val="00342249"/>
    <w:rsid w:val="00342925"/>
    <w:rsid w:val="00343632"/>
    <w:rsid w:val="003451C3"/>
    <w:rsid w:val="00345878"/>
    <w:rsid w:val="00345FA7"/>
    <w:rsid w:val="003462BA"/>
    <w:rsid w:val="00347A25"/>
    <w:rsid w:val="00352241"/>
    <w:rsid w:val="0035268A"/>
    <w:rsid w:val="003527B9"/>
    <w:rsid w:val="003528E4"/>
    <w:rsid w:val="00352E18"/>
    <w:rsid w:val="0035486A"/>
    <w:rsid w:val="0035487D"/>
    <w:rsid w:val="0035558C"/>
    <w:rsid w:val="00355AAD"/>
    <w:rsid w:val="00356251"/>
    <w:rsid w:val="00357114"/>
    <w:rsid w:val="00357438"/>
    <w:rsid w:val="00361582"/>
    <w:rsid w:val="00362AA8"/>
    <w:rsid w:val="00363D25"/>
    <w:rsid w:val="00364302"/>
    <w:rsid w:val="003677EC"/>
    <w:rsid w:val="00367C13"/>
    <w:rsid w:val="003740ED"/>
    <w:rsid w:val="00375E5F"/>
    <w:rsid w:val="00376106"/>
    <w:rsid w:val="00376129"/>
    <w:rsid w:val="003762AE"/>
    <w:rsid w:val="00376464"/>
    <w:rsid w:val="00376CD5"/>
    <w:rsid w:val="00383F49"/>
    <w:rsid w:val="0038506E"/>
    <w:rsid w:val="003850D9"/>
    <w:rsid w:val="0038640A"/>
    <w:rsid w:val="00386664"/>
    <w:rsid w:val="00387348"/>
    <w:rsid w:val="003875DB"/>
    <w:rsid w:val="00387F48"/>
    <w:rsid w:val="00393D4C"/>
    <w:rsid w:val="0039506D"/>
    <w:rsid w:val="0039597F"/>
    <w:rsid w:val="00395B62"/>
    <w:rsid w:val="00397157"/>
    <w:rsid w:val="00397608"/>
    <w:rsid w:val="00397C94"/>
    <w:rsid w:val="00397E30"/>
    <w:rsid w:val="003A028E"/>
    <w:rsid w:val="003A04F6"/>
    <w:rsid w:val="003A109E"/>
    <w:rsid w:val="003A2AB6"/>
    <w:rsid w:val="003A3E07"/>
    <w:rsid w:val="003A56EF"/>
    <w:rsid w:val="003A5C06"/>
    <w:rsid w:val="003B0480"/>
    <w:rsid w:val="003B0BE5"/>
    <w:rsid w:val="003B42C2"/>
    <w:rsid w:val="003B446A"/>
    <w:rsid w:val="003C0F36"/>
    <w:rsid w:val="003C0F54"/>
    <w:rsid w:val="003C11F7"/>
    <w:rsid w:val="003C135D"/>
    <w:rsid w:val="003C13D6"/>
    <w:rsid w:val="003C1BF7"/>
    <w:rsid w:val="003C2B03"/>
    <w:rsid w:val="003C324E"/>
    <w:rsid w:val="003C6E3D"/>
    <w:rsid w:val="003C71B1"/>
    <w:rsid w:val="003D1B36"/>
    <w:rsid w:val="003D37F3"/>
    <w:rsid w:val="003D61B5"/>
    <w:rsid w:val="003D78EA"/>
    <w:rsid w:val="003E0664"/>
    <w:rsid w:val="003E0842"/>
    <w:rsid w:val="003E1A94"/>
    <w:rsid w:val="003E2DFC"/>
    <w:rsid w:val="003E31B8"/>
    <w:rsid w:val="003E3453"/>
    <w:rsid w:val="003E3A35"/>
    <w:rsid w:val="003E5F90"/>
    <w:rsid w:val="003E7058"/>
    <w:rsid w:val="003E75F1"/>
    <w:rsid w:val="003E7880"/>
    <w:rsid w:val="003E7F1C"/>
    <w:rsid w:val="003F0B14"/>
    <w:rsid w:val="003F0E57"/>
    <w:rsid w:val="003F45BA"/>
    <w:rsid w:val="003F53F2"/>
    <w:rsid w:val="003F5900"/>
    <w:rsid w:val="003F5C56"/>
    <w:rsid w:val="003F7AD5"/>
    <w:rsid w:val="00400611"/>
    <w:rsid w:val="00400DE9"/>
    <w:rsid w:val="0040128C"/>
    <w:rsid w:val="00401966"/>
    <w:rsid w:val="004029D4"/>
    <w:rsid w:val="0040313F"/>
    <w:rsid w:val="00403B1F"/>
    <w:rsid w:val="004042F2"/>
    <w:rsid w:val="0040623B"/>
    <w:rsid w:val="00407582"/>
    <w:rsid w:val="0041370E"/>
    <w:rsid w:val="00413A10"/>
    <w:rsid w:val="00417452"/>
    <w:rsid w:val="00420A4E"/>
    <w:rsid w:val="00422BDD"/>
    <w:rsid w:val="00425135"/>
    <w:rsid w:val="004257A0"/>
    <w:rsid w:val="00425DDA"/>
    <w:rsid w:val="0042675E"/>
    <w:rsid w:val="00427059"/>
    <w:rsid w:val="0042748F"/>
    <w:rsid w:val="00427CE8"/>
    <w:rsid w:val="0043128B"/>
    <w:rsid w:val="004338D5"/>
    <w:rsid w:val="004341BE"/>
    <w:rsid w:val="00434C16"/>
    <w:rsid w:val="0043501F"/>
    <w:rsid w:val="00435441"/>
    <w:rsid w:val="0044017D"/>
    <w:rsid w:val="004407AD"/>
    <w:rsid w:val="00441069"/>
    <w:rsid w:val="00441D41"/>
    <w:rsid w:val="00441FBF"/>
    <w:rsid w:val="00443981"/>
    <w:rsid w:val="004444E4"/>
    <w:rsid w:val="00447044"/>
    <w:rsid w:val="00447E2B"/>
    <w:rsid w:val="00447F50"/>
    <w:rsid w:val="00450B85"/>
    <w:rsid w:val="00453383"/>
    <w:rsid w:val="00453F9B"/>
    <w:rsid w:val="00456B0C"/>
    <w:rsid w:val="00457CA7"/>
    <w:rsid w:val="00461EB5"/>
    <w:rsid w:val="00462C40"/>
    <w:rsid w:val="0046380B"/>
    <w:rsid w:val="004638ED"/>
    <w:rsid w:val="0046399E"/>
    <w:rsid w:val="00463A9F"/>
    <w:rsid w:val="00464095"/>
    <w:rsid w:val="00467F59"/>
    <w:rsid w:val="004728C6"/>
    <w:rsid w:val="0047522B"/>
    <w:rsid w:val="00475981"/>
    <w:rsid w:val="00475A28"/>
    <w:rsid w:val="00480EA4"/>
    <w:rsid w:val="00483A8F"/>
    <w:rsid w:val="004846B4"/>
    <w:rsid w:val="004846CF"/>
    <w:rsid w:val="004850F0"/>
    <w:rsid w:val="00485E48"/>
    <w:rsid w:val="00486127"/>
    <w:rsid w:val="0048640D"/>
    <w:rsid w:val="00487BF0"/>
    <w:rsid w:val="00491E3B"/>
    <w:rsid w:val="0049266F"/>
    <w:rsid w:val="00492921"/>
    <w:rsid w:val="00493181"/>
    <w:rsid w:val="004952BD"/>
    <w:rsid w:val="004954C4"/>
    <w:rsid w:val="00496EA6"/>
    <w:rsid w:val="004975AB"/>
    <w:rsid w:val="004A38F9"/>
    <w:rsid w:val="004A5D5E"/>
    <w:rsid w:val="004A6310"/>
    <w:rsid w:val="004B04DF"/>
    <w:rsid w:val="004B08AA"/>
    <w:rsid w:val="004B0BC5"/>
    <w:rsid w:val="004B0C3B"/>
    <w:rsid w:val="004B2B8B"/>
    <w:rsid w:val="004B5275"/>
    <w:rsid w:val="004B5707"/>
    <w:rsid w:val="004B6517"/>
    <w:rsid w:val="004B674E"/>
    <w:rsid w:val="004B69F5"/>
    <w:rsid w:val="004B7A39"/>
    <w:rsid w:val="004C012A"/>
    <w:rsid w:val="004C164D"/>
    <w:rsid w:val="004C2020"/>
    <w:rsid w:val="004C25F6"/>
    <w:rsid w:val="004C4710"/>
    <w:rsid w:val="004C4C1A"/>
    <w:rsid w:val="004C575D"/>
    <w:rsid w:val="004C7DE3"/>
    <w:rsid w:val="004D0D69"/>
    <w:rsid w:val="004D1D5C"/>
    <w:rsid w:val="004D1F87"/>
    <w:rsid w:val="004D7C33"/>
    <w:rsid w:val="004E1770"/>
    <w:rsid w:val="004E2141"/>
    <w:rsid w:val="004E2D34"/>
    <w:rsid w:val="004E52CC"/>
    <w:rsid w:val="004E556E"/>
    <w:rsid w:val="004E5F8A"/>
    <w:rsid w:val="004E610C"/>
    <w:rsid w:val="004E64D5"/>
    <w:rsid w:val="004F3FD4"/>
    <w:rsid w:val="004F4029"/>
    <w:rsid w:val="004F4A9F"/>
    <w:rsid w:val="004F6D1A"/>
    <w:rsid w:val="005012FB"/>
    <w:rsid w:val="0050155B"/>
    <w:rsid w:val="00501F9F"/>
    <w:rsid w:val="0050362A"/>
    <w:rsid w:val="00503724"/>
    <w:rsid w:val="005042F4"/>
    <w:rsid w:val="00504547"/>
    <w:rsid w:val="00504942"/>
    <w:rsid w:val="00504CBB"/>
    <w:rsid w:val="00506F25"/>
    <w:rsid w:val="00506FDC"/>
    <w:rsid w:val="005073A9"/>
    <w:rsid w:val="00511498"/>
    <w:rsid w:val="0051324D"/>
    <w:rsid w:val="005134C0"/>
    <w:rsid w:val="00513C58"/>
    <w:rsid w:val="00513CC4"/>
    <w:rsid w:val="00514641"/>
    <w:rsid w:val="00515EB6"/>
    <w:rsid w:val="005175AF"/>
    <w:rsid w:val="005179AA"/>
    <w:rsid w:val="00521C03"/>
    <w:rsid w:val="00522D73"/>
    <w:rsid w:val="005241FA"/>
    <w:rsid w:val="0052435F"/>
    <w:rsid w:val="005269D4"/>
    <w:rsid w:val="005276AA"/>
    <w:rsid w:val="00527D5E"/>
    <w:rsid w:val="005340E8"/>
    <w:rsid w:val="00534C25"/>
    <w:rsid w:val="00535EED"/>
    <w:rsid w:val="005361F8"/>
    <w:rsid w:val="00540513"/>
    <w:rsid w:val="00540B5B"/>
    <w:rsid w:val="00541EAC"/>
    <w:rsid w:val="005422D7"/>
    <w:rsid w:val="00542B58"/>
    <w:rsid w:val="005431A9"/>
    <w:rsid w:val="00543510"/>
    <w:rsid w:val="00543949"/>
    <w:rsid w:val="005450D1"/>
    <w:rsid w:val="0054512A"/>
    <w:rsid w:val="0054600D"/>
    <w:rsid w:val="00550C03"/>
    <w:rsid w:val="00551B2B"/>
    <w:rsid w:val="00553A8A"/>
    <w:rsid w:val="00553EF4"/>
    <w:rsid w:val="005547D3"/>
    <w:rsid w:val="00555851"/>
    <w:rsid w:val="00557C51"/>
    <w:rsid w:val="005615BC"/>
    <w:rsid w:val="00562EF5"/>
    <w:rsid w:val="005715DA"/>
    <w:rsid w:val="00572AAE"/>
    <w:rsid w:val="005738D9"/>
    <w:rsid w:val="005760B9"/>
    <w:rsid w:val="0057747E"/>
    <w:rsid w:val="005818A0"/>
    <w:rsid w:val="00583084"/>
    <w:rsid w:val="00583551"/>
    <w:rsid w:val="00583F7D"/>
    <w:rsid w:val="00584130"/>
    <w:rsid w:val="00584F6A"/>
    <w:rsid w:val="00584FEF"/>
    <w:rsid w:val="00587B6E"/>
    <w:rsid w:val="005907BE"/>
    <w:rsid w:val="00591282"/>
    <w:rsid w:val="005914ED"/>
    <w:rsid w:val="00592D9A"/>
    <w:rsid w:val="00593B13"/>
    <w:rsid w:val="00594CFF"/>
    <w:rsid w:val="00595439"/>
    <w:rsid w:val="005959DC"/>
    <w:rsid w:val="00595F27"/>
    <w:rsid w:val="005A3854"/>
    <w:rsid w:val="005A3A55"/>
    <w:rsid w:val="005A3BE6"/>
    <w:rsid w:val="005A64C0"/>
    <w:rsid w:val="005A708C"/>
    <w:rsid w:val="005A72A6"/>
    <w:rsid w:val="005A78B5"/>
    <w:rsid w:val="005B2FED"/>
    <w:rsid w:val="005B3B77"/>
    <w:rsid w:val="005B4AFB"/>
    <w:rsid w:val="005B5D53"/>
    <w:rsid w:val="005B634F"/>
    <w:rsid w:val="005B78BB"/>
    <w:rsid w:val="005B7A56"/>
    <w:rsid w:val="005B7F36"/>
    <w:rsid w:val="005C569A"/>
    <w:rsid w:val="005C7C73"/>
    <w:rsid w:val="005D1046"/>
    <w:rsid w:val="005D1097"/>
    <w:rsid w:val="005D2454"/>
    <w:rsid w:val="005D456D"/>
    <w:rsid w:val="005D58A0"/>
    <w:rsid w:val="005D6786"/>
    <w:rsid w:val="005D7AD9"/>
    <w:rsid w:val="005E1ACA"/>
    <w:rsid w:val="005E1CEF"/>
    <w:rsid w:val="005E3936"/>
    <w:rsid w:val="005E3DC0"/>
    <w:rsid w:val="005E41B6"/>
    <w:rsid w:val="005E5834"/>
    <w:rsid w:val="005E5F1F"/>
    <w:rsid w:val="005E6DA8"/>
    <w:rsid w:val="005F0343"/>
    <w:rsid w:val="005F1B74"/>
    <w:rsid w:val="005F3C85"/>
    <w:rsid w:val="005F513F"/>
    <w:rsid w:val="005F61C3"/>
    <w:rsid w:val="005F6322"/>
    <w:rsid w:val="005F63A8"/>
    <w:rsid w:val="005F6837"/>
    <w:rsid w:val="005F6A03"/>
    <w:rsid w:val="005F7844"/>
    <w:rsid w:val="00600181"/>
    <w:rsid w:val="00601205"/>
    <w:rsid w:val="00601D7B"/>
    <w:rsid w:val="00601F12"/>
    <w:rsid w:val="00602317"/>
    <w:rsid w:val="00606054"/>
    <w:rsid w:val="00610456"/>
    <w:rsid w:val="00611391"/>
    <w:rsid w:val="0061280C"/>
    <w:rsid w:val="00613687"/>
    <w:rsid w:val="00615DCE"/>
    <w:rsid w:val="00617698"/>
    <w:rsid w:val="006179A3"/>
    <w:rsid w:val="00617DC9"/>
    <w:rsid w:val="00620351"/>
    <w:rsid w:val="00623254"/>
    <w:rsid w:val="00623B2E"/>
    <w:rsid w:val="0062435A"/>
    <w:rsid w:val="006257FC"/>
    <w:rsid w:val="00625CFB"/>
    <w:rsid w:val="0062606F"/>
    <w:rsid w:val="006266FA"/>
    <w:rsid w:val="006271FF"/>
    <w:rsid w:val="00627C97"/>
    <w:rsid w:val="00632EEE"/>
    <w:rsid w:val="00634350"/>
    <w:rsid w:val="00635703"/>
    <w:rsid w:val="006359CD"/>
    <w:rsid w:val="006400FC"/>
    <w:rsid w:val="0064243B"/>
    <w:rsid w:val="00643364"/>
    <w:rsid w:val="00643DF8"/>
    <w:rsid w:val="006450E4"/>
    <w:rsid w:val="00650455"/>
    <w:rsid w:val="00650B12"/>
    <w:rsid w:val="00651257"/>
    <w:rsid w:val="006519CB"/>
    <w:rsid w:val="00653908"/>
    <w:rsid w:val="00654BE6"/>
    <w:rsid w:val="00655DA8"/>
    <w:rsid w:val="006576A0"/>
    <w:rsid w:val="006578B6"/>
    <w:rsid w:val="00660C2C"/>
    <w:rsid w:val="00663F20"/>
    <w:rsid w:val="00664728"/>
    <w:rsid w:val="006649C4"/>
    <w:rsid w:val="00664D67"/>
    <w:rsid w:val="0066515A"/>
    <w:rsid w:val="006662B7"/>
    <w:rsid w:val="00671A52"/>
    <w:rsid w:val="006726CC"/>
    <w:rsid w:val="00673552"/>
    <w:rsid w:val="00673E35"/>
    <w:rsid w:val="00676783"/>
    <w:rsid w:val="00677782"/>
    <w:rsid w:val="006815FF"/>
    <w:rsid w:val="00683356"/>
    <w:rsid w:val="00683AE4"/>
    <w:rsid w:val="00684154"/>
    <w:rsid w:val="006845D7"/>
    <w:rsid w:val="0068571C"/>
    <w:rsid w:val="00686E3B"/>
    <w:rsid w:val="006913A2"/>
    <w:rsid w:val="0069211C"/>
    <w:rsid w:val="00692205"/>
    <w:rsid w:val="006931BB"/>
    <w:rsid w:val="00693404"/>
    <w:rsid w:val="0069412F"/>
    <w:rsid w:val="00697874"/>
    <w:rsid w:val="006A0332"/>
    <w:rsid w:val="006A4991"/>
    <w:rsid w:val="006A52AA"/>
    <w:rsid w:val="006A5B3F"/>
    <w:rsid w:val="006A68E0"/>
    <w:rsid w:val="006B0871"/>
    <w:rsid w:val="006B10B1"/>
    <w:rsid w:val="006B42C2"/>
    <w:rsid w:val="006B59EB"/>
    <w:rsid w:val="006B5B22"/>
    <w:rsid w:val="006B6DF8"/>
    <w:rsid w:val="006B7B42"/>
    <w:rsid w:val="006C42B9"/>
    <w:rsid w:val="006C45E6"/>
    <w:rsid w:val="006C5110"/>
    <w:rsid w:val="006C719A"/>
    <w:rsid w:val="006C767C"/>
    <w:rsid w:val="006D17AB"/>
    <w:rsid w:val="006D2F49"/>
    <w:rsid w:val="006D324B"/>
    <w:rsid w:val="006D43A7"/>
    <w:rsid w:val="006D544C"/>
    <w:rsid w:val="006D623C"/>
    <w:rsid w:val="006D677B"/>
    <w:rsid w:val="006E3438"/>
    <w:rsid w:val="006E381C"/>
    <w:rsid w:val="006E5ADD"/>
    <w:rsid w:val="006E5D49"/>
    <w:rsid w:val="006E73CD"/>
    <w:rsid w:val="006F2114"/>
    <w:rsid w:val="006F403C"/>
    <w:rsid w:val="006F42B7"/>
    <w:rsid w:val="006F591A"/>
    <w:rsid w:val="007002B8"/>
    <w:rsid w:val="00700DAC"/>
    <w:rsid w:val="007015EF"/>
    <w:rsid w:val="00701B66"/>
    <w:rsid w:val="00701BB2"/>
    <w:rsid w:val="00701C10"/>
    <w:rsid w:val="00702178"/>
    <w:rsid w:val="0070430D"/>
    <w:rsid w:val="0070489C"/>
    <w:rsid w:val="00705CB8"/>
    <w:rsid w:val="0070729F"/>
    <w:rsid w:val="00712958"/>
    <w:rsid w:val="00712E32"/>
    <w:rsid w:val="00720431"/>
    <w:rsid w:val="00723DDA"/>
    <w:rsid w:val="0072558C"/>
    <w:rsid w:val="0072619F"/>
    <w:rsid w:val="0072790A"/>
    <w:rsid w:val="007323C4"/>
    <w:rsid w:val="00732851"/>
    <w:rsid w:val="00732A6D"/>
    <w:rsid w:val="00732C6E"/>
    <w:rsid w:val="0073741C"/>
    <w:rsid w:val="00737D71"/>
    <w:rsid w:val="00740A6D"/>
    <w:rsid w:val="00742686"/>
    <w:rsid w:val="00746021"/>
    <w:rsid w:val="00746E47"/>
    <w:rsid w:val="00746E83"/>
    <w:rsid w:val="007472F3"/>
    <w:rsid w:val="00750500"/>
    <w:rsid w:val="00750EC9"/>
    <w:rsid w:val="00751BC7"/>
    <w:rsid w:val="00752372"/>
    <w:rsid w:val="007531A5"/>
    <w:rsid w:val="00753910"/>
    <w:rsid w:val="00754228"/>
    <w:rsid w:val="007552C9"/>
    <w:rsid w:val="007555AA"/>
    <w:rsid w:val="00755ACF"/>
    <w:rsid w:val="00757F4A"/>
    <w:rsid w:val="00760F5A"/>
    <w:rsid w:val="007623F0"/>
    <w:rsid w:val="007625C0"/>
    <w:rsid w:val="007629F1"/>
    <w:rsid w:val="0076318B"/>
    <w:rsid w:val="007631DA"/>
    <w:rsid w:val="007636E6"/>
    <w:rsid w:val="0076604F"/>
    <w:rsid w:val="00766227"/>
    <w:rsid w:val="00766978"/>
    <w:rsid w:val="0077008D"/>
    <w:rsid w:val="007703E0"/>
    <w:rsid w:val="00770E21"/>
    <w:rsid w:val="00770FBE"/>
    <w:rsid w:val="00773DEF"/>
    <w:rsid w:val="00775109"/>
    <w:rsid w:val="0077562D"/>
    <w:rsid w:val="00776F2C"/>
    <w:rsid w:val="0077724A"/>
    <w:rsid w:val="00780EAC"/>
    <w:rsid w:val="0078273E"/>
    <w:rsid w:val="007844F1"/>
    <w:rsid w:val="007857D9"/>
    <w:rsid w:val="007910D3"/>
    <w:rsid w:val="00791A29"/>
    <w:rsid w:val="00792D84"/>
    <w:rsid w:val="00793704"/>
    <w:rsid w:val="007944B0"/>
    <w:rsid w:val="00794742"/>
    <w:rsid w:val="007949EF"/>
    <w:rsid w:val="00797105"/>
    <w:rsid w:val="007A0538"/>
    <w:rsid w:val="007A1026"/>
    <w:rsid w:val="007A1698"/>
    <w:rsid w:val="007A1B1A"/>
    <w:rsid w:val="007A2351"/>
    <w:rsid w:val="007A283F"/>
    <w:rsid w:val="007A3C66"/>
    <w:rsid w:val="007A484E"/>
    <w:rsid w:val="007A5D35"/>
    <w:rsid w:val="007A693F"/>
    <w:rsid w:val="007B018E"/>
    <w:rsid w:val="007B1A41"/>
    <w:rsid w:val="007B1FB2"/>
    <w:rsid w:val="007B2C91"/>
    <w:rsid w:val="007B43CA"/>
    <w:rsid w:val="007B6C7B"/>
    <w:rsid w:val="007C1729"/>
    <w:rsid w:val="007C1BF6"/>
    <w:rsid w:val="007C1FC0"/>
    <w:rsid w:val="007C370D"/>
    <w:rsid w:val="007C4E56"/>
    <w:rsid w:val="007C54D1"/>
    <w:rsid w:val="007C65A1"/>
    <w:rsid w:val="007C741F"/>
    <w:rsid w:val="007C75D3"/>
    <w:rsid w:val="007D475E"/>
    <w:rsid w:val="007D50ED"/>
    <w:rsid w:val="007D736B"/>
    <w:rsid w:val="007E4B05"/>
    <w:rsid w:val="007E63FD"/>
    <w:rsid w:val="007E651D"/>
    <w:rsid w:val="007E67AB"/>
    <w:rsid w:val="007E7EDC"/>
    <w:rsid w:val="007F0157"/>
    <w:rsid w:val="007F1108"/>
    <w:rsid w:val="007F18CA"/>
    <w:rsid w:val="007F35B2"/>
    <w:rsid w:val="007F4DFB"/>
    <w:rsid w:val="007F6D57"/>
    <w:rsid w:val="007F7439"/>
    <w:rsid w:val="007F79D5"/>
    <w:rsid w:val="00800790"/>
    <w:rsid w:val="00801A68"/>
    <w:rsid w:val="00801F63"/>
    <w:rsid w:val="00805790"/>
    <w:rsid w:val="00806462"/>
    <w:rsid w:val="008065A8"/>
    <w:rsid w:val="00807015"/>
    <w:rsid w:val="0081117B"/>
    <w:rsid w:val="0081282E"/>
    <w:rsid w:val="00813FEB"/>
    <w:rsid w:val="008142BE"/>
    <w:rsid w:val="008146BA"/>
    <w:rsid w:val="00814AA7"/>
    <w:rsid w:val="00814B7C"/>
    <w:rsid w:val="00815E3D"/>
    <w:rsid w:val="00816352"/>
    <w:rsid w:val="008163D5"/>
    <w:rsid w:val="008176B8"/>
    <w:rsid w:val="00817E14"/>
    <w:rsid w:val="0082015D"/>
    <w:rsid w:val="00820A9D"/>
    <w:rsid w:val="008223CD"/>
    <w:rsid w:val="00822B8A"/>
    <w:rsid w:val="008258FE"/>
    <w:rsid w:val="00826187"/>
    <w:rsid w:val="00830B92"/>
    <w:rsid w:val="00831380"/>
    <w:rsid w:val="008323A9"/>
    <w:rsid w:val="008323CC"/>
    <w:rsid w:val="00835A7D"/>
    <w:rsid w:val="00841816"/>
    <w:rsid w:val="00841AAC"/>
    <w:rsid w:val="00841CB9"/>
    <w:rsid w:val="00843315"/>
    <w:rsid w:val="008453E8"/>
    <w:rsid w:val="00846FC2"/>
    <w:rsid w:val="00847491"/>
    <w:rsid w:val="00847EA8"/>
    <w:rsid w:val="008504C4"/>
    <w:rsid w:val="00850AC6"/>
    <w:rsid w:val="00851B4B"/>
    <w:rsid w:val="00851C81"/>
    <w:rsid w:val="00851E5D"/>
    <w:rsid w:val="00852C10"/>
    <w:rsid w:val="008531CE"/>
    <w:rsid w:val="0085412F"/>
    <w:rsid w:val="0085444F"/>
    <w:rsid w:val="008560E6"/>
    <w:rsid w:val="008569CF"/>
    <w:rsid w:val="00857766"/>
    <w:rsid w:val="00857CF4"/>
    <w:rsid w:val="00863C79"/>
    <w:rsid w:val="00864D93"/>
    <w:rsid w:val="00866F59"/>
    <w:rsid w:val="00867531"/>
    <w:rsid w:val="00867739"/>
    <w:rsid w:val="00870C58"/>
    <w:rsid w:val="008710E6"/>
    <w:rsid w:val="00871C81"/>
    <w:rsid w:val="00872C15"/>
    <w:rsid w:val="00873A9B"/>
    <w:rsid w:val="00873ED6"/>
    <w:rsid w:val="00875E80"/>
    <w:rsid w:val="00877200"/>
    <w:rsid w:val="008813EA"/>
    <w:rsid w:val="00885FD7"/>
    <w:rsid w:val="008870B9"/>
    <w:rsid w:val="0088725E"/>
    <w:rsid w:val="00887CA5"/>
    <w:rsid w:val="0089151E"/>
    <w:rsid w:val="00892D75"/>
    <w:rsid w:val="008935D7"/>
    <w:rsid w:val="008936A2"/>
    <w:rsid w:val="00894E59"/>
    <w:rsid w:val="00894E5E"/>
    <w:rsid w:val="008960E6"/>
    <w:rsid w:val="00896523"/>
    <w:rsid w:val="00896A5B"/>
    <w:rsid w:val="00897D12"/>
    <w:rsid w:val="008A017D"/>
    <w:rsid w:val="008A0D08"/>
    <w:rsid w:val="008A1431"/>
    <w:rsid w:val="008A2283"/>
    <w:rsid w:val="008A2B14"/>
    <w:rsid w:val="008A365C"/>
    <w:rsid w:val="008A59FF"/>
    <w:rsid w:val="008A5B36"/>
    <w:rsid w:val="008A6FCE"/>
    <w:rsid w:val="008B00DF"/>
    <w:rsid w:val="008B0E7D"/>
    <w:rsid w:val="008B2FA7"/>
    <w:rsid w:val="008B3012"/>
    <w:rsid w:val="008B506A"/>
    <w:rsid w:val="008B56D0"/>
    <w:rsid w:val="008B5832"/>
    <w:rsid w:val="008B798E"/>
    <w:rsid w:val="008C0B45"/>
    <w:rsid w:val="008C0F02"/>
    <w:rsid w:val="008C1151"/>
    <w:rsid w:val="008C1753"/>
    <w:rsid w:val="008C20AA"/>
    <w:rsid w:val="008C2133"/>
    <w:rsid w:val="008C324F"/>
    <w:rsid w:val="008C4224"/>
    <w:rsid w:val="008C7D3C"/>
    <w:rsid w:val="008D0B67"/>
    <w:rsid w:val="008D168C"/>
    <w:rsid w:val="008D2775"/>
    <w:rsid w:val="008D322C"/>
    <w:rsid w:val="008D43E4"/>
    <w:rsid w:val="008D43EE"/>
    <w:rsid w:val="008D5198"/>
    <w:rsid w:val="008D5501"/>
    <w:rsid w:val="008D7972"/>
    <w:rsid w:val="008E23DE"/>
    <w:rsid w:val="008E260E"/>
    <w:rsid w:val="008E3244"/>
    <w:rsid w:val="008E3F6E"/>
    <w:rsid w:val="008E60D4"/>
    <w:rsid w:val="008F0346"/>
    <w:rsid w:val="008F1314"/>
    <w:rsid w:val="008F58C9"/>
    <w:rsid w:val="008F5D50"/>
    <w:rsid w:val="008F73EC"/>
    <w:rsid w:val="00901761"/>
    <w:rsid w:val="00901A73"/>
    <w:rsid w:val="00901DF6"/>
    <w:rsid w:val="00903793"/>
    <w:rsid w:val="009041DC"/>
    <w:rsid w:val="0090683C"/>
    <w:rsid w:val="00907C6C"/>
    <w:rsid w:val="00907CA0"/>
    <w:rsid w:val="0091177A"/>
    <w:rsid w:val="00911BB4"/>
    <w:rsid w:val="0091362A"/>
    <w:rsid w:val="00913D43"/>
    <w:rsid w:val="00914699"/>
    <w:rsid w:val="00915F69"/>
    <w:rsid w:val="0091669E"/>
    <w:rsid w:val="00917C20"/>
    <w:rsid w:val="00920AD1"/>
    <w:rsid w:val="00920B74"/>
    <w:rsid w:val="00920E82"/>
    <w:rsid w:val="00921D76"/>
    <w:rsid w:val="00921FC0"/>
    <w:rsid w:val="00922C2E"/>
    <w:rsid w:val="009236C4"/>
    <w:rsid w:val="009239B5"/>
    <w:rsid w:val="009267A6"/>
    <w:rsid w:val="00927D93"/>
    <w:rsid w:val="00927FE2"/>
    <w:rsid w:val="009304AB"/>
    <w:rsid w:val="00932EE0"/>
    <w:rsid w:val="009333CB"/>
    <w:rsid w:val="00934102"/>
    <w:rsid w:val="009358B7"/>
    <w:rsid w:val="00940C2B"/>
    <w:rsid w:val="00941E4A"/>
    <w:rsid w:val="009426FF"/>
    <w:rsid w:val="00942983"/>
    <w:rsid w:val="00942D34"/>
    <w:rsid w:val="00943AE0"/>
    <w:rsid w:val="009458C6"/>
    <w:rsid w:val="00945B06"/>
    <w:rsid w:val="0094602A"/>
    <w:rsid w:val="00947341"/>
    <w:rsid w:val="00947FFD"/>
    <w:rsid w:val="00950013"/>
    <w:rsid w:val="0095012E"/>
    <w:rsid w:val="009503CF"/>
    <w:rsid w:val="00951738"/>
    <w:rsid w:val="00951CA1"/>
    <w:rsid w:val="00953167"/>
    <w:rsid w:val="0095695B"/>
    <w:rsid w:val="00956D9F"/>
    <w:rsid w:val="00963E3D"/>
    <w:rsid w:val="00964B20"/>
    <w:rsid w:val="009669AE"/>
    <w:rsid w:val="00967320"/>
    <w:rsid w:val="00971415"/>
    <w:rsid w:val="009714A6"/>
    <w:rsid w:val="00972229"/>
    <w:rsid w:val="00973230"/>
    <w:rsid w:val="00973303"/>
    <w:rsid w:val="00973AF6"/>
    <w:rsid w:val="009744D7"/>
    <w:rsid w:val="009744F6"/>
    <w:rsid w:val="009745C2"/>
    <w:rsid w:val="00975971"/>
    <w:rsid w:val="0097670F"/>
    <w:rsid w:val="00976AD5"/>
    <w:rsid w:val="00980294"/>
    <w:rsid w:val="0098090D"/>
    <w:rsid w:val="00983E8A"/>
    <w:rsid w:val="009865F6"/>
    <w:rsid w:val="00986D5E"/>
    <w:rsid w:val="00986DBF"/>
    <w:rsid w:val="009879E2"/>
    <w:rsid w:val="00987B83"/>
    <w:rsid w:val="00993AB9"/>
    <w:rsid w:val="00995053"/>
    <w:rsid w:val="0099595E"/>
    <w:rsid w:val="00995E23"/>
    <w:rsid w:val="0099684A"/>
    <w:rsid w:val="00997858"/>
    <w:rsid w:val="00997D5B"/>
    <w:rsid w:val="009A03C4"/>
    <w:rsid w:val="009A0802"/>
    <w:rsid w:val="009A2E90"/>
    <w:rsid w:val="009A3F8C"/>
    <w:rsid w:val="009A62E2"/>
    <w:rsid w:val="009A6C98"/>
    <w:rsid w:val="009B02C7"/>
    <w:rsid w:val="009B1E55"/>
    <w:rsid w:val="009B2200"/>
    <w:rsid w:val="009B3E74"/>
    <w:rsid w:val="009B4319"/>
    <w:rsid w:val="009B4543"/>
    <w:rsid w:val="009B495F"/>
    <w:rsid w:val="009B541A"/>
    <w:rsid w:val="009B75D4"/>
    <w:rsid w:val="009C0323"/>
    <w:rsid w:val="009C19CB"/>
    <w:rsid w:val="009C1C4C"/>
    <w:rsid w:val="009C2201"/>
    <w:rsid w:val="009C2D73"/>
    <w:rsid w:val="009C4779"/>
    <w:rsid w:val="009C5577"/>
    <w:rsid w:val="009C5EEE"/>
    <w:rsid w:val="009D063B"/>
    <w:rsid w:val="009D0CCE"/>
    <w:rsid w:val="009D3018"/>
    <w:rsid w:val="009D408C"/>
    <w:rsid w:val="009E1969"/>
    <w:rsid w:val="009E1E0B"/>
    <w:rsid w:val="009E2BA0"/>
    <w:rsid w:val="009E2C5D"/>
    <w:rsid w:val="009E4293"/>
    <w:rsid w:val="009E7CDC"/>
    <w:rsid w:val="009E7D3F"/>
    <w:rsid w:val="009E7E2B"/>
    <w:rsid w:val="009F1374"/>
    <w:rsid w:val="009F1F3A"/>
    <w:rsid w:val="009F22AB"/>
    <w:rsid w:val="009F41F7"/>
    <w:rsid w:val="009F4D90"/>
    <w:rsid w:val="009F4DA4"/>
    <w:rsid w:val="009F70B1"/>
    <w:rsid w:val="009F7562"/>
    <w:rsid w:val="00A01182"/>
    <w:rsid w:val="00A030E2"/>
    <w:rsid w:val="00A03496"/>
    <w:rsid w:val="00A03BF3"/>
    <w:rsid w:val="00A064FB"/>
    <w:rsid w:val="00A06DF0"/>
    <w:rsid w:val="00A10F49"/>
    <w:rsid w:val="00A117D8"/>
    <w:rsid w:val="00A12DDB"/>
    <w:rsid w:val="00A13173"/>
    <w:rsid w:val="00A1543B"/>
    <w:rsid w:val="00A16C1C"/>
    <w:rsid w:val="00A170DF"/>
    <w:rsid w:val="00A200A6"/>
    <w:rsid w:val="00A20434"/>
    <w:rsid w:val="00A20798"/>
    <w:rsid w:val="00A20C4D"/>
    <w:rsid w:val="00A2160E"/>
    <w:rsid w:val="00A21708"/>
    <w:rsid w:val="00A21B3F"/>
    <w:rsid w:val="00A26399"/>
    <w:rsid w:val="00A26551"/>
    <w:rsid w:val="00A36467"/>
    <w:rsid w:val="00A36CF9"/>
    <w:rsid w:val="00A37802"/>
    <w:rsid w:val="00A47B13"/>
    <w:rsid w:val="00A47E82"/>
    <w:rsid w:val="00A55FC8"/>
    <w:rsid w:val="00A60CFC"/>
    <w:rsid w:val="00A61637"/>
    <w:rsid w:val="00A6340B"/>
    <w:rsid w:val="00A64BF4"/>
    <w:rsid w:val="00A655E7"/>
    <w:rsid w:val="00A65D4E"/>
    <w:rsid w:val="00A664ED"/>
    <w:rsid w:val="00A672D2"/>
    <w:rsid w:val="00A72AC6"/>
    <w:rsid w:val="00A747A9"/>
    <w:rsid w:val="00A74BC7"/>
    <w:rsid w:val="00A75895"/>
    <w:rsid w:val="00A7771A"/>
    <w:rsid w:val="00A8019D"/>
    <w:rsid w:val="00A817D6"/>
    <w:rsid w:val="00A821A7"/>
    <w:rsid w:val="00A821F4"/>
    <w:rsid w:val="00A823D1"/>
    <w:rsid w:val="00A82F95"/>
    <w:rsid w:val="00A831DE"/>
    <w:rsid w:val="00A845E8"/>
    <w:rsid w:val="00A86D68"/>
    <w:rsid w:val="00A93CD1"/>
    <w:rsid w:val="00A94F6C"/>
    <w:rsid w:val="00A95037"/>
    <w:rsid w:val="00AA22E6"/>
    <w:rsid w:val="00AA2AFE"/>
    <w:rsid w:val="00AA386A"/>
    <w:rsid w:val="00AA693C"/>
    <w:rsid w:val="00AA6C18"/>
    <w:rsid w:val="00AA6E75"/>
    <w:rsid w:val="00AA7A9A"/>
    <w:rsid w:val="00AA7E96"/>
    <w:rsid w:val="00AB0CD3"/>
    <w:rsid w:val="00AB1A10"/>
    <w:rsid w:val="00AB218C"/>
    <w:rsid w:val="00AB2C33"/>
    <w:rsid w:val="00AB4863"/>
    <w:rsid w:val="00AB5991"/>
    <w:rsid w:val="00AC0230"/>
    <w:rsid w:val="00AC0FAF"/>
    <w:rsid w:val="00AC4587"/>
    <w:rsid w:val="00AC4FBF"/>
    <w:rsid w:val="00AC52A2"/>
    <w:rsid w:val="00AC5C62"/>
    <w:rsid w:val="00AC6037"/>
    <w:rsid w:val="00AC681A"/>
    <w:rsid w:val="00AC6FAA"/>
    <w:rsid w:val="00AD08BC"/>
    <w:rsid w:val="00AD0C7B"/>
    <w:rsid w:val="00AD187F"/>
    <w:rsid w:val="00AD19D4"/>
    <w:rsid w:val="00AD20D3"/>
    <w:rsid w:val="00AD3633"/>
    <w:rsid w:val="00AD4157"/>
    <w:rsid w:val="00AD47EC"/>
    <w:rsid w:val="00AD652A"/>
    <w:rsid w:val="00AD6D1D"/>
    <w:rsid w:val="00AE0CAB"/>
    <w:rsid w:val="00AE12B3"/>
    <w:rsid w:val="00AE2212"/>
    <w:rsid w:val="00AE3C9E"/>
    <w:rsid w:val="00AE4072"/>
    <w:rsid w:val="00AE414C"/>
    <w:rsid w:val="00AE5238"/>
    <w:rsid w:val="00AE6AAE"/>
    <w:rsid w:val="00AE70B7"/>
    <w:rsid w:val="00AE7739"/>
    <w:rsid w:val="00AE78C2"/>
    <w:rsid w:val="00AF31AE"/>
    <w:rsid w:val="00AF3431"/>
    <w:rsid w:val="00AF3727"/>
    <w:rsid w:val="00AF5911"/>
    <w:rsid w:val="00AF63E1"/>
    <w:rsid w:val="00AF6A01"/>
    <w:rsid w:val="00AF6A2A"/>
    <w:rsid w:val="00AF713E"/>
    <w:rsid w:val="00B008C3"/>
    <w:rsid w:val="00B01055"/>
    <w:rsid w:val="00B029B5"/>
    <w:rsid w:val="00B02AA6"/>
    <w:rsid w:val="00B03794"/>
    <w:rsid w:val="00B04058"/>
    <w:rsid w:val="00B049D1"/>
    <w:rsid w:val="00B05ABC"/>
    <w:rsid w:val="00B06AD8"/>
    <w:rsid w:val="00B10854"/>
    <w:rsid w:val="00B11421"/>
    <w:rsid w:val="00B11607"/>
    <w:rsid w:val="00B12D33"/>
    <w:rsid w:val="00B139DE"/>
    <w:rsid w:val="00B13CE3"/>
    <w:rsid w:val="00B13E43"/>
    <w:rsid w:val="00B13FF2"/>
    <w:rsid w:val="00B15E77"/>
    <w:rsid w:val="00B1630F"/>
    <w:rsid w:val="00B2104D"/>
    <w:rsid w:val="00B213BB"/>
    <w:rsid w:val="00B215E5"/>
    <w:rsid w:val="00B22C80"/>
    <w:rsid w:val="00B2448A"/>
    <w:rsid w:val="00B2449B"/>
    <w:rsid w:val="00B24D9A"/>
    <w:rsid w:val="00B265CE"/>
    <w:rsid w:val="00B2734F"/>
    <w:rsid w:val="00B312D5"/>
    <w:rsid w:val="00B315FD"/>
    <w:rsid w:val="00B3179D"/>
    <w:rsid w:val="00B31E2C"/>
    <w:rsid w:val="00B337CF"/>
    <w:rsid w:val="00B3423B"/>
    <w:rsid w:val="00B34A5C"/>
    <w:rsid w:val="00B352E5"/>
    <w:rsid w:val="00B40EE9"/>
    <w:rsid w:val="00B4133C"/>
    <w:rsid w:val="00B42E41"/>
    <w:rsid w:val="00B42F58"/>
    <w:rsid w:val="00B434A8"/>
    <w:rsid w:val="00B437B9"/>
    <w:rsid w:val="00B43AE6"/>
    <w:rsid w:val="00B43ED5"/>
    <w:rsid w:val="00B44130"/>
    <w:rsid w:val="00B454C8"/>
    <w:rsid w:val="00B46DE0"/>
    <w:rsid w:val="00B5107F"/>
    <w:rsid w:val="00B52DFB"/>
    <w:rsid w:val="00B52F0F"/>
    <w:rsid w:val="00B53047"/>
    <w:rsid w:val="00B53F64"/>
    <w:rsid w:val="00B5550C"/>
    <w:rsid w:val="00B5693B"/>
    <w:rsid w:val="00B56E99"/>
    <w:rsid w:val="00B57505"/>
    <w:rsid w:val="00B577AA"/>
    <w:rsid w:val="00B57C4D"/>
    <w:rsid w:val="00B612CF"/>
    <w:rsid w:val="00B621D6"/>
    <w:rsid w:val="00B633CC"/>
    <w:rsid w:val="00B64820"/>
    <w:rsid w:val="00B66D71"/>
    <w:rsid w:val="00B70403"/>
    <w:rsid w:val="00B704D7"/>
    <w:rsid w:val="00B70F23"/>
    <w:rsid w:val="00B713C1"/>
    <w:rsid w:val="00B722AC"/>
    <w:rsid w:val="00B72D80"/>
    <w:rsid w:val="00B7311C"/>
    <w:rsid w:val="00B73A18"/>
    <w:rsid w:val="00B75CB7"/>
    <w:rsid w:val="00B75E6D"/>
    <w:rsid w:val="00B75FCF"/>
    <w:rsid w:val="00B7653C"/>
    <w:rsid w:val="00B77685"/>
    <w:rsid w:val="00B817C9"/>
    <w:rsid w:val="00B838EA"/>
    <w:rsid w:val="00B83FE8"/>
    <w:rsid w:val="00B84C99"/>
    <w:rsid w:val="00B9183A"/>
    <w:rsid w:val="00B919FE"/>
    <w:rsid w:val="00B927D5"/>
    <w:rsid w:val="00B94848"/>
    <w:rsid w:val="00B966FF"/>
    <w:rsid w:val="00BA1335"/>
    <w:rsid w:val="00BA158F"/>
    <w:rsid w:val="00BA261E"/>
    <w:rsid w:val="00BA2EA1"/>
    <w:rsid w:val="00BA3C1C"/>
    <w:rsid w:val="00BA6B58"/>
    <w:rsid w:val="00BB0719"/>
    <w:rsid w:val="00BB17D3"/>
    <w:rsid w:val="00BB1B61"/>
    <w:rsid w:val="00BB2C41"/>
    <w:rsid w:val="00BB2F8A"/>
    <w:rsid w:val="00BB31A6"/>
    <w:rsid w:val="00BB5B60"/>
    <w:rsid w:val="00BB614C"/>
    <w:rsid w:val="00BB6A81"/>
    <w:rsid w:val="00BC20FA"/>
    <w:rsid w:val="00BC3458"/>
    <w:rsid w:val="00BC3FE5"/>
    <w:rsid w:val="00BC4173"/>
    <w:rsid w:val="00BC4715"/>
    <w:rsid w:val="00BC55A7"/>
    <w:rsid w:val="00BC75D9"/>
    <w:rsid w:val="00BD18F8"/>
    <w:rsid w:val="00BD1E8E"/>
    <w:rsid w:val="00BD22AE"/>
    <w:rsid w:val="00BD27A5"/>
    <w:rsid w:val="00BD28C0"/>
    <w:rsid w:val="00BD2EB1"/>
    <w:rsid w:val="00BD34F3"/>
    <w:rsid w:val="00BD3D5C"/>
    <w:rsid w:val="00BD6A2F"/>
    <w:rsid w:val="00BE2F50"/>
    <w:rsid w:val="00BE3015"/>
    <w:rsid w:val="00BE493E"/>
    <w:rsid w:val="00BE52EE"/>
    <w:rsid w:val="00BE53F5"/>
    <w:rsid w:val="00BE55AA"/>
    <w:rsid w:val="00BE5CC2"/>
    <w:rsid w:val="00BE5F57"/>
    <w:rsid w:val="00BE6543"/>
    <w:rsid w:val="00BE798F"/>
    <w:rsid w:val="00BE7E2E"/>
    <w:rsid w:val="00BF5017"/>
    <w:rsid w:val="00BF5AC0"/>
    <w:rsid w:val="00BF5FB9"/>
    <w:rsid w:val="00BF6076"/>
    <w:rsid w:val="00C00A95"/>
    <w:rsid w:val="00C0106B"/>
    <w:rsid w:val="00C02516"/>
    <w:rsid w:val="00C058C2"/>
    <w:rsid w:val="00C0600A"/>
    <w:rsid w:val="00C06469"/>
    <w:rsid w:val="00C07961"/>
    <w:rsid w:val="00C11A64"/>
    <w:rsid w:val="00C12517"/>
    <w:rsid w:val="00C135BC"/>
    <w:rsid w:val="00C14406"/>
    <w:rsid w:val="00C15F29"/>
    <w:rsid w:val="00C16119"/>
    <w:rsid w:val="00C16230"/>
    <w:rsid w:val="00C1690D"/>
    <w:rsid w:val="00C20A14"/>
    <w:rsid w:val="00C21E57"/>
    <w:rsid w:val="00C222DC"/>
    <w:rsid w:val="00C22D4E"/>
    <w:rsid w:val="00C22F14"/>
    <w:rsid w:val="00C22FA5"/>
    <w:rsid w:val="00C26B3C"/>
    <w:rsid w:val="00C27D64"/>
    <w:rsid w:val="00C306D6"/>
    <w:rsid w:val="00C310D3"/>
    <w:rsid w:val="00C31886"/>
    <w:rsid w:val="00C31DB4"/>
    <w:rsid w:val="00C33393"/>
    <w:rsid w:val="00C3435C"/>
    <w:rsid w:val="00C348E6"/>
    <w:rsid w:val="00C36956"/>
    <w:rsid w:val="00C370FE"/>
    <w:rsid w:val="00C40207"/>
    <w:rsid w:val="00C41413"/>
    <w:rsid w:val="00C4190D"/>
    <w:rsid w:val="00C4296C"/>
    <w:rsid w:val="00C434CC"/>
    <w:rsid w:val="00C43CCA"/>
    <w:rsid w:val="00C4503E"/>
    <w:rsid w:val="00C50CCE"/>
    <w:rsid w:val="00C51565"/>
    <w:rsid w:val="00C51E46"/>
    <w:rsid w:val="00C522BA"/>
    <w:rsid w:val="00C52D5A"/>
    <w:rsid w:val="00C53047"/>
    <w:rsid w:val="00C56BDC"/>
    <w:rsid w:val="00C56C15"/>
    <w:rsid w:val="00C625EB"/>
    <w:rsid w:val="00C66297"/>
    <w:rsid w:val="00C675CA"/>
    <w:rsid w:val="00C71651"/>
    <w:rsid w:val="00C72F33"/>
    <w:rsid w:val="00C74477"/>
    <w:rsid w:val="00C74734"/>
    <w:rsid w:val="00C7577C"/>
    <w:rsid w:val="00C76170"/>
    <w:rsid w:val="00C80F6F"/>
    <w:rsid w:val="00C84342"/>
    <w:rsid w:val="00C84B6C"/>
    <w:rsid w:val="00C8541C"/>
    <w:rsid w:val="00C85527"/>
    <w:rsid w:val="00C86CA8"/>
    <w:rsid w:val="00C87844"/>
    <w:rsid w:val="00C90559"/>
    <w:rsid w:val="00C9099C"/>
    <w:rsid w:val="00C90BAD"/>
    <w:rsid w:val="00C912EA"/>
    <w:rsid w:val="00C913E1"/>
    <w:rsid w:val="00C926B4"/>
    <w:rsid w:val="00C92815"/>
    <w:rsid w:val="00C93C62"/>
    <w:rsid w:val="00C93CFB"/>
    <w:rsid w:val="00C96175"/>
    <w:rsid w:val="00C97382"/>
    <w:rsid w:val="00CA03C1"/>
    <w:rsid w:val="00CA0FFB"/>
    <w:rsid w:val="00CA21E5"/>
    <w:rsid w:val="00CA4BAE"/>
    <w:rsid w:val="00CA4CD6"/>
    <w:rsid w:val="00CB0BD7"/>
    <w:rsid w:val="00CB1E48"/>
    <w:rsid w:val="00CB2AD6"/>
    <w:rsid w:val="00CB30E4"/>
    <w:rsid w:val="00CB35D1"/>
    <w:rsid w:val="00CB485F"/>
    <w:rsid w:val="00CB489A"/>
    <w:rsid w:val="00CB52B4"/>
    <w:rsid w:val="00CB5CEF"/>
    <w:rsid w:val="00CC0657"/>
    <w:rsid w:val="00CC0CB2"/>
    <w:rsid w:val="00CC0F0B"/>
    <w:rsid w:val="00CC1072"/>
    <w:rsid w:val="00CC267B"/>
    <w:rsid w:val="00CC28AB"/>
    <w:rsid w:val="00CC294C"/>
    <w:rsid w:val="00CC2970"/>
    <w:rsid w:val="00CC3487"/>
    <w:rsid w:val="00CC523E"/>
    <w:rsid w:val="00CC5C93"/>
    <w:rsid w:val="00CC6BCE"/>
    <w:rsid w:val="00CD0123"/>
    <w:rsid w:val="00CD0ACB"/>
    <w:rsid w:val="00CD2141"/>
    <w:rsid w:val="00CD2CBD"/>
    <w:rsid w:val="00CD3770"/>
    <w:rsid w:val="00CD3A9D"/>
    <w:rsid w:val="00CD4E85"/>
    <w:rsid w:val="00CD662C"/>
    <w:rsid w:val="00CD664E"/>
    <w:rsid w:val="00CD738A"/>
    <w:rsid w:val="00CE1A86"/>
    <w:rsid w:val="00CE1BCE"/>
    <w:rsid w:val="00CE2049"/>
    <w:rsid w:val="00CE450F"/>
    <w:rsid w:val="00CE4991"/>
    <w:rsid w:val="00CE6FFA"/>
    <w:rsid w:val="00CE70AA"/>
    <w:rsid w:val="00CE7534"/>
    <w:rsid w:val="00CF0050"/>
    <w:rsid w:val="00CF05C0"/>
    <w:rsid w:val="00CF3527"/>
    <w:rsid w:val="00CF4B28"/>
    <w:rsid w:val="00CF71D1"/>
    <w:rsid w:val="00D04F29"/>
    <w:rsid w:val="00D06E80"/>
    <w:rsid w:val="00D0708B"/>
    <w:rsid w:val="00D07318"/>
    <w:rsid w:val="00D07398"/>
    <w:rsid w:val="00D0740E"/>
    <w:rsid w:val="00D127E5"/>
    <w:rsid w:val="00D133A7"/>
    <w:rsid w:val="00D13B70"/>
    <w:rsid w:val="00D14E4F"/>
    <w:rsid w:val="00D1689D"/>
    <w:rsid w:val="00D2017F"/>
    <w:rsid w:val="00D2026D"/>
    <w:rsid w:val="00D2163C"/>
    <w:rsid w:val="00D22376"/>
    <w:rsid w:val="00D22E56"/>
    <w:rsid w:val="00D22ED9"/>
    <w:rsid w:val="00D23982"/>
    <w:rsid w:val="00D23FA5"/>
    <w:rsid w:val="00D304D2"/>
    <w:rsid w:val="00D31564"/>
    <w:rsid w:val="00D3272B"/>
    <w:rsid w:val="00D32901"/>
    <w:rsid w:val="00D34536"/>
    <w:rsid w:val="00D3507E"/>
    <w:rsid w:val="00D35112"/>
    <w:rsid w:val="00D37AA6"/>
    <w:rsid w:val="00D410BA"/>
    <w:rsid w:val="00D41C19"/>
    <w:rsid w:val="00D427A0"/>
    <w:rsid w:val="00D42C75"/>
    <w:rsid w:val="00D43D3B"/>
    <w:rsid w:val="00D4454A"/>
    <w:rsid w:val="00D44C1C"/>
    <w:rsid w:val="00D463FD"/>
    <w:rsid w:val="00D46C7A"/>
    <w:rsid w:val="00D50605"/>
    <w:rsid w:val="00D51685"/>
    <w:rsid w:val="00D51990"/>
    <w:rsid w:val="00D52983"/>
    <w:rsid w:val="00D53DB4"/>
    <w:rsid w:val="00D56FC2"/>
    <w:rsid w:val="00D57D9E"/>
    <w:rsid w:val="00D60295"/>
    <w:rsid w:val="00D609A3"/>
    <w:rsid w:val="00D61625"/>
    <w:rsid w:val="00D6184C"/>
    <w:rsid w:val="00D636C2"/>
    <w:rsid w:val="00D63764"/>
    <w:rsid w:val="00D63AFA"/>
    <w:rsid w:val="00D63E88"/>
    <w:rsid w:val="00D651C4"/>
    <w:rsid w:val="00D65549"/>
    <w:rsid w:val="00D65931"/>
    <w:rsid w:val="00D66866"/>
    <w:rsid w:val="00D7055F"/>
    <w:rsid w:val="00D70666"/>
    <w:rsid w:val="00D70D11"/>
    <w:rsid w:val="00D73B93"/>
    <w:rsid w:val="00D74F38"/>
    <w:rsid w:val="00D768C9"/>
    <w:rsid w:val="00D77775"/>
    <w:rsid w:val="00D82A17"/>
    <w:rsid w:val="00D85BFB"/>
    <w:rsid w:val="00D85FD1"/>
    <w:rsid w:val="00D86F4D"/>
    <w:rsid w:val="00D873EB"/>
    <w:rsid w:val="00D8771B"/>
    <w:rsid w:val="00D91F34"/>
    <w:rsid w:val="00D922B9"/>
    <w:rsid w:val="00D93F02"/>
    <w:rsid w:val="00D94A3D"/>
    <w:rsid w:val="00D97501"/>
    <w:rsid w:val="00DA0F57"/>
    <w:rsid w:val="00DA1CEA"/>
    <w:rsid w:val="00DA1FC8"/>
    <w:rsid w:val="00DA2255"/>
    <w:rsid w:val="00DA597A"/>
    <w:rsid w:val="00DB1105"/>
    <w:rsid w:val="00DB5E7A"/>
    <w:rsid w:val="00DC270F"/>
    <w:rsid w:val="00DC5121"/>
    <w:rsid w:val="00DC6DAF"/>
    <w:rsid w:val="00DD0065"/>
    <w:rsid w:val="00DD0DF9"/>
    <w:rsid w:val="00DD120E"/>
    <w:rsid w:val="00DD24DA"/>
    <w:rsid w:val="00DD2DD0"/>
    <w:rsid w:val="00DD3883"/>
    <w:rsid w:val="00DD4675"/>
    <w:rsid w:val="00DD4D33"/>
    <w:rsid w:val="00DD5821"/>
    <w:rsid w:val="00DD5CF5"/>
    <w:rsid w:val="00DE0037"/>
    <w:rsid w:val="00DE113E"/>
    <w:rsid w:val="00DE1C0A"/>
    <w:rsid w:val="00DE2B7E"/>
    <w:rsid w:val="00DE52EC"/>
    <w:rsid w:val="00DE6CE0"/>
    <w:rsid w:val="00DF3C3C"/>
    <w:rsid w:val="00DF5FB9"/>
    <w:rsid w:val="00DF6D1F"/>
    <w:rsid w:val="00DF775E"/>
    <w:rsid w:val="00DF7BF2"/>
    <w:rsid w:val="00DF7F46"/>
    <w:rsid w:val="00E00E3A"/>
    <w:rsid w:val="00E011A2"/>
    <w:rsid w:val="00E0361A"/>
    <w:rsid w:val="00E03C79"/>
    <w:rsid w:val="00E06B70"/>
    <w:rsid w:val="00E070F6"/>
    <w:rsid w:val="00E130D3"/>
    <w:rsid w:val="00E161B5"/>
    <w:rsid w:val="00E163A6"/>
    <w:rsid w:val="00E16944"/>
    <w:rsid w:val="00E2069C"/>
    <w:rsid w:val="00E229F9"/>
    <w:rsid w:val="00E24040"/>
    <w:rsid w:val="00E24686"/>
    <w:rsid w:val="00E31CC8"/>
    <w:rsid w:val="00E31D4E"/>
    <w:rsid w:val="00E35507"/>
    <w:rsid w:val="00E3709E"/>
    <w:rsid w:val="00E373C7"/>
    <w:rsid w:val="00E376CB"/>
    <w:rsid w:val="00E40626"/>
    <w:rsid w:val="00E40FF6"/>
    <w:rsid w:val="00E42E2E"/>
    <w:rsid w:val="00E43073"/>
    <w:rsid w:val="00E43E49"/>
    <w:rsid w:val="00E44532"/>
    <w:rsid w:val="00E45822"/>
    <w:rsid w:val="00E45B4A"/>
    <w:rsid w:val="00E470A1"/>
    <w:rsid w:val="00E479D0"/>
    <w:rsid w:val="00E50659"/>
    <w:rsid w:val="00E5429B"/>
    <w:rsid w:val="00E56843"/>
    <w:rsid w:val="00E5694C"/>
    <w:rsid w:val="00E60DAF"/>
    <w:rsid w:val="00E60F40"/>
    <w:rsid w:val="00E6275F"/>
    <w:rsid w:val="00E6344C"/>
    <w:rsid w:val="00E63903"/>
    <w:rsid w:val="00E6520A"/>
    <w:rsid w:val="00E6674E"/>
    <w:rsid w:val="00E701A1"/>
    <w:rsid w:val="00E70389"/>
    <w:rsid w:val="00E71B52"/>
    <w:rsid w:val="00E75694"/>
    <w:rsid w:val="00E758E1"/>
    <w:rsid w:val="00E75C4E"/>
    <w:rsid w:val="00E80017"/>
    <w:rsid w:val="00E8034E"/>
    <w:rsid w:val="00E81BE9"/>
    <w:rsid w:val="00E8242C"/>
    <w:rsid w:val="00E84CA7"/>
    <w:rsid w:val="00E879BB"/>
    <w:rsid w:val="00E917AC"/>
    <w:rsid w:val="00E922C7"/>
    <w:rsid w:val="00E926BC"/>
    <w:rsid w:val="00E96965"/>
    <w:rsid w:val="00E9720C"/>
    <w:rsid w:val="00EA24A3"/>
    <w:rsid w:val="00EA2604"/>
    <w:rsid w:val="00EA264D"/>
    <w:rsid w:val="00EA325A"/>
    <w:rsid w:val="00EA333C"/>
    <w:rsid w:val="00EA35F0"/>
    <w:rsid w:val="00EA3FAD"/>
    <w:rsid w:val="00EA5935"/>
    <w:rsid w:val="00EA6FA4"/>
    <w:rsid w:val="00EA7FC7"/>
    <w:rsid w:val="00EB04D3"/>
    <w:rsid w:val="00EB0BD8"/>
    <w:rsid w:val="00EB524F"/>
    <w:rsid w:val="00EB553E"/>
    <w:rsid w:val="00EB5A49"/>
    <w:rsid w:val="00EB72D1"/>
    <w:rsid w:val="00EC1E2A"/>
    <w:rsid w:val="00EC3DF1"/>
    <w:rsid w:val="00EC4269"/>
    <w:rsid w:val="00EC44B5"/>
    <w:rsid w:val="00EC5525"/>
    <w:rsid w:val="00EC56A9"/>
    <w:rsid w:val="00EC6F81"/>
    <w:rsid w:val="00EC7F30"/>
    <w:rsid w:val="00ED0CB2"/>
    <w:rsid w:val="00ED57E1"/>
    <w:rsid w:val="00ED5D5E"/>
    <w:rsid w:val="00ED6A33"/>
    <w:rsid w:val="00ED6A42"/>
    <w:rsid w:val="00ED6AAE"/>
    <w:rsid w:val="00ED6F81"/>
    <w:rsid w:val="00ED77F5"/>
    <w:rsid w:val="00ED7BFA"/>
    <w:rsid w:val="00EE204E"/>
    <w:rsid w:val="00EE299A"/>
    <w:rsid w:val="00EE3883"/>
    <w:rsid w:val="00EE4765"/>
    <w:rsid w:val="00EE4C97"/>
    <w:rsid w:val="00EE59DD"/>
    <w:rsid w:val="00EE600D"/>
    <w:rsid w:val="00EE6C5D"/>
    <w:rsid w:val="00EE700D"/>
    <w:rsid w:val="00EE73E2"/>
    <w:rsid w:val="00EE7704"/>
    <w:rsid w:val="00EF106A"/>
    <w:rsid w:val="00EF1362"/>
    <w:rsid w:val="00EF2078"/>
    <w:rsid w:val="00EF2156"/>
    <w:rsid w:val="00EF2534"/>
    <w:rsid w:val="00EF277B"/>
    <w:rsid w:val="00EF2D21"/>
    <w:rsid w:val="00EF4918"/>
    <w:rsid w:val="00EF4C1C"/>
    <w:rsid w:val="00EF5F02"/>
    <w:rsid w:val="00EF6037"/>
    <w:rsid w:val="00EF6AE8"/>
    <w:rsid w:val="00EF6D17"/>
    <w:rsid w:val="00F00288"/>
    <w:rsid w:val="00F017D8"/>
    <w:rsid w:val="00F0303F"/>
    <w:rsid w:val="00F05D9D"/>
    <w:rsid w:val="00F07683"/>
    <w:rsid w:val="00F07DCF"/>
    <w:rsid w:val="00F10264"/>
    <w:rsid w:val="00F10D8F"/>
    <w:rsid w:val="00F13A6E"/>
    <w:rsid w:val="00F152F3"/>
    <w:rsid w:val="00F15492"/>
    <w:rsid w:val="00F15F07"/>
    <w:rsid w:val="00F167B7"/>
    <w:rsid w:val="00F175EA"/>
    <w:rsid w:val="00F17BA4"/>
    <w:rsid w:val="00F17C0F"/>
    <w:rsid w:val="00F20361"/>
    <w:rsid w:val="00F205A2"/>
    <w:rsid w:val="00F22CAF"/>
    <w:rsid w:val="00F244F1"/>
    <w:rsid w:val="00F24794"/>
    <w:rsid w:val="00F274FE"/>
    <w:rsid w:val="00F27C42"/>
    <w:rsid w:val="00F30420"/>
    <w:rsid w:val="00F31F71"/>
    <w:rsid w:val="00F334A9"/>
    <w:rsid w:val="00F34EF8"/>
    <w:rsid w:val="00F3529E"/>
    <w:rsid w:val="00F37655"/>
    <w:rsid w:val="00F43954"/>
    <w:rsid w:val="00F43CFC"/>
    <w:rsid w:val="00F50D50"/>
    <w:rsid w:val="00F51306"/>
    <w:rsid w:val="00F52802"/>
    <w:rsid w:val="00F54869"/>
    <w:rsid w:val="00F60A82"/>
    <w:rsid w:val="00F61359"/>
    <w:rsid w:val="00F62557"/>
    <w:rsid w:val="00F63F9D"/>
    <w:rsid w:val="00F63FBC"/>
    <w:rsid w:val="00F67A7D"/>
    <w:rsid w:val="00F73FBE"/>
    <w:rsid w:val="00F74987"/>
    <w:rsid w:val="00F80403"/>
    <w:rsid w:val="00F816F8"/>
    <w:rsid w:val="00F83291"/>
    <w:rsid w:val="00F8412E"/>
    <w:rsid w:val="00F85834"/>
    <w:rsid w:val="00F85D9C"/>
    <w:rsid w:val="00F87C44"/>
    <w:rsid w:val="00F87D5D"/>
    <w:rsid w:val="00F919B9"/>
    <w:rsid w:val="00F925A8"/>
    <w:rsid w:val="00F930D5"/>
    <w:rsid w:val="00F93CA5"/>
    <w:rsid w:val="00F94993"/>
    <w:rsid w:val="00F9591D"/>
    <w:rsid w:val="00F95EFC"/>
    <w:rsid w:val="00F9712F"/>
    <w:rsid w:val="00FA1059"/>
    <w:rsid w:val="00FA11EC"/>
    <w:rsid w:val="00FA20B2"/>
    <w:rsid w:val="00FA2D50"/>
    <w:rsid w:val="00FA3066"/>
    <w:rsid w:val="00FA42B9"/>
    <w:rsid w:val="00FA42E9"/>
    <w:rsid w:val="00FA59D2"/>
    <w:rsid w:val="00FA701D"/>
    <w:rsid w:val="00FA7902"/>
    <w:rsid w:val="00FB4ECE"/>
    <w:rsid w:val="00FB624D"/>
    <w:rsid w:val="00FB6804"/>
    <w:rsid w:val="00FB700D"/>
    <w:rsid w:val="00FB71AF"/>
    <w:rsid w:val="00FB75E1"/>
    <w:rsid w:val="00FB7DEC"/>
    <w:rsid w:val="00FC0A99"/>
    <w:rsid w:val="00FC1071"/>
    <w:rsid w:val="00FC1A70"/>
    <w:rsid w:val="00FC250F"/>
    <w:rsid w:val="00FC442A"/>
    <w:rsid w:val="00FC466B"/>
    <w:rsid w:val="00FC55B2"/>
    <w:rsid w:val="00FC6458"/>
    <w:rsid w:val="00FC7084"/>
    <w:rsid w:val="00FD050F"/>
    <w:rsid w:val="00FD3007"/>
    <w:rsid w:val="00FD34EE"/>
    <w:rsid w:val="00FD55A0"/>
    <w:rsid w:val="00FD7517"/>
    <w:rsid w:val="00FD7EE7"/>
    <w:rsid w:val="00FE36CD"/>
    <w:rsid w:val="00FE3FD0"/>
    <w:rsid w:val="00FE4037"/>
    <w:rsid w:val="00FE4703"/>
    <w:rsid w:val="00FE57D2"/>
    <w:rsid w:val="00FE66F2"/>
    <w:rsid w:val="00FF0508"/>
    <w:rsid w:val="00FF2273"/>
    <w:rsid w:val="00FF264E"/>
    <w:rsid w:val="00FF27C5"/>
    <w:rsid w:val="00FF35E4"/>
    <w:rsid w:val="00FF3B87"/>
    <w:rsid w:val="00FF4E64"/>
    <w:rsid w:val="00FF5423"/>
    <w:rsid w:val="00FF57BB"/>
    <w:rsid w:val="00FF5FAF"/>
    <w:rsid w:val="01FF1F27"/>
    <w:rsid w:val="026E2AF7"/>
    <w:rsid w:val="02FC45A7"/>
    <w:rsid w:val="048D1F81"/>
    <w:rsid w:val="05137986"/>
    <w:rsid w:val="058353A7"/>
    <w:rsid w:val="067D77AC"/>
    <w:rsid w:val="06826B71"/>
    <w:rsid w:val="070752C8"/>
    <w:rsid w:val="07881677"/>
    <w:rsid w:val="07C144F1"/>
    <w:rsid w:val="07D4164E"/>
    <w:rsid w:val="090146C5"/>
    <w:rsid w:val="09A06E12"/>
    <w:rsid w:val="09AB63DF"/>
    <w:rsid w:val="09C000DC"/>
    <w:rsid w:val="09C851E3"/>
    <w:rsid w:val="0C031065"/>
    <w:rsid w:val="0C4274CE"/>
    <w:rsid w:val="0C931AD8"/>
    <w:rsid w:val="0CB81135"/>
    <w:rsid w:val="0DDA5CC0"/>
    <w:rsid w:val="0E5A7AC4"/>
    <w:rsid w:val="0E5C414B"/>
    <w:rsid w:val="0EF44384"/>
    <w:rsid w:val="0FFC5BE6"/>
    <w:rsid w:val="10190546"/>
    <w:rsid w:val="103F3C1D"/>
    <w:rsid w:val="10546925"/>
    <w:rsid w:val="10615A49"/>
    <w:rsid w:val="107C2883"/>
    <w:rsid w:val="10FD7E68"/>
    <w:rsid w:val="115B2DE0"/>
    <w:rsid w:val="11F678F1"/>
    <w:rsid w:val="128F2D41"/>
    <w:rsid w:val="13F33347"/>
    <w:rsid w:val="14DE3307"/>
    <w:rsid w:val="154C4F1A"/>
    <w:rsid w:val="15DC2BB3"/>
    <w:rsid w:val="168D57EA"/>
    <w:rsid w:val="16BF171B"/>
    <w:rsid w:val="16E96798"/>
    <w:rsid w:val="177D585E"/>
    <w:rsid w:val="179A7D70"/>
    <w:rsid w:val="17F75978"/>
    <w:rsid w:val="18A95E96"/>
    <w:rsid w:val="18F51424"/>
    <w:rsid w:val="1A240213"/>
    <w:rsid w:val="1A9D1D74"/>
    <w:rsid w:val="1B4D00C8"/>
    <w:rsid w:val="1B4E306E"/>
    <w:rsid w:val="1B9B2FF8"/>
    <w:rsid w:val="1C4A7B16"/>
    <w:rsid w:val="1C8D3F23"/>
    <w:rsid w:val="1CE04199"/>
    <w:rsid w:val="1CE343B6"/>
    <w:rsid w:val="1CEA07FA"/>
    <w:rsid w:val="1D4961E3"/>
    <w:rsid w:val="1D6B1F0F"/>
    <w:rsid w:val="1E5243F7"/>
    <w:rsid w:val="1E56548E"/>
    <w:rsid w:val="1E621950"/>
    <w:rsid w:val="1EF6426B"/>
    <w:rsid w:val="1F02489B"/>
    <w:rsid w:val="1F3426BC"/>
    <w:rsid w:val="20E72E04"/>
    <w:rsid w:val="213B3203"/>
    <w:rsid w:val="21CF6478"/>
    <w:rsid w:val="224B0307"/>
    <w:rsid w:val="22905072"/>
    <w:rsid w:val="23531B69"/>
    <w:rsid w:val="237F295E"/>
    <w:rsid w:val="23DB7238"/>
    <w:rsid w:val="241A7FA1"/>
    <w:rsid w:val="24625E86"/>
    <w:rsid w:val="248C70E1"/>
    <w:rsid w:val="25621FEA"/>
    <w:rsid w:val="26846F87"/>
    <w:rsid w:val="26FB7E82"/>
    <w:rsid w:val="27D93AF8"/>
    <w:rsid w:val="286120B7"/>
    <w:rsid w:val="28C130D1"/>
    <w:rsid w:val="298A7967"/>
    <w:rsid w:val="29A65F05"/>
    <w:rsid w:val="2A7C19A5"/>
    <w:rsid w:val="2AAE58D7"/>
    <w:rsid w:val="2AFD641B"/>
    <w:rsid w:val="2BDE13FE"/>
    <w:rsid w:val="2C3047F6"/>
    <w:rsid w:val="2CB2345D"/>
    <w:rsid w:val="2CC83F1A"/>
    <w:rsid w:val="2DEA131C"/>
    <w:rsid w:val="2E5D3EED"/>
    <w:rsid w:val="2F104B00"/>
    <w:rsid w:val="2F1321AD"/>
    <w:rsid w:val="2F4777A0"/>
    <w:rsid w:val="2FE853E7"/>
    <w:rsid w:val="303625F7"/>
    <w:rsid w:val="305D7B03"/>
    <w:rsid w:val="30D77936"/>
    <w:rsid w:val="316879C4"/>
    <w:rsid w:val="31986CE4"/>
    <w:rsid w:val="32092362"/>
    <w:rsid w:val="327B40D3"/>
    <w:rsid w:val="32B45061"/>
    <w:rsid w:val="33B2468A"/>
    <w:rsid w:val="36B10C29"/>
    <w:rsid w:val="36DF12B4"/>
    <w:rsid w:val="39445032"/>
    <w:rsid w:val="3A614714"/>
    <w:rsid w:val="3A655FB2"/>
    <w:rsid w:val="3AC32CD9"/>
    <w:rsid w:val="3B4C7172"/>
    <w:rsid w:val="3B7A3CDF"/>
    <w:rsid w:val="3BBA0580"/>
    <w:rsid w:val="3BC65AF4"/>
    <w:rsid w:val="3BFE10B5"/>
    <w:rsid w:val="3C5462DE"/>
    <w:rsid w:val="3C6504EB"/>
    <w:rsid w:val="3C7A48CD"/>
    <w:rsid w:val="3C970282"/>
    <w:rsid w:val="3CD63197"/>
    <w:rsid w:val="3EE6343A"/>
    <w:rsid w:val="3F6667D2"/>
    <w:rsid w:val="3FD00372"/>
    <w:rsid w:val="404C551E"/>
    <w:rsid w:val="406A5A69"/>
    <w:rsid w:val="409A6103"/>
    <w:rsid w:val="40BC08F6"/>
    <w:rsid w:val="40D519B8"/>
    <w:rsid w:val="40F55BB6"/>
    <w:rsid w:val="41547434"/>
    <w:rsid w:val="41B617E9"/>
    <w:rsid w:val="41F273D2"/>
    <w:rsid w:val="43656BDC"/>
    <w:rsid w:val="43C42299"/>
    <w:rsid w:val="43E8319D"/>
    <w:rsid w:val="442E38B9"/>
    <w:rsid w:val="454F1D39"/>
    <w:rsid w:val="45685B4F"/>
    <w:rsid w:val="45B72E99"/>
    <w:rsid w:val="45E87A97"/>
    <w:rsid w:val="4639156C"/>
    <w:rsid w:val="47081304"/>
    <w:rsid w:val="47737835"/>
    <w:rsid w:val="48F22678"/>
    <w:rsid w:val="48F63812"/>
    <w:rsid w:val="4A9106FD"/>
    <w:rsid w:val="4ADD3943"/>
    <w:rsid w:val="4ADF76BB"/>
    <w:rsid w:val="4B1F1850"/>
    <w:rsid w:val="4B49722A"/>
    <w:rsid w:val="4BDC1E4C"/>
    <w:rsid w:val="4CB96295"/>
    <w:rsid w:val="4D07739D"/>
    <w:rsid w:val="4D9C1893"/>
    <w:rsid w:val="4DC7314B"/>
    <w:rsid w:val="4F3D6EC5"/>
    <w:rsid w:val="4F917EAC"/>
    <w:rsid w:val="4FB81EE6"/>
    <w:rsid w:val="4FD23C92"/>
    <w:rsid w:val="50224938"/>
    <w:rsid w:val="505226DD"/>
    <w:rsid w:val="509E5922"/>
    <w:rsid w:val="511D718F"/>
    <w:rsid w:val="51AA5604"/>
    <w:rsid w:val="52CE635A"/>
    <w:rsid w:val="530812CF"/>
    <w:rsid w:val="538C23AA"/>
    <w:rsid w:val="5402266C"/>
    <w:rsid w:val="54306E8F"/>
    <w:rsid w:val="55D14D73"/>
    <w:rsid w:val="55F930E3"/>
    <w:rsid w:val="56262642"/>
    <w:rsid w:val="566E21BF"/>
    <w:rsid w:val="566E5733"/>
    <w:rsid w:val="57966D49"/>
    <w:rsid w:val="59552175"/>
    <w:rsid w:val="59AF0BA0"/>
    <w:rsid w:val="59F30A58"/>
    <w:rsid w:val="5A3A18D3"/>
    <w:rsid w:val="5A84219A"/>
    <w:rsid w:val="5AB25671"/>
    <w:rsid w:val="5B1C197C"/>
    <w:rsid w:val="5B943C55"/>
    <w:rsid w:val="5C1A465A"/>
    <w:rsid w:val="5DF0765F"/>
    <w:rsid w:val="5E4E4E2C"/>
    <w:rsid w:val="5E5A37D0"/>
    <w:rsid w:val="5EB7088D"/>
    <w:rsid w:val="5FC75931"/>
    <w:rsid w:val="61923281"/>
    <w:rsid w:val="621023F8"/>
    <w:rsid w:val="628B7ABF"/>
    <w:rsid w:val="637D3ABD"/>
    <w:rsid w:val="65357A98"/>
    <w:rsid w:val="656E284E"/>
    <w:rsid w:val="65BB30BD"/>
    <w:rsid w:val="668313EA"/>
    <w:rsid w:val="66A3412A"/>
    <w:rsid w:val="68453860"/>
    <w:rsid w:val="68600DC7"/>
    <w:rsid w:val="687F5BE1"/>
    <w:rsid w:val="68AF66BE"/>
    <w:rsid w:val="68C31F72"/>
    <w:rsid w:val="696372B1"/>
    <w:rsid w:val="69933A61"/>
    <w:rsid w:val="6AC22E8D"/>
    <w:rsid w:val="6AED4FBC"/>
    <w:rsid w:val="6C4947E9"/>
    <w:rsid w:val="6CC22541"/>
    <w:rsid w:val="6CCD1611"/>
    <w:rsid w:val="6D064B23"/>
    <w:rsid w:val="6D232646"/>
    <w:rsid w:val="6E443B55"/>
    <w:rsid w:val="6EAF6E1E"/>
    <w:rsid w:val="6FE75254"/>
    <w:rsid w:val="6FFE01C5"/>
    <w:rsid w:val="71100BD6"/>
    <w:rsid w:val="71CC298D"/>
    <w:rsid w:val="72363447"/>
    <w:rsid w:val="728F5C12"/>
    <w:rsid w:val="729536F3"/>
    <w:rsid w:val="73125FD0"/>
    <w:rsid w:val="73A155A6"/>
    <w:rsid w:val="745A0880"/>
    <w:rsid w:val="754F3636"/>
    <w:rsid w:val="762E1891"/>
    <w:rsid w:val="76AA651F"/>
    <w:rsid w:val="77132317"/>
    <w:rsid w:val="7764607D"/>
    <w:rsid w:val="77A45665"/>
    <w:rsid w:val="77E43CB3"/>
    <w:rsid w:val="78072AC0"/>
    <w:rsid w:val="78D15A53"/>
    <w:rsid w:val="790F6B0E"/>
    <w:rsid w:val="79C63EC5"/>
    <w:rsid w:val="7A0413D2"/>
    <w:rsid w:val="7A344DE3"/>
    <w:rsid w:val="7A8F43AA"/>
    <w:rsid w:val="7AEF11DD"/>
    <w:rsid w:val="7B687747"/>
    <w:rsid w:val="7C1E43EA"/>
    <w:rsid w:val="7CB9570E"/>
    <w:rsid w:val="7CBD85E5"/>
    <w:rsid w:val="7CCB7A99"/>
    <w:rsid w:val="7CDD764F"/>
    <w:rsid w:val="7D3B6123"/>
    <w:rsid w:val="7D4C0330"/>
    <w:rsid w:val="7D8201F6"/>
    <w:rsid w:val="7EBE79B4"/>
    <w:rsid w:val="7F853FCE"/>
    <w:rsid w:val="7FA63757"/>
    <w:rsid w:val="D4AF5340"/>
    <w:rsid w:val="FF7EBFC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5"/>
    <w:qFormat/>
    <w:uiPriority w:val="0"/>
    <w:pPr>
      <w:keepNext/>
      <w:keepLines/>
      <w:adjustRightInd w:val="0"/>
      <w:spacing w:line="360" w:lineRule="auto"/>
      <w:textAlignment w:val="baseline"/>
      <w:outlineLvl w:val="0"/>
    </w:pPr>
    <w:rPr>
      <w:rFonts w:ascii="宋体"/>
      <w:b/>
      <w:kern w:val="44"/>
      <w:sz w:val="32"/>
      <w:szCs w:val="20"/>
    </w:rPr>
  </w:style>
  <w:style w:type="paragraph" w:styleId="3">
    <w:name w:val="heading 2"/>
    <w:basedOn w:val="1"/>
    <w:next w:val="1"/>
    <w:qFormat/>
    <w:uiPriority w:val="0"/>
    <w:pPr>
      <w:keepNext/>
      <w:keepLines/>
      <w:adjustRightInd w:val="0"/>
      <w:spacing w:line="360" w:lineRule="auto"/>
      <w:textAlignment w:val="baseline"/>
      <w:outlineLvl w:val="1"/>
    </w:pPr>
    <w:rPr>
      <w:rFonts w:ascii="宋体" w:hAnsi="宋体"/>
      <w:b/>
      <w:kern w:val="44"/>
      <w:sz w:val="28"/>
      <w:szCs w:val="20"/>
    </w:rPr>
  </w:style>
  <w:style w:type="paragraph" w:styleId="4">
    <w:name w:val="heading 3"/>
    <w:basedOn w:val="1"/>
    <w:next w:val="5"/>
    <w:link w:val="46"/>
    <w:qFormat/>
    <w:uiPriority w:val="0"/>
    <w:pPr>
      <w:keepNext/>
      <w:keepLines/>
      <w:adjustRightInd w:val="0"/>
      <w:spacing w:before="260" w:after="260" w:line="416" w:lineRule="atLeast"/>
      <w:jc w:val="left"/>
      <w:textAlignment w:val="baseline"/>
      <w:outlineLvl w:val="2"/>
    </w:pPr>
    <w:rPr>
      <w:b/>
      <w:kern w:val="0"/>
      <w:sz w:val="32"/>
      <w:szCs w:val="20"/>
    </w:rPr>
  </w:style>
  <w:style w:type="paragraph" w:styleId="6">
    <w:name w:val="heading 4"/>
    <w:basedOn w:val="1"/>
    <w:next w:val="5"/>
    <w:qFormat/>
    <w:uiPriority w:val="0"/>
    <w:pPr>
      <w:keepNext/>
      <w:numPr>
        <w:ilvl w:val="0"/>
        <w:numId w:val="1"/>
      </w:numPr>
      <w:adjustRightInd w:val="0"/>
      <w:spacing w:line="360" w:lineRule="auto"/>
      <w:ind w:left="454"/>
      <w:jc w:val="left"/>
      <w:textAlignment w:val="baseline"/>
      <w:outlineLvl w:val="3"/>
    </w:pPr>
    <w:rPr>
      <w:rFonts w:ascii="宋体"/>
      <w:i/>
      <w:kern w:val="0"/>
      <w:szCs w:val="20"/>
    </w:rPr>
  </w:style>
  <w:style w:type="paragraph" w:styleId="7">
    <w:name w:val="heading 5"/>
    <w:basedOn w:val="1"/>
    <w:next w:val="5"/>
    <w:qFormat/>
    <w:uiPriority w:val="0"/>
    <w:pPr>
      <w:keepNext/>
      <w:keepLines/>
      <w:numPr>
        <w:ilvl w:val="4"/>
        <w:numId w:val="2"/>
      </w:numPr>
      <w:spacing w:before="120" w:after="120"/>
      <w:outlineLvl w:val="4"/>
    </w:pPr>
    <w:rPr>
      <w:rFonts w:ascii="小标宋"/>
      <w:szCs w:val="20"/>
    </w:rPr>
  </w:style>
  <w:style w:type="paragraph" w:styleId="8">
    <w:name w:val="heading 6"/>
    <w:basedOn w:val="1"/>
    <w:next w:val="5"/>
    <w:qFormat/>
    <w:uiPriority w:val="0"/>
    <w:pPr>
      <w:keepNext/>
      <w:keepLines/>
      <w:numPr>
        <w:ilvl w:val="5"/>
        <w:numId w:val="2"/>
      </w:numPr>
      <w:spacing w:before="240" w:after="64" w:line="320" w:lineRule="auto"/>
      <w:outlineLvl w:val="5"/>
    </w:pPr>
    <w:rPr>
      <w:rFonts w:ascii="Arial" w:hAnsi="Arial" w:eastAsia="黑体"/>
      <w:szCs w:val="20"/>
    </w:rPr>
  </w:style>
  <w:style w:type="paragraph" w:styleId="9">
    <w:name w:val="heading 7"/>
    <w:basedOn w:val="1"/>
    <w:next w:val="5"/>
    <w:qFormat/>
    <w:uiPriority w:val="0"/>
    <w:pPr>
      <w:keepNext/>
      <w:keepLines/>
      <w:numPr>
        <w:ilvl w:val="6"/>
        <w:numId w:val="2"/>
      </w:numPr>
      <w:spacing w:before="240" w:after="64" w:line="320" w:lineRule="auto"/>
      <w:outlineLvl w:val="6"/>
    </w:pPr>
    <w:rPr>
      <w:rFonts w:ascii="宋体"/>
      <w:szCs w:val="20"/>
    </w:rPr>
  </w:style>
  <w:style w:type="paragraph" w:styleId="10">
    <w:name w:val="heading 8"/>
    <w:basedOn w:val="1"/>
    <w:next w:val="5"/>
    <w:qFormat/>
    <w:uiPriority w:val="0"/>
    <w:pPr>
      <w:keepNext/>
      <w:keepLines/>
      <w:numPr>
        <w:ilvl w:val="7"/>
        <w:numId w:val="2"/>
      </w:numPr>
      <w:spacing w:before="240" w:after="64" w:line="320" w:lineRule="auto"/>
      <w:outlineLvl w:val="7"/>
    </w:pPr>
    <w:rPr>
      <w:rFonts w:ascii="Arial" w:hAnsi="Arial" w:eastAsia="黑体"/>
      <w:b/>
      <w:szCs w:val="20"/>
    </w:rPr>
  </w:style>
  <w:style w:type="paragraph" w:styleId="11">
    <w:name w:val="heading 9"/>
    <w:basedOn w:val="1"/>
    <w:next w:val="5"/>
    <w:qFormat/>
    <w:uiPriority w:val="0"/>
    <w:pPr>
      <w:keepNext/>
      <w:keepLines/>
      <w:numPr>
        <w:ilvl w:val="8"/>
        <w:numId w:val="2"/>
      </w:numPr>
      <w:spacing w:before="240" w:after="64" w:line="320" w:lineRule="auto"/>
      <w:outlineLvl w:val="8"/>
    </w:pPr>
    <w:rPr>
      <w:rFonts w:ascii="Arial" w:hAnsi="Arial" w:eastAsia="黑体"/>
      <w:b/>
      <w:szCs w:val="20"/>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5">
    <w:name w:val="Normal Indent"/>
    <w:basedOn w:val="1"/>
    <w:link w:val="96"/>
    <w:qFormat/>
    <w:uiPriority w:val="0"/>
    <w:pPr>
      <w:adjustRightInd w:val="0"/>
      <w:spacing w:line="360" w:lineRule="atLeast"/>
      <w:ind w:firstLine="420"/>
      <w:jc w:val="left"/>
      <w:textAlignment w:val="baseline"/>
    </w:pPr>
    <w:rPr>
      <w:kern w:val="0"/>
      <w:szCs w:val="20"/>
    </w:rPr>
  </w:style>
  <w:style w:type="paragraph" w:styleId="12">
    <w:name w:val="toc 7"/>
    <w:basedOn w:val="1"/>
    <w:next w:val="1"/>
    <w:qFormat/>
    <w:uiPriority w:val="0"/>
    <w:pPr>
      <w:adjustRightInd w:val="0"/>
      <w:spacing w:line="360" w:lineRule="atLeast"/>
      <w:ind w:left="2520"/>
      <w:jc w:val="left"/>
      <w:textAlignment w:val="baseline"/>
    </w:pPr>
    <w:rPr>
      <w:kern w:val="0"/>
      <w:szCs w:val="20"/>
    </w:rPr>
  </w:style>
  <w:style w:type="paragraph" w:styleId="13">
    <w:name w:val="Document Map"/>
    <w:basedOn w:val="1"/>
    <w:link w:val="59"/>
    <w:semiHidden/>
    <w:qFormat/>
    <w:uiPriority w:val="0"/>
    <w:pPr>
      <w:shd w:val="clear" w:color="auto" w:fill="000080"/>
    </w:pPr>
  </w:style>
  <w:style w:type="paragraph" w:styleId="14">
    <w:name w:val="annotation text"/>
    <w:basedOn w:val="1"/>
    <w:semiHidden/>
    <w:qFormat/>
    <w:uiPriority w:val="0"/>
    <w:pPr>
      <w:jc w:val="left"/>
    </w:pPr>
  </w:style>
  <w:style w:type="paragraph" w:styleId="15">
    <w:name w:val="Body Text"/>
    <w:basedOn w:val="1"/>
    <w:link w:val="58"/>
    <w:qFormat/>
    <w:uiPriority w:val="0"/>
    <w:pPr>
      <w:spacing w:after="120"/>
    </w:pPr>
  </w:style>
  <w:style w:type="paragraph" w:styleId="16">
    <w:name w:val="Body Text Indent"/>
    <w:basedOn w:val="1"/>
    <w:qFormat/>
    <w:uiPriority w:val="0"/>
    <w:pPr>
      <w:adjustRightInd w:val="0"/>
      <w:spacing w:line="360" w:lineRule="auto"/>
      <w:ind w:firstLine="480"/>
      <w:jc w:val="left"/>
      <w:textAlignment w:val="baseline"/>
    </w:pPr>
    <w:rPr>
      <w:rFonts w:ascii="宋体"/>
      <w:color w:val="0000FF"/>
      <w:kern w:val="0"/>
      <w:szCs w:val="20"/>
    </w:rPr>
  </w:style>
  <w:style w:type="paragraph" w:styleId="17">
    <w:name w:val="Block Text"/>
    <w:basedOn w:val="1"/>
    <w:qFormat/>
    <w:uiPriority w:val="0"/>
    <w:pPr>
      <w:spacing w:before="120" w:after="120" w:line="360" w:lineRule="auto"/>
      <w:ind w:left="630" w:right="202"/>
    </w:pPr>
    <w:rPr>
      <w:rFonts w:ascii="宋体"/>
      <w:szCs w:val="20"/>
    </w:rPr>
  </w:style>
  <w:style w:type="paragraph" w:styleId="18">
    <w:name w:val="toc 5"/>
    <w:basedOn w:val="1"/>
    <w:next w:val="1"/>
    <w:qFormat/>
    <w:uiPriority w:val="0"/>
    <w:pPr>
      <w:adjustRightInd w:val="0"/>
      <w:spacing w:line="360" w:lineRule="atLeast"/>
      <w:ind w:left="1680"/>
      <w:jc w:val="left"/>
      <w:textAlignment w:val="baseline"/>
    </w:pPr>
    <w:rPr>
      <w:kern w:val="0"/>
      <w:szCs w:val="20"/>
    </w:rPr>
  </w:style>
  <w:style w:type="paragraph" w:styleId="19">
    <w:name w:val="toc 3"/>
    <w:basedOn w:val="1"/>
    <w:next w:val="1"/>
    <w:qFormat/>
    <w:uiPriority w:val="0"/>
    <w:pPr>
      <w:adjustRightInd w:val="0"/>
      <w:spacing w:line="360" w:lineRule="atLeast"/>
      <w:ind w:left="840"/>
      <w:jc w:val="left"/>
      <w:textAlignment w:val="baseline"/>
    </w:pPr>
    <w:rPr>
      <w:kern w:val="0"/>
      <w:szCs w:val="20"/>
    </w:rPr>
  </w:style>
  <w:style w:type="paragraph" w:styleId="20">
    <w:name w:val="Plain Text"/>
    <w:basedOn w:val="1"/>
    <w:qFormat/>
    <w:uiPriority w:val="0"/>
    <w:rPr>
      <w:rFonts w:ascii="宋体" w:hAnsi="Courier New"/>
      <w:szCs w:val="20"/>
    </w:rPr>
  </w:style>
  <w:style w:type="paragraph" w:styleId="21">
    <w:name w:val="toc 8"/>
    <w:basedOn w:val="1"/>
    <w:next w:val="1"/>
    <w:qFormat/>
    <w:uiPriority w:val="0"/>
    <w:pPr>
      <w:adjustRightInd w:val="0"/>
      <w:spacing w:line="360" w:lineRule="atLeast"/>
      <w:ind w:left="2940"/>
      <w:jc w:val="left"/>
      <w:textAlignment w:val="baseline"/>
    </w:pPr>
    <w:rPr>
      <w:kern w:val="0"/>
      <w:szCs w:val="20"/>
    </w:rPr>
  </w:style>
  <w:style w:type="paragraph" w:styleId="22">
    <w:name w:val="Date"/>
    <w:basedOn w:val="1"/>
    <w:next w:val="1"/>
    <w:link w:val="57"/>
    <w:qFormat/>
    <w:uiPriority w:val="0"/>
    <w:pPr>
      <w:adjustRightInd w:val="0"/>
      <w:spacing w:line="360" w:lineRule="atLeast"/>
      <w:textAlignment w:val="baseline"/>
    </w:pPr>
    <w:rPr>
      <w:rFonts w:ascii="宋体"/>
      <w:kern w:val="0"/>
      <w:sz w:val="28"/>
      <w:szCs w:val="20"/>
    </w:rPr>
  </w:style>
  <w:style w:type="paragraph" w:styleId="23">
    <w:name w:val="Body Text Indent 2"/>
    <w:basedOn w:val="1"/>
    <w:qFormat/>
    <w:uiPriority w:val="0"/>
    <w:pPr>
      <w:adjustRightInd w:val="0"/>
      <w:spacing w:line="0" w:lineRule="atLeast"/>
      <w:ind w:right="202" w:firstLine="630" w:firstLineChars="225"/>
      <w:jc w:val="left"/>
      <w:textAlignment w:val="baseline"/>
    </w:pPr>
    <w:rPr>
      <w:rFonts w:ascii="宋体"/>
      <w:spacing w:val="20"/>
      <w:kern w:val="0"/>
      <w:position w:val="20"/>
      <w:szCs w:val="20"/>
    </w:rPr>
  </w:style>
  <w:style w:type="paragraph" w:styleId="24">
    <w:name w:val="Balloon Text"/>
    <w:basedOn w:val="1"/>
    <w:link w:val="56"/>
    <w:semiHidden/>
    <w:qFormat/>
    <w:uiPriority w:val="0"/>
    <w:rPr>
      <w:sz w:val="18"/>
      <w:szCs w:val="18"/>
    </w:rPr>
  </w:style>
  <w:style w:type="paragraph" w:styleId="25">
    <w:name w:val="footer"/>
    <w:basedOn w:val="1"/>
    <w:link w:val="47"/>
    <w:qFormat/>
    <w:uiPriority w:val="0"/>
    <w:pPr>
      <w:tabs>
        <w:tab w:val="center" w:pos="4153"/>
        <w:tab w:val="right" w:pos="8306"/>
      </w:tabs>
      <w:adjustRightInd w:val="0"/>
      <w:spacing w:line="240" w:lineRule="atLeast"/>
      <w:jc w:val="left"/>
      <w:textAlignment w:val="baseline"/>
    </w:pPr>
    <w:rPr>
      <w:kern w:val="0"/>
      <w:sz w:val="18"/>
      <w:szCs w:val="20"/>
    </w:rPr>
  </w:style>
  <w:style w:type="paragraph" w:styleId="26">
    <w:name w:val="header"/>
    <w:basedOn w:val="1"/>
    <w:qFormat/>
    <w:uiPriority w:val="0"/>
    <w:pPr>
      <w:pBdr>
        <w:bottom w:val="single" w:color="auto" w:sz="6" w:space="1"/>
      </w:pBdr>
      <w:tabs>
        <w:tab w:val="center" w:pos="4153"/>
        <w:tab w:val="right" w:pos="8306"/>
      </w:tabs>
      <w:adjustRightInd w:val="0"/>
      <w:snapToGrid w:val="0"/>
      <w:spacing w:line="240" w:lineRule="atLeast"/>
      <w:jc w:val="center"/>
      <w:textAlignment w:val="baseline"/>
    </w:pPr>
    <w:rPr>
      <w:kern w:val="0"/>
      <w:sz w:val="18"/>
      <w:szCs w:val="20"/>
    </w:rPr>
  </w:style>
  <w:style w:type="paragraph" w:styleId="27">
    <w:name w:val="toc 1"/>
    <w:basedOn w:val="1"/>
    <w:next w:val="1"/>
    <w:qFormat/>
    <w:uiPriority w:val="39"/>
    <w:pPr>
      <w:tabs>
        <w:tab w:val="right" w:leader="dot" w:pos="8820"/>
      </w:tabs>
      <w:adjustRightInd w:val="0"/>
      <w:spacing w:line="360" w:lineRule="auto"/>
      <w:jc w:val="left"/>
      <w:textAlignment w:val="baseline"/>
    </w:pPr>
    <w:rPr>
      <w:rFonts w:ascii="宋体" w:hAnsi="宋体"/>
      <w:b/>
      <w:kern w:val="0"/>
      <w:sz w:val="30"/>
      <w:szCs w:val="30"/>
    </w:rPr>
  </w:style>
  <w:style w:type="paragraph" w:styleId="28">
    <w:name w:val="toc 4"/>
    <w:basedOn w:val="1"/>
    <w:next w:val="1"/>
    <w:qFormat/>
    <w:uiPriority w:val="0"/>
    <w:pPr>
      <w:adjustRightInd w:val="0"/>
      <w:spacing w:line="360" w:lineRule="atLeast"/>
      <w:ind w:left="1260"/>
      <w:jc w:val="left"/>
      <w:textAlignment w:val="baseline"/>
    </w:pPr>
    <w:rPr>
      <w:kern w:val="0"/>
      <w:szCs w:val="20"/>
    </w:rPr>
  </w:style>
  <w:style w:type="paragraph" w:styleId="29">
    <w:name w:val="footnote text"/>
    <w:basedOn w:val="1"/>
    <w:link w:val="84"/>
    <w:qFormat/>
    <w:uiPriority w:val="0"/>
    <w:pPr>
      <w:snapToGrid w:val="0"/>
      <w:jc w:val="left"/>
    </w:pPr>
    <w:rPr>
      <w:rFonts w:ascii="宋体"/>
      <w:sz w:val="18"/>
      <w:szCs w:val="20"/>
    </w:rPr>
  </w:style>
  <w:style w:type="paragraph" w:styleId="30">
    <w:name w:val="toc 6"/>
    <w:basedOn w:val="1"/>
    <w:next w:val="1"/>
    <w:qFormat/>
    <w:uiPriority w:val="0"/>
    <w:pPr>
      <w:tabs>
        <w:tab w:val="left" w:pos="600"/>
        <w:tab w:val="right" w:leader="dot" w:pos="8835"/>
      </w:tabs>
      <w:adjustRightInd w:val="0"/>
      <w:spacing w:line="360" w:lineRule="atLeast"/>
      <w:ind w:left="480" w:hanging="480"/>
      <w:jc w:val="left"/>
      <w:textAlignment w:val="baseline"/>
    </w:pPr>
    <w:rPr>
      <w:kern w:val="0"/>
      <w:szCs w:val="20"/>
    </w:rPr>
  </w:style>
  <w:style w:type="paragraph" w:styleId="31">
    <w:name w:val="Body Text Indent 3"/>
    <w:basedOn w:val="1"/>
    <w:qFormat/>
    <w:uiPriority w:val="0"/>
    <w:pPr>
      <w:adjustRightInd w:val="0"/>
      <w:spacing w:line="360" w:lineRule="auto"/>
      <w:ind w:firstLine="780" w:firstLineChars="300"/>
      <w:jc w:val="left"/>
      <w:textAlignment w:val="baseline"/>
    </w:pPr>
    <w:rPr>
      <w:color w:val="FF0000"/>
      <w:spacing w:val="10"/>
      <w:kern w:val="0"/>
      <w:szCs w:val="20"/>
      <w:u w:val="single"/>
    </w:rPr>
  </w:style>
  <w:style w:type="paragraph" w:styleId="32">
    <w:name w:val="toc 2"/>
    <w:basedOn w:val="1"/>
    <w:next w:val="1"/>
    <w:semiHidden/>
    <w:qFormat/>
    <w:uiPriority w:val="0"/>
    <w:pPr>
      <w:tabs>
        <w:tab w:val="right" w:leader="dot" w:pos="9000"/>
      </w:tabs>
      <w:adjustRightInd w:val="0"/>
      <w:spacing w:line="360" w:lineRule="atLeast"/>
      <w:ind w:left="420"/>
      <w:jc w:val="left"/>
      <w:textAlignment w:val="baseline"/>
    </w:pPr>
    <w:rPr>
      <w:smallCaps/>
      <w:kern w:val="0"/>
      <w:sz w:val="20"/>
      <w:szCs w:val="20"/>
    </w:rPr>
  </w:style>
  <w:style w:type="paragraph" w:styleId="33">
    <w:name w:val="toc 9"/>
    <w:basedOn w:val="1"/>
    <w:next w:val="1"/>
    <w:qFormat/>
    <w:uiPriority w:val="0"/>
    <w:pPr>
      <w:adjustRightInd w:val="0"/>
      <w:spacing w:line="360" w:lineRule="atLeast"/>
      <w:ind w:left="3360"/>
      <w:jc w:val="left"/>
      <w:textAlignment w:val="baseline"/>
    </w:pPr>
    <w:rPr>
      <w:kern w:val="0"/>
      <w:szCs w:val="20"/>
    </w:rPr>
  </w:style>
  <w:style w:type="paragraph" w:styleId="34">
    <w:name w:val="HTML Preformatted"/>
    <w:basedOn w:val="1"/>
    <w:link w:val="93"/>
    <w:qFormat/>
    <w:uiPriority w:val="0"/>
    <w:rPr>
      <w:rFonts w:ascii="Courier New" w:hAnsi="Courier New"/>
      <w:sz w:val="20"/>
      <w:szCs w:val="20"/>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rPr>
  </w:style>
  <w:style w:type="paragraph" w:styleId="36">
    <w:name w:val="annotation subject"/>
    <w:basedOn w:val="14"/>
    <w:next w:val="14"/>
    <w:semiHidden/>
    <w:qFormat/>
    <w:uiPriority w:val="0"/>
    <w:rPr>
      <w:b/>
      <w:bCs/>
    </w:rPr>
  </w:style>
  <w:style w:type="paragraph" w:styleId="37">
    <w:name w:val="Body Text First Indent"/>
    <w:basedOn w:val="15"/>
    <w:link w:val="83"/>
    <w:qFormat/>
    <w:uiPriority w:val="0"/>
    <w:pPr>
      <w:autoSpaceDE w:val="0"/>
      <w:autoSpaceDN w:val="0"/>
      <w:adjustRightInd w:val="0"/>
      <w:spacing w:after="0" w:line="288" w:lineRule="auto"/>
      <w:ind w:firstLine="420"/>
      <w:textAlignment w:val="baseline"/>
    </w:pPr>
    <w:rPr>
      <w:rFonts w:ascii="宋体"/>
      <w:sz w:val="28"/>
      <w:szCs w:val="20"/>
    </w:rPr>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semiHidden/>
    <w:qFormat/>
    <w:uiPriority w:val="0"/>
    <w:rPr>
      <w:sz w:val="21"/>
      <w:szCs w:val="21"/>
    </w:rPr>
  </w:style>
  <w:style w:type="character" w:customStyle="1" w:styleId="45">
    <w:name w:val="标题 1 Char"/>
    <w:link w:val="2"/>
    <w:qFormat/>
    <w:uiPriority w:val="0"/>
    <w:rPr>
      <w:rFonts w:ascii="宋体" w:eastAsia="宋体"/>
      <w:b/>
      <w:kern w:val="44"/>
      <w:sz w:val="32"/>
      <w:lang w:val="en-US" w:eastAsia="zh-CN" w:bidi="ar-SA"/>
    </w:rPr>
  </w:style>
  <w:style w:type="character" w:customStyle="1" w:styleId="46">
    <w:name w:val="标题 3 Char"/>
    <w:basedOn w:val="40"/>
    <w:link w:val="4"/>
    <w:qFormat/>
    <w:uiPriority w:val="0"/>
    <w:rPr>
      <w:b/>
      <w:sz w:val="32"/>
    </w:rPr>
  </w:style>
  <w:style w:type="character" w:customStyle="1" w:styleId="47">
    <w:name w:val="页脚 Char"/>
    <w:basedOn w:val="40"/>
    <w:link w:val="25"/>
    <w:qFormat/>
    <w:uiPriority w:val="0"/>
    <w:rPr>
      <w:sz w:val="18"/>
    </w:rPr>
  </w:style>
  <w:style w:type="paragraph" w:customStyle="1" w:styleId="48">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49">
    <w:name w:val="Char Char Char Char"/>
    <w:basedOn w:val="1"/>
    <w:qFormat/>
    <w:uiPriority w:val="0"/>
    <w:rPr>
      <w:sz w:val="21"/>
    </w:rPr>
  </w:style>
  <w:style w:type="paragraph" w:customStyle="1" w:styleId="50">
    <w:name w:val="Char Char Char Char1"/>
    <w:basedOn w:val="1"/>
    <w:qFormat/>
    <w:uiPriority w:val="0"/>
    <w:pPr>
      <w:spacing w:line="360" w:lineRule="auto"/>
      <w:ind w:firstLine="200" w:firstLineChars="200"/>
    </w:pPr>
    <w:rPr>
      <w:rFonts w:ascii="宋体" w:hAnsi="宋体" w:cs="宋体"/>
    </w:rPr>
  </w:style>
  <w:style w:type="paragraph" w:customStyle="1" w:styleId="51">
    <w:name w:val="样式1"/>
    <w:basedOn w:val="1"/>
    <w:qFormat/>
    <w:uiPriority w:val="0"/>
    <w:pPr>
      <w:adjustRightInd w:val="0"/>
      <w:spacing w:line="420" w:lineRule="auto"/>
      <w:jc w:val="center"/>
      <w:textAlignment w:val="baseline"/>
    </w:pPr>
    <w:rPr>
      <w:rFonts w:ascii="宋体"/>
      <w:kern w:val="0"/>
      <w:szCs w:val="20"/>
    </w:rPr>
  </w:style>
  <w:style w:type="paragraph" w:customStyle="1" w:styleId="52">
    <w:name w:val="Char Char Char Char1 Char Char Char Char Char Char Char"/>
    <w:basedOn w:val="1"/>
    <w:qFormat/>
    <w:uiPriority w:val="0"/>
    <w:pPr>
      <w:spacing w:line="360" w:lineRule="auto"/>
      <w:ind w:firstLine="200" w:firstLineChars="200"/>
    </w:pPr>
    <w:rPr>
      <w:rFonts w:ascii="宋体" w:hAnsi="宋体" w:cs="宋体"/>
    </w:rPr>
  </w:style>
  <w:style w:type="paragraph" w:customStyle="1" w:styleId="53">
    <w:name w:val="Char Char Char Char1 Char Char Char"/>
    <w:basedOn w:val="1"/>
    <w:qFormat/>
    <w:uiPriority w:val="0"/>
    <w:pPr>
      <w:spacing w:line="360" w:lineRule="auto"/>
      <w:ind w:firstLine="200" w:firstLineChars="200"/>
    </w:pPr>
    <w:rPr>
      <w:rFonts w:ascii="宋体" w:hAnsi="宋体" w:cs="宋体"/>
    </w:rPr>
  </w:style>
  <w:style w:type="paragraph" w:customStyle="1" w:styleId="54">
    <w:name w:val="正文文本 31"/>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55">
    <w:name w:val="正文1"/>
    <w:basedOn w:val="1"/>
    <w:qFormat/>
    <w:uiPriority w:val="0"/>
    <w:pPr>
      <w:adjustRightInd w:val="0"/>
      <w:spacing w:line="360" w:lineRule="atLeast"/>
      <w:jc w:val="left"/>
      <w:textAlignment w:val="baseline"/>
    </w:pPr>
    <w:rPr>
      <w:rFonts w:ascii="宋体"/>
      <w:kern w:val="0"/>
      <w:szCs w:val="20"/>
    </w:rPr>
  </w:style>
  <w:style w:type="character" w:customStyle="1" w:styleId="56">
    <w:name w:val="批注框文本 Char"/>
    <w:link w:val="24"/>
    <w:semiHidden/>
    <w:qFormat/>
    <w:locked/>
    <w:uiPriority w:val="0"/>
    <w:rPr>
      <w:kern w:val="2"/>
      <w:sz w:val="18"/>
      <w:szCs w:val="18"/>
    </w:rPr>
  </w:style>
  <w:style w:type="character" w:customStyle="1" w:styleId="57">
    <w:name w:val="日期 Char"/>
    <w:link w:val="22"/>
    <w:qFormat/>
    <w:locked/>
    <w:uiPriority w:val="0"/>
    <w:rPr>
      <w:rFonts w:ascii="宋体"/>
      <w:sz w:val="28"/>
    </w:rPr>
  </w:style>
  <w:style w:type="character" w:customStyle="1" w:styleId="58">
    <w:name w:val="正文文本 Char"/>
    <w:basedOn w:val="40"/>
    <w:link w:val="15"/>
    <w:qFormat/>
    <w:uiPriority w:val="0"/>
    <w:rPr>
      <w:kern w:val="2"/>
      <w:sz w:val="24"/>
      <w:szCs w:val="24"/>
    </w:rPr>
  </w:style>
  <w:style w:type="character" w:customStyle="1" w:styleId="59">
    <w:name w:val="文档结构图 Char"/>
    <w:link w:val="13"/>
    <w:semiHidden/>
    <w:qFormat/>
    <w:locked/>
    <w:uiPriority w:val="0"/>
    <w:rPr>
      <w:kern w:val="2"/>
      <w:sz w:val="24"/>
      <w:szCs w:val="24"/>
      <w:shd w:val="clear" w:color="auto" w:fill="000080"/>
    </w:rPr>
  </w:style>
  <w:style w:type="paragraph" w:customStyle="1" w:styleId="60">
    <w:name w:val="默认段落字体 Para Char Char Char Char"/>
    <w:basedOn w:val="1"/>
    <w:qFormat/>
    <w:uiPriority w:val="0"/>
    <w:rPr>
      <w:sz w:val="21"/>
    </w:rPr>
  </w:style>
  <w:style w:type="paragraph" w:customStyle="1" w:styleId="61">
    <w:name w:val="Char Char1"/>
    <w:basedOn w:val="1"/>
    <w:qFormat/>
    <w:uiPriority w:val="0"/>
    <w:pPr>
      <w:adjustRightInd w:val="0"/>
      <w:spacing w:line="360" w:lineRule="atLeast"/>
      <w:jc w:val="left"/>
      <w:textAlignment w:val="baseline"/>
    </w:pPr>
    <w:rPr>
      <w:kern w:val="0"/>
    </w:rPr>
  </w:style>
  <w:style w:type="paragraph" w:customStyle="1" w:styleId="62">
    <w:name w:val="样式2"/>
    <w:basedOn w:val="1"/>
    <w:qFormat/>
    <w:uiPriority w:val="0"/>
    <w:pPr>
      <w:spacing w:line="360" w:lineRule="auto"/>
    </w:pPr>
    <w:rPr>
      <w:kern w:val="0"/>
      <w:sz w:val="28"/>
      <w:szCs w:val="20"/>
    </w:rPr>
  </w:style>
  <w:style w:type="paragraph" w:customStyle="1" w:styleId="63">
    <w:name w:val="Char Char Char"/>
    <w:basedOn w:val="1"/>
    <w:qFormat/>
    <w:uiPriority w:val="0"/>
    <w:pPr>
      <w:spacing w:line="360" w:lineRule="auto"/>
      <w:ind w:firstLine="200" w:firstLineChars="200"/>
    </w:pPr>
    <w:rPr>
      <w:rFonts w:ascii="宋体" w:hAnsi="宋体" w:cs="宋体"/>
    </w:rPr>
  </w:style>
  <w:style w:type="paragraph" w:customStyle="1" w:styleId="64">
    <w:name w:val="Char1"/>
    <w:basedOn w:val="1"/>
    <w:qFormat/>
    <w:uiPriority w:val="0"/>
  </w:style>
  <w:style w:type="paragraph" w:customStyle="1" w:styleId="65">
    <w:name w:val="Char1 Char"/>
    <w:basedOn w:val="1"/>
    <w:qFormat/>
    <w:uiPriority w:val="0"/>
    <w:pPr>
      <w:adjustRightInd w:val="0"/>
      <w:spacing w:line="360" w:lineRule="atLeast"/>
      <w:jc w:val="left"/>
      <w:textAlignment w:val="baseline"/>
    </w:pPr>
    <w:rPr>
      <w:kern w:val="0"/>
    </w:rPr>
  </w:style>
  <w:style w:type="paragraph" w:customStyle="1" w:styleId="66">
    <w:name w:val="默认段落字体 Para Char Char Char Char Char Char Char Char Char Char"/>
    <w:basedOn w:val="1"/>
    <w:qFormat/>
    <w:uiPriority w:val="0"/>
    <w:rPr>
      <w:sz w:val="21"/>
    </w:rPr>
  </w:style>
  <w:style w:type="paragraph" w:customStyle="1" w:styleId="6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68">
    <w:name w:val="表名"/>
    <w:basedOn w:val="1"/>
    <w:qFormat/>
    <w:uiPriority w:val="0"/>
    <w:pPr>
      <w:overflowPunct w:val="0"/>
      <w:spacing w:before="120"/>
      <w:jc w:val="center"/>
      <w:textAlignment w:val="baseline"/>
    </w:pPr>
    <w:rPr>
      <w:rFonts w:ascii="Arial" w:hAnsi="Arial" w:eastAsia="黑体"/>
      <w:sz w:val="21"/>
      <w:szCs w:val="21"/>
    </w:rPr>
  </w:style>
  <w:style w:type="paragraph" w:customStyle="1" w:styleId="69">
    <w:name w:val="Char1 Char Char Char Char Char Char Char Char Char"/>
    <w:basedOn w:val="1"/>
    <w:qFormat/>
    <w:uiPriority w:val="0"/>
    <w:rPr>
      <w:sz w:val="21"/>
    </w:rPr>
  </w:style>
  <w:style w:type="paragraph" w:customStyle="1" w:styleId="70">
    <w:name w:val="Char Char1 Char Char Char"/>
    <w:basedOn w:val="1"/>
    <w:semiHidden/>
    <w:qFormat/>
    <w:uiPriority w:val="0"/>
    <w:rPr>
      <w:sz w:val="21"/>
    </w:rPr>
  </w:style>
  <w:style w:type="paragraph" w:customStyle="1" w:styleId="71">
    <w:name w:val="Char Char Char Char2"/>
    <w:basedOn w:val="1"/>
    <w:qFormat/>
    <w:uiPriority w:val="0"/>
    <w:pPr>
      <w:adjustRightInd w:val="0"/>
      <w:spacing w:line="360" w:lineRule="auto"/>
    </w:pPr>
    <w:rPr>
      <w:kern w:val="0"/>
      <w:szCs w:val="20"/>
    </w:rPr>
  </w:style>
  <w:style w:type="paragraph" w:customStyle="1" w:styleId="72">
    <w:name w:val="修订1"/>
    <w:semiHidden/>
    <w:qFormat/>
    <w:uiPriority w:val="99"/>
    <w:rPr>
      <w:rFonts w:ascii="Times New Roman" w:hAnsi="Times New Roman" w:eastAsia="宋体" w:cs="Times New Roman"/>
      <w:kern w:val="2"/>
      <w:sz w:val="24"/>
      <w:szCs w:val="24"/>
      <w:lang w:val="en-US" w:eastAsia="zh-CN" w:bidi="ar-SA"/>
    </w:rPr>
  </w:style>
  <w:style w:type="paragraph" w:customStyle="1" w:styleId="73">
    <w:name w:val="A"/>
    <w:basedOn w:val="1"/>
    <w:qFormat/>
    <w:uiPriority w:val="0"/>
    <w:pPr>
      <w:adjustRightInd w:val="0"/>
      <w:spacing w:line="480" w:lineRule="atLeast"/>
      <w:jc w:val="center"/>
      <w:textAlignment w:val="baseline"/>
    </w:pPr>
    <w:rPr>
      <w:rFonts w:ascii="宋体"/>
      <w:kern w:val="0"/>
      <w:sz w:val="32"/>
      <w:szCs w:val="20"/>
    </w:rPr>
  </w:style>
  <w:style w:type="paragraph" w:customStyle="1" w:styleId="74">
    <w:name w:val="Char"/>
    <w:basedOn w:val="1"/>
    <w:qFormat/>
    <w:uiPriority w:val="0"/>
    <w:pPr>
      <w:adjustRightInd w:val="0"/>
      <w:spacing w:line="360" w:lineRule="auto"/>
    </w:pPr>
    <w:rPr>
      <w:kern w:val="0"/>
    </w:rPr>
  </w:style>
  <w:style w:type="paragraph" w:customStyle="1" w:styleId="75">
    <w:name w:val="Char Char11"/>
    <w:basedOn w:val="1"/>
    <w:qFormat/>
    <w:uiPriority w:val="0"/>
    <w:rPr>
      <w:sz w:val="21"/>
    </w:rPr>
  </w:style>
  <w:style w:type="paragraph" w:customStyle="1" w:styleId="76">
    <w:name w:val="正文报告"/>
    <w:basedOn w:val="1"/>
    <w:qFormat/>
    <w:uiPriority w:val="0"/>
    <w:pPr>
      <w:tabs>
        <w:tab w:val="left" w:pos="510"/>
      </w:tabs>
      <w:adjustRightInd w:val="0"/>
      <w:spacing w:line="460" w:lineRule="exact"/>
      <w:ind w:firstLine="482"/>
      <w:textAlignment w:val="baseline"/>
    </w:pPr>
    <w:rPr>
      <w:kern w:val="0"/>
      <w:szCs w:val="20"/>
    </w:rPr>
  </w:style>
  <w:style w:type="paragraph" w:customStyle="1" w:styleId="77">
    <w:name w:val="Char Char1 Char Char Char Char Char Char Char Char Char"/>
    <w:basedOn w:val="1"/>
    <w:semiHidden/>
    <w:qFormat/>
    <w:uiPriority w:val="0"/>
    <w:rPr>
      <w:sz w:val="21"/>
    </w:rPr>
  </w:style>
  <w:style w:type="paragraph" w:customStyle="1" w:styleId="78">
    <w:name w:val="Char Char"/>
    <w:basedOn w:val="1"/>
    <w:qFormat/>
    <w:uiPriority w:val="0"/>
    <w:pPr>
      <w:adjustRightInd w:val="0"/>
      <w:spacing w:line="360" w:lineRule="atLeast"/>
      <w:jc w:val="left"/>
      <w:textAlignment w:val="baseline"/>
    </w:pPr>
    <w:rPr>
      <w:kern w:val="0"/>
    </w:rPr>
  </w:style>
  <w:style w:type="paragraph" w:customStyle="1" w:styleId="79">
    <w:name w:val="1"/>
    <w:basedOn w:val="1"/>
    <w:qFormat/>
    <w:uiPriority w:val="0"/>
    <w:pPr>
      <w:adjustRightInd w:val="0"/>
      <w:spacing w:line="360" w:lineRule="atLeast"/>
      <w:jc w:val="left"/>
      <w:textAlignment w:val="baseline"/>
    </w:pPr>
    <w:rPr>
      <w:kern w:val="0"/>
    </w:rPr>
  </w:style>
  <w:style w:type="paragraph" w:customStyle="1" w:styleId="80">
    <w:name w:val="2"/>
    <w:basedOn w:val="1"/>
    <w:next w:val="20"/>
    <w:qFormat/>
    <w:uiPriority w:val="0"/>
    <w:rPr>
      <w:rFonts w:ascii="宋体" w:hAnsi="Courier New"/>
      <w:sz w:val="21"/>
      <w:szCs w:val="20"/>
    </w:rPr>
  </w:style>
  <w:style w:type="paragraph" w:customStyle="1" w:styleId="81">
    <w:name w:val="表格"/>
    <w:basedOn w:val="1"/>
    <w:qFormat/>
    <w:uiPriority w:val="0"/>
    <w:pPr>
      <w:adjustRightInd w:val="0"/>
      <w:spacing w:before="60" w:after="60"/>
      <w:jc w:val="center"/>
      <w:textAlignment w:val="baseline"/>
    </w:pPr>
    <w:rPr>
      <w:rFonts w:ascii="宋体"/>
      <w:kern w:val="0"/>
      <w:szCs w:val="20"/>
    </w:rPr>
  </w:style>
  <w:style w:type="paragraph" w:customStyle="1" w:styleId="82">
    <w:name w:val="纯文本1"/>
    <w:basedOn w:val="1"/>
    <w:qFormat/>
    <w:uiPriority w:val="0"/>
    <w:pPr>
      <w:autoSpaceDE w:val="0"/>
      <w:autoSpaceDN w:val="0"/>
      <w:adjustRightInd w:val="0"/>
    </w:pPr>
    <w:rPr>
      <w:rFonts w:ascii="宋体"/>
      <w:szCs w:val="20"/>
    </w:rPr>
  </w:style>
  <w:style w:type="character" w:customStyle="1" w:styleId="83">
    <w:name w:val="正文首行缩进 Char"/>
    <w:basedOn w:val="58"/>
    <w:link w:val="37"/>
    <w:qFormat/>
    <w:uiPriority w:val="0"/>
    <w:rPr>
      <w:kern w:val="2"/>
      <w:sz w:val="24"/>
      <w:szCs w:val="24"/>
    </w:rPr>
  </w:style>
  <w:style w:type="character" w:customStyle="1" w:styleId="84">
    <w:name w:val="脚注文本 Char"/>
    <w:basedOn w:val="40"/>
    <w:link w:val="29"/>
    <w:qFormat/>
    <w:uiPriority w:val="0"/>
    <w:rPr>
      <w:rFonts w:ascii="宋体"/>
      <w:kern w:val="2"/>
      <w:sz w:val="18"/>
    </w:rPr>
  </w:style>
  <w:style w:type="paragraph" w:customStyle="1" w:styleId="85">
    <w:name w:val="xl22"/>
    <w:basedOn w:val="1"/>
    <w:qFormat/>
    <w:uiPriority w:val="0"/>
    <w:pPr>
      <w:widowControl/>
      <w:spacing w:before="100" w:beforeAutospacing="1" w:after="100" w:afterAutospacing="1"/>
      <w:jc w:val="center"/>
      <w:textAlignment w:val="center"/>
    </w:pPr>
    <w:rPr>
      <w:rFonts w:ascii="宋体" w:hAnsi="宋体"/>
      <w:kern w:val="0"/>
    </w:rPr>
  </w:style>
  <w:style w:type="paragraph" w:customStyle="1" w:styleId="86">
    <w:name w:val="Char2 Char Char Char Char Char Char"/>
    <w:basedOn w:val="1"/>
    <w:qFormat/>
    <w:uiPriority w:val="0"/>
    <w:pPr>
      <w:spacing w:line="360" w:lineRule="auto"/>
      <w:ind w:firstLine="200" w:firstLineChars="200"/>
    </w:pPr>
    <w:rPr>
      <w:rFonts w:ascii="宋体" w:hAnsi="宋体" w:cs="宋体"/>
    </w:rPr>
  </w:style>
  <w:style w:type="paragraph" w:customStyle="1" w:styleId="87">
    <w:name w:val="正文文本 311"/>
    <w:basedOn w:val="1"/>
    <w:qFormat/>
    <w:uiPriority w:val="0"/>
    <w:pPr>
      <w:adjustRightInd w:val="0"/>
      <w:spacing w:line="360" w:lineRule="auto"/>
      <w:jc w:val="center"/>
      <w:textAlignment w:val="baseline"/>
    </w:pPr>
    <w:rPr>
      <w:rFonts w:ascii="宋体"/>
      <w:b/>
      <w:color w:val="FF0000"/>
      <w:kern w:val="0"/>
      <w:szCs w:val="20"/>
      <w:u w:val="single"/>
    </w:rPr>
  </w:style>
  <w:style w:type="paragraph" w:customStyle="1" w:styleId="88">
    <w:name w:val="首行缩进:  2 字符"/>
    <w:basedOn w:val="1"/>
    <w:link w:val="89"/>
    <w:qFormat/>
    <w:uiPriority w:val="0"/>
    <w:pPr>
      <w:snapToGrid w:val="0"/>
      <w:spacing w:line="312" w:lineRule="auto"/>
      <w:ind w:firstLine="422" w:firstLineChars="200"/>
      <w:jc w:val="left"/>
    </w:pPr>
    <w:rPr>
      <w:sz w:val="21"/>
      <w:szCs w:val="20"/>
    </w:rPr>
  </w:style>
  <w:style w:type="character" w:customStyle="1" w:styleId="89">
    <w:name w:val="首行缩进:  2 字符 Char"/>
    <w:link w:val="88"/>
    <w:qFormat/>
    <w:locked/>
    <w:uiPriority w:val="0"/>
    <w:rPr>
      <w:kern w:val="2"/>
      <w:sz w:val="21"/>
    </w:rPr>
  </w:style>
  <w:style w:type="paragraph" w:customStyle="1" w:styleId="90">
    <w:name w:val="Char Char Char Char Char Char Char"/>
    <w:basedOn w:val="1"/>
    <w:qFormat/>
    <w:uiPriority w:val="0"/>
    <w:rPr>
      <w:sz w:val="21"/>
    </w:rPr>
  </w:style>
  <w:style w:type="paragraph" w:customStyle="1" w:styleId="91">
    <w:name w:val="列出段落1"/>
    <w:basedOn w:val="1"/>
    <w:qFormat/>
    <w:uiPriority w:val="99"/>
    <w:pPr>
      <w:ind w:firstLine="420" w:firstLineChars="200"/>
    </w:pPr>
    <w:rPr>
      <w:rFonts w:ascii="Calibri" w:hAnsi="Calibri"/>
      <w:sz w:val="21"/>
      <w:szCs w:val="22"/>
    </w:rPr>
  </w:style>
  <w:style w:type="paragraph" w:customStyle="1" w:styleId="92">
    <w:name w:val="正文文本 32"/>
    <w:basedOn w:val="1"/>
    <w:qFormat/>
    <w:uiPriority w:val="0"/>
    <w:pPr>
      <w:adjustRightInd w:val="0"/>
      <w:spacing w:line="360" w:lineRule="auto"/>
      <w:jc w:val="center"/>
    </w:pPr>
    <w:rPr>
      <w:rFonts w:ascii="宋体"/>
      <w:b/>
      <w:color w:val="FF0000"/>
      <w:kern w:val="0"/>
      <w:szCs w:val="20"/>
      <w:u w:val="single"/>
    </w:rPr>
  </w:style>
  <w:style w:type="character" w:customStyle="1" w:styleId="93">
    <w:name w:val="HTML 预设格式 Char"/>
    <w:basedOn w:val="40"/>
    <w:link w:val="34"/>
    <w:qFormat/>
    <w:uiPriority w:val="0"/>
    <w:rPr>
      <w:rFonts w:ascii="Courier New" w:hAnsi="Courier New"/>
      <w:kern w:val="2"/>
    </w:rPr>
  </w:style>
  <w:style w:type="paragraph" w:customStyle="1" w:styleId="94">
    <w:name w:val="标题9"/>
    <w:qFormat/>
    <w:uiPriority w:val="0"/>
    <w:pPr>
      <w:adjustRightInd w:val="0"/>
      <w:snapToGrid w:val="0"/>
      <w:spacing w:line="360" w:lineRule="auto"/>
      <w:jc w:val="center"/>
    </w:pPr>
    <w:rPr>
      <w:rFonts w:ascii="Times New Roman" w:hAnsi="Times New Roman" w:eastAsia="黑体" w:cs="Times New Roman"/>
      <w:sz w:val="21"/>
      <w:lang w:val="en-US" w:eastAsia="zh-CN" w:bidi="ar-SA"/>
    </w:rPr>
  </w:style>
  <w:style w:type="paragraph" w:customStyle="1" w:styleId="95">
    <w:name w:val="样式6"/>
    <w:qFormat/>
    <w:uiPriority w:val="0"/>
    <w:pPr>
      <w:adjustRightInd w:val="0"/>
      <w:snapToGrid w:val="0"/>
      <w:spacing w:line="360" w:lineRule="atLeast"/>
      <w:jc w:val="center"/>
    </w:pPr>
    <w:rPr>
      <w:rFonts w:ascii="Times New Roman" w:hAnsi="Times New Roman" w:eastAsia="宋体" w:cs="Times New Roman"/>
      <w:sz w:val="21"/>
      <w:lang w:val="en-US" w:eastAsia="zh-CN" w:bidi="ar-SA"/>
    </w:rPr>
  </w:style>
  <w:style w:type="character" w:customStyle="1" w:styleId="96">
    <w:name w:val="正文缩进 Char"/>
    <w:link w:val="5"/>
    <w:qFormat/>
    <w:uiPriority w:val="0"/>
    <w:rPr>
      <w:sz w:val="24"/>
    </w:rPr>
  </w:style>
  <w:style w:type="paragraph" w:styleId="97">
    <w:name w:val="List Paragraph"/>
    <w:basedOn w:val="1"/>
    <w:qFormat/>
    <w:uiPriority w:val="34"/>
    <w:pPr>
      <w:ind w:firstLine="420" w:firstLineChars="200"/>
    </w:pPr>
  </w:style>
  <w:style w:type="paragraph" w:customStyle="1" w:styleId="98">
    <w:name w:val="Char2"/>
    <w:basedOn w:val="1"/>
    <w:qFormat/>
    <w:uiPriority w:val="0"/>
    <w:pPr>
      <w:adjustRightInd w:val="0"/>
      <w:spacing w:line="360" w:lineRule="auto"/>
    </w:pPr>
    <w:rPr>
      <w:rFonts w:ascii="Calibri" w:hAnsi="Calibri"/>
      <w:kern w:val="0"/>
    </w:rPr>
  </w:style>
  <w:style w:type="paragraph" w:customStyle="1" w:styleId="99">
    <w:name w:val="xl25"/>
    <w:basedOn w:val="1"/>
    <w:qFormat/>
    <w:uiPriority w:val="0"/>
    <w:pPr>
      <w:widowControl/>
      <w:spacing w:before="100" w:beforeAutospacing="1" w:after="100" w:afterAutospacing="1"/>
      <w:jc w:val="center"/>
      <w:textAlignment w:val="center"/>
    </w:pPr>
    <w:rPr>
      <w:rFonts w:ascii="宋体" w:hAnsi="宋体" w:eastAsiaTheme="minorEastAsia" w:cstheme="minorBidi"/>
      <w:kern w:val="0"/>
    </w:rPr>
  </w:style>
  <w:style w:type="paragraph" w:customStyle="1" w:styleId="100">
    <w:name w:val="默认段落字体 Para Char Char Char Char Char Char Char"/>
    <w:basedOn w:val="1"/>
    <w:qFormat/>
    <w:uiPriority w:val="0"/>
    <w:pPr>
      <w:spacing w:line="480" w:lineRule="exact"/>
      <w:ind w:firstLine="480" w:firstLineChars="200"/>
    </w:pPr>
    <w:rPr>
      <w:rFonts w:asciiTheme="minorEastAsia" w:hAnsiTheme="minorEastAsia" w:eastAsiaTheme="minorEastAsia" w:cstheme="minorEastAsia"/>
      <w:color w:val="FF0000"/>
    </w:rPr>
  </w:style>
  <w:style w:type="paragraph" w:customStyle="1" w:styleId="101">
    <w:name w:val="Normal_1"/>
    <w:qFormat/>
    <w:uiPriority w:val="0"/>
    <w:rPr>
      <w:rFonts w:ascii="Times New Roman" w:hAnsi="Times New Roman" w:eastAsia="Times New Roman" w:cs="Times New Roman"/>
      <w:sz w:val="24"/>
      <w:szCs w:val="24"/>
      <w:lang w:val="en-US" w:eastAsia="zh-CN" w:bidi="ar-SA"/>
    </w:rPr>
  </w:style>
  <w:style w:type="paragraph" w:customStyle="1" w:styleId="102">
    <w:name w:val="正文_7"/>
    <w:qFormat/>
    <w:uiPriority w:val="0"/>
    <w:pPr>
      <w:widowControl w:val="0"/>
      <w:jc w:val="both"/>
    </w:pPr>
    <w:rPr>
      <w:rFonts w:ascii="Calibri" w:hAnsi="Calibri" w:eastAsia="宋体" w:cs="Times New Roman"/>
      <w:kern w:val="2"/>
      <w:sz w:val="21"/>
      <w:szCs w:val="22"/>
      <w:lang w:val="en-US" w:eastAsia="zh-CN" w:bidi="ar-SA"/>
    </w:rPr>
  </w:style>
  <w:style w:type="paragraph" w:customStyle="1" w:styleId="103">
    <w:name w:val="样式 宋体 小四 加粗 行距: 固定值 25 磅"/>
    <w:basedOn w:val="102"/>
    <w:qFormat/>
    <w:uiPriority w:val="0"/>
    <w:pPr>
      <w:spacing w:line="500" w:lineRule="exact"/>
      <w:ind w:firstLine="473" w:firstLineChars="200"/>
    </w:pPr>
    <w:rPr>
      <w:rFonts w:ascii="宋体" w:hAnsi="宋体" w:cs="宋体"/>
      <w:b/>
      <w:bCs/>
      <w:sz w:val="24"/>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2.xml><?xml version="1.0" encoding="utf-8"?>
<contractReview xmlns="http://schemas.wps.cn/vas-ai-hub/contract-review">
  <reviewItems>
    <reviewItem>
      <errorID>3f3cc3d8-e50e-42db-9fbf-660a9165fde8</errorID>
      <errorWord>:</errorWord>
      <group>L1_Format</group>
      <groupName>格式问题</groupName>
      <ability>L2_HalfPunc</ability>
      <abilityName>全半角检查</abilityName>
      <candidateList>
        <item>：</item>
      </candidateList>
      <explain>文本全半角错误。</explain>
      <paraID>62A7BB5F</paraID>
      <start>2</start>
      <end>3</end>
      <status>ignored</status>
      <modifiedWord/>
      <trackRevisions>false</trackRevisions>
    </reviewItem>
    <reviewItem>
      <errorID>60a7ec97-683d-434b-a969-2974ac94ba45</errorID>
      <errorWord>:</errorWord>
      <group>L1_Format</group>
      <groupName>格式问题</groupName>
      <ability>L2_HalfPunc</ability>
      <abilityName>全半角检查</abilityName>
      <candidateList>
        <item>：</item>
      </candidateList>
      <explain>文本全半角错误。</explain>
      <paraID>2F484038</paraID>
      <start>2</start>
      <end>3</end>
      <status>ignored</status>
      <modifiedWord/>
      <trackRevisions>false</trackRevisions>
    </reviewItem>
    <reviewItem>
      <errorID>9ab7c2de-3150-4e37-b8a0-c8fb1fea8a57</errorID>
      <errorWord>:</errorWord>
      <group>L1_Format</group>
      <groupName>格式问题</groupName>
      <ability>L2_HalfPunc</ability>
      <abilityName>全半角检查</abilityName>
      <candidateList>
        <item>：</item>
      </candidateList>
      <explain>文本全半角错误。</explain>
      <paraID> 94AB214</paraID>
      <start>2</start>
      <end>3</end>
      <status>ignored</status>
      <modifiedWord/>
      <trackRevisions>false</trackRevisions>
    </reviewItem>
    <reviewItem>
      <errorID>05ec1555-bad8-4193-9da6-7955889c3675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6169B8F</paraID>
      <start>76</start>
      <end>77</end>
      <status>modified</status>
      <modifiedWord>—</modifiedWord>
      <trackRevisions>false</trackRevisions>
    </reviewItem>
    <reviewItem>
      <errorID>ea29a5a1-4725-47d3-88cf-0f7973619946</errorID>
      <errorWord>年平均降水量</errorWord>
      <group>L1_Word</group>
      <groupName>字词问题</groupName>
      <ability>L2_Alias</ability>
      <abilityName>也作/曾用词</abilityName>
      <candidateList>
        <item>平均年降水量</item>
      </candidateList>
      <explain>词汇[年平均降水量]为不规范表述或旧称，其规范书面表述为[平均年降水量]。</explain>
      <paraID>3900CF8E</paraID>
      <start>91</start>
      <end>97</end>
      <status>ignored</status>
      <modifiedWord/>
      <trackRevisions>false</trackRevisions>
    </reviewItem>
    <reviewItem>
      <errorID>968cac0d-ea53-4b26-b778-f073ac2ea518</errorID>
      <errorWord>采用其它</errorWord>
      <group>L1_Word</group>
      <groupName>字词问题</groupName>
      <ability>L2_Alias</ability>
      <abilityName>也作/曾用词</abilityName>
      <candidateList>
        <item>采用其他</item>
      </candidateList>
      <explain>词汇[采用其它]为不规范表述或旧称，其规范书面表述为[采用其他]。</explain>
      <paraID>76154272</paraID>
      <start>20</start>
      <end>24</end>
      <status>ignored</status>
      <modifiedWord/>
      <trackRevisions>false</trackRevisions>
    </reviewItem>
    <reviewItem>
      <errorID>4a79cda8-3be5-49ed-9a01-906acf349f2f</errorID>
      <errorWord>共同协商</errorWord>
      <group>L1_Grammar</group>
      <groupName>语法问题</groupName>
      <ability>L2_Grammar</ability>
      <abilityName>语法错误</abilityName>
      <candidateList>
        <item>协商</item>
      </candidateList>
      <explain/>
      <paraID>76154272</paraID>
      <start>136</start>
      <end>138</end>
      <status>modified</status>
      <modifiedWord>协商</modifiedWord>
      <trackRevisions>false</trackRevisions>
    </reviewItem>
    <reviewItem>
      <errorID>1d1b5a66-9853-478e-b281-ef21e56d6aa6</errorID>
      <errorWord>(</errorWord>
      <group>L1_Format</group>
      <groupName>格式问题</groupName>
      <ability>L2_HalfPunc</ability>
      <abilityName>全半角检查</abilityName>
      <candidateList>
        <item>（</item>
      </candidateList>
      <explain>文本全半角错误。</explain>
      <paraID>7A222018</paraID>
      <start>83</start>
      <end>84</end>
      <status>modified</status>
      <modifiedWord>（</modifiedWord>
      <trackRevisions>false</trackRevisions>
    </reviewItem>
    <reviewItem>
      <errorID>41d9ed4c-a622-4864-abab-e06e1a4df3ac</errorID>
      <errorWord>:</errorWord>
      <group>L1_Format</group>
      <groupName>格式问题</groupName>
      <ability>L2_HalfPunc</ability>
      <abilityName>全半角检查</abilityName>
      <candidateList>
        <item>：</item>
      </candidateList>
      <explain>文本全半角错误。</explain>
      <paraID>7A222018</paraID>
      <start>89</start>
      <end>90</end>
      <status>modified</status>
      <modifiedWord>：</modifiedWord>
      <trackRevisions>false</trackRevisions>
    </reviewItem>
    <reviewItem>
      <errorID>1e531e75-f731-43eb-b70f-3e9205488a59</errorID>
      <errorWord>)</errorWord>
      <group>L1_Format</group>
      <groupName>格式问题</groupName>
      <ability>L2_HalfPunc</ability>
      <abilityName>全半角检查</abilityName>
      <candidateList>
        <item>）</item>
      </candidateList>
      <explain>文本全半角错误。</explain>
      <paraID>7A222018</paraID>
      <start>97</start>
      <end>98</end>
      <status>modified</status>
      <modifiedWord>）</modifiedWord>
      <trackRevisions>false</trackRevisions>
    </reviewItem>
    <reviewItem>
      <errorID>31c82ad7-3794-47a5-9076-0b56621c24e6</errorID>
      <errorWord>、等</errorWord>
      <group>L1_Punc</group>
      <groupName>标点问题</groupName>
      <ability>L2_Punc</ability>
      <abilityName>标点符号检查</abilityName>
      <candidateList>
        <item>等</item>
      </candidateList>
      <explain>“及”“和”“等”连词前不宜使用顿号，建议删除（或使用逗号）。</explain>
      <paraID>6AF2A542</paraID>
      <start>121</start>
      <end>122</end>
      <status>modified</status>
      <modifiedWord>等</modifiedWord>
      <trackRevisions>false</trackRevisions>
    </reviewItem>
    <reviewItem>
      <errorID>a236181b-938e-4d5e-962a-9bdf718dd724</errorID>
      <errorWord>隔</errorWord>
      <group>L1_Word</group>
      <groupName>字词问题</groupName>
      <ability>L2_Typo</ability>
      <abilityName>字词错误</abilityName>
      <candidateList>
        <item>每</item>
      </candidateList>
      <explain>❶〈代〉指示代词。指全体中的任何一个或一组（偏重个体之间的共性）：把节省下来的～一分钱都用在生产上｜～两个星期开一次小组会｜～人做自己能做的事。❷〈副〉表示同一动作行为有规律地反复出现：这个月刊～逢十五日出版｜最简单的秧歌舞是～跨三步退一步。❸〈副〉每每：春秋佳日，～作郊游。❹（Měi）〈名〉姓。</explain>
      <paraID>57492660</paraID>
      <start>3</start>
      <end>4</end>
      <status>modified</status>
      <modifiedWord>每</modifiedWord>
      <trackRevisions>false</trackRevisions>
    </reviewItem>
    <reviewItem>
      <errorID>9e26606a-7298-4b7d-ac00-6c9bb41384f6</errorID>
      <errorWord>涂装到</errorWord>
      <group>L1_Word</group>
      <groupName>字词问题</groupName>
      <ability>L2_Typo</ability>
      <abilityName>字词错误</abilityName>
      <candidateList>
        <item>涂装</item>
      </candidateList>
      <explain/>
      <paraID>649F242A</paraID>
      <start>22</start>
      <end>25</end>
      <status>unmodified</status>
      <modifiedWord/>
      <trackRevisions>false</trackRevisions>
    </reviewItem>
    <reviewItem>
      <errorID>30587dfa-89e4-4101-b678-abb789c1865a</errorID>
      <errorWord>施工者都</errorWord>
      <group>L1_Word</group>
      <groupName>字词问题</groupName>
      <ability>L2_Typo</ability>
      <abilityName>字词错误</abilityName>
      <candidateList>
        <item>施工者</item>
      </candidateList>
      <explain/>
      <paraID>7B585521</paraID>
      <start>8</start>
      <end>11</end>
      <status>modified</status>
      <modifiedWord>施工者</modifiedWord>
      <trackRevisions>false</trackRevisions>
    </reviewItem>
    <reviewItem>
      <errorID>77669a1f-d332-40a3-8e26-c6869ad2eb73</errorID>
      <errorWord>前设</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2C4692A5</paraID>
      <start>5</start>
      <end>6</end>
      <status>modified</status>
      <modifiedWord>前</modifiedWord>
      <trackRevisions>false</trackRevisions>
    </reviewItem>
    <reviewItem>
      <errorID>fe1a1860-2a84-48ef-bf93-8698ebf5f770</errorID>
      <errorWord>双组份</errorWord>
      <group>L1_Word</group>
      <groupName>字词问题</groupName>
      <ability>L2_Variant</ability>
      <abilityName>异形词</abilityName>
      <candidateList>
        <item>双组分</item>
      </candidateList>
      <explain>词汇[双组份]的规范词形写作[双组分]。</explain>
      <paraID>4D9495D3</paraID>
      <start>24</start>
      <end>27</end>
      <status>modified</status>
      <modifiedWord>双组分</modifiedWord>
      <trackRevisions>false</trackRevisions>
    </reviewItem>
    <reviewItem>
      <errorID>02d04a4d-9de2-42be-ab5b-f3138edcabac</errorID>
      <errorWord>、等</errorWord>
      <group>L1_Punc</group>
      <groupName>标点问题</groupName>
      <ability>L2_Punc</ability>
      <abilityName>标点符号检查</abilityName>
      <candidateList>
        <item>等</item>
      </candidateList>
      <explain>“及”“和”“等”连词前不宜使用顿号，建议删除（或使用逗号）。</explain>
      <paraID>1FC7DA5B</paraID>
      <start>37</start>
      <end>38</end>
      <status>modified</status>
      <modifiedWord>等</modifiedWord>
      <trackRevisions>false</trackRevisions>
    </reviewItem>
    <reviewItem>
      <errorID>54cc4021-b788-4ac0-8ae1-792b76b28e66</errorID>
      <errorWord>部位则</errorWord>
      <group>L1_Word</group>
      <groupName>字词问题</groupName>
      <ability>L2_Typo</ability>
      <abilityName>字词错误</abilityName>
      <candidateList>
        <item>部位</item>
      </candidateList>
      <explain/>
      <paraID>4B66F1E0</paraID>
      <start>23</start>
      <end>25</end>
      <status>modified</status>
      <modifiedWord>部位</modifiedWord>
      <trackRevisions>false</trackRevisions>
    </reviewItem>
    <reviewItem>
      <errorID>0d6ee5e4-80f9-4152-8ba5-6b6d605cec23</errorID>
      <errorWord>泄露</errorWord>
      <group>L1_Word</group>
      <groupName>字词问题</groupName>
      <ability>L2_Typo</ability>
      <abilityName>字词错误</abilityName>
      <candidateList>
        <item>泄漏</item>
      </candidateList>
      <explain/>
      <paraID>78BBD828</paraID>
      <start>44</start>
      <end>46</end>
      <status>modified</status>
      <modifiedWord>泄漏</modifiedWord>
      <trackRevisions>false</trackRevisions>
    </reviewItem>
    <reviewItem>
      <errorID>c44fc27e-b267-48c8-84e5-33ea1910650c</errorID>
      <errorWord>、并且</errorWord>
      <group>L1_Word</group>
      <groupName>字词问题</groupName>
      <ability>L2_Typo</ability>
      <abilityName>字词错误</abilityName>
      <candidateList>
        <item>，并且</item>
      </candidateList>
      <explain/>
      <paraID>26C9DBCF</paraID>
      <start>25</start>
      <end>28</end>
      <status>modified</status>
      <modifiedWord>，并且</modifiedWord>
      <trackRevisions>false</trackRevisions>
    </reviewItem>
    <reviewItem>
      <errorID>b92c3b2b-3f98-4f84-a177-24d1c55cf41f</errorID>
      <errorWord>:</errorWord>
      <group>L1_Format</group>
      <groupName>格式问题</groupName>
      <ability>L2_HalfPunc</ability>
      <abilityName>全半角检查</abilityName>
      <candidateList>
        <item>：</item>
      </candidateList>
      <explain>文本全半角错误。</explain>
      <paraID>4F6D1786</paraID>
      <start>62</start>
      <end>63</end>
      <status>modified</status>
      <modifiedWord>：</modifiedWord>
      <trackRevisions>false</trackRevisions>
    </reviewItem>
    <reviewItem>
      <errorID>e1385db6-fc5b-4b72-978f-17c2b896d849</errorID>
      <errorWord>:</errorWord>
      <group>L1_Format</group>
      <groupName>格式问题</groupName>
      <ability>L2_HalfPunc</ability>
      <abilityName>全半角检查</abilityName>
      <candidateList>
        <item>：</item>
      </candidateList>
      <explain>文本全半角错误。</explain>
      <paraID>4F6D1786</paraID>
      <start>66</start>
      <end>67</end>
      <status>modified</status>
      <modifiedWord>：</modifiedWord>
      <trackRevisions>false</trackRevisions>
    </reviewItem>
    <reviewItem>
      <errorID>c07d14cd-05ae-41c7-a462-f7135c3c6e18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7736F07A</paraID>
      <start>0</start>
      <end>3</end>
      <status>modified</status>
      <modifiedWord>（4）</modifiedWord>
      <trackRevisions>false</trackRevisions>
    </reviewItem>
    <reviewItem>
      <errorID>4c002485-fc42-49d9-a06e-4fb049ad28eb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4BD65A6B</paraID>
      <start>0</start>
      <end>3</end>
      <status>modified</status>
      <modifiedWord>（5）</modifiedWord>
      <trackRevisions>false</trackRevisions>
    </reviewItem>
    <reviewItem>
      <errorID>06226eb7-068e-43b4-8fb4-992404119283</errorID>
      <errorWord>~</errorWord>
      <group>L1_Format</group>
      <groupName>格式问题</groupName>
      <ability>L2_HalfPunc</ability>
      <abilityName>全半角检查</abilityName>
      <candidateList>
        <item>～</item>
      </candidateList>
      <explain>文本全半角错误。</explain>
      <paraID>4BD65A6B</paraID>
      <start>28</start>
      <end>29</end>
      <status>unmodified</status>
      <modifiedWord/>
      <trackRevisions>false</trackRevisions>
    </reviewItem>
    <reviewItem>
      <errorID>7fe007d1-a939-4fd7-aae6-745addfd6459</errorID>
      <errorWord>,</errorWord>
      <group>L1_Format</group>
      <groupName>格式问题</groupName>
      <ability>L2_HalfPunc</ability>
      <abilityName>全半角检查</abilityName>
      <candidateList>
        <item>，</item>
      </candidateList>
      <explain>文本全半角错误。</explain>
      <paraID>4BD65A6B</paraID>
      <start>46</start>
      <end>47</end>
      <status>modified</status>
      <modifiedWord>，</modifiedWord>
      <trackRevisions>false</trackRevisions>
    </reviewItem>
    <reviewItem>
      <errorID>c77497e6-ea5f-47fe-8f1f-8f5c8aeeb66a</errorID>
      <errorWord>过度</errorWord>
      <group>L1_Word</group>
      <groupName>字词问题</groupName>
      <ability>L2_Typo</ability>
      <abilityName>字词错误</abilityName>
      <candidateList>
        <item>过渡</item>
      </candidateList>
      <explain>存在发音相同字词的误用。</explain>
      <paraID>65BEB5D2</paraID>
      <start>48</start>
      <end>50</end>
      <status>modified</status>
      <modifiedWord>过渡</modifiedWord>
      <trackRevisions>false</trackRevisions>
    </reviewItem>
    <reviewItem>
      <errorID>7171c7c9-0586-4216-9105-605ced22e628</errorID>
      <errorWord>镀锌铁丝</errorWord>
      <group>L1_Knowledge</group>
      <groupName>知识性问题</groupName>
      <ability>L2_Term</ability>
      <abilityName>专业术语</abilityName>
      <candidateList>
        <item>镀锌钢丝</item>
      </candidateList>
      <explain/>
      <paraID>7BFC5AC8</paraID>
      <start>49</start>
      <end>53</end>
      <status>ignored</status>
      <modifiedWord/>
      <trackRevisions>false</trackRevisions>
    </reviewItem>
    <reviewItem>
      <errorID>182ddd6e-80d7-4afe-99ac-d64d5009646c</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4A7852B8</paraID>
      <start>93</start>
      <end>94</end>
      <status>modified</status>
      <modifiedWord>—</modifiedWord>
      <trackRevisions>false</trackRevisions>
    </reviewItem>
    <reviewItem>
      <errorID>bae499a2-3697-462c-b6c7-08f4f9753907</errorID>
      <errorWord>按规定</errorWord>
      <group>L1_Word</group>
      <groupName>字词问题</groupName>
      <ability>L2_Typo</ability>
      <abilityName>字词错误</abilityName>
      <candidateList>
        <item>规定</item>
      </candidateList>
      <explain>❶〈动〉对某一事物做出关于方式、方法或数量、质量的决定：～产品的质量标准｜不得超过～的日期。❷〈名〉所规定的内容：关于下岗职工的安排问题，上级已经有了新的～。</explain>
      <paraID>20B80977</paraID>
      <start>15</start>
      <end>17</end>
      <status>modified</status>
      <modifiedWord>规定</modifiedWord>
      <trackRevisions>false</trackRevisions>
    </reviewItem>
    <reviewItem>
      <errorID>d402a4a8-f1a0-4335-be49-bb2b701c1497</errorID>
      <errorWord>,</errorWord>
      <group>L1_Format</group>
      <groupName>格式问题</groupName>
      <ability>L2_HalfPunc</ability>
      <abilityName>全半角检查</abilityName>
      <candidateList>
        <item>，</item>
      </candidateList>
      <explain>文本全半角错误。</explain>
      <paraID>73E611CB</paraID>
      <start>5</start>
      <end>6</end>
      <status>unmodified</status>
      <modifiedWord/>
      <trackRevisions>false</trackRevisions>
    </reviewItem>
    <reviewItem>
      <errorID>441314c7-037d-4ab2-81bf-b0b04c5822e8</errorID>
      <errorWord>因</errorWord>
      <group>L1_Word</group>
      <groupName>字词问题</groupName>
      <ability>L2_Typo</ability>
      <abilityName>字词错误</abilityName>
      <candidateList>
        <item>应</item>
      </candidateList>
      <explain>存在发音相近字词的误用。</explain>
      <paraID>4CAEB2E8</paraID>
      <start>30</start>
      <end>31</end>
      <status>modified</status>
      <modifiedWord>应</modifiedWord>
      <trackRevisions>false</trackRevisions>
    </reviewItem>
    <reviewItem>
      <errorID>a5ca0308-6455-4909-a23d-2c9adf7afd03</errorID>
      <errorWord>a)</errorWord>
      <group>L1_Format</group>
      <groupName>格式问题</groupName>
      <ability>L2_Ordinal</ability>
      <abilityName>序号格式</abilityName>
      <candidateList>
        <item>a）</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4746BDD</paraID>
      <start>3</start>
      <end>5</end>
      <status>modified</status>
      <modifiedWord>a）</modifiedWord>
      <trackRevisions>false</trackRevisions>
    </reviewItem>
    <reviewItem>
      <errorID>14f527f7-0c86-42f5-a746-45fae8b3d6d7</errorID>
      <errorWord>不锈管</errorWord>
      <group>L1_Word</group>
      <groupName>字词问题</groupName>
      <ability>L2_Typo</ability>
      <abilityName>字词错误</abilityName>
      <candidateList>
        <item>不锈钢</item>
      </candidateList>
      <explain/>
      <paraID>7AC48F55</paraID>
      <start>43</start>
      <end>46</end>
      <status>modified</status>
      <modifiedWord>不锈钢</modifiedWord>
      <trackRevisions>false</trackRevisions>
    </reviewItem>
    <reviewItem>
      <errorID>e172f81c-f8b9-4059-982d-1dbd367b3858</errorID>
      <errorWord>：</errorWord>
      <group>L1_Format</group>
      <groupName>格式问题</groupName>
      <ability>L2_HalfPunc</ability>
      <abilityName>全半角检查</abilityName>
      <candidateList>
        <item>:</item>
      </candidateList>
      <explain>文本全半角错误。</explain>
      <paraID>41A6550D</paraID>
      <start>20</start>
      <end>21</end>
      <status>modified</status>
      <modifiedWord>:</modifiedWord>
      <trackRevisions>false</trackRevisions>
    </reviewItem>
    <reviewItem>
      <errorID>182e0243-94a2-4abf-92a7-78a5b44fabcd</errorID>
      <errorWord>监验</errorWord>
      <group>L1_Word</group>
      <groupName>字词问题</groupName>
      <ability>L2_Typo</ability>
      <abilityName>字词错误</abilityName>
      <candidateList>
        <item>检验</item>
      </candidateList>
      <explain>存在发音相同字词的误用。</explain>
      <paraID>  70FA3D</paraID>
      <start>47</start>
      <end>49</end>
      <status>modified</status>
      <modifiedWord>检验</modifiedWord>
      <trackRevisions>false</trackRevisions>
    </reviewItem>
    <reviewItem>
      <errorID>50d3a06f-9a0f-4309-a605-e5c7129671a7</errorID>
      <errorWord>其它机械</errorWord>
      <group>L1_Word</group>
      <groupName>字词问题</groupName>
      <ability>L2_Alias</ability>
      <abilityName>也作/曾用词</abilityName>
      <candidateList>
        <item>其他机械</item>
      </candidateList>
      <explain>词汇[其它机械]为不规范表述或旧称，其规范书面表述为[其他机械]。</explain>
      <paraID>7774D8EF</paraID>
      <start>26</start>
      <end>30</end>
      <status>modified</status>
      <modifiedWord>其他机械</modifiedWord>
      <trackRevisions>false</trackRevisions>
    </reviewItem>
    <reviewItem>
      <errorID>6a2471ee-dec7-422e-9f0f-9bbbba80c32b</errorID>
      <errorWord>配戴</errorWord>
      <group>L1_Word</group>
      <groupName>字词问题</groupName>
      <ability>L2_Alias</ability>
      <abilityName>也作/曾用词</abilityName>
      <candidateList>
        <item>佩戴</item>
      </candidateList>
      <explain>词汇[配戴]为不规范表述或旧称，其规范书面表述为[佩戴]。</explain>
      <paraID>316EAC45</paraID>
      <start>30</start>
      <end>32</end>
      <status>modified</status>
      <modifiedWord>佩戴</modifiedWord>
      <trackRevisions>false</trackRevisions>
    </reviewItem>
    <reviewItem>
      <errorID>e14f9379-49d3-49d2-928d-d3f56490fd39</errorID>
      <errorWord>设施</errorWord>
      <group>L1_Word</group>
      <groupName>字词问题</groupName>
      <ability>L2_Typo</ability>
      <abilityName>字词错误</abilityName>
      <candidateList>
        <item>设置</item>
      </candidateList>
      <explain>〈动〉❶设立：这座剧院是为儿童～的。❷安放；安装：～障碍。</explain>
      <paraID> 32321B5</paraID>
      <start>15</start>
      <end>17</end>
      <status>modified</status>
      <modifiedWord>设置</modifiedWord>
      <trackRevisions>false</trackRevisions>
    </reviewItem>
    <reviewItem>
      <errorID>5dc06051-88dc-49c8-824d-ae872d0ebef6</errorID>
      <errorWord>拌倒</errorWord>
      <group>L1_Word</group>
      <groupName>字词问题</groupName>
      <ability>L2_Typo</ability>
      <abilityName>字词错误</abilityName>
      <candidateList>
        <item>绊倒</item>
      </candidateList>
      <explain/>
      <paraID>6DCF7B41</paraID>
      <start>55</start>
      <end>57</end>
      <status>modified</status>
      <modifiedWord>绊倒</modifiedWord>
      <trackRevisions>false</trackRevisions>
    </reviewItem>
    <reviewItem>
      <errorID>391f2b2e-c50c-4718-82f1-0c44a7763763</errorID>
      <errorWord>坠人</errorWord>
      <group>L1_Word</group>
      <groupName>字词问题</groupName>
      <ability>L2_Typo</ability>
      <abilityName>字词错误</abilityName>
      <candidateList>
        <item>坠入</item>
      </candidateList>
      <explain/>
      <paraID>4A297C10</paraID>
      <start>32</start>
      <end>34</end>
      <status>ignored</status>
      <modifiedWord/>
      <trackRevisions>false</trackRevisions>
    </reviewItem>
    <reviewItem>
      <errorID>01bf8588-dd31-48e1-bb23-e1fb018e31e6</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53AEFE27</paraID>
      <start>9</start>
      <end>10</end>
      <status>ignored</status>
      <modifiedWord/>
      <trackRevisions>false</trackRevisions>
    </reviewItem>
    <reviewItem>
      <errorID>609359ee-b95a-4809-b88a-af02f7cda426</errorID>
      <errorWord>粘接剂</errorWord>
      <group>L1_Word</group>
      <groupName>字词问题</groupName>
      <ability>L2_Typo</ability>
      <abilityName>字词错误</abilityName>
      <candidateList>
        <item>粘结剂</item>
      </candidateList>
      <explain>存在发音相同字词的误用。</explain>
      <paraID>53AEFE27</paraID>
      <start>17</start>
      <end>20</end>
      <status>modified</status>
      <modifiedWord>粘结剂</modifiedWord>
      <trackRevisions>false</trackRevisions>
    </reviewItem>
    <reviewItem>
      <errorID>cf7aba61-03c5-4bc1-8e44-1429442601f8</errorID>
      <errorWord>:</errorWord>
      <group>L1_Format</group>
      <groupName>格式问题</groupName>
      <ability>L2_HalfPunc</ability>
      <abilityName>全半角检查</abilityName>
      <candidateList>
        <item>：</item>
      </candidateList>
      <explain>文本全半角错误。</explain>
      <paraID>5F251BFD</paraID>
      <start>56</start>
      <end>57</end>
      <status>modified</status>
      <modifiedWord>：</modifiedWord>
      <trackRevisions>false</trackRevisions>
    </reviewItem>
    <reviewItem>
      <errorID>fc23746b-ee31-4cc4-9f80-ffe4758c9ed8</errorID>
      <errorWord>:</errorWord>
      <group>L1_Format</group>
      <groupName>格式问题</groupName>
      <ability>L2_HalfPunc</ability>
      <abilityName>全半角检查</abilityName>
      <candidateList>
        <item>：</item>
      </candidateList>
      <explain>文本全半角错误。</explain>
      <paraID>335C82CA</paraID>
      <start>56</start>
      <end>57</end>
      <status>modified</status>
      <modifiedWord>：</modifiedWord>
      <trackRevisions>false</trackRevisions>
    </reviewItem>
    <reviewItem>
      <errorID>91376cff-c9db-4696-afbf-f0f232ada63f</errorID>
      <errorWord>:</errorWord>
      <group>L1_Format</group>
      <groupName>格式问题</groupName>
      <ability>L2_HalfPunc</ability>
      <abilityName>全半角检查</abilityName>
      <candidateList>
        <item>：</item>
      </candidateList>
      <explain>文本全半角错误。</explain>
      <paraID>3EE7D90C</paraID>
      <start>56</start>
      <end>57</end>
      <status>modified</status>
      <modifiedWord>：</modifiedWord>
      <trackRevisions>false</trackRevisions>
    </reviewItem>
    <reviewItem>
      <errorID>40e170c9-33d4-4eef-a0b9-05b35e148917</errorID>
      <errorWord>:</errorWord>
      <group>L1_Format</group>
      <groupName>格式问题</groupName>
      <ability>L2_HalfPunc</ability>
      <abilityName>全半角检查</abilityName>
      <candidateList>
        <item>：</item>
      </candidateList>
      <explain>文本全半角错误。</explain>
      <paraID>72F1B461</paraID>
      <start>56</start>
      <end>57</end>
      <status>modified</status>
      <modifiedWord>：</modifiedWord>
      <trackRevisions>false</trackRevisions>
    </reviewItem>
    <reviewItem>
      <errorID>8d2a20a3-5f49-4354-99af-83bcbb7a1a9a</errorID>
      <errorWord>详</errorWord>
      <group>L1_Word</group>
      <groupName>字词问题</groupName>
      <ability>L2_Typo</ability>
      <abilityName>字词错误</abilityName>
      <candidateList>
        <item>详见</item>
      </candidateList>
      <explain/>
      <paraID>4CBBEA40</paraID>
      <start>6</start>
      <end>8</end>
      <status>modified</status>
      <modifiedWord>详见</modifiedWord>
      <trackRevisions>false</trackRevisions>
    </reviewItem>
    <reviewItem>
      <errorID>6674140e-e8c3-4701-9c47-7d16c258cc02</errorID>
      <errorWord>详</errorWord>
      <group>L1_Word</group>
      <groupName>字词问题</groupName>
      <ability>L2_Typo</ability>
      <abilityName>字词错误</abilityName>
      <candidateList>
        <item>详见</item>
      </candidateList>
      <explain/>
      <paraID>5551AD1A</paraID>
      <start>6</start>
      <end>8</end>
      <status>modified</status>
      <modifiedWord>详见</modifiedWord>
      <trackRevisions>false</trackRevisions>
    </reviewItem>
    <reviewItem>
      <errorID>09c5368f-83d6-4dc0-a90c-ed78bfbc7a48</errorID>
      <errorWord>采用采用</errorWord>
      <group>L1_Word</group>
      <groupName>字词问题</groupName>
      <ability>L2_Typo</ability>
      <abilityName>字词错误</abilityName>
      <candidateList>
        <item>采用</item>
      </candidateList>
      <explain>〈动〉认为合适而使用：～新工艺｜～举手表决方式｜那篇稿子已被编辑部～。</explain>
      <paraID>6753DFAD</paraID>
      <start>2</start>
      <end>4</end>
      <status>modified</status>
      <modifiedWord>采用</modifiedWord>
      <trackRevisions>false</trackRevisions>
    </reviewItem>
    <reviewItem>
      <errorID>f1c427ec-8069-4538-bb7e-719aad0c892e</errorID>
      <errorWord>采用采用</errorWord>
      <group>L1_Word</group>
      <groupName>字词问题</groupName>
      <ability>L2_Typo</ability>
      <abilityName>字词错误</abilityName>
      <candidateList>
        <item>采用</item>
      </candidateList>
      <explain>〈动〉认为合适而使用：～新工艺｜～举手表决方式｜那篇稿子已被编辑部～。</explain>
      <paraID>5F862FBC</paraID>
      <start>2</start>
      <end>4</end>
      <status>modified</status>
      <modifiedWord>采用</modifiedWord>
      <trackRevisions>false</trackRevisions>
    </reviewItem>
    <reviewItem>
      <errorID>7abe5884-a9f9-4ce0-82e7-34ffb1591504</errorID>
      <errorWord>采用采用</errorWord>
      <group>L1_Word</group>
      <groupName>字词问题</groupName>
      <ability>L2_Typo</ability>
      <abilityName>字词错误</abilityName>
      <candidateList>
        <item>采用</item>
      </candidateList>
      <explain>〈动〉认为合适而使用：～新工艺｜～举手表决方式｜那篇稿子已被编辑部～。</explain>
      <paraID>75038718</paraID>
      <start>2</start>
      <end>4</end>
      <status>modified</status>
      <modifiedWord>采用</modifiedWord>
      <trackRevisions>false</trackRevisions>
    </reviewItem>
  </reviewItems>
  <config/>
</contractReview>
</file>

<file path=customXml/item3.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eb1fb5-e39d-48b5-9b35-6e2d42871118}">
  <ds:schemaRefs/>
</ds:datastoreItem>
</file>

<file path=customXml/itemProps3.xml><?xml version="1.0" encoding="utf-8"?>
<ds:datastoreItem xmlns:ds="http://schemas.openxmlformats.org/officeDocument/2006/customXml" ds:itemID="{6E6389D5-59CD-460C-BE16-A89908ABDCB7}">
  <ds:schemaRefs/>
</ds:datastoreItem>
</file>

<file path=docProps/app.xml><?xml version="1.0" encoding="utf-8"?>
<Properties xmlns="http://schemas.openxmlformats.org/officeDocument/2006/extended-properties" xmlns:vt="http://schemas.openxmlformats.org/officeDocument/2006/docPropsVTypes">
  <Pages>19</Pages>
  <Words>11134</Words>
  <Characters>12462</Characters>
  <Lines>138</Lines>
  <Paragraphs>38</Paragraphs>
  <TotalTime>5</TotalTime>
  <ScaleCrop>false</ScaleCrop>
  <LinksUpToDate>false</LinksUpToDate>
  <CharactersWithSpaces>12822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2021-12-23T19:59:00Z</dcterms:created>
  <dc:creator>王飞琛</dc:creator>
  <cp:lastModifiedBy>王飞琛</cp:lastModifiedBy>
  <cp:lastPrinted>2025-04-01T17:10:00Z</cp:lastPrinted>
  <dcterms:modified xsi:type="dcterms:W3CDTF">2026-04-08T02:59:59Z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65F1CB9997034B81B0A36BD7B2198269_13</vt:lpwstr>
  </property>
  <property fmtid="{D5CDD505-2E9C-101B-9397-08002B2CF9AE}" pid="4" name="KSOTemplateDocerSaveRecord">
    <vt:lpwstr>eyJoZGlkIjoiODAzNzFmNmVkMzZjNTliNzZlMzVlZDVhOWM2MWI5ZDQiLCJ1c2VySWQiOiIxNTcwMjg4MTAxIn0=</vt:lpwstr>
  </property>
</Properties>
</file>