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640C43">
      <w:pPr>
        <w:widowControl/>
        <w:tabs>
          <w:tab w:val="left" w:pos="480"/>
        </w:tabs>
        <w:spacing w:line="360" w:lineRule="auto"/>
        <w:rPr>
          <w:rFonts w:hint="eastAsia" w:ascii="黑体" w:hAnsi="黑体" w:eastAsia="黑体" w:cs="黑体"/>
          <w:b w:val="0"/>
          <w:bCs/>
          <w:color w:val="auto"/>
          <w:sz w:val="21"/>
          <w:szCs w:val="21"/>
          <w:highlight w:val="none"/>
          <w:lang w:val="en-US" w:eastAsia="zh-CN"/>
        </w:rPr>
      </w:pPr>
      <w:bookmarkStart w:id="0" w:name="_Toc395104441"/>
      <w:bookmarkStart w:id="32" w:name="_GoBack"/>
      <w:r>
        <w:rPr>
          <w:color w:val="auto"/>
          <w:highlight w:val="none"/>
        </w:rPr>
        <w:drawing>
          <wp:anchor distT="0" distB="0" distL="0" distR="0" simplePos="0" relativeHeight="251659264" behindDoc="0" locked="0" layoutInCell="0" allowOverlap="1">
            <wp:simplePos x="0" y="0"/>
            <wp:positionH relativeFrom="page">
              <wp:posOffset>637540</wp:posOffset>
            </wp:positionH>
            <wp:positionV relativeFrom="page">
              <wp:posOffset>1049655</wp:posOffset>
            </wp:positionV>
            <wp:extent cx="791210" cy="656590"/>
            <wp:effectExtent l="0" t="0" r="8890" b="3810"/>
            <wp:wrapNone/>
            <wp:docPr id="1" name="IM 1"/>
            <wp:cNvGraphicFramePr/>
            <a:graphic xmlns:a="http://schemas.openxmlformats.org/drawingml/2006/main">
              <a:graphicData uri="http://schemas.openxmlformats.org/drawingml/2006/picture">
                <pic:pic xmlns:pic="http://schemas.openxmlformats.org/drawingml/2006/picture">
                  <pic:nvPicPr>
                    <pic:cNvPr id="1" name="IM 1"/>
                    <pic:cNvPicPr/>
                  </pic:nvPicPr>
                  <pic:blipFill>
                    <a:blip r:embed="rId7"/>
                    <a:stretch>
                      <a:fillRect/>
                    </a:stretch>
                  </pic:blipFill>
                  <pic:spPr>
                    <a:xfrm>
                      <a:off x="0" y="0"/>
                      <a:ext cx="791210" cy="656590"/>
                    </a:xfrm>
                    <a:prstGeom prst="rect">
                      <a:avLst/>
                    </a:prstGeom>
                  </pic:spPr>
                </pic:pic>
              </a:graphicData>
            </a:graphic>
          </wp:anchor>
        </w:drawing>
      </w:r>
    </w:p>
    <w:p w14:paraId="1E7E3A02">
      <w:pPr>
        <w:widowControl/>
        <w:tabs>
          <w:tab w:val="left" w:pos="480"/>
        </w:tabs>
        <w:spacing w:line="360" w:lineRule="auto"/>
        <w:rPr>
          <w:rFonts w:hint="eastAsia" w:ascii="黑体" w:hAnsi="黑体" w:eastAsia="黑体" w:cs="黑体"/>
          <w:b w:val="0"/>
          <w:bCs/>
          <w:color w:val="auto"/>
          <w:sz w:val="21"/>
          <w:szCs w:val="21"/>
          <w:highlight w:val="none"/>
          <w:lang w:val="en-US" w:eastAsia="zh-CN"/>
        </w:rPr>
      </w:pPr>
    </w:p>
    <w:p w14:paraId="490C720A">
      <w:pPr>
        <w:spacing w:line="387" w:lineRule="auto"/>
        <w:ind w:firstLine="1248" w:firstLineChars="400"/>
        <w:rPr>
          <w:rFonts w:ascii="黑体" w:hAnsi="黑体" w:eastAsia="黑体" w:cs="黑体"/>
          <w:color w:val="auto"/>
          <w:sz w:val="29"/>
          <w:szCs w:val="29"/>
          <w:highlight w:val="none"/>
        </w:rPr>
      </w:pPr>
      <w:r>
        <w:rPr>
          <w:rFonts w:ascii="黑体" w:hAnsi="黑体" w:eastAsia="黑体" w:cs="黑体"/>
          <w:color w:val="auto"/>
          <w:spacing w:val="11"/>
          <w:sz w:val="29"/>
          <w:szCs w:val="29"/>
          <w:highlight w:val="none"/>
          <w14:textOutline w14:w="5448" w14:cap="sq" w14:cmpd="sng" w14:algn="ctr">
            <w14:solidFill>
              <w14:srgbClr w14:val="000000"/>
            </w14:solidFill>
            <w14:prstDash w14:val="solid"/>
            <w14:bevel/>
          </w14:textOutline>
        </w:rPr>
        <w:t>伊犁</w:t>
      </w:r>
      <w:r>
        <w:rPr>
          <w:rFonts w:ascii="黑体" w:hAnsi="黑体" w:eastAsia="黑体" w:cs="黑体"/>
          <w:color w:val="auto"/>
          <w:spacing w:val="10"/>
          <w:sz w:val="29"/>
          <w:szCs w:val="29"/>
          <w:highlight w:val="none"/>
          <w14:textOutline w14:w="5448" w14:cap="sq" w14:cmpd="sng" w14:algn="ctr">
            <w14:solidFill>
              <w14:srgbClr w14:val="000000"/>
            </w14:solidFill>
            <w14:prstDash w14:val="solid"/>
            <w14:bevel/>
          </w14:textOutline>
        </w:rPr>
        <w:t>新天煤化工有限责任公司</w:t>
      </w:r>
    </w:p>
    <w:p w14:paraId="739842FF">
      <w:pPr>
        <w:spacing w:line="256" w:lineRule="auto"/>
        <w:rPr>
          <w:color w:val="auto"/>
          <w:highlight w:val="none"/>
        </w:rPr>
      </w:pPr>
    </w:p>
    <w:p w14:paraId="4A82682A">
      <w:pPr>
        <w:pStyle w:val="3"/>
        <w:rPr>
          <w:color w:val="auto"/>
          <w:highlight w:val="none"/>
        </w:rPr>
      </w:pPr>
    </w:p>
    <w:p w14:paraId="7520A114">
      <w:pPr>
        <w:rPr>
          <w:color w:val="auto"/>
          <w:highlight w:val="none"/>
        </w:rPr>
      </w:pPr>
    </w:p>
    <w:p w14:paraId="3053EA11">
      <w:pPr>
        <w:spacing w:line="256" w:lineRule="auto"/>
        <w:rPr>
          <w:color w:val="auto"/>
          <w:highlight w:val="none"/>
        </w:rPr>
      </w:pPr>
    </w:p>
    <w:p w14:paraId="04BC490D">
      <w:pPr>
        <w:spacing w:line="279" w:lineRule="auto"/>
        <w:ind w:firstLine="520" w:firstLineChars="100"/>
        <w:jc w:val="both"/>
        <w:rPr>
          <w:rFonts w:hint="eastAsia" w:ascii="黑体" w:hAnsi="黑体" w:eastAsia="黑体" w:cs="黑体"/>
          <w:color w:val="auto"/>
          <w:sz w:val="52"/>
          <w:szCs w:val="52"/>
          <w:highlight w:val="none"/>
          <w:lang w:eastAsia="zh-CN"/>
        </w:rPr>
      </w:pPr>
      <w:r>
        <w:rPr>
          <w:rFonts w:hint="eastAsia" w:ascii="黑体" w:hAnsi="黑体" w:eastAsia="黑体" w:cs="黑体"/>
          <w:color w:val="auto"/>
          <w:sz w:val="52"/>
          <w:szCs w:val="52"/>
          <w:highlight w:val="none"/>
          <w14:textOutline w14:w="9461" w14:cap="sq" w14:cmpd="sng" w14:algn="ctr">
            <w14:solidFill>
              <w14:srgbClr w14:val="000000"/>
            </w14:solidFill>
            <w14:prstDash w14:val="solid"/>
            <w14:bevel/>
          </w14:textOutline>
        </w:rPr>
        <w:t>压力容器、</w:t>
      </w:r>
      <w:r>
        <w:rPr>
          <w:rFonts w:hint="eastAsia" w:ascii="黑体" w:hAnsi="黑体" w:eastAsia="黑体" w:cs="黑体"/>
          <w:color w:val="auto"/>
          <w:sz w:val="52"/>
          <w:szCs w:val="52"/>
          <w:highlight w:val="none"/>
          <w:lang w:val="en-US" w:eastAsia="zh-CN"/>
          <w14:textOutline w14:w="9461" w14:cap="sq" w14:cmpd="sng" w14:algn="ctr">
            <w14:solidFill>
              <w14:srgbClr w14:val="000000"/>
            </w14:solidFill>
            <w14:prstDash w14:val="solid"/>
            <w14:bevel/>
          </w14:textOutline>
        </w:rPr>
        <w:t>压力管道焊口打磨</w:t>
      </w:r>
      <w:r>
        <w:rPr>
          <w:rFonts w:hint="eastAsia" w:ascii="黑体" w:hAnsi="黑体" w:eastAsia="黑体" w:cs="黑体"/>
          <w:color w:val="auto"/>
          <w:spacing w:val="-1"/>
          <w:sz w:val="52"/>
          <w:szCs w:val="52"/>
          <w:highlight w:val="none"/>
          <w:lang w:val="en-US" w:eastAsia="zh-CN"/>
          <w14:textOutline w14:w="9461" w14:cap="sq" w14:cmpd="sng" w14:algn="ctr">
            <w14:solidFill>
              <w14:srgbClr w14:val="000000"/>
            </w14:solidFill>
            <w14:prstDash w14:val="solid"/>
            <w14:bevel/>
          </w14:textOutline>
        </w:rPr>
        <w:t>服务</w:t>
      </w:r>
    </w:p>
    <w:p w14:paraId="68A53BC4">
      <w:pPr>
        <w:spacing w:line="280" w:lineRule="auto"/>
        <w:rPr>
          <w:color w:val="auto"/>
          <w:highlight w:val="none"/>
        </w:rPr>
      </w:pPr>
    </w:p>
    <w:p w14:paraId="5F1EF19C">
      <w:pPr>
        <w:spacing w:line="280" w:lineRule="auto"/>
        <w:rPr>
          <w:color w:val="auto"/>
          <w:highlight w:val="none"/>
        </w:rPr>
      </w:pPr>
    </w:p>
    <w:p w14:paraId="4EDDF8D8">
      <w:pPr>
        <w:spacing w:line="280" w:lineRule="auto"/>
        <w:rPr>
          <w:color w:val="auto"/>
          <w:highlight w:val="none"/>
        </w:rPr>
      </w:pPr>
    </w:p>
    <w:p w14:paraId="0AC6E1CD">
      <w:pPr>
        <w:spacing w:line="280" w:lineRule="auto"/>
        <w:rPr>
          <w:color w:val="auto"/>
          <w:highlight w:val="none"/>
        </w:rPr>
      </w:pPr>
    </w:p>
    <w:p w14:paraId="5F006B7A">
      <w:pPr>
        <w:ind w:firstLine="3915" w:firstLineChars="1300"/>
        <w:rPr>
          <w:rFonts w:ascii="宋体" w:hAnsi="宋体" w:cs="宋体"/>
          <w:b/>
          <w:bCs/>
          <w:color w:val="auto"/>
          <w:sz w:val="30"/>
          <w:szCs w:val="30"/>
          <w:highlight w:val="none"/>
        </w:rPr>
      </w:pPr>
      <w:r>
        <w:rPr>
          <w:rFonts w:hint="eastAsia" w:ascii="宋体" w:hAnsi="宋体" w:cs="宋体"/>
          <w:b/>
          <w:bCs/>
          <w:color w:val="auto"/>
          <w:sz w:val="30"/>
          <w:szCs w:val="30"/>
          <w:highlight w:val="none"/>
        </w:rPr>
        <w:t>编制：</w:t>
      </w:r>
    </w:p>
    <w:p w14:paraId="7A188066">
      <w:pPr>
        <w:ind w:firstLine="2711" w:firstLineChars="900"/>
        <w:jc w:val="center"/>
        <w:rPr>
          <w:rFonts w:ascii="宋体" w:hAnsi="宋体" w:cs="宋体"/>
          <w:b/>
          <w:bCs/>
          <w:color w:val="auto"/>
          <w:sz w:val="30"/>
          <w:szCs w:val="30"/>
          <w:highlight w:val="none"/>
        </w:rPr>
      </w:pPr>
    </w:p>
    <w:p w14:paraId="1031B6D5">
      <w:pPr>
        <w:ind w:firstLine="3915" w:firstLineChars="1300"/>
        <w:rPr>
          <w:rFonts w:ascii="宋体" w:hAnsi="宋体" w:cs="宋体"/>
          <w:b/>
          <w:bCs/>
          <w:color w:val="auto"/>
          <w:sz w:val="30"/>
          <w:szCs w:val="30"/>
          <w:highlight w:val="none"/>
        </w:rPr>
      </w:pPr>
      <w:r>
        <w:rPr>
          <w:rFonts w:hint="eastAsia" w:ascii="宋体" w:hAnsi="宋体" w:cs="宋体"/>
          <w:b/>
          <w:bCs/>
          <w:color w:val="auto"/>
          <w:sz w:val="30"/>
          <w:szCs w:val="30"/>
          <w:highlight w:val="none"/>
        </w:rPr>
        <w:t>审核：</w:t>
      </w:r>
    </w:p>
    <w:p w14:paraId="790DF5B3">
      <w:pPr>
        <w:ind w:firstLine="2711" w:firstLineChars="900"/>
        <w:jc w:val="center"/>
        <w:rPr>
          <w:rFonts w:ascii="宋体" w:hAnsi="宋体" w:cs="宋体"/>
          <w:b/>
          <w:bCs/>
          <w:color w:val="auto"/>
          <w:sz w:val="30"/>
          <w:szCs w:val="30"/>
          <w:highlight w:val="none"/>
        </w:rPr>
      </w:pPr>
      <w:r>
        <w:rPr>
          <w:rFonts w:hint="eastAsia" w:ascii="宋体" w:hAnsi="宋体" w:cs="宋体"/>
          <w:b/>
          <w:bCs/>
          <w:color w:val="auto"/>
          <w:sz w:val="30"/>
          <w:szCs w:val="30"/>
          <w:highlight w:val="none"/>
        </w:rPr>
        <w:t xml:space="preserve"> </w:t>
      </w:r>
    </w:p>
    <w:p w14:paraId="5603C8A9">
      <w:pPr>
        <w:ind w:firstLine="3915" w:firstLineChars="1300"/>
        <w:rPr>
          <w:rFonts w:ascii="宋体" w:hAnsi="宋体" w:cs="宋体"/>
          <w:b/>
          <w:bCs/>
          <w:color w:val="auto"/>
          <w:sz w:val="30"/>
          <w:szCs w:val="30"/>
          <w:highlight w:val="none"/>
        </w:rPr>
      </w:pPr>
      <w:r>
        <w:rPr>
          <w:rFonts w:hint="eastAsia" w:ascii="宋体" w:hAnsi="宋体" w:cs="宋体"/>
          <w:b/>
          <w:bCs/>
          <w:color w:val="auto"/>
          <w:sz w:val="30"/>
          <w:szCs w:val="30"/>
          <w:highlight w:val="none"/>
        </w:rPr>
        <w:t>审定：</w:t>
      </w:r>
    </w:p>
    <w:p w14:paraId="198C61DC">
      <w:pPr>
        <w:ind w:firstLine="2409" w:firstLineChars="800"/>
        <w:jc w:val="center"/>
        <w:rPr>
          <w:rFonts w:ascii="宋体" w:hAnsi="宋体" w:cs="宋体"/>
          <w:b/>
          <w:bCs/>
          <w:color w:val="auto"/>
          <w:sz w:val="30"/>
          <w:szCs w:val="30"/>
          <w:highlight w:val="none"/>
        </w:rPr>
      </w:pPr>
    </w:p>
    <w:p w14:paraId="448D20B5">
      <w:pPr>
        <w:ind w:firstLine="3915" w:firstLineChars="1300"/>
        <w:rPr>
          <w:color w:val="auto"/>
          <w:highlight w:val="none"/>
        </w:rPr>
      </w:pPr>
      <w:r>
        <w:rPr>
          <w:rFonts w:hint="eastAsia" w:ascii="宋体" w:hAnsi="宋体" w:cs="宋体"/>
          <w:b/>
          <w:bCs/>
          <w:color w:val="auto"/>
          <w:sz w:val="30"/>
          <w:szCs w:val="30"/>
          <w:highlight w:val="none"/>
        </w:rPr>
        <w:t>批准：</w:t>
      </w:r>
    </w:p>
    <w:p w14:paraId="1003F107">
      <w:pPr>
        <w:spacing w:before="91" w:line="221" w:lineRule="auto"/>
        <w:ind w:firstLine="2108" w:firstLineChars="700"/>
        <w:jc w:val="center"/>
        <w:rPr>
          <w:rFonts w:ascii="宋体" w:hAnsi="宋体" w:cs="宋体"/>
          <w:b/>
          <w:bCs/>
          <w:color w:val="auto"/>
          <w:sz w:val="30"/>
          <w:szCs w:val="30"/>
          <w:highlight w:val="none"/>
        </w:rPr>
      </w:pPr>
    </w:p>
    <w:p w14:paraId="0F4C2B14">
      <w:pPr>
        <w:spacing w:before="91" w:line="221" w:lineRule="auto"/>
        <w:ind w:firstLine="3313" w:firstLineChars="1100"/>
        <w:rPr>
          <w:rFonts w:hint="eastAsia" w:ascii="宋体" w:hAnsi="宋体" w:cs="宋体"/>
          <w:b/>
          <w:bCs/>
          <w:color w:val="auto"/>
          <w:sz w:val="30"/>
          <w:szCs w:val="30"/>
          <w:highlight w:val="none"/>
        </w:rPr>
      </w:pPr>
    </w:p>
    <w:p w14:paraId="750C85F0">
      <w:pPr>
        <w:spacing w:before="91" w:line="221" w:lineRule="auto"/>
        <w:ind w:firstLine="3313" w:firstLineChars="1100"/>
        <w:rPr>
          <w:rFonts w:hint="eastAsia" w:ascii="宋体" w:hAnsi="宋体" w:cs="宋体"/>
          <w:b/>
          <w:bCs/>
          <w:color w:val="auto"/>
          <w:sz w:val="30"/>
          <w:szCs w:val="30"/>
          <w:highlight w:val="none"/>
        </w:rPr>
      </w:pPr>
    </w:p>
    <w:p w14:paraId="3AF8B9F2">
      <w:pPr>
        <w:spacing w:before="91" w:line="221" w:lineRule="auto"/>
        <w:ind w:firstLine="3313" w:firstLineChars="1100"/>
        <w:rPr>
          <w:rFonts w:hint="eastAsia" w:ascii="宋体" w:hAnsi="宋体" w:cs="宋体"/>
          <w:b/>
          <w:bCs/>
          <w:color w:val="auto"/>
          <w:sz w:val="30"/>
          <w:szCs w:val="30"/>
          <w:highlight w:val="none"/>
        </w:rPr>
      </w:pPr>
    </w:p>
    <w:p w14:paraId="751CC67F">
      <w:pPr>
        <w:spacing w:before="91" w:line="221" w:lineRule="auto"/>
        <w:ind w:firstLine="3313" w:firstLineChars="1100"/>
        <w:rPr>
          <w:rFonts w:hint="eastAsia" w:ascii="宋体" w:hAnsi="宋体" w:cs="宋体"/>
          <w:b/>
          <w:bCs/>
          <w:color w:val="auto"/>
          <w:sz w:val="30"/>
          <w:szCs w:val="30"/>
          <w:highlight w:val="none"/>
        </w:rPr>
      </w:pPr>
    </w:p>
    <w:p w14:paraId="71CAB399">
      <w:pPr>
        <w:spacing w:before="91" w:line="221" w:lineRule="auto"/>
        <w:ind w:firstLine="3313" w:firstLineChars="1100"/>
        <w:rPr>
          <w:rFonts w:hint="eastAsia" w:ascii="宋体" w:hAnsi="宋体" w:cs="宋体"/>
          <w:b/>
          <w:bCs/>
          <w:color w:val="auto"/>
          <w:sz w:val="30"/>
          <w:szCs w:val="30"/>
          <w:highlight w:val="none"/>
        </w:rPr>
      </w:pPr>
    </w:p>
    <w:p w14:paraId="641E3BA7">
      <w:pPr>
        <w:spacing w:before="91" w:line="221" w:lineRule="auto"/>
        <w:ind w:firstLine="3313" w:firstLineChars="1100"/>
        <w:rPr>
          <w:rFonts w:hint="eastAsia" w:ascii="宋体" w:hAnsi="宋体" w:cs="宋体"/>
          <w:b/>
          <w:bCs/>
          <w:color w:val="auto"/>
          <w:sz w:val="30"/>
          <w:szCs w:val="30"/>
          <w:highlight w:val="none"/>
        </w:rPr>
      </w:pPr>
    </w:p>
    <w:p w14:paraId="3B06611B">
      <w:pPr>
        <w:spacing w:before="91" w:line="221" w:lineRule="auto"/>
        <w:ind w:firstLine="3313" w:firstLineChars="1100"/>
        <w:rPr>
          <w:rFonts w:hint="eastAsia" w:ascii="宋体" w:hAnsi="宋体" w:cs="宋体"/>
          <w:b/>
          <w:bCs/>
          <w:color w:val="auto"/>
          <w:sz w:val="30"/>
          <w:szCs w:val="30"/>
          <w:highlight w:val="none"/>
        </w:rPr>
      </w:pPr>
      <w:r>
        <w:rPr>
          <w:rFonts w:hint="eastAsia" w:ascii="宋体" w:hAnsi="宋体" w:cs="宋体"/>
          <w:b/>
          <w:bCs/>
          <w:color w:val="auto"/>
          <w:sz w:val="30"/>
          <w:szCs w:val="30"/>
          <w:highlight w:val="none"/>
        </w:rPr>
        <w:t>202</w:t>
      </w:r>
      <w:r>
        <w:rPr>
          <w:rFonts w:hint="eastAsia" w:ascii="宋体" w:hAnsi="宋体" w:cs="宋体"/>
          <w:b/>
          <w:bCs/>
          <w:color w:val="auto"/>
          <w:sz w:val="30"/>
          <w:szCs w:val="30"/>
          <w:highlight w:val="none"/>
          <w:lang w:val="en-US" w:eastAsia="zh-CN"/>
        </w:rPr>
        <w:t>6</w:t>
      </w:r>
      <w:r>
        <w:rPr>
          <w:rFonts w:hint="eastAsia" w:ascii="宋体" w:hAnsi="宋体" w:cs="宋体"/>
          <w:b/>
          <w:bCs/>
          <w:color w:val="auto"/>
          <w:sz w:val="30"/>
          <w:szCs w:val="30"/>
          <w:highlight w:val="none"/>
        </w:rPr>
        <w:t>年01月</w:t>
      </w:r>
    </w:p>
    <w:p w14:paraId="553830D1">
      <w:pPr>
        <w:pStyle w:val="3"/>
        <w:rPr>
          <w:color w:val="auto"/>
          <w:highlight w:val="none"/>
        </w:rPr>
      </w:pPr>
    </w:p>
    <w:sdt>
      <w:sdtPr>
        <w:rPr>
          <w:rFonts w:ascii="Calibri" w:hAnsi="Calibri" w:eastAsia="宋体" w:cs="宋体"/>
          <w:color w:val="auto"/>
          <w:kern w:val="2"/>
          <w:sz w:val="21"/>
          <w:szCs w:val="22"/>
          <w:highlight w:val="none"/>
          <w:lang w:val="zh-CN"/>
        </w:rPr>
        <w:id w:val="387388515"/>
        <w:docPartObj>
          <w:docPartGallery w:val="Table of Contents"/>
          <w:docPartUnique/>
        </w:docPartObj>
      </w:sdtPr>
      <w:sdtEndPr>
        <w:rPr>
          <w:rFonts w:ascii="Calibri" w:hAnsi="Calibri" w:eastAsia="宋体" w:cs="宋体"/>
          <w:b/>
          <w:bCs/>
          <w:color w:val="auto"/>
          <w:kern w:val="2"/>
          <w:sz w:val="21"/>
          <w:szCs w:val="22"/>
          <w:highlight w:val="none"/>
          <w:lang w:val="zh-CN"/>
        </w:rPr>
      </w:sdtEndPr>
      <w:sdtContent>
        <w:p w14:paraId="434C0437">
          <w:pPr>
            <w:pStyle w:val="45"/>
            <w:rPr>
              <w:rFonts w:ascii="Calibri" w:hAnsi="Calibri" w:eastAsia="宋体" w:cs="宋体"/>
              <w:color w:val="auto"/>
              <w:kern w:val="2"/>
              <w:sz w:val="21"/>
              <w:szCs w:val="22"/>
              <w:highlight w:val="none"/>
            </w:rPr>
          </w:pPr>
          <w:r>
            <w:rPr>
              <w:rFonts w:hint="eastAsia" w:ascii="Calibri" w:hAnsi="Calibri" w:eastAsia="宋体" w:cs="宋体"/>
              <w:color w:val="auto"/>
              <w:kern w:val="2"/>
              <w:sz w:val="21"/>
              <w:szCs w:val="22"/>
              <w:highlight w:val="none"/>
            </w:rPr>
            <w:t xml:space="preserve">        </w:t>
          </w:r>
        </w:p>
        <w:p w14:paraId="7F23AD38">
          <w:pPr>
            <w:pStyle w:val="45"/>
            <w:rPr>
              <w:rFonts w:ascii="Calibri" w:hAnsi="Calibri" w:eastAsia="宋体" w:cs="宋体"/>
              <w:color w:val="auto"/>
              <w:kern w:val="2"/>
              <w:sz w:val="21"/>
              <w:szCs w:val="22"/>
              <w:highlight w:val="none"/>
            </w:rPr>
          </w:pPr>
        </w:p>
        <w:p w14:paraId="08113966">
          <w:pPr>
            <w:pStyle w:val="45"/>
            <w:rPr>
              <w:rFonts w:ascii="Calibri" w:hAnsi="Calibri" w:eastAsia="宋体" w:cs="宋体"/>
              <w:color w:val="auto"/>
              <w:kern w:val="2"/>
              <w:sz w:val="21"/>
              <w:szCs w:val="22"/>
              <w:highlight w:val="none"/>
            </w:rPr>
          </w:pPr>
        </w:p>
        <w:p w14:paraId="69DEE4AF">
          <w:pPr>
            <w:pStyle w:val="45"/>
            <w:pageBreakBefore w:val="0"/>
            <w:kinsoku/>
            <w:wordWrap/>
            <w:overflowPunct/>
            <w:topLinePunct w:val="0"/>
            <w:autoSpaceDE/>
            <w:autoSpaceDN/>
            <w:bidi w:val="0"/>
            <w:adjustRightInd/>
            <w:snapToGrid/>
            <w:spacing w:line="360" w:lineRule="auto"/>
            <w:ind w:firstLine="3960" w:firstLineChars="900"/>
            <w:jc w:val="left"/>
            <w:textAlignment w:val="auto"/>
            <w:rPr>
              <w:rFonts w:hint="eastAsia" w:ascii="华文仿宋" w:hAnsi="华文仿宋" w:eastAsia="华文仿宋" w:cs="华文仿宋"/>
              <w:color w:val="auto"/>
              <w:sz w:val="44"/>
              <w:szCs w:val="44"/>
              <w:highlight w:val="none"/>
            </w:rPr>
          </w:pPr>
          <w:r>
            <w:rPr>
              <w:rFonts w:hint="eastAsia" w:ascii="华文仿宋" w:hAnsi="华文仿宋" w:eastAsia="华文仿宋" w:cs="华文仿宋"/>
              <w:color w:val="auto"/>
              <w:sz w:val="44"/>
              <w:szCs w:val="44"/>
              <w:highlight w:val="none"/>
              <w:lang w:val="zh-CN"/>
            </w:rPr>
            <w:t>目录</w:t>
          </w:r>
        </w:p>
        <w:p w14:paraId="205B769F">
          <w:pPr>
            <w:pStyle w:val="18"/>
            <w:tabs>
              <w:tab w:val="right" w:leader="dot" w:pos="9354"/>
            </w:tabs>
            <w:rPr>
              <w:color w:val="auto"/>
              <w:highlight w:val="none"/>
            </w:rPr>
          </w:pPr>
          <w:r>
            <w:rPr>
              <w:rFonts w:hint="eastAsia" w:ascii="华文仿宋" w:hAnsi="华文仿宋" w:eastAsia="华文仿宋" w:cs="华文仿宋"/>
              <w:color w:val="auto"/>
              <w:sz w:val="30"/>
              <w:szCs w:val="30"/>
              <w:highlight w:val="none"/>
            </w:rPr>
            <w:fldChar w:fldCharType="begin"/>
          </w:r>
          <w:r>
            <w:rPr>
              <w:rFonts w:hint="eastAsia" w:ascii="华文仿宋" w:hAnsi="华文仿宋" w:eastAsia="华文仿宋" w:cs="华文仿宋"/>
              <w:color w:val="auto"/>
              <w:sz w:val="30"/>
              <w:szCs w:val="30"/>
              <w:highlight w:val="none"/>
            </w:rPr>
            <w:instrText xml:space="preserve"> TOC \o "1-3" \h \z \u </w:instrText>
          </w:r>
          <w:r>
            <w:rPr>
              <w:rFonts w:hint="eastAsia" w:ascii="华文仿宋" w:hAnsi="华文仿宋" w:eastAsia="华文仿宋" w:cs="华文仿宋"/>
              <w:color w:val="auto"/>
              <w:sz w:val="30"/>
              <w:szCs w:val="30"/>
              <w:highlight w:val="none"/>
            </w:rPr>
            <w:fldChar w:fldCharType="separate"/>
          </w:r>
          <w:r>
            <w:rPr>
              <w:rFonts w:hint="eastAsia" w:ascii="华文仿宋" w:hAnsi="华文仿宋" w:eastAsia="华文仿宋" w:cs="华文仿宋"/>
              <w:color w:val="auto"/>
              <w:szCs w:val="30"/>
              <w:highlight w:val="none"/>
            </w:rPr>
            <w:fldChar w:fldCharType="begin"/>
          </w:r>
          <w:r>
            <w:rPr>
              <w:rFonts w:hint="eastAsia" w:ascii="华文仿宋" w:hAnsi="华文仿宋" w:eastAsia="华文仿宋" w:cs="华文仿宋"/>
              <w:color w:val="auto"/>
              <w:szCs w:val="30"/>
              <w:highlight w:val="none"/>
            </w:rPr>
            <w:instrText xml:space="preserve"> HYPERLINK \l _Toc17715 </w:instrText>
          </w:r>
          <w:r>
            <w:rPr>
              <w:rFonts w:hint="eastAsia" w:ascii="华文仿宋" w:hAnsi="华文仿宋" w:eastAsia="华文仿宋" w:cs="华文仿宋"/>
              <w:color w:val="auto"/>
              <w:szCs w:val="30"/>
              <w:highlight w:val="none"/>
            </w:rPr>
            <w:fldChar w:fldCharType="separate"/>
          </w:r>
          <w:r>
            <w:rPr>
              <w:rFonts w:hint="eastAsia" w:ascii="宋体" w:hAnsi="宋体" w:eastAsia="宋体" w:cs="宋体"/>
              <w:color w:val="auto"/>
              <w:szCs w:val="24"/>
              <w:highlight w:val="none"/>
            </w:rPr>
            <w:t>1 总则</w:t>
          </w:r>
          <w:r>
            <w:rPr>
              <w:color w:val="auto"/>
              <w:highlight w:val="none"/>
            </w:rPr>
            <w:tab/>
          </w:r>
          <w:r>
            <w:rPr>
              <w:color w:val="auto"/>
              <w:highlight w:val="none"/>
            </w:rPr>
            <w:fldChar w:fldCharType="begin"/>
          </w:r>
          <w:r>
            <w:rPr>
              <w:color w:val="auto"/>
              <w:highlight w:val="none"/>
            </w:rPr>
            <w:instrText xml:space="preserve"> PAGEREF _Toc17715 \h </w:instrText>
          </w:r>
          <w:r>
            <w:rPr>
              <w:color w:val="auto"/>
              <w:highlight w:val="none"/>
            </w:rPr>
            <w:fldChar w:fldCharType="separate"/>
          </w:r>
          <w:r>
            <w:rPr>
              <w:color w:val="auto"/>
              <w:highlight w:val="none"/>
            </w:rPr>
            <w:t>3</w:t>
          </w:r>
          <w:r>
            <w:rPr>
              <w:color w:val="auto"/>
              <w:highlight w:val="none"/>
            </w:rPr>
            <w:fldChar w:fldCharType="end"/>
          </w:r>
          <w:r>
            <w:rPr>
              <w:rFonts w:hint="eastAsia" w:ascii="华文仿宋" w:hAnsi="华文仿宋" w:eastAsia="华文仿宋" w:cs="华文仿宋"/>
              <w:color w:val="auto"/>
              <w:szCs w:val="30"/>
              <w:highlight w:val="none"/>
            </w:rPr>
            <w:fldChar w:fldCharType="end"/>
          </w:r>
        </w:p>
        <w:p w14:paraId="75ABC14A">
          <w:pPr>
            <w:pStyle w:val="18"/>
            <w:tabs>
              <w:tab w:val="right" w:leader="dot" w:pos="9354"/>
            </w:tabs>
            <w:rPr>
              <w:color w:val="auto"/>
              <w:highlight w:val="none"/>
            </w:rPr>
          </w:pPr>
          <w:r>
            <w:rPr>
              <w:rFonts w:hint="eastAsia" w:ascii="华文仿宋" w:hAnsi="华文仿宋" w:eastAsia="华文仿宋" w:cs="华文仿宋"/>
              <w:bCs/>
              <w:color w:val="auto"/>
              <w:szCs w:val="30"/>
              <w:highlight w:val="none"/>
              <w:lang w:val="zh-CN"/>
            </w:rPr>
            <w:fldChar w:fldCharType="begin"/>
          </w:r>
          <w:r>
            <w:rPr>
              <w:rFonts w:hint="eastAsia" w:ascii="华文仿宋" w:hAnsi="华文仿宋" w:eastAsia="华文仿宋" w:cs="华文仿宋"/>
              <w:bCs/>
              <w:color w:val="auto"/>
              <w:szCs w:val="30"/>
              <w:highlight w:val="none"/>
              <w:lang w:val="zh-CN"/>
            </w:rPr>
            <w:instrText xml:space="preserve"> HYPERLINK \l _Toc15128 </w:instrText>
          </w:r>
          <w:r>
            <w:rPr>
              <w:rFonts w:hint="eastAsia" w:ascii="华文仿宋" w:hAnsi="华文仿宋" w:eastAsia="华文仿宋" w:cs="华文仿宋"/>
              <w:bCs/>
              <w:color w:val="auto"/>
              <w:szCs w:val="30"/>
              <w:highlight w:val="none"/>
              <w:lang w:val="zh-CN"/>
            </w:rPr>
            <w:fldChar w:fldCharType="separate"/>
          </w:r>
          <w:r>
            <w:rPr>
              <w:rFonts w:hint="eastAsia" w:ascii="宋体" w:hAnsi="宋体" w:eastAsia="宋体" w:cs="宋体"/>
              <w:color w:val="auto"/>
              <w:szCs w:val="24"/>
              <w:highlight w:val="none"/>
              <w:lang w:val="en-US" w:eastAsia="zh-CN"/>
            </w:rPr>
            <w:t>2</w:t>
          </w:r>
          <w:r>
            <w:rPr>
              <w:rFonts w:hint="eastAsia" w:ascii="宋体" w:hAnsi="宋体" w:eastAsia="宋体" w:cs="宋体"/>
              <w:color w:val="auto"/>
              <w:szCs w:val="24"/>
              <w:highlight w:val="none"/>
            </w:rPr>
            <w:t xml:space="preserve"> 工程概况</w:t>
          </w:r>
          <w:r>
            <w:rPr>
              <w:color w:val="auto"/>
              <w:highlight w:val="none"/>
            </w:rPr>
            <w:tab/>
          </w:r>
          <w:r>
            <w:rPr>
              <w:color w:val="auto"/>
              <w:highlight w:val="none"/>
            </w:rPr>
            <w:fldChar w:fldCharType="begin"/>
          </w:r>
          <w:r>
            <w:rPr>
              <w:color w:val="auto"/>
              <w:highlight w:val="none"/>
            </w:rPr>
            <w:instrText xml:space="preserve"> PAGEREF _Toc15128 \h </w:instrText>
          </w:r>
          <w:r>
            <w:rPr>
              <w:color w:val="auto"/>
              <w:highlight w:val="none"/>
            </w:rPr>
            <w:fldChar w:fldCharType="separate"/>
          </w:r>
          <w:r>
            <w:rPr>
              <w:color w:val="auto"/>
              <w:highlight w:val="none"/>
            </w:rPr>
            <w:t>3</w:t>
          </w:r>
          <w:r>
            <w:rPr>
              <w:color w:val="auto"/>
              <w:highlight w:val="none"/>
            </w:rPr>
            <w:fldChar w:fldCharType="end"/>
          </w:r>
          <w:r>
            <w:rPr>
              <w:rFonts w:hint="eastAsia" w:ascii="华文仿宋" w:hAnsi="华文仿宋" w:eastAsia="华文仿宋" w:cs="华文仿宋"/>
              <w:bCs/>
              <w:color w:val="auto"/>
              <w:szCs w:val="30"/>
              <w:highlight w:val="none"/>
              <w:lang w:val="zh-CN"/>
            </w:rPr>
            <w:fldChar w:fldCharType="end"/>
          </w:r>
        </w:p>
        <w:p w14:paraId="2DF21C64">
          <w:pPr>
            <w:pStyle w:val="18"/>
            <w:tabs>
              <w:tab w:val="right" w:leader="dot" w:pos="9354"/>
            </w:tabs>
            <w:rPr>
              <w:color w:val="auto"/>
              <w:highlight w:val="none"/>
            </w:rPr>
          </w:pPr>
          <w:r>
            <w:rPr>
              <w:rFonts w:hint="eastAsia" w:ascii="华文仿宋" w:hAnsi="华文仿宋" w:eastAsia="华文仿宋" w:cs="华文仿宋"/>
              <w:bCs/>
              <w:color w:val="auto"/>
              <w:szCs w:val="30"/>
              <w:highlight w:val="none"/>
              <w:lang w:val="zh-CN"/>
            </w:rPr>
            <w:fldChar w:fldCharType="begin"/>
          </w:r>
          <w:r>
            <w:rPr>
              <w:rFonts w:hint="eastAsia" w:ascii="华文仿宋" w:hAnsi="华文仿宋" w:eastAsia="华文仿宋" w:cs="华文仿宋"/>
              <w:bCs/>
              <w:color w:val="auto"/>
              <w:szCs w:val="30"/>
              <w:highlight w:val="none"/>
              <w:lang w:val="zh-CN"/>
            </w:rPr>
            <w:instrText xml:space="preserve"> HYPERLINK \l _Toc14769 </w:instrText>
          </w:r>
          <w:r>
            <w:rPr>
              <w:rFonts w:hint="eastAsia" w:ascii="华文仿宋" w:hAnsi="华文仿宋" w:eastAsia="华文仿宋" w:cs="华文仿宋"/>
              <w:bCs/>
              <w:color w:val="auto"/>
              <w:szCs w:val="30"/>
              <w:highlight w:val="none"/>
              <w:lang w:val="zh-CN"/>
            </w:rPr>
            <w:fldChar w:fldCharType="separate"/>
          </w:r>
          <w:r>
            <w:rPr>
              <w:rFonts w:hint="eastAsia" w:ascii="宋体" w:hAnsi="宋体" w:eastAsia="宋体" w:cs="宋体"/>
              <w:color w:val="auto"/>
              <w:szCs w:val="24"/>
              <w:highlight w:val="none"/>
              <w:lang w:val="en-US" w:eastAsia="zh-CN"/>
            </w:rPr>
            <w:t>3 本项目执行的标准和规范</w:t>
          </w:r>
          <w:r>
            <w:rPr>
              <w:color w:val="auto"/>
              <w:highlight w:val="none"/>
            </w:rPr>
            <w:tab/>
          </w:r>
          <w:r>
            <w:rPr>
              <w:color w:val="auto"/>
              <w:highlight w:val="none"/>
            </w:rPr>
            <w:fldChar w:fldCharType="begin"/>
          </w:r>
          <w:r>
            <w:rPr>
              <w:color w:val="auto"/>
              <w:highlight w:val="none"/>
            </w:rPr>
            <w:instrText xml:space="preserve"> PAGEREF _Toc14769 \h </w:instrText>
          </w:r>
          <w:r>
            <w:rPr>
              <w:color w:val="auto"/>
              <w:highlight w:val="none"/>
            </w:rPr>
            <w:fldChar w:fldCharType="separate"/>
          </w:r>
          <w:r>
            <w:rPr>
              <w:color w:val="auto"/>
              <w:highlight w:val="none"/>
            </w:rPr>
            <w:t>4</w:t>
          </w:r>
          <w:r>
            <w:rPr>
              <w:color w:val="auto"/>
              <w:highlight w:val="none"/>
            </w:rPr>
            <w:fldChar w:fldCharType="end"/>
          </w:r>
          <w:r>
            <w:rPr>
              <w:rFonts w:hint="eastAsia" w:ascii="华文仿宋" w:hAnsi="华文仿宋" w:eastAsia="华文仿宋" w:cs="华文仿宋"/>
              <w:bCs/>
              <w:color w:val="auto"/>
              <w:szCs w:val="30"/>
              <w:highlight w:val="none"/>
              <w:lang w:val="zh-CN"/>
            </w:rPr>
            <w:fldChar w:fldCharType="end"/>
          </w:r>
        </w:p>
        <w:p w14:paraId="00AB39B2">
          <w:pPr>
            <w:pStyle w:val="18"/>
            <w:tabs>
              <w:tab w:val="right" w:leader="dot" w:pos="9354"/>
            </w:tabs>
            <w:rPr>
              <w:color w:val="auto"/>
              <w:highlight w:val="none"/>
            </w:rPr>
          </w:pPr>
          <w:r>
            <w:rPr>
              <w:rFonts w:hint="eastAsia" w:ascii="华文仿宋" w:hAnsi="华文仿宋" w:eastAsia="华文仿宋" w:cs="华文仿宋"/>
              <w:bCs/>
              <w:color w:val="auto"/>
              <w:szCs w:val="30"/>
              <w:highlight w:val="none"/>
              <w:lang w:val="zh-CN"/>
            </w:rPr>
            <w:fldChar w:fldCharType="begin"/>
          </w:r>
          <w:r>
            <w:rPr>
              <w:rFonts w:hint="eastAsia" w:ascii="华文仿宋" w:hAnsi="华文仿宋" w:eastAsia="华文仿宋" w:cs="华文仿宋"/>
              <w:bCs/>
              <w:color w:val="auto"/>
              <w:szCs w:val="30"/>
              <w:highlight w:val="none"/>
              <w:lang w:val="zh-CN"/>
            </w:rPr>
            <w:instrText xml:space="preserve"> HYPERLINK \l _Toc17424 </w:instrText>
          </w:r>
          <w:r>
            <w:rPr>
              <w:rFonts w:hint="eastAsia" w:ascii="华文仿宋" w:hAnsi="华文仿宋" w:eastAsia="华文仿宋" w:cs="华文仿宋"/>
              <w:bCs/>
              <w:color w:val="auto"/>
              <w:szCs w:val="30"/>
              <w:highlight w:val="none"/>
              <w:lang w:val="zh-CN"/>
            </w:rPr>
            <w:fldChar w:fldCharType="separate"/>
          </w:r>
          <w:r>
            <w:rPr>
              <w:rFonts w:hint="eastAsia" w:ascii="宋体" w:hAnsi="宋体" w:eastAsia="宋体" w:cs="宋体"/>
              <w:color w:val="auto"/>
              <w:szCs w:val="24"/>
              <w:highlight w:val="none"/>
              <w:lang w:val="en-US" w:eastAsia="zh-CN"/>
            </w:rPr>
            <w:t>4 项目范围及工期</w:t>
          </w:r>
          <w:r>
            <w:rPr>
              <w:color w:val="auto"/>
              <w:highlight w:val="none"/>
            </w:rPr>
            <w:tab/>
          </w:r>
          <w:r>
            <w:rPr>
              <w:color w:val="auto"/>
              <w:highlight w:val="none"/>
            </w:rPr>
            <w:fldChar w:fldCharType="begin"/>
          </w:r>
          <w:r>
            <w:rPr>
              <w:color w:val="auto"/>
              <w:highlight w:val="none"/>
            </w:rPr>
            <w:instrText xml:space="preserve"> PAGEREF _Toc17424 \h </w:instrText>
          </w:r>
          <w:r>
            <w:rPr>
              <w:color w:val="auto"/>
              <w:highlight w:val="none"/>
            </w:rPr>
            <w:fldChar w:fldCharType="separate"/>
          </w:r>
          <w:r>
            <w:rPr>
              <w:color w:val="auto"/>
              <w:highlight w:val="none"/>
            </w:rPr>
            <w:t>4</w:t>
          </w:r>
          <w:r>
            <w:rPr>
              <w:color w:val="auto"/>
              <w:highlight w:val="none"/>
            </w:rPr>
            <w:fldChar w:fldCharType="end"/>
          </w:r>
          <w:r>
            <w:rPr>
              <w:rFonts w:hint="eastAsia" w:ascii="华文仿宋" w:hAnsi="华文仿宋" w:eastAsia="华文仿宋" w:cs="华文仿宋"/>
              <w:bCs/>
              <w:color w:val="auto"/>
              <w:szCs w:val="30"/>
              <w:highlight w:val="none"/>
              <w:lang w:val="zh-CN"/>
            </w:rPr>
            <w:fldChar w:fldCharType="end"/>
          </w:r>
        </w:p>
        <w:p w14:paraId="0994D70B">
          <w:pPr>
            <w:pStyle w:val="18"/>
            <w:tabs>
              <w:tab w:val="right" w:leader="dot" w:pos="9354"/>
            </w:tabs>
            <w:rPr>
              <w:color w:val="auto"/>
              <w:highlight w:val="none"/>
            </w:rPr>
          </w:pPr>
          <w:r>
            <w:rPr>
              <w:rFonts w:hint="eastAsia" w:ascii="华文仿宋" w:hAnsi="华文仿宋" w:eastAsia="华文仿宋" w:cs="华文仿宋"/>
              <w:bCs/>
              <w:color w:val="auto"/>
              <w:szCs w:val="30"/>
              <w:highlight w:val="none"/>
              <w:lang w:val="zh-CN"/>
            </w:rPr>
            <w:fldChar w:fldCharType="begin"/>
          </w:r>
          <w:r>
            <w:rPr>
              <w:rFonts w:hint="eastAsia" w:ascii="华文仿宋" w:hAnsi="华文仿宋" w:eastAsia="华文仿宋" w:cs="华文仿宋"/>
              <w:bCs/>
              <w:color w:val="auto"/>
              <w:szCs w:val="30"/>
              <w:highlight w:val="none"/>
              <w:lang w:val="zh-CN"/>
            </w:rPr>
            <w:instrText xml:space="preserve"> HYPERLINK \l _Toc14576 </w:instrText>
          </w:r>
          <w:r>
            <w:rPr>
              <w:rFonts w:hint="eastAsia" w:ascii="华文仿宋" w:hAnsi="华文仿宋" w:eastAsia="华文仿宋" w:cs="华文仿宋"/>
              <w:bCs/>
              <w:color w:val="auto"/>
              <w:szCs w:val="30"/>
              <w:highlight w:val="none"/>
              <w:lang w:val="zh-CN"/>
            </w:rPr>
            <w:fldChar w:fldCharType="separate"/>
          </w:r>
          <w:r>
            <w:rPr>
              <w:rFonts w:hint="eastAsia" w:ascii="宋体" w:hAnsi="宋体" w:cs="宋体"/>
              <w:color w:val="auto"/>
              <w:szCs w:val="24"/>
              <w:highlight w:val="none"/>
              <w:lang w:val="en-US" w:eastAsia="zh-CN"/>
            </w:rPr>
            <w:t>5</w:t>
          </w:r>
          <w:r>
            <w:rPr>
              <w:rFonts w:hint="eastAsia" w:ascii="宋体" w:hAnsi="宋体" w:eastAsia="宋体" w:cs="宋体"/>
              <w:color w:val="auto"/>
              <w:szCs w:val="24"/>
              <w:highlight w:val="none"/>
              <w:lang w:val="en-US" w:eastAsia="zh-CN"/>
            </w:rPr>
            <w:t xml:space="preserve"> 项目内容及要求</w:t>
          </w:r>
          <w:r>
            <w:rPr>
              <w:color w:val="auto"/>
              <w:highlight w:val="none"/>
            </w:rPr>
            <w:tab/>
          </w:r>
          <w:r>
            <w:rPr>
              <w:color w:val="auto"/>
              <w:highlight w:val="none"/>
            </w:rPr>
            <w:fldChar w:fldCharType="begin"/>
          </w:r>
          <w:r>
            <w:rPr>
              <w:color w:val="auto"/>
              <w:highlight w:val="none"/>
            </w:rPr>
            <w:instrText xml:space="preserve"> PAGEREF _Toc14576 \h </w:instrText>
          </w:r>
          <w:r>
            <w:rPr>
              <w:color w:val="auto"/>
              <w:highlight w:val="none"/>
            </w:rPr>
            <w:fldChar w:fldCharType="separate"/>
          </w:r>
          <w:r>
            <w:rPr>
              <w:color w:val="auto"/>
              <w:highlight w:val="none"/>
            </w:rPr>
            <w:t>4</w:t>
          </w:r>
          <w:r>
            <w:rPr>
              <w:color w:val="auto"/>
              <w:highlight w:val="none"/>
            </w:rPr>
            <w:fldChar w:fldCharType="end"/>
          </w:r>
          <w:r>
            <w:rPr>
              <w:rFonts w:hint="eastAsia" w:ascii="华文仿宋" w:hAnsi="华文仿宋" w:eastAsia="华文仿宋" w:cs="华文仿宋"/>
              <w:bCs/>
              <w:color w:val="auto"/>
              <w:szCs w:val="30"/>
              <w:highlight w:val="none"/>
              <w:lang w:val="zh-CN"/>
            </w:rPr>
            <w:fldChar w:fldCharType="end"/>
          </w:r>
        </w:p>
        <w:p w14:paraId="7DAE8989">
          <w:pPr>
            <w:pStyle w:val="18"/>
            <w:tabs>
              <w:tab w:val="right" w:leader="dot" w:pos="9354"/>
            </w:tabs>
            <w:rPr>
              <w:color w:val="auto"/>
              <w:highlight w:val="none"/>
            </w:rPr>
          </w:pPr>
          <w:r>
            <w:rPr>
              <w:rFonts w:hint="eastAsia" w:ascii="华文仿宋" w:hAnsi="华文仿宋" w:eastAsia="华文仿宋" w:cs="华文仿宋"/>
              <w:bCs/>
              <w:color w:val="auto"/>
              <w:szCs w:val="30"/>
              <w:highlight w:val="none"/>
              <w:lang w:val="zh-CN"/>
            </w:rPr>
            <w:fldChar w:fldCharType="begin"/>
          </w:r>
          <w:r>
            <w:rPr>
              <w:rFonts w:hint="eastAsia" w:ascii="华文仿宋" w:hAnsi="华文仿宋" w:eastAsia="华文仿宋" w:cs="华文仿宋"/>
              <w:bCs/>
              <w:color w:val="auto"/>
              <w:szCs w:val="30"/>
              <w:highlight w:val="none"/>
              <w:lang w:val="zh-CN"/>
            </w:rPr>
            <w:instrText xml:space="preserve"> HYPERLINK \l _Toc17688 </w:instrText>
          </w:r>
          <w:r>
            <w:rPr>
              <w:rFonts w:hint="eastAsia" w:ascii="华文仿宋" w:hAnsi="华文仿宋" w:eastAsia="华文仿宋" w:cs="华文仿宋"/>
              <w:bCs/>
              <w:color w:val="auto"/>
              <w:szCs w:val="30"/>
              <w:highlight w:val="none"/>
              <w:lang w:val="zh-CN"/>
            </w:rPr>
            <w:fldChar w:fldCharType="separate"/>
          </w:r>
          <w:r>
            <w:rPr>
              <w:rFonts w:hint="eastAsia" w:ascii="宋体" w:hAnsi="宋体" w:cs="宋体"/>
              <w:color w:val="auto"/>
              <w:szCs w:val="24"/>
              <w:highlight w:val="none"/>
              <w:lang w:val="en-US" w:eastAsia="zh-CN"/>
            </w:rPr>
            <w:t>6</w:t>
          </w:r>
          <w:r>
            <w:rPr>
              <w:rFonts w:hint="eastAsia" w:ascii="宋体" w:hAnsi="宋体" w:eastAsia="宋体" w:cs="宋体"/>
              <w:color w:val="auto"/>
              <w:szCs w:val="24"/>
              <w:highlight w:val="none"/>
              <w:lang w:val="en-US" w:eastAsia="zh-CN"/>
            </w:rPr>
            <w:t xml:space="preserve"> 投标方应达到的目标</w:t>
          </w:r>
          <w:r>
            <w:rPr>
              <w:color w:val="auto"/>
              <w:highlight w:val="none"/>
            </w:rPr>
            <w:tab/>
          </w:r>
          <w:r>
            <w:rPr>
              <w:color w:val="auto"/>
              <w:highlight w:val="none"/>
            </w:rPr>
            <w:fldChar w:fldCharType="begin"/>
          </w:r>
          <w:r>
            <w:rPr>
              <w:color w:val="auto"/>
              <w:highlight w:val="none"/>
            </w:rPr>
            <w:instrText xml:space="preserve"> PAGEREF _Toc17688 \h </w:instrText>
          </w:r>
          <w:r>
            <w:rPr>
              <w:color w:val="auto"/>
              <w:highlight w:val="none"/>
            </w:rPr>
            <w:fldChar w:fldCharType="separate"/>
          </w:r>
          <w:r>
            <w:rPr>
              <w:color w:val="auto"/>
              <w:highlight w:val="none"/>
            </w:rPr>
            <w:t>5</w:t>
          </w:r>
          <w:r>
            <w:rPr>
              <w:color w:val="auto"/>
              <w:highlight w:val="none"/>
            </w:rPr>
            <w:fldChar w:fldCharType="end"/>
          </w:r>
          <w:r>
            <w:rPr>
              <w:rFonts w:hint="eastAsia" w:ascii="华文仿宋" w:hAnsi="华文仿宋" w:eastAsia="华文仿宋" w:cs="华文仿宋"/>
              <w:bCs/>
              <w:color w:val="auto"/>
              <w:szCs w:val="30"/>
              <w:highlight w:val="none"/>
              <w:lang w:val="zh-CN"/>
            </w:rPr>
            <w:fldChar w:fldCharType="end"/>
          </w:r>
        </w:p>
        <w:p w14:paraId="34321473">
          <w:pPr>
            <w:pStyle w:val="18"/>
            <w:tabs>
              <w:tab w:val="right" w:leader="dot" w:pos="9354"/>
            </w:tabs>
            <w:rPr>
              <w:color w:val="auto"/>
              <w:highlight w:val="none"/>
            </w:rPr>
          </w:pPr>
          <w:r>
            <w:rPr>
              <w:rFonts w:hint="eastAsia" w:ascii="华文仿宋" w:hAnsi="华文仿宋" w:eastAsia="华文仿宋" w:cs="华文仿宋"/>
              <w:bCs/>
              <w:color w:val="auto"/>
              <w:szCs w:val="30"/>
              <w:highlight w:val="none"/>
              <w:lang w:val="zh-CN"/>
            </w:rPr>
            <w:fldChar w:fldCharType="begin"/>
          </w:r>
          <w:r>
            <w:rPr>
              <w:rFonts w:hint="eastAsia" w:ascii="华文仿宋" w:hAnsi="华文仿宋" w:eastAsia="华文仿宋" w:cs="华文仿宋"/>
              <w:bCs/>
              <w:color w:val="auto"/>
              <w:szCs w:val="30"/>
              <w:highlight w:val="none"/>
              <w:lang w:val="zh-CN"/>
            </w:rPr>
            <w:instrText xml:space="preserve"> HYPERLINK \l _Toc18806 </w:instrText>
          </w:r>
          <w:r>
            <w:rPr>
              <w:rFonts w:hint="eastAsia" w:ascii="华文仿宋" w:hAnsi="华文仿宋" w:eastAsia="华文仿宋" w:cs="华文仿宋"/>
              <w:bCs/>
              <w:color w:val="auto"/>
              <w:szCs w:val="30"/>
              <w:highlight w:val="none"/>
              <w:lang w:val="zh-CN"/>
            </w:rPr>
            <w:fldChar w:fldCharType="separate"/>
          </w:r>
          <w:r>
            <w:rPr>
              <w:rFonts w:hint="eastAsia" w:ascii="宋体" w:hAnsi="宋体" w:cs="宋体"/>
              <w:color w:val="auto"/>
              <w:szCs w:val="24"/>
              <w:highlight w:val="none"/>
              <w:lang w:val="en-US" w:eastAsia="zh-CN"/>
            </w:rPr>
            <w:t>7</w:t>
          </w:r>
          <w:r>
            <w:rPr>
              <w:rFonts w:hint="eastAsia" w:ascii="宋体" w:hAnsi="宋体" w:eastAsia="宋体" w:cs="宋体"/>
              <w:color w:val="auto"/>
              <w:szCs w:val="24"/>
              <w:highlight w:val="none"/>
            </w:rPr>
            <w:t xml:space="preserve"> 资质</w:t>
          </w:r>
          <w:r>
            <w:rPr>
              <w:rFonts w:hint="eastAsia" w:ascii="宋体" w:hAnsi="宋体" w:eastAsia="宋体" w:cs="宋体"/>
              <w:color w:val="auto"/>
              <w:szCs w:val="24"/>
              <w:highlight w:val="none"/>
              <w:lang w:val="en-US" w:eastAsia="zh-CN"/>
            </w:rPr>
            <w:t>条件</w:t>
          </w:r>
          <w:r>
            <w:rPr>
              <w:rFonts w:hint="eastAsia" w:ascii="宋体" w:hAnsi="宋体" w:eastAsia="宋体" w:cs="宋体"/>
              <w:color w:val="auto"/>
              <w:szCs w:val="24"/>
              <w:highlight w:val="none"/>
            </w:rPr>
            <w:t>及人员要求</w:t>
          </w:r>
          <w:r>
            <w:rPr>
              <w:color w:val="auto"/>
              <w:highlight w:val="none"/>
            </w:rPr>
            <w:tab/>
          </w:r>
          <w:r>
            <w:rPr>
              <w:color w:val="auto"/>
              <w:highlight w:val="none"/>
            </w:rPr>
            <w:fldChar w:fldCharType="begin"/>
          </w:r>
          <w:r>
            <w:rPr>
              <w:color w:val="auto"/>
              <w:highlight w:val="none"/>
            </w:rPr>
            <w:instrText xml:space="preserve"> PAGEREF _Toc18806 \h </w:instrText>
          </w:r>
          <w:r>
            <w:rPr>
              <w:color w:val="auto"/>
              <w:highlight w:val="none"/>
            </w:rPr>
            <w:fldChar w:fldCharType="separate"/>
          </w:r>
          <w:r>
            <w:rPr>
              <w:color w:val="auto"/>
              <w:highlight w:val="none"/>
            </w:rPr>
            <w:t>6</w:t>
          </w:r>
          <w:r>
            <w:rPr>
              <w:color w:val="auto"/>
              <w:highlight w:val="none"/>
            </w:rPr>
            <w:fldChar w:fldCharType="end"/>
          </w:r>
          <w:r>
            <w:rPr>
              <w:rFonts w:hint="eastAsia" w:ascii="华文仿宋" w:hAnsi="华文仿宋" w:eastAsia="华文仿宋" w:cs="华文仿宋"/>
              <w:bCs/>
              <w:color w:val="auto"/>
              <w:szCs w:val="30"/>
              <w:highlight w:val="none"/>
              <w:lang w:val="zh-CN"/>
            </w:rPr>
            <w:fldChar w:fldCharType="end"/>
          </w:r>
        </w:p>
        <w:p w14:paraId="30AC33EC">
          <w:pPr>
            <w:pStyle w:val="18"/>
            <w:tabs>
              <w:tab w:val="right" w:leader="dot" w:pos="9354"/>
            </w:tabs>
            <w:rPr>
              <w:color w:val="auto"/>
              <w:highlight w:val="none"/>
            </w:rPr>
          </w:pPr>
          <w:r>
            <w:rPr>
              <w:rFonts w:hint="eastAsia" w:ascii="华文仿宋" w:hAnsi="华文仿宋" w:eastAsia="华文仿宋" w:cs="华文仿宋"/>
              <w:bCs/>
              <w:color w:val="auto"/>
              <w:szCs w:val="30"/>
              <w:highlight w:val="none"/>
              <w:lang w:val="zh-CN"/>
            </w:rPr>
            <w:fldChar w:fldCharType="begin"/>
          </w:r>
          <w:r>
            <w:rPr>
              <w:rFonts w:hint="eastAsia" w:ascii="华文仿宋" w:hAnsi="华文仿宋" w:eastAsia="华文仿宋" w:cs="华文仿宋"/>
              <w:bCs/>
              <w:color w:val="auto"/>
              <w:szCs w:val="30"/>
              <w:highlight w:val="none"/>
              <w:lang w:val="zh-CN"/>
            </w:rPr>
            <w:instrText xml:space="preserve"> HYPERLINK \l _Toc17993 </w:instrText>
          </w:r>
          <w:r>
            <w:rPr>
              <w:rFonts w:hint="eastAsia" w:ascii="华文仿宋" w:hAnsi="华文仿宋" w:eastAsia="华文仿宋" w:cs="华文仿宋"/>
              <w:bCs/>
              <w:color w:val="auto"/>
              <w:szCs w:val="30"/>
              <w:highlight w:val="none"/>
              <w:lang w:val="zh-CN"/>
            </w:rPr>
            <w:fldChar w:fldCharType="separate"/>
          </w:r>
          <w:r>
            <w:rPr>
              <w:rFonts w:hint="eastAsia" w:ascii="宋体" w:hAnsi="宋体" w:cs="宋体"/>
              <w:color w:val="auto"/>
              <w:szCs w:val="24"/>
              <w:highlight w:val="none"/>
              <w:lang w:val="en-US" w:eastAsia="zh-CN"/>
            </w:rPr>
            <w:t>8</w:t>
          </w:r>
          <w:r>
            <w:rPr>
              <w:rFonts w:hint="eastAsia" w:ascii="宋体" w:hAnsi="宋体" w:eastAsia="宋体" w:cs="宋体"/>
              <w:color w:val="auto"/>
              <w:szCs w:val="24"/>
              <w:highlight w:val="none"/>
              <w:lang w:val="en-US" w:eastAsia="zh-CN"/>
            </w:rPr>
            <w:t xml:space="preserve"> 安全要求</w:t>
          </w:r>
          <w:r>
            <w:rPr>
              <w:color w:val="auto"/>
              <w:highlight w:val="none"/>
            </w:rPr>
            <w:tab/>
          </w:r>
          <w:r>
            <w:rPr>
              <w:color w:val="auto"/>
              <w:highlight w:val="none"/>
            </w:rPr>
            <w:fldChar w:fldCharType="begin"/>
          </w:r>
          <w:r>
            <w:rPr>
              <w:color w:val="auto"/>
              <w:highlight w:val="none"/>
            </w:rPr>
            <w:instrText xml:space="preserve"> PAGEREF _Toc17993 \h </w:instrText>
          </w:r>
          <w:r>
            <w:rPr>
              <w:color w:val="auto"/>
              <w:highlight w:val="none"/>
            </w:rPr>
            <w:fldChar w:fldCharType="separate"/>
          </w:r>
          <w:r>
            <w:rPr>
              <w:color w:val="auto"/>
              <w:highlight w:val="none"/>
            </w:rPr>
            <w:t>8</w:t>
          </w:r>
          <w:r>
            <w:rPr>
              <w:color w:val="auto"/>
              <w:highlight w:val="none"/>
            </w:rPr>
            <w:fldChar w:fldCharType="end"/>
          </w:r>
          <w:r>
            <w:rPr>
              <w:rFonts w:hint="eastAsia" w:ascii="华文仿宋" w:hAnsi="华文仿宋" w:eastAsia="华文仿宋" w:cs="华文仿宋"/>
              <w:bCs/>
              <w:color w:val="auto"/>
              <w:szCs w:val="30"/>
              <w:highlight w:val="none"/>
              <w:lang w:val="zh-CN"/>
            </w:rPr>
            <w:fldChar w:fldCharType="end"/>
          </w:r>
        </w:p>
        <w:p w14:paraId="0F485D07">
          <w:pPr>
            <w:pStyle w:val="18"/>
            <w:tabs>
              <w:tab w:val="right" w:leader="dot" w:pos="9354"/>
            </w:tabs>
            <w:rPr>
              <w:color w:val="auto"/>
              <w:highlight w:val="none"/>
            </w:rPr>
          </w:pPr>
          <w:r>
            <w:rPr>
              <w:rFonts w:hint="eastAsia" w:ascii="华文仿宋" w:hAnsi="华文仿宋" w:eastAsia="华文仿宋" w:cs="华文仿宋"/>
              <w:bCs/>
              <w:color w:val="auto"/>
              <w:szCs w:val="30"/>
              <w:highlight w:val="none"/>
              <w:lang w:val="zh-CN"/>
            </w:rPr>
            <w:fldChar w:fldCharType="begin"/>
          </w:r>
          <w:r>
            <w:rPr>
              <w:rFonts w:hint="eastAsia" w:ascii="华文仿宋" w:hAnsi="华文仿宋" w:eastAsia="华文仿宋" w:cs="华文仿宋"/>
              <w:bCs/>
              <w:color w:val="auto"/>
              <w:szCs w:val="30"/>
              <w:highlight w:val="none"/>
              <w:lang w:val="zh-CN"/>
            </w:rPr>
            <w:instrText xml:space="preserve"> HYPERLINK \l _Toc25785 </w:instrText>
          </w:r>
          <w:r>
            <w:rPr>
              <w:rFonts w:hint="eastAsia" w:ascii="华文仿宋" w:hAnsi="华文仿宋" w:eastAsia="华文仿宋" w:cs="华文仿宋"/>
              <w:bCs/>
              <w:color w:val="auto"/>
              <w:szCs w:val="30"/>
              <w:highlight w:val="none"/>
              <w:lang w:val="zh-CN"/>
            </w:rPr>
            <w:fldChar w:fldCharType="separate"/>
          </w:r>
          <w:r>
            <w:rPr>
              <w:rFonts w:hint="eastAsia" w:ascii="宋体" w:hAnsi="宋体" w:cs="宋体"/>
              <w:color w:val="auto"/>
              <w:szCs w:val="24"/>
              <w:highlight w:val="none"/>
              <w:lang w:val="en-US" w:eastAsia="zh-CN"/>
            </w:rPr>
            <w:t>9</w:t>
          </w:r>
          <w:r>
            <w:rPr>
              <w:rFonts w:hint="eastAsia" w:ascii="宋体" w:hAnsi="宋体" w:eastAsia="宋体" w:cs="宋体"/>
              <w:color w:val="auto"/>
              <w:szCs w:val="24"/>
              <w:highlight w:val="none"/>
              <w:lang w:val="en-US" w:eastAsia="zh-CN"/>
            </w:rPr>
            <w:t xml:space="preserve"> 双方职责</w:t>
          </w:r>
          <w:r>
            <w:rPr>
              <w:color w:val="auto"/>
              <w:highlight w:val="none"/>
            </w:rPr>
            <w:tab/>
          </w:r>
          <w:r>
            <w:rPr>
              <w:color w:val="auto"/>
              <w:highlight w:val="none"/>
            </w:rPr>
            <w:fldChar w:fldCharType="begin"/>
          </w:r>
          <w:r>
            <w:rPr>
              <w:color w:val="auto"/>
              <w:highlight w:val="none"/>
            </w:rPr>
            <w:instrText xml:space="preserve"> PAGEREF _Toc25785 \h </w:instrText>
          </w:r>
          <w:r>
            <w:rPr>
              <w:color w:val="auto"/>
              <w:highlight w:val="none"/>
            </w:rPr>
            <w:fldChar w:fldCharType="separate"/>
          </w:r>
          <w:r>
            <w:rPr>
              <w:color w:val="auto"/>
              <w:highlight w:val="none"/>
            </w:rPr>
            <w:t>9</w:t>
          </w:r>
          <w:r>
            <w:rPr>
              <w:color w:val="auto"/>
              <w:highlight w:val="none"/>
            </w:rPr>
            <w:fldChar w:fldCharType="end"/>
          </w:r>
          <w:r>
            <w:rPr>
              <w:rFonts w:hint="eastAsia" w:ascii="华文仿宋" w:hAnsi="华文仿宋" w:eastAsia="华文仿宋" w:cs="华文仿宋"/>
              <w:bCs/>
              <w:color w:val="auto"/>
              <w:szCs w:val="30"/>
              <w:highlight w:val="none"/>
              <w:lang w:val="zh-CN"/>
            </w:rPr>
            <w:fldChar w:fldCharType="end"/>
          </w:r>
        </w:p>
        <w:p w14:paraId="24666139">
          <w:pPr>
            <w:pStyle w:val="18"/>
            <w:tabs>
              <w:tab w:val="right" w:leader="dot" w:pos="9354"/>
            </w:tabs>
            <w:rPr>
              <w:color w:val="auto"/>
              <w:highlight w:val="none"/>
            </w:rPr>
          </w:pPr>
          <w:r>
            <w:rPr>
              <w:rFonts w:hint="eastAsia" w:ascii="华文仿宋" w:hAnsi="华文仿宋" w:eastAsia="华文仿宋" w:cs="华文仿宋"/>
              <w:bCs/>
              <w:color w:val="auto"/>
              <w:szCs w:val="30"/>
              <w:highlight w:val="none"/>
              <w:lang w:val="zh-CN"/>
            </w:rPr>
            <w:fldChar w:fldCharType="begin"/>
          </w:r>
          <w:r>
            <w:rPr>
              <w:rFonts w:hint="eastAsia" w:ascii="华文仿宋" w:hAnsi="华文仿宋" w:eastAsia="华文仿宋" w:cs="华文仿宋"/>
              <w:bCs/>
              <w:color w:val="auto"/>
              <w:szCs w:val="30"/>
              <w:highlight w:val="none"/>
              <w:lang w:val="zh-CN"/>
            </w:rPr>
            <w:instrText xml:space="preserve"> HYPERLINK \l _Toc29343 </w:instrText>
          </w:r>
          <w:r>
            <w:rPr>
              <w:rFonts w:hint="eastAsia" w:ascii="华文仿宋" w:hAnsi="华文仿宋" w:eastAsia="华文仿宋" w:cs="华文仿宋"/>
              <w:bCs/>
              <w:color w:val="auto"/>
              <w:szCs w:val="30"/>
              <w:highlight w:val="none"/>
              <w:lang w:val="zh-CN"/>
            </w:rPr>
            <w:fldChar w:fldCharType="separate"/>
          </w:r>
          <w:r>
            <w:rPr>
              <w:rFonts w:hint="eastAsia" w:ascii="宋体" w:hAnsi="宋体" w:cs="宋体"/>
              <w:color w:val="auto"/>
              <w:szCs w:val="24"/>
              <w:highlight w:val="none"/>
              <w:lang w:val="en-US" w:eastAsia="zh-CN"/>
            </w:rPr>
            <w:t>10</w:t>
          </w:r>
          <w:r>
            <w:rPr>
              <w:rFonts w:hint="eastAsia" w:ascii="宋体" w:hAnsi="宋体" w:eastAsia="宋体" w:cs="宋体"/>
              <w:color w:val="auto"/>
              <w:szCs w:val="24"/>
              <w:highlight w:val="none"/>
              <w:lang w:val="en-US" w:eastAsia="zh-CN"/>
            </w:rPr>
            <w:t xml:space="preserve"> </w:t>
          </w:r>
          <w:r>
            <w:rPr>
              <w:rFonts w:hint="eastAsia" w:ascii="宋体" w:hAnsi="宋体" w:cs="宋体"/>
              <w:color w:val="auto"/>
              <w:szCs w:val="24"/>
              <w:highlight w:val="none"/>
            </w:rPr>
            <w:t>安健环及文明施工、危险源（环境因素）控制要求</w:t>
          </w:r>
          <w:r>
            <w:rPr>
              <w:color w:val="auto"/>
              <w:highlight w:val="none"/>
            </w:rPr>
            <w:tab/>
          </w:r>
          <w:r>
            <w:rPr>
              <w:color w:val="auto"/>
              <w:highlight w:val="none"/>
            </w:rPr>
            <w:fldChar w:fldCharType="begin"/>
          </w:r>
          <w:r>
            <w:rPr>
              <w:color w:val="auto"/>
              <w:highlight w:val="none"/>
            </w:rPr>
            <w:instrText xml:space="preserve"> PAGEREF _Toc29343 \h </w:instrText>
          </w:r>
          <w:r>
            <w:rPr>
              <w:color w:val="auto"/>
              <w:highlight w:val="none"/>
            </w:rPr>
            <w:fldChar w:fldCharType="separate"/>
          </w:r>
          <w:r>
            <w:rPr>
              <w:color w:val="auto"/>
              <w:highlight w:val="none"/>
            </w:rPr>
            <w:t>11</w:t>
          </w:r>
          <w:r>
            <w:rPr>
              <w:color w:val="auto"/>
              <w:highlight w:val="none"/>
            </w:rPr>
            <w:fldChar w:fldCharType="end"/>
          </w:r>
          <w:r>
            <w:rPr>
              <w:rFonts w:hint="eastAsia" w:ascii="华文仿宋" w:hAnsi="华文仿宋" w:eastAsia="华文仿宋" w:cs="华文仿宋"/>
              <w:bCs/>
              <w:color w:val="auto"/>
              <w:szCs w:val="30"/>
              <w:highlight w:val="none"/>
              <w:lang w:val="zh-CN"/>
            </w:rPr>
            <w:fldChar w:fldCharType="end"/>
          </w:r>
        </w:p>
        <w:p w14:paraId="35841AE2">
          <w:pPr>
            <w:pStyle w:val="18"/>
            <w:tabs>
              <w:tab w:val="right" w:leader="dot" w:pos="9354"/>
            </w:tabs>
            <w:rPr>
              <w:color w:val="auto"/>
              <w:highlight w:val="none"/>
            </w:rPr>
          </w:pPr>
          <w:r>
            <w:rPr>
              <w:rFonts w:hint="eastAsia" w:ascii="华文仿宋" w:hAnsi="华文仿宋" w:eastAsia="华文仿宋" w:cs="华文仿宋"/>
              <w:bCs/>
              <w:color w:val="auto"/>
              <w:szCs w:val="30"/>
              <w:highlight w:val="none"/>
              <w:lang w:val="zh-CN"/>
            </w:rPr>
            <w:fldChar w:fldCharType="begin"/>
          </w:r>
          <w:r>
            <w:rPr>
              <w:rFonts w:hint="eastAsia" w:ascii="华文仿宋" w:hAnsi="华文仿宋" w:eastAsia="华文仿宋" w:cs="华文仿宋"/>
              <w:bCs/>
              <w:color w:val="auto"/>
              <w:szCs w:val="30"/>
              <w:highlight w:val="none"/>
              <w:lang w:val="zh-CN"/>
            </w:rPr>
            <w:instrText xml:space="preserve"> HYPERLINK \l _Toc21887 </w:instrText>
          </w:r>
          <w:r>
            <w:rPr>
              <w:rFonts w:hint="eastAsia" w:ascii="华文仿宋" w:hAnsi="华文仿宋" w:eastAsia="华文仿宋" w:cs="华文仿宋"/>
              <w:bCs/>
              <w:color w:val="auto"/>
              <w:szCs w:val="30"/>
              <w:highlight w:val="none"/>
              <w:lang w:val="zh-CN"/>
            </w:rPr>
            <w:fldChar w:fldCharType="separate"/>
          </w:r>
          <w:r>
            <w:rPr>
              <w:rFonts w:hint="eastAsia" w:ascii="宋体" w:hAnsi="宋体" w:eastAsia="宋体" w:cs="宋体"/>
              <w:color w:val="auto"/>
              <w:szCs w:val="24"/>
              <w:highlight w:val="none"/>
              <w:lang w:val="en-US" w:eastAsia="zh-CN"/>
            </w:rPr>
            <w:t>1</w:t>
          </w:r>
          <w:r>
            <w:rPr>
              <w:rFonts w:hint="eastAsia" w:ascii="宋体" w:hAnsi="宋体" w:cs="宋体"/>
              <w:color w:val="auto"/>
              <w:szCs w:val="24"/>
              <w:highlight w:val="none"/>
              <w:lang w:val="en-US" w:eastAsia="zh-CN"/>
            </w:rPr>
            <w:t>1</w:t>
          </w:r>
          <w:r>
            <w:rPr>
              <w:rFonts w:hint="eastAsia" w:ascii="宋体" w:hAnsi="宋体" w:eastAsia="宋体" w:cs="宋体"/>
              <w:color w:val="auto"/>
              <w:szCs w:val="24"/>
              <w:highlight w:val="none"/>
              <w:lang w:val="en-US" w:eastAsia="zh-CN"/>
            </w:rPr>
            <w:t xml:space="preserve"> 考核</w:t>
          </w:r>
          <w:r>
            <w:rPr>
              <w:color w:val="auto"/>
              <w:highlight w:val="none"/>
            </w:rPr>
            <w:tab/>
          </w:r>
          <w:r>
            <w:rPr>
              <w:color w:val="auto"/>
              <w:highlight w:val="none"/>
            </w:rPr>
            <w:fldChar w:fldCharType="begin"/>
          </w:r>
          <w:r>
            <w:rPr>
              <w:color w:val="auto"/>
              <w:highlight w:val="none"/>
            </w:rPr>
            <w:instrText xml:space="preserve"> PAGEREF _Toc21887 \h </w:instrText>
          </w:r>
          <w:r>
            <w:rPr>
              <w:color w:val="auto"/>
              <w:highlight w:val="none"/>
            </w:rPr>
            <w:fldChar w:fldCharType="separate"/>
          </w:r>
          <w:r>
            <w:rPr>
              <w:color w:val="auto"/>
              <w:highlight w:val="none"/>
            </w:rPr>
            <w:t>13</w:t>
          </w:r>
          <w:r>
            <w:rPr>
              <w:color w:val="auto"/>
              <w:highlight w:val="none"/>
            </w:rPr>
            <w:fldChar w:fldCharType="end"/>
          </w:r>
          <w:r>
            <w:rPr>
              <w:rFonts w:hint="eastAsia" w:ascii="华文仿宋" w:hAnsi="华文仿宋" w:eastAsia="华文仿宋" w:cs="华文仿宋"/>
              <w:bCs/>
              <w:color w:val="auto"/>
              <w:szCs w:val="30"/>
              <w:highlight w:val="none"/>
              <w:lang w:val="zh-CN"/>
            </w:rPr>
            <w:fldChar w:fldCharType="end"/>
          </w:r>
        </w:p>
        <w:p w14:paraId="75795E12">
          <w:pPr>
            <w:pStyle w:val="18"/>
            <w:tabs>
              <w:tab w:val="right" w:leader="dot" w:pos="9354"/>
            </w:tabs>
            <w:rPr>
              <w:color w:val="auto"/>
              <w:highlight w:val="none"/>
            </w:rPr>
          </w:pPr>
          <w:r>
            <w:rPr>
              <w:rFonts w:hint="eastAsia" w:ascii="华文仿宋" w:hAnsi="华文仿宋" w:eastAsia="华文仿宋" w:cs="华文仿宋"/>
              <w:bCs/>
              <w:color w:val="auto"/>
              <w:szCs w:val="30"/>
              <w:highlight w:val="none"/>
              <w:lang w:val="zh-CN"/>
            </w:rPr>
            <w:fldChar w:fldCharType="begin"/>
          </w:r>
          <w:r>
            <w:rPr>
              <w:rFonts w:hint="eastAsia" w:ascii="华文仿宋" w:hAnsi="华文仿宋" w:eastAsia="华文仿宋" w:cs="华文仿宋"/>
              <w:bCs/>
              <w:color w:val="auto"/>
              <w:szCs w:val="30"/>
              <w:highlight w:val="none"/>
              <w:lang w:val="zh-CN"/>
            </w:rPr>
            <w:instrText xml:space="preserve"> HYPERLINK \l _Toc28310 </w:instrText>
          </w:r>
          <w:r>
            <w:rPr>
              <w:rFonts w:hint="eastAsia" w:ascii="华文仿宋" w:hAnsi="华文仿宋" w:eastAsia="华文仿宋" w:cs="华文仿宋"/>
              <w:bCs/>
              <w:color w:val="auto"/>
              <w:szCs w:val="30"/>
              <w:highlight w:val="none"/>
              <w:lang w:val="zh-CN"/>
            </w:rPr>
            <w:fldChar w:fldCharType="separate"/>
          </w:r>
          <w:r>
            <w:rPr>
              <w:rFonts w:hint="eastAsia" w:ascii="宋体" w:hAnsi="宋体" w:eastAsia="宋体" w:cs="宋体"/>
              <w:color w:val="auto"/>
              <w:szCs w:val="24"/>
              <w:highlight w:val="none"/>
              <w:lang w:val="en-US" w:eastAsia="zh-CN"/>
            </w:rPr>
            <w:t>1</w:t>
          </w:r>
          <w:r>
            <w:rPr>
              <w:rFonts w:hint="eastAsia" w:ascii="宋体" w:hAnsi="宋体" w:cs="宋体"/>
              <w:color w:val="auto"/>
              <w:szCs w:val="24"/>
              <w:highlight w:val="none"/>
              <w:lang w:val="en-US" w:eastAsia="zh-CN"/>
            </w:rPr>
            <w:t>2</w:t>
          </w:r>
          <w:r>
            <w:rPr>
              <w:rFonts w:hint="eastAsia" w:ascii="宋体" w:hAnsi="宋体" w:eastAsia="宋体" w:cs="宋体"/>
              <w:color w:val="auto"/>
              <w:szCs w:val="24"/>
              <w:highlight w:val="none"/>
              <w:lang w:val="en-US" w:eastAsia="zh-CN"/>
            </w:rPr>
            <w:t xml:space="preserve"> 附则</w:t>
          </w:r>
          <w:r>
            <w:rPr>
              <w:color w:val="auto"/>
              <w:highlight w:val="none"/>
            </w:rPr>
            <w:tab/>
          </w:r>
          <w:r>
            <w:rPr>
              <w:color w:val="auto"/>
              <w:highlight w:val="none"/>
            </w:rPr>
            <w:fldChar w:fldCharType="begin"/>
          </w:r>
          <w:r>
            <w:rPr>
              <w:color w:val="auto"/>
              <w:highlight w:val="none"/>
            </w:rPr>
            <w:instrText xml:space="preserve"> PAGEREF _Toc28310 \h </w:instrText>
          </w:r>
          <w:r>
            <w:rPr>
              <w:color w:val="auto"/>
              <w:highlight w:val="none"/>
            </w:rPr>
            <w:fldChar w:fldCharType="separate"/>
          </w:r>
          <w:r>
            <w:rPr>
              <w:color w:val="auto"/>
              <w:highlight w:val="none"/>
            </w:rPr>
            <w:t>14</w:t>
          </w:r>
          <w:r>
            <w:rPr>
              <w:color w:val="auto"/>
              <w:highlight w:val="none"/>
            </w:rPr>
            <w:fldChar w:fldCharType="end"/>
          </w:r>
          <w:r>
            <w:rPr>
              <w:rFonts w:hint="eastAsia" w:ascii="华文仿宋" w:hAnsi="华文仿宋" w:eastAsia="华文仿宋" w:cs="华文仿宋"/>
              <w:bCs/>
              <w:color w:val="auto"/>
              <w:szCs w:val="30"/>
              <w:highlight w:val="none"/>
              <w:lang w:val="zh-CN"/>
            </w:rPr>
            <w:fldChar w:fldCharType="end"/>
          </w:r>
        </w:p>
        <w:p w14:paraId="186DFC9A">
          <w:pPr>
            <w:pStyle w:val="18"/>
            <w:tabs>
              <w:tab w:val="right" w:leader="dot" w:pos="9354"/>
            </w:tabs>
            <w:rPr>
              <w:color w:val="auto"/>
              <w:highlight w:val="none"/>
            </w:rPr>
          </w:pPr>
          <w:r>
            <w:rPr>
              <w:rFonts w:hint="eastAsia" w:ascii="华文仿宋" w:hAnsi="华文仿宋" w:eastAsia="华文仿宋" w:cs="华文仿宋"/>
              <w:bCs/>
              <w:color w:val="auto"/>
              <w:szCs w:val="30"/>
              <w:highlight w:val="none"/>
              <w:lang w:val="zh-CN"/>
            </w:rPr>
            <w:fldChar w:fldCharType="begin"/>
          </w:r>
          <w:r>
            <w:rPr>
              <w:rFonts w:hint="eastAsia" w:ascii="华文仿宋" w:hAnsi="华文仿宋" w:eastAsia="华文仿宋" w:cs="华文仿宋"/>
              <w:bCs/>
              <w:color w:val="auto"/>
              <w:szCs w:val="30"/>
              <w:highlight w:val="none"/>
              <w:lang w:val="zh-CN"/>
            </w:rPr>
            <w:instrText xml:space="preserve"> HYPERLINK \l _Toc26588 </w:instrText>
          </w:r>
          <w:r>
            <w:rPr>
              <w:rFonts w:hint="eastAsia" w:ascii="华文仿宋" w:hAnsi="华文仿宋" w:eastAsia="华文仿宋" w:cs="华文仿宋"/>
              <w:bCs/>
              <w:color w:val="auto"/>
              <w:szCs w:val="30"/>
              <w:highlight w:val="none"/>
              <w:lang w:val="zh-CN"/>
            </w:rPr>
            <w:fldChar w:fldCharType="separate"/>
          </w:r>
          <w:r>
            <w:rPr>
              <w:rFonts w:hint="eastAsia" w:ascii="宋体" w:hAnsi="宋体" w:eastAsia="宋体" w:cs="宋体"/>
              <w:color w:val="auto"/>
              <w:szCs w:val="24"/>
              <w:highlight w:val="none"/>
              <w:lang w:val="en-US" w:eastAsia="zh-CN"/>
            </w:rPr>
            <w:t>1</w:t>
          </w:r>
          <w:r>
            <w:rPr>
              <w:rFonts w:hint="eastAsia" w:ascii="宋体" w:hAnsi="宋体" w:cs="宋体"/>
              <w:color w:val="auto"/>
              <w:szCs w:val="24"/>
              <w:highlight w:val="none"/>
              <w:lang w:val="en-US" w:eastAsia="zh-CN"/>
            </w:rPr>
            <w:t>3</w:t>
          </w:r>
          <w:r>
            <w:rPr>
              <w:rFonts w:hint="eastAsia" w:ascii="宋体" w:hAnsi="宋体" w:eastAsia="宋体" w:cs="宋体"/>
              <w:color w:val="auto"/>
              <w:szCs w:val="24"/>
              <w:highlight w:val="none"/>
              <w:lang w:val="en-US" w:eastAsia="zh-CN"/>
            </w:rPr>
            <w:t xml:space="preserve"> 附录附表</w:t>
          </w:r>
          <w:r>
            <w:rPr>
              <w:color w:val="auto"/>
              <w:highlight w:val="none"/>
            </w:rPr>
            <w:tab/>
          </w:r>
          <w:r>
            <w:rPr>
              <w:color w:val="auto"/>
              <w:highlight w:val="none"/>
            </w:rPr>
            <w:fldChar w:fldCharType="begin"/>
          </w:r>
          <w:r>
            <w:rPr>
              <w:color w:val="auto"/>
              <w:highlight w:val="none"/>
            </w:rPr>
            <w:instrText xml:space="preserve"> PAGEREF _Toc26588 \h </w:instrText>
          </w:r>
          <w:r>
            <w:rPr>
              <w:color w:val="auto"/>
              <w:highlight w:val="none"/>
            </w:rPr>
            <w:fldChar w:fldCharType="separate"/>
          </w:r>
          <w:r>
            <w:rPr>
              <w:color w:val="auto"/>
              <w:highlight w:val="none"/>
            </w:rPr>
            <w:t>14</w:t>
          </w:r>
          <w:r>
            <w:rPr>
              <w:color w:val="auto"/>
              <w:highlight w:val="none"/>
            </w:rPr>
            <w:fldChar w:fldCharType="end"/>
          </w:r>
          <w:r>
            <w:rPr>
              <w:rFonts w:hint="eastAsia" w:ascii="华文仿宋" w:hAnsi="华文仿宋" w:eastAsia="华文仿宋" w:cs="华文仿宋"/>
              <w:bCs/>
              <w:color w:val="auto"/>
              <w:szCs w:val="30"/>
              <w:highlight w:val="none"/>
              <w:lang w:val="zh-CN"/>
            </w:rPr>
            <w:fldChar w:fldCharType="end"/>
          </w:r>
        </w:p>
        <w:p w14:paraId="1A99FC9B">
          <w:pPr>
            <w:pageBreakBefore w:val="0"/>
            <w:kinsoku/>
            <w:wordWrap/>
            <w:overflowPunct/>
            <w:topLinePunct w:val="0"/>
            <w:autoSpaceDE/>
            <w:autoSpaceDN/>
            <w:bidi w:val="0"/>
            <w:adjustRightInd/>
            <w:snapToGrid/>
            <w:spacing w:line="360" w:lineRule="auto"/>
            <w:textAlignment w:val="auto"/>
            <w:rPr>
              <w:color w:val="auto"/>
              <w:highlight w:val="none"/>
            </w:rPr>
          </w:pPr>
          <w:r>
            <w:rPr>
              <w:rFonts w:hint="eastAsia" w:ascii="华文仿宋" w:hAnsi="华文仿宋" w:eastAsia="华文仿宋" w:cs="华文仿宋"/>
              <w:bCs/>
              <w:color w:val="auto"/>
              <w:szCs w:val="30"/>
              <w:highlight w:val="none"/>
              <w:lang w:val="zh-CN"/>
            </w:rPr>
            <w:fldChar w:fldCharType="end"/>
          </w:r>
        </w:p>
      </w:sdtContent>
    </w:sdt>
    <w:p w14:paraId="0365ACC0">
      <w:pPr>
        <w:rPr>
          <w:color w:val="auto"/>
          <w:highlight w:val="none"/>
        </w:rPr>
      </w:pPr>
    </w:p>
    <w:p w14:paraId="5BEF054B">
      <w:pPr>
        <w:rPr>
          <w:color w:val="auto"/>
          <w:highlight w:val="none"/>
        </w:rPr>
      </w:pPr>
      <w:r>
        <w:rPr>
          <w:color w:val="auto"/>
          <w:highlight w:val="none"/>
        </w:rPr>
        <w:br w:type="page"/>
      </w:r>
    </w:p>
    <w:p w14:paraId="794582A4">
      <w:pPr>
        <w:widowControl/>
        <w:tabs>
          <w:tab w:val="left" w:pos="480"/>
        </w:tabs>
        <w:spacing w:line="360" w:lineRule="auto"/>
        <w:rPr>
          <w:rFonts w:hint="eastAsia" w:ascii="黑体" w:hAnsi="黑体" w:eastAsia="黑体" w:cs="黑体"/>
          <w:b w:val="0"/>
          <w:bCs/>
          <w:color w:val="auto"/>
          <w:sz w:val="21"/>
          <w:szCs w:val="21"/>
          <w:highlight w:val="none"/>
          <w:lang w:val="en-US" w:eastAsia="zh-CN"/>
        </w:rPr>
      </w:pPr>
    </w:p>
    <w:p w14:paraId="6ED39277">
      <w:pPr>
        <w:pStyle w:val="2"/>
        <w:keepNext/>
        <w:keepLines/>
        <w:pageBreakBefore w:val="0"/>
        <w:widowControl w:val="0"/>
        <w:kinsoku/>
        <w:wordWrap/>
        <w:overflowPunct/>
        <w:topLinePunct w:val="0"/>
        <w:autoSpaceDE/>
        <w:autoSpaceDN/>
        <w:bidi w:val="0"/>
        <w:adjustRightInd/>
        <w:snapToGrid/>
        <w:spacing w:before="100" w:after="100" w:line="360" w:lineRule="auto"/>
        <w:textAlignment w:val="auto"/>
        <w:rPr>
          <w:rFonts w:hint="eastAsia" w:ascii="宋体" w:hAnsi="宋体" w:eastAsia="宋体" w:cs="宋体"/>
          <w:color w:val="auto"/>
          <w:sz w:val="24"/>
          <w:szCs w:val="24"/>
          <w:highlight w:val="none"/>
        </w:rPr>
      </w:pPr>
      <w:bookmarkStart w:id="1" w:name="_Toc17715"/>
      <w:bookmarkStart w:id="2" w:name="_Toc30064"/>
      <w:bookmarkStart w:id="3" w:name="_Toc141011851"/>
      <w:r>
        <w:rPr>
          <w:rFonts w:hint="eastAsia" w:ascii="宋体" w:hAnsi="宋体" w:eastAsia="宋体" w:cs="宋体"/>
          <w:color w:val="auto"/>
          <w:sz w:val="24"/>
          <w:szCs w:val="24"/>
          <w:highlight w:val="none"/>
        </w:rPr>
        <w:t>1 总则</w:t>
      </w:r>
      <w:bookmarkEnd w:id="1"/>
      <w:bookmarkEnd w:id="2"/>
      <w:bookmarkEnd w:id="3"/>
    </w:p>
    <w:p w14:paraId="5FF3E79B">
      <w:pPr>
        <w:widowControl/>
        <w:numPr>
          <w:ilvl w:val="1"/>
          <w:numId w:val="2"/>
        </w:numPr>
        <w:tabs>
          <w:tab w:val="left" w:pos="480"/>
        </w:tabs>
        <w:spacing w:line="360" w:lineRule="auto"/>
        <w:rPr>
          <w:rFonts w:hint="eastAsia" w:ascii="宋体" w:hAnsi="宋体" w:eastAsia="宋体" w:cs="宋体"/>
          <w:color w:val="auto"/>
          <w:sz w:val="24"/>
          <w:szCs w:val="24"/>
          <w:highlight w:val="none"/>
        </w:rPr>
      </w:pPr>
      <w:r>
        <w:rPr>
          <w:rFonts w:hint="eastAsia" w:ascii="宋体" w:hAnsi="宋体" w:eastAsia="宋体" w:cs="宋体"/>
          <w:b w:val="0"/>
          <w:bCs/>
          <w:snapToGrid w:val="0"/>
          <w:color w:val="auto"/>
          <w:kern w:val="0"/>
          <w:sz w:val="24"/>
          <w:szCs w:val="24"/>
          <w:highlight w:val="none"/>
          <w:lang w:val="en-US" w:eastAsia="zh-CN" w:bidi="ar-SA"/>
        </w:rPr>
        <w:t>本技术规范书适用于浙能伊犁新天煤化工有限责任公司</w:t>
      </w:r>
      <w:r>
        <w:rPr>
          <w:rFonts w:hint="eastAsia" w:ascii="宋体" w:hAnsi="宋体" w:eastAsia="宋体" w:cs="宋体"/>
          <w:color w:val="auto"/>
          <w:sz w:val="24"/>
          <w:szCs w:val="24"/>
          <w:highlight w:val="none"/>
        </w:rPr>
        <w:t>压力管道、压力容器检验中涉及焊缝无损检测时的配合焊缝打磨作业</w:t>
      </w:r>
      <w:r>
        <w:rPr>
          <w:rFonts w:hint="eastAsia" w:ascii="宋体" w:hAnsi="宋体" w:eastAsia="宋体" w:cs="宋体"/>
          <w:b w:val="0"/>
          <w:bCs/>
          <w:snapToGrid w:val="0"/>
          <w:color w:val="auto"/>
          <w:kern w:val="0"/>
          <w:sz w:val="24"/>
          <w:szCs w:val="24"/>
          <w:highlight w:val="none"/>
          <w:lang w:val="en-US" w:eastAsia="zh-CN" w:bidi="ar-SA"/>
        </w:rPr>
        <w:t>维保服务招标工作。</w:t>
      </w:r>
    </w:p>
    <w:p w14:paraId="0A012A20">
      <w:pPr>
        <w:widowControl/>
        <w:numPr>
          <w:ilvl w:val="0"/>
          <w:numId w:val="0"/>
        </w:numPr>
        <w:tabs>
          <w:tab w:val="left" w:pos="480"/>
        </w:tabs>
        <w:spacing w:line="360" w:lineRule="auto"/>
        <w:ind w:lef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本技术规范书提出的是最低限度的技术要求，并未对一切技术细节作出规定，也未充分引述有关标准和规范。投标方必须保证提供符合本技术规范书和相关国家标准要求的优质服务。对国家有关安全、环保等强制性标准，必须满足要求。</w:t>
      </w:r>
    </w:p>
    <w:p w14:paraId="0DA9FD5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1.3如未对本技术规范书提出偏差，将认为投标方提供的服务符合规范和标准的要求。</w:t>
      </w:r>
    </w:p>
    <w:p w14:paraId="47AE2AA8">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1.4招标方不接受任何带有试验性质的服务工作。</w:t>
      </w:r>
    </w:p>
    <w:p w14:paraId="07630A7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1.5投标方在整个</w:t>
      </w:r>
      <w:r>
        <w:rPr>
          <w:rFonts w:hint="eastAsia" w:ascii="宋体" w:hAnsi="宋体" w:eastAsia="宋体" w:cs="宋体"/>
          <w:color w:val="auto"/>
          <w:sz w:val="24"/>
          <w:szCs w:val="24"/>
          <w:highlight w:val="none"/>
          <w:lang w:eastAsia="zh-CN"/>
        </w:rPr>
        <w:t>项目</w:t>
      </w:r>
      <w:r>
        <w:rPr>
          <w:rFonts w:hint="eastAsia" w:ascii="宋体" w:hAnsi="宋体" w:eastAsia="宋体" w:cs="宋体"/>
          <w:color w:val="auto"/>
          <w:sz w:val="24"/>
          <w:szCs w:val="24"/>
          <w:highlight w:val="none"/>
        </w:rPr>
        <w:t>项目中所使用规范和标准必须遵循现行最新版本的国家标准。投标方应提供所使用的规范和标准。本技术规范书所使用的规范标准如遇与投标方所执行的规范标准发生矛盾时，应按较高标准执行。</w:t>
      </w:r>
    </w:p>
    <w:p w14:paraId="5AD0A883">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1.6在签订合同之后，招标方有权提出因规范标准和规程发生变化而产生的一些补充要求，具体项目由招标方和投标方共同商定。</w:t>
      </w:r>
    </w:p>
    <w:p w14:paraId="02FCF4B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 投标人资质的要求，投标人提供的</w:t>
      </w:r>
      <w:r>
        <w:rPr>
          <w:rFonts w:hint="eastAsia" w:ascii="宋体" w:hAnsi="宋体" w:eastAsia="宋体" w:cs="宋体"/>
          <w:color w:val="auto"/>
          <w:sz w:val="24"/>
          <w:szCs w:val="24"/>
          <w:highlight w:val="none"/>
          <w:lang w:eastAsia="zh-CN"/>
        </w:rPr>
        <w:t>项目</w:t>
      </w:r>
      <w:r>
        <w:rPr>
          <w:rFonts w:hint="eastAsia" w:ascii="宋体" w:hAnsi="宋体" w:eastAsia="宋体" w:cs="宋体"/>
          <w:color w:val="auto"/>
          <w:sz w:val="24"/>
          <w:szCs w:val="24"/>
          <w:highlight w:val="none"/>
        </w:rPr>
        <w:t>服务应是成熟可靠、技术先进，类似行业有</w:t>
      </w:r>
      <w:r>
        <w:rPr>
          <w:rFonts w:hint="eastAsia" w:ascii="宋体" w:hAnsi="宋体" w:eastAsia="宋体" w:cs="宋体"/>
          <w:color w:val="auto"/>
          <w:sz w:val="24"/>
          <w:szCs w:val="24"/>
          <w:highlight w:val="none"/>
          <w:lang w:val="en-US" w:eastAsia="zh-CN"/>
        </w:rPr>
        <w:t>滤料更换</w:t>
      </w:r>
      <w:r>
        <w:rPr>
          <w:rFonts w:hint="eastAsia" w:ascii="宋体" w:hAnsi="宋体" w:eastAsia="宋体" w:cs="宋体"/>
          <w:color w:val="auto"/>
          <w:sz w:val="24"/>
          <w:szCs w:val="24"/>
          <w:highlight w:val="none"/>
        </w:rPr>
        <w:t>相关业绩。</w:t>
      </w:r>
    </w:p>
    <w:p w14:paraId="7CFF27E8">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1.8本技术规范书将作为合同的附件，与合同正文具有同等效力。</w:t>
      </w:r>
    </w:p>
    <w:p w14:paraId="31339DEA">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1.9未尽事宜，双方友好协商解决。</w:t>
      </w:r>
    </w:p>
    <w:p w14:paraId="7B0F1B69">
      <w:pPr>
        <w:pStyle w:val="2"/>
        <w:keepNext/>
        <w:keepLines/>
        <w:pageBreakBefore w:val="0"/>
        <w:widowControl w:val="0"/>
        <w:kinsoku/>
        <w:wordWrap/>
        <w:overflowPunct/>
        <w:topLinePunct w:val="0"/>
        <w:autoSpaceDE/>
        <w:autoSpaceDN/>
        <w:bidi w:val="0"/>
        <w:adjustRightInd/>
        <w:snapToGrid/>
        <w:spacing w:before="100" w:after="100" w:line="360" w:lineRule="auto"/>
        <w:textAlignment w:val="auto"/>
        <w:rPr>
          <w:rFonts w:hint="eastAsia" w:ascii="宋体" w:hAnsi="宋体" w:eastAsia="宋体" w:cs="宋体"/>
          <w:color w:val="auto"/>
          <w:spacing w:val="-2"/>
          <w:sz w:val="24"/>
          <w:szCs w:val="24"/>
          <w:highlight w:val="none"/>
        </w:rPr>
      </w:pPr>
      <w:bookmarkStart w:id="4" w:name="_Toc30393"/>
      <w:bookmarkStart w:id="5" w:name="_Toc15128"/>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 xml:space="preserve"> 工程概况</w:t>
      </w:r>
      <w:bookmarkEnd w:id="4"/>
      <w:bookmarkEnd w:id="5"/>
    </w:p>
    <w:p w14:paraId="0FB4A792">
      <w:pPr>
        <w:keepNext w:val="0"/>
        <w:keepLines w:val="0"/>
        <w:pageBreakBefore w:val="0"/>
        <w:widowControl w:val="0"/>
        <w:tabs>
          <w:tab w:val="left" w:pos="480"/>
        </w:tabs>
        <w:kinsoku w:val="0"/>
        <w:wordWrap/>
        <w:overflowPunct/>
        <w:topLinePunct w:val="0"/>
        <w:autoSpaceDE/>
        <w:autoSpaceDN/>
        <w:bidi w:val="0"/>
        <w:adjustRightInd w:val="0"/>
        <w:snapToGrid w:val="0"/>
        <w:spacing w:line="360" w:lineRule="auto"/>
        <w:ind w:firstLine="480" w:firstLineChars="200"/>
        <w:jc w:val="left"/>
        <w:textAlignment w:val="auto"/>
        <w:rPr>
          <w:rStyle w:val="46"/>
          <w:rFonts w:hint="eastAsia" w:ascii="宋体" w:hAnsi="宋体" w:eastAsia="宋体" w:cs="宋体"/>
          <w:color w:val="auto"/>
          <w:sz w:val="24"/>
          <w:szCs w:val="24"/>
          <w:highlight w:val="none"/>
        </w:rPr>
      </w:pPr>
      <w:r>
        <w:rPr>
          <w:rStyle w:val="46"/>
          <w:rFonts w:hint="eastAsia" w:ascii="宋体" w:hAnsi="宋体" w:eastAsia="宋体" w:cs="宋体"/>
          <w:color w:val="auto"/>
          <w:sz w:val="24"/>
          <w:szCs w:val="24"/>
          <w:highlight w:val="none"/>
        </w:rPr>
        <w:t xml:space="preserve">公司建于新疆维吾尔自治区伊宁市巴彦岱镇火龙洞以北，北靠天山支脉科古琴山，南临伊犁河，厂址地形高差较大，北高南低，海拔标高约1000-1080m 之间，东西向中部大部分地段较为平缓。土地属于半荒漠草场。 </w:t>
      </w:r>
    </w:p>
    <w:p w14:paraId="1809930F">
      <w:pPr>
        <w:keepNext w:val="0"/>
        <w:keepLines w:val="0"/>
        <w:pageBreakBefore w:val="0"/>
        <w:widowControl w:val="0"/>
        <w:tabs>
          <w:tab w:val="left" w:pos="480"/>
        </w:tabs>
        <w:kinsoku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Style w:val="46"/>
          <w:rFonts w:hint="eastAsia" w:ascii="宋体" w:hAnsi="宋体" w:eastAsia="宋体" w:cs="宋体"/>
          <w:color w:val="auto"/>
          <w:sz w:val="24"/>
          <w:szCs w:val="24"/>
          <w:highlight w:val="none"/>
        </w:rPr>
        <w:t>该地区属大陆性气候，因地形关系，经常形成多雨雪的天气。冬季寒冷，夏季炎热，7 月份极端最高气温为 39.2℃；1 月份最低气温为-30.9℃，极端最低气温为-36℃，全年平均气温9℃；年平均降水量269mm；年平均蒸发量为1604.3mm；空气平均相对湿度65%；50年一遇基本雪压1.0kPa，最大积雪厚度79cm。最大冻结深度120cm。常年主导风向为东风和偏西风，50年一遇基本风压0.6kPa。</w:t>
      </w:r>
    </w:p>
    <w:bookmarkEnd w:id="0"/>
    <w:p w14:paraId="2BF583B4">
      <w:pPr>
        <w:pStyle w:val="2"/>
        <w:keepNext/>
        <w:keepLines/>
        <w:pageBreakBefore w:val="0"/>
        <w:widowControl w:val="0"/>
        <w:kinsoku/>
        <w:wordWrap/>
        <w:overflowPunct/>
        <w:topLinePunct w:val="0"/>
        <w:autoSpaceDE/>
        <w:autoSpaceDN/>
        <w:bidi w:val="0"/>
        <w:adjustRightInd/>
        <w:snapToGrid/>
        <w:spacing w:before="100" w:after="100" w:line="360" w:lineRule="auto"/>
        <w:textAlignment w:val="auto"/>
        <w:rPr>
          <w:rFonts w:hint="eastAsia" w:ascii="宋体" w:hAnsi="宋体" w:eastAsia="宋体" w:cs="宋体"/>
          <w:color w:val="auto"/>
          <w:sz w:val="24"/>
          <w:szCs w:val="24"/>
          <w:highlight w:val="none"/>
          <w:lang w:val="en-US" w:eastAsia="zh-CN"/>
        </w:rPr>
      </w:pPr>
      <w:bookmarkStart w:id="6" w:name="_Toc14769"/>
      <w:bookmarkStart w:id="7" w:name="_Toc141011853"/>
      <w:bookmarkStart w:id="8" w:name="_Toc29232"/>
      <w:r>
        <w:rPr>
          <w:rFonts w:hint="eastAsia" w:ascii="宋体" w:hAnsi="宋体" w:eastAsia="宋体" w:cs="宋体"/>
          <w:color w:val="auto"/>
          <w:sz w:val="24"/>
          <w:szCs w:val="24"/>
          <w:highlight w:val="none"/>
          <w:lang w:val="en-US" w:eastAsia="zh-CN"/>
        </w:rPr>
        <w:t>3 本项目执行的标准和规范</w:t>
      </w:r>
      <w:bookmarkEnd w:id="6"/>
      <w:r>
        <w:rPr>
          <w:rFonts w:hint="eastAsia" w:ascii="宋体" w:hAnsi="宋体" w:eastAsia="宋体" w:cs="宋体"/>
          <w:color w:val="auto"/>
          <w:sz w:val="24"/>
          <w:szCs w:val="24"/>
          <w:highlight w:val="none"/>
          <w:lang w:val="en-US" w:eastAsia="zh-CN"/>
        </w:rPr>
        <w:t xml:space="preserve"> </w:t>
      </w:r>
    </w:p>
    <w:p w14:paraId="29C687D3">
      <w:pPr>
        <w:pStyle w:val="2"/>
        <w:keepNext/>
        <w:keepLines/>
        <w:pageBreakBefore w:val="0"/>
        <w:widowControl w:val="0"/>
        <w:kinsoku/>
        <w:wordWrap/>
        <w:overflowPunct/>
        <w:topLinePunct w:val="0"/>
        <w:autoSpaceDE/>
        <w:autoSpaceDN/>
        <w:bidi w:val="0"/>
        <w:adjustRightInd/>
        <w:snapToGrid/>
        <w:spacing w:before="100" w:after="100" w:line="360" w:lineRule="auto"/>
        <w:ind w:firstLine="480" w:firstLineChars="200"/>
        <w:textAlignment w:val="auto"/>
        <w:rPr>
          <w:rFonts w:hint="eastAsia" w:ascii="宋体" w:hAnsi="宋体" w:eastAsia="宋体" w:cs="宋体"/>
          <w:b w:val="0"/>
          <w:bCs/>
          <w:color w:val="auto"/>
          <w:sz w:val="24"/>
          <w:szCs w:val="24"/>
          <w:highlight w:val="none"/>
        </w:rPr>
      </w:pPr>
      <w:bookmarkStart w:id="9" w:name="_Toc22330"/>
      <w:r>
        <w:rPr>
          <w:rFonts w:ascii="宋体" w:hAnsi="宋体" w:eastAsia="宋体" w:cs="宋体"/>
          <w:b w:val="0"/>
          <w:bCs/>
          <w:color w:val="auto"/>
          <w:sz w:val="24"/>
          <w:szCs w:val="24"/>
          <w:highlight w:val="none"/>
        </w:rPr>
        <w:t>本</w:t>
      </w:r>
      <w:r>
        <w:rPr>
          <w:rFonts w:hint="eastAsia" w:ascii="宋体" w:hAnsi="宋体" w:eastAsia="宋体" w:cs="宋体"/>
          <w:b w:val="0"/>
          <w:bCs/>
          <w:color w:val="auto"/>
          <w:sz w:val="24"/>
          <w:szCs w:val="24"/>
          <w:highlight w:val="none"/>
        </w:rPr>
        <w:t>项目执行的标准规范包括但不限于下述内容，如果采用其它标准，其要求不得低于下述标准。以下标准和规范均应采用最新版本，如下述标准和规范之间，或它们与本技术规范书之间有重大原则性冲突时，投标人应及时用书面形式向招标方提出解决方法的建议，并由双方共同协商处理。从合同签订之日起至投标方开始施工之前的这段时间内，如果因规范、标准发生修改或变化，招标方有权提出补充要求，投标方应满足并遵守这些要求。</w:t>
      </w:r>
      <w:bookmarkEnd w:id="9"/>
    </w:p>
    <w:p w14:paraId="4E1E562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NB/T47013《承压设备无损检测》</w:t>
      </w:r>
    </w:p>
    <w:p w14:paraId="3B9D4203">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SH3503《石油化工工程建设项目交工技术文件规定》</w:t>
      </w:r>
    </w:p>
    <w:p w14:paraId="553E846B">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SH3543《石油化工建设工程项目施工过程技术文件规定》</w:t>
      </w:r>
    </w:p>
    <w:p w14:paraId="76CDA60D">
      <w:pPr>
        <w:keepNext w:val="0"/>
        <w:keepLines w:val="0"/>
        <w:pageBreakBefore w:val="0"/>
        <w:widowControl w:val="0"/>
        <w:kinsoku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执行的标准规范包括但不限于上述内容，如果采用其它标准，其要求不得低于上述标准，如有新版本，以最新的版本为准。</w:t>
      </w:r>
    </w:p>
    <w:p w14:paraId="76B4FA5F">
      <w:pPr>
        <w:pStyle w:val="2"/>
        <w:keepNext/>
        <w:keepLines/>
        <w:pageBreakBefore w:val="0"/>
        <w:widowControl w:val="0"/>
        <w:kinsoku/>
        <w:wordWrap/>
        <w:overflowPunct/>
        <w:topLinePunct w:val="0"/>
        <w:autoSpaceDE/>
        <w:autoSpaceDN/>
        <w:bidi w:val="0"/>
        <w:adjustRightInd/>
        <w:snapToGrid/>
        <w:spacing w:before="100" w:after="100" w:line="360" w:lineRule="auto"/>
        <w:textAlignment w:val="auto"/>
        <w:rPr>
          <w:rFonts w:hint="eastAsia" w:ascii="宋体" w:hAnsi="宋体" w:eastAsia="宋体" w:cs="宋体"/>
          <w:b w:val="0"/>
          <w:bCs/>
          <w:color w:val="auto"/>
          <w:sz w:val="24"/>
          <w:szCs w:val="24"/>
          <w:highlight w:val="none"/>
          <w:lang w:val="en-US" w:eastAsia="zh-CN"/>
        </w:rPr>
      </w:pPr>
    </w:p>
    <w:p w14:paraId="46D9344E">
      <w:pPr>
        <w:pStyle w:val="2"/>
        <w:keepNext/>
        <w:keepLines/>
        <w:pageBreakBefore w:val="0"/>
        <w:widowControl w:val="0"/>
        <w:kinsoku/>
        <w:wordWrap/>
        <w:overflowPunct/>
        <w:topLinePunct w:val="0"/>
        <w:autoSpaceDE/>
        <w:autoSpaceDN/>
        <w:bidi w:val="0"/>
        <w:adjustRightInd/>
        <w:snapToGrid/>
        <w:spacing w:before="100" w:after="100" w:line="360" w:lineRule="auto"/>
        <w:textAlignment w:val="auto"/>
        <w:rPr>
          <w:rFonts w:hint="eastAsia" w:ascii="宋体" w:hAnsi="宋体" w:eastAsia="宋体" w:cs="宋体"/>
          <w:color w:val="auto"/>
          <w:sz w:val="24"/>
          <w:szCs w:val="24"/>
          <w:highlight w:val="none"/>
          <w:lang w:val="en-US" w:eastAsia="zh-CN"/>
        </w:rPr>
      </w:pPr>
      <w:bookmarkStart w:id="10" w:name="_Toc17424"/>
      <w:r>
        <w:rPr>
          <w:rFonts w:hint="eastAsia" w:ascii="宋体" w:hAnsi="宋体" w:eastAsia="宋体" w:cs="宋体"/>
          <w:color w:val="auto"/>
          <w:sz w:val="24"/>
          <w:szCs w:val="24"/>
          <w:highlight w:val="none"/>
          <w:lang w:val="en-US" w:eastAsia="zh-CN"/>
        </w:rPr>
        <w:t>4 项目范围及</w:t>
      </w:r>
      <w:bookmarkEnd w:id="7"/>
      <w:r>
        <w:rPr>
          <w:rFonts w:hint="eastAsia" w:ascii="宋体" w:hAnsi="宋体" w:eastAsia="宋体" w:cs="宋体"/>
          <w:color w:val="auto"/>
          <w:sz w:val="24"/>
          <w:szCs w:val="24"/>
          <w:highlight w:val="none"/>
          <w:lang w:val="en-US" w:eastAsia="zh-CN"/>
        </w:rPr>
        <w:t>工期</w:t>
      </w:r>
      <w:bookmarkEnd w:id="8"/>
      <w:bookmarkEnd w:id="10"/>
    </w:p>
    <w:p w14:paraId="6F884E62">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lang w:val="en-US" w:eastAsia="zh-CN"/>
        </w:rPr>
        <w:t>.1 项目范围</w:t>
      </w:r>
    </w:p>
    <w:p w14:paraId="73226330">
      <w:pPr>
        <w:widowControl/>
        <w:tabs>
          <w:tab w:val="left" w:pos="480"/>
        </w:tabs>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全厂压力容器、压力管道检验时无损检测</w:t>
      </w:r>
      <w:r>
        <w:rPr>
          <w:rFonts w:hint="eastAsia" w:ascii="宋体" w:hAnsi="宋体" w:eastAsia="宋体" w:cs="宋体"/>
          <w:color w:val="auto"/>
          <w:sz w:val="24"/>
          <w:szCs w:val="24"/>
          <w:highlight w:val="none"/>
          <w:lang w:val="en-US" w:eastAsia="zh-CN"/>
        </w:rPr>
        <w:t>前</w:t>
      </w:r>
      <w:r>
        <w:rPr>
          <w:rFonts w:hint="eastAsia" w:ascii="宋体" w:hAnsi="宋体" w:eastAsia="宋体" w:cs="宋体"/>
          <w:color w:val="auto"/>
          <w:sz w:val="24"/>
          <w:szCs w:val="24"/>
          <w:highlight w:val="none"/>
        </w:rPr>
        <w:t>焊缝的打磨作业</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打磨作业</w:t>
      </w:r>
      <w:r>
        <w:rPr>
          <w:rFonts w:hint="eastAsia" w:ascii="宋体" w:hAnsi="宋体" w:eastAsia="宋体" w:cs="宋体"/>
          <w:color w:val="auto"/>
          <w:sz w:val="24"/>
          <w:szCs w:val="24"/>
          <w:highlight w:val="none"/>
          <w:lang w:val="en-US" w:eastAsia="zh-CN"/>
        </w:rPr>
        <w:t>模拟</w:t>
      </w:r>
      <w:r>
        <w:rPr>
          <w:rFonts w:hint="eastAsia" w:ascii="宋体" w:hAnsi="宋体" w:eastAsia="宋体" w:cs="宋体"/>
          <w:color w:val="auto"/>
          <w:sz w:val="24"/>
          <w:szCs w:val="24"/>
          <w:highlight w:val="none"/>
        </w:rPr>
        <w:t>工作量共计约</w:t>
      </w:r>
      <w:r>
        <w:rPr>
          <w:rFonts w:hint="eastAsia" w:ascii="宋体" w:hAnsi="宋体" w:cs="宋体"/>
          <w:color w:val="auto"/>
          <w:sz w:val="24"/>
          <w:szCs w:val="24"/>
          <w:highlight w:val="none"/>
          <w:lang w:val="en-US" w:eastAsia="zh-CN"/>
        </w:rPr>
        <w:t>2230</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据实结算，详见附件1。</w:t>
      </w:r>
    </w:p>
    <w:p w14:paraId="49FFAFF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lang w:val="en-US" w:eastAsia="zh-CN"/>
        </w:rPr>
        <w:t>.2 项目工期</w:t>
      </w:r>
    </w:p>
    <w:p w14:paraId="2D4EDB6E">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lang w:val="en-US" w:eastAsia="zh-CN"/>
        </w:rPr>
        <w:t>.2.1项目总工期为30天（</w:t>
      </w:r>
      <w:r>
        <w:rPr>
          <w:rFonts w:hint="eastAsia" w:ascii="宋体" w:hAnsi="宋体" w:eastAsia="宋体" w:cs="宋体"/>
          <w:color w:val="auto"/>
          <w:sz w:val="24"/>
          <w:szCs w:val="24"/>
          <w:highlight w:val="none"/>
        </w:rPr>
        <w:t>暂定202</w:t>
      </w: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rPr>
        <w:t>年08月-09月，具体时间以招标方通知为准</w:t>
      </w:r>
      <w:r>
        <w:rPr>
          <w:rFonts w:hint="eastAsia" w:ascii="宋体" w:hAnsi="宋体" w:eastAsia="宋体" w:cs="宋体"/>
          <w:color w:val="auto"/>
          <w:sz w:val="24"/>
          <w:szCs w:val="24"/>
          <w:highlight w:val="none"/>
          <w:lang w:val="en-US" w:eastAsia="zh-CN"/>
        </w:rPr>
        <w:t>）。</w:t>
      </w:r>
    </w:p>
    <w:p w14:paraId="39427B59">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lang w:val="en-US" w:eastAsia="zh-CN"/>
        </w:rPr>
        <w:t>.2.2 投标方不仅要保证自己承担工作的进度，同时和招标方一起协调与其它外包系统设备的连接项目等施工进度，确保整体进度。</w:t>
      </w:r>
    </w:p>
    <w:p w14:paraId="3F89822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lang w:val="en-US" w:eastAsia="zh-CN"/>
        </w:rPr>
        <w:t>.2.3 维保服务工期内，涉及各类检修作业时不仅须按时完成项目，同时各分项工期均须按投标方要求进度时间完成。</w:t>
      </w:r>
    </w:p>
    <w:p w14:paraId="68F254F2">
      <w:pPr>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lang w:val="en-US" w:eastAsia="zh-CN"/>
        </w:rPr>
        <w:t>.2.4 维保服务工期内，以生产装置现场实际情况为指导，不仅要求按时按进度完成本职检修工作，同时应服从招标方协调指挥要求，主动配合完成现场其他施工作业工作。</w:t>
      </w:r>
    </w:p>
    <w:p w14:paraId="120E7337">
      <w:pPr>
        <w:pStyle w:val="2"/>
        <w:keepNext/>
        <w:keepLines/>
        <w:pageBreakBefore w:val="0"/>
        <w:widowControl w:val="0"/>
        <w:kinsoku/>
        <w:wordWrap/>
        <w:overflowPunct/>
        <w:topLinePunct w:val="0"/>
        <w:autoSpaceDE/>
        <w:autoSpaceDN/>
        <w:bidi w:val="0"/>
        <w:adjustRightInd/>
        <w:snapToGrid/>
        <w:spacing w:before="100" w:after="100" w:line="360" w:lineRule="auto"/>
        <w:textAlignment w:val="auto"/>
        <w:rPr>
          <w:rFonts w:hint="eastAsia" w:ascii="宋体" w:hAnsi="宋体" w:eastAsia="宋体" w:cs="宋体"/>
          <w:color w:val="auto"/>
          <w:sz w:val="24"/>
          <w:szCs w:val="24"/>
          <w:highlight w:val="none"/>
          <w:lang w:val="en-US" w:eastAsia="zh-CN"/>
        </w:rPr>
      </w:pPr>
      <w:bookmarkStart w:id="11" w:name="_Toc14576"/>
      <w:bookmarkStart w:id="12" w:name="_Toc14915"/>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 xml:space="preserve"> 项目内容及要求</w:t>
      </w:r>
      <w:bookmarkEnd w:id="11"/>
      <w:bookmarkEnd w:id="12"/>
    </w:p>
    <w:p w14:paraId="4DE51277">
      <w:pPr>
        <w:widowControl/>
        <w:tabs>
          <w:tab w:val="left" w:pos="480"/>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5.1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项目</w:t>
      </w:r>
      <w:r>
        <w:rPr>
          <w:rFonts w:hint="eastAsia" w:ascii="宋体" w:hAnsi="宋体" w:eastAsia="宋体" w:cs="宋体"/>
          <w:color w:val="auto"/>
          <w:sz w:val="24"/>
          <w:szCs w:val="24"/>
          <w:highlight w:val="none"/>
        </w:rPr>
        <w:t>内容</w:t>
      </w:r>
    </w:p>
    <w:p w14:paraId="71E861B6">
      <w:pPr>
        <w:widowControl/>
        <w:tabs>
          <w:tab w:val="left" w:pos="480"/>
        </w:tabs>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回收车间共计25台压力容器、169个焊口、33个管件的焊口打磨工作。</w:t>
      </w:r>
    </w:p>
    <w:p w14:paraId="5F195D46">
      <w:pPr>
        <w:widowControl/>
        <w:tabs>
          <w:tab w:val="left" w:pos="480"/>
        </w:tabs>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气化车间共计</w:t>
      </w: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台压力容器、</w:t>
      </w:r>
      <w:r>
        <w:rPr>
          <w:rFonts w:hint="eastAsia" w:ascii="宋体" w:hAnsi="宋体" w:cs="宋体"/>
          <w:color w:val="auto"/>
          <w:sz w:val="24"/>
          <w:szCs w:val="24"/>
          <w:highlight w:val="none"/>
          <w:lang w:val="en-US" w:eastAsia="zh-CN"/>
        </w:rPr>
        <w:t>856</w:t>
      </w:r>
      <w:r>
        <w:rPr>
          <w:rFonts w:hint="eastAsia" w:ascii="宋体" w:hAnsi="宋体" w:eastAsia="宋体" w:cs="宋体"/>
          <w:color w:val="auto"/>
          <w:sz w:val="24"/>
          <w:szCs w:val="24"/>
          <w:highlight w:val="none"/>
          <w:lang w:val="en-US" w:eastAsia="zh-CN"/>
        </w:rPr>
        <w:t>个焊口、</w:t>
      </w:r>
      <w:r>
        <w:rPr>
          <w:rFonts w:hint="eastAsia" w:ascii="宋体" w:hAnsi="宋体" w:cs="宋体"/>
          <w:color w:val="auto"/>
          <w:sz w:val="24"/>
          <w:szCs w:val="24"/>
          <w:highlight w:val="none"/>
          <w:lang w:val="en-US" w:eastAsia="zh-CN"/>
        </w:rPr>
        <w:t>524</w:t>
      </w:r>
      <w:r>
        <w:rPr>
          <w:rFonts w:hint="eastAsia" w:ascii="宋体" w:hAnsi="宋体" w:eastAsia="宋体" w:cs="宋体"/>
          <w:color w:val="auto"/>
          <w:sz w:val="24"/>
          <w:szCs w:val="24"/>
          <w:highlight w:val="none"/>
          <w:lang w:val="en-US" w:eastAsia="zh-CN"/>
        </w:rPr>
        <w:t>个管件的焊口打磨工作。</w:t>
      </w:r>
    </w:p>
    <w:p w14:paraId="7BD1F5EA">
      <w:pPr>
        <w:widowControl/>
        <w:tabs>
          <w:tab w:val="left" w:pos="480"/>
        </w:tabs>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净化车间共计</w:t>
      </w:r>
      <w:r>
        <w:rPr>
          <w:rFonts w:hint="eastAsia" w:ascii="宋体" w:hAnsi="宋体" w:cs="宋体"/>
          <w:color w:val="auto"/>
          <w:sz w:val="24"/>
          <w:szCs w:val="24"/>
          <w:highlight w:val="none"/>
          <w:lang w:val="en-US" w:eastAsia="zh-CN"/>
        </w:rPr>
        <w:t>35</w:t>
      </w:r>
      <w:r>
        <w:rPr>
          <w:rFonts w:hint="eastAsia" w:ascii="宋体" w:hAnsi="宋体" w:eastAsia="宋体" w:cs="宋体"/>
          <w:color w:val="auto"/>
          <w:sz w:val="24"/>
          <w:szCs w:val="24"/>
          <w:highlight w:val="none"/>
          <w:lang w:val="en-US" w:eastAsia="zh-CN"/>
        </w:rPr>
        <w:t>台压力容器、160个焊口、30个管件的焊口打磨工作。</w:t>
      </w:r>
    </w:p>
    <w:p w14:paraId="074083B8">
      <w:pPr>
        <w:keepNext w:val="0"/>
        <w:keepLines w:val="0"/>
        <w:pageBreakBefore w:val="0"/>
        <w:widowControl/>
        <w:tabs>
          <w:tab w:val="left" w:pos="480"/>
        </w:tabs>
        <w:kinsoku/>
        <w:wordWrap/>
        <w:overflowPunct/>
        <w:topLinePunct w:val="0"/>
        <w:autoSpaceDE/>
        <w:autoSpaceDN/>
        <w:bidi w:val="0"/>
        <w:adjustRightInd w:val="0"/>
        <w:snapToGrid/>
        <w:spacing w:line="360" w:lineRule="auto"/>
        <w:ind w:firstLine="480" w:firstLineChars="200"/>
        <w:textAlignment w:val="baseline"/>
        <w:rPr>
          <w:rFonts w:hint="eastAsia" w:ascii="宋体" w:hAnsi="宋体" w:eastAsia="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甲烷化</w:t>
      </w:r>
      <w:r>
        <w:rPr>
          <w:rFonts w:hint="eastAsia" w:ascii="宋体" w:hAnsi="宋体" w:eastAsia="宋体" w:cs="宋体"/>
          <w:b w:val="0"/>
          <w:bCs/>
          <w:color w:val="auto"/>
          <w:sz w:val="24"/>
          <w:szCs w:val="24"/>
          <w:highlight w:val="none"/>
          <w:lang w:val="en-US" w:eastAsia="zh-CN"/>
        </w:rPr>
        <w:t>车间共计</w:t>
      </w:r>
      <w:r>
        <w:rPr>
          <w:rFonts w:hint="eastAsia" w:ascii="宋体" w:hAnsi="宋体" w:cs="宋体"/>
          <w:b w:val="0"/>
          <w:bCs/>
          <w:color w:val="auto"/>
          <w:sz w:val="24"/>
          <w:szCs w:val="24"/>
          <w:highlight w:val="none"/>
          <w:lang w:val="en-US" w:eastAsia="zh-CN"/>
        </w:rPr>
        <w:t>18</w:t>
      </w:r>
      <w:r>
        <w:rPr>
          <w:rFonts w:hint="eastAsia" w:ascii="宋体" w:hAnsi="宋体" w:eastAsia="宋体" w:cs="宋体"/>
          <w:b w:val="0"/>
          <w:bCs/>
          <w:color w:val="auto"/>
          <w:sz w:val="24"/>
          <w:szCs w:val="24"/>
          <w:highlight w:val="none"/>
          <w:lang w:val="en-US" w:eastAsia="zh-CN"/>
        </w:rPr>
        <w:t>台压力容器、1</w:t>
      </w:r>
      <w:r>
        <w:rPr>
          <w:rFonts w:hint="eastAsia" w:ascii="宋体" w:hAnsi="宋体" w:cs="宋体"/>
          <w:b w:val="0"/>
          <w:bCs/>
          <w:color w:val="auto"/>
          <w:sz w:val="24"/>
          <w:szCs w:val="24"/>
          <w:highlight w:val="none"/>
          <w:lang w:val="en-US" w:eastAsia="zh-CN"/>
        </w:rPr>
        <w:t>50</w:t>
      </w:r>
      <w:r>
        <w:rPr>
          <w:rFonts w:hint="eastAsia" w:ascii="宋体" w:hAnsi="宋体" w:eastAsia="宋体" w:cs="宋体"/>
          <w:b w:val="0"/>
          <w:bCs/>
          <w:color w:val="auto"/>
          <w:sz w:val="24"/>
          <w:szCs w:val="24"/>
          <w:highlight w:val="none"/>
          <w:lang w:val="en-US" w:eastAsia="zh-CN"/>
        </w:rPr>
        <w:t>个焊口、</w:t>
      </w:r>
      <w:r>
        <w:rPr>
          <w:rFonts w:hint="eastAsia" w:ascii="宋体" w:hAnsi="宋体" w:cs="宋体"/>
          <w:b w:val="0"/>
          <w:bCs/>
          <w:color w:val="auto"/>
          <w:sz w:val="24"/>
          <w:szCs w:val="24"/>
          <w:highlight w:val="none"/>
          <w:lang w:val="en-US" w:eastAsia="zh-CN"/>
        </w:rPr>
        <w:t>20</w:t>
      </w:r>
      <w:r>
        <w:rPr>
          <w:rFonts w:hint="eastAsia" w:ascii="宋体" w:hAnsi="宋体" w:eastAsia="宋体" w:cs="宋体"/>
          <w:b w:val="0"/>
          <w:bCs/>
          <w:color w:val="auto"/>
          <w:sz w:val="24"/>
          <w:szCs w:val="24"/>
          <w:highlight w:val="none"/>
          <w:lang w:val="en-US" w:eastAsia="zh-CN"/>
        </w:rPr>
        <w:t>个管件的焊口打磨工作。</w:t>
      </w:r>
    </w:p>
    <w:p w14:paraId="39550525">
      <w:pPr>
        <w:widowControl/>
        <w:tabs>
          <w:tab w:val="left" w:pos="480"/>
        </w:tabs>
        <w:spacing w:line="360" w:lineRule="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 xml:space="preserve">.2 </w:t>
      </w:r>
      <w:r>
        <w:rPr>
          <w:rFonts w:hint="eastAsia" w:ascii="宋体" w:hAnsi="宋体" w:cs="宋体"/>
          <w:color w:val="auto"/>
          <w:sz w:val="24"/>
          <w:szCs w:val="24"/>
          <w:highlight w:val="none"/>
          <w:lang w:val="en-US" w:eastAsia="zh-CN"/>
        </w:rPr>
        <w:t>施工要求</w:t>
      </w:r>
    </w:p>
    <w:p w14:paraId="1FFBD234">
      <w:pPr>
        <w:widowControl/>
        <w:tabs>
          <w:tab w:val="left" w:pos="480"/>
        </w:tabs>
        <w:spacing w:line="360" w:lineRule="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.2.1</w:t>
      </w:r>
      <w:r>
        <w:rPr>
          <w:rFonts w:hint="eastAsia" w:ascii="宋体" w:hAnsi="宋体" w:eastAsia="宋体" w:cs="宋体"/>
          <w:color w:val="auto"/>
          <w:sz w:val="24"/>
          <w:szCs w:val="24"/>
          <w:highlight w:val="none"/>
        </w:rPr>
        <w:t>工作主要引用下列标准，但不限于此；当下列标准新版本颁布时，则执行新标准。NB/T47013《承压设备无损检测》</w:t>
      </w:r>
    </w:p>
    <w:p w14:paraId="35064776">
      <w:pPr>
        <w:widowControl/>
        <w:tabs>
          <w:tab w:val="left" w:pos="480"/>
        </w:tabs>
        <w:spacing w:line="360" w:lineRule="auto"/>
        <w:rPr>
          <w:rFonts w:hint="eastAsia" w:ascii="宋体" w:hAnsi="宋体" w:eastAsia="宋体" w:cs="宋体"/>
          <w:color w:val="auto"/>
          <w:sz w:val="24"/>
          <w:szCs w:val="24"/>
          <w:highlight w:val="none"/>
        </w:rPr>
      </w:pPr>
      <w:bookmarkStart w:id="13" w:name="_Toc276134539"/>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 xml:space="preserve">.2.2 </w:t>
      </w:r>
      <w:r>
        <w:rPr>
          <w:rFonts w:hint="eastAsia" w:ascii="宋体" w:hAnsi="宋体" w:eastAsia="宋体" w:cs="宋体"/>
          <w:color w:val="auto"/>
          <w:sz w:val="24"/>
          <w:szCs w:val="24"/>
          <w:highlight w:val="none"/>
        </w:rPr>
        <w:t>探头移动区表面处理：用角向磨光机（使用抛光片，禁止损伤母材）清除探头移动位置表面的焊接飞溅、铁锈、氧化层、油污油</w:t>
      </w:r>
      <w:r>
        <w:rPr>
          <w:rFonts w:hint="eastAsia" w:ascii="宋体" w:hAnsi="宋体" w:eastAsia="宋体" w:cs="宋体"/>
          <w:color w:val="auto"/>
          <w:sz w:val="24"/>
          <w:szCs w:val="24"/>
          <w:highlight w:val="none"/>
          <w:lang w:val="en-US" w:eastAsia="zh-CN"/>
        </w:rPr>
        <w:t>漆</w:t>
      </w:r>
      <w:r>
        <w:rPr>
          <w:rFonts w:hint="eastAsia" w:ascii="宋体" w:hAnsi="宋体" w:eastAsia="宋体" w:cs="宋体"/>
          <w:color w:val="auto"/>
          <w:sz w:val="24"/>
          <w:szCs w:val="24"/>
          <w:highlight w:val="none"/>
        </w:rPr>
        <w:t>等，打磨平整并露出金属光泽，</w:t>
      </w:r>
      <w:r>
        <w:rPr>
          <w:rFonts w:hint="eastAsia" w:ascii="宋体" w:hAnsi="宋体" w:eastAsia="宋体" w:cs="宋体"/>
          <w:color w:val="auto"/>
          <w:sz w:val="24"/>
          <w:szCs w:val="24"/>
          <w:highlight w:val="none"/>
          <w:lang w:val="en-US" w:eastAsia="zh-CN"/>
        </w:rPr>
        <w:t>打磨光洁度Ra≤6.3μm，</w:t>
      </w:r>
      <w:r>
        <w:rPr>
          <w:rFonts w:hint="eastAsia" w:ascii="宋体" w:hAnsi="宋体" w:eastAsia="宋体" w:cs="宋体"/>
          <w:color w:val="auto"/>
          <w:sz w:val="24"/>
          <w:szCs w:val="24"/>
          <w:highlight w:val="none"/>
        </w:rPr>
        <w:t>便于探头的自由扫查，达到超声、相控振检测要求。</w:t>
      </w:r>
    </w:p>
    <w:p w14:paraId="1893E41A">
      <w:pPr>
        <w:widowControl/>
        <w:tabs>
          <w:tab w:val="left" w:pos="480"/>
        </w:tabs>
        <w:spacing w:line="360" w:lineRule="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 xml:space="preserve">.2.3  </w:t>
      </w:r>
      <w:r>
        <w:rPr>
          <w:rFonts w:hint="eastAsia" w:ascii="宋体" w:hAnsi="宋体" w:eastAsia="宋体" w:cs="宋体"/>
          <w:color w:val="auto"/>
          <w:sz w:val="24"/>
          <w:szCs w:val="24"/>
          <w:highlight w:val="none"/>
        </w:rPr>
        <w:t>焊缝表面</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清除表面的焊接飞溅、铁锈、氧化层、油污油</w:t>
      </w:r>
      <w:r>
        <w:rPr>
          <w:rFonts w:hint="eastAsia" w:ascii="宋体" w:hAnsi="宋体" w:eastAsia="宋体" w:cs="宋体"/>
          <w:color w:val="auto"/>
          <w:sz w:val="24"/>
          <w:szCs w:val="24"/>
          <w:highlight w:val="none"/>
          <w:lang w:val="en-US" w:eastAsia="zh-CN"/>
        </w:rPr>
        <w:t>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药皮</w:t>
      </w:r>
      <w:r>
        <w:rPr>
          <w:rFonts w:hint="eastAsia" w:ascii="宋体" w:hAnsi="宋体" w:eastAsia="宋体" w:cs="宋体"/>
          <w:color w:val="auto"/>
          <w:sz w:val="24"/>
          <w:szCs w:val="24"/>
          <w:highlight w:val="none"/>
        </w:rPr>
        <w:t>等，</w:t>
      </w:r>
      <w:r>
        <w:rPr>
          <w:rFonts w:hint="eastAsia" w:ascii="宋体" w:hAnsi="宋体" w:eastAsia="宋体" w:cs="宋体"/>
          <w:color w:val="auto"/>
          <w:sz w:val="24"/>
          <w:szCs w:val="24"/>
          <w:highlight w:val="none"/>
          <w:lang w:val="en-US" w:eastAsia="zh-CN"/>
        </w:rPr>
        <w:t>漏出金属光泽，</w:t>
      </w:r>
      <w:r>
        <w:rPr>
          <w:rFonts w:hint="eastAsia" w:ascii="宋体" w:hAnsi="宋体" w:eastAsia="宋体" w:cs="宋体"/>
          <w:color w:val="auto"/>
          <w:sz w:val="24"/>
          <w:szCs w:val="24"/>
          <w:highlight w:val="none"/>
        </w:rPr>
        <w:t>达到检测要求。</w:t>
      </w:r>
    </w:p>
    <w:p w14:paraId="17499BD3">
      <w:pPr>
        <w:widowControl/>
        <w:tabs>
          <w:tab w:val="left" w:pos="480"/>
        </w:tabs>
        <w:spacing w:line="360" w:lineRule="auto"/>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 xml:space="preserve">.2.4 </w:t>
      </w:r>
      <w:r>
        <w:rPr>
          <w:rFonts w:hint="eastAsia" w:ascii="宋体" w:hAnsi="宋体" w:eastAsia="宋体" w:cs="宋体"/>
          <w:color w:val="auto"/>
          <w:sz w:val="24"/>
          <w:szCs w:val="24"/>
          <w:highlight w:val="none"/>
        </w:rPr>
        <w:t>焊缝两侧打磨区域：</w:t>
      </w:r>
      <w:r>
        <w:rPr>
          <w:rFonts w:hint="eastAsia" w:ascii="宋体" w:hAnsi="宋体" w:eastAsia="宋体" w:cs="宋体"/>
          <w:color w:val="auto"/>
          <w:sz w:val="24"/>
          <w:szCs w:val="24"/>
          <w:highlight w:val="none"/>
          <w:lang w:val="en-US" w:eastAsia="zh-CN"/>
        </w:rPr>
        <w:t>焊缝表面及</w:t>
      </w:r>
      <w:r>
        <w:rPr>
          <w:rFonts w:hint="eastAsia" w:ascii="宋体" w:hAnsi="宋体" w:eastAsia="宋体" w:cs="宋体"/>
          <w:color w:val="auto"/>
          <w:sz w:val="24"/>
          <w:szCs w:val="24"/>
          <w:highlight w:val="none"/>
        </w:rPr>
        <w:t>焊缝两侧各200mm，达到检测要求</w:t>
      </w:r>
      <w:r>
        <w:rPr>
          <w:rFonts w:hint="eastAsia" w:ascii="宋体" w:hAnsi="宋体" w:eastAsia="宋体" w:cs="宋体"/>
          <w:color w:val="auto"/>
          <w:sz w:val="24"/>
          <w:szCs w:val="24"/>
          <w:highlight w:val="none"/>
          <w:lang w:eastAsia="zh-CN"/>
        </w:rPr>
        <w:t>。</w:t>
      </w:r>
    </w:p>
    <w:bookmarkEnd w:id="13"/>
    <w:p w14:paraId="1689AC5B">
      <w:pPr>
        <w:pStyle w:val="2"/>
        <w:keepNext/>
        <w:keepLines/>
        <w:pageBreakBefore w:val="0"/>
        <w:widowControl w:val="0"/>
        <w:kinsoku w:val="0"/>
        <w:wordWrap/>
        <w:overflowPunct/>
        <w:topLinePunct w:val="0"/>
        <w:autoSpaceDE/>
        <w:autoSpaceDN/>
        <w:bidi w:val="0"/>
        <w:adjustRightInd w:val="0"/>
        <w:snapToGrid w:val="0"/>
        <w:spacing w:before="100" w:after="100" w:line="360" w:lineRule="auto"/>
        <w:jc w:val="left"/>
        <w:textAlignment w:val="auto"/>
        <w:rPr>
          <w:rFonts w:hint="eastAsia" w:ascii="宋体" w:hAnsi="宋体" w:eastAsia="宋体" w:cs="宋体"/>
          <w:color w:val="auto"/>
          <w:sz w:val="24"/>
          <w:szCs w:val="24"/>
          <w:highlight w:val="none"/>
        </w:rPr>
      </w:pPr>
      <w:bookmarkStart w:id="14" w:name="_Toc17688"/>
      <w:bookmarkStart w:id="15" w:name="_Toc25115"/>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lang w:val="en-US" w:eastAsia="zh-CN"/>
        </w:rPr>
        <w:t xml:space="preserve"> 投标方应达到的目标</w:t>
      </w:r>
      <w:bookmarkEnd w:id="14"/>
      <w:bookmarkEnd w:id="15"/>
    </w:p>
    <w:p w14:paraId="52CB336F">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lang w:val="en-US" w:eastAsia="zh-CN"/>
        </w:rPr>
        <w:t>.1安全性指标</w:t>
      </w:r>
    </w:p>
    <w:p w14:paraId="60A2F31D">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（1）不发生本项目部员工轻伤以上、急性中毒等各类人身事故。</w:t>
      </w:r>
    </w:p>
    <w:p w14:paraId="7F3AD39B">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（2）不发生外包人员轻伤以上、急性中毒等各类人身事故。</w:t>
      </w:r>
    </w:p>
    <w:p w14:paraId="033A7E7B">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（3）不发生负主责以上有人员受伤构成的交通事故。</w:t>
      </w:r>
    </w:p>
    <w:p w14:paraId="4ECC0BB7">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（4）不发生本项目部责任造成的火险事件。</w:t>
      </w:r>
    </w:p>
    <w:p w14:paraId="2D025D97">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（5）设备考核障碍及可靠性指标控制在以下范围（指非人为原因造成）：不发生考核障碍、一类障碍、二类障碍。</w:t>
      </w:r>
    </w:p>
    <w:p w14:paraId="3C4AEA8D">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（6）不发生误操作事件。</w:t>
      </w:r>
    </w:p>
    <w:p w14:paraId="6356BE79">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lang w:val="en-US" w:eastAsia="zh-CN"/>
        </w:rPr>
        <w:t>.2 环保指标：</w:t>
      </w:r>
    </w:p>
    <w:p w14:paraId="1BB35627">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（1）不发生一般以上环境污染事件。</w:t>
      </w:r>
    </w:p>
    <w:p w14:paraId="4355BBF1">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（2）不发生本项目部责任造成的“三废”排放超标事件。</w:t>
      </w:r>
    </w:p>
    <w:p w14:paraId="0A3511E2">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（3）不发生本项目部责任造成的危废处置不合规、不合法事件。</w:t>
      </w:r>
    </w:p>
    <w:p w14:paraId="2FEC150B">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（4）不发生本项目部责任造成的公司被上级单位、政府部门通报批评罚款的环保事件。</w:t>
      </w:r>
    </w:p>
    <w:p w14:paraId="1BDC6D26">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lang w:val="en-US" w:eastAsia="zh-CN"/>
        </w:rPr>
        <w:t>.3不发生造成后果的危险化学品泄漏事件。</w:t>
      </w:r>
    </w:p>
    <w:p w14:paraId="6F3671A8">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lang w:val="en-US" w:eastAsia="zh-CN"/>
        </w:rPr>
        <w:t>.4 职业卫生：</w:t>
      </w:r>
    </w:p>
    <w:p w14:paraId="36661D95">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（1）不发生新增职业病病例。</w:t>
      </w:r>
    </w:p>
    <w:p w14:paraId="0AA04381">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（2）职业病危害年度体检率100%。</w:t>
      </w:r>
    </w:p>
    <w:p w14:paraId="33AC17EA">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lang w:val="en-US" w:eastAsia="zh-CN"/>
        </w:rPr>
        <w:t>.5 不发生本项目部责任造成的公司被上级单位及政府部门下发的安全环保挂牌督办通知书、安全生产督（稽）查通知书要求整改的问题未及时整改的情况和上级单位及政府部门通报批评的事件。</w:t>
      </w:r>
    </w:p>
    <w:p w14:paraId="0B14068E">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lang w:val="en-US" w:eastAsia="zh-CN"/>
        </w:rPr>
        <w:t>.6 治安保卫：</w:t>
      </w:r>
    </w:p>
    <w:p w14:paraId="272F49F9">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（1）不发生本项目部责任造成的生产物资被盗抢案件。</w:t>
      </w:r>
    </w:p>
    <w:p w14:paraId="6BF2BA5D">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（2）不发生危险物品（包括易制毒、放射品）被盗、丢失或被非法转让案件。</w:t>
      </w:r>
    </w:p>
    <w:p w14:paraId="0DEDA975">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（3）公司区域内不发生有本项目部人员参与的群殴、群架事件。</w:t>
      </w:r>
    </w:p>
    <w:p w14:paraId="08BD8FFC">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lang w:val="en-US" w:eastAsia="zh-CN"/>
        </w:rPr>
        <w:t>.7 其他指标：</w:t>
      </w:r>
    </w:p>
    <w:p w14:paraId="6C041CC9">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（1）隐患整改率不低于95%。</w:t>
      </w:r>
    </w:p>
    <w:p w14:paraId="15283F84">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（2）不发生本项目部员工个人负主责的其他不安全事件。</w:t>
      </w:r>
    </w:p>
    <w:p w14:paraId="7E029B35">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（3）员工三级安全培训率100%。</w:t>
      </w:r>
    </w:p>
    <w:p w14:paraId="00A8E0C5">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(4) 特种作业人员持证上岗率100%。</w:t>
      </w:r>
    </w:p>
    <w:p w14:paraId="603C7DD9">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lang w:val="en-US" w:eastAsia="zh-CN"/>
        </w:rPr>
        <w:t>.</w:t>
      </w: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 xml:space="preserve"> 环保指标</w:t>
      </w:r>
    </w:p>
    <w:p w14:paraId="569C96C2">
      <w:pPr>
        <w:snapToGrid w:val="0"/>
        <w:spacing w:line="360" w:lineRule="auto"/>
        <w:ind w:firstLine="480" w:firstLineChars="200"/>
        <w:jc w:val="left"/>
        <w:rPr>
          <w:rStyle w:val="46"/>
          <w:rFonts w:hint="eastAsia" w:ascii="宋体" w:hAnsi="宋体" w:eastAsia="宋体" w:cs="宋体"/>
          <w:bCs/>
          <w:color w:val="auto"/>
          <w:sz w:val="24"/>
          <w:szCs w:val="24"/>
          <w:highlight w:val="none"/>
        </w:rPr>
      </w:pPr>
      <w:r>
        <w:rPr>
          <w:rStyle w:val="46"/>
          <w:rFonts w:hint="eastAsia" w:ascii="宋体" w:hAnsi="宋体" w:eastAsia="宋体" w:cs="宋体"/>
          <w:bCs/>
          <w:color w:val="auto"/>
          <w:sz w:val="24"/>
          <w:szCs w:val="24"/>
          <w:highlight w:val="none"/>
        </w:rPr>
        <w:t>现场作业过程要符合国家有关环保管理标准、技术规范及公司环保管理制度。</w:t>
      </w:r>
    </w:p>
    <w:p w14:paraId="480DA31F">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lang w:val="en-US" w:eastAsia="zh-CN"/>
        </w:rPr>
        <w:t>.11 生产管理目标:</w:t>
      </w:r>
    </w:p>
    <w:p w14:paraId="706619FB">
      <w:pPr>
        <w:snapToGrid w:val="0"/>
        <w:spacing w:line="360" w:lineRule="auto"/>
        <w:ind w:firstLine="240" w:firstLineChars="100"/>
        <w:jc w:val="left"/>
        <w:rPr>
          <w:rStyle w:val="46"/>
          <w:rFonts w:hint="eastAsia" w:ascii="宋体" w:hAnsi="宋体" w:eastAsia="宋体" w:cs="宋体"/>
          <w:bCs/>
          <w:color w:val="auto"/>
          <w:sz w:val="24"/>
          <w:szCs w:val="24"/>
          <w:highlight w:val="none"/>
        </w:rPr>
      </w:pPr>
      <w:r>
        <w:rPr>
          <w:rStyle w:val="46"/>
          <w:rFonts w:hint="eastAsia" w:ascii="宋体" w:hAnsi="宋体" w:eastAsia="宋体" w:cs="宋体"/>
          <w:bCs/>
          <w:color w:val="auto"/>
          <w:sz w:val="24"/>
          <w:szCs w:val="24"/>
          <w:highlight w:val="none"/>
        </w:rPr>
        <w:t>（</w:t>
      </w:r>
      <w:r>
        <w:rPr>
          <w:rStyle w:val="46"/>
          <w:rFonts w:hint="eastAsia" w:ascii="宋体" w:hAnsi="宋体" w:cs="宋体"/>
          <w:bCs/>
          <w:color w:val="auto"/>
          <w:sz w:val="24"/>
          <w:szCs w:val="24"/>
          <w:highlight w:val="none"/>
          <w:lang w:val="en-US" w:eastAsia="zh-CN"/>
        </w:rPr>
        <w:t>1</w:t>
      </w:r>
      <w:r>
        <w:rPr>
          <w:rStyle w:val="46"/>
          <w:rFonts w:hint="eastAsia" w:ascii="宋体" w:hAnsi="宋体" w:eastAsia="宋体" w:cs="宋体"/>
          <w:bCs/>
          <w:color w:val="auto"/>
          <w:sz w:val="24"/>
          <w:szCs w:val="24"/>
          <w:highlight w:val="none"/>
        </w:rPr>
        <w:t>）设备</w:t>
      </w:r>
      <w:r>
        <w:rPr>
          <w:rStyle w:val="46"/>
          <w:rFonts w:hint="eastAsia" w:ascii="宋体" w:hAnsi="宋体" w:cs="宋体"/>
          <w:bCs/>
          <w:color w:val="auto"/>
          <w:sz w:val="24"/>
          <w:szCs w:val="24"/>
          <w:highlight w:val="none"/>
          <w:lang w:val="en-US" w:eastAsia="zh-CN"/>
        </w:rPr>
        <w:t>管道打磨点位</w:t>
      </w:r>
      <w:r>
        <w:rPr>
          <w:rStyle w:val="46"/>
          <w:rFonts w:hint="eastAsia" w:ascii="宋体" w:hAnsi="宋体" w:eastAsia="宋体" w:cs="宋体"/>
          <w:bCs/>
          <w:color w:val="auto"/>
          <w:sz w:val="24"/>
          <w:szCs w:val="24"/>
          <w:highlight w:val="none"/>
        </w:rPr>
        <w:t>遗漏率为0%。</w:t>
      </w:r>
    </w:p>
    <w:p w14:paraId="6E79F08B">
      <w:pPr>
        <w:keepNext w:val="0"/>
        <w:keepLines w:val="0"/>
        <w:pageBreakBefore w:val="0"/>
        <w:widowControl w:val="0"/>
        <w:kinsoku w:val="0"/>
        <w:wordWrap/>
        <w:overflowPunct/>
        <w:topLinePunct w:val="0"/>
        <w:autoSpaceDE/>
        <w:autoSpaceDN/>
        <w:bidi w:val="0"/>
        <w:adjustRightInd w:val="0"/>
        <w:snapToGrid/>
        <w:spacing w:line="360" w:lineRule="auto"/>
        <w:ind w:firstLine="240" w:firstLineChars="1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）票证合格率100%</w:t>
      </w:r>
      <w:r>
        <w:rPr>
          <w:rFonts w:hint="eastAsia" w:ascii="宋体" w:hAnsi="宋体" w:eastAsia="宋体" w:cs="宋体"/>
          <w:color w:val="auto"/>
          <w:sz w:val="24"/>
          <w:szCs w:val="24"/>
          <w:highlight w:val="none"/>
          <w:lang w:eastAsia="zh-CN"/>
        </w:rPr>
        <w:t>。</w:t>
      </w:r>
    </w:p>
    <w:p w14:paraId="0F5740B5">
      <w:pPr>
        <w:pStyle w:val="2"/>
        <w:keepNext/>
        <w:keepLines/>
        <w:pageBreakBefore w:val="0"/>
        <w:widowControl w:val="0"/>
        <w:kinsoku w:val="0"/>
        <w:wordWrap/>
        <w:overflowPunct/>
        <w:topLinePunct w:val="0"/>
        <w:autoSpaceDE/>
        <w:autoSpaceDN/>
        <w:bidi w:val="0"/>
        <w:adjustRightInd w:val="0"/>
        <w:snapToGrid w:val="0"/>
        <w:spacing w:before="100" w:after="100" w:line="360" w:lineRule="auto"/>
        <w:jc w:val="left"/>
        <w:textAlignment w:val="auto"/>
        <w:rPr>
          <w:rFonts w:hint="eastAsia" w:ascii="宋体" w:hAnsi="宋体" w:eastAsia="宋体" w:cs="宋体"/>
          <w:color w:val="auto"/>
          <w:sz w:val="24"/>
          <w:szCs w:val="24"/>
          <w:highlight w:val="none"/>
        </w:rPr>
      </w:pPr>
      <w:bookmarkStart w:id="16" w:name="_Toc18806"/>
      <w:bookmarkStart w:id="17" w:name="_Toc4596"/>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rPr>
        <w:t xml:space="preserve"> 资质</w:t>
      </w:r>
      <w:r>
        <w:rPr>
          <w:rFonts w:hint="eastAsia" w:ascii="宋体" w:hAnsi="宋体" w:eastAsia="宋体" w:cs="宋体"/>
          <w:color w:val="auto"/>
          <w:sz w:val="24"/>
          <w:szCs w:val="24"/>
          <w:highlight w:val="none"/>
          <w:lang w:val="en-US" w:eastAsia="zh-CN"/>
        </w:rPr>
        <w:t>条件</w:t>
      </w:r>
      <w:r>
        <w:rPr>
          <w:rFonts w:hint="eastAsia" w:ascii="宋体" w:hAnsi="宋体" w:eastAsia="宋体" w:cs="宋体"/>
          <w:color w:val="auto"/>
          <w:sz w:val="24"/>
          <w:szCs w:val="24"/>
          <w:highlight w:val="none"/>
        </w:rPr>
        <w:t>及人员要求</w:t>
      </w:r>
      <w:bookmarkEnd w:id="16"/>
      <w:bookmarkEnd w:id="17"/>
    </w:p>
    <w:p w14:paraId="200CB1A6">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投标方必须是在中华人民共和国境内依法注册、具有独立法人资格、具有履行合同所必需的财务、技术及相关服务等能力，且是浙能集团的合格供应商。</w:t>
      </w:r>
    </w:p>
    <w:p w14:paraId="3A8DEDFA">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 xml:space="preserve">2 </w:t>
      </w:r>
      <w:r>
        <w:rPr>
          <w:rFonts w:hint="eastAsia" w:ascii="宋体" w:hAnsi="宋体" w:eastAsia="宋体" w:cs="宋体"/>
          <w:color w:val="auto"/>
          <w:sz w:val="24"/>
          <w:szCs w:val="24"/>
          <w:highlight w:val="none"/>
        </w:rPr>
        <w:t>参与项目的人员必须身体健康，具有从事</w:t>
      </w:r>
      <w:r>
        <w:rPr>
          <w:rFonts w:hint="eastAsia" w:ascii="宋体" w:hAnsi="宋体" w:eastAsia="宋体" w:cs="宋体"/>
          <w:color w:val="auto"/>
          <w:sz w:val="24"/>
          <w:szCs w:val="24"/>
          <w:highlight w:val="none"/>
          <w:lang w:val="en-US" w:eastAsia="zh-CN"/>
        </w:rPr>
        <w:t>化工设备</w:t>
      </w:r>
      <w:r>
        <w:rPr>
          <w:rFonts w:hint="eastAsia" w:ascii="宋体" w:hAnsi="宋体" w:eastAsia="宋体" w:cs="宋体"/>
          <w:color w:val="auto"/>
          <w:sz w:val="24"/>
          <w:szCs w:val="24"/>
          <w:highlight w:val="none"/>
        </w:rPr>
        <w:t xml:space="preserve">检修或安装工作经验3年以上。 </w:t>
      </w:r>
    </w:p>
    <w:p w14:paraId="6C93420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rPr>
      </w:pP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 参加项目的主要专业技术人员应不少于总人数的10%，其配备需经招标人认可，主要技术人员从事化工设备检修或安装工作至少5年以上，并具有石化或化工大修类似设备的检修或安装经验。本项目所有参修人员需经过招标面试，合格后方可上岗作业。</w:t>
      </w:r>
    </w:p>
    <w:p w14:paraId="05072624">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 xml:space="preserve">4 </w:t>
      </w:r>
      <w:r>
        <w:rPr>
          <w:rFonts w:hint="eastAsia" w:ascii="宋体" w:hAnsi="宋体" w:eastAsia="宋体" w:cs="宋体"/>
          <w:color w:val="auto"/>
          <w:sz w:val="24"/>
          <w:szCs w:val="24"/>
          <w:highlight w:val="none"/>
        </w:rPr>
        <w:t>从事特种作业（特种设备作业）的人员至少应有该工种实际操作经验3年以上，并必须持有经相关部门核发的有效证书，且从事特种作业的人员技术数量必须达到能保证24小时连续作业的要求。</w:t>
      </w:r>
    </w:p>
    <w:p w14:paraId="17BFAF1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lang w:val="en-US" w:eastAsia="zh-CN"/>
        </w:rPr>
        <w:t xml:space="preserve">.6 </w:t>
      </w:r>
      <w:r>
        <w:rPr>
          <w:rFonts w:hint="eastAsia" w:ascii="宋体" w:hAnsi="宋体" w:eastAsia="宋体" w:cs="宋体"/>
          <w:color w:val="auto"/>
          <w:sz w:val="24"/>
          <w:szCs w:val="24"/>
          <w:highlight w:val="none"/>
        </w:rPr>
        <w:t>需要进行高处作业的作业人员，需持有特种作业操作证（高处作业），且在有效期。</w:t>
      </w:r>
    </w:p>
    <w:p w14:paraId="40B3A3C7">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 xml:space="preserve">严禁使用未成年人和不适应现场安全施工要求的老、弱、病、残人员。 </w:t>
      </w:r>
    </w:p>
    <w:p w14:paraId="01AB0F5B">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 xml:space="preserve"> 投标人应严格按照合同、技术规范的要求进行试验和检验。</w:t>
      </w:r>
    </w:p>
    <w:p w14:paraId="7FEDFCB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 xml:space="preserve"> 投标人应制定详细的作业方案和计划，并在施工前发给招标人审核。</w:t>
      </w:r>
    </w:p>
    <w:p w14:paraId="40D15527">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lang w:val="en-US" w:eastAsia="zh-CN"/>
        </w:rPr>
        <w:t>.11</w:t>
      </w:r>
      <w:r>
        <w:rPr>
          <w:rFonts w:hint="eastAsia" w:ascii="宋体" w:hAnsi="宋体" w:eastAsia="宋体" w:cs="宋体"/>
          <w:color w:val="auto"/>
          <w:sz w:val="24"/>
          <w:szCs w:val="24"/>
          <w:highlight w:val="none"/>
        </w:rPr>
        <w:t xml:space="preserve"> 投标人有专人负责本合同的施工质量，由专人负责有关质量证明的签发和管理。</w:t>
      </w:r>
    </w:p>
    <w:p w14:paraId="73C9C0A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 xml:space="preserve"> 投标人应接受招标人以及招标人委托第三方检验机构的检验，任何因质量检验不合格而造成</w:t>
      </w:r>
      <w:r>
        <w:rPr>
          <w:rFonts w:hint="eastAsia" w:ascii="宋体" w:hAnsi="宋体" w:eastAsia="宋体" w:cs="宋体"/>
          <w:color w:val="auto"/>
          <w:sz w:val="24"/>
          <w:szCs w:val="24"/>
          <w:highlight w:val="none"/>
          <w:lang w:eastAsia="zh-CN"/>
        </w:rPr>
        <w:t>项目</w:t>
      </w:r>
      <w:r>
        <w:rPr>
          <w:rFonts w:hint="eastAsia" w:ascii="宋体" w:hAnsi="宋体" w:eastAsia="宋体" w:cs="宋体"/>
          <w:color w:val="auto"/>
          <w:sz w:val="24"/>
          <w:szCs w:val="24"/>
          <w:highlight w:val="none"/>
        </w:rPr>
        <w:t>进度的拖延，一切责任均由投标人负责。</w:t>
      </w:r>
    </w:p>
    <w:p w14:paraId="1E6797BC">
      <w:pPr>
        <w:snapToGrid w:val="0"/>
        <w:spacing w:line="360" w:lineRule="auto"/>
        <w:jc w:val="left"/>
        <w:rPr>
          <w:rStyle w:val="46"/>
          <w:rFonts w:hint="eastAsia" w:ascii="宋体" w:hAnsi="宋体" w:eastAsia="宋体" w:cs="宋体"/>
          <w:bCs/>
          <w:color w:val="auto"/>
          <w:sz w:val="24"/>
          <w:szCs w:val="24"/>
          <w:highlight w:val="none"/>
          <w:lang w:val="en-US" w:eastAsia="zh-CN"/>
        </w:rPr>
      </w:pPr>
      <w:r>
        <w:rPr>
          <w:rStyle w:val="46"/>
          <w:rFonts w:hint="eastAsia" w:ascii="宋体" w:hAnsi="宋体" w:cs="宋体"/>
          <w:bCs/>
          <w:color w:val="auto"/>
          <w:sz w:val="24"/>
          <w:szCs w:val="24"/>
          <w:highlight w:val="none"/>
          <w:lang w:val="en-US" w:eastAsia="zh-CN"/>
        </w:rPr>
        <w:t>7</w:t>
      </w:r>
      <w:r>
        <w:rPr>
          <w:rStyle w:val="46"/>
          <w:rFonts w:hint="eastAsia" w:ascii="宋体" w:hAnsi="宋体" w:eastAsia="宋体" w:cs="宋体"/>
          <w:bCs/>
          <w:color w:val="auto"/>
          <w:sz w:val="24"/>
          <w:szCs w:val="24"/>
          <w:highlight w:val="none"/>
          <w:lang w:val="en-US" w:eastAsia="zh-CN"/>
        </w:rPr>
        <w:t>.13 投标方检修人员的配备应在经招标方考核（笔试、面试）合格后方能上岗，且投标方的人员必须固定，并能长期住在现场，投标方在现场的维护管理和技术人员名单应与合同确定的名单相符，任何情况下的人员变动都应提前通知招标方，并需征得招标方的同意。并将人员变动情况书面抄报招标方项目责任部门、现场监管部门。</w:t>
      </w:r>
    </w:p>
    <w:p w14:paraId="5E9B3CDC">
      <w:pPr>
        <w:snapToGrid w:val="0"/>
        <w:spacing w:line="360" w:lineRule="auto"/>
        <w:jc w:val="left"/>
        <w:rPr>
          <w:rStyle w:val="46"/>
          <w:rFonts w:hint="eastAsia" w:ascii="宋体" w:hAnsi="宋体" w:eastAsia="宋体" w:cs="宋体"/>
          <w:bCs/>
          <w:color w:val="auto"/>
          <w:sz w:val="24"/>
          <w:szCs w:val="24"/>
          <w:highlight w:val="none"/>
          <w:lang w:val="en-US" w:eastAsia="zh-CN"/>
        </w:rPr>
      </w:pPr>
      <w:r>
        <w:rPr>
          <w:rStyle w:val="46"/>
          <w:rFonts w:hint="eastAsia" w:ascii="宋体" w:hAnsi="宋体" w:cs="宋体"/>
          <w:bCs/>
          <w:color w:val="auto"/>
          <w:sz w:val="24"/>
          <w:szCs w:val="24"/>
          <w:highlight w:val="none"/>
          <w:lang w:val="en-US" w:eastAsia="zh-CN"/>
        </w:rPr>
        <w:t>7</w:t>
      </w:r>
      <w:r>
        <w:rPr>
          <w:rStyle w:val="46"/>
          <w:rFonts w:hint="eastAsia" w:ascii="宋体" w:hAnsi="宋体" w:eastAsia="宋体" w:cs="宋体"/>
          <w:bCs/>
          <w:color w:val="auto"/>
          <w:sz w:val="24"/>
          <w:szCs w:val="24"/>
          <w:highlight w:val="none"/>
          <w:lang w:val="en-US" w:eastAsia="zh-CN"/>
        </w:rPr>
        <w:t>.14 投标方人员休假原则上由投标方自行安排，但投标方主要技术人员（班组长、安全员）离开招标方现场三天及以上的，必须到招标方归口管理部门办理书面请假手续。</w:t>
      </w:r>
    </w:p>
    <w:p w14:paraId="7873C17D">
      <w:pPr>
        <w:snapToGrid w:val="0"/>
        <w:spacing w:line="360" w:lineRule="auto"/>
        <w:jc w:val="left"/>
        <w:rPr>
          <w:rStyle w:val="46"/>
          <w:rFonts w:hint="eastAsia" w:ascii="宋体" w:hAnsi="宋体" w:eastAsia="宋体" w:cs="宋体"/>
          <w:bCs/>
          <w:color w:val="auto"/>
          <w:sz w:val="24"/>
          <w:szCs w:val="24"/>
          <w:highlight w:val="none"/>
          <w:lang w:val="en-US" w:eastAsia="zh-CN"/>
        </w:rPr>
      </w:pPr>
      <w:r>
        <w:rPr>
          <w:rStyle w:val="46"/>
          <w:rFonts w:hint="eastAsia" w:ascii="宋体" w:hAnsi="宋体" w:cs="宋体"/>
          <w:bCs/>
          <w:color w:val="auto"/>
          <w:sz w:val="24"/>
          <w:szCs w:val="24"/>
          <w:highlight w:val="none"/>
          <w:lang w:val="en-US" w:eastAsia="zh-CN"/>
        </w:rPr>
        <w:t>7</w:t>
      </w:r>
      <w:r>
        <w:rPr>
          <w:rStyle w:val="46"/>
          <w:rFonts w:hint="eastAsia" w:ascii="宋体" w:hAnsi="宋体" w:eastAsia="宋体" w:cs="宋体"/>
          <w:bCs/>
          <w:color w:val="auto"/>
          <w:sz w:val="24"/>
          <w:szCs w:val="24"/>
          <w:highlight w:val="none"/>
          <w:lang w:val="en-US" w:eastAsia="zh-CN"/>
        </w:rPr>
        <w:t>.15 最低</w:t>
      </w:r>
      <w:r>
        <w:rPr>
          <w:rStyle w:val="46"/>
          <w:rFonts w:hint="eastAsia" w:ascii="宋体" w:hAnsi="宋体" w:eastAsia="宋体" w:cs="宋体"/>
          <w:bCs/>
          <w:color w:val="auto"/>
          <w:sz w:val="24"/>
          <w:szCs w:val="24"/>
          <w:highlight w:val="none"/>
        </w:rPr>
        <w:t>人员配置</w:t>
      </w:r>
      <w:r>
        <w:rPr>
          <w:rStyle w:val="46"/>
          <w:rFonts w:hint="eastAsia" w:ascii="宋体" w:hAnsi="宋体" w:eastAsia="宋体" w:cs="宋体"/>
          <w:bCs/>
          <w:color w:val="auto"/>
          <w:sz w:val="24"/>
          <w:szCs w:val="24"/>
          <w:highlight w:val="none"/>
          <w:lang w:eastAsia="zh-CN"/>
        </w:rPr>
        <w:t>：</w:t>
      </w:r>
      <w:r>
        <w:rPr>
          <w:rStyle w:val="46"/>
          <w:rFonts w:hint="eastAsia" w:ascii="宋体" w:hAnsi="宋体" w:eastAsia="宋体" w:cs="宋体"/>
          <w:bCs/>
          <w:color w:val="auto"/>
          <w:sz w:val="24"/>
          <w:szCs w:val="24"/>
          <w:highlight w:val="none"/>
        </w:rPr>
        <w:t>本次投标方人员配置为：</w:t>
      </w:r>
      <w:r>
        <w:rPr>
          <w:rStyle w:val="46"/>
          <w:rFonts w:hint="eastAsia" w:ascii="宋体" w:hAnsi="宋体" w:eastAsia="宋体" w:cs="宋体"/>
          <w:bCs/>
          <w:color w:val="auto"/>
          <w:sz w:val="24"/>
          <w:szCs w:val="24"/>
          <w:highlight w:val="none"/>
          <w:lang w:val="en-US" w:eastAsia="zh-CN"/>
        </w:rPr>
        <w:t>不少于</w:t>
      </w:r>
      <w:r>
        <w:rPr>
          <w:rStyle w:val="46"/>
          <w:rFonts w:hint="eastAsia" w:ascii="宋体" w:hAnsi="宋体" w:cs="宋体"/>
          <w:bCs/>
          <w:color w:val="auto"/>
          <w:sz w:val="24"/>
          <w:szCs w:val="24"/>
          <w:highlight w:val="none"/>
          <w:lang w:val="en-US" w:eastAsia="zh-CN"/>
        </w:rPr>
        <w:t>6</w:t>
      </w:r>
      <w:r>
        <w:rPr>
          <w:rStyle w:val="46"/>
          <w:rFonts w:hint="eastAsia" w:ascii="宋体" w:hAnsi="宋体" w:eastAsia="宋体" w:cs="宋体"/>
          <w:bCs/>
          <w:color w:val="auto"/>
          <w:sz w:val="24"/>
          <w:szCs w:val="24"/>
          <w:highlight w:val="none"/>
          <w:lang w:val="en-US" w:eastAsia="zh-CN"/>
        </w:rPr>
        <w:t>8</w:t>
      </w:r>
      <w:r>
        <w:rPr>
          <w:rStyle w:val="46"/>
          <w:rFonts w:hint="eastAsia" w:ascii="宋体" w:hAnsi="宋体" w:eastAsia="宋体" w:cs="宋体"/>
          <w:bCs/>
          <w:color w:val="auto"/>
          <w:sz w:val="24"/>
          <w:szCs w:val="24"/>
          <w:highlight w:val="none"/>
        </w:rPr>
        <w:t>人。具体配置及人员要求</w:t>
      </w:r>
      <w:r>
        <w:rPr>
          <w:rStyle w:val="46"/>
          <w:rFonts w:hint="eastAsia" w:ascii="宋体" w:hAnsi="宋体" w:eastAsia="宋体" w:cs="宋体"/>
          <w:bCs/>
          <w:color w:val="auto"/>
          <w:sz w:val="24"/>
          <w:szCs w:val="24"/>
          <w:highlight w:val="none"/>
          <w:lang w:eastAsia="zh-CN"/>
        </w:rPr>
        <w:t>。</w:t>
      </w:r>
    </w:p>
    <w:tbl>
      <w:tblPr>
        <w:tblStyle w:val="19"/>
        <w:tblW w:w="9369" w:type="dxa"/>
        <w:tblInd w:w="96" w:type="dxa"/>
        <w:tblLayout w:type="fixed"/>
        <w:tblCellMar>
          <w:top w:w="0" w:type="dxa"/>
          <w:left w:w="108" w:type="dxa"/>
          <w:bottom w:w="0" w:type="dxa"/>
          <w:right w:w="108" w:type="dxa"/>
        </w:tblCellMar>
      </w:tblPr>
      <w:tblGrid>
        <w:gridCol w:w="941"/>
        <w:gridCol w:w="1265"/>
        <w:gridCol w:w="729"/>
        <w:gridCol w:w="5534"/>
        <w:gridCol w:w="900"/>
      </w:tblGrid>
      <w:tr w14:paraId="0EB5B4A3">
        <w:tblPrEx>
          <w:tblCellMar>
            <w:top w:w="0" w:type="dxa"/>
            <w:left w:w="108" w:type="dxa"/>
            <w:bottom w:w="0" w:type="dxa"/>
            <w:right w:w="108" w:type="dxa"/>
          </w:tblCellMar>
        </w:tblPrEx>
        <w:trPr>
          <w:trHeight w:val="780" w:hRule="atLeast"/>
        </w:trPr>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D66FA4">
            <w:pPr>
              <w:jc w:val="center"/>
              <w:rPr>
                <w:rFonts w:hint="eastAsia" w:ascii="宋体" w:hAnsi="宋体" w:eastAsia="宋体" w:cs="宋体"/>
                <w:b/>
                <w:bCs/>
                <w:color w:val="auto"/>
                <w:kern w:val="0"/>
                <w:sz w:val="24"/>
                <w:szCs w:val="24"/>
                <w:highlight w:val="none"/>
                <w:lang w:bidi="ar"/>
              </w:rPr>
            </w:pPr>
            <w:r>
              <w:rPr>
                <w:rFonts w:hint="eastAsia" w:ascii="宋体" w:hAnsi="宋体" w:eastAsia="宋体" w:cs="宋体"/>
                <w:b/>
                <w:bCs/>
                <w:color w:val="auto"/>
                <w:kern w:val="0"/>
                <w:sz w:val="24"/>
                <w:szCs w:val="24"/>
                <w:highlight w:val="none"/>
                <w:lang w:bidi="ar"/>
              </w:rPr>
              <w:t>班组</w:t>
            </w:r>
          </w:p>
        </w:tc>
        <w:tc>
          <w:tcPr>
            <w:tcW w:w="126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579923">
            <w:pPr>
              <w:jc w:val="center"/>
              <w:rPr>
                <w:rFonts w:hint="eastAsia" w:ascii="宋体" w:hAnsi="宋体" w:eastAsia="宋体" w:cs="宋体"/>
                <w:b/>
                <w:bCs/>
                <w:color w:val="auto"/>
                <w:kern w:val="0"/>
                <w:sz w:val="24"/>
                <w:szCs w:val="24"/>
                <w:highlight w:val="none"/>
                <w:lang w:bidi="ar"/>
              </w:rPr>
            </w:pPr>
            <w:r>
              <w:rPr>
                <w:rFonts w:hint="eastAsia" w:ascii="宋体" w:hAnsi="宋体" w:eastAsia="宋体" w:cs="宋体"/>
                <w:b/>
                <w:bCs/>
                <w:color w:val="auto"/>
                <w:kern w:val="0"/>
                <w:sz w:val="24"/>
                <w:szCs w:val="24"/>
                <w:highlight w:val="none"/>
                <w:lang w:bidi="ar"/>
              </w:rPr>
              <w:t>岗位/工种</w:t>
            </w:r>
          </w:p>
        </w:tc>
        <w:tc>
          <w:tcPr>
            <w:tcW w:w="72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C7A21A">
            <w:pPr>
              <w:jc w:val="center"/>
              <w:rPr>
                <w:rFonts w:hint="eastAsia" w:ascii="宋体" w:hAnsi="宋体" w:eastAsia="宋体" w:cs="宋体"/>
                <w:b/>
                <w:bCs/>
                <w:color w:val="auto"/>
                <w:kern w:val="0"/>
                <w:sz w:val="24"/>
                <w:szCs w:val="24"/>
                <w:highlight w:val="none"/>
                <w:lang w:bidi="ar"/>
              </w:rPr>
            </w:pPr>
            <w:r>
              <w:rPr>
                <w:rFonts w:hint="eastAsia" w:ascii="宋体" w:hAnsi="宋体" w:eastAsia="宋体" w:cs="宋体"/>
                <w:b/>
                <w:bCs/>
                <w:color w:val="auto"/>
                <w:kern w:val="0"/>
                <w:sz w:val="24"/>
                <w:szCs w:val="24"/>
                <w:highlight w:val="none"/>
                <w:lang w:bidi="ar"/>
              </w:rPr>
              <w:t>人数</w:t>
            </w:r>
          </w:p>
        </w:tc>
        <w:tc>
          <w:tcPr>
            <w:tcW w:w="553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134A4A">
            <w:pPr>
              <w:jc w:val="center"/>
              <w:rPr>
                <w:rFonts w:hint="eastAsia" w:ascii="宋体" w:hAnsi="宋体" w:eastAsia="宋体" w:cs="宋体"/>
                <w:b/>
                <w:bCs/>
                <w:color w:val="auto"/>
                <w:kern w:val="0"/>
                <w:sz w:val="24"/>
                <w:szCs w:val="24"/>
                <w:highlight w:val="none"/>
                <w:lang w:bidi="ar"/>
              </w:rPr>
            </w:pPr>
            <w:r>
              <w:rPr>
                <w:rFonts w:hint="eastAsia" w:ascii="宋体" w:hAnsi="宋体" w:eastAsia="宋体" w:cs="宋体"/>
                <w:b/>
                <w:bCs/>
                <w:color w:val="auto"/>
                <w:kern w:val="0"/>
                <w:sz w:val="24"/>
                <w:szCs w:val="24"/>
                <w:highlight w:val="none"/>
                <w:lang w:bidi="ar"/>
              </w:rPr>
              <w:t>人员要求</w:t>
            </w:r>
          </w:p>
        </w:tc>
        <w:tc>
          <w:tcPr>
            <w:tcW w:w="9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4DB4E2">
            <w:pPr>
              <w:jc w:val="center"/>
              <w:rPr>
                <w:rFonts w:hint="eastAsia" w:ascii="宋体" w:hAnsi="宋体" w:eastAsia="宋体" w:cs="宋体"/>
                <w:b/>
                <w:bCs/>
                <w:color w:val="auto"/>
                <w:kern w:val="0"/>
                <w:sz w:val="24"/>
                <w:szCs w:val="24"/>
                <w:highlight w:val="none"/>
                <w:lang w:bidi="ar"/>
              </w:rPr>
            </w:pPr>
            <w:r>
              <w:rPr>
                <w:rFonts w:hint="eastAsia" w:ascii="宋体" w:hAnsi="宋体" w:eastAsia="宋体" w:cs="宋体"/>
                <w:b/>
                <w:bCs/>
                <w:color w:val="auto"/>
                <w:kern w:val="0"/>
                <w:sz w:val="24"/>
                <w:szCs w:val="24"/>
                <w:highlight w:val="none"/>
                <w:lang w:bidi="ar"/>
              </w:rPr>
              <w:t>备注</w:t>
            </w:r>
          </w:p>
        </w:tc>
      </w:tr>
      <w:tr w14:paraId="42B50C0F">
        <w:tblPrEx>
          <w:tblCellMar>
            <w:top w:w="0" w:type="dxa"/>
            <w:left w:w="108" w:type="dxa"/>
            <w:bottom w:w="0" w:type="dxa"/>
            <w:right w:w="108" w:type="dxa"/>
          </w:tblCellMar>
        </w:tblPrEx>
        <w:trPr>
          <w:cantSplit/>
          <w:trHeight w:val="850" w:hRule="atLeast"/>
        </w:trPr>
        <w:tc>
          <w:tcPr>
            <w:tcW w:w="941" w:type="dxa"/>
            <w:vMerge w:val="restart"/>
            <w:tcBorders>
              <w:top w:val="single" w:color="000000" w:sz="4" w:space="0"/>
              <w:left w:val="single" w:color="000000" w:sz="4" w:space="0"/>
              <w:right w:val="single" w:color="000000" w:sz="4" w:space="0"/>
            </w:tcBorders>
            <w:shd w:val="clear" w:color="auto" w:fill="FFFFFF"/>
            <w:vAlign w:val="center"/>
          </w:tcPr>
          <w:p w14:paraId="491589B6">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大修  班组</w:t>
            </w:r>
          </w:p>
        </w:tc>
        <w:tc>
          <w:tcPr>
            <w:tcW w:w="126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47F8DF">
            <w:pPr>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项目负责人</w:t>
            </w:r>
          </w:p>
        </w:tc>
        <w:tc>
          <w:tcPr>
            <w:tcW w:w="72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9C3B96">
            <w:pPr>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w:t>
            </w:r>
          </w:p>
        </w:tc>
        <w:tc>
          <w:tcPr>
            <w:tcW w:w="553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DD04B9">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5年以上石化或化工设备维护管理经验；须持有危险化学品生产单位安全生产管理人员考核合格证；掌握</w:t>
            </w:r>
            <w:r>
              <w:rPr>
                <w:rFonts w:hint="eastAsia" w:ascii="宋体" w:hAnsi="宋体" w:eastAsia="宋体" w:cs="宋体"/>
                <w:color w:val="auto"/>
                <w:sz w:val="24"/>
                <w:szCs w:val="24"/>
                <w:highlight w:val="none"/>
                <w:lang w:val="en-US" w:eastAsia="zh-CN"/>
              </w:rPr>
              <w:t>设备检修</w:t>
            </w:r>
            <w:r>
              <w:rPr>
                <w:rFonts w:hint="eastAsia" w:ascii="宋体" w:hAnsi="宋体" w:eastAsia="宋体" w:cs="宋体"/>
                <w:color w:val="auto"/>
                <w:sz w:val="24"/>
                <w:szCs w:val="24"/>
                <w:highlight w:val="none"/>
              </w:rPr>
              <w:t>必备的业务知识和安全知识、安全环保规章制度，且熟练掌握汉语语言。</w:t>
            </w:r>
          </w:p>
        </w:tc>
        <w:tc>
          <w:tcPr>
            <w:tcW w:w="90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D22505C">
            <w:pPr>
              <w:jc w:val="center"/>
              <w:rPr>
                <w:rFonts w:hint="eastAsia" w:ascii="宋体" w:hAnsi="宋体" w:eastAsia="宋体" w:cs="宋体"/>
                <w:color w:val="auto"/>
                <w:sz w:val="24"/>
                <w:szCs w:val="24"/>
                <w:highlight w:val="none"/>
              </w:rPr>
            </w:pPr>
          </w:p>
        </w:tc>
      </w:tr>
      <w:tr w14:paraId="3AA9039B">
        <w:tblPrEx>
          <w:tblCellMar>
            <w:top w:w="0" w:type="dxa"/>
            <w:left w:w="108" w:type="dxa"/>
            <w:bottom w:w="0" w:type="dxa"/>
            <w:right w:w="108" w:type="dxa"/>
          </w:tblCellMar>
        </w:tblPrEx>
        <w:trPr>
          <w:cantSplit/>
          <w:trHeight w:val="1522" w:hRule="atLeast"/>
        </w:trPr>
        <w:tc>
          <w:tcPr>
            <w:tcW w:w="941" w:type="dxa"/>
            <w:vMerge w:val="continue"/>
            <w:tcBorders>
              <w:left w:val="single" w:color="000000" w:sz="4" w:space="0"/>
              <w:right w:val="single" w:color="000000" w:sz="4" w:space="0"/>
            </w:tcBorders>
            <w:shd w:val="clear" w:color="auto" w:fill="FFFFFF"/>
            <w:vAlign w:val="center"/>
          </w:tcPr>
          <w:p w14:paraId="0789389F">
            <w:pPr>
              <w:jc w:val="center"/>
              <w:rPr>
                <w:rFonts w:hint="eastAsia" w:ascii="宋体" w:hAnsi="宋体" w:eastAsia="宋体" w:cs="宋体"/>
                <w:color w:val="auto"/>
                <w:sz w:val="24"/>
                <w:szCs w:val="24"/>
                <w:highlight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C5F0E4">
            <w:pPr>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安全员</w:t>
            </w:r>
          </w:p>
        </w:tc>
        <w:tc>
          <w:tcPr>
            <w:tcW w:w="72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E49C1B">
            <w:pPr>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2</w:t>
            </w:r>
          </w:p>
        </w:tc>
        <w:tc>
          <w:tcPr>
            <w:tcW w:w="553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735437">
            <w:pP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年以上石化或化工设备检修维护工作经验，有较好的组织管理能力，熟悉设备检修流程、检修经验丰富，能组织人员完成大修检修项目，保障检修工作安全有序进行。</w:t>
            </w:r>
          </w:p>
        </w:tc>
        <w:tc>
          <w:tcPr>
            <w:tcW w:w="900" w:type="dxa"/>
            <w:vMerge w:val="continue"/>
            <w:tcBorders>
              <w:left w:val="single" w:color="000000" w:sz="4" w:space="0"/>
              <w:right w:val="single" w:color="000000" w:sz="4" w:space="0"/>
            </w:tcBorders>
            <w:shd w:val="clear" w:color="auto" w:fill="FFFFFF"/>
            <w:vAlign w:val="center"/>
          </w:tcPr>
          <w:p w14:paraId="6E8E1B13">
            <w:pPr>
              <w:jc w:val="center"/>
              <w:rPr>
                <w:rFonts w:hint="eastAsia" w:ascii="宋体" w:hAnsi="宋体" w:eastAsia="宋体" w:cs="宋体"/>
                <w:color w:val="auto"/>
                <w:sz w:val="24"/>
                <w:szCs w:val="24"/>
                <w:highlight w:val="none"/>
              </w:rPr>
            </w:pPr>
          </w:p>
        </w:tc>
      </w:tr>
      <w:tr w14:paraId="695FCC87">
        <w:tblPrEx>
          <w:tblCellMar>
            <w:top w:w="0" w:type="dxa"/>
            <w:left w:w="108" w:type="dxa"/>
            <w:bottom w:w="0" w:type="dxa"/>
            <w:right w:w="108" w:type="dxa"/>
          </w:tblCellMar>
        </w:tblPrEx>
        <w:trPr>
          <w:cantSplit/>
          <w:trHeight w:val="1085" w:hRule="atLeast"/>
        </w:trPr>
        <w:tc>
          <w:tcPr>
            <w:tcW w:w="941" w:type="dxa"/>
            <w:vMerge w:val="continue"/>
            <w:tcBorders>
              <w:left w:val="single" w:color="000000" w:sz="4" w:space="0"/>
              <w:right w:val="single" w:color="000000" w:sz="4" w:space="0"/>
            </w:tcBorders>
            <w:shd w:val="clear" w:color="auto" w:fill="FFFFFF"/>
            <w:vAlign w:val="center"/>
          </w:tcPr>
          <w:p w14:paraId="1A6776AA">
            <w:pPr>
              <w:jc w:val="center"/>
              <w:rPr>
                <w:rFonts w:hint="eastAsia" w:ascii="宋体" w:hAnsi="宋体" w:eastAsia="宋体" w:cs="宋体"/>
                <w:color w:val="auto"/>
                <w:sz w:val="24"/>
                <w:szCs w:val="24"/>
                <w:highlight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F105A0">
            <w:pPr>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技术人员</w:t>
            </w:r>
          </w:p>
        </w:tc>
        <w:tc>
          <w:tcPr>
            <w:tcW w:w="72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CCD304">
            <w:pPr>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p>
        </w:tc>
        <w:tc>
          <w:tcPr>
            <w:tcW w:w="553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7BA3FF">
            <w:p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5年以上石化或化工设备管理经验，其中2年以上化工装置设备检修相关经验；熟悉设备的结构、原理、维护、检修</w:t>
            </w:r>
          </w:p>
        </w:tc>
        <w:tc>
          <w:tcPr>
            <w:tcW w:w="900" w:type="dxa"/>
            <w:vMerge w:val="continue"/>
            <w:tcBorders>
              <w:left w:val="single" w:color="000000" w:sz="4" w:space="0"/>
              <w:right w:val="single" w:color="000000" w:sz="4" w:space="0"/>
            </w:tcBorders>
            <w:shd w:val="clear" w:color="auto" w:fill="FFFFFF"/>
            <w:vAlign w:val="center"/>
          </w:tcPr>
          <w:p w14:paraId="02D16183">
            <w:pPr>
              <w:jc w:val="center"/>
              <w:rPr>
                <w:rFonts w:hint="eastAsia" w:ascii="宋体" w:hAnsi="宋体" w:eastAsia="宋体" w:cs="宋体"/>
                <w:color w:val="auto"/>
                <w:sz w:val="24"/>
                <w:szCs w:val="24"/>
                <w:highlight w:val="none"/>
              </w:rPr>
            </w:pPr>
          </w:p>
        </w:tc>
      </w:tr>
      <w:tr w14:paraId="043F1D01">
        <w:tblPrEx>
          <w:tblCellMar>
            <w:top w:w="0" w:type="dxa"/>
            <w:left w:w="108" w:type="dxa"/>
            <w:bottom w:w="0" w:type="dxa"/>
            <w:right w:w="108" w:type="dxa"/>
          </w:tblCellMar>
        </w:tblPrEx>
        <w:trPr>
          <w:cantSplit/>
          <w:trHeight w:val="1166" w:hRule="atLeast"/>
        </w:trPr>
        <w:tc>
          <w:tcPr>
            <w:tcW w:w="941" w:type="dxa"/>
            <w:vMerge w:val="continue"/>
            <w:tcBorders>
              <w:left w:val="single" w:color="000000" w:sz="4" w:space="0"/>
              <w:right w:val="single" w:color="000000" w:sz="4" w:space="0"/>
            </w:tcBorders>
            <w:shd w:val="clear" w:color="auto" w:fill="FFFFFF"/>
            <w:vAlign w:val="center"/>
          </w:tcPr>
          <w:p w14:paraId="7FB3979E">
            <w:pPr>
              <w:jc w:val="center"/>
              <w:rPr>
                <w:rFonts w:hint="eastAsia" w:ascii="宋体" w:hAnsi="宋体" w:eastAsia="宋体" w:cs="宋体"/>
                <w:color w:val="auto"/>
                <w:sz w:val="24"/>
                <w:szCs w:val="24"/>
                <w:highlight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BA748F">
            <w:pPr>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班长</w:t>
            </w:r>
          </w:p>
        </w:tc>
        <w:tc>
          <w:tcPr>
            <w:tcW w:w="72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67AF8E">
            <w:pPr>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w:t>
            </w:r>
          </w:p>
        </w:tc>
        <w:tc>
          <w:tcPr>
            <w:tcW w:w="553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AEF7D7">
            <w:pP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5年以上检修维护工作经验，有较好的组织管理能力，熟悉设备检修流程、检修经验丰富，能组织人员完成每日检修项目。</w:t>
            </w:r>
          </w:p>
        </w:tc>
        <w:tc>
          <w:tcPr>
            <w:tcW w:w="900" w:type="dxa"/>
            <w:vMerge w:val="continue"/>
            <w:tcBorders>
              <w:left w:val="single" w:color="000000" w:sz="4" w:space="0"/>
              <w:right w:val="single" w:color="000000" w:sz="4" w:space="0"/>
            </w:tcBorders>
            <w:shd w:val="clear" w:color="auto" w:fill="FFFFFF"/>
            <w:vAlign w:val="center"/>
          </w:tcPr>
          <w:p w14:paraId="5BCFB5D4">
            <w:pPr>
              <w:jc w:val="center"/>
              <w:rPr>
                <w:rFonts w:hint="eastAsia" w:ascii="宋体" w:hAnsi="宋体" w:eastAsia="宋体" w:cs="宋体"/>
                <w:color w:val="auto"/>
                <w:sz w:val="24"/>
                <w:szCs w:val="24"/>
                <w:highlight w:val="none"/>
              </w:rPr>
            </w:pPr>
          </w:p>
        </w:tc>
      </w:tr>
      <w:tr w14:paraId="1449387F">
        <w:tblPrEx>
          <w:tblCellMar>
            <w:top w:w="0" w:type="dxa"/>
            <w:left w:w="108" w:type="dxa"/>
            <w:bottom w:w="0" w:type="dxa"/>
            <w:right w:w="108" w:type="dxa"/>
          </w:tblCellMar>
        </w:tblPrEx>
        <w:trPr>
          <w:cantSplit/>
          <w:trHeight w:val="1486" w:hRule="atLeast"/>
        </w:trPr>
        <w:tc>
          <w:tcPr>
            <w:tcW w:w="941" w:type="dxa"/>
            <w:vMerge w:val="continue"/>
            <w:tcBorders>
              <w:left w:val="single" w:color="000000" w:sz="4" w:space="0"/>
              <w:right w:val="single" w:color="000000" w:sz="4" w:space="0"/>
            </w:tcBorders>
            <w:noWrap/>
            <w:vAlign w:val="center"/>
          </w:tcPr>
          <w:p w14:paraId="189E940B">
            <w:pPr>
              <w:rPr>
                <w:rFonts w:hint="eastAsia" w:ascii="宋体" w:hAnsi="宋体" w:eastAsia="宋体" w:cs="宋体"/>
                <w:color w:val="auto"/>
                <w:sz w:val="24"/>
                <w:szCs w:val="24"/>
                <w:highlight w:val="none"/>
              </w:rPr>
            </w:pPr>
          </w:p>
        </w:tc>
        <w:tc>
          <w:tcPr>
            <w:tcW w:w="1265" w:type="dxa"/>
            <w:tcBorders>
              <w:top w:val="single" w:color="000000" w:sz="4" w:space="0"/>
              <w:left w:val="single" w:color="000000" w:sz="4" w:space="0"/>
              <w:bottom w:val="single" w:color="000000" w:sz="4" w:space="0"/>
              <w:right w:val="single" w:color="000000" w:sz="4" w:space="0"/>
            </w:tcBorders>
            <w:noWrap/>
            <w:vAlign w:val="center"/>
          </w:tcPr>
          <w:p w14:paraId="5F79AB43">
            <w:pPr>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监护人员</w:t>
            </w:r>
          </w:p>
        </w:tc>
        <w:tc>
          <w:tcPr>
            <w:tcW w:w="729" w:type="dxa"/>
            <w:tcBorders>
              <w:top w:val="single" w:color="000000" w:sz="4" w:space="0"/>
              <w:left w:val="single" w:color="000000" w:sz="4" w:space="0"/>
              <w:bottom w:val="single" w:color="000000" w:sz="4" w:space="0"/>
              <w:right w:val="single" w:color="000000" w:sz="4" w:space="0"/>
            </w:tcBorders>
            <w:noWrap/>
            <w:vAlign w:val="center"/>
          </w:tcPr>
          <w:p w14:paraId="3876A517">
            <w:pPr>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w:t>
            </w:r>
          </w:p>
        </w:tc>
        <w:tc>
          <w:tcPr>
            <w:tcW w:w="5534" w:type="dxa"/>
            <w:tcBorders>
              <w:top w:val="single" w:color="000000" w:sz="4" w:space="0"/>
              <w:left w:val="single" w:color="000000" w:sz="4" w:space="0"/>
              <w:bottom w:val="single" w:color="000000" w:sz="4" w:space="0"/>
              <w:right w:val="single" w:color="000000" w:sz="4" w:space="0"/>
            </w:tcBorders>
            <w:vAlign w:val="center"/>
          </w:tcPr>
          <w:p w14:paraId="26C5CF1C">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3年以上起</w:t>
            </w:r>
            <w:r>
              <w:rPr>
                <w:rFonts w:hint="eastAsia" w:ascii="宋体" w:hAnsi="宋体" w:eastAsia="宋体" w:cs="宋体"/>
                <w:color w:val="auto"/>
                <w:sz w:val="24"/>
                <w:szCs w:val="24"/>
                <w:highlight w:val="none"/>
                <w:lang w:val="en-US" w:eastAsia="zh-CN"/>
              </w:rPr>
              <w:t>化工</w:t>
            </w:r>
            <w:r>
              <w:rPr>
                <w:rFonts w:hint="eastAsia" w:ascii="宋体" w:hAnsi="宋体" w:eastAsia="宋体" w:cs="宋体"/>
                <w:color w:val="auto"/>
                <w:sz w:val="24"/>
                <w:szCs w:val="24"/>
                <w:highlight w:val="none"/>
              </w:rPr>
              <w:t>工作经验，且熟练掌握汉语语言。平时需参与检修作业。</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B5B2C6">
            <w:pPr>
              <w:jc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经招标方公司培训考试取得监护资格</w:t>
            </w:r>
          </w:p>
        </w:tc>
      </w:tr>
      <w:tr w14:paraId="562A34FC">
        <w:tblPrEx>
          <w:tblCellMar>
            <w:top w:w="0" w:type="dxa"/>
            <w:left w:w="108" w:type="dxa"/>
            <w:bottom w:w="0" w:type="dxa"/>
            <w:right w:w="108" w:type="dxa"/>
          </w:tblCellMar>
        </w:tblPrEx>
        <w:trPr>
          <w:cantSplit/>
          <w:trHeight w:val="1555" w:hRule="atLeast"/>
        </w:trPr>
        <w:tc>
          <w:tcPr>
            <w:tcW w:w="941" w:type="dxa"/>
            <w:vMerge w:val="continue"/>
            <w:tcBorders>
              <w:left w:val="single" w:color="000000" w:sz="4" w:space="0"/>
              <w:bottom w:val="single" w:color="000000" w:sz="4" w:space="0"/>
              <w:right w:val="single" w:color="000000" w:sz="4" w:space="0"/>
            </w:tcBorders>
            <w:noWrap/>
            <w:vAlign w:val="center"/>
          </w:tcPr>
          <w:p w14:paraId="69E7064C">
            <w:pPr>
              <w:rPr>
                <w:rFonts w:hint="eastAsia" w:ascii="宋体" w:hAnsi="宋体" w:eastAsia="宋体" w:cs="宋体"/>
                <w:color w:val="auto"/>
                <w:sz w:val="24"/>
                <w:szCs w:val="24"/>
                <w:highlight w:val="none"/>
              </w:rPr>
            </w:pPr>
          </w:p>
        </w:tc>
        <w:tc>
          <w:tcPr>
            <w:tcW w:w="1265" w:type="dxa"/>
            <w:tcBorders>
              <w:top w:val="single" w:color="000000" w:sz="4" w:space="0"/>
              <w:left w:val="single" w:color="000000" w:sz="4" w:space="0"/>
              <w:bottom w:val="single" w:color="000000" w:sz="4" w:space="0"/>
              <w:right w:val="single" w:color="000000" w:sz="4" w:space="0"/>
            </w:tcBorders>
            <w:noWrap/>
            <w:vAlign w:val="center"/>
          </w:tcPr>
          <w:p w14:paraId="4F21D66A">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作业人员</w:t>
            </w:r>
          </w:p>
        </w:tc>
        <w:tc>
          <w:tcPr>
            <w:tcW w:w="729" w:type="dxa"/>
            <w:tcBorders>
              <w:top w:val="single" w:color="000000" w:sz="4" w:space="0"/>
              <w:left w:val="single" w:color="000000" w:sz="4" w:space="0"/>
              <w:bottom w:val="single" w:color="000000" w:sz="4" w:space="0"/>
              <w:right w:val="single" w:color="000000" w:sz="4" w:space="0"/>
            </w:tcBorders>
            <w:noWrap/>
            <w:vAlign w:val="center"/>
          </w:tcPr>
          <w:p w14:paraId="0A74172E">
            <w:pPr>
              <w:jc w:val="center"/>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0</w:t>
            </w:r>
          </w:p>
        </w:tc>
        <w:tc>
          <w:tcPr>
            <w:tcW w:w="5534" w:type="dxa"/>
            <w:tcBorders>
              <w:top w:val="single" w:color="000000" w:sz="4" w:space="0"/>
              <w:left w:val="single" w:color="000000" w:sz="4" w:space="0"/>
              <w:bottom w:val="single" w:color="000000" w:sz="4" w:space="0"/>
              <w:right w:val="single" w:color="000000" w:sz="4" w:space="0"/>
            </w:tcBorders>
            <w:vAlign w:val="center"/>
          </w:tcPr>
          <w:p w14:paraId="731679CD">
            <w:p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年以上设备检修维护工作经验，不少于</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人持有中级钳工及以上技能，且全员熟练掌握汉语语言。作业人员中50%以上人员必须在石化或化工装置从业的经历</w:t>
            </w:r>
            <w:r>
              <w:rPr>
                <w:rFonts w:hint="eastAsia" w:ascii="宋体" w:hAnsi="宋体" w:eastAsia="宋体" w:cs="宋体"/>
                <w:color w:val="auto"/>
                <w:sz w:val="24"/>
                <w:szCs w:val="24"/>
                <w:highlight w:val="none"/>
                <w:lang w:eastAsia="zh-CN"/>
              </w:rPr>
              <w:t>。</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FBA49B">
            <w:pPr>
              <w:jc w:val="center"/>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val="en-US" w:eastAsia="zh-CN" w:bidi="ar"/>
              </w:rPr>
              <w:t>经招标方公司培训考试取得高处作业资格</w:t>
            </w:r>
          </w:p>
        </w:tc>
      </w:tr>
    </w:tbl>
    <w:p w14:paraId="14840E77">
      <w:pPr>
        <w:snapToGrid w:val="0"/>
        <w:spacing w:line="360" w:lineRule="auto"/>
        <w:jc w:val="left"/>
        <w:rPr>
          <w:rStyle w:val="46"/>
          <w:rFonts w:hint="eastAsia" w:ascii="宋体" w:hAnsi="宋体" w:eastAsia="宋体" w:cs="宋体"/>
          <w:b/>
          <w:color w:val="auto"/>
          <w:sz w:val="24"/>
          <w:szCs w:val="24"/>
          <w:highlight w:val="none"/>
        </w:rPr>
      </w:pPr>
    </w:p>
    <w:p w14:paraId="20B803D5">
      <w:pPr>
        <w:pStyle w:val="2"/>
        <w:keepNext/>
        <w:keepLines/>
        <w:pageBreakBefore w:val="0"/>
        <w:widowControl w:val="0"/>
        <w:kinsoku w:val="0"/>
        <w:wordWrap/>
        <w:overflowPunct/>
        <w:topLinePunct w:val="0"/>
        <w:autoSpaceDE/>
        <w:autoSpaceDN/>
        <w:bidi w:val="0"/>
        <w:adjustRightInd w:val="0"/>
        <w:snapToGrid w:val="0"/>
        <w:spacing w:before="100" w:after="100" w:line="360" w:lineRule="auto"/>
        <w:jc w:val="left"/>
        <w:textAlignment w:val="auto"/>
        <w:rPr>
          <w:rFonts w:hint="eastAsia" w:ascii="宋体" w:hAnsi="宋体" w:eastAsia="宋体" w:cs="宋体"/>
          <w:color w:val="auto"/>
          <w:sz w:val="24"/>
          <w:szCs w:val="24"/>
          <w:highlight w:val="none"/>
          <w:lang w:val="en-US" w:eastAsia="zh-CN"/>
        </w:rPr>
      </w:pPr>
      <w:bookmarkStart w:id="18" w:name="_Toc28537"/>
      <w:bookmarkStart w:id="19" w:name="_Toc17993"/>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 xml:space="preserve"> 安全要求</w:t>
      </w:r>
      <w:bookmarkEnd w:id="18"/>
      <w:bookmarkEnd w:id="19"/>
    </w:p>
    <w:p w14:paraId="661BBE73">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.1入厂资料要求：</w:t>
      </w:r>
    </w:p>
    <w:p w14:paraId="435FD307">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.1.1 投标方应该建立归档资料如下：</w:t>
      </w:r>
    </w:p>
    <w:p w14:paraId="6B459D6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.1.2 投标方管理人员对作业人员的安全技术交底记录（全员覆盖，新入职人员及时进行安全技术交底，纸质版留档）。</w:t>
      </w:r>
    </w:p>
    <w:p w14:paraId="79C0119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.1.3 投标方组织员工培训学习公司相关制度、管理规定、事故案例的学习记录。（电子版备查，要求有清晰的照片能证明所学内容，有清晰的扫描签到表）</w:t>
      </w:r>
    </w:p>
    <w:p w14:paraId="55CB1F58">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.1.4 三级安全教育台账以及整套资料。</w:t>
      </w:r>
    </w:p>
    <w:p w14:paraId="12F0EE77">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.1.5 项目主管单位对制度、管理规定、操作规程提供的确认表。（纸质版留档）</w:t>
      </w:r>
    </w:p>
    <w:p w14:paraId="45F1715F">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.1.6 项目主管单位对投标方组织进行培训学习记录。（常年维保单位每月一次）。（电子版备查，要求有清晰的照片能证明所学内容，有清晰的扫描签到表）</w:t>
      </w:r>
    </w:p>
    <w:p w14:paraId="56F579F2">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.1.7 安健环协议以及交叉协议。（纸质版留档）</w:t>
      </w:r>
    </w:p>
    <w:p w14:paraId="134C2BA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.1.8 项目开工前条件确认表。（纸质版留档）</w:t>
      </w:r>
    </w:p>
    <w:p w14:paraId="387393A4">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.1.9 安全生产责任书（层层签订）（纸质版留档）</w:t>
      </w:r>
    </w:p>
    <w:p w14:paraId="0B5E95C4">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.1.10 合同以及附件。（纸质版留档）</w:t>
      </w:r>
    </w:p>
    <w:p w14:paraId="00C0AC89">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.1.11 企业资质、专业外包资质。（电子版备查）</w:t>
      </w:r>
    </w:p>
    <w:p w14:paraId="1A6D28DF">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.1.12 管理人员授权书、任命书。（纸质版留档）</w:t>
      </w:r>
    </w:p>
    <w:p w14:paraId="58B7DCA4">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.1.13 投标方全员安全生产责任制。（纸质版留档）</w:t>
      </w:r>
    </w:p>
    <w:p w14:paraId="3EFFFFC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.1.14 投标方应急预案。（纸质版留档）</w:t>
      </w:r>
    </w:p>
    <w:p w14:paraId="3BDA51F9">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.1.15 外包项目人员台账（及时更新）以及特种作业人员台账（电子版及时更新）。</w:t>
      </w:r>
    </w:p>
    <w:p w14:paraId="1324BF5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.1.16 所有审核审批的方案存档。（纸质版留档）</w:t>
      </w:r>
    </w:p>
    <w:p w14:paraId="6F832BDA">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.1.17 安全生产费用使用台账（电子版台账，必须提供相关佐证资料例如发票等）。</w:t>
      </w:r>
    </w:p>
    <w:p w14:paraId="3D679FE8">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.1.18 外包项目所有人员的入厂健康体检、职业病体检报告（纸质版留档）,详细要求见附件22。</w:t>
      </w:r>
    </w:p>
    <w:p w14:paraId="3B5C3E9F">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.2安全要求：</w:t>
      </w:r>
    </w:p>
    <w:p w14:paraId="771610E1">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.2.1 检修人员进行设备检修工作时，必须办理合格的工作票及各种特殊作业票。</w:t>
      </w:r>
    </w:p>
    <w:p w14:paraId="22BCCAC0">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.2.2 检修人员如需在脚手架上工作，必须系安全带方能上脚手架，并将安全带挂在固定牢固部件上，高挂低用。</w:t>
      </w:r>
    </w:p>
    <w:p w14:paraId="3445979B">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.2.3 设备所有零部件，应按要求摆放在指定的地点, 妥善保管。工作中轻起轻落,不准将设备或零部件直接放在地面上，在检修现场必须垫上橡胶垫，以防工具、零件等掉在地上。</w:t>
      </w:r>
    </w:p>
    <w:p w14:paraId="580024B3">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.2.4 检修现场应尽量避免上下交叉作业，如无法避免，应在监护人的监督下，由工作负责人统一指挥，上方检修人员应系好安全带、所用工器具系好安全绳并确保防坠落安全措施已执行到位；下方检修人员，应在工作负责人确认安全措施已执行到位后，方可进入现场工作，并做好事故预想，工作时做到注意力集中，保持上下通信畅通。</w:t>
      </w:r>
    </w:p>
    <w:p w14:paraId="73546CE9">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.2.5 现场工作人员应精神状态良好、无有碍工作的疾病，并不得酒后上班。</w:t>
      </w:r>
    </w:p>
    <w:p w14:paraId="244BAAFB">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.2.6 进入生产场所的所有人员包括管理人员必须戴好安全帽，禁止在生产场所吸烟。</w:t>
      </w:r>
    </w:p>
    <w:p w14:paraId="5981D4B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.2.7 动火作业按要求办理好动火作业工作票，注意火星的控制，以及动火操作的规范。</w:t>
      </w:r>
    </w:p>
    <w:p w14:paraId="2BAB716F">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.2.8 容器内作业注意通风，外部设专业监护，防止中毒窒息。</w:t>
      </w:r>
    </w:p>
    <w:p w14:paraId="7EE11259">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.2.9 必须严格遵守安全监察部制定的八大特殊作业等安全管理制度要求。</w:t>
      </w:r>
    </w:p>
    <w:p w14:paraId="293CC56F">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.3 安全生产七大禁令</w:t>
      </w:r>
    </w:p>
    <w:p w14:paraId="4D7B6EF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Style w:val="46"/>
          <w:rFonts w:hint="eastAsia" w:ascii="宋体" w:hAnsi="宋体" w:eastAsia="宋体" w:cs="宋体"/>
          <w:b/>
          <w:color w:val="auto"/>
          <w:sz w:val="24"/>
          <w:szCs w:val="24"/>
          <w:highlight w:val="none"/>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.3.1 严禁在生产装置区内吸烟。</w:t>
      </w:r>
    </w:p>
    <w:p w14:paraId="390894D3">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.3.2 严禁高处作业不使用安全带。</w:t>
      </w:r>
    </w:p>
    <w:p w14:paraId="4115570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.3.3 严禁违章指挥、强令他人违章冒险作业。</w:t>
      </w:r>
    </w:p>
    <w:p w14:paraId="1447F122">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.3.4 严禁未经许可进行受限空间作业、动火作业。</w:t>
      </w:r>
    </w:p>
    <w:p w14:paraId="12A15FC4">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.3.5 严禁无证进行电气、架子、叉车、电气焊作业。</w:t>
      </w:r>
    </w:p>
    <w:p w14:paraId="67E1220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.3.6 严禁未经审批或许可，取消或退出安全联锁。</w:t>
      </w:r>
    </w:p>
    <w:p w14:paraId="230EDA7A">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Style w:val="46"/>
          <w:rFonts w:hint="eastAsia" w:ascii="宋体" w:hAnsi="宋体" w:eastAsia="宋体" w:cs="宋体"/>
          <w:b/>
          <w:color w:val="auto"/>
          <w:sz w:val="24"/>
          <w:szCs w:val="24"/>
          <w:highlight w:val="none"/>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.3.7 严禁未经许可关闭、破坏直接关系生产安全的报警、防护、救生设备、设施，不得篡改、销毁其相关数据、信息。</w:t>
      </w:r>
    </w:p>
    <w:p w14:paraId="13B31F8E">
      <w:pPr>
        <w:pStyle w:val="2"/>
        <w:keepNext/>
        <w:keepLines/>
        <w:pageBreakBefore w:val="0"/>
        <w:widowControl w:val="0"/>
        <w:kinsoku w:val="0"/>
        <w:wordWrap/>
        <w:overflowPunct/>
        <w:topLinePunct w:val="0"/>
        <w:autoSpaceDE/>
        <w:autoSpaceDN/>
        <w:bidi w:val="0"/>
        <w:adjustRightInd w:val="0"/>
        <w:snapToGrid w:val="0"/>
        <w:spacing w:before="100" w:after="100" w:line="360" w:lineRule="auto"/>
        <w:jc w:val="left"/>
        <w:textAlignment w:val="auto"/>
        <w:rPr>
          <w:rFonts w:hint="eastAsia" w:ascii="宋体" w:hAnsi="宋体" w:eastAsia="宋体" w:cs="宋体"/>
          <w:color w:val="auto"/>
          <w:sz w:val="24"/>
          <w:szCs w:val="24"/>
          <w:highlight w:val="none"/>
          <w:lang w:val="en-US" w:eastAsia="zh-CN"/>
        </w:rPr>
      </w:pPr>
      <w:bookmarkStart w:id="20" w:name="_Toc15722"/>
      <w:bookmarkStart w:id="21" w:name="_Toc25785"/>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 xml:space="preserve"> 双方职责</w:t>
      </w:r>
      <w:bookmarkEnd w:id="20"/>
      <w:bookmarkEnd w:id="21"/>
    </w:p>
    <w:p w14:paraId="18A2864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.1 招标方职责</w:t>
      </w:r>
    </w:p>
    <w:p w14:paraId="0C6E5C97">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.1.1 对项目安全、质量及进度实施全过程管理，安全管理实行统一牵头、统一指挥、统一管理及考核，对存在的各类安全隐患及时督促整改。</w:t>
      </w:r>
    </w:p>
    <w:p w14:paraId="3F2128FB">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.1.2 对投标方提出的各种技术方案进行审核和批准。</w:t>
      </w:r>
    </w:p>
    <w:p w14:paraId="204A366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.1.3 负责</w:t>
      </w:r>
      <w:r>
        <w:rPr>
          <w:rFonts w:hint="eastAsia" w:ascii="宋体" w:hAnsi="宋体" w:eastAsia="宋体" w:cs="宋体"/>
          <w:color w:val="auto"/>
          <w:sz w:val="24"/>
          <w:szCs w:val="24"/>
          <w:highlight w:val="none"/>
        </w:rPr>
        <w:t>报废物资和退库物资手续办理，投标方运送至指定地点。</w:t>
      </w:r>
    </w:p>
    <w:p w14:paraId="2D58312B">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.1.4 负责检修项目中涉及的光谱分析及焊缝探伤工作。</w:t>
      </w:r>
    </w:p>
    <w:p w14:paraId="5E5E027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.1.5 负责检修项目涉及的水、电、脚手架搭设、保温的拆装、恢复等工作。</w:t>
      </w:r>
    </w:p>
    <w:p w14:paraId="3A884E90">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.1.6 根据招标方的相关事故调查规定，当发生不安全情况时,必要时组织投标方进行事故调查处理。</w:t>
      </w:r>
    </w:p>
    <w:p w14:paraId="0C22E66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.1.7 向投标方提供有关设备资料及有关生产、管理需要的上级文件，并及时答复投标方提出的有关生产、管理中发生的问题。</w:t>
      </w:r>
    </w:p>
    <w:p w14:paraId="15EAD2BA">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.1.8 负责组织内部检修协调会议，并负责投标方与其它相关单位的工作协调。</w:t>
      </w:r>
    </w:p>
    <w:p w14:paraId="51CD9857">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.1.9 为投标方提供本承包范围范围系统设备设计、制造、安装、调试、运行、维护的图纸资料（包括设备的技术规范、竣工图纸、运行及维护手册或说明书等投标方履行本合同所需的资料）的收集和管理便利，避免影响检修进度和质量。</w:t>
      </w:r>
    </w:p>
    <w:p w14:paraId="2082BC57">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.1.10 按本承包合同规定，及时向投标方支付各种费用。</w:t>
      </w:r>
    </w:p>
    <w:p w14:paraId="6BECA711">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.1.11 参加检修项目的验收工作。</w:t>
      </w:r>
    </w:p>
    <w:p w14:paraId="0B829B88">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.1.12 检修所需的项目车辆由招标方统一负责协调。</w:t>
      </w:r>
    </w:p>
    <w:p w14:paraId="0B6CE4DB">
      <w:pPr>
        <w:snapToGrid w:val="0"/>
        <w:spacing w:line="360" w:lineRule="auto"/>
        <w:jc w:val="left"/>
        <w:rPr>
          <w:rStyle w:val="46"/>
          <w:rFonts w:hint="eastAsia" w:ascii="宋体" w:hAnsi="宋体" w:eastAsia="宋体" w:cs="宋体"/>
          <w:bCs/>
          <w:color w:val="auto"/>
          <w:sz w:val="24"/>
          <w:szCs w:val="24"/>
          <w:highlight w:val="none"/>
        </w:rPr>
      </w:pPr>
      <w:r>
        <w:rPr>
          <w:rStyle w:val="46"/>
          <w:rFonts w:hint="eastAsia" w:ascii="宋体" w:hAnsi="宋体" w:cs="宋体"/>
          <w:bCs/>
          <w:color w:val="auto"/>
          <w:sz w:val="24"/>
          <w:szCs w:val="24"/>
          <w:highlight w:val="none"/>
          <w:lang w:val="en-US" w:eastAsia="zh-CN"/>
        </w:rPr>
        <w:t>9</w:t>
      </w:r>
      <w:r>
        <w:rPr>
          <w:rStyle w:val="46"/>
          <w:rFonts w:hint="eastAsia" w:ascii="宋体" w:hAnsi="宋体" w:eastAsia="宋体" w:cs="宋体"/>
          <w:bCs/>
          <w:color w:val="auto"/>
          <w:sz w:val="24"/>
          <w:szCs w:val="24"/>
          <w:highlight w:val="none"/>
        </w:rPr>
        <w:t>.1.1</w:t>
      </w:r>
      <w:r>
        <w:rPr>
          <w:rStyle w:val="46"/>
          <w:rFonts w:hint="eastAsia" w:ascii="宋体" w:hAnsi="宋体" w:eastAsia="宋体" w:cs="宋体"/>
          <w:bCs/>
          <w:color w:val="auto"/>
          <w:sz w:val="24"/>
          <w:szCs w:val="24"/>
          <w:highlight w:val="none"/>
          <w:lang w:val="en-US" w:eastAsia="zh-CN"/>
        </w:rPr>
        <w:t xml:space="preserve">3 </w:t>
      </w:r>
      <w:r>
        <w:rPr>
          <w:rStyle w:val="46"/>
          <w:rFonts w:hint="eastAsia" w:ascii="宋体" w:hAnsi="宋体" w:eastAsia="宋体" w:cs="宋体"/>
          <w:bCs/>
          <w:color w:val="auto"/>
          <w:sz w:val="24"/>
          <w:szCs w:val="24"/>
          <w:highlight w:val="none"/>
        </w:rPr>
        <w:t>招标方有权收取提供给承包商生活使用的电费及食堂管理费。</w:t>
      </w:r>
    </w:p>
    <w:p w14:paraId="2B54377F">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.2 投标方职责</w:t>
      </w:r>
    </w:p>
    <w:p w14:paraId="77B113E1">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2.1投标方在接到中标通知书后1个月内，将本项目组织机构、质量措施、安全措施、组织措施等文件（不限上列内容）报招标方审核。在检修开始一周前将工作负责人及工作票签发人名单、工作人员名单、特殊工种人员名单及资质材料报招标方审核。</w:t>
      </w:r>
    </w:p>
    <w:p w14:paraId="1222E70A">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.2.2</w:t>
      </w:r>
      <w:r>
        <w:rPr>
          <w:rFonts w:hint="eastAsia" w:ascii="宋体" w:hAnsi="宋体" w:eastAsia="宋体" w:cs="宋体"/>
          <w:color w:val="auto"/>
          <w:sz w:val="24"/>
          <w:szCs w:val="24"/>
          <w:highlight w:val="none"/>
        </w:rPr>
        <w:t xml:space="preserve"> 本项目所需要的票证办理、施工准备由投标方负责。</w:t>
      </w:r>
    </w:p>
    <w:p w14:paraId="59789F60">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.3 投标人必须在开工前十天将</w:t>
      </w:r>
      <w:r>
        <w:rPr>
          <w:rFonts w:hint="eastAsia" w:ascii="宋体" w:hAnsi="宋体" w:eastAsia="宋体" w:cs="宋体"/>
          <w:color w:val="auto"/>
          <w:sz w:val="24"/>
          <w:szCs w:val="24"/>
          <w:highlight w:val="none"/>
          <w:lang w:val="en-US" w:eastAsia="zh-CN"/>
        </w:rPr>
        <w:t>检修</w:t>
      </w:r>
      <w:r>
        <w:rPr>
          <w:rFonts w:hint="eastAsia" w:ascii="宋体" w:hAnsi="宋体" w:eastAsia="宋体" w:cs="宋体"/>
          <w:color w:val="auto"/>
          <w:sz w:val="24"/>
          <w:szCs w:val="24"/>
          <w:highlight w:val="none"/>
        </w:rPr>
        <w:t>用工器具、消耗性材料清单发给招标人审阅。且在开工前一周将</w:t>
      </w:r>
      <w:r>
        <w:rPr>
          <w:rFonts w:hint="eastAsia" w:ascii="宋体" w:hAnsi="宋体" w:eastAsia="宋体" w:cs="宋体"/>
          <w:color w:val="auto"/>
          <w:sz w:val="24"/>
          <w:szCs w:val="24"/>
          <w:highlight w:val="none"/>
          <w:lang w:val="en-US" w:eastAsia="zh-CN"/>
        </w:rPr>
        <w:t>检修</w:t>
      </w:r>
      <w:r>
        <w:rPr>
          <w:rFonts w:hint="eastAsia" w:ascii="宋体" w:hAnsi="宋体" w:eastAsia="宋体" w:cs="宋体"/>
          <w:color w:val="auto"/>
          <w:sz w:val="24"/>
          <w:szCs w:val="24"/>
          <w:highlight w:val="none"/>
        </w:rPr>
        <w:t>用工器具、消耗性材料运至招标人检修现场（由投标人自行保管）。</w:t>
      </w:r>
    </w:p>
    <w:p w14:paraId="0CE4FAA0">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.4 本项目检修所用的工器具必须保证完好，且校验合格（现场使用的计量工器具，须有检验合格证及检验时间，过期未检验计量工器具严禁带入现场使用），投标人保证在施工过程中使用的工器具是安全和可靠的，不会造成事故，否则，投标人承担由此引起的相应责任。出厂前要按照清单进行清点，并由招标人签字认可，确保现场无施工遗留工具。</w:t>
      </w:r>
    </w:p>
    <w:p w14:paraId="6F6F7944">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.5 所有的耗材均需采购国内合格产品，凡是没有标签、生产日期的消耗性材料一律不得采用，杜绝伪劣产品使用在工作中。投标人提出新型材料的使用前必须报招标人批准后方可使用。</w:t>
      </w:r>
    </w:p>
    <w:p w14:paraId="34F65EEE">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.6 投标方负责做好承包维护设备范围内的装置性设施（如平台、栏杆、现场专用检修平台等）的维护及保养等工作, 保持设备及生产场地的清洁卫生。</w:t>
      </w:r>
    </w:p>
    <w:p w14:paraId="694E4AE9">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.2.7 检修过程中产生的废料和垃圾的清理、转运由投标方负责（转运地点由招标方指定）。</w:t>
      </w:r>
    </w:p>
    <w:p w14:paraId="51784372">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.2.8 负责完成机务专业检修中和检修结束后需进行的各种试验和调试（含电气、仪控专业需机务配合完成的项目）。</w:t>
      </w:r>
    </w:p>
    <w:p w14:paraId="5C979032">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.2.9 投标方应尽其最大努力减少维护人员的流动和更换，同时招标方有权建议更换任何不合适的人员。投标方在招用员工时要审查核实是否与另外单位项目用工重合。</w:t>
      </w:r>
    </w:p>
    <w:p w14:paraId="1C1081D1">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.2.10 投标人应根据项目内容、时间进度和招标方要求，配置足够人员。</w:t>
      </w:r>
    </w:p>
    <w:p w14:paraId="55B0AABA">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.2.11 投标人应及时将遇到的技术问题通知招标人，并积极处理和解决。</w:t>
      </w:r>
    </w:p>
    <w:p w14:paraId="35D5770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.2.12 投标人应制订堆焊施工方案、焊接工艺卡和项目进度表。</w:t>
      </w:r>
    </w:p>
    <w:p w14:paraId="4E3A23F2">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.2.13 项目服务工期内，以生产装置现场实际情况为指导，不仅要求按时按进度完成本职检修工作，同时应服从招标方协调指挥要求，主动配合完成现场其他施工作业工作。</w:t>
      </w:r>
    </w:p>
    <w:p w14:paraId="64C8989A">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.2.14 投标方做好设备主体部分进行解体检查和调整工作，必要时对达到规定磨损限度的零件加以更换。此外，还要对主要零部件的磨损情况进行测量、鉴定和记录。</w:t>
      </w:r>
    </w:p>
    <w:p w14:paraId="0C293270">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.2.15 投标方检修所做的各项检修技术记录、检查试验（校验）报告、安装调试文件、设计说明、测绘图纸及相关计算书等必须齐全准确、符合招标方归档要求，并及时提供给招标方。</w:t>
      </w:r>
    </w:p>
    <w:p w14:paraId="31EAD3A7">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.2.16 招标方对投标方项目部的日常考核，投标方接到招标方的通报后，投标方应在一个月内将考核执行情况反馈给招标方。</w:t>
      </w:r>
    </w:p>
    <w:p w14:paraId="5E845CF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.2.17 投标方所有人员薪金结算必须由第三方（银行）支付到员工。</w:t>
      </w:r>
    </w:p>
    <w:p w14:paraId="31D3BBE4">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.2.18 安全生产费用专款专用，必须用于安全相关费用支出。</w:t>
      </w:r>
    </w:p>
    <w:p w14:paraId="742EAA26">
      <w:pPr>
        <w:pStyle w:val="2"/>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color w:val="auto"/>
          <w:sz w:val="24"/>
          <w:szCs w:val="24"/>
          <w:highlight w:val="none"/>
          <w:lang w:val="en-US" w:eastAsia="zh-CN"/>
        </w:rPr>
      </w:pPr>
      <w:bookmarkStart w:id="22" w:name="_Toc29343"/>
      <w:bookmarkStart w:id="23" w:name="_Toc22276"/>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rPr>
        <w:t>安健环及文明施工、危险源（环境因素）控制要求</w:t>
      </w:r>
      <w:bookmarkEnd w:id="22"/>
      <w:bookmarkEnd w:id="23"/>
    </w:p>
    <w:p w14:paraId="015D9D4E">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lang w:val="en-US" w:eastAsia="zh-CN"/>
        </w:rPr>
        <w:t>.1 贯彻“谁施工、谁负责安全”的管理原则。</w:t>
      </w:r>
    </w:p>
    <w:p w14:paraId="7448A125">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lang w:val="en-US" w:eastAsia="zh-CN"/>
        </w:rPr>
        <w:t xml:space="preserve">.2 </w:t>
      </w:r>
      <w:r>
        <w:rPr>
          <w:rFonts w:hint="eastAsia" w:ascii="宋体" w:hAnsi="宋体" w:eastAsia="宋体" w:cs="宋体"/>
          <w:color w:val="auto"/>
          <w:sz w:val="24"/>
          <w:szCs w:val="24"/>
          <w:highlight w:val="none"/>
        </w:rPr>
        <w:t>所有作业人员必须经过安全培训方可上岗，作业时必须严格按照相关要求穿戴劳保用品；</w:t>
      </w:r>
    </w:p>
    <w:p w14:paraId="5A98DA73">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lang w:val="en-US" w:eastAsia="zh-CN"/>
        </w:rPr>
        <w:t xml:space="preserve">.3 </w:t>
      </w:r>
      <w:r>
        <w:rPr>
          <w:rFonts w:hint="eastAsia" w:ascii="宋体" w:hAnsi="宋体" w:eastAsia="宋体" w:cs="宋体"/>
          <w:color w:val="auto"/>
          <w:sz w:val="24"/>
          <w:szCs w:val="24"/>
          <w:highlight w:val="none"/>
        </w:rPr>
        <w:t>涉及到高风险作业时，必须由投标人及招标人双方共同监护的情况下方可作业；</w:t>
      </w:r>
    </w:p>
    <w:p w14:paraId="6AA2F6F4">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lang w:val="en-US" w:eastAsia="zh-CN"/>
        </w:rPr>
        <w:t xml:space="preserve">.4 </w:t>
      </w:r>
      <w:r>
        <w:rPr>
          <w:rFonts w:hint="eastAsia" w:ascii="宋体" w:hAnsi="宋体" w:eastAsia="宋体" w:cs="宋体"/>
          <w:color w:val="auto"/>
          <w:sz w:val="24"/>
          <w:szCs w:val="24"/>
          <w:highlight w:val="none"/>
        </w:rPr>
        <w:t>投标方的工作人员必须严格遵守招标方的管理要求，严格按安全规程文明施工，服从招标方生产调度，接受招标方文明生产考核。投标方必须有安全员，制定与本</w:t>
      </w:r>
      <w:r>
        <w:rPr>
          <w:rFonts w:hint="eastAsia" w:ascii="宋体" w:hAnsi="宋体" w:eastAsia="宋体" w:cs="宋体"/>
          <w:color w:val="auto"/>
          <w:sz w:val="24"/>
          <w:szCs w:val="24"/>
          <w:highlight w:val="none"/>
          <w:lang w:eastAsia="zh-CN"/>
        </w:rPr>
        <w:t>项目</w:t>
      </w:r>
      <w:r>
        <w:rPr>
          <w:rFonts w:hint="eastAsia" w:ascii="宋体" w:hAnsi="宋体" w:eastAsia="宋体" w:cs="宋体"/>
          <w:color w:val="auto"/>
          <w:sz w:val="24"/>
          <w:szCs w:val="24"/>
          <w:highlight w:val="none"/>
        </w:rPr>
        <w:t>有关的安全措施。针对有可能发生火灾、爆炸、触电、高空坠落、中毒、窒息、机械伤害、烧烫伤等危险或引起严重设备事故的施工，投标方应事先向招标方详细了解情况，并制定施工安全技术措施，经招标方确认后实施。针对高空作业、交叉、动火等特殊作业，必须制定并落实针对性的安全防范保护措施，确保人身、设备、施工机械的安全。投标方还应落实好保证消防安全的措施，施工时注意留出安全消防通道，不得妨碍交通</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通行</w:t>
      </w:r>
      <w:r>
        <w:rPr>
          <w:rFonts w:hint="eastAsia" w:ascii="宋体" w:hAnsi="宋体" w:eastAsia="宋体" w:cs="宋体"/>
          <w:color w:val="auto"/>
          <w:sz w:val="24"/>
          <w:szCs w:val="24"/>
          <w:highlight w:val="none"/>
        </w:rPr>
        <w:t>。作业人员在作业区域内必须遵守招标方安全管理的有关规定和制度，佩好胸卡，戴好安全帽等个人安全器具，不准进入与作业无关的区域，并随时接受招标方的项目负责人的工作指导和安监人员现场的安全监督。</w:t>
      </w:r>
    </w:p>
    <w:p w14:paraId="69B5EFA4">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lang w:val="en-US" w:eastAsia="zh-CN"/>
        </w:rPr>
        <w:t xml:space="preserve">.5 </w:t>
      </w:r>
      <w:r>
        <w:rPr>
          <w:rFonts w:hint="eastAsia" w:ascii="宋体" w:hAnsi="宋体" w:eastAsia="宋体" w:cs="宋体"/>
          <w:color w:val="auto"/>
          <w:sz w:val="24"/>
          <w:szCs w:val="24"/>
          <w:highlight w:val="none"/>
        </w:rPr>
        <w:t>投标方</w:t>
      </w:r>
      <w:r>
        <w:rPr>
          <w:rFonts w:hint="eastAsia" w:ascii="宋体" w:hAnsi="宋体" w:eastAsia="宋体" w:cs="宋体"/>
          <w:color w:val="auto"/>
          <w:sz w:val="24"/>
          <w:szCs w:val="24"/>
          <w:highlight w:val="none"/>
          <w:lang w:eastAsia="zh-CN"/>
        </w:rPr>
        <w:t>项目负责人</w:t>
      </w:r>
      <w:r>
        <w:rPr>
          <w:rFonts w:hint="eastAsia" w:ascii="宋体" w:hAnsi="宋体" w:eastAsia="宋体" w:cs="宋体"/>
          <w:color w:val="auto"/>
          <w:sz w:val="24"/>
          <w:szCs w:val="24"/>
          <w:highlight w:val="none"/>
        </w:rPr>
        <w:t>是本</w:t>
      </w:r>
      <w:r>
        <w:rPr>
          <w:rFonts w:hint="eastAsia" w:ascii="宋体" w:hAnsi="宋体" w:eastAsia="宋体" w:cs="宋体"/>
          <w:color w:val="auto"/>
          <w:sz w:val="24"/>
          <w:szCs w:val="24"/>
          <w:highlight w:val="none"/>
          <w:lang w:val="en-US" w:eastAsia="zh-CN"/>
        </w:rPr>
        <w:t>项目</w:t>
      </w:r>
      <w:r>
        <w:rPr>
          <w:rFonts w:hint="eastAsia" w:ascii="宋体" w:hAnsi="宋体" w:eastAsia="宋体" w:cs="宋体"/>
          <w:color w:val="auto"/>
          <w:sz w:val="24"/>
          <w:szCs w:val="24"/>
          <w:highlight w:val="none"/>
        </w:rPr>
        <w:t>的安全工作的第一责任人，对本</w:t>
      </w:r>
      <w:r>
        <w:rPr>
          <w:rFonts w:hint="eastAsia" w:ascii="宋体" w:hAnsi="宋体" w:eastAsia="宋体" w:cs="宋体"/>
          <w:color w:val="auto"/>
          <w:sz w:val="24"/>
          <w:szCs w:val="24"/>
          <w:highlight w:val="none"/>
          <w:lang w:val="en-US" w:eastAsia="zh-CN"/>
        </w:rPr>
        <w:t>项目</w:t>
      </w:r>
      <w:r>
        <w:rPr>
          <w:rFonts w:hint="eastAsia" w:ascii="宋体" w:hAnsi="宋体" w:eastAsia="宋体" w:cs="宋体"/>
          <w:color w:val="auto"/>
          <w:sz w:val="24"/>
          <w:szCs w:val="24"/>
          <w:highlight w:val="none"/>
        </w:rPr>
        <w:t>工作期间所有施工项目的实施过程中涉及的安全负责，以及施工现场、施工过程中的安全负责。投标方参加施工的特种作业人员和特种设备作业人员必须具备政府主管部门（车间）颁发的有效证书或证明，提交招标方审核、备案。</w:t>
      </w:r>
    </w:p>
    <w:p w14:paraId="2810DBE6">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lang w:val="en-US" w:eastAsia="zh-CN"/>
        </w:rPr>
        <w:t>.6 投标方负责对本单位施工人员进行安全生产教育和安全考试，考试合格后方可参与项目相关工作。安全教育培训应形成书面记录，并由本人签名确认。未经安全生产教育以及培训考核不合格的工作人员，不得上岗作业。受教育人员的名单和考试成绩必须报招标方安全环保部备案，凡增补或调换人员，更换工种，必须及时进行安全教育和考试，考试成绩报招标方安全环保部备案。未接受安全教育和安全考试不合格者不得进入现场施工。</w:t>
      </w:r>
    </w:p>
    <w:p w14:paraId="5CA0E699">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lang w:val="en-US" w:eastAsia="zh-CN"/>
        </w:rPr>
        <w:t>.7 投标方应接受招标方的监督、检查和指导。对于招标方查出的隐患及问题，投标方必须限期整改。当招标方认为确实有必要暂停施工，并提出要求投标方暂停施工意见后，投标方应当按招标方要求停止施工。投标方实施处理意见后，以书面形式向招标方提出复工要求。在招标方组织验收并签字同意后，投标方重新施工。对招标方违反安全生产规定、制度的要求，投标方有权拒绝执行，有权要求招标方改进。</w:t>
      </w:r>
    </w:p>
    <w:p w14:paraId="5C9BA1A0">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lang w:val="en-US" w:eastAsia="zh-CN"/>
        </w:rPr>
        <w:t>.8 各种安全防护设施如：遮栏、安全标志牌、警告牌、接地线、脚手架结构等不得擅自拆除、变更。如确实需要拆除、变更的，必须经招标方项目主管部门负责人和上述安全设施、标志设置单位（人员）同意，采取必要、可靠的安全措施后，方能拆除、变更现场安全防护设施。投标方因施工需要设置的安全防护设施、安全标志牌，其他人员不得擅自拆除，投方在项目完成后应及时拆除，不得无故延误。</w:t>
      </w:r>
    </w:p>
    <w:p w14:paraId="28A3A1A4">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lang w:val="en-US" w:eastAsia="zh-CN"/>
        </w:rPr>
        <w:t xml:space="preserve">.9 </w:t>
      </w:r>
      <w:r>
        <w:rPr>
          <w:rFonts w:hint="eastAsia" w:ascii="宋体" w:hAnsi="宋体" w:eastAsia="宋体" w:cs="宋体"/>
          <w:color w:val="auto"/>
          <w:sz w:val="24"/>
          <w:szCs w:val="24"/>
          <w:highlight w:val="none"/>
        </w:rPr>
        <w:t>招标人已经将水、电源提供到检修区就近的地方，投标人必须按照国家有关规范、安全的要求自行连接到使用地点，并负责水、电线路及装置日常维护和管理。</w:t>
      </w:r>
    </w:p>
    <w:p w14:paraId="4F2572AE">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lang w:val="en-US" w:eastAsia="zh-CN"/>
        </w:rPr>
        <w:t xml:space="preserve">.10 </w:t>
      </w:r>
      <w:r>
        <w:rPr>
          <w:rFonts w:hint="eastAsia" w:ascii="宋体" w:hAnsi="宋体" w:eastAsia="宋体" w:cs="宋体"/>
          <w:color w:val="auto"/>
          <w:sz w:val="24"/>
          <w:szCs w:val="24"/>
          <w:highlight w:val="none"/>
        </w:rPr>
        <w:t>投标人必须按国家颁布的安全规范及要求进行施工。</w:t>
      </w:r>
    </w:p>
    <w:p w14:paraId="646B4FE4">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lang w:val="en-US" w:eastAsia="zh-CN"/>
        </w:rPr>
        <w:t xml:space="preserve">.11 </w:t>
      </w:r>
      <w:r>
        <w:rPr>
          <w:rFonts w:hint="eastAsia" w:ascii="宋体" w:hAnsi="宋体" w:eastAsia="宋体" w:cs="宋体"/>
          <w:color w:val="auto"/>
          <w:sz w:val="24"/>
          <w:szCs w:val="24"/>
          <w:highlight w:val="none"/>
        </w:rPr>
        <w:t>投标人在规定的施工场地内施工，不得随意占用厂内的主干道。施工的临时设施，各类加工场地及堆棚、用电、用水，要符合安全要求，要有管理制度。各类施工机具堆放整齐，要设有安全及文明安装的标牌。</w:t>
      </w:r>
    </w:p>
    <w:p w14:paraId="793E7C96">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lang w:val="en-US" w:eastAsia="zh-CN"/>
        </w:rPr>
        <w:t xml:space="preserve">.12 </w:t>
      </w:r>
      <w:r>
        <w:rPr>
          <w:rFonts w:hint="eastAsia" w:ascii="宋体" w:hAnsi="宋体" w:eastAsia="宋体" w:cs="宋体"/>
          <w:color w:val="auto"/>
          <w:sz w:val="24"/>
          <w:szCs w:val="24"/>
          <w:highlight w:val="none"/>
        </w:rPr>
        <w:t>保证安装现场清洁整齐，材料分类堆码整齐，施工剩余物资、边角余料、垃圾等均由投标人收集并运到招标人指定地点，并不得增加任何费用。</w:t>
      </w:r>
    </w:p>
    <w:p w14:paraId="7E01B5A6">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lang w:val="en-US" w:eastAsia="zh-CN"/>
        </w:rPr>
        <w:t xml:space="preserve">.13 </w:t>
      </w:r>
      <w:r>
        <w:rPr>
          <w:rFonts w:hint="eastAsia" w:ascii="宋体" w:hAnsi="宋体" w:eastAsia="宋体" w:cs="宋体"/>
          <w:color w:val="auto"/>
          <w:sz w:val="24"/>
          <w:szCs w:val="24"/>
          <w:highlight w:val="none"/>
        </w:rPr>
        <w:t>投标人负责施工区域的安全、保卫工作及施工照明，采取有效措施确保施工安全，杜绝重大人身伤亡及设备事故。如因投标人安全措施不到位而发生责任事故，全部损失由投标人承担。</w:t>
      </w:r>
    </w:p>
    <w:p w14:paraId="28B34F20">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lang w:val="en-US" w:eastAsia="zh-CN"/>
        </w:rPr>
        <w:t xml:space="preserve">.14 </w:t>
      </w:r>
      <w:r>
        <w:rPr>
          <w:rFonts w:hint="eastAsia" w:ascii="宋体" w:hAnsi="宋体" w:eastAsia="宋体" w:cs="宋体"/>
          <w:color w:val="auto"/>
          <w:sz w:val="24"/>
          <w:szCs w:val="24"/>
          <w:highlight w:val="none"/>
        </w:rPr>
        <w:t>投标人必须具备安装所需的各类规范、国家标准，各类有关的技术标准等技术资料，招标人认为有必要时，必须无条件提供。</w:t>
      </w:r>
    </w:p>
    <w:p w14:paraId="785A63B4">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lang w:val="en-US" w:eastAsia="zh-CN"/>
        </w:rPr>
        <w:t xml:space="preserve">.15 </w:t>
      </w:r>
      <w:r>
        <w:rPr>
          <w:rFonts w:hint="eastAsia" w:ascii="宋体" w:hAnsi="宋体" w:eastAsia="宋体" w:cs="宋体"/>
          <w:color w:val="auto"/>
          <w:sz w:val="24"/>
          <w:szCs w:val="24"/>
          <w:highlight w:val="none"/>
        </w:rPr>
        <w:t>投标人必须在合同意向确认后，立即组织有关施工人员进驻现场，向招标人提供开工报告、组织施工方案、安全承诺书、质量保证措施，及各项施工准备（机具和人员）。</w:t>
      </w:r>
    </w:p>
    <w:p w14:paraId="3CD54C2D">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lang w:val="en-US" w:eastAsia="zh-CN"/>
        </w:rPr>
        <w:t>.16 项目</w:t>
      </w:r>
      <w:r>
        <w:rPr>
          <w:rFonts w:hint="eastAsia" w:ascii="宋体" w:hAnsi="宋体" w:eastAsia="宋体" w:cs="宋体"/>
          <w:color w:val="auto"/>
          <w:sz w:val="24"/>
          <w:szCs w:val="24"/>
          <w:highlight w:val="none"/>
        </w:rPr>
        <w:t>开工后，投标人要与招标人单位密切配合，为施工创造条件；施工交叉作业时，要服从招标人的统一协调安排。</w:t>
      </w:r>
    </w:p>
    <w:p w14:paraId="439C6F8B">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lang w:val="en-US" w:eastAsia="zh-CN"/>
        </w:rPr>
        <w:t xml:space="preserve">.17 </w:t>
      </w:r>
      <w:r>
        <w:rPr>
          <w:rFonts w:hint="eastAsia" w:ascii="宋体" w:hAnsi="宋体" w:eastAsia="宋体" w:cs="宋体"/>
          <w:color w:val="auto"/>
          <w:sz w:val="24"/>
          <w:szCs w:val="24"/>
          <w:highlight w:val="none"/>
        </w:rPr>
        <w:t>全体施工工作人员必须严格遵守施工</w:t>
      </w:r>
      <w:r>
        <w:rPr>
          <w:rFonts w:hint="eastAsia" w:ascii="宋体" w:hAnsi="宋体" w:eastAsia="宋体" w:cs="宋体"/>
          <w:color w:val="auto"/>
          <w:sz w:val="24"/>
          <w:szCs w:val="24"/>
          <w:highlight w:val="none"/>
          <w:lang w:eastAsia="zh-CN"/>
        </w:rPr>
        <w:t>项目</w:t>
      </w:r>
      <w:r>
        <w:rPr>
          <w:rFonts w:hint="eastAsia" w:ascii="宋体" w:hAnsi="宋体" w:eastAsia="宋体" w:cs="宋体"/>
          <w:color w:val="auto"/>
          <w:sz w:val="24"/>
          <w:szCs w:val="24"/>
          <w:highlight w:val="none"/>
        </w:rPr>
        <w:t>所在地的有关规定，由于违反规定而发生的一切后果由投标人自负。</w:t>
      </w:r>
    </w:p>
    <w:p w14:paraId="63AD1051">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lang w:val="en-US" w:eastAsia="zh-CN"/>
        </w:rPr>
        <w:t xml:space="preserve">.18 </w:t>
      </w:r>
      <w:r>
        <w:rPr>
          <w:rFonts w:hint="eastAsia" w:ascii="宋体" w:hAnsi="宋体" w:eastAsia="宋体" w:cs="宋体"/>
          <w:color w:val="auto"/>
          <w:sz w:val="24"/>
          <w:szCs w:val="24"/>
          <w:highlight w:val="none"/>
        </w:rPr>
        <w:t>投标人在容器内施工应符合安全规范，并做好上下交叉作业的安全措施。</w:t>
      </w:r>
    </w:p>
    <w:p w14:paraId="5283F939">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zh-CN"/>
        </w:rPr>
      </w:pP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lang w:val="en-US" w:eastAsia="zh-CN"/>
        </w:rPr>
        <w:t xml:space="preserve">.19 </w:t>
      </w:r>
      <w:r>
        <w:rPr>
          <w:rFonts w:hint="eastAsia" w:ascii="宋体" w:hAnsi="宋体" w:eastAsia="宋体" w:cs="宋体"/>
          <w:color w:val="auto"/>
          <w:sz w:val="24"/>
          <w:szCs w:val="24"/>
          <w:highlight w:val="none"/>
          <w:lang w:val="zh-CN"/>
        </w:rPr>
        <w:t>由于招标方原因造成投标方人身或设备事故，投标方负责处理，招标方承担责任并配合处理。</w:t>
      </w:r>
    </w:p>
    <w:p w14:paraId="2D36A97F">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lang w:val="en-US" w:eastAsia="zh-CN"/>
        </w:rPr>
        <w:t>.20</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zh-CN"/>
        </w:rPr>
        <w:t>在检修过程中出现的被更换下来的任何废旧设备、配件和装置性材料均为招标方所有，应妥善保护并及时向招标方移交被更换下来的设备或材料。应每天对施工现场的废物、垃圾进行</w:t>
      </w:r>
      <w:r>
        <w:rPr>
          <w:rFonts w:hint="eastAsia" w:ascii="宋体" w:hAnsi="宋体" w:eastAsia="宋体" w:cs="宋体"/>
          <w:color w:val="auto"/>
          <w:sz w:val="24"/>
          <w:szCs w:val="24"/>
          <w:highlight w:val="none"/>
          <w:lang w:val="zh-CN" w:eastAsia="zh-CN"/>
        </w:rPr>
        <w:t>一次清理，并将其集中堆放在招标方同意的地点。</w:t>
      </w:r>
    </w:p>
    <w:p w14:paraId="7483DCD4">
      <w:pPr>
        <w:pStyle w:val="2"/>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color w:val="auto"/>
          <w:sz w:val="24"/>
          <w:szCs w:val="24"/>
          <w:highlight w:val="none"/>
          <w:lang w:val="en-US" w:eastAsia="zh-CN"/>
        </w:rPr>
      </w:pPr>
      <w:bookmarkStart w:id="24" w:name="_Toc141011861"/>
      <w:bookmarkStart w:id="25" w:name="_Toc21887"/>
      <w:bookmarkStart w:id="26" w:name="_Toc6943"/>
      <w:r>
        <w:rPr>
          <w:rFonts w:hint="eastAsia" w:ascii="宋体" w:hAnsi="宋体" w:eastAsia="宋体" w:cs="宋体"/>
          <w:color w:val="auto"/>
          <w:sz w:val="24"/>
          <w:szCs w:val="24"/>
          <w:highlight w:val="none"/>
          <w:lang w:val="en-US" w:eastAsia="zh-CN"/>
        </w:rPr>
        <w:t>1</w:t>
      </w: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lang w:val="en-US" w:eastAsia="zh-CN"/>
        </w:rPr>
        <w:t xml:space="preserve"> 考核</w:t>
      </w:r>
      <w:bookmarkEnd w:id="24"/>
      <w:bookmarkEnd w:id="25"/>
      <w:bookmarkEnd w:id="26"/>
    </w:p>
    <w:p w14:paraId="34FE2AB9">
      <w:pPr>
        <w:pStyle w:val="1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val="en-US" w:eastAsia="zh-CN"/>
        </w:rPr>
      </w:pPr>
      <w:bookmarkStart w:id="27" w:name="_Toc141011862"/>
      <w:r>
        <w:rPr>
          <w:rFonts w:hint="eastAsia" w:ascii="宋体" w:hAnsi="宋体" w:eastAsia="宋体" w:cs="宋体"/>
          <w:color w:val="auto"/>
          <w:sz w:val="24"/>
          <w:szCs w:val="24"/>
          <w:highlight w:val="none"/>
          <w:lang w:val="en-US" w:eastAsia="zh-CN"/>
        </w:rPr>
        <w:t>1</w:t>
      </w:r>
      <w:r>
        <w:rPr>
          <w:rFonts w:hint="eastAsia" w:hAnsi="宋体" w:cs="宋体"/>
          <w:color w:val="auto"/>
          <w:sz w:val="24"/>
          <w:szCs w:val="24"/>
          <w:highlight w:val="none"/>
          <w:lang w:val="en-US" w:eastAsia="zh-CN"/>
        </w:rPr>
        <w:t>1</w:t>
      </w:r>
      <w:r>
        <w:rPr>
          <w:rFonts w:hint="eastAsia" w:ascii="宋体" w:hAnsi="宋体" w:eastAsia="宋体" w:cs="宋体"/>
          <w:color w:val="auto"/>
          <w:sz w:val="24"/>
          <w:szCs w:val="24"/>
          <w:highlight w:val="none"/>
          <w:lang w:val="en-US" w:eastAsia="zh-CN"/>
        </w:rPr>
        <w:t>.1 范 围</w:t>
      </w:r>
    </w:p>
    <w:p w14:paraId="6D8FEB29">
      <w:pPr>
        <w:pStyle w:val="13"/>
        <w:bidi w:val="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本办法规定了对设备维保工程项目的管理考核、维修质量与可靠性、进度、文明生产等考核及奖励办法详见附件13：《考核标准及奖励标准》。</w:t>
      </w:r>
    </w:p>
    <w:p w14:paraId="4F2D48B9">
      <w:pPr>
        <w:pStyle w:val="2"/>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color w:val="auto"/>
          <w:sz w:val="24"/>
          <w:szCs w:val="24"/>
          <w:highlight w:val="none"/>
          <w:lang w:val="en-US" w:eastAsia="zh-CN"/>
        </w:rPr>
      </w:pPr>
      <w:bookmarkStart w:id="28" w:name="_Toc2692"/>
      <w:bookmarkStart w:id="29" w:name="_Toc28310"/>
      <w:r>
        <w:rPr>
          <w:rFonts w:hint="eastAsia" w:ascii="宋体" w:hAnsi="宋体" w:eastAsia="宋体" w:cs="宋体"/>
          <w:color w:val="auto"/>
          <w:sz w:val="24"/>
          <w:szCs w:val="24"/>
          <w:highlight w:val="none"/>
          <w:lang w:val="en-US" w:eastAsia="zh-CN"/>
        </w:rPr>
        <w:t>1</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 xml:space="preserve"> 附则</w:t>
      </w:r>
      <w:bookmarkEnd w:id="28"/>
      <w:bookmarkEnd w:id="29"/>
    </w:p>
    <w:p w14:paraId="6B5C7DA1">
      <w:pPr>
        <w:pStyle w:val="1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w:t>
      </w:r>
      <w:r>
        <w:rPr>
          <w:rFonts w:hint="eastAsia" w:hAnsi="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.1 本办法是合同协议书的附件，作为合同的构成部分。附件中的维护质量与可靠性、维护作业安全考核项目中的相关工作，虽经（或未经）招标方管理人员的验收，均不能免除投标方的相关责任。</w:t>
      </w:r>
    </w:p>
    <w:p w14:paraId="780935F1">
      <w:pPr>
        <w:pStyle w:val="1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w:t>
      </w:r>
      <w:r>
        <w:rPr>
          <w:rFonts w:hint="eastAsia" w:hAnsi="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.2 投标方应在投标之前就本办法的内容进行研究并考虑相关风险，在招标澄清时提请解释或提出相关的协商意见。一旦投标，将被认为已熟悉了本办法并双方同意，在执行时有关条款的度量权为招标方。</w:t>
      </w:r>
    </w:p>
    <w:p w14:paraId="5B1D7397">
      <w:pPr>
        <w:pStyle w:val="2"/>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color w:val="auto"/>
          <w:sz w:val="24"/>
          <w:szCs w:val="24"/>
          <w:highlight w:val="none"/>
          <w:lang w:val="en-US" w:eastAsia="zh-CN"/>
        </w:rPr>
      </w:pPr>
      <w:bookmarkStart w:id="30" w:name="_Toc26588"/>
      <w:bookmarkStart w:id="31" w:name="_Toc32228"/>
      <w:r>
        <w:rPr>
          <w:rFonts w:hint="eastAsia" w:ascii="宋体" w:hAnsi="宋体" w:eastAsia="宋体" w:cs="宋体"/>
          <w:color w:val="auto"/>
          <w:sz w:val="24"/>
          <w:szCs w:val="24"/>
          <w:highlight w:val="none"/>
          <w:lang w:val="en-US" w:eastAsia="zh-CN"/>
        </w:rPr>
        <w:t>1</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lang w:val="en-US" w:eastAsia="zh-CN"/>
        </w:rPr>
        <w:t xml:space="preserve"> 附录附表</w:t>
      </w:r>
      <w:bookmarkEnd w:id="27"/>
      <w:bookmarkEnd w:id="30"/>
      <w:bookmarkEnd w:id="31"/>
    </w:p>
    <w:p w14:paraId="709A90AA">
      <w:pPr>
        <w:snapToGrid w:val="0"/>
        <w:spacing w:line="360" w:lineRule="auto"/>
        <w:jc w:val="left"/>
        <w:rPr>
          <w:rStyle w:val="46"/>
          <w:rFonts w:hint="eastAsia" w:ascii="宋体" w:hAnsi="宋体" w:eastAsia="宋体" w:cs="宋体"/>
          <w:bCs/>
          <w:color w:val="auto"/>
          <w:sz w:val="24"/>
          <w:szCs w:val="24"/>
          <w:highlight w:val="none"/>
        </w:rPr>
      </w:pPr>
      <w:r>
        <w:rPr>
          <w:rStyle w:val="46"/>
          <w:rFonts w:hint="eastAsia" w:ascii="宋体" w:hAnsi="宋体" w:eastAsia="宋体" w:cs="宋体"/>
          <w:bCs/>
          <w:color w:val="auto"/>
          <w:sz w:val="24"/>
          <w:szCs w:val="24"/>
          <w:highlight w:val="none"/>
        </w:rPr>
        <w:t>附录A  差异表</w:t>
      </w:r>
    </w:p>
    <w:p w14:paraId="63455C12">
      <w:pPr>
        <w:snapToGrid w:val="0"/>
        <w:spacing w:line="360" w:lineRule="auto"/>
        <w:jc w:val="left"/>
        <w:rPr>
          <w:rStyle w:val="46"/>
          <w:rFonts w:hint="eastAsia" w:ascii="宋体" w:hAnsi="宋体" w:eastAsia="宋体" w:cs="宋体"/>
          <w:bCs/>
          <w:color w:val="auto"/>
          <w:sz w:val="24"/>
          <w:szCs w:val="24"/>
          <w:highlight w:val="none"/>
        </w:rPr>
      </w:pPr>
      <w:r>
        <w:rPr>
          <w:rStyle w:val="46"/>
          <w:rFonts w:hint="eastAsia" w:ascii="宋体" w:hAnsi="宋体" w:eastAsia="宋体" w:cs="宋体"/>
          <w:bCs/>
          <w:color w:val="auto"/>
          <w:sz w:val="24"/>
          <w:szCs w:val="24"/>
          <w:highlight w:val="none"/>
        </w:rPr>
        <w:t>附录B  主要技术、管理人员情况表</w:t>
      </w:r>
    </w:p>
    <w:p w14:paraId="0DD5292A">
      <w:pPr>
        <w:snapToGrid w:val="0"/>
        <w:spacing w:line="360" w:lineRule="auto"/>
        <w:jc w:val="left"/>
        <w:rPr>
          <w:rStyle w:val="46"/>
          <w:rFonts w:hint="eastAsia" w:ascii="宋体" w:hAnsi="宋体" w:eastAsia="宋体" w:cs="宋体"/>
          <w:bCs/>
          <w:color w:val="auto"/>
          <w:sz w:val="24"/>
          <w:szCs w:val="24"/>
          <w:highlight w:val="none"/>
        </w:rPr>
        <w:sectPr>
          <w:endnotePr>
            <w:numFmt w:val="decimal"/>
          </w:endnotePr>
          <w:pgSz w:w="11906" w:h="16838"/>
          <w:pgMar w:top="1418" w:right="1134" w:bottom="1134" w:left="1418" w:header="851" w:footer="641" w:gutter="0"/>
          <w:cols w:space="720" w:num="1"/>
          <w:docGrid w:linePitch="312" w:charSpace="0"/>
        </w:sectPr>
      </w:pPr>
    </w:p>
    <w:p w14:paraId="33E48070">
      <w:pPr>
        <w:snapToGrid w:val="0"/>
        <w:spacing w:line="360" w:lineRule="auto"/>
        <w:jc w:val="left"/>
        <w:rPr>
          <w:rStyle w:val="46"/>
          <w:rFonts w:hint="eastAsia" w:ascii="宋体" w:hAnsi="宋体" w:eastAsia="宋体" w:cs="宋体"/>
          <w:bCs/>
          <w:color w:val="auto"/>
          <w:sz w:val="24"/>
          <w:szCs w:val="24"/>
          <w:highlight w:val="none"/>
        </w:rPr>
      </w:pPr>
      <w:r>
        <w:rPr>
          <w:rStyle w:val="46"/>
          <w:rFonts w:hint="eastAsia" w:ascii="宋体" w:hAnsi="宋体" w:eastAsia="宋体" w:cs="宋体"/>
          <w:bCs/>
          <w:color w:val="auto"/>
          <w:sz w:val="24"/>
          <w:szCs w:val="24"/>
          <w:highlight w:val="none"/>
        </w:rPr>
        <w:t>附录A  差异表</w:t>
      </w:r>
    </w:p>
    <w:tbl>
      <w:tblPr>
        <w:tblStyle w:val="19"/>
        <w:tblW w:w="933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168"/>
        <w:gridCol w:w="1566"/>
        <w:gridCol w:w="2145"/>
        <w:gridCol w:w="1377"/>
        <w:gridCol w:w="3079"/>
      </w:tblGrid>
      <w:tr w14:paraId="3BAB31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2" w:hRule="atLeast"/>
          <w:jc w:val="center"/>
        </w:trPr>
        <w:tc>
          <w:tcPr>
            <w:tcW w:w="1168" w:type="dxa"/>
            <w:tcBorders>
              <w:top w:val="single" w:color="000000" w:sz="6" w:space="0"/>
              <w:left w:val="single" w:color="000000" w:sz="6" w:space="0"/>
              <w:bottom w:val="single" w:color="000000" w:sz="6" w:space="0"/>
              <w:right w:val="single" w:color="000000" w:sz="6" w:space="0"/>
            </w:tcBorders>
            <w:vAlign w:val="center"/>
          </w:tcPr>
          <w:p w14:paraId="1CF43896">
            <w:pPr>
              <w:rPr>
                <w:rFonts w:hint="eastAsia" w:ascii="宋体" w:hAnsi="宋体" w:eastAsia="宋体" w:cs="宋体"/>
                <w:color w:val="auto"/>
                <w:sz w:val="24"/>
                <w:szCs w:val="24"/>
                <w:highlight w:val="none"/>
              </w:rPr>
            </w:pPr>
          </w:p>
        </w:tc>
        <w:tc>
          <w:tcPr>
            <w:tcW w:w="3711" w:type="dxa"/>
            <w:gridSpan w:val="2"/>
            <w:tcBorders>
              <w:top w:val="single" w:color="000000" w:sz="6" w:space="0"/>
              <w:left w:val="single" w:color="000000" w:sz="6" w:space="0"/>
              <w:bottom w:val="single" w:color="000000" w:sz="6" w:space="0"/>
              <w:right w:val="single" w:color="000000" w:sz="6" w:space="0"/>
            </w:tcBorders>
            <w:vAlign w:val="center"/>
          </w:tcPr>
          <w:p w14:paraId="22B06C72">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技术规范书</w:t>
            </w:r>
          </w:p>
        </w:tc>
        <w:tc>
          <w:tcPr>
            <w:tcW w:w="4456" w:type="dxa"/>
            <w:gridSpan w:val="2"/>
            <w:tcBorders>
              <w:top w:val="single" w:color="000000" w:sz="6" w:space="0"/>
              <w:left w:val="single" w:color="000000" w:sz="6" w:space="0"/>
              <w:bottom w:val="single" w:color="000000" w:sz="6" w:space="0"/>
              <w:right w:val="single" w:color="000000" w:sz="6" w:space="0"/>
            </w:tcBorders>
            <w:vAlign w:val="center"/>
          </w:tcPr>
          <w:p w14:paraId="7A0DB9EA">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投标技术文件</w:t>
            </w:r>
          </w:p>
        </w:tc>
      </w:tr>
      <w:tr w14:paraId="2A9123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2" w:hRule="atLeast"/>
          <w:jc w:val="center"/>
        </w:trPr>
        <w:tc>
          <w:tcPr>
            <w:tcW w:w="1168" w:type="dxa"/>
            <w:tcBorders>
              <w:top w:val="single" w:color="000000" w:sz="6" w:space="0"/>
              <w:left w:val="single" w:color="000000" w:sz="6" w:space="0"/>
              <w:bottom w:val="single" w:color="000000" w:sz="6" w:space="0"/>
              <w:right w:val="single" w:color="000000" w:sz="6" w:space="0"/>
            </w:tcBorders>
            <w:vAlign w:val="center"/>
          </w:tcPr>
          <w:p w14:paraId="5F9AC849">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1566" w:type="dxa"/>
            <w:tcBorders>
              <w:top w:val="single" w:color="000000" w:sz="6" w:space="0"/>
              <w:left w:val="single" w:color="000000" w:sz="6" w:space="0"/>
              <w:bottom w:val="single" w:color="000000" w:sz="6" w:space="0"/>
              <w:right w:val="single" w:color="000000" w:sz="6" w:space="0"/>
            </w:tcBorders>
            <w:vAlign w:val="center"/>
          </w:tcPr>
          <w:p w14:paraId="217EF7C5">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条目</w:t>
            </w:r>
          </w:p>
        </w:tc>
        <w:tc>
          <w:tcPr>
            <w:tcW w:w="2145" w:type="dxa"/>
            <w:tcBorders>
              <w:top w:val="single" w:color="000000" w:sz="6" w:space="0"/>
              <w:left w:val="single" w:color="000000" w:sz="6" w:space="0"/>
              <w:bottom w:val="single" w:color="000000" w:sz="6" w:space="0"/>
              <w:right w:val="single" w:color="000000" w:sz="6" w:space="0"/>
            </w:tcBorders>
            <w:vAlign w:val="center"/>
          </w:tcPr>
          <w:p w14:paraId="6BCDAC83">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简要内容</w:t>
            </w:r>
          </w:p>
        </w:tc>
        <w:tc>
          <w:tcPr>
            <w:tcW w:w="1377" w:type="dxa"/>
            <w:tcBorders>
              <w:top w:val="single" w:color="000000" w:sz="6" w:space="0"/>
              <w:left w:val="single" w:color="000000" w:sz="6" w:space="0"/>
              <w:bottom w:val="single" w:color="000000" w:sz="6" w:space="0"/>
              <w:right w:val="single" w:color="000000" w:sz="6" w:space="0"/>
            </w:tcBorders>
            <w:vAlign w:val="center"/>
          </w:tcPr>
          <w:p w14:paraId="52CCCE7F">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条目</w:t>
            </w:r>
          </w:p>
        </w:tc>
        <w:tc>
          <w:tcPr>
            <w:tcW w:w="3079" w:type="dxa"/>
            <w:tcBorders>
              <w:top w:val="single" w:color="000000" w:sz="6" w:space="0"/>
              <w:left w:val="single" w:color="000000" w:sz="6" w:space="0"/>
              <w:bottom w:val="single" w:color="000000" w:sz="6" w:space="0"/>
              <w:right w:val="single" w:color="000000" w:sz="6" w:space="0"/>
            </w:tcBorders>
            <w:vAlign w:val="center"/>
          </w:tcPr>
          <w:p w14:paraId="12E37361">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简要内容</w:t>
            </w:r>
          </w:p>
        </w:tc>
      </w:tr>
      <w:tr w14:paraId="293247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2" w:hRule="atLeast"/>
          <w:jc w:val="center"/>
        </w:trPr>
        <w:tc>
          <w:tcPr>
            <w:tcW w:w="1168" w:type="dxa"/>
            <w:tcBorders>
              <w:top w:val="single" w:color="000000" w:sz="6" w:space="0"/>
              <w:left w:val="single" w:color="000000" w:sz="6" w:space="0"/>
              <w:bottom w:val="single" w:color="000000" w:sz="6" w:space="0"/>
              <w:right w:val="single" w:color="000000" w:sz="6" w:space="0"/>
            </w:tcBorders>
            <w:vAlign w:val="center"/>
          </w:tcPr>
          <w:p w14:paraId="0C5CE3D0">
            <w:pPr>
              <w:snapToGrid w:val="0"/>
              <w:spacing w:line="360" w:lineRule="auto"/>
              <w:jc w:val="left"/>
              <w:rPr>
                <w:rStyle w:val="46"/>
                <w:rFonts w:hint="eastAsia" w:ascii="宋体" w:hAnsi="宋体" w:eastAsia="宋体" w:cs="宋体"/>
                <w:color w:val="auto"/>
                <w:sz w:val="24"/>
                <w:szCs w:val="24"/>
                <w:highlight w:val="none"/>
              </w:rPr>
            </w:pPr>
          </w:p>
        </w:tc>
        <w:tc>
          <w:tcPr>
            <w:tcW w:w="1566" w:type="dxa"/>
            <w:tcBorders>
              <w:top w:val="single" w:color="000000" w:sz="6" w:space="0"/>
              <w:left w:val="single" w:color="000000" w:sz="6" w:space="0"/>
              <w:bottom w:val="single" w:color="000000" w:sz="6" w:space="0"/>
              <w:right w:val="single" w:color="000000" w:sz="6" w:space="0"/>
            </w:tcBorders>
            <w:vAlign w:val="center"/>
          </w:tcPr>
          <w:p w14:paraId="2055950F">
            <w:pPr>
              <w:snapToGrid w:val="0"/>
              <w:spacing w:line="360" w:lineRule="auto"/>
              <w:jc w:val="left"/>
              <w:rPr>
                <w:rStyle w:val="46"/>
                <w:rFonts w:hint="eastAsia" w:ascii="宋体" w:hAnsi="宋体" w:eastAsia="宋体" w:cs="宋体"/>
                <w:color w:val="auto"/>
                <w:sz w:val="24"/>
                <w:szCs w:val="24"/>
                <w:highlight w:val="none"/>
              </w:rPr>
            </w:pPr>
          </w:p>
        </w:tc>
        <w:tc>
          <w:tcPr>
            <w:tcW w:w="2145" w:type="dxa"/>
            <w:tcBorders>
              <w:top w:val="single" w:color="000000" w:sz="6" w:space="0"/>
              <w:left w:val="single" w:color="000000" w:sz="6" w:space="0"/>
              <w:bottom w:val="single" w:color="000000" w:sz="6" w:space="0"/>
              <w:right w:val="single" w:color="000000" w:sz="6" w:space="0"/>
            </w:tcBorders>
            <w:vAlign w:val="center"/>
          </w:tcPr>
          <w:p w14:paraId="48BDD0F6">
            <w:pPr>
              <w:snapToGrid w:val="0"/>
              <w:spacing w:line="360" w:lineRule="auto"/>
              <w:jc w:val="left"/>
              <w:rPr>
                <w:rStyle w:val="46"/>
                <w:rFonts w:hint="eastAsia" w:ascii="宋体" w:hAnsi="宋体" w:eastAsia="宋体" w:cs="宋体"/>
                <w:color w:val="auto"/>
                <w:sz w:val="24"/>
                <w:szCs w:val="24"/>
                <w:highlight w:val="none"/>
              </w:rPr>
            </w:pPr>
          </w:p>
        </w:tc>
        <w:tc>
          <w:tcPr>
            <w:tcW w:w="1377" w:type="dxa"/>
            <w:tcBorders>
              <w:top w:val="single" w:color="000000" w:sz="6" w:space="0"/>
              <w:left w:val="single" w:color="000000" w:sz="6" w:space="0"/>
              <w:bottom w:val="single" w:color="000000" w:sz="6" w:space="0"/>
              <w:right w:val="single" w:color="000000" w:sz="6" w:space="0"/>
            </w:tcBorders>
            <w:vAlign w:val="center"/>
          </w:tcPr>
          <w:p w14:paraId="6DF9F3D8">
            <w:pPr>
              <w:snapToGrid w:val="0"/>
              <w:spacing w:line="360" w:lineRule="auto"/>
              <w:jc w:val="left"/>
              <w:rPr>
                <w:rStyle w:val="46"/>
                <w:rFonts w:hint="eastAsia" w:ascii="宋体" w:hAnsi="宋体" w:eastAsia="宋体" w:cs="宋体"/>
                <w:color w:val="auto"/>
                <w:sz w:val="24"/>
                <w:szCs w:val="24"/>
                <w:highlight w:val="none"/>
              </w:rPr>
            </w:pPr>
          </w:p>
        </w:tc>
        <w:tc>
          <w:tcPr>
            <w:tcW w:w="3079" w:type="dxa"/>
            <w:tcBorders>
              <w:top w:val="single" w:color="000000" w:sz="6" w:space="0"/>
              <w:left w:val="single" w:color="000000" w:sz="6" w:space="0"/>
              <w:bottom w:val="single" w:color="000000" w:sz="6" w:space="0"/>
              <w:right w:val="single" w:color="000000" w:sz="6" w:space="0"/>
            </w:tcBorders>
            <w:vAlign w:val="center"/>
          </w:tcPr>
          <w:p w14:paraId="23A2D246">
            <w:pPr>
              <w:snapToGrid w:val="0"/>
              <w:spacing w:line="360" w:lineRule="auto"/>
              <w:jc w:val="left"/>
              <w:rPr>
                <w:rStyle w:val="46"/>
                <w:rFonts w:hint="eastAsia" w:ascii="宋体" w:hAnsi="宋体" w:eastAsia="宋体" w:cs="宋体"/>
                <w:color w:val="auto"/>
                <w:sz w:val="24"/>
                <w:szCs w:val="24"/>
                <w:highlight w:val="none"/>
              </w:rPr>
            </w:pPr>
          </w:p>
        </w:tc>
      </w:tr>
      <w:tr w14:paraId="10712F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2" w:hRule="atLeast"/>
          <w:jc w:val="center"/>
        </w:trPr>
        <w:tc>
          <w:tcPr>
            <w:tcW w:w="1168" w:type="dxa"/>
            <w:tcBorders>
              <w:top w:val="single" w:color="000000" w:sz="6" w:space="0"/>
              <w:left w:val="single" w:color="000000" w:sz="6" w:space="0"/>
              <w:bottom w:val="single" w:color="000000" w:sz="6" w:space="0"/>
              <w:right w:val="single" w:color="000000" w:sz="6" w:space="0"/>
            </w:tcBorders>
            <w:vAlign w:val="center"/>
          </w:tcPr>
          <w:p w14:paraId="7A94893F">
            <w:pPr>
              <w:snapToGrid w:val="0"/>
              <w:spacing w:line="360" w:lineRule="auto"/>
              <w:jc w:val="left"/>
              <w:rPr>
                <w:rStyle w:val="46"/>
                <w:rFonts w:hint="eastAsia" w:ascii="宋体" w:hAnsi="宋体" w:eastAsia="宋体" w:cs="宋体"/>
                <w:color w:val="auto"/>
                <w:sz w:val="24"/>
                <w:szCs w:val="24"/>
                <w:highlight w:val="none"/>
              </w:rPr>
            </w:pPr>
          </w:p>
        </w:tc>
        <w:tc>
          <w:tcPr>
            <w:tcW w:w="1566" w:type="dxa"/>
            <w:tcBorders>
              <w:top w:val="single" w:color="000000" w:sz="6" w:space="0"/>
              <w:left w:val="single" w:color="000000" w:sz="6" w:space="0"/>
              <w:bottom w:val="single" w:color="000000" w:sz="6" w:space="0"/>
              <w:right w:val="single" w:color="000000" w:sz="6" w:space="0"/>
            </w:tcBorders>
            <w:vAlign w:val="center"/>
          </w:tcPr>
          <w:p w14:paraId="61695182">
            <w:pPr>
              <w:snapToGrid w:val="0"/>
              <w:spacing w:line="360" w:lineRule="auto"/>
              <w:jc w:val="left"/>
              <w:rPr>
                <w:rStyle w:val="46"/>
                <w:rFonts w:hint="eastAsia" w:ascii="宋体" w:hAnsi="宋体" w:eastAsia="宋体" w:cs="宋体"/>
                <w:color w:val="auto"/>
                <w:sz w:val="24"/>
                <w:szCs w:val="24"/>
                <w:highlight w:val="none"/>
              </w:rPr>
            </w:pPr>
          </w:p>
        </w:tc>
        <w:tc>
          <w:tcPr>
            <w:tcW w:w="2145" w:type="dxa"/>
            <w:tcBorders>
              <w:top w:val="single" w:color="000000" w:sz="6" w:space="0"/>
              <w:left w:val="single" w:color="000000" w:sz="6" w:space="0"/>
              <w:bottom w:val="single" w:color="000000" w:sz="6" w:space="0"/>
              <w:right w:val="single" w:color="000000" w:sz="6" w:space="0"/>
            </w:tcBorders>
            <w:vAlign w:val="center"/>
          </w:tcPr>
          <w:p w14:paraId="66D6E377">
            <w:pPr>
              <w:snapToGrid w:val="0"/>
              <w:spacing w:line="360" w:lineRule="auto"/>
              <w:jc w:val="left"/>
              <w:rPr>
                <w:rStyle w:val="46"/>
                <w:rFonts w:hint="eastAsia" w:ascii="宋体" w:hAnsi="宋体" w:eastAsia="宋体" w:cs="宋体"/>
                <w:color w:val="auto"/>
                <w:sz w:val="24"/>
                <w:szCs w:val="24"/>
                <w:highlight w:val="none"/>
              </w:rPr>
            </w:pPr>
          </w:p>
        </w:tc>
        <w:tc>
          <w:tcPr>
            <w:tcW w:w="1377" w:type="dxa"/>
            <w:tcBorders>
              <w:top w:val="single" w:color="000000" w:sz="6" w:space="0"/>
              <w:left w:val="single" w:color="000000" w:sz="6" w:space="0"/>
              <w:bottom w:val="single" w:color="000000" w:sz="6" w:space="0"/>
              <w:right w:val="single" w:color="000000" w:sz="6" w:space="0"/>
            </w:tcBorders>
            <w:vAlign w:val="center"/>
          </w:tcPr>
          <w:p w14:paraId="524697A6">
            <w:pPr>
              <w:snapToGrid w:val="0"/>
              <w:spacing w:line="360" w:lineRule="auto"/>
              <w:jc w:val="left"/>
              <w:rPr>
                <w:rStyle w:val="46"/>
                <w:rFonts w:hint="eastAsia" w:ascii="宋体" w:hAnsi="宋体" w:eastAsia="宋体" w:cs="宋体"/>
                <w:color w:val="auto"/>
                <w:sz w:val="24"/>
                <w:szCs w:val="24"/>
                <w:highlight w:val="none"/>
              </w:rPr>
            </w:pPr>
          </w:p>
        </w:tc>
        <w:tc>
          <w:tcPr>
            <w:tcW w:w="3079" w:type="dxa"/>
            <w:tcBorders>
              <w:top w:val="single" w:color="000000" w:sz="6" w:space="0"/>
              <w:left w:val="single" w:color="000000" w:sz="6" w:space="0"/>
              <w:bottom w:val="single" w:color="000000" w:sz="6" w:space="0"/>
              <w:right w:val="single" w:color="000000" w:sz="6" w:space="0"/>
            </w:tcBorders>
            <w:vAlign w:val="center"/>
          </w:tcPr>
          <w:p w14:paraId="7F42772D">
            <w:pPr>
              <w:snapToGrid w:val="0"/>
              <w:spacing w:line="360" w:lineRule="auto"/>
              <w:jc w:val="left"/>
              <w:rPr>
                <w:rStyle w:val="46"/>
                <w:rFonts w:hint="eastAsia" w:ascii="宋体" w:hAnsi="宋体" w:eastAsia="宋体" w:cs="宋体"/>
                <w:color w:val="auto"/>
                <w:sz w:val="24"/>
                <w:szCs w:val="24"/>
                <w:highlight w:val="none"/>
              </w:rPr>
            </w:pPr>
          </w:p>
        </w:tc>
      </w:tr>
      <w:tr w14:paraId="04B49A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2" w:hRule="atLeast"/>
          <w:jc w:val="center"/>
        </w:trPr>
        <w:tc>
          <w:tcPr>
            <w:tcW w:w="1168" w:type="dxa"/>
            <w:tcBorders>
              <w:top w:val="single" w:color="000000" w:sz="6" w:space="0"/>
              <w:left w:val="single" w:color="000000" w:sz="6" w:space="0"/>
              <w:bottom w:val="single" w:color="000000" w:sz="6" w:space="0"/>
              <w:right w:val="single" w:color="000000" w:sz="6" w:space="0"/>
            </w:tcBorders>
            <w:vAlign w:val="center"/>
          </w:tcPr>
          <w:p w14:paraId="65CF6D83">
            <w:pPr>
              <w:snapToGrid w:val="0"/>
              <w:spacing w:line="360" w:lineRule="auto"/>
              <w:jc w:val="left"/>
              <w:rPr>
                <w:rStyle w:val="46"/>
                <w:rFonts w:hint="eastAsia" w:ascii="宋体" w:hAnsi="宋体" w:eastAsia="宋体" w:cs="宋体"/>
                <w:color w:val="auto"/>
                <w:sz w:val="24"/>
                <w:szCs w:val="24"/>
                <w:highlight w:val="none"/>
              </w:rPr>
            </w:pPr>
          </w:p>
        </w:tc>
        <w:tc>
          <w:tcPr>
            <w:tcW w:w="1566" w:type="dxa"/>
            <w:tcBorders>
              <w:top w:val="single" w:color="000000" w:sz="6" w:space="0"/>
              <w:left w:val="single" w:color="000000" w:sz="6" w:space="0"/>
              <w:bottom w:val="single" w:color="000000" w:sz="6" w:space="0"/>
              <w:right w:val="single" w:color="000000" w:sz="6" w:space="0"/>
            </w:tcBorders>
            <w:vAlign w:val="center"/>
          </w:tcPr>
          <w:p w14:paraId="1C69804D">
            <w:pPr>
              <w:snapToGrid w:val="0"/>
              <w:spacing w:line="360" w:lineRule="auto"/>
              <w:jc w:val="left"/>
              <w:rPr>
                <w:rStyle w:val="46"/>
                <w:rFonts w:hint="eastAsia" w:ascii="宋体" w:hAnsi="宋体" w:eastAsia="宋体" w:cs="宋体"/>
                <w:color w:val="auto"/>
                <w:sz w:val="24"/>
                <w:szCs w:val="24"/>
                <w:highlight w:val="none"/>
              </w:rPr>
            </w:pPr>
          </w:p>
        </w:tc>
        <w:tc>
          <w:tcPr>
            <w:tcW w:w="2145" w:type="dxa"/>
            <w:tcBorders>
              <w:top w:val="single" w:color="000000" w:sz="6" w:space="0"/>
              <w:left w:val="single" w:color="000000" w:sz="6" w:space="0"/>
              <w:bottom w:val="single" w:color="000000" w:sz="6" w:space="0"/>
              <w:right w:val="single" w:color="000000" w:sz="6" w:space="0"/>
            </w:tcBorders>
            <w:vAlign w:val="center"/>
          </w:tcPr>
          <w:p w14:paraId="069D37BE">
            <w:pPr>
              <w:snapToGrid w:val="0"/>
              <w:spacing w:line="360" w:lineRule="auto"/>
              <w:jc w:val="left"/>
              <w:rPr>
                <w:rStyle w:val="46"/>
                <w:rFonts w:hint="eastAsia" w:ascii="宋体" w:hAnsi="宋体" w:eastAsia="宋体" w:cs="宋体"/>
                <w:color w:val="auto"/>
                <w:sz w:val="24"/>
                <w:szCs w:val="24"/>
                <w:highlight w:val="none"/>
              </w:rPr>
            </w:pPr>
          </w:p>
        </w:tc>
        <w:tc>
          <w:tcPr>
            <w:tcW w:w="1377" w:type="dxa"/>
            <w:tcBorders>
              <w:top w:val="single" w:color="000000" w:sz="6" w:space="0"/>
              <w:left w:val="single" w:color="000000" w:sz="6" w:space="0"/>
              <w:bottom w:val="single" w:color="000000" w:sz="6" w:space="0"/>
              <w:right w:val="single" w:color="000000" w:sz="6" w:space="0"/>
            </w:tcBorders>
            <w:vAlign w:val="center"/>
          </w:tcPr>
          <w:p w14:paraId="35780C9D">
            <w:pPr>
              <w:snapToGrid w:val="0"/>
              <w:spacing w:line="360" w:lineRule="auto"/>
              <w:jc w:val="left"/>
              <w:rPr>
                <w:rStyle w:val="46"/>
                <w:rFonts w:hint="eastAsia" w:ascii="宋体" w:hAnsi="宋体" w:eastAsia="宋体" w:cs="宋体"/>
                <w:color w:val="auto"/>
                <w:sz w:val="24"/>
                <w:szCs w:val="24"/>
                <w:highlight w:val="none"/>
              </w:rPr>
            </w:pPr>
          </w:p>
        </w:tc>
        <w:tc>
          <w:tcPr>
            <w:tcW w:w="3079" w:type="dxa"/>
            <w:tcBorders>
              <w:top w:val="single" w:color="000000" w:sz="6" w:space="0"/>
              <w:left w:val="single" w:color="000000" w:sz="6" w:space="0"/>
              <w:bottom w:val="single" w:color="000000" w:sz="6" w:space="0"/>
              <w:right w:val="single" w:color="000000" w:sz="6" w:space="0"/>
            </w:tcBorders>
            <w:vAlign w:val="center"/>
          </w:tcPr>
          <w:p w14:paraId="529B921A">
            <w:pPr>
              <w:snapToGrid w:val="0"/>
              <w:spacing w:line="360" w:lineRule="auto"/>
              <w:jc w:val="left"/>
              <w:rPr>
                <w:rStyle w:val="46"/>
                <w:rFonts w:hint="eastAsia" w:ascii="宋体" w:hAnsi="宋体" w:eastAsia="宋体" w:cs="宋体"/>
                <w:color w:val="auto"/>
                <w:sz w:val="24"/>
                <w:szCs w:val="24"/>
                <w:highlight w:val="none"/>
              </w:rPr>
            </w:pPr>
          </w:p>
        </w:tc>
      </w:tr>
      <w:tr w14:paraId="59EC498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1" w:hRule="atLeast"/>
          <w:jc w:val="center"/>
        </w:trPr>
        <w:tc>
          <w:tcPr>
            <w:tcW w:w="1168" w:type="dxa"/>
            <w:tcBorders>
              <w:top w:val="single" w:color="000000" w:sz="6" w:space="0"/>
              <w:left w:val="single" w:color="000000" w:sz="6" w:space="0"/>
              <w:bottom w:val="single" w:color="000000" w:sz="6" w:space="0"/>
              <w:right w:val="single" w:color="000000" w:sz="6" w:space="0"/>
            </w:tcBorders>
            <w:vAlign w:val="center"/>
          </w:tcPr>
          <w:p w14:paraId="12DC915E">
            <w:pPr>
              <w:snapToGrid w:val="0"/>
              <w:spacing w:line="360" w:lineRule="auto"/>
              <w:jc w:val="left"/>
              <w:rPr>
                <w:rStyle w:val="46"/>
                <w:rFonts w:hint="eastAsia" w:ascii="宋体" w:hAnsi="宋体" w:eastAsia="宋体" w:cs="宋体"/>
                <w:color w:val="auto"/>
                <w:sz w:val="24"/>
                <w:szCs w:val="24"/>
                <w:highlight w:val="none"/>
              </w:rPr>
            </w:pPr>
          </w:p>
        </w:tc>
        <w:tc>
          <w:tcPr>
            <w:tcW w:w="1566" w:type="dxa"/>
            <w:tcBorders>
              <w:top w:val="single" w:color="000000" w:sz="6" w:space="0"/>
              <w:left w:val="single" w:color="000000" w:sz="6" w:space="0"/>
              <w:bottom w:val="single" w:color="000000" w:sz="6" w:space="0"/>
              <w:right w:val="single" w:color="000000" w:sz="6" w:space="0"/>
            </w:tcBorders>
            <w:vAlign w:val="center"/>
          </w:tcPr>
          <w:p w14:paraId="77E9C787">
            <w:pPr>
              <w:snapToGrid w:val="0"/>
              <w:spacing w:line="360" w:lineRule="auto"/>
              <w:jc w:val="left"/>
              <w:rPr>
                <w:rStyle w:val="46"/>
                <w:rFonts w:hint="eastAsia" w:ascii="宋体" w:hAnsi="宋体" w:eastAsia="宋体" w:cs="宋体"/>
                <w:color w:val="auto"/>
                <w:sz w:val="24"/>
                <w:szCs w:val="24"/>
                <w:highlight w:val="none"/>
              </w:rPr>
            </w:pPr>
          </w:p>
        </w:tc>
        <w:tc>
          <w:tcPr>
            <w:tcW w:w="2145" w:type="dxa"/>
            <w:tcBorders>
              <w:top w:val="single" w:color="000000" w:sz="6" w:space="0"/>
              <w:left w:val="single" w:color="000000" w:sz="6" w:space="0"/>
              <w:bottom w:val="single" w:color="000000" w:sz="6" w:space="0"/>
              <w:right w:val="single" w:color="000000" w:sz="6" w:space="0"/>
            </w:tcBorders>
            <w:vAlign w:val="center"/>
          </w:tcPr>
          <w:p w14:paraId="74CB9FFB">
            <w:pPr>
              <w:snapToGrid w:val="0"/>
              <w:spacing w:line="360" w:lineRule="auto"/>
              <w:jc w:val="left"/>
              <w:rPr>
                <w:rStyle w:val="46"/>
                <w:rFonts w:hint="eastAsia" w:ascii="宋体" w:hAnsi="宋体" w:eastAsia="宋体" w:cs="宋体"/>
                <w:caps/>
                <w:color w:val="auto"/>
                <w:sz w:val="24"/>
                <w:szCs w:val="24"/>
                <w:highlight w:val="none"/>
              </w:rPr>
            </w:pPr>
          </w:p>
        </w:tc>
        <w:tc>
          <w:tcPr>
            <w:tcW w:w="1377" w:type="dxa"/>
            <w:tcBorders>
              <w:top w:val="single" w:color="000000" w:sz="6" w:space="0"/>
              <w:left w:val="single" w:color="000000" w:sz="6" w:space="0"/>
              <w:bottom w:val="single" w:color="000000" w:sz="6" w:space="0"/>
              <w:right w:val="single" w:color="000000" w:sz="6" w:space="0"/>
            </w:tcBorders>
            <w:vAlign w:val="center"/>
          </w:tcPr>
          <w:p w14:paraId="13CC1FC9">
            <w:pPr>
              <w:snapToGrid w:val="0"/>
              <w:spacing w:line="360" w:lineRule="auto"/>
              <w:jc w:val="left"/>
              <w:rPr>
                <w:rStyle w:val="46"/>
                <w:rFonts w:hint="eastAsia" w:ascii="宋体" w:hAnsi="宋体" w:eastAsia="宋体" w:cs="宋体"/>
                <w:color w:val="auto"/>
                <w:sz w:val="24"/>
                <w:szCs w:val="24"/>
                <w:highlight w:val="none"/>
              </w:rPr>
            </w:pPr>
          </w:p>
        </w:tc>
        <w:tc>
          <w:tcPr>
            <w:tcW w:w="3079" w:type="dxa"/>
            <w:tcBorders>
              <w:top w:val="single" w:color="000000" w:sz="6" w:space="0"/>
              <w:left w:val="single" w:color="000000" w:sz="6" w:space="0"/>
              <w:bottom w:val="single" w:color="000000" w:sz="6" w:space="0"/>
              <w:right w:val="single" w:color="000000" w:sz="6" w:space="0"/>
            </w:tcBorders>
            <w:vAlign w:val="center"/>
          </w:tcPr>
          <w:p w14:paraId="11FA8B3C">
            <w:pPr>
              <w:snapToGrid w:val="0"/>
              <w:spacing w:line="360" w:lineRule="auto"/>
              <w:jc w:val="left"/>
              <w:rPr>
                <w:rStyle w:val="46"/>
                <w:rFonts w:hint="eastAsia" w:ascii="宋体" w:hAnsi="宋体" w:eastAsia="宋体" w:cs="宋体"/>
                <w:color w:val="auto"/>
                <w:sz w:val="24"/>
                <w:szCs w:val="24"/>
                <w:highlight w:val="none"/>
              </w:rPr>
            </w:pPr>
          </w:p>
        </w:tc>
      </w:tr>
    </w:tbl>
    <w:p w14:paraId="48EFEDD7">
      <w:pPr>
        <w:snapToGrid w:val="0"/>
        <w:spacing w:line="360" w:lineRule="auto"/>
        <w:jc w:val="left"/>
        <w:rPr>
          <w:rStyle w:val="46"/>
          <w:rFonts w:hint="eastAsia" w:ascii="宋体" w:hAnsi="宋体" w:eastAsia="宋体" w:cs="宋体"/>
          <w:b/>
          <w:color w:val="auto"/>
          <w:sz w:val="24"/>
          <w:szCs w:val="24"/>
          <w:highlight w:val="none"/>
        </w:rPr>
      </w:pPr>
    </w:p>
    <w:p w14:paraId="6B18B3B9">
      <w:pPr>
        <w:snapToGrid w:val="0"/>
        <w:spacing w:line="360" w:lineRule="auto"/>
        <w:jc w:val="left"/>
        <w:rPr>
          <w:rStyle w:val="46"/>
          <w:rFonts w:hint="eastAsia" w:ascii="宋体" w:hAnsi="宋体" w:eastAsia="宋体" w:cs="宋体"/>
          <w:b/>
          <w:color w:val="auto"/>
          <w:sz w:val="24"/>
          <w:szCs w:val="24"/>
          <w:highlight w:val="none"/>
        </w:rPr>
      </w:pPr>
    </w:p>
    <w:p w14:paraId="035435E6">
      <w:pPr>
        <w:pStyle w:val="47"/>
        <w:snapToGrid w:val="0"/>
        <w:spacing w:line="360" w:lineRule="auto"/>
        <w:ind w:firstLine="0"/>
        <w:jc w:val="left"/>
        <w:rPr>
          <w:rStyle w:val="46"/>
          <w:rFonts w:hint="eastAsia" w:ascii="宋体" w:hAnsi="宋体" w:eastAsia="宋体" w:cs="宋体"/>
          <w:b w:val="0"/>
          <w:color w:val="auto"/>
          <w:sz w:val="24"/>
          <w:szCs w:val="24"/>
          <w:highlight w:val="none"/>
        </w:rPr>
      </w:pPr>
      <w:r>
        <w:rPr>
          <w:rStyle w:val="46"/>
          <w:rFonts w:hint="eastAsia" w:ascii="宋体" w:hAnsi="宋体" w:eastAsia="宋体" w:cs="宋体"/>
          <w:b w:val="0"/>
          <w:color w:val="auto"/>
          <w:sz w:val="24"/>
          <w:szCs w:val="24"/>
          <w:highlight w:val="none"/>
        </w:rPr>
        <w:t>附录B  主要技术、管理人员情况表</w:t>
      </w:r>
    </w:p>
    <w:tbl>
      <w:tblPr>
        <w:tblStyle w:val="19"/>
        <w:tblW w:w="93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7"/>
        <w:gridCol w:w="1445"/>
        <w:gridCol w:w="1890"/>
        <w:gridCol w:w="1112"/>
        <w:gridCol w:w="1400"/>
        <w:gridCol w:w="1269"/>
        <w:gridCol w:w="1567"/>
      </w:tblGrid>
      <w:tr w14:paraId="6F7EC9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6" w:hRule="atLeast"/>
          <w:jc w:val="center"/>
        </w:trPr>
        <w:tc>
          <w:tcPr>
            <w:tcW w:w="677" w:type="dxa"/>
            <w:tcBorders>
              <w:top w:val="single" w:color="000000" w:sz="4" w:space="0"/>
              <w:left w:val="single" w:color="000000" w:sz="4" w:space="0"/>
              <w:bottom w:val="single" w:color="000000" w:sz="4" w:space="0"/>
              <w:right w:val="single" w:color="000000" w:sz="4" w:space="0"/>
            </w:tcBorders>
            <w:vAlign w:val="center"/>
          </w:tcPr>
          <w:p w14:paraId="26D64D9F">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1445" w:type="dxa"/>
            <w:tcBorders>
              <w:top w:val="single" w:color="000000" w:sz="4" w:space="0"/>
              <w:left w:val="single" w:color="000000" w:sz="4" w:space="0"/>
              <w:bottom w:val="single" w:color="000000" w:sz="4" w:space="0"/>
              <w:right w:val="single" w:color="000000" w:sz="4" w:space="0"/>
            </w:tcBorders>
            <w:vAlign w:val="center"/>
          </w:tcPr>
          <w:p w14:paraId="3E00AEA1">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p>
        </w:tc>
        <w:tc>
          <w:tcPr>
            <w:tcW w:w="1890" w:type="dxa"/>
            <w:tcBorders>
              <w:top w:val="single" w:color="000000" w:sz="4" w:space="0"/>
              <w:left w:val="single" w:color="000000" w:sz="4" w:space="0"/>
              <w:bottom w:val="single" w:color="000000" w:sz="4" w:space="0"/>
              <w:right w:val="single" w:color="000000" w:sz="4" w:space="0"/>
            </w:tcBorders>
            <w:vAlign w:val="center"/>
          </w:tcPr>
          <w:p w14:paraId="4D9E30E0">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拟 任 职 务</w:t>
            </w:r>
          </w:p>
        </w:tc>
        <w:tc>
          <w:tcPr>
            <w:tcW w:w="1112" w:type="dxa"/>
            <w:tcBorders>
              <w:top w:val="single" w:color="000000" w:sz="4" w:space="0"/>
              <w:left w:val="single" w:color="000000" w:sz="4" w:space="0"/>
              <w:bottom w:val="single" w:color="000000" w:sz="4" w:space="0"/>
              <w:right w:val="single" w:color="000000" w:sz="4" w:space="0"/>
            </w:tcBorders>
            <w:vAlign w:val="center"/>
          </w:tcPr>
          <w:p w14:paraId="17E718F2">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年 龄</w:t>
            </w:r>
          </w:p>
        </w:tc>
        <w:tc>
          <w:tcPr>
            <w:tcW w:w="1400" w:type="dxa"/>
            <w:tcBorders>
              <w:top w:val="single" w:color="000000" w:sz="4" w:space="0"/>
              <w:left w:val="single" w:color="000000" w:sz="4" w:space="0"/>
              <w:bottom w:val="single" w:color="000000" w:sz="4" w:space="0"/>
              <w:right w:val="single" w:color="000000" w:sz="4" w:space="0"/>
            </w:tcBorders>
            <w:vAlign w:val="center"/>
          </w:tcPr>
          <w:p w14:paraId="0E55EFBA">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 称</w:t>
            </w:r>
          </w:p>
        </w:tc>
        <w:tc>
          <w:tcPr>
            <w:tcW w:w="1269" w:type="dxa"/>
            <w:tcBorders>
              <w:top w:val="single" w:color="000000" w:sz="4" w:space="0"/>
              <w:left w:val="single" w:color="000000" w:sz="4" w:space="0"/>
              <w:bottom w:val="single" w:color="000000" w:sz="4" w:space="0"/>
              <w:right w:val="single" w:color="000000" w:sz="4" w:space="0"/>
            </w:tcBorders>
            <w:vAlign w:val="center"/>
          </w:tcPr>
          <w:p w14:paraId="2EC926AE">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学 历</w:t>
            </w:r>
          </w:p>
        </w:tc>
        <w:tc>
          <w:tcPr>
            <w:tcW w:w="1567" w:type="dxa"/>
            <w:tcBorders>
              <w:top w:val="single" w:color="000000" w:sz="4" w:space="0"/>
              <w:left w:val="single" w:color="000000" w:sz="4" w:space="0"/>
              <w:bottom w:val="single" w:color="000000" w:sz="4" w:space="0"/>
              <w:right w:val="single" w:color="000000" w:sz="4" w:space="0"/>
            </w:tcBorders>
            <w:vAlign w:val="center"/>
          </w:tcPr>
          <w:p w14:paraId="4683A813">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专 业</w:t>
            </w:r>
          </w:p>
        </w:tc>
      </w:tr>
      <w:tr w14:paraId="27348B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888" w:hRule="atLeast"/>
          <w:jc w:val="center"/>
        </w:trPr>
        <w:tc>
          <w:tcPr>
            <w:tcW w:w="677" w:type="dxa"/>
            <w:vMerge w:val="restart"/>
            <w:tcBorders>
              <w:top w:val="single" w:color="000000" w:sz="4" w:space="0"/>
              <w:left w:val="single" w:color="000000" w:sz="4" w:space="0"/>
              <w:bottom w:val="single" w:color="000000" w:sz="4" w:space="0"/>
              <w:right w:val="single" w:color="000000" w:sz="4" w:space="0"/>
            </w:tcBorders>
            <w:vAlign w:val="center"/>
          </w:tcPr>
          <w:p w14:paraId="29B7BA3C">
            <w:pPr>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w:t>
            </w:r>
          </w:p>
        </w:tc>
        <w:tc>
          <w:tcPr>
            <w:tcW w:w="1445" w:type="dxa"/>
            <w:tcBorders>
              <w:top w:val="single" w:color="000000" w:sz="4" w:space="0"/>
              <w:left w:val="single" w:color="000000" w:sz="4" w:space="0"/>
              <w:bottom w:val="single" w:color="000000" w:sz="4" w:space="0"/>
              <w:right w:val="single" w:color="000000" w:sz="4" w:space="0"/>
            </w:tcBorders>
            <w:vAlign w:val="center"/>
          </w:tcPr>
          <w:p w14:paraId="255515A7">
            <w:pPr>
              <w:rPr>
                <w:rFonts w:hint="eastAsia" w:ascii="宋体" w:hAnsi="宋体" w:eastAsia="宋体" w:cs="宋体"/>
                <w:color w:val="auto"/>
                <w:sz w:val="24"/>
                <w:szCs w:val="24"/>
                <w:highlight w:val="none"/>
              </w:rPr>
            </w:pPr>
          </w:p>
        </w:tc>
        <w:tc>
          <w:tcPr>
            <w:tcW w:w="1890" w:type="dxa"/>
            <w:tcBorders>
              <w:top w:val="single" w:color="000000" w:sz="4" w:space="0"/>
              <w:left w:val="single" w:color="000000" w:sz="4" w:space="0"/>
              <w:bottom w:val="single" w:color="000000" w:sz="4" w:space="0"/>
              <w:right w:val="single" w:color="000000" w:sz="4" w:space="0"/>
            </w:tcBorders>
            <w:vAlign w:val="center"/>
          </w:tcPr>
          <w:p w14:paraId="1AABF20F">
            <w:pPr>
              <w:rPr>
                <w:rFonts w:hint="eastAsia" w:ascii="宋体" w:hAnsi="宋体" w:eastAsia="宋体" w:cs="宋体"/>
                <w:color w:val="auto"/>
                <w:sz w:val="24"/>
                <w:szCs w:val="24"/>
                <w:highlight w:val="none"/>
              </w:rPr>
            </w:pPr>
          </w:p>
        </w:tc>
        <w:tc>
          <w:tcPr>
            <w:tcW w:w="1112" w:type="dxa"/>
            <w:tcBorders>
              <w:top w:val="single" w:color="000000" w:sz="4" w:space="0"/>
              <w:left w:val="single" w:color="000000" w:sz="4" w:space="0"/>
              <w:bottom w:val="single" w:color="000000" w:sz="4" w:space="0"/>
              <w:right w:val="single" w:color="000000" w:sz="4" w:space="0"/>
            </w:tcBorders>
            <w:vAlign w:val="center"/>
          </w:tcPr>
          <w:p w14:paraId="50141554">
            <w:pPr>
              <w:rPr>
                <w:rFonts w:hint="eastAsia" w:ascii="宋体" w:hAnsi="宋体" w:eastAsia="宋体" w:cs="宋体"/>
                <w:color w:val="auto"/>
                <w:sz w:val="24"/>
                <w:szCs w:val="24"/>
                <w:highlight w:val="none"/>
              </w:rPr>
            </w:pPr>
          </w:p>
        </w:tc>
        <w:tc>
          <w:tcPr>
            <w:tcW w:w="1400" w:type="dxa"/>
            <w:tcBorders>
              <w:top w:val="single" w:color="000000" w:sz="4" w:space="0"/>
              <w:left w:val="single" w:color="000000" w:sz="4" w:space="0"/>
              <w:bottom w:val="single" w:color="000000" w:sz="4" w:space="0"/>
              <w:right w:val="single" w:color="000000" w:sz="4" w:space="0"/>
            </w:tcBorders>
            <w:vAlign w:val="center"/>
          </w:tcPr>
          <w:p w14:paraId="5B5FAAD4">
            <w:pPr>
              <w:rPr>
                <w:rFonts w:hint="eastAsia" w:ascii="宋体" w:hAnsi="宋体" w:eastAsia="宋体" w:cs="宋体"/>
                <w:color w:val="auto"/>
                <w:sz w:val="24"/>
                <w:szCs w:val="24"/>
                <w:highlight w:val="none"/>
              </w:rPr>
            </w:pPr>
          </w:p>
        </w:tc>
        <w:tc>
          <w:tcPr>
            <w:tcW w:w="1269" w:type="dxa"/>
            <w:tcBorders>
              <w:top w:val="single" w:color="000000" w:sz="4" w:space="0"/>
              <w:left w:val="single" w:color="000000" w:sz="4" w:space="0"/>
              <w:bottom w:val="single" w:color="000000" w:sz="4" w:space="0"/>
              <w:right w:val="single" w:color="000000" w:sz="4" w:space="0"/>
            </w:tcBorders>
            <w:vAlign w:val="center"/>
          </w:tcPr>
          <w:p w14:paraId="63DB7763">
            <w:pPr>
              <w:rPr>
                <w:rFonts w:hint="eastAsia" w:ascii="宋体" w:hAnsi="宋体" w:eastAsia="宋体" w:cs="宋体"/>
                <w:color w:val="auto"/>
                <w:sz w:val="24"/>
                <w:szCs w:val="24"/>
                <w:highlight w:val="none"/>
              </w:rPr>
            </w:pPr>
          </w:p>
        </w:tc>
        <w:tc>
          <w:tcPr>
            <w:tcW w:w="1567" w:type="dxa"/>
            <w:tcBorders>
              <w:top w:val="single" w:color="000000" w:sz="4" w:space="0"/>
              <w:left w:val="single" w:color="000000" w:sz="4" w:space="0"/>
              <w:bottom w:val="single" w:color="000000" w:sz="4" w:space="0"/>
              <w:right w:val="single" w:color="000000" w:sz="4" w:space="0"/>
            </w:tcBorders>
            <w:vAlign w:val="center"/>
          </w:tcPr>
          <w:p w14:paraId="2EFD74A0">
            <w:pPr>
              <w:rPr>
                <w:rFonts w:hint="eastAsia" w:ascii="宋体" w:hAnsi="宋体" w:eastAsia="宋体" w:cs="宋体"/>
                <w:color w:val="auto"/>
                <w:sz w:val="24"/>
                <w:szCs w:val="24"/>
                <w:highlight w:val="none"/>
              </w:rPr>
            </w:pPr>
          </w:p>
        </w:tc>
      </w:tr>
      <w:tr w14:paraId="6E65CF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cantSplit/>
          <w:trHeight w:val="2061" w:hRule="atLeast"/>
          <w:jc w:val="center"/>
        </w:trPr>
        <w:tc>
          <w:tcPr>
            <w:tcW w:w="677" w:type="dxa"/>
            <w:vMerge w:val="continue"/>
            <w:tcBorders>
              <w:top w:val="single" w:color="000000" w:sz="4" w:space="0"/>
              <w:left w:val="single" w:color="000000" w:sz="4" w:space="0"/>
              <w:bottom w:val="single" w:color="000000" w:sz="4" w:space="0"/>
              <w:right w:val="single" w:color="000000" w:sz="4" w:space="0"/>
            </w:tcBorders>
            <w:vAlign w:val="center"/>
          </w:tcPr>
          <w:p w14:paraId="0591D12D">
            <w:pPr>
              <w:jc w:val="center"/>
              <w:rPr>
                <w:rFonts w:hint="eastAsia" w:ascii="宋体" w:hAnsi="宋体" w:eastAsia="宋体" w:cs="宋体"/>
                <w:color w:val="auto"/>
                <w:sz w:val="24"/>
                <w:szCs w:val="24"/>
                <w:highlight w:val="none"/>
              </w:rPr>
            </w:pPr>
          </w:p>
        </w:tc>
        <w:tc>
          <w:tcPr>
            <w:tcW w:w="1445" w:type="dxa"/>
            <w:tcBorders>
              <w:top w:val="single" w:color="000000" w:sz="4" w:space="0"/>
              <w:left w:val="single" w:color="000000" w:sz="4" w:space="0"/>
              <w:bottom w:val="single" w:color="000000" w:sz="4" w:space="0"/>
              <w:right w:val="single" w:color="000000" w:sz="4" w:space="0"/>
            </w:tcBorders>
            <w:vAlign w:val="center"/>
          </w:tcPr>
          <w:p w14:paraId="20FC34FA">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工作简历</w:t>
            </w:r>
          </w:p>
        </w:tc>
        <w:tc>
          <w:tcPr>
            <w:tcW w:w="7238" w:type="dxa"/>
            <w:gridSpan w:val="5"/>
            <w:tcBorders>
              <w:top w:val="single" w:color="000000" w:sz="4" w:space="0"/>
              <w:left w:val="single" w:color="000000" w:sz="4" w:space="0"/>
              <w:bottom w:val="single" w:color="000000" w:sz="4" w:space="0"/>
              <w:right w:val="single" w:color="000000" w:sz="4" w:space="0"/>
            </w:tcBorders>
            <w:vAlign w:val="center"/>
          </w:tcPr>
          <w:p w14:paraId="29D3A867">
            <w:pPr>
              <w:rPr>
                <w:rFonts w:hint="eastAsia" w:ascii="宋体" w:hAnsi="宋体" w:eastAsia="宋体" w:cs="宋体"/>
                <w:color w:val="auto"/>
                <w:sz w:val="24"/>
                <w:szCs w:val="24"/>
                <w:highlight w:val="none"/>
              </w:rPr>
            </w:pPr>
          </w:p>
        </w:tc>
      </w:tr>
      <w:tr w14:paraId="2C6EC1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996" w:hRule="atLeast"/>
          <w:jc w:val="center"/>
        </w:trPr>
        <w:tc>
          <w:tcPr>
            <w:tcW w:w="677" w:type="dxa"/>
            <w:vMerge w:val="restart"/>
            <w:tcBorders>
              <w:top w:val="single" w:color="000000" w:sz="4" w:space="0"/>
              <w:left w:val="single" w:color="000000" w:sz="4" w:space="0"/>
              <w:bottom w:val="single" w:color="000000" w:sz="4" w:space="0"/>
              <w:right w:val="single" w:color="000000" w:sz="4" w:space="0"/>
            </w:tcBorders>
            <w:vAlign w:val="center"/>
          </w:tcPr>
          <w:p w14:paraId="052177FD">
            <w:pPr>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w:t>
            </w:r>
          </w:p>
        </w:tc>
        <w:tc>
          <w:tcPr>
            <w:tcW w:w="1445" w:type="dxa"/>
            <w:tcBorders>
              <w:top w:val="single" w:color="000000" w:sz="4" w:space="0"/>
              <w:left w:val="single" w:color="000000" w:sz="4" w:space="0"/>
              <w:bottom w:val="single" w:color="000000" w:sz="4" w:space="0"/>
              <w:right w:val="single" w:color="000000" w:sz="4" w:space="0"/>
            </w:tcBorders>
            <w:vAlign w:val="center"/>
          </w:tcPr>
          <w:p w14:paraId="69A2FF62">
            <w:pPr>
              <w:rPr>
                <w:rFonts w:hint="eastAsia" w:ascii="宋体" w:hAnsi="宋体" w:eastAsia="宋体" w:cs="宋体"/>
                <w:color w:val="auto"/>
                <w:sz w:val="24"/>
                <w:szCs w:val="24"/>
                <w:highlight w:val="none"/>
              </w:rPr>
            </w:pPr>
          </w:p>
        </w:tc>
        <w:tc>
          <w:tcPr>
            <w:tcW w:w="1890" w:type="dxa"/>
            <w:tcBorders>
              <w:top w:val="single" w:color="000000" w:sz="4" w:space="0"/>
              <w:left w:val="single" w:color="000000" w:sz="4" w:space="0"/>
              <w:bottom w:val="single" w:color="000000" w:sz="4" w:space="0"/>
              <w:right w:val="single" w:color="000000" w:sz="4" w:space="0"/>
            </w:tcBorders>
            <w:vAlign w:val="center"/>
          </w:tcPr>
          <w:p w14:paraId="01252248">
            <w:pPr>
              <w:rPr>
                <w:rFonts w:hint="eastAsia" w:ascii="宋体" w:hAnsi="宋体" w:eastAsia="宋体" w:cs="宋体"/>
                <w:color w:val="auto"/>
                <w:sz w:val="24"/>
                <w:szCs w:val="24"/>
                <w:highlight w:val="none"/>
              </w:rPr>
            </w:pPr>
          </w:p>
        </w:tc>
        <w:tc>
          <w:tcPr>
            <w:tcW w:w="1112" w:type="dxa"/>
            <w:tcBorders>
              <w:top w:val="single" w:color="000000" w:sz="4" w:space="0"/>
              <w:left w:val="single" w:color="000000" w:sz="4" w:space="0"/>
              <w:bottom w:val="single" w:color="000000" w:sz="4" w:space="0"/>
              <w:right w:val="single" w:color="000000" w:sz="4" w:space="0"/>
            </w:tcBorders>
            <w:vAlign w:val="center"/>
          </w:tcPr>
          <w:p w14:paraId="0C49167E">
            <w:pPr>
              <w:rPr>
                <w:rFonts w:hint="eastAsia" w:ascii="宋体" w:hAnsi="宋体" w:eastAsia="宋体" w:cs="宋体"/>
                <w:color w:val="auto"/>
                <w:sz w:val="24"/>
                <w:szCs w:val="24"/>
                <w:highlight w:val="none"/>
              </w:rPr>
            </w:pPr>
          </w:p>
        </w:tc>
        <w:tc>
          <w:tcPr>
            <w:tcW w:w="1400" w:type="dxa"/>
            <w:tcBorders>
              <w:top w:val="single" w:color="000000" w:sz="4" w:space="0"/>
              <w:left w:val="single" w:color="000000" w:sz="4" w:space="0"/>
              <w:bottom w:val="single" w:color="000000" w:sz="4" w:space="0"/>
              <w:right w:val="single" w:color="000000" w:sz="4" w:space="0"/>
            </w:tcBorders>
            <w:vAlign w:val="center"/>
          </w:tcPr>
          <w:p w14:paraId="574C91F1">
            <w:pPr>
              <w:rPr>
                <w:rFonts w:hint="eastAsia" w:ascii="宋体" w:hAnsi="宋体" w:eastAsia="宋体" w:cs="宋体"/>
                <w:color w:val="auto"/>
                <w:sz w:val="24"/>
                <w:szCs w:val="24"/>
                <w:highlight w:val="none"/>
              </w:rPr>
            </w:pPr>
          </w:p>
        </w:tc>
        <w:tc>
          <w:tcPr>
            <w:tcW w:w="1269" w:type="dxa"/>
            <w:tcBorders>
              <w:top w:val="single" w:color="000000" w:sz="4" w:space="0"/>
              <w:left w:val="single" w:color="000000" w:sz="4" w:space="0"/>
              <w:bottom w:val="single" w:color="000000" w:sz="4" w:space="0"/>
              <w:right w:val="single" w:color="000000" w:sz="4" w:space="0"/>
            </w:tcBorders>
            <w:vAlign w:val="center"/>
          </w:tcPr>
          <w:p w14:paraId="7B54C91C">
            <w:pPr>
              <w:rPr>
                <w:rFonts w:hint="eastAsia" w:ascii="宋体" w:hAnsi="宋体" w:eastAsia="宋体" w:cs="宋体"/>
                <w:color w:val="auto"/>
                <w:sz w:val="24"/>
                <w:szCs w:val="24"/>
                <w:highlight w:val="none"/>
              </w:rPr>
            </w:pPr>
          </w:p>
        </w:tc>
        <w:tc>
          <w:tcPr>
            <w:tcW w:w="1567" w:type="dxa"/>
            <w:tcBorders>
              <w:top w:val="single" w:color="000000" w:sz="4" w:space="0"/>
              <w:left w:val="single" w:color="000000" w:sz="4" w:space="0"/>
              <w:bottom w:val="single" w:color="000000" w:sz="4" w:space="0"/>
              <w:right w:val="single" w:color="000000" w:sz="4" w:space="0"/>
            </w:tcBorders>
            <w:vAlign w:val="center"/>
          </w:tcPr>
          <w:p w14:paraId="02FAFF81">
            <w:pPr>
              <w:rPr>
                <w:rFonts w:hint="eastAsia" w:ascii="宋体" w:hAnsi="宋体" w:eastAsia="宋体" w:cs="宋体"/>
                <w:color w:val="auto"/>
                <w:sz w:val="24"/>
                <w:szCs w:val="24"/>
                <w:highlight w:val="none"/>
              </w:rPr>
            </w:pPr>
          </w:p>
        </w:tc>
      </w:tr>
      <w:tr w14:paraId="4B60B0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564" w:hRule="atLeast"/>
          <w:jc w:val="center"/>
        </w:trPr>
        <w:tc>
          <w:tcPr>
            <w:tcW w:w="677" w:type="dxa"/>
            <w:vMerge w:val="continue"/>
            <w:tcBorders>
              <w:top w:val="single" w:color="000000" w:sz="4" w:space="0"/>
              <w:left w:val="single" w:color="000000" w:sz="4" w:space="0"/>
              <w:bottom w:val="single" w:color="000000" w:sz="4" w:space="0"/>
              <w:right w:val="single" w:color="000000" w:sz="4" w:space="0"/>
            </w:tcBorders>
            <w:vAlign w:val="center"/>
          </w:tcPr>
          <w:p w14:paraId="21774D84">
            <w:pPr>
              <w:rPr>
                <w:rFonts w:hint="eastAsia" w:ascii="宋体" w:hAnsi="宋体" w:eastAsia="宋体" w:cs="宋体"/>
                <w:color w:val="auto"/>
                <w:sz w:val="24"/>
                <w:szCs w:val="24"/>
                <w:highlight w:val="none"/>
              </w:rPr>
            </w:pPr>
          </w:p>
        </w:tc>
        <w:tc>
          <w:tcPr>
            <w:tcW w:w="1445" w:type="dxa"/>
            <w:tcBorders>
              <w:top w:val="single" w:color="000000" w:sz="4" w:space="0"/>
              <w:left w:val="single" w:color="000000" w:sz="4" w:space="0"/>
              <w:bottom w:val="single" w:color="000000" w:sz="4" w:space="0"/>
              <w:right w:val="single" w:color="000000" w:sz="4" w:space="0"/>
            </w:tcBorders>
            <w:vAlign w:val="center"/>
          </w:tcPr>
          <w:p w14:paraId="1A5601F0">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工作简历</w:t>
            </w:r>
          </w:p>
        </w:tc>
        <w:tc>
          <w:tcPr>
            <w:tcW w:w="7238" w:type="dxa"/>
            <w:gridSpan w:val="5"/>
            <w:tcBorders>
              <w:top w:val="single" w:color="000000" w:sz="4" w:space="0"/>
              <w:left w:val="single" w:color="000000" w:sz="4" w:space="0"/>
              <w:bottom w:val="single" w:color="000000" w:sz="4" w:space="0"/>
              <w:right w:val="single" w:color="000000" w:sz="4" w:space="0"/>
            </w:tcBorders>
            <w:vAlign w:val="center"/>
          </w:tcPr>
          <w:p w14:paraId="39D17DBE">
            <w:pPr>
              <w:rPr>
                <w:rFonts w:hint="eastAsia" w:ascii="宋体" w:hAnsi="宋体" w:eastAsia="宋体" w:cs="宋体"/>
                <w:color w:val="auto"/>
                <w:sz w:val="24"/>
                <w:szCs w:val="24"/>
                <w:highlight w:val="none"/>
              </w:rPr>
            </w:pPr>
          </w:p>
        </w:tc>
      </w:tr>
    </w:tbl>
    <w:p w14:paraId="4F37C7C1">
      <w:pPr>
        <w:spacing w:line="360" w:lineRule="auto"/>
        <w:rPr>
          <w:rFonts w:hint="eastAsia" w:ascii="宋体" w:hAnsi="宋体" w:eastAsia="宋体" w:cs="宋体"/>
          <w:color w:val="auto"/>
          <w:sz w:val="24"/>
          <w:szCs w:val="24"/>
          <w:highlight w:val="none"/>
        </w:rPr>
      </w:pPr>
    </w:p>
    <w:p w14:paraId="0B5B0C9B">
      <w:pPr>
        <w:spacing w:line="300" w:lineRule="auto"/>
        <w:rPr>
          <w:rFonts w:hint="eastAsia" w:ascii="宋体" w:hAnsi="宋体" w:eastAsia="宋体" w:cs="宋体"/>
          <w:color w:val="auto"/>
          <w:sz w:val="24"/>
          <w:szCs w:val="24"/>
          <w:highlight w:val="none"/>
          <w:lang w:val="en-US" w:eastAsia="zh-CN"/>
        </w:rPr>
      </w:pPr>
    </w:p>
    <w:p w14:paraId="7B180431">
      <w:pPr>
        <w:spacing w:line="300" w:lineRule="auto"/>
        <w:rPr>
          <w:rFonts w:hint="eastAsia" w:ascii="宋体" w:hAnsi="宋体" w:eastAsia="宋体" w:cs="宋体"/>
          <w:color w:val="auto"/>
          <w:sz w:val="24"/>
          <w:szCs w:val="24"/>
          <w:highlight w:val="none"/>
          <w:lang w:val="en-US" w:eastAsia="zh-CN"/>
        </w:rPr>
      </w:pPr>
    </w:p>
    <w:p w14:paraId="6AED78DA">
      <w:pPr>
        <w:spacing w:line="300" w:lineRule="auto"/>
        <w:rPr>
          <w:rFonts w:hint="eastAsia" w:ascii="宋体" w:hAnsi="宋体" w:eastAsia="宋体" w:cs="宋体"/>
          <w:color w:val="auto"/>
          <w:sz w:val="24"/>
          <w:szCs w:val="24"/>
          <w:highlight w:val="none"/>
          <w:lang w:val="en-US" w:eastAsia="zh-CN"/>
        </w:rPr>
      </w:pPr>
    </w:p>
    <w:p w14:paraId="213395F6">
      <w:pPr>
        <w:spacing w:line="300" w:lineRule="auto"/>
        <w:rPr>
          <w:rFonts w:hint="eastAsia" w:ascii="宋体" w:hAnsi="宋体" w:eastAsia="宋体" w:cs="宋体"/>
          <w:color w:val="auto"/>
          <w:sz w:val="24"/>
          <w:szCs w:val="24"/>
          <w:highlight w:val="none"/>
          <w:lang w:val="en-US" w:eastAsia="zh-CN"/>
        </w:rPr>
      </w:pPr>
    </w:p>
    <w:p w14:paraId="2D52AA93">
      <w:pPr>
        <w:spacing w:line="300" w:lineRule="auto"/>
        <w:rPr>
          <w:rFonts w:hint="eastAsia" w:ascii="宋体" w:hAnsi="宋体" w:eastAsia="宋体" w:cs="宋体"/>
          <w:color w:val="auto"/>
          <w:sz w:val="24"/>
          <w:szCs w:val="24"/>
          <w:highlight w:val="none"/>
          <w:lang w:val="en-US" w:eastAsia="zh-CN"/>
        </w:rPr>
      </w:pPr>
    </w:p>
    <w:p w14:paraId="2CDBCC82">
      <w:pPr>
        <w:spacing w:line="300" w:lineRule="auto"/>
        <w:rPr>
          <w:rFonts w:hint="eastAsia" w:ascii="宋体" w:hAnsi="宋体" w:eastAsia="宋体" w:cs="宋体"/>
          <w:color w:val="auto"/>
          <w:sz w:val="24"/>
          <w:szCs w:val="24"/>
          <w:highlight w:val="none"/>
          <w:lang w:val="en-US" w:eastAsia="zh-CN"/>
        </w:rPr>
      </w:pPr>
    </w:p>
    <w:p w14:paraId="2F839297">
      <w:pPr>
        <w:spacing w:line="300" w:lineRule="auto"/>
        <w:rPr>
          <w:rFonts w:hint="eastAsia" w:ascii="宋体" w:hAnsi="宋体" w:eastAsia="宋体" w:cs="宋体"/>
          <w:color w:val="auto"/>
          <w:sz w:val="24"/>
          <w:szCs w:val="24"/>
          <w:highlight w:val="none"/>
          <w:lang w:val="en-US" w:eastAsia="zh-CN"/>
        </w:rPr>
      </w:pPr>
    </w:p>
    <w:p w14:paraId="510A1BE0">
      <w:pPr>
        <w:spacing w:line="300" w:lineRule="auto"/>
        <w:rPr>
          <w:rFonts w:hint="eastAsia" w:ascii="宋体" w:hAnsi="宋体" w:eastAsia="宋体" w:cs="宋体"/>
          <w:color w:val="auto"/>
          <w:sz w:val="24"/>
          <w:szCs w:val="24"/>
          <w:highlight w:val="none"/>
          <w:lang w:val="en-US" w:eastAsia="zh-CN"/>
        </w:rPr>
      </w:pPr>
    </w:p>
    <w:p w14:paraId="1FAE71E3">
      <w:pPr>
        <w:spacing w:line="300" w:lineRule="auto"/>
        <w:rPr>
          <w:rFonts w:hint="eastAsia" w:ascii="宋体" w:hAnsi="宋体" w:eastAsia="宋体" w:cs="宋体"/>
          <w:color w:val="auto"/>
          <w:sz w:val="24"/>
          <w:szCs w:val="24"/>
          <w:highlight w:val="none"/>
          <w:lang w:val="en-US" w:eastAsia="zh-CN"/>
        </w:rPr>
      </w:pPr>
    </w:p>
    <w:p w14:paraId="3CAD2CF4">
      <w:pPr>
        <w:spacing w:line="30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附件1：</w:t>
      </w:r>
    </w:p>
    <w:tbl>
      <w:tblPr>
        <w:tblStyle w:val="20"/>
        <w:tblW w:w="86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0"/>
        <w:gridCol w:w="1056"/>
        <w:gridCol w:w="3512"/>
        <w:gridCol w:w="2556"/>
      </w:tblGrid>
      <w:tr w14:paraId="333F3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0" w:type="dxa"/>
          </w:tcPr>
          <w:p w14:paraId="3DBF9567">
            <w:pPr>
              <w:spacing w:line="360" w:lineRule="auto"/>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项目</w:t>
            </w:r>
          </w:p>
        </w:tc>
        <w:tc>
          <w:tcPr>
            <w:tcW w:w="1056" w:type="dxa"/>
          </w:tcPr>
          <w:p w14:paraId="5C197F6F">
            <w:pPr>
              <w:spacing w:line="360" w:lineRule="auto"/>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工作内容</w:t>
            </w:r>
          </w:p>
        </w:tc>
        <w:tc>
          <w:tcPr>
            <w:tcW w:w="3512" w:type="dxa"/>
          </w:tcPr>
          <w:p w14:paraId="6396725A">
            <w:pPr>
              <w:spacing w:line="360" w:lineRule="auto"/>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工作要求</w:t>
            </w:r>
          </w:p>
        </w:tc>
        <w:tc>
          <w:tcPr>
            <w:tcW w:w="2556" w:type="dxa"/>
          </w:tcPr>
          <w:p w14:paraId="5B4AF319">
            <w:pPr>
              <w:spacing w:line="360" w:lineRule="auto"/>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工作量</w:t>
            </w:r>
          </w:p>
        </w:tc>
      </w:tr>
      <w:tr w14:paraId="7B7EA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0" w:type="dxa"/>
          </w:tcPr>
          <w:p w14:paraId="7D96E423">
            <w:pPr>
              <w:spacing w:line="360" w:lineRule="auto"/>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压力管道、压力容器</w:t>
            </w:r>
            <w:r>
              <w:rPr>
                <w:rFonts w:hint="eastAsia" w:ascii="宋体" w:hAnsi="宋体" w:eastAsia="宋体" w:cs="宋体"/>
                <w:color w:val="auto"/>
                <w:sz w:val="24"/>
                <w:szCs w:val="24"/>
                <w:highlight w:val="none"/>
                <w:lang w:val="en-US" w:eastAsia="zh-CN"/>
              </w:rPr>
              <w:t>焊缝打磨</w:t>
            </w:r>
          </w:p>
        </w:tc>
        <w:tc>
          <w:tcPr>
            <w:tcW w:w="1056" w:type="dxa"/>
            <w:vAlign w:val="center"/>
          </w:tcPr>
          <w:p w14:paraId="29352E6C">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焊缝打磨</w:t>
            </w:r>
          </w:p>
        </w:tc>
        <w:tc>
          <w:tcPr>
            <w:tcW w:w="3512" w:type="dxa"/>
          </w:tcPr>
          <w:p w14:paraId="5D7EBAF3">
            <w:pPr>
              <w:spacing w:line="360" w:lineRule="auto"/>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按照</w:t>
            </w:r>
            <w:r>
              <w:rPr>
                <w:rFonts w:hint="eastAsia" w:ascii="宋体" w:hAnsi="宋体" w:eastAsia="宋体" w:cs="宋体"/>
                <w:color w:val="auto"/>
                <w:sz w:val="24"/>
                <w:szCs w:val="24"/>
                <w:highlight w:val="none"/>
                <w:lang w:val="en-US" w:eastAsia="zh-CN"/>
              </w:rPr>
              <w:t>招标方</w:t>
            </w:r>
            <w:r>
              <w:rPr>
                <w:rFonts w:hint="eastAsia" w:ascii="宋体" w:hAnsi="宋体" w:eastAsia="宋体" w:cs="宋体"/>
                <w:color w:val="auto"/>
                <w:sz w:val="24"/>
                <w:szCs w:val="24"/>
                <w:highlight w:val="none"/>
              </w:rPr>
              <w:t>要求对指定压力管道</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压力容器</w:t>
            </w:r>
            <w:r>
              <w:rPr>
                <w:rFonts w:hint="eastAsia" w:ascii="宋体" w:hAnsi="宋体" w:eastAsia="宋体" w:cs="宋体"/>
                <w:color w:val="auto"/>
                <w:sz w:val="24"/>
                <w:szCs w:val="24"/>
                <w:highlight w:val="none"/>
              </w:rPr>
              <w:t>焊缝</w:t>
            </w:r>
            <w:r>
              <w:rPr>
                <w:rFonts w:hint="eastAsia" w:ascii="宋体" w:hAnsi="宋体" w:eastAsia="宋体" w:cs="宋体"/>
                <w:color w:val="auto"/>
                <w:sz w:val="24"/>
                <w:szCs w:val="24"/>
                <w:highlight w:val="none"/>
                <w:lang w:val="en-US" w:eastAsia="zh-CN"/>
              </w:rPr>
              <w:t>表面及焊缝</w:t>
            </w:r>
            <w:r>
              <w:rPr>
                <w:rFonts w:hint="eastAsia" w:ascii="宋体" w:hAnsi="宋体" w:eastAsia="宋体" w:cs="宋体"/>
                <w:color w:val="auto"/>
                <w:sz w:val="24"/>
                <w:szCs w:val="24"/>
                <w:highlight w:val="none"/>
              </w:rPr>
              <w:t>两侧各200mm宽度进行打磨</w:t>
            </w:r>
            <w:r>
              <w:rPr>
                <w:rFonts w:hint="eastAsia" w:ascii="宋体" w:hAnsi="宋体" w:eastAsia="宋体" w:cs="宋体"/>
                <w:color w:val="auto"/>
                <w:sz w:val="24"/>
                <w:szCs w:val="24"/>
                <w:highlight w:val="none"/>
                <w:lang w:eastAsia="zh-CN"/>
              </w:rPr>
              <w:t>。</w:t>
            </w:r>
          </w:p>
        </w:tc>
        <w:tc>
          <w:tcPr>
            <w:tcW w:w="2556" w:type="dxa"/>
          </w:tcPr>
          <w:p w14:paraId="22552C80">
            <w:pPr>
              <w:spacing w:line="360" w:lineRule="auto"/>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打磨焊缝总面积约</w:t>
            </w:r>
            <w:r>
              <w:rPr>
                <w:rFonts w:hint="eastAsia" w:ascii="宋体" w:hAnsi="宋体" w:cs="宋体"/>
                <w:color w:val="auto"/>
                <w:sz w:val="24"/>
                <w:szCs w:val="24"/>
                <w:highlight w:val="none"/>
                <w:lang w:val="en-US" w:eastAsia="zh-CN"/>
              </w:rPr>
              <w:t>2230</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实际结算以打磨面积工程量签证为准</w:t>
            </w:r>
            <w:r>
              <w:rPr>
                <w:rFonts w:hint="eastAsia" w:ascii="宋体" w:hAnsi="宋体" w:eastAsia="宋体" w:cs="宋体"/>
                <w:color w:val="auto"/>
                <w:sz w:val="24"/>
                <w:szCs w:val="24"/>
                <w:highlight w:val="none"/>
                <w:lang w:eastAsia="zh-CN"/>
              </w:rPr>
              <w:t>）</w:t>
            </w:r>
          </w:p>
        </w:tc>
      </w:tr>
    </w:tbl>
    <w:p w14:paraId="3E3A03C4">
      <w:pPr>
        <w:spacing w:line="360" w:lineRule="auto"/>
        <w:rPr>
          <w:rFonts w:hint="default" w:ascii="宋体" w:hAnsi="宋体" w:cs="宋体"/>
          <w:color w:val="auto"/>
          <w:sz w:val="21"/>
          <w:szCs w:val="21"/>
          <w:highlight w:val="none"/>
          <w:lang w:val="en-US" w:eastAsia="zh-CN"/>
        </w:rPr>
      </w:pPr>
    </w:p>
    <w:p w14:paraId="1DA74970">
      <w:pPr>
        <w:pStyle w:val="3"/>
        <w:rPr>
          <w:rFonts w:hint="default" w:eastAsia="宋体"/>
          <w:color w:val="auto"/>
          <w:highlight w:val="none"/>
          <w:lang w:val="en-US" w:eastAsia="zh-CN"/>
        </w:rPr>
      </w:pPr>
    </w:p>
    <w:p w14:paraId="1784A9F8">
      <w:pPr>
        <w:spacing w:line="360" w:lineRule="auto"/>
        <w:rPr>
          <w:rFonts w:ascii="黑体" w:hAnsi="黑体" w:eastAsia="黑体" w:cs="黑体"/>
          <w:bCs/>
          <w:color w:val="auto"/>
          <w:sz w:val="21"/>
          <w:szCs w:val="21"/>
          <w:highlight w:val="none"/>
        </w:rPr>
      </w:pPr>
    </w:p>
    <w:p w14:paraId="4B3D82B6">
      <w:pPr>
        <w:spacing w:line="360" w:lineRule="auto"/>
        <w:rPr>
          <w:rFonts w:ascii="宋体" w:hAnsi="宋体"/>
          <w:b/>
          <w:color w:val="auto"/>
          <w:highlight w:val="none"/>
        </w:rPr>
      </w:pPr>
    </w:p>
    <w:bookmarkEnd w:id="32"/>
    <w:sectPr>
      <w:footerReference r:id="rId5" w:type="default"/>
      <w:pgSz w:w="11906" w:h="16838"/>
      <w:pgMar w:top="1440" w:right="1797" w:bottom="1440" w:left="179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BC5741">
    <w:pPr>
      <w:pStyle w:val="16"/>
      <w:tabs>
        <w:tab w:val="left" w:pos="4065"/>
        <w:tab w:val="center" w:pos="4536"/>
      </w:tabs>
      <w:jc w:val="center"/>
    </w:pPr>
    <w:r>
      <w:rPr>
        <w:rStyle w:val="22"/>
      </w:rPr>
      <w:fldChar w:fldCharType="begin"/>
    </w:r>
    <w:r>
      <w:rPr>
        <w:rStyle w:val="22"/>
      </w:rPr>
      <w:instrText xml:space="preserve"> PAGE </w:instrText>
    </w:r>
    <w:r>
      <w:rPr>
        <w:rStyle w:val="22"/>
      </w:rPr>
      <w:fldChar w:fldCharType="separate"/>
    </w:r>
    <w:r>
      <w:rPr>
        <w:rStyle w:val="22"/>
      </w:rPr>
      <w:t>2</w:t>
    </w:r>
    <w:r>
      <w:rPr>
        <w:rStyle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B0C9D7"/>
    <w:multiLevelType w:val="multilevel"/>
    <w:tmpl w:val="ACB0C9D7"/>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1">
    <w:nsid w:val="582B30BA"/>
    <w:multiLevelType w:val="multilevel"/>
    <w:tmpl w:val="582B30BA"/>
    <w:lvl w:ilvl="0" w:tentative="0">
      <w:start w:val="1"/>
      <w:numFmt w:val="decimal"/>
      <w:lvlText w:val="(%1)"/>
      <w:lvlJc w:val="left"/>
      <w:pPr>
        <w:tabs>
          <w:tab w:val="left" w:pos="1395"/>
        </w:tabs>
        <w:ind w:left="1395" w:hanging="720"/>
      </w:pPr>
      <w:rPr>
        <w:rFonts w:hint="default"/>
      </w:rPr>
    </w:lvl>
    <w:lvl w:ilvl="1" w:tentative="0">
      <w:start w:val="1"/>
      <w:numFmt w:val="lowerLetter"/>
      <w:lvlText w:val="%2)"/>
      <w:lvlJc w:val="left"/>
      <w:pPr>
        <w:tabs>
          <w:tab w:val="left" w:pos="1515"/>
        </w:tabs>
        <w:ind w:left="1515" w:hanging="420"/>
      </w:pPr>
    </w:lvl>
    <w:lvl w:ilvl="2" w:tentative="0">
      <w:start w:val="1"/>
      <w:numFmt w:val="lowerRoman"/>
      <w:lvlText w:val="%3."/>
      <w:lvlJc w:val="right"/>
      <w:pPr>
        <w:tabs>
          <w:tab w:val="left" w:pos="1935"/>
        </w:tabs>
        <w:ind w:left="1935" w:hanging="420"/>
      </w:pPr>
    </w:lvl>
    <w:lvl w:ilvl="3" w:tentative="0">
      <w:start w:val="1"/>
      <w:numFmt w:val="decimal"/>
      <w:lvlText w:val="%4."/>
      <w:lvlJc w:val="left"/>
      <w:pPr>
        <w:tabs>
          <w:tab w:val="left" w:pos="2355"/>
        </w:tabs>
        <w:ind w:left="2355" w:hanging="420"/>
      </w:pPr>
    </w:lvl>
    <w:lvl w:ilvl="4" w:tentative="0">
      <w:start w:val="1"/>
      <w:numFmt w:val="lowerLetter"/>
      <w:pStyle w:val="5"/>
      <w:lvlText w:val="%5)"/>
      <w:lvlJc w:val="left"/>
      <w:pPr>
        <w:tabs>
          <w:tab w:val="left" w:pos="2775"/>
        </w:tabs>
        <w:ind w:left="2775" w:hanging="420"/>
      </w:pPr>
    </w:lvl>
    <w:lvl w:ilvl="5" w:tentative="0">
      <w:start w:val="1"/>
      <w:numFmt w:val="lowerRoman"/>
      <w:lvlText w:val="%6."/>
      <w:lvlJc w:val="right"/>
      <w:pPr>
        <w:tabs>
          <w:tab w:val="left" w:pos="3195"/>
        </w:tabs>
        <w:ind w:left="3195" w:hanging="420"/>
      </w:pPr>
    </w:lvl>
    <w:lvl w:ilvl="6" w:tentative="0">
      <w:start w:val="1"/>
      <w:numFmt w:val="decimal"/>
      <w:pStyle w:val="6"/>
      <w:lvlText w:val="%7."/>
      <w:lvlJc w:val="left"/>
      <w:pPr>
        <w:tabs>
          <w:tab w:val="left" w:pos="3615"/>
        </w:tabs>
        <w:ind w:left="3615" w:hanging="420"/>
      </w:pPr>
    </w:lvl>
    <w:lvl w:ilvl="7" w:tentative="0">
      <w:start w:val="1"/>
      <w:numFmt w:val="lowerLetter"/>
      <w:pStyle w:val="7"/>
      <w:lvlText w:val="%8)"/>
      <w:lvlJc w:val="left"/>
      <w:pPr>
        <w:tabs>
          <w:tab w:val="left" w:pos="4035"/>
        </w:tabs>
        <w:ind w:left="4035" w:hanging="420"/>
      </w:pPr>
    </w:lvl>
    <w:lvl w:ilvl="8" w:tentative="0">
      <w:start w:val="1"/>
      <w:numFmt w:val="lowerRoman"/>
      <w:pStyle w:val="9"/>
      <w:lvlText w:val="%9."/>
      <w:lvlJc w:val="right"/>
      <w:pPr>
        <w:tabs>
          <w:tab w:val="left" w:pos="4455"/>
        </w:tabs>
        <w:ind w:left="4455"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numFmt w:val="decimal"/>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IyNDA4ZjgzYWFjZDcxMmQxZGNmMGUxODQ0MzA4NmQifQ=="/>
  </w:docVars>
  <w:rsids>
    <w:rsidRoot w:val="00880134"/>
    <w:rsid w:val="00000F7A"/>
    <w:rsid w:val="00001356"/>
    <w:rsid w:val="00002258"/>
    <w:rsid w:val="00002ADC"/>
    <w:rsid w:val="00002BB6"/>
    <w:rsid w:val="000042FB"/>
    <w:rsid w:val="000044EF"/>
    <w:rsid w:val="0000553D"/>
    <w:rsid w:val="00005F48"/>
    <w:rsid w:val="00006943"/>
    <w:rsid w:val="00006EB3"/>
    <w:rsid w:val="00007158"/>
    <w:rsid w:val="0000749C"/>
    <w:rsid w:val="00010CAB"/>
    <w:rsid w:val="000117B0"/>
    <w:rsid w:val="00012B40"/>
    <w:rsid w:val="0001331A"/>
    <w:rsid w:val="00013DFB"/>
    <w:rsid w:val="00015FC0"/>
    <w:rsid w:val="00016E1B"/>
    <w:rsid w:val="00017EE0"/>
    <w:rsid w:val="0002322E"/>
    <w:rsid w:val="0002356D"/>
    <w:rsid w:val="00024A4A"/>
    <w:rsid w:val="0002721C"/>
    <w:rsid w:val="00031AB1"/>
    <w:rsid w:val="00032287"/>
    <w:rsid w:val="00033F62"/>
    <w:rsid w:val="000357BE"/>
    <w:rsid w:val="00036942"/>
    <w:rsid w:val="00037715"/>
    <w:rsid w:val="00037AD6"/>
    <w:rsid w:val="000400CC"/>
    <w:rsid w:val="000420B1"/>
    <w:rsid w:val="00042DE4"/>
    <w:rsid w:val="00043F1A"/>
    <w:rsid w:val="00047481"/>
    <w:rsid w:val="00051725"/>
    <w:rsid w:val="00051EF8"/>
    <w:rsid w:val="000530EF"/>
    <w:rsid w:val="0005399A"/>
    <w:rsid w:val="00053D3C"/>
    <w:rsid w:val="00054EAA"/>
    <w:rsid w:val="00057558"/>
    <w:rsid w:val="000601CA"/>
    <w:rsid w:val="000603BD"/>
    <w:rsid w:val="000622B7"/>
    <w:rsid w:val="00062BF3"/>
    <w:rsid w:val="0006523C"/>
    <w:rsid w:val="000653F5"/>
    <w:rsid w:val="00065504"/>
    <w:rsid w:val="00066476"/>
    <w:rsid w:val="00066D68"/>
    <w:rsid w:val="00067A38"/>
    <w:rsid w:val="00067CB4"/>
    <w:rsid w:val="00070B61"/>
    <w:rsid w:val="000710E7"/>
    <w:rsid w:val="000713C3"/>
    <w:rsid w:val="0007306E"/>
    <w:rsid w:val="000739C3"/>
    <w:rsid w:val="00074A5D"/>
    <w:rsid w:val="000819B1"/>
    <w:rsid w:val="00082ADB"/>
    <w:rsid w:val="00082B4D"/>
    <w:rsid w:val="00084B27"/>
    <w:rsid w:val="0008543B"/>
    <w:rsid w:val="00085792"/>
    <w:rsid w:val="000930AF"/>
    <w:rsid w:val="0009546F"/>
    <w:rsid w:val="00096416"/>
    <w:rsid w:val="00096F26"/>
    <w:rsid w:val="000A411A"/>
    <w:rsid w:val="000A4E5C"/>
    <w:rsid w:val="000A62F6"/>
    <w:rsid w:val="000A74E2"/>
    <w:rsid w:val="000B0A90"/>
    <w:rsid w:val="000B1B0E"/>
    <w:rsid w:val="000B2F8C"/>
    <w:rsid w:val="000B307B"/>
    <w:rsid w:val="000B3087"/>
    <w:rsid w:val="000B3BC0"/>
    <w:rsid w:val="000B3E44"/>
    <w:rsid w:val="000B6198"/>
    <w:rsid w:val="000B6263"/>
    <w:rsid w:val="000B6FD3"/>
    <w:rsid w:val="000C1DE7"/>
    <w:rsid w:val="000C2C21"/>
    <w:rsid w:val="000C3C68"/>
    <w:rsid w:val="000C3E15"/>
    <w:rsid w:val="000C55FA"/>
    <w:rsid w:val="000C62A2"/>
    <w:rsid w:val="000D030B"/>
    <w:rsid w:val="000D0712"/>
    <w:rsid w:val="000D1331"/>
    <w:rsid w:val="000D1B74"/>
    <w:rsid w:val="000D2685"/>
    <w:rsid w:val="000D2854"/>
    <w:rsid w:val="000D2EC7"/>
    <w:rsid w:val="000D3FF7"/>
    <w:rsid w:val="000D4244"/>
    <w:rsid w:val="000D43BB"/>
    <w:rsid w:val="000E2757"/>
    <w:rsid w:val="000E2782"/>
    <w:rsid w:val="000E27F4"/>
    <w:rsid w:val="000E29FB"/>
    <w:rsid w:val="000E2C5E"/>
    <w:rsid w:val="000E4BFF"/>
    <w:rsid w:val="000E536D"/>
    <w:rsid w:val="000E69B9"/>
    <w:rsid w:val="000E72C9"/>
    <w:rsid w:val="000F0253"/>
    <w:rsid w:val="000F0BC9"/>
    <w:rsid w:val="000F2715"/>
    <w:rsid w:val="000F4D9B"/>
    <w:rsid w:val="000F5358"/>
    <w:rsid w:val="000F6E1C"/>
    <w:rsid w:val="000F7600"/>
    <w:rsid w:val="00100ED0"/>
    <w:rsid w:val="0010178B"/>
    <w:rsid w:val="00101C0A"/>
    <w:rsid w:val="00104A8B"/>
    <w:rsid w:val="00104FA2"/>
    <w:rsid w:val="001054CB"/>
    <w:rsid w:val="00106062"/>
    <w:rsid w:val="00107AB3"/>
    <w:rsid w:val="00112EED"/>
    <w:rsid w:val="00112F0B"/>
    <w:rsid w:val="001152AE"/>
    <w:rsid w:val="001154F7"/>
    <w:rsid w:val="00115B5E"/>
    <w:rsid w:val="00116228"/>
    <w:rsid w:val="00116740"/>
    <w:rsid w:val="001167ED"/>
    <w:rsid w:val="00117565"/>
    <w:rsid w:val="00117856"/>
    <w:rsid w:val="001203D6"/>
    <w:rsid w:val="00120A4E"/>
    <w:rsid w:val="00120D95"/>
    <w:rsid w:val="001215D9"/>
    <w:rsid w:val="00121D08"/>
    <w:rsid w:val="00123BAC"/>
    <w:rsid w:val="001266D7"/>
    <w:rsid w:val="0012741A"/>
    <w:rsid w:val="00127B31"/>
    <w:rsid w:val="00127CAE"/>
    <w:rsid w:val="0013008A"/>
    <w:rsid w:val="0013022E"/>
    <w:rsid w:val="00130B11"/>
    <w:rsid w:val="001311D7"/>
    <w:rsid w:val="0013211C"/>
    <w:rsid w:val="00132534"/>
    <w:rsid w:val="00132649"/>
    <w:rsid w:val="00133340"/>
    <w:rsid w:val="00133B52"/>
    <w:rsid w:val="00133C72"/>
    <w:rsid w:val="00133D63"/>
    <w:rsid w:val="00134FD7"/>
    <w:rsid w:val="001357D2"/>
    <w:rsid w:val="00146CB0"/>
    <w:rsid w:val="001477E3"/>
    <w:rsid w:val="00147A71"/>
    <w:rsid w:val="00147BC3"/>
    <w:rsid w:val="001504CA"/>
    <w:rsid w:val="00151680"/>
    <w:rsid w:val="00151D30"/>
    <w:rsid w:val="0015436E"/>
    <w:rsid w:val="001545CA"/>
    <w:rsid w:val="00154D95"/>
    <w:rsid w:val="00154FCC"/>
    <w:rsid w:val="00156B60"/>
    <w:rsid w:val="00161161"/>
    <w:rsid w:val="001636D6"/>
    <w:rsid w:val="00165B61"/>
    <w:rsid w:val="00165F4C"/>
    <w:rsid w:val="001663E8"/>
    <w:rsid w:val="0016686D"/>
    <w:rsid w:val="0016732F"/>
    <w:rsid w:val="001673E4"/>
    <w:rsid w:val="001700F5"/>
    <w:rsid w:val="001701E2"/>
    <w:rsid w:val="00170445"/>
    <w:rsid w:val="0017313F"/>
    <w:rsid w:val="00173BA7"/>
    <w:rsid w:val="00173C35"/>
    <w:rsid w:val="00175AEB"/>
    <w:rsid w:val="0018001C"/>
    <w:rsid w:val="001809D8"/>
    <w:rsid w:val="0018357D"/>
    <w:rsid w:val="00183A8E"/>
    <w:rsid w:val="00183B9E"/>
    <w:rsid w:val="00185021"/>
    <w:rsid w:val="00186859"/>
    <w:rsid w:val="001868EB"/>
    <w:rsid w:val="00192B3A"/>
    <w:rsid w:val="00193088"/>
    <w:rsid w:val="001938A0"/>
    <w:rsid w:val="0019514D"/>
    <w:rsid w:val="00195F7D"/>
    <w:rsid w:val="0019730C"/>
    <w:rsid w:val="0019777C"/>
    <w:rsid w:val="001A0279"/>
    <w:rsid w:val="001A0432"/>
    <w:rsid w:val="001A0693"/>
    <w:rsid w:val="001A06FA"/>
    <w:rsid w:val="001A24A3"/>
    <w:rsid w:val="001B1AED"/>
    <w:rsid w:val="001B37F3"/>
    <w:rsid w:val="001B45E9"/>
    <w:rsid w:val="001B4912"/>
    <w:rsid w:val="001B4E06"/>
    <w:rsid w:val="001B5A7C"/>
    <w:rsid w:val="001B64AF"/>
    <w:rsid w:val="001B7081"/>
    <w:rsid w:val="001B7316"/>
    <w:rsid w:val="001B7710"/>
    <w:rsid w:val="001C0475"/>
    <w:rsid w:val="001C0AD8"/>
    <w:rsid w:val="001C0F49"/>
    <w:rsid w:val="001C146B"/>
    <w:rsid w:val="001C2FF3"/>
    <w:rsid w:val="001C35C3"/>
    <w:rsid w:val="001C73EB"/>
    <w:rsid w:val="001C772C"/>
    <w:rsid w:val="001C7CCD"/>
    <w:rsid w:val="001D1F80"/>
    <w:rsid w:val="001D22A7"/>
    <w:rsid w:val="001D2C6F"/>
    <w:rsid w:val="001D3140"/>
    <w:rsid w:val="001D36A4"/>
    <w:rsid w:val="001D6223"/>
    <w:rsid w:val="001D643B"/>
    <w:rsid w:val="001D7636"/>
    <w:rsid w:val="001E0695"/>
    <w:rsid w:val="001E398D"/>
    <w:rsid w:val="001E4525"/>
    <w:rsid w:val="001E5E45"/>
    <w:rsid w:val="001E5FCD"/>
    <w:rsid w:val="001E628A"/>
    <w:rsid w:val="001E708F"/>
    <w:rsid w:val="001F01F9"/>
    <w:rsid w:val="001F0673"/>
    <w:rsid w:val="001F275A"/>
    <w:rsid w:val="001F2BAD"/>
    <w:rsid w:val="001F46CE"/>
    <w:rsid w:val="001F487E"/>
    <w:rsid w:val="001F4F38"/>
    <w:rsid w:val="001F5EFE"/>
    <w:rsid w:val="001F68E3"/>
    <w:rsid w:val="001F7242"/>
    <w:rsid w:val="001F769D"/>
    <w:rsid w:val="00202854"/>
    <w:rsid w:val="00203570"/>
    <w:rsid w:val="00203D5C"/>
    <w:rsid w:val="002042ED"/>
    <w:rsid w:val="00204BB7"/>
    <w:rsid w:val="00206655"/>
    <w:rsid w:val="00207F55"/>
    <w:rsid w:val="00211473"/>
    <w:rsid w:val="002116F9"/>
    <w:rsid w:val="00211860"/>
    <w:rsid w:val="0021232C"/>
    <w:rsid w:val="00212D95"/>
    <w:rsid w:val="002144BA"/>
    <w:rsid w:val="0021523F"/>
    <w:rsid w:val="002157B5"/>
    <w:rsid w:val="00215DEF"/>
    <w:rsid w:val="00216885"/>
    <w:rsid w:val="00220027"/>
    <w:rsid w:val="00221B59"/>
    <w:rsid w:val="0022332B"/>
    <w:rsid w:val="00223F75"/>
    <w:rsid w:val="00225DA8"/>
    <w:rsid w:val="002303B0"/>
    <w:rsid w:val="002310B3"/>
    <w:rsid w:val="0023192C"/>
    <w:rsid w:val="002328DA"/>
    <w:rsid w:val="00232BE1"/>
    <w:rsid w:val="002334FB"/>
    <w:rsid w:val="00233B4B"/>
    <w:rsid w:val="002341BA"/>
    <w:rsid w:val="00234B6B"/>
    <w:rsid w:val="00234D1F"/>
    <w:rsid w:val="00236AEC"/>
    <w:rsid w:val="00240425"/>
    <w:rsid w:val="00240F63"/>
    <w:rsid w:val="00240FCC"/>
    <w:rsid w:val="00241887"/>
    <w:rsid w:val="002436F8"/>
    <w:rsid w:val="00244304"/>
    <w:rsid w:val="00245D6E"/>
    <w:rsid w:val="00246970"/>
    <w:rsid w:val="00247738"/>
    <w:rsid w:val="0024795E"/>
    <w:rsid w:val="00252118"/>
    <w:rsid w:val="002534BE"/>
    <w:rsid w:val="00253894"/>
    <w:rsid w:val="00254175"/>
    <w:rsid w:val="0025453C"/>
    <w:rsid w:val="00257790"/>
    <w:rsid w:val="00257962"/>
    <w:rsid w:val="00257CD6"/>
    <w:rsid w:val="00261C67"/>
    <w:rsid w:val="00261D17"/>
    <w:rsid w:val="00266064"/>
    <w:rsid w:val="00266D45"/>
    <w:rsid w:val="00266E17"/>
    <w:rsid w:val="00267793"/>
    <w:rsid w:val="00271F13"/>
    <w:rsid w:val="0027276A"/>
    <w:rsid w:val="002735AA"/>
    <w:rsid w:val="00273C48"/>
    <w:rsid w:val="00274358"/>
    <w:rsid w:val="00274F72"/>
    <w:rsid w:val="002757C7"/>
    <w:rsid w:val="00275F64"/>
    <w:rsid w:val="00276F77"/>
    <w:rsid w:val="00277535"/>
    <w:rsid w:val="00280D72"/>
    <w:rsid w:val="00280EDC"/>
    <w:rsid w:val="002819A2"/>
    <w:rsid w:val="00287E6B"/>
    <w:rsid w:val="00292278"/>
    <w:rsid w:val="00292709"/>
    <w:rsid w:val="00293A3C"/>
    <w:rsid w:val="0029429C"/>
    <w:rsid w:val="00294521"/>
    <w:rsid w:val="002945FA"/>
    <w:rsid w:val="002950D4"/>
    <w:rsid w:val="002964C2"/>
    <w:rsid w:val="00296642"/>
    <w:rsid w:val="0029715F"/>
    <w:rsid w:val="00297ED5"/>
    <w:rsid w:val="002A0397"/>
    <w:rsid w:val="002A2F5C"/>
    <w:rsid w:val="002A3BA0"/>
    <w:rsid w:val="002A3C31"/>
    <w:rsid w:val="002A48A5"/>
    <w:rsid w:val="002A6377"/>
    <w:rsid w:val="002B0B80"/>
    <w:rsid w:val="002B0CAF"/>
    <w:rsid w:val="002B0D07"/>
    <w:rsid w:val="002B0EE3"/>
    <w:rsid w:val="002B13A4"/>
    <w:rsid w:val="002B2511"/>
    <w:rsid w:val="002B47EB"/>
    <w:rsid w:val="002B4BCE"/>
    <w:rsid w:val="002C1006"/>
    <w:rsid w:val="002C236B"/>
    <w:rsid w:val="002C4F6B"/>
    <w:rsid w:val="002C5185"/>
    <w:rsid w:val="002C609A"/>
    <w:rsid w:val="002C70A9"/>
    <w:rsid w:val="002D06D4"/>
    <w:rsid w:val="002D2BDB"/>
    <w:rsid w:val="002D2EA4"/>
    <w:rsid w:val="002D38C9"/>
    <w:rsid w:val="002D4ED4"/>
    <w:rsid w:val="002D5D46"/>
    <w:rsid w:val="002D6977"/>
    <w:rsid w:val="002D6DD0"/>
    <w:rsid w:val="002D7A74"/>
    <w:rsid w:val="002E0F05"/>
    <w:rsid w:val="002E1E7F"/>
    <w:rsid w:val="002E2E5A"/>
    <w:rsid w:val="002E49BA"/>
    <w:rsid w:val="002E519E"/>
    <w:rsid w:val="002E7331"/>
    <w:rsid w:val="002F04A9"/>
    <w:rsid w:val="002F0DCC"/>
    <w:rsid w:val="002F1D16"/>
    <w:rsid w:val="002F275B"/>
    <w:rsid w:val="002F2C9E"/>
    <w:rsid w:val="002F394A"/>
    <w:rsid w:val="002F3F55"/>
    <w:rsid w:val="002F413D"/>
    <w:rsid w:val="002F517E"/>
    <w:rsid w:val="002F5219"/>
    <w:rsid w:val="002F5553"/>
    <w:rsid w:val="002F585A"/>
    <w:rsid w:val="002F5BE3"/>
    <w:rsid w:val="002F69FE"/>
    <w:rsid w:val="002F6E32"/>
    <w:rsid w:val="002F6F53"/>
    <w:rsid w:val="002F758B"/>
    <w:rsid w:val="002F7880"/>
    <w:rsid w:val="00300B90"/>
    <w:rsid w:val="0030141E"/>
    <w:rsid w:val="00301ABD"/>
    <w:rsid w:val="0030648D"/>
    <w:rsid w:val="00306CE2"/>
    <w:rsid w:val="003074EE"/>
    <w:rsid w:val="00307C95"/>
    <w:rsid w:val="00310AE5"/>
    <w:rsid w:val="0031171E"/>
    <w:rsid w:val="0031242A"/>
    <w:rsid w:val="00312450"/>
    <w:rsid w:val="003144F8"/>
    <w:rsid w:val="00315936"/>
    <w:rsid w:val="00315C56"/>
    <w:rsid w:val="003162F6"/>
    <w:rsid w:val="003163D5"/>
    <w:rsid w:val="00317B96"/>
    <w:rsid w:val="0032049A"/>
    <w:rsid w:val="003224B4"/>
    <w:rsid w:val="003242B3"/>
    <w:rsid w:val="00326C10"/>
    <w:rsid w:val="00326D69"/>
    <w:rsid w:val="0032712F"/>
    <w:rsid w:val="0033168D"/>
    <w:rsid w:val="00331ADB"/>
    <w:rsid w:val="00332159"/>
    <w:rsid w:val="00332747"/>
    <w:rsid w:val="00335433"/>
    <w:rsid w:val="00335618"/>
    <w:rsid w:val="00335773"/>
    <w:rsid w:val="00335ED6"/>
    <w:rsid w:val="0034122F"/>
    <w:rsid w:val="00342D4D"/>
    <w:rsid w:val="003435EF"/>
    <w:rsid w:val="00345674"/>
    <w:rsid w:val="003512BC"/>
    <w:rsid w:val="003512E7"/>
    <w:rsid w:val="00352CFE"/>
    <w:rsid w:val="003577E6"/>
    <w:rsid w:val="00360F5B"/>
    <w:rsid w:val="00362688"/>
    <w:rsid w:val="00363147"/>
    <w:rsid w:val="00363286"/>
    <w:rsid w:val="003654CA"/>
    <w:rsid w:val="00367747"/>
    <w:rsid w:val="003729FF"/>
    <w:rsid w:val="003751A8"/>
    <w:rsid w:val="00375DA9"/>
    <w:rsid w:val="003766A1"/>
    <w:rsid w:val="0038054E"/>
    <w:rsid w:val="00380936"/>
    <w:rsid w:val="00381D82"/>
    <w:rsid w:val="00384150"/>
    <w:rsid w:val="00385594"/>
    <w:rsid w:val="0038753E"/>
    <w:rsid w:val="003900F1"/>
    <w:rsid w:val="00395B2E"/>
    <w:rsid w:val="00396FD1"/>
    <w:rsid w:val="003A0098"/>
    <w:rsid w:val="003A080E"/>
    <w:rsid w:val="003A25D1"/>
    <w:rsid w:val="003A2EE8"/>
    <w:rsid w:val="003A396C"/>
    <w:rsid w:val="003A488E"/>
    <w:rsid w:val="003A593A"/>
    <w:rsid w:val="003A60AB"/>
    <w:rsid w:val="003A71B7"/>
    <w:rsid w:val="003A7903"/>
    <w:rsid w:val="003B00BD"/>
    <w:rsid w:val="003B027F"/>
    <w:rsid w:val="003B033B"/>
    <w:rsid w:val="003B0621"/>
    <w:rsid w:val="003B1A94"/>
    <w:rsid w:val="003B2555"/>
    <w:rsid w:val="003B4172"/>
    <w:rsid w:val="003B69C6"/>
    <w:rsid w:val="003C08BA"/>
    <w:rsid w:val="003C1247"/>
    <w:rsid w:val="003C1D58"/>
    <w:rsid w:val="003C27D3"/>
    <w:rsid w:val="003C2D7E"/>
    <w:rsid w:val="003C3375"/>
    <w:rsid w:val="003C369E"/>
    <w:rsid w:val="003C3BA4"/>
    <w:rsid w:val="003C4FDE"/>
    <w:rsid w:val="003C5624"/>
    <w:rsid w:val="003C79F0"/>
    <w:rsid w:val="003D1F75"/>
    <w:rsid w:val="003D35C2"/>
    <w:rsid w:val="003D416D"/>
    <w:rsid w:val="003D6979"/>
    <w:rsid w:val="003E02CA"/>
    <w:rsid w:val="003E2375"/>
    <w:rsid w:val="003E3CEE"/>
    <w:rsid w:val="003E5988"/>
    <w:rsid w:val="003E6A60"/>
    <w:rsid w:val="003E7DA4"/>
    <w:rsid w:val="003F01C1"/>
    <w:rsid w:val="003F0DC8"/>
    <w:rsid w:val="003F2402"/>
    <w:rsid w:val="003F2965"/>
    <w:rsid w:val="003F2AA6"/>
    <w:rsid w:val="003F3A9A"/>
    <w:rsid w:val="003F43A4"/>
    <w:rsid w:val="003F466F"/>
    <w:rsid w:val="003F5EA3"/>
    <w:rsid w:val="003F6045"/>
    <w:rsid w:val="003F61FD"/>
    <w:rsid w:val="003F7B00"/>
    <w:rsid w:val="003F7D27"/>
    <w:rsid w:val="00401C0A"/>
    <w:rsid w:val="004026D0"/>
    <w:rsid w:val="00402765"/>
    <w:rsid w:val="00404508"/>
    <w:rsid w:val="0040463C"/>
    <w:rsid w:val="004055EE"/>
    <w:rsid w:val="0041172A"/>
    <w:rsid w:val="004119FB"/>
    <w:rsid w:val="00411A46"/>
    <w:rsid w:val="00411C53"/>
    <w:rsid w:val="00412922"/>
    <w:rsid w:val="004135BC"/>
    <w:rsid w:val="0041395F"/>
    <w:rsid w:val="00413FB7"/>
    <w:rsid w:val="004159AE"/>
    <w:rsid w:val="0042071F"/>
    <w:rsid w:val="00420A65"/>
    <w:rsid w:val="004227CD"/>
    <w:rsid w:val="00423232"/>
    <w:rsid w:val="004237D5"/>
    <w:rsid w:val="00423CF2"/>
    <w:rsid w:val="00425053"/>
    <w:rsid w:val="0042544E"/>
    <w:rsid w:val="0042576C"/>
    <w:rsid w:val="00425FB2"/>
    <w:rsid w:val="0042612D"/>
    <w:rsid w:val="00426F5F"/>
    <w:rsid w:val="00427A0B"/>
    <w:rsid w:val="0043023B"/>
    <w:rsid w:val="00430491"/>
    <w:rsid w:val="004306DF"/>
    <w:rsid w:val="00430BB3"/>
    <w:rsid w:val="00432DA9"/>
    <w:rsid w:val="00434871"/>
    <w:rsid w:val="0043632A"/>
    <w:rsid w:val="0043780C"/>
    <w:rsid w:val="00437887"/>
    <w:rsid w:val="00440296"/>
    <w:rsid w:val="004412B4"/>
    <w:rsid w:val="00441747"/>
    <w:rsid w:val="004426BD"/>
    <w:rsid w:val="00445E8A"/>
    <w:rsid w:val="00446131"/>
    <w:rsid w:val="00447117"/>
    <w:rsid w:val="00452399"/>
    <w:rsid w:val="004560C2"/>
    <w:rsid w:val="00456E8C"/>
    <w:rsid w:val="00457C37"/>
    <w:rsid w:val="00457CFD"/>
    <w:rsid w:val="00460341"/>
    <w:rsid w:val="00460514"/>
    <w:rsid w:val="00460BD3"/>
    <w:rsid w:val="004659A3"/>
    <w:rsid w:val="00466E78"/>
    <w:rsid w:val="00470FD7"/>
    <w:rsid w:val="004712C3"/>
    <w:rsid w:val="00471FCE"/>
    <w:rsid w:val="00472001"/>
    <w:rsid w:val="0047261C"/>
    <w:rsid w:val="00473259"/>
    <w:rsid w:val="00473307"/>
    <w:rsid w:val="004802D8"/>
    <w:rsid w:val="00480BD6"/>
    <w:rsid w:val="00481685"/>
    <w:rsid w:val="004823D5"/>
    <w:rsid w:val="004827B3"/>
    <w:rsid w:val="00483797"/>
    <w:rsid w:val="00486B14"/>
    <w:rsid w:val="004942CC"/>
    <w:rsid w:val="00495E83"/>
    <w:rsid w:val="00496326"/>
    <w:rsid w:val="004A0D46"/>
    <w:rsid w:val="004A238B"/>
    <w:rsid w:val="004A276E"/>
    <w:rsid w:val="004A2D9D"/>
    <w:rsid w:val="004A319A"/>
    <w:rsid w:val="004A4A69"/>
    <w:rsid w:val="004A4F2F"/>
    <w:rsid w:val="004A606B"/>
    <w:rsid w:val="004A72CE"/>
    <w:rsid w:val="004B0147"/>
    <w:rsid w:val="004B12BB"/>
    <w:rsid w:val="004B27F5"/>
    <w:rsid w:val="004B2CB5"/>
    <w:rsid w:val="004B323B"/>
    <w:rsid w:val="004B3251"/>
    <w:rsid w:val="004B39AE"/>
    <w:rsid w:val="004B3BBE"/>
    <w:rsid w:val="004B3F43"/>
    <w:rsid w:val="004B434A"/>
    <w:rsid w:val="004B4407"/>
    <w:rsid w:val="004B5387"/>
    <w:rsid w:val="004B5469"/>
    <w:rsid w:val="004B5D00"/>
    <w:rsid w:val="004B739E"/>
    <w:rsid w:val="004C03CB"/>
    <w:rsid w:val="004C075D"/>
    <w:rsid w:val="004C0CB0"/>
    <w:rsid w:val="004C4400"/>
    <w:rsid w:val="004C4651"/>
    <w:rsid w:val="004C5A12"/>
    <w:rsid w:val="004C5F7D"/>
    <w:rsid w:val="004C6148"/>
    <w:rsid w:val="004C6D68"/>
    <w:rsid w:val="004C702D"/>
    <w:rsid w:val="004C711B"/>
    <w:rsid w:val="004C7D25"/>
    <w:rsid w:val="004D18BD"/>
    <w:rsid w:val="004D1F2C"/>
    <w:rsid w:val="004D2D93"/>
    <w:rsid w:val="004D2EA9"/>
    <w:rsid w:val="004D332B"/>
    <w:rsid w:val="004D6019"/>
    <w:rsid w:val="004E0552"/>
    <w:rsid w:val="004E3A48"/>
    <w:rsid w:val="004E59A1"/>
    <w:rsid w:val="004E772D"/>
    <w:rsid w:val="004E7949"/>
    <w:rsid w:val="004F05CA"/>
    <w:rsid w:val="004F0D58"/>
    <w:rsid w:val="004F3335"/>
    <w:rsid w:val="004F335E"/>
    <w:rsid w:val="004F34FA"/>
    <w:rsid w:val="004F3B83"/>
    <w:rsid w:val="004F4DD5"/>
    <w:rsid w:val="004F6706"/>
    <w:rsid w:val="004F6F29"/>
    <w:rsid w:val="004F7C2B"/>
    <w:rsid w:val="005010AA"/>
    <w:rsid w:val="00501AE4"/>
    <w:rsid w:val="00501B62"/>
    <w:rsid w:val="00501E28"/>
    <w:rsid w:val="00501EDE"/>
    <w:rsid w:val="00502B3C"/>
    <w:rsid w:val="005059A8"/>
    <w:rsid w:val="00506821"/>
    <w:rsid w:val="00506900"/>
    <w:rsid w:val="00506CE5"/>
    <w:rsid w:val="005111E8"/>
    <w:rsid w:val="005111EE"/>
    <w:rsid w:val="0051122C"/>
    <w:rsid w:val="005138D1"/>
    <w:rsid w:val="00516E0B"/>
    <w:rsid w:val="00517000"/>
    <w:rsid w:val="00520DE5"/>
    <w:rsid w:val="00522170"/>
    <w:rsid w:val="00522461"/>
    <w:rsid w:val="00524CDA"/>
    <w:rsid w:val="00525940"/>
    <w:rsid w:val="00525998"/>
    <w:rsid w:val="005260F2"/>
    <w:rsid w:val="00526D89"/>
    <w:rsid w:val="00531470"/>
    <w:rsid w:val="0053181C"/>
    <w:rsid w:val="00532029"/>
    <w:rsid w:val="005326EA"/>
    <w:rsid w:val="00533D15"/>
    <w:rsid w:val="00535D8A"/>
    <w:rsid w:val="0053646B"/>
    <w:rsid w:val="0054102B"/>
    <w:rsid w:val="005422C5"/>
    <w:rsid w:val="00542B98"/>
    <w:rsid w:val="00543DB2"/>
    <w:rsid w:val="00543DC7"/>
    <w:rsid w:val="00546FE0"/>
    <w:rsid w:val="00547B33"/>
    <w:rsid w:val="00550301"/>
    <w:rsid w:val="005505F1"/>
    <w:rsid w:val="00551EAB"/>
    <w:rsid w:val="005528E7"/>
    <w:rsid w:val="00554617"/>
    <w:rsid w:val="0055493D"/>
    <w:rsid w:val="00556DCA"/>
    <w:rsid w:val="00556FA5"/>
    <w:rsid w:val="00557451"/>
    <w:rsid w:val="005577D3"/>
    <w:rsid w:val="00560AF8"/>
    <w:rsid w:val="00560B75"/>
    <w:rsid w:val="00560E3F"/>
    <w:rsid w:val="0056110E"/>
    <w:rsid w:val="005615FB"/>
    <w:rsid w:val="00565E24"/>
    <w:rsid w:val="005670F1"/>
    <w:rsid w:val="005702CB"/>
    <w:rsid w:val="0057036A"/>
    <w:rsid w:val="00570EA2"/>
    <w:rsid w:val="005711D6"/>
    <w:rsid w:val="0057231D"/>
    <w:rsid w:val="00572E38"/>
    <w:rsid w:val="00573D09"/>
    <w:rsid w:val="0057436A"/>
    <w:rsid w:val="00575E5E"/>
    <w:rsid w:val="00576371"/>
    <w:rsid w:val="005777ED"/>
    <w:rsid w:val="00580D96"/>
    <w:rsid w:val="005818BF"/>
    <w:rsid w:val="005818D9"/>
    <w:rsid w:val="00581B8B"/>
    <w:rsid w:val="00582CC9"/>
    <w:rsid w:val="00582E0A"/>
    <w:rsid w:val="005856F3"/>
    <w:rsid w:val="00587267"/>
    <w:rsid w:val="00590048"/>
    <w:rsid w:val="00590218"/>
    <w:rsid w:val="005905A3"/>
    <w:rsid w:val="00591E22"/>
    <w:rsid w:val="00594850"/>
    <w:rsid w:val="0059583E"/>
    <w:rsid w:val="00596E55"/>
    <w:rsid w:val="005A218E"/>
    <w:rsid w:val="005A2FA5"/>
    <w:rsid w:val="005A447B"/>
    <w:rsid w:val="005A4E83"/>
    <w:rsid w:val="005A73A4"/>
    <w:rsid w:val="005B04FC"/>
    <w:rsid w:val="005B0826"/>
    <w:rsid w:val="005B126E"/>
    <w:rsid w:val="005B15B1"/>
    <w:rsid w:val="005B1F0E"/>
    <w:rsid w:val="005B2A93"/>
    <w:rsid w:val="005B39A8"/>
    <w:rsid w:val="005B7025"/>
    <w:rsid w:val="005C05F2"/>
    <w:rsid w:val="005C0ACE"/>
    <w:rsid w:val="005C2222"/>
    <w:rsid w:val="005C452E"/>
    <w:rsid w:val="005C5705"/>
    <w:rsid w:val="005C632F"/>
    <w:rsid w:val="005C6936"/>
    <w:rsid w:val="005C6A57"/>
    <w:rsid w:val="005C71D9"/>
    <w:rsid w:val="005D16CB"/>
    <w:rsid w:val="005D3000"/>
    <w:rsid w:val="005D7655"/>
    <w:rsid w:val="005E18FF"/>
    <w:rsid w:val="005E2A23"/>
    <w:rsid w:val="005E343B"/>
    <w:rsid w:val="005E3503"/>
    <w:rsid w:val="005E45F7"/>
    <w:rsid w:val="005E6132"/>
    <w:rsid w:val="005E64C0"/>
    <w:rsid w:val="005F14D8"/>
    <w:rsid w:val="005F1A73"/>
    <w:rsid w:val="005F1D71"/>
    <w:rsid w:val="005F22C6"/>
    <w:rsid w:val="005F37DA"/>
    <w:rsid w:val="005F44A4"/>
    <w:rsid w:val="005F4635"/>
    <w:rsid w:val="005F5BBA"/>
    <w:rsid w:val="005F6C32"/>
    <w:rsid w:val="005F74C0"/>
    <w:rsid w:val="005F78EA"/>
    <w:rsid w:val="005F7B60"/>
    <w:rsid w:val="00600C43"/>
    <w:rsid w:val="00601C40"/>
    <w:rsid w:val="00605B83"/>
    <w:rsid w:val="006079A2"/>
    <w:rsid w:val="00610505"/>
    <w:rsid w:val="00610A41"/>
    <w:rsid w:val="006114B5"/>
    <w:rsid w:val="00611980"/>
    <w:rsid w:val="00611CC6"/>
    <w:rsid w:val="00613004"/>
    <w:rsid w:val="006133C3"/>
    <w:rsid w:val="006142E3"/>
    <w:rsid w:val="00617A5B"/>
    <w:rsid w:val="00620068"/>
    <w:rsid w:val="00624ACC"/>
    <w:rsid w:val="0062521A"/>
    <w:rsid w:val="00630BB4"/>
    <w:rsid w:val="0063341C"/>
    <w:rsid w:val="00634E0D"/>
    <w:rsid w:val="00635CD1"/>
    <w:rsid w:val="00635F70"/>
    <w:rsid w:val="006361C1"/>
    <w:rsid w:val="00636AFB"/>
    <w:rsid w:val="00637185"/>
    <w:rsid w:val="006409A0"/>
    <w:rsid w:val="00641B3A"/>
    <w:rsid w:val="00643529"/>
    <w:rsid w:val="00650D09"/>
    <w:rsid w:val="0065195C"/>
    <w:rsid w:val="00652806"/>
    <w:rsid w:val="00654316"/>
    <w:rsid w:val="00657BC1"/>
    <w:rsid w:val="0066344A"/>
    <w:rsid w:val="00664126"/>
    <w:rsid w:val="006645BE"/>
    <w:rsid w:val="00667AD7"/>
    <w:rsid w:val="0067128F"/>
    <w:rsid w:val="00671379"/>
    <w:rsid w:val="00671818"/>
    <w:rsid w:val="00671AA0"/>
    <w:rsid w:val="0067312C"/>
    <w:rsid w:val="00674E4D"/>
    <w:rsid w:val="00676442"/>
    <w:rsid w:val="0067657E"/>
    <w:rsid w:val="0067661E"/>
    <w:rsid w:val="0068125F"/>
    <w:rsid w:val="0068133E"/>
    <w:rsid w:val="00683C43"/>
    <w:rsid w:val="00684E74"/>
    <w:rsid w:val="006855CA"/>
    <w:rsid w:val="006869CA"/>
    <w:rsid w:val="0068716D"/>
    <w:rsid w:val="00691197"/>
    <w:rsid w:val="00691438"/>
    <w:rsid w:val="00692DC2"/>
    <w:rsid w:val="00692E4D"/>
    <w:rsid w:val="00693A7A"/>
    <w:rsid w:val="00694571"/>
    <w:rsid w:val="00694739"/>
    <w:rsid w:val="00696706"/>
    <w:rsid w:val="006976D7"/>
    <w:rsid w:val="006A16C5"/>
    <w:rsid w:val="006A17E7"/>
    <w:rsid w:val="006A27D2"/>
    <w:rsid w:val="006A2C52"/>
    <w:rsid w:val="006A2CEE"/>
    <w:rsid w:val="006A40DE"/>
    <w:rsid w:val="006A6694"/>
    <w:rsid w:val="006A6D43"/>
    <w:rsid w:val="006A6FC9"/>
    <w:rsid w:val="006B239E"/>
    <w:rsid w:val="006B6AE0"/>
    <w:rsid w:val="006B6C95"/>
    <w:rsid w:val="006C157B"/>
    <w:rsid w:val="006C1EDA"/>
    <w:rsid w:val="006C3A39"/>
    <w:rsid w:val="006C625E"/>
    <w:rsid w:val="006C6BDB"/>
    <w:rsid w:val="006D00F3"/>
    <w:rsid w:val="006D1A47"/>
    <w:rsid w:val="006D24D8"/>
    <w:rsid w:val="006D2A18"/>
    <w:rsid w:val="006D4027"/>
    <w:rsid w:val="006D4457"/>
    <w:rsid w:val="006D45C6"/>
    <w:rsid w:val="006D4F54"/>
    <w:rsid w:val="006D6354"/>
    <w:rsid w:val="006D682B"/>
    <w:rsid w:val="006E0D13"/>
    <w:rsid w:val="006E141D"/>
    <w:rsid w:val="006E1BD8"/>
    <w:rsid w:val="006E38A9"/>
    <w:rsid w:val="006E4FD7"/>
    <w:rsid w:val="006E578F"/>
    <w:rsid w:val="006E6988"/>
    <w:rsid w:val="006E73AF"/>
    <w:rsid w:val="006E768C"/>
    <w:rsid w:val="006F13A6"/>
    <w:rsid w:val="006F1671"/>
    <w:rsid w:val="006F2087"/>
    <w:rsid w:val="006F3037"/>
    <w:rsid w:val="006F376C"/>
    <w:rsid w:val="006F4889"/>
    <w:rsid w:val="006F5016"/>
    <w:rsid w:val="006F557E"/>
    <w:rsid w:val="006F5DAB"/>
    <w:rsid w:val="006F645A"/>
    <w:rsid w:val="00700ABE"/>
    <w:rsid w:val="00702108"/>
    <w:rsid w:val="00702DD0"/>
    <w:rsid w:val="00703ACE"/>
    <w:rsid w:val="00703AE1"/>
    <w:rsid w:val="0070495E"/>
    <w:rsid w:val="00705512"/>
    <w:rsid w:val="00711050"/>
    <w:rsid w:val="00711848"/>
    <w:rsid w:val="00712005"/>
    <w:rsid w:val="00713E38"/>
    <w:rsid w:val="00713EF7"/>
    <w:rsid w:val="00714263"/>
    <w:rsid w:val="007146DD"/>
    <w:rsid w:val="00715A07"/>
    <w:rsid w:val="00715B31"/>
    <w:rsid w:val="007172D5"/>
    <w:rsid w:val="007173D8"/>
    <w:rsid w:val="007174CA"/>
    <w:rsid w:val="00721088"/>
    <w:rsid w:val="007222DD"/>
    <w:rsid w:val="00723FA7"/>
    <w:rsid w:val="00724CCF"/>
    <w:rsid w:val="007267B2"/>
    <w:rsid w:val="00730B50"/>
    <w:rsid w:val="00730D4E"/>
    <w:rsid w:val="00733494"/>
    <w:rsid w:val="00733DF0"/>
    <w:rsid w:val="007348B6"/>
    <w:rsid w:val="00734DD5"/>
    <w:rsid w:val="00736920"/>
    <w:rsid w:val="00736D04"/>
    <w:rsid w:val="00740A30"/>
    <w:rsid w:val="00742A77"/>
    <w:rsid w:val="00745115"/>
    <w:rsid w:val="0075170D"/>
    <w:rsid w:val="007527C9"/>
    <w:rsid w:val="00752F4E"/>
    <w:rsid w:val="00753DC4"/>
    <w:rsid w:val="00754D7D"/>
    <w:rsid w:val="00756465"/>
    <w:rsid w:val="0075671F"/>
    <w:rsid w:val="0075681C"/>
    <w:rsid w:val="00756EC9"/>
    <w:rsid w:val="00757A64"/>
    <w:rsid w:val="0076059E"/>
    <w:rsid w:val="007605EA"/>
    <w:rsid w:val="00760B5E"/>
    <w:rsid w:val="00761E39"/>
    <w:rsid w:val="0076252C"/>
    <w:rsid w:val="007625F3"/>
    <w:rsid w:val="00763671"/>
    <w:rsid w:val="00763A1B"/>
    <w:rsid w:val="007641CD"/>
    <w:rsid w:val="007658F4"/>
    <w:rsid w:val="00765AD9"/>
    <w:rsid w:val="00765ADA"/>
    <w:rsid w:val="00765CF7"/>
    <w:rsid w:val="00765F7F"/>
    <w:rsid w:val="00767A7D"/>
    <w:rsid w:val="00767C32"/>
    <w:rsid w:val="00771231"/>
    <w:rsid w:val="0077180D"/>
    <w:rsid w:val="00775E27"/>
    <w:rsid w:val="007800A3"/>
    <w:rsid w:val="007808A6"/>
    <w:rsid w:val="00781DF0"/>
    <w:rsid w:val="00782EE3"/>
    <w:rsid w:val="00783ED2"/>
    <w:rsid w:val="00784586"/>
    <w:rsid w:val="007848EC"/>
    <w:rsid w:val="007855D1"/>
    <w:rsid w:val="007869A1"/>
    <w:rsid w:val="00787268"/>
    <w:rsid w:val="00790056"/>
    <w:rsid w:val="00790A35"/>
    <w:rsid w:val="00790E9A"/>
    <w:rsid w:val="00790FD2"/>
    <w:rsid w:val="007918B4"/>
    <w:rsid w:val="0079196F"/>
    <w:rsid w:val="00792906"/>
    <w:rsid w:val="007933A6"/>
    <w:rsid w:val="0079425B"/>
    <w:rsid w:val="007949F6"/>
    <w:rsid w:val="00794DD3"/>
    <w:rsid w:val="0079568F"/>
    <w:rsid w:val="00795BA5"/>
    <w:rsid w:val="00797020"/>
    <w:rsid w:val="007973BA"/>
    <w:rsid w:val="00797951"/>
    <w:rsid w:val="00797CE8"/>
    <w:rsid w:val="007A04A1"/>
    <w:rsid w:val="007A07BF"/>
    <w:rsid w:val="007A0F8F"/>
    <w:rsid w:val="007A2079"/>
    <w:rsid w:val="007A24C9"/>
    <w:rsid w:val="007A2A4A"/>
    <w:rsid w:val="007A2F3C"/>
    <w:rsid w:val="007A5A74"/>
    <w:rsid w:val="007A6333"/>
    <w:rsid w:val="007B0458"/>
    <w:rsid w:val="007B148A"/>
    <w:rsid w:val="007B1E90"/>
    <w:rsid w:val="007B27E8"/>
    <w:rsid w:val="007B3735"/>
    <w:rsid w:val="007B4A63"/>
    <w:rsid w:val="007B50B3"/>
    <w:rsid w:val="007B5D91"/>
    <w:rsid w:val="007B7BB3"/>
    <w:rsid w:val="007C0AC4"/>
    <w:rsid w:val="007C2689"/>
    <w:rsid w:val="007C2BA3"/>
    <w:rsid w:val="007C45BC"/>
    <w:rsid w:val="007C667E"/>
    <w:rsid w:val="007C6AE4"/>
    <w:rsid w:val="007C7715"/>
    <w:rsid w:val="007D18E6"/>
    <w:rsid w:val="007D2ED7"/>
    <w:rsid w:val="007D4C06"/>
    <w:rsid w:val="007D652F"/>
    <w:rsid w:val="007D7E88"/>
    <w:rsid w:val="007E0ACB"/>
    <w:rsid w:val="007E189D"/>
    <w:rsid w:val="007E4BBB"/>
    <w:rsid w:val="007E5892"/>
    <w:rsid w:val="007E5D9F"/>
    <w:rsid w:val="007E706B"/>
    <w:rsid w:val="007E7AB7"/>
    <w:rsid w:val="007F07B1"/>
    <w:rsid w:val="007F10BD"/>
    <w:rsid w:val="007F4D65"/>
    <w:rsid w:val="007F6462"/>
    <w:rsid w:val="007F7795"/>
    <w:rsid w:val="007F7EE5"/>
    <w:rsid w:val="00800D03"/>
    <w:rsid w:val="00801420"/>
    <w:rsid w:val="00801B56"/>
    <w:rsid w:val="008020A4"/>
    <w:rsid w:val="0080210E"/>
    <w:rsid w:val="0080353A"/>
    <w:rsid w:val="00804177"/>
    <w:rsid w:val="00804551"/>
    <w:rsid w:val="00812108"/>
    <w:rsid w:val="008146FA"/>
    <w:rsid w:val="0081549E"/>
    <w:rsid w:val="00816E41"/>
    <w:rsid w:val="00817EDD"/>
    <w:rsid w:val="008204A4"/>
    <w:rsid w:val="008217B2"/>
    <w:rsid w:val="00822682"/>
    <w:rsid w:val="00822ADF"/>
    <w:rsid w:val="00823A62"/>
    <w:rsid w:val="00823AA6"/>
    <w:rsid w:val="00825094"/>
    <w:rsid w:val="008275FC"/>
    <w:rsid w:val="00827A8E"/>
    <w:rsid w:val="00833534"/>
    <w:rsid w:val="00834D69"/>
    <w:rsid w:val="00841BC2"/>
    <w:rsid w:val="0084257D"/>
    <w:rsid w:val="008431FF"/>
    <w:rsid w:val="00843391"/>
    <w:rsid w:val="008439A7"/>
    <w:rsid w:val="00843ED5"/>
    <w:rsid w:val="008442A5"/>
    <w:rsid w:val="008456F0"/>
    <w:rsid w:val="00845C80"/>
    <w:rsid w:val="00850373"/>
    <w:rsid w:val="008504A5"/>
    <w:rsid w:val="00852805"/>
    <w:rsid w:val="008528EF"/>
    <w:rsid w:val="00852CD7"/>
    <w:rsid w:val="00852F01"/>
    <w:rsid w:val="00854503"/>
    <w:rsid w:val="008549E9"/>
    <w:rsid w:val="008564C5"/>
    <w:rsid w:val="00860CCA"/>
    <w:rsid w:val="00862222"/>
    <w:rsid w:val="008631BC"/>
    <w:rsid w:val="00863A05"/>
    <w:rsid w:val="0086512B"/>
    <w:rsid w:val="0086566D"/>
    <w:rsid w:val="008660A7"/>
    <w:rsid w:val="008663DE"/>
    <w:rsid w:val="00866857"/>
    <w:rsid w:val="00871729"/>
    <w:rsid w:val="0087282B"/>
    <w:rsid w:val="00872A88"/>
    <w:rsid w:val="0087308F"/>
    <w:rsid w:val="00874C52"/>
    <w:rsid w:val="008751CD"/>
    <w:rsid w:val="00880134"/>
    <w:rsid w:val="00880393"/>
    <w:rsid w:val="00881341"/>
    <w:rsid w:val="008813AC"/>
    <w:rsid w:val="00882B9A"/>
    <w:rsid w:val="008873A1"/>
    <w:rsid w:val="00891C89"/>
    <w:rsid w:val="00893619"/>
    <w:rsid w:val="00896A48"/>
    <w:rsid w:val="008A0A43"/>
    <w:rsid w:val="008A1C65"/>
    <w:rsid w:val="008A243D"/>
    <w:rsid w:val="008A2CF5"/>
    <w:rsid w:val="008A480F"/>
    <w:rsid w:val="008A49CF"/>
    <w:rsid w:val="008A4C53"/>
    <w:rsid w:val="008A4E89"/>
    <w:rsid w:val="008A5E8A"/>
    <w:rsid w:val="008A67D0"/>
    <w:rsid w:val="008B0ED7"/>
    <w:rsid w:val="008C09B3"/>
    <w:rsid w:val="008C0B0C"/>
    <w:rsid w:val="008C0B8D"/>
    <w:rsid w:val="008C11B9"/>
    <w:rsid w:val="008C2A69"/>
    <w:rsid w:val="008C3831"/>
    <w:rsid w:val="008C4A25"/>
    <w:rsid w:val="008C692C"/>
    <w:rsid w:val="008C6C44"/>
    <w:rsid w:val="008C6CF9"/>
    <w:rsid w:val="008C7FB8"/>
    <w:rsid w:val="008D292B"/>
    <w:rsid w:val="008D384D"/>
    <w:rsid w:val="008D3BB7"/>
    <w:rsid w:val="008D5154"/>
    <w:rsid w:val="008D5A2A"/>
    <w:rsid w:val="008D5A95"/>
    <w:rsid w:val="008D625D"/>
    <w:rsid w:val="008D796D"/>
    <w:rsid w:val="008D7CCB"/>
    <w:rsid w:val="008E11A8"/>
    <w:rsid w:val="008E17E3"/>
    <w:rsid w:val="008E1899"/>
    <w:rsid w:val="008E4BF3"/>
    <w:rsid w:val="008E5040"/>
    <w:rsid w:val="008E52FD"/>
    <w:rsid w:val="008E66A5"/>
    <w:rsid w:val="008E6B03"/>
    <w:rsid w:val="008E754A"/>
    <w:rsid w:val="008E7580"/>
    <w:rsid w:val="008E7A1F"/>
    <w:rsid w:val="008F0314"/>
    <w:rsid w:val="008F0324"/>
    <w:rsid w:val="008F0CDA"/>
    <w:rsid w:val="008F30B4"/>
    <w:rsid w:val="008F4264"/>
    <w:rsid w:val="008F43E6"/>
    <w:rsid w:val="008F4998"/>
    <w:rsid w:val="008F4F9D"/>
    <w:rsid w:val="008F5BEE"/>
    <w:rsid w:val="008F757B"/>
    <w:rsid w:val="0090141A"/>
    <w:rsid w:val="00903177"/>
    <w:rsid w:val="00903A83"/>
    <w:rsid w:val="00904AF4"/>
    <w:rsid w:val="00904E38"/>
    <w:rsid w:val="009072B9"/>
    <w:rsid w:val="00907D0F"/>
    <w:rsid w:val="00910926"/>
    <w:rsid w:val="009123CC"/>
    <w:rsid w:val="0091321F"/>
    <w:rsid w:val="00914276"/>
    <w:rsid w:val="009145A9"/>
    <w:rsid w:val="0091566A"/>
    <w:rsid w:val="0091652A"/>
    <w:rsid w:val="00921F8A"/>
    <w:rsid w:val="00922333"/>
    <w:rsid w:val="00922405"/>
    <w:rsid w:val="00925494"/>
    <w:rsid w:val="00925F93"/>
    <w:rsid w:val="00926212"/>
    <w:rsid w:val="0093106D"/>
    <w:rsid w:val="0093195E"/>
    <w:rsid w:val="009319FC"/>
    <w:rsid w:val="00931E88"/>
    <w:rsid w:val="009324DB"/>
    <w:rsid w:val="0093521A"/>
    <w:rsid w:val="00937024"/>
    <w:rsid w:val="009413F1"/>
    <w:rsid w:val="00941BCC"/>
    <w:rsid w:val="00941DFB"/>
    <w:rsid w:val="00943F3C"/>
    <w:rsid w:val="009472E4"/>
    <w:rsid w:val="00950996"/>
    <w:rsid w:val="00951020"/>
    <w:rsid w:val="00951718"/>
    <w:rsid w:val="0095197E"/>
    <w:rsid w:val="00951AE3"/>
    <w:rsid w:val="009574FD"/>
    <w:rsid w:val="0096066C"/>
    <w:rsid w:val="009612FC"/>
    <w:rsid w:val="009634C7"/>
    <w:rsid w:val="009667D2"/>
    <w:rsid w:val="00966C23"/>
    <w:rsid w:val="00973CF8"/>
    <w:rsid w:val="009743A9"/>
    <w:rsid w:val="009748B9"/>
    <w:rsid w:val="009762C7"/>
    <w:rsid w:val="009770DA"/>
    <w:rsid w:val="00977781"/>
    <w:rsid w:val="00981680"/>
    <w:rsid w:val="009816DC"/>
    <w:rsid w:val="00981F84"/>
    <w:rsid w:val="009829F3"/>
    <w:rsid w:val="009833C8"/>
    <w:rsid w:val="0098368B"/>
    <w:rsid w:val="009839D9"/>
    <w:rsid w:val="00986534"/>
    <w:rsid w:val="00991C3A"/>
    <w:rsid w:val="00991E33"/>
    <w:rsid w:val="0099273F"/>
    <w:rsid w:val="00992B49"/>
    <w:rsid w:val="0099440D"/>
    <w:rsid w:val="009948CF"/>
    <w:rsid w:val="009951C9"/>
    <w:rsid w:val="009951E6"/>
    <w:rsid w:val="00995AF8"/>
    <w:rsid w:val="009A0013"/>
    <w:rsid w:val="009A1C60"/>
    <w:rsid w:val="009A1C78"/>
    <w:rsid w:val="009A2385"/>
    <w:rsid w:val="009A2634"/>
    <w:rsid w:val="009A2BB8"/>
    <w:rsid w:val="009A2FCC"/>
    <w:rsid w:val="009A4EDF"/>
    <w:rsid w:val="009A50BA"/>
    <w:rsid w:val="009A57B0"/>
    <w:rsid w:val="009A7886"/>
    <w:rsid w:val="009B0E80"/>
    <w:rsid w:val="009B1976"/>
    <w:rsid w:val="009B5068"/>
    <w:rsid w:val="009B5CDD"/>
    <w:rsid w:val="009B5EEC"/>
    <w:rsid w:val="009B615F"/>
    <w:rsid w:val="009B6B1F"/>
    <w:rsid w:val="009B7786"/>
    <w:rsid w:val="009B7AD0"/>
    <w:rsid w:val="009C00C7"/>
    <w:rsid w:val="009C0B66"/>
    <w:rsid w:val="009C0BD9"/>
    <w:rsid w:val="009C56E6"/>
    <w:rsid w:val="009C61B3"/>
    <w:rsid w:val="009C6529"/>
    <w:rsid w:val="009D0343"/>
    <w:rsid w:val="009D15F3"/>
    <w:rsid w:val="009D175C"/>
    <w:rsid w:val="009D1AB8"/>
    <w:rsid w:val="009D21F7"/>
    <w:rsid w:val="009D2738"/>
    <w:rsid w:val="009D3D33"/>
    <w:rsid w:val="009D3D71"/>
    <w:rsid w:val="009D48F4"/>
    <w:rsid w:val="009D74DB"/>
    <w:rsid w:val="009E1A6B"/>
    <w:rsid w:val="009E408B"/>
    <w:rsid w:val="009E492D"/>
    <w:rsid w:val="009E61AA"/>
    <w:rsid w:val="009F145E"/>
    <w:rsid w:val="009F17CA"/>
    <w:rsid w:val="009F2965"/>
    <w:rsid w:val="009F2CEE"/>
    <w:rsid w:val="009F3832"/>
    <w:rsid w:val="009F7534"/>
    <w:rsid w:val="00A001C8"/>
    <w:rsid w:val="00A0084E"/>
    <w:rsid w:val="00A02440"/>
    <w:rsid w:val="00A0314A"/>
    <w:rsid w:val="00A04F28"/>
    <w:rsid w:val="00A0667D"/>
    <w:rsid w:val="00A06E19"/>
    <w:rsid w:val="00A11681"/>
    <w:rsid w:val="00A12E0B"/>
    <w:rsid w:val="00A12EC8"/>
    <w:rsid w:val="00A13539"/>
    <w:rsid w:val="00A14570"/>
    <w:rsid w:val="00A15879"/>
    <w:rsid w:val="00A17379"/>
    <w:rsid w:val="00A20576"/>
    <w:rsid w:val="00A207A0"/>
    <w:rsid w:val="00A24524"/>
    <w:rsid w:val="00A2457B"/>
    <w:rsid w:val="00A276CD"/>
    <w:rsid w:val="00A31D10"/>
    <w:rsid w:val="00A346E2"/>
    <w:rsid w:val="00A3605E"/>
    <w:rsid w:val="00A363A4"/>
    <w:rsid w:val="00A413E6"/>
    <w:rsid w:val="00A425B7"/>
    <w:rsid w:val="00A42C19"/>
    <w:rsid w:val="00A43C9F"/>
    <w:rsid w:val="00A449FC"/>
    <w:rsid w:val="00A45D25"/>
    <w:rsid w:val="00A46CE5"/>
    <w:rsid w:val="00A47D59"/>
    <w:rsid w:val="00A50EFF"/>
    <w:rsid w:val="00A529AD"/>
    <w:rsid w:val="00A52A36"/>
    <w:rsid w:val="00A5300A"/>
    <w:rsid w:val="00A534F9"/>
    <w:rsid w:val="00A53B60"/>
    <w:rsid w:val="00A55045"/>
    <w:rsid w:val="00A55894"/>
    <w:rsid w:val="00A5593B"/>
    <w:rsid w:val="00A56148"/>
    <w:rsid w:val="00A60A6F"/>
    <w:rsid w:val="00A60D16"/>
    <w:rsid w:val="00A61171"/>
    <w:rsid w:val="00A61871"/>
    <w:rsid w:val="00A61E56"/>
    <w:rsid w:val="00A62C7E"/>
    <w:rsid w:val="00A63181"/>
    <w:rsid w:val="00A64C62"/>
    <w:rsid w:val="00A65650"/>
    <w:rsid w:val="00A67259"/>
    <w:rsid w:val="00A71101"/>
    <w:rsid w:val="00A72033"/>
    <w:rsid w:val="00A728BC"/>
    <w:rsid w:val="00A73B57"/>
    <w:rsid w:val="00A746D1"/>
    <w:rsid w:val="00A76783"/>
    <w:rsid w:val="00A76CEE"/>
    <w:rsid w:val="00A80DB2"/>
    <w:rsid w:val="00A82385"/>
    <w:rsid w:val="00A82B1D"/>
    <w:rsid w:val="00A85660"/>
    <w:rsid w:val="00A87304"/>
    <w:rsid w:val="00A87982"/>
    <w:rsid w:val="00A91BC6"/>
    <w:rsid w:val="00A927CC"/>
    <w:rsid w:val="00A93C0E"/>
    <w:rsid w:val="00A957F9"/>
    <w:rsid w:val="00A95F4E"/>
    <w:rsid w:val="00A97A9C"/>
    <w:rsid w:val="00AA24E0"/>
    <w:rsid w:val="00AA2EDE"/>
    <w:rsid w:val="00AA47EE"/>
    <w:rsid w:val="00AA6D28"/>
    <w:rsid w:val="00AB29F9"/>
    <w:rsid w:val="00AB2A62"/>
    <w:rsid w:val="00AB376B"/>
    <w:rsid w:val="00AB3F04"/>
    <w:rsid w:val="00AB503C"/>
    <w:rsid w:val="00AB50E7"/>
    <w:rsid w:val="00AB53EE"/>
    <w:rsid w:val="00AB6C82"/>
    <w:rsid w:val="00AB6D6A"/>
    <w:rsid w:val="00AC281A"/>
    <w:rsid w:val="00AC49D2"/>
    <w:rsid w:val="00AC4E79"/>
    <w:rsid w:val="00AC5056"/>
    <w:rsid w:val="00AC5CB0"/>
    <w:rsid w:val="00AC6DA7"/>
    <w:rsid w:val="00AD0B02"/>
    <w:rsid w:val="00AD157A"/>
    <w:rsid w:val="00AD1B9C"/>
    <w:rsid w:val="00AD211B"/>
    <w:rsid w:val="00AD2370"/>
    <w:rsid w:val="00AD3A61"/>
    <w:rsid w:val="00AD3CE3"/>
    <w:rsid w:val="00AD4637"/>
    <w:rsid w:val="00AD5875"/>
    <w:rsid w:val="00AD6AB3"/>
    <w:rsid w:val="00AE0892"/>
    <w:rsid w:val="00AE2739"/>
    <w:rsid w:val="00AE2BE2"/>
    <w:rsid w:val="00AE36E1"/>
    <w:rsid w:val="00AF1283"/>
    <w:rsid w:val="00AF12D0"/>
    <w:rsid w:val="00AF1CB8"/>
    <w:rsid w:val="00AF2AF8"/>
    <w:rsid w:val="00AF3E0E"/>
    <w:rsid w:val="00AF625D"/>
    <w:rsid w:val="00AF6E5A"/>
    <w:rsid w:val="00B00E75"/>
    <w:rsid w:val="00B01DC0"/>
    <w:rsid w:val="00B04177"/>
    <w:rsid w:val="00B04D33"/>
    <w:rsid w:val="00B0535A"/>
    <w:rsid w:val="00B0537E"/>
    <w:rsid w:val="00B07AA3"/>
    <w:rsid w:val="00B07FCF"/>
    <w:rsid w:val="00B12833"/>
    <w:rsid w:val="00B15B6D"/>
    <w:rsid w:val="00B16ECC"/>
    <w:rsid w:val="00B20DEE"/>
    <w:rsid w:val="00B21195"/>
    <w:rsid w:val="00B22574"/>
    <w:rsid w:val="00B23554"/>
    <w:rsid w:val="00B24B95"/>
    <w:rsid w:val="00B252B8"/>
    <w:rsid w:val="00B25C33"/>
    <w:rsid w:val="00B2790E"/>
    <w:rsid w:val="00B30197"/>
    <w:rsid w:val="00B302C8"/>
    <w:rsid w:val="00B30E1F"/>
    <w:rsid w:val="00B31AF7"/>
    <w:rsid w:val="00B32F5A"/>
    <w:rsid w:val="00B35DA2"/>
    <w:rsid w:val="00B40452"/>
    <w:rsid w:val="00B4140E"/>
    <w:rsid w:val="00B4185B"/>
    <w:rsid w:val="00B42729"/>
    <w:rsid w:val="00B427AF"/>
    <w:rsid w:val="00B43DC9"/>
    <w:rsid w:val="00B45DE8"/>
    <w:rsid w:val="00B47709"/>
    <w:rsid w:val="00B5201E"/>
    <w:rsid w:val="00B53CD9"/>
    <w:rsid w:val="00B543DB"/>
    <w:rsid w:val="00B54CAB"/>
    <w:rsid w:val="00B55769"/>
    <w:rsid w:val="00B558F5"/>
    <w:rsid w:val="00B55BEF"/>
    <w:rsid w:val="00B567E0"/>
    <w:rsid w:val="00B569F0"/>
    <w:rsid w:val="00B56B1D"/>
    <w:rsid w:val="00B57AD4"/>
    <w:rsid w:val="00B61643"/>
    <w:rsid w:val="00B62D18"/>
    <w:rsid w:val="00B62D80"/>
    <w:rsid w:val="00B63747"/>
    <w:rsid w:val="00B640A6"/>
    <w:rsid w:val="00B66E2E"/>
    <w:rsid w:val="00B6758B"/>
    <w:rsid w:val="00B679F2"/>
    <w:rsid w:val="00B71FCD"/>
    <w:rsid w:val="00B7356B"/>
    <w:rsid w:val="00B739C1"/>
    <w:rsid w:val="00B7461C"/>
    <w:rsid w:val="00B747FF"/>
    <w:rsid w:val="00B74D8A"/>
    <w:rsid w:val="00B74EAA"/>
    <w:rsid w:val="00B75CF5"/>
    <w:rsid w:val="00B75E76"/>
    <w:rsid w:val="00B76EAD"/>
    <w:rsid w:val="00B76F5A"/>
    <w:rsid w:val="00B82D85"/>
    <w:rsid w:val="00B83BDD"/>
    <w:rsid w:val="00B83E01"/>
    <w:rsid w:val="00B83E89"/>
    <w:rsid w:val="00B84D8F"/>
    <w:rsid w:val="00B84F32"/>
    <w:rsid w:val="00B85682"/>
    <w:rsid w:val="00B87D22"/>
    <w:rsid w:val="00B90245"/>
    <w:rsid w:val="00B911FE"/>
    <w:rsid w:val="00B92866"/>
    <w:rsid w:val="00B9305A"/>
    <w:rsid w:val="00B932D2"/>
    <w:rsid w:val="00B95441"/>
    <w:rsid w:val="00B95586"/>
    <w:rsid w:val="00B9570F"/>
    <w:rsid w:val="00B95BD6"/>
    <w:rsid w:val="00B96058"/>
    <w:rsid w:val="00B9614C"/>
    <w:rsid w:val="00B96E2B"/>
    <w:rsid w:val="00B96E90"/>
    <w:rsid w:val="00B97655"/>
    <w:rsid w:val="00BA0B23"/>
    <w:rsid w:val="00BA1A43"/>
    <w:rsid w:val="00BA2D54"/>
    <w:rsid w:val="00BA4422"/>
    <w:rsid w:val="00BA5D02"/>
    <w:rsid w:val="00BA5FF8"/>
    <w:rsid w:val="00BA629B"/>
    <w:rsid w:val="00BA7C5E"/>
    <w:rsid w:val="00BA7FE7"/>
    <w:rsid w:val="00BB0AB0"/>
    <w:rsid w:val="00BB121A"/>
    <w:rsid w:val="00BB13F8"/>
    <w:rsid w:val="00BB182D"/>
    <w:rsid w:val="00BB1B15"/>
    <w:rsid w:val="00BB3588"/>
    <w:rsid w:val="00BB3AD7"/>
    <w:rsid w:val="00BB406B"/>
    <w:rsid w:val="00BB477E"/>
    <w:rsid w:val="00BC2F80"/>
    <w:rsid w:val="00BC40EB"/>
    <w:rsid w:val="00BC47D6"/>
    <w:rsid w:val="00BC53E3"/>
    <w:rsid w:val="00BC610D"/>
    <w:rsid w:val="00BD0850"/>
    <w:rsid w:val="00BD1751"/>
    <w:rsid w:val="00BD1D32"/>
    <w:rsid w:val="00BD4B73"/>
    <w:rsid w:val="00BD77D5"/>
    <w:rsid w:val="00BE0787"/>
    <w:rsid w:val="00BE0AE3"/>
    <w:rsid w:val="00BE1CC3"/>
    <w:rsid w:val="00BE266B"/>
    <w:rsid w:val="00BE417A"/>
    <w:rsid w:val="00BE4E85"/>
    <w:rsid w:val="00BE58B6"/>
    <w:rsid w:val="00BE6759"/>
    <w:rsid w:val="00BE7708"/>
    <w:rsid w:val="00BE7DC5"/>
    <w:rsid w:val="00BF0BE7"/>
    <w:rsid w:val="00BF2466"/>
    <w:rsid w:val="00BF2545"/>
    <w:rsid w:val="00BF38E9"/>
    <w:rsid w:val="00BF40B0"/>
    <w:rsid w:val="00BF4C86"/>
    <w:rsid w:val="00BF5A0A"/>
    <w:rsid w:val="00C01587"/>
    <w:rsid w:val="00C01B62"/>
    <w:rsid w:val="00C0291C"/>
    <w:rsid w:val="00C0296F"/>
    <w:rsid w:val="00C0430F"/>
    <w:rsid w:val="00C069BF"/>
    <w:rsid w:val="00C0777A"/>
    <w:rsid w:val="00C0796B"/>
    <w:rsid w:val="00C07CDE"/>
    <w:rsid w:val="00C11B54"/>
    <w:rsid w:val="00C138C8"/>
    <w:rsid w:val="00C13D5C"/>
    <w:rsid w:val="00C13E8F"/>
    <w:rsid w:val="00C14F66"/>
    <w:rsid w:val="00C155DD"/>
    <w:rsid w:val="00C15737"/>
    <w:rsid w:val="00C15741"/>
    <w:rsid w:val="00C1589B"/>
    <w:rsid w:val="00C15B20"/>
    <w:rsid w:val="00C16390"/>
    <w:rsid w:val="00C16913"/>
    <w:rsid w:val="00C16D3C"/>
    <w:rsid w:val="00C23FDD"/>
    <w:rsid w:val="00C247E3"/>
    <w:rsid w:val="00C25A1A"/>
    <w:rsid w:val="00C26542"/>
    <w:rsid w:val="00C2778C"/>
    <w:rsid w:val="00C30345"/>
    <w:rsid w:val="00C3190C"/>
    <w:rsid w:val="00C31E41"/>
    <w:rsid w:val="00C328F1"/>
    <w:rsid w:val="00C35048"/>
    <w:rsid w:val="00C35919"/>
    <w:rsid w:val="00C35BC4"/>
    <w:rsid w:val="00C37701"/>
    <w:rsid w:val="00C421E6"/>
    <w:rsid w:val="00C4299B"/>
    <w:rsid w:val="00C44325"/>
    <w:rsid w:val="00C4492A"/>
    <w:rsid w:val="00C4649B"/>
    <w:rsid w:val="00C464DC"/>
    <w:rsid w:val="00C5011C"/>
    <w:rsid w:val="00C51FB5"/>
    <w:rsid w:val="00C5275F"/>
    <w:rsid w:val="00C52EED"/>
    <w:rsid w:val="00C53CFE"/>
    <w:rsid w:val="00C54D67"/>
    <w:rsid w:val="00C55C2D"/>
    <w:rsid w:val="00C55C2F"/>
    <w:rsid w:val="00C55FE5"/>
    <w:rsid w:val="00C57195"/>
    <w:rsid w:val="00C57387"/>
    <w:rsid w:val="00C60875"/>
    <w:rsid w:val="00C61B1E"/>
    <w:rsid w:val="00C62CD2"/>
    <w:rsid w:val="00C62DAF"/>
    <w:rsid w:val="00C647B0"/>
    <w:rsid w:val="00C66386"/>
    <w:rsid w:val="00C67B20"/>
    <w:rsid w:val="00C70DD7"/>
    <w:rsid w:val="00C71767"/>
    <w:rsid w:val="00C725D0"/>
    <w:rsid w:val="00C72E00"/>
    <w:rsid w:val="00C77112"/>
    <w:rsid w:val="00C77511"/>
    <w:rsid w:val="00C77AF3"/>
    <w:rsid w:val="00C806E4"/>
    <w:rsid w:val="00C8091B"/>
    <w:rsid w:val="00C81043"/>
    <w:rsid w:val="00C810A9"/>
    <w:rsid w:val="00C8126C"/>
    <w:rsid w:val="00C8128B"/>
    <w:rsid w:val="00C814CD"/>
    <w:rsid w:val="00C82A83"/>
    <w:rsid w:val="00C82AEC"/>
    <w:rsid w:val="00C834AC"/>
    <w:rsid w:val="00C84040"/>
    <w:rsid w:val="00C84C58"/>
    <w:rsid w:val="00C916ED"/>
    <w:rsid w:val="00C930E7"/>
    <w:rsid w:val="00C948DD"/>
    <w:rsid w:val="00C94FDB"/>
    <w:rsid w:val="00CA05FB"/>
    <w:rsid w:val="00CA4511"/>
    <w:rsid w:val="00CA4788"/>
    <w:rsid w:val="00CA4F2A"/>
    <w:rsid w:val="00CA58B1"/>
    <w:rsid w:val="00CB10FD"/>
    <w:rsid w:val="00CB18AE"/>
    <w:rsid w:val="00CB667F"/>
    <w:rsid w:val="00CC2317"/>
    <w:rsid w:val="00CC291D"/>
    <w:rsid w:val="00CC2A62"/>
    <w:rsid w:val="00CC4EAF"/>
    <w:rsid w:val="00CD0103"/>
    <w:rsid w:val="00CD09B2"/>
    <w:rsid w:val="00CD0BBF"/>
    <w:rsid w:val="00CD3403"/>
    <w:rsid w:val="00CD3D22"/>
    <w:rsid w:val="00CD425E"/>
    <w:rsid w:val="00CD55E3"/>
    <w:rsid w:val="00CD7855"/>
    <w:rsid w:val="00CE3252"/>
    <w:rsid w:val="00CE3915"/>
    <w:rsid w:val="00CE3E03"/>
    <w:rsid w:val="00CE40AE"/>
    <w:rsid w:val="00CE6029"/>
    <w:rsid w:val="00CE667D"/>
    <w:rsid w:val="00CE79DB"/>
    <w:rsid w:val="00CF0DF3"/>
    <w:rsid w:val="00CF32C4"/>
    <w:rsid w:val="00CF723D"/>
    <w:rsid w:val="00CF7AFB"/>
    <w:rsid w:val="00D0054B"/>
    <w:rsid w:val="00D01BBA"/>
    <w:rsid w:val="00D01E20"/>
    <w:rsid w:val="00D03292"/>
    <w:rsid w:val="00D03658"/>
    <w:rsid w:val="00D03CFD"/>
    <w:rsid w:val="00D05A0D"/>
    <w:rsid w:val="00D06037"/>
    <w:rsid w:val="00D0668B"/>
    <w:rsid w:val="00D120C3"/>
    <w:rsid w:val="00D129D7"/>
    <w:rsid w:val="00D13968"/>
    <w:rsid w:val="00D13CDC"/>
    <w:rsid w:val="00D1532E"/>
    <w:rsid w:val="00D15889"/>
    <w:rsid w:val="00D1683D"/>
    <w:rsid w:val="00D1798F"/>
    <w:rsid w:val="00D21A18"/>
    <w:rsid w:val="00D21ECC"/>
    <w:rsid w:val="00D23347"/>
    <w:rsid w:val="00D2367F"/>
    <w:rsid w:val="00D23814"/>
    <w:rsid w:val="00D24460"/>
    <w:rsid w:val="00D24DC5"/>
    <w:rsid w:val="00D2592A"/>
    <w:rsid w:val="00D25CC9"/>
    <w:rsid w:val="00D305E3"/>
    <w:rsid w:val="00D31F1E"/>
    <w:rsid w:val="00D32313"/>
    <w:rsid w:val="00D33151"/>
    <w:rsid w:val="00D3339C"/>
    <w:rsid w:val="00D349A1"/>
    <w:rsid w:val="00D372C6"/>
    <w:rsid w:val="00D4245C"/>
    <w:rsid w:val="00D43B2B"/>
    <w:rsid w:val="00D45531"/>
    <w:rsid w:val="00D459CD"/>
    <w:rsid w:val="00D45AAA"/>
    <w:rsid w:val="00D4776E"/>
    <w:rsid w:val="00D500C9"/>
    <w:rsid w:val="00D503B1"/>
    <w:rsid w:val="00D50592"/>
    <w:rsid w:val="00D51C62"/>
    <w:rsid w:val="00D52AE8"/>
    <w:rsid w:val="00D54DD6"/>
    <w:rsid w:val="00D5530C"/>
    <w:rsid w:val="00D611C8"/>
    <w:rsid w:val="00D6124D"/>
    <w:rsid w:val="00D6134E"/>
    <w:rsid w:val="00D625CF"/>
    <w:rsid w:val="00D62BFA"/>
    <w:rsid w:val="00D62E1F"/>
    <w:rsid w:val="00D63B9F"/>
    <w:rsid w:val="00D63FC4"/>
    <w:rsid w:val="00D657B6"/>
    <w:rsid w:val="00D65F94"/>
    <w:rsid w:val="00D65FCB"/>
    <w:rsid w:val="00D66484"/>
    <w:rsid w:val="00D66F8C"/>
    <w:rsid w:val="00D701FB"/>
    <w:rsid w:val="00D703A5"/>
    <w:rsid w:val="00D70BDC"/>
    <w:rsid w:val="00D7145C"/>
    <w:rsid w:val="00D7187F"/>
    <w:rsid w:val="00D7200B"/>
    <w:rsid w:val="00D72688"/>
    <w:rsid w:val="00D72B6F"/>
    <w:rsid w:val="00D72D3E"/>
    <w:rsid w:val="00D74849"/>
    <w:rsid w:val="00D761A7"/>
    <w:rsid w:val="00D76A08"/>
    <w:rsid w:val="00D803B0"/>
    <w:rsid w:val="00D81BA3"/>
    <w:rsid w:val="00D82CA2"/>
    <w:rsid w:val="00D83F3B"/>
    <w:rsid w:val="00D8794F"/>
    <w:rsid w:val="00D87E0A"/>
    <w:rsid w:val="00D913F9"/>
    <w:rsid w:val="00D95DF8"/>
    <w:rsid w:val="00D97D69"/>
    <w:rsid w:val="00DA260E"/>
    <w:rsid w:val="00DA2EFB"/>
    <w:rsid w:val="00DA76C5"/>
    <w:rsid w:val="00DA781E"/>
    <w:rsid w:val="00DA7CCE"/>
    <w:rsid w:val="00DB1E89"/>
    <w:rsid w:val="00DB1F59"/>
    <w:rsid w:val="00DB2170"/>
    <w:rsid w:val="00DB5480"/>
    <w:rsid w:val="00DB6C24"/>
    <w:rsid w:val="00DB74B8"/>
    <w:rsid w:val="00DC0215"/>
    <w:rsid w:val="00DC09BD"/>
    <w:rsid w:val="00DC2820"/>
    <w:rsid w:val="00DC3141"/>
    <w:rsid w:val="00DC41CB"/>
    <w:rsid w:val="00DC4639"/>
    <w:rsid w:val="00DD00E0"/>
    <w:rsid w:val="00DD0CE1"/>
    <w:rsid w:val="00DD49F8"/>
    <w:rsid w:val="00DD4AED"/>
    <w:rsid w:val="00DD4B78"/>
    <w:rsid w:val="00DD6750"/>
    <w:rsid w:val="00DD74C7"/>
    <w:rsid w:val="00DD7AA4"/>
    <w:rsid w:val="00DE07B2"/>
    <w:rsid w:val="00DE149C"/>
    <w:rsid w:val="00DE20BC"/>
    <w:rsid w:val="00DE309F"/>
    <w:rsid w:val="00DE37E6"/>
    <w:rsid w:val="00DE3EFA"/>
    <w:rsid w:val="00DE5642"/>
    <w:rsid w:val="00DE696E"/>
    <w:rsid w:val="00DE73FB"/>
    <w:rsid w:val="00DE777D"/>
    <w:rsid w:val="00DF0C90"/>
    <w:rsid w:val="00DF1119"/>
    <w:rsid w:val="00DF226A"/>
    <w:rsid w:val="00DF2BE3"/>
    <w:rsid w:val="00DF406D"/>
    <w:rsid w:val="00DF77B8"/>
    <w:rsid w:val="00E00A81"/>
    <w:rsid w:val="00E012C7"/>
    <w:rsid w:val="00E027AF"/>
    <w:rsid w:val="00E03339"/>
    <w:rsid w:val="00E041AE"/>
    <w:rsid w:val="00E04B3C"/>
    <w:rsid w:val="00E04BDA"/>
    <w:rsid w:val="00E05AE4"/>
    <w:rsid w:val="00E05CEB"/>
    <w:rsid w:val="00E07805"/>
    <w:rsid w:val="00E1036C"/>
    <w:rsid w:val="00E11F3E"/>
    <w:rsid w:val="00E1358B"/>
    <w:rsid w:val="00E138F4"/>
    <w:rsid w:val="00E14293"/>
    <w:rsid w:val="00E144C5"/>
    <w:rsid w:val="00E15604"/>
    <w:rsid w:val="00E16741"/>
    <w:rsid w:val="00E204CA"/>
    <w:rsid w:val="00E206EE"/>
    <w:rsid w:val="00E21EBE"/>
    <w:rsid w:val="00E22BC7"/>
    <w:rsid w:val="00E22E7B"/>
    <w:rsid w:val="00E23B36"/>
    <w:rsid w:val="00E23E4D"/>
    <w:rsid w:val="00E24A6C"/>
    <w:rsid w:val="00E24C60"/>
    <w:rsid w:val="00E24FC3"/>
    <w:rsid w:val="00E2512B"/>
    <w:rsid w:val="00E2609E"/>
    <w:rsid w:val="00E26692"/>
    <w:rsid w:val="00E277AB"/>
    <w:rsid w:val="00E27C6F"/>
    <w:rsid w:val="00E27CD2"/>
    <w:rsid w:val="00E31DEE"/>
    <w:rsid w:val="00E346B3"/>
    <w:rsid w:val="00E3527C"/>
    <w:rsid w:val="00E359B5"/>
    <w:rsid w:val="00E37D71"/>
    <w:rsid w:val="00E40DE2"/>
    <w:rsid w:val="00E42DE8"/>
    <w:rsid w:val="00E439A3"/>
    <w:rsid w:val="00E45AC0"/>
    <w:rsid w:val="00E46D53"/>
    <w:rsid w:val="00E47028"/>
    <w:rsid w:val="00E47922"/>
    <w:rsid w:val="00E50524"/>
    <w:rsid w:val="00E52052"/>
    <w:rsid w:val="00E54E6B"/>
    <w:rsid w:val="00E54FCB"/>
    <w:rsid w:val="00E55666"/>
    <w:rsid w:val="00E56596"/>
    <w:rsid w:val="00E56C9E"/>
    <w:rsid w:val="00E56CC7"/>
    <w:rsid w:val="00E5704A"/>
    <w:rsid w:val="00E61B53"/>
    <w:rsid w:val="00E62AFB"/>
    <w:rsid w:val="00E674E0"/>
    <w:rsid w:val="00E67802"/>
    <w:rsid w:val="00E67D42"/>
    <w:rsid w:val="00E7165D"/>
    <w:rsid w:val="00E718BC"/>
    <w:rsid w:val="00E729BB"/>
    <w:rsid w:val="00E72A68"/>
    <w:rsid w:val="00E73AAF"/>
    <w:rsid w:val="00E73C79"/>
    <w:rsid w:val="00E75EC0"/>
    <w:rsid w:val="00E76A73"/>
    <w:rsid w:val="00E76B52"/>
    <w:rsid w:val="00E80095"/>
    <w:rsid w:val="00E8091C"/>
    <w:rsid w:val="00E81AC9"/>
    <w:rsid w:val="00E81CBB"/>
    <w:rsid w:val="00E81D46"/>
    <w:rsid w:val="00E82773"/>
    <w:rsid w:val="00E82811"/>
    <w:rsid w:val="00E839C1"/>
    <w:rsid w:val="00E83E10"/>
    <w:rsid w:val="00E843A9"/>
    <w:rsid w:val="00E85415"/>
    <w:rsid w:val="00E87F29"/>
    <w:rsid w:val="00E90CDC"/>
    <w:rsid w:val="00E93E30"/>
    <w:rsid w:val="00E95B29"/>
    <w:rsid w:val="00E95DFB"/>
    <w:rsid w:val="00E95EBE"/>
    <w:rsid w:val="00E96320"/>
    <w:rsid w:val="00E97301"/>
    <w:rsid w:val="00E9793B"/>
    <w:rsid w:val="00EA1E59"/>
    <w:rsid w:val="00EA22F4"/>
    <w:rsid w:val="00EA27F2"/>
    <w:rsid w:val="00EA36EA"/>
    <w:rsid w:val="00EA45F6"/>
    <w:rsid w:val="00EA4868"/>
    <w:rsid w:val="00EA5E89"/>
    <w:rsid w:val="00EA689C"/>
    <w:rsid w:val="00EB295B"/>
    <w:rsid w:val="00EB2B7C"/>
    <w:rsid w:val="00EB2BCA"/>
    <w:rsid w:val="00EB376D"/>
    <w:rsid w:val="00EB38CC"/>
    <w:rsid w:val="00EB3A7C"/>
    <w:rsid w:val="00EB682A"/>
    <w:rsid w:val="00EB6ABA"/>
    <w:rsid w:val="00EC02A2"/>
    <w:rsid w:val="00EC1CDF"/>
    <w:rsid w:val="00EC2829"/>
    <w:rsid w:val="00EC2ACA"/>
    <w:rsid w:val="00EC3A71"/>
    <w:rsid w:val="00EC5C26"/>
    <w:rsid w:val="00EC6364"/>
    <w:rsid w:val="00EC6B5D"/>
    <w:rsid w:val="00ED0C33"/>
    <w:rsid w:val="00ED0C5A"/>
    <w:rsid w:val="00ED0E37"/>
    <w:rsid w:val="00ED42CB"/>
    <w:rsid w:val="00ED4F17"/>
    <w:rsid w:val="00ED5668"/>
    <w:rsid w:val="00ED65D7"/>
    <w:rsid w:val="00ED692A"/>
    <w:rsid w:val="00ED6930"/>
    <w:rsid w:val="00ED72AD"/>
    <w:rsid w:val="00ED77EE"/>
    <w:rsid w:val="00EE0B41"/>
    <w:rsid w:val="00EE4902"/>
    <w:rsid w:val="00EE4A88"/>
    <w:rsid w:val="00EE6B8A"/>
    <w:rsid w:val="00EF0C42"/>
    <w:rsid w:val="00EF1F40"/>
    <w:rsid w:val="00EF254B"/>
    <w:rsid w:val="00EF2963"/>
    <w:rsid w:val="00EF3435"/>
    <w:rsid w:val="00EF346D"/>
    <w:rsid w:val="00EF3CE5"/>
    <w:rsid w:val="00EF4D48"/>
    <w:rsid w:val="00EF52DC"/>
    <w:rsid w:val="00EF77AB"/>
    <w:rsid w:val="00EF78EA"/>
    <w:rsid w:val="00EF7A9F"/>
    <w:rsid w:val="00EF7D8C"/>
    <w:rsid w:val="00F02F87"/>
    <w:rsid w:val="00F064A0"/>
    <w:rsid w:val="00F0791E"/>
    <w:rsid w:val="00F11A1E"/>
    <w:rsid w:val="00F14B4F"/>
    <w:rsid w:val="00F14D2A"/>
    <w:rsid w:val="00F15299"/>
    <w:rsid w:val="00F17DAB"/>
    <w:rsid w:val="00F17EBD"/>
    <w:rsid w:val="00F20A69"/>
    <w:rsid w:val="00F21D08"/>
    <w:rsid w:val="00F24B6C"/>
    <w:rsid w:val="00F2551F"/>
    <w:rsid w:val="00F26097"/>
    <w:rsid w:val="00F278DE"/>
    <w:rsid w:val="00F3253C"/>
    <w:rsid w:val="00F34DAE"/>
    <w:rsid w:val="00F36C26"/>
    <w:rsid w:val="00F413CB"/>
    <w:rsid w:val="00F41C0D"/>
    <w:rsid w:val="00F42CE5"/>
    <w:rsid w:val="00F45713"/>
    <w:rsid w:val="00F512B0"/>
    <w:rsid w:val="00F51B60"/>
    <w:rsid w:val="00F53F63"/>
    <w:rsid w:val="00F5702F"/>
    <w:rsid w:val="00F631BD"/>
    <w:rsid w:val="00F63372"/>
    <w:rsid w:val="00F63880"/>
    <w:rsid w:val="00F658DA"/>
    <w:rsid w:val="00F65BEA"/>
    <w:rsid w:val="00F679CA"/>
    <w:rsid w:val="00F728D6"/>
    <w:rsid w:val="00F76E70"/>
    <w:rsid w:val="00F80E69"/>
    <w:rsid w:val="00F81123"/>
    <w:rsid w:val="00F82A3A"/>
    <w:rsid w:val="00F82C87"/>
    <w:rsid w:val="00F82CC2"/>
    <w:rsid w:val="00F84290"/>
    <w:rsid w:val="00F863F9"/>
    <w:rsid w:val="00F874C8"/>
    <w:rsid w:val="00F909DA"/>
    <w:rsid w:val="00F9229C"/>
    <w:rsid w:val="00F93241"/>
    <w:rsid w:val="00F93A1F"/>
    <w:rsid w:val="00F93B8B"/>
    <w:rsid w:val="00F94A39"/>
    <w:rsid w:val="00F94A62"/>
    <w:rsid w:val="00F94BDA"/>
    <w:rsid w:val="00F9571D"/>
    <w:rsid w:val="00F95F78"/>
    <w:rsid w:val="00F961F1"/>
    <w:rsid w:val="00FA080A"/>
    <w:rsid w:val="00FA0A95"/>
    <w:rsid w:val="00FA1134"/>
    <w:rsid w:val="00FA3809"/>
    <w:rsid w:val="00FA419C"/>
    <w:rsid w:val="00FA52B8"/>
    <w:rsid w:val="00FA773E"/>
    <w:rsid w:val="00FB2680"/>
    <w:rsid w:val="00FB42ED"/>
    <w:rsid w:val="00FB6688"/>
    <w:rsid w:val="00FB6FDB"/>
    <w:rsid w:val="00FC0670"/>
    <w:rsid w:val="00FC08B7"/>
    <w:rsid w:val="00FC1181"/>
    <w:rsid w:val="00FC44F9"/>
    <w:rsid w:val="00FC494B"/>
    <w:rsid w:val="00FC4E8C"/>
    <w:rsid w:val="00FC6008"/>
    <w:rsid w:val="00FC7C71"/>
    <w:rsid w:val="00FD12C7"/>
    <w:rsid w:val="00FD3975"/>
    <w:rsid w:val="00FD3E67"/>
    <w:rsid w:val="00FD57B4"/>
    <w:rsid w:val="00FD7E49"/>
    <w:rsid w:val="00FE153D"/>
    <w:rsid w:val="00FE1C97"/>
    <w:rsid w:val="00FE2216"/>
    <w:rsid w:val="00FE32C1"/>
    <w:rsid w:val="00FE401A"/>
    <w:rsid w:val="00FE431B"/>
    <w:rsid w:val="00FE49AD"/>
    <w:rsid w:val="00FE6D8B"/>
    <w:rsid w:val="00FF25F7"/>
    <w:rsid w:val="00FF414D"/>
    <w:rsid w:val="00FF51BA"/>
    <w:rsid w:val="00FF571F"/>
    <w:rsid w:val="0199062D"/>
    <w:rsid w:val="0337755A"/>
    <w:rsid w:val="03A615EF"/>
    <w:rsid w:val="08954BE3"/>
    <w:rsid w:val="08DA5A38"/>
    <w:rsid w:val="0B43045F"/>
    <w:rsid w:val="0C2267D5"/>
    <w:rsid w:val="0C49550C"/>
    <w:rsid w:val="0DA529D0"/>
    <w:rsid w:val="0EC266A4"/>
    <w:rsid w:val="0F4432D5"/>
    <w:rsid w:val="127E27A0"/>
    <w:rsid w:val="14B42E9A"/>
    <w:rsid w:val="14D840BD"/>
    <w:rsid w:val="153B1394"/>
    <w:rsid w:val="16C81443"/>
    <w:rsid w:val="16EB6420"/>
    <w:rsid w:val="1B456534"/>
    <w:rsid w:val="1CF155C0"/>
    <w:rsid w:val="1F2303BE"/>
    <w:rsid w:val="1F970636"/>
    <w:rsid w:val="1FDF36AB"/>
    <w:rsid w:val="1FEF15B7"/>
    <w:rsid w:val="20680A69"/>
    <w:rsid w:val="20EE3329"/>
    <w:rsid w:val="21637626"/>
    <w:rsid w:val="229C5ED6"/>
    <w:rsid w:val="26E60002"/>
    <w:rsid w:val="277F64A5"/>
    <w:rsid w:val="27BB7CDD"/>
    <w:rsid w:val="28180314"/>
    <w:rsid w:val="28DA4193"/>
    <w:rsid w:val="29194B32"/>
    <w:rsid w:val="29A529F3"/>
    <w:rsid w:val="29FD3261"/>
    <w:rsid w:val="2A6D72B9"/>
    <w:rsid w:val="2B1703C1"/>
    <w:rsid w:val="2BA327D2"/>
    <w:rsid w:val="2C361E74"/>
    <w:rsid w:val="2CCC7238"/>
    <w:rsid w:val="2CF6225B"/>
    <w:rsid w:val="2D287BC3"/>
    <w:rsid w:val="2E264309"/>
    <w:rsid w:val="2EF52C24"/>
    <w:rsid w:val="2F6161FB"/>
    <w:rsid w:val="314E3DEC"/>
    <w:rsid w:val="35E37AA7"/>
    <w:rsid w:val="3721227E"/>
    <w:rsid w:val="37E124FA"/>
    <w:rsid w:val="3A296620"/>
    <w:rsid w:val="3CE92C0E"/>
    <w:rsid w:val="3D5A2C99"/>
    <w:rsid w:val="3D6F6CE6"/>
    <w:rsid w:val="3EB81742"/>
    <w:rsid w:val="40501DF6"/>
    <w:rsid w:val="42384716"/>
    <w:rsid w:val="44970832"/>
    <w:rsid w:val="48824426"/>
    <w:rsid w:val="48F7696F"/>
    <w:rsid w:val="48FA75FA"/>
    <w:rsid w:val="49BE2DCE"/>
    <w:rsid w:val="4ADD2003"/>
    <w:rsid w:val="4AFF5FAF"/>
    <w:rsid w:val="4B4D3A3F"/>
    <w:rsid w:val="4B670A3B"/>
    <w:rsid w:val="4DA93355"/>
    <w:rsid w:val="4F38539F"/>
    <w:rsid w:val="506958FD"/>
    <w:rsid w:val="510C2B95"/>
    <w:rsid w:val="51E44D74"/>
    <w:rsid w:val="52020133"/>
    <w:rsid w:val="52427549"/>
    <w:rsid w:val="533F42EF"/>
    <w:rsid w:val="53A8502F"/>
    <w:rsid w:val="54092C0F"/>
    <w:rsid w:val="54DC3E40"/>
    <w:rsid w:val="551244AC"/>
    <w:rsid w:val="55F526FB"/>
    <w:rsid w:val="56CC086C"/>
    <w:rsid w:val="5853793A"/>
    <w:rsid w:val="58DF2F7C"/>
    <w:rsid w:val="59C012F7"/>
    <w:rsid w:val="5BD52B5C"/>
    <w:rsid w:val="5C237030"/>
    <w:rsid w:val="5D7270AE"/>
    <w:rsid w:val="5DF47840"/>
    <w:rsid w:val="5E9B2FD6"/>
    <w:rsid w:val="5EF57552"/>
    <w:rsid w:val="5F722C3D"/>
    <w:rsid w:val="60FD4ADB"/>
    <w:rsid w:val="648320DD"/>
    <w:rsid w:val="64B96B53"/>
    <w:rsid w:val="64FA3E0D"/>
    <w:rsid w:val="67F105D6"/>
    <w:rsid w:val="68EA5B9A"/>
    <w:rsid w:val="6ABF02BA"/>
    <w:rsid w:val="6C513E41"/>
    <w:rsid w:val="6DD64CA5"/>
    <w:rsid w:val="6E6807CB"/>
    <w:rsid w:val="6FE50964"/>
    <w:rsid w:val="6FEF03AF"/>
    <w:rsid w:val="72CC2FE9"/>
    <w:rsid w:val="76CE54FF"/>
    <w:rsid w:val="7C960F32"/>
    <w:rsid w:val="7CF36DC0"/>
    <w:rsid w:val="7D4110F8"/>
    <w:rsid w:val="7D861080"/>
    <w:rsid w:val="7FD911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uiPriority="99" w:name="annotation text"/>
    <w:lsdException w:qFormat="1" w:uiPriority="99"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1"/>
    <w:basedOn w:val="1"/>
    <w:next w:val="1"/>
    <w:link w:val="36"/>
    <w:qFormat/>
    <w:uiPriority w:val="0"/>
    <w:pPr>
      <w:keepNext/>
      <w:keepLines/>
      <w:adjustRightInd/>
      <w:spacing w:before="340" w:after="330" w:line="578" w:lineRule="auto"/>
      <w:jc w:val="both"/>
      <w:textAlignment w:val="auto"/>
      <w:outlineLvl w:val="0"/>
    </w:pPr>
    <w:rPr>
      <w:b/>
      <w:kern w:val="44"/>
      <w:sz w:val="44"/>
    </w:rPr>
  </w:style>
  <w:style w:type="paragraph" w:styleId="3">
    <w:name w:val="heading 2"/>
    <w:basedOn w:val="1"/>
    <w:next w:val="1"/>
    <w:link w:val="35"/>
    <w:qFormat/>
    <w:uiPriority w:val="0"/>
    <w:pPr>
      <w:keepNext/>
      <w:keepLines/>
      <w:spacing w:before="260" w:after="260" w:line="416" w:lineRule="atLeast"/>
      <w:outlineLvl w:val="1"/>
    </w:pPr>
    <w:rPr>
      <w:rFonts w:ascii="宋体" w:hAnsi="Arial"/>
      <w:b/>
      <w:sz w:val="28"/>
    </w:rPr>
  </w:style>
  <w:style w:type="paragraph" w:styleId="4">
    <w:name w:val="heading 3"/>
    <w:basedOn w:val="1"/>
    <w:next w:val="1"/>
    <w:link w:val="25"/>
    <w:qFormat/>
    <w:uiPriority w:val="0"/>
    <w:pPr>
      <w:keepNext/>
      <w:keepLines/>
      <w:spacing w:before="260" w:after="260" w:line="416" w:lineRule="atLeast"/>
      <w:outlineLvl w:val="2"/>
    </w:pPr>
    <w:rPr>
      <w:b/>
      <w:sz w:val="32"/>
    </w:rPr>
  </w:style>
  <w:style w:type="paragraph" w:styleId="5">
    <w:name w:val="heading 5"/>
    <w:basedOn w:val="1"/>
    <w:next w:val="1"/>
    <w:link w:val="26"/>
    <w:qFormat/>
    <w:uiPriority w:val="0"/>
    <w:pPr>
      <w:numPr>
        <w:ilvl w:val="4"/>
        <w:numId w:val="1"/>
      </w:numPr>
      <w:spacing w:line="460" w:lineRule="exact"/>
      <w:ind w:firstLine="510"/>
      <w:outlineLvl w:val="4"/>
    </w:pPr>
  </w:style>
  <w:style w:type="paragraph" w:styleId="6">
    <w:name w:val="heading 7"/>
    <w:basedOn w:val="1"/>
    <w:next w:val="1"/>
    <w:link w:val="27"/>
    <w:qFormat/>
    <w:uiPriority w:val="0"/>
    <w:pPr>
      <w:numPr>
        <w:ilvl w:val="6"/>
        <w:numId w:val="1"/>
      </w:numPr>
      <w:spacing w:line="460" w:lineRule="exact"/>
      <w:ind w:left="964" w:hanging="340"/>
      <w:outlineLvl w:val="6"/>
    </w:pPr>
  </w:style>
  <w:style w:type="paragraph" w:styleId="7">
    <w:name w:val="heading 8"/>
    <w:basedOn w:val="1"/>
    <w:next w:val="8"/>
    <w:link w:val="28"/>
    <w:qFormat/>
    <w:uiPriority w:val="0"/>
    <w:pPr>
      <w:numPr>
        <w:ilvl w:val="7"/>
        <w:numId w:val="1"/>
      </w:numPr>
      <w:spacing w:line="460" w:lineRule="exact"/>
      <w:ind w:left="1021" w:hanging="284"/>
      <w:outlineLvl w:val="7"/>
    </w:pPr>
  </w:style>
  <w:style w:type="paragraph" w:styleId="9">
    <w:name w:val="heading 9"/>
    <w:basedOn w:val="1"/>
    <w:next w:val="1"/>
    <w:link w:val="29"/>
    <w:qFormat/>
    <w:uiPriority w:val="0"/>
    <w:pPr>
      <w:keepNext/>
      <w:keepLines/>
      <w:numPr>
        <w:ilvl w:val="8"/>
        <w:numId w:val="1"/>
      </w:numPr>
      <w:spacing w:before="240" w:after="64" w:line="320" w:lineRule="atLeast"/>
      <w:outlineLvl w:val="8"/>
    </w:pPr>
    <w:rPr>
      <w:rFonts w:ascii="Arial" w:hAnsi="Arial" w:eastAsia="黑体"/>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8">
    <w:name w:val="Normal Indent"/>
    <w:basedOn w:val="1"/>
    <w:semiHidden/>
    <w:unhideWhenUsed/>
    <w:qFormat/>
    <w:uiPriority w:val="99"/>
    <w:pPr>
      <w:ind w:firstLine="420"/>
    </w:pPr>
  </w:style>
  <w:style w:type="paragraph" w:styleId="10">
    <w:name w:val="caption"/>
    <w:basedOn w:val="1"/>
    <w:next w:val="1"/>
    <w:qFormat/>
    <w:uiPriority w:val="0"/>
    <w:pPr>
      <w:autoSpaceDE w:val="0"/>
      <w:autoSpaceDN w:val="0"/>
      <w:spacing w:before="60" w:after="60" w:line="240" w:lineRule="atLeast"/>
      <w:jc w:val="center"/>
      <w:textAlignment w:val="auto"/>
    </w:pPr>
    <w:rPr>
      <w:rFonts w:ascii="Arial" w:hAnsi="Arial"/>
      <w:b/>
    </w:rPr>
  </w:style>
  <w:style w:type="paragraph" w:styleId="11">
    <w:name w:val="Body Text"/>
    <w:basedOn w:val="1"/>
    <w:link w:val="41"/>
    <w:unhideWhenUsed/>
    <w:qFormat/>
    <w:uiPriority w:val="99"/>
    <w:pPr>
      <w:spacing w:after="120"/>
    </w:pPr>
  </w:style>
  <w:style w:type="paragraph" w:styleId="12">
    <w:name w:val="Body Text Indent"/>
    <w:basedOn w:val="1"/>
    <w:link w:val="31"/>
    <w:qFormat/>
    <w:uiPriority w:val="0"/>
    <w:pPr>
      <w:adjustRightInd/>
      <w:spacing w:line="280" w:lineRule="atLeast"/>
      <w:ind w:left="900" w:hanging="50"/>
      <w:jc w:val="both"/>
      <w:textAlignment w:val="auto"/>
    </w:pPr>
    <w:rPr>
      <w:spacing w:val="24"/>
      <w:kern w:val="2"/>
      <w:position w:val="6"/>
    </w:rPr>
  </w:style>
  <w:style w:type="paragraph" w:styleId="13">
    <w:name w:val="Plain Text"/>
    <w:basedOn w:val="1"/>
    <w:link w:val="33"/>
    <w:qFormat/>
    <w:uiPriority w:val="0"/>
    <w:pPr>
      <w:adjustRightInd/>
      <w:spacing w:line="240" w:lineRule="auto"/>
      <w:jc w:val="both"/>
      <w:textAlignment w:val="auto"/>
    </w:pPr>
    <w:rPr>
      <w:rFonts w:ascii="宋体" w:hAnsi="Courier New"/>
      <w:kern w:val="2"/>
      <w:sz w:val="21"/>
    </w:rPr>
  </w:style>
  <w:style w:type="paragraph" w:styleId="14">
    <w:name w:val="Date"/>
    <w:basedOn w:val="1"/>
    <w:next w:val="1"/>
    <w:link w:val="32"/>
    <w:qFormat/>
    <w:uiPriority w:val="0"/>
    <w:pPr>
      <w:jc w:val="both"/>
    </w:pPr>
    <w:rPr>
      <w:rFonts w:ascii="宋体"/>
    </w:rPr>
  </w:style>
  <w:style w:type="paragraph" w:styleId="15">
    <w:name w:val="Balloon Text"/>
    <w:basedOn w:val="1"/>
    <w:link w:val="44"/>
    <w:semiHidden/>
    <w:unhideWhenUsed/>
    <w:qFormat/>
    <w:uiPriority w:val="99"/>
    <w:pPr>
      <w:spacing w:line="240" w:lineRule="auto"/>
    </w:pPr>
    <w:rPr>
      <w:sz w:val="18"/>
      <w:szCs w:val="18"/>
    </w:rPr>
  </w:style>
  <w:style w:type="paragraph" w:styleId="16">
    <w:name w:val="footer"/>
    <w:basedOn w:val="1"/>
    <w:link w:val="30"/>
    <w:qFormat/>
    <w:uiPriority w:val="0"/>
    <w:pPr>
      <w:tabs>
        <w:tab w:val="center" w:pos="4153"/>
        <w:tab w:val="right" w:pos="8306"/>
      </w:tabs>
      <w:spacing w:line="240" w:lineRule="atLeast"/>
    </w:pPr>
    <w:rPr>
      <w:sz w:val="18"/>
    </w:rPr>
  </w:style>
  <w:style w:type="paragraph" w:styleId="17">
    <w:name w:val="header"/>
    <w:basedOn w:val="1"/>
    <w:link w:val="42"/>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18">
    <w:name w:val="toc 1"/>
    <w:basedOn w:val="1"/>
    <w:next w:val="1"/>
    <w:semiHidden/>
    <w:unhideWhenUsed/>
    <w:qFormat/>
    <w:uiPriority w:val="39"/>
    <w:rPr>
      <w:rFonts w:ascii="Times New Roman" w:hAnsi="Times New Roman" w:cs="Times New Roman"/>
      <w:szCs w:val="24"/>
    </w:rPr>
  </w:style>
  <w:style w:type="table" w:styleId="20">
    <w:name w:val="Table Grid"/>
    <w:basedOn w:val="19"/>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page number"/>
    <w:basedOn w:val="21"/>
    <w:qFormat/>
    <w:uiPriority w:val="0"/>
  </w:style>
  <w:style w:type="character" w:customStyle="1" w:styleId="23">
    <w:name w:val="标题 1 Char"/>
    <w:basedOn w:val="21"/>
    <w:qFormat/>
    <w:uiPriority w:val="9"/>
    <w:rPr>
      <w:rFonts w:ascii="Times New Roman" w:hAnsi="Times New Roman" w:eastAsia="宋体" w:cs="Times New Roman"/>
      <w:b/>
      <w:bCs/>
      <w:kern w:val="44"/>
      <w:sz w:val="44"/>
      <w:szCs w:val="44"/>
    </w:rPr>
  </w:style>
  <w:style w:type="character" w:customStyle="1" w:styleId="24">
    <w:name w:val="标题 2 Char"/>
    <w:basedOn w:val="21"/>
    <w:semiHidden/>
    <w:qFormat/>
    <w:uiPriority w:val="9"/>
    <w:rPr>
      <w:rFonts w:asciiTheme="majorHAnsi" w:hAnsiTheme="majorHAnsi" w:eastAsiaTheme="majorEastAsia" w:cstheme="majorBidi"/>
      <w:b/>
      <w:bCs/>
      <w:kern w:val="0"/>
      <w:sz w:val="32"/>
      <w:szCs w:val="32"/>
    </w:rPr>
  </w:style>
  <w:style w:type="character" w:customStyle="1" w:styleId="25">
    <w:name w:val="标题 3 Char"/>
    <w:basedOn w:val="21"/>
    <w:link w:val="4"/>
    <w:qFormat/>
    <w:uiPriority w:val="0"/>
    <w:rPr>
      <w:rFonts w:ascii="Times New Roman" w:hAnsi="Times New Roman" w:eastAsia="宋体" w:cs="Times New Roman"/>
      <w:b/>
      <w:kern w:val="0"/>
      <w:sz w:val="32"/>
      <w:szCs w:val="20"/>
    </w:rPr>
  </w:style>
  <w:style w:type="character" w:customStyle="1" w:styleId="26">
    <w:name w:val="标题 5 Char"/>
    <w:basedOn w:val="21"/>
    <w:link w:val="5"/>
    <w:qFormat/>
    <w:uiPriority w:val="0"/>
    <w:rPr>
      <w:rFonts w:ascii="Times New Roman" w:hAnsi="Times New Roman" w:eastAsia="宋体" w:cs="Times New Roman"/>
      <w:kern w:val="0"/>
      <w:sz w:val="24"/>
      <w:szCs w:val="20"/>
    </w:rPr>
  </w:style>
  <w:style w:type="character" w:customStyle="1" w:styleId="27">
    <w:name w:val="标题 7 Char"/>
    <w:basedOn w:val="21"/>
    <w:link w:val="6"/>
    <w:qFormat/>
    <w:uiPriority w:val="0"/>
    <w:rPr>
      <w:rFonts w:ascii="Times New Roman" w:hAnsi="Times New Roman" w:eastAsia="宋体" w:cs="Times New Roman"/>
      <w:kern w:val="0"/>
      <w:sz w:val="24"/>
      <w:szCs w:val="20"/>
    </w:rPr>
  </w:style>
  <w:style w:type="character" w:customStyle="1" w:styleId="28">
    <w:name w:val="标题 8 Char"/>
    <w:basedOn w:val="21"/>
    <w:link w:val="7"/>
    <w:qFormat/>
    <w:uiPriority w:val="0"/>
    <w:rPr>
      <w:rFonts w:ascii="Times New Roman" w:hAnsi="Times New Roman" w:eastAsia="宋体" w:cs="Times New Roman"/>
      <w:kern w:val="0"/>
      <w:sz w:val="24"/>
      <w:szCs w:val="20"/>
    </w:rPr>
  </w:style>
  <w:style w:type="character" w:customStyle="1" w:styleId="29">
    <w:name w:val="标题 9 Char"/>
    <w:basedOn w:val="21"/>
    <w:link w:val="9"/>
    <w:qFormat/>
    <w:uiPriority w:val="0"/>
    <w:rPr>
      <w:rFonts w:ascii="Arial" w:hAnsi="Arial" w:eastAsia="黑体" w:cs="Times New Roman"/>
      <w:kern w:val="0"/>
      <w:sz w:val="24"/>
      <w:szCs w:val="20"/>
    </w:rPr>
  </w:style>
  <w:style w:type="character" w:customStyle="1" w:styleId="30">
    <w:name w:val="页脚 Char"/>
    <w:basedOn w:val="21"/>
    <w:link w:val="16"/>
    <w:qFormat/>
    <w:uiPriority w:val="0"/>
    <w:rPr>
      <w:rFonts w:ascii="Times New Roman" w:hAnsi="Times New Roman" w:eastAsia="宋体" w:cs="Times New Roman"/>
      <w:kern w:val="0"/>
      <w:sz w:val="18"/>
      <w:szCs w:val="20"/>
    </w:rPr>
  </w:style>
  <w:style w:type="character" w:customStyle="1" w:styleId="31">
    <w:name w:val="正文文本缩进 Char"/>
    <w:basedOn w:val="21"/>
    <w:link w:val="12"/>
    <w:qFormat/>
    <w:uiPriority w:val="0"/>
    <w:rPr>
      <w:rFonts w:ascii="Times New Roman" w:hAnsi="Times New Roman" w:eastAsia="宋体" w:cs="Times New Roman"/>
      <w:spacing w:val="24"/>
      <w:position w:val="6"/>
      <w:sz w:val="24"/>
      <w:szCs w:val="20"/>
    </w:rPr>
  </w:style>
  <w:style w:type="character" w:customStyle="1" w:styleId="32">
    <w:name w:val="日期 Char"/>
    <w:basedOn w:val="21"/>
    <w:link w:val="14"/>
    <w:qFormat/>
    <w:uiPriority w:val="0"/>
    <w:rPr>
      <w:rFonts w:ascii="宋体" w:hAnsi="Times New Roman" w:eastAsia="宋体" w:cs="Times New Roman"/>
      <w:kern w:val="0"/>
      <w:sz w:val="24"/>
      <w:szCs w:val="20"/>
    </w:rPr>
  </w:style>
  <w:style w:type="character" w:customStyle="1" w:styleId="33">
    <w:name w:val="纯文本 Char"/>
    <w:basedOn w:val="21"/>
    <w:link w:val="13"/>
    <w:qFormat/>
    <w:uiPriority w:val="0"/>
    <w:rPr>
      <w:rFonts w:ascii="宋体" w:hAnsi="Courier New" w:eastAsia="宋体" w:cs="Times New Roman"/>
      <w:szCs w:val="20"/>
    </w:rPr>
  </w:style>
  <w:style w:type="paragraph" w:customStyle="1" w:styleId="34">
    <w:name w:val="正文文本 31"/>
    <w:basedOn w:val="1"/>
    <w:qFormat/>
    <w:uiPriority w:val="0"/>
    <w:pPr>
      <w:spacing w:line="360" w:lineRule="auto"/>
      <w:jc w:val="center"/>
    </w:pPr>
    <w:rPr>
      <w:rFonts w:ascii="宋体"/>
      <w:b/>
      <w:color w:val="FF0000"/>
      <w:u w:val="single"/>
    </w:rPr>
  </w:style>
  <w:style w:type="character" w:customStyle="1" w:styleId="35">
    <w:name w:val="标题 2 Char1"/>
    <w:link w:val="3"/>
    <w:qFormat/>
    <w:uiPriority w:val="0"/>
    <w:rPr>
      <w:rFonts w:ascii="宋体" w:hAnsi="Arial" w:eastAsia="宋体" w:cs="Times New Roman"/>
      <w:b/>
      <w:kern w:val="0"/>
      <w:sz w:val="28"/>
      <w:szCs w:val="20"/>
    </w:rPr>
  </w:style>
  <w:style w:type="character" w:customStyle="1" w:styleId="36">
    <w:name w:val="标题 1 Char1"/>
    <w:link w:val="2"/>
    <w:qFormat/>
    <w:uiPriority w:val="0"/>
    <w:rPr>
      <w:rFonts w:ascii="Times New Roman" w:hAnsi="Times New Roman" w:eastAsia="宋体" w:cs="Times New Roman"/>
      <w:b/>
      <w:kern w:val="44"/>
      <w:sz w:val="44"/>
      <w:szCs w:val="20"/>
    </w:rPr>
  </w:style>
  <w:style w:type="paragraph" w:customStyle="1" w:styleId="37">
    <w:name w:val="表格文字"/>
    <w:next w:val="11"/>
    <w:qFormat/>
    <w:uiPriority w:val="0"/>
    <w:pPr>
      <w:jc w:val="center"/>
    </w:pPr>
    <w:rPr>
      <w:rFonts w:ascii="Times New Roman" w:hAnsi="Times New Roman" w:eastAsia="楷体_GB2312" w:cs="Times New Roman"/>
      <w:bCs/>
      <w:sz w:val="24"/>
      <w:lang w:val="en-US" w:eastAsia="zh-CN" w:bidi="ar-SA"/>
    </w:rPr>
  </w:style>
  <w:style w:type="paragraph" w:customStyle="1" w:styleId="38">
    <w:name w:val="列出段落1"/>
    <w:basedOn w:val="1"/>
    <w:qFormat/>
    <w:uiPriority w:val="0"/>
    <w:pPr>
      <w:adjustRightInd/>
      <w:spacing w:line="240" w:lineRule="auto"/>
      <w:ind w:firstLine="420" w:firstLineChars="200"/>
      <w:jc w:val="both"/>
      <w:textAlignment w:val="auto"/>
    </w:pPr>
    <w:rPr>
      <w:rFonts w:ascii="Calibri" w:hAnsi="Calibri"/>
      <w:kern w:val="2"/>
      <w:sz w:val="21"/>
      <w:szCs w:val="22"/>
    </w:rPr>
  </w:style>
  <w:style w:type="paragraph" w:styleId="39">
    <w:name w:val="List Paragraph"/>
    <w:basedOn w:val="1"/>
    <w:qFormat/>
    <w:uiPriority w:val="99"/>
    <w:pPr>
      <w:adjustRightInd/>
      <w:spacing w:line="240" w:lineRule="auto"/>
      <w:ind w:firstLine="420" w:firstLineChars="200"/>
      <w:jc w:val="both"/>
      <w:textAlignment w:val="auto"/>
    </w:pPr>
    <w:rPr>
      <w:kern w:val="2"/>
      <w:sz w:val="21"/>
      <w:szCs w:val="24"/>
    </w:rPr>
  </w:style>
  <w:style w:type="paragraph" w:customStyle="1" w:styleId="40">
    <w:name w:val="列出段落2"/>
    <w:basedOn w:val="1"/>
    <w:qFormat/>
    <w:uiPriority w:val="0"/>
    <w:pPr>
      <w:adjustRightInd/>
      <w:spacing w:line="240" w:lineRule="auto"/>
      <w:ind w:firstLine="420" w:firstLineChars="200"/>
      <w:jc w:val="both"/>
      <w:textAlignment w:val="auto"/>
    </w:pPr>
    <w:rPr>
      <w:kern w:val="2"/>
      <w:szCs w:val="24"/>
    </w:rPr>
  </w:style>
  <w:style w:type="character" w:customStyle="1" w:styleId="41">
    <w:name w:val="正文文本 Char"/>
    <w:basedOn w:val="21"/>
    <w:link w:val="11"/>
    <w:semiHidden/>
    <w:qFormat/>
    <w:uiPriority w:val="99"/>
    <w:rPr>
      <w:rFonts w:ascii="Times New Roman" w:hAnsi="Times New Roman" w:eastAsia="宋体" w:cs="Times New Roman"/>
      <w:kern w:val="0"/>
      <w:sz w:val="24"/>
      <w:szCs w:val="20"/>
    </w:rPr>
  </w:style>
  <w:style w:type="character" w:customStyle="1" w:styleId="42">
    <w:name w:val="页眉 Char"/>
    <w:basedOn w:val="21"/>
    <w:link w:val="17"/>
    <w:qFormat/>
    <w:uiPriority w:val="99"/>
    <w:rPr>
      <w:rFonts w:ascii="Times New Roman" w:hAnsi="Times New Roman" w:eastAsia="宋体" w:cs="Times New Roman"/>
      <w:kern w:val="0"/>
      <w:sz w:val="18"/>
      <w:szCs w:val="18"/>
    </w:rPr>
  </w:style>
  <w:style w:type="paragraph" w:customStyle="1" w:styleId="43">
    <w:name w:val="标题2李洪"/>
    <w:basedOn w:val="1"/>
    <w:qFormat/>
    <w:uiPriority w:val="0"/>
    <w:pPr>
      <w:widowControl/>
      <w:adjustRightInd/>
      <w:spacing w:line="500" w:lineRule="exact"/>
      <w:textAlignment w:val="auto"/>
    </w:pPr>
    <w:rPr>
      <w:sz w:val="20"/>
    </w:rPr>
  </w:style>
  <w:style w:type="character" w:customStyle="1" w:styleId="44">
    <w:name w:val="批注框文本 Char"/>
    <w:basedOn w:val="21"/>
    <w:link w:val="15"/>
    <w:semiHidden/>
    <w:qFormat/>
    <w:uiPriority w:val="99"/>
    <w:rPr>
      <w:rFonts w:ascii="Times New Roman" w:hAnsi="Times New Roman"/>
      <w:sz w:val="18"/>
      <w:szCs w:val="18"/>
    </w:rPr>
  </w:style>
  <w:style w:type="paragraph" w:customStyle="1" w:styleId="45">
    <w:name w:val="TOC 标题2"/>
    <w:basedOn w:val="2"/>
    <w:next w:val="1"/>
    <w:unhideWhenUsed/>
    <w:qFormat/>
    <w:uiPriority w:val="39"/>
    <w:pPr>
      <w:keepNext/>
      <w:keepLines/>
      <w:widowControl/>
      <w:spacing w:before="240" w:beforeAutospacing="0" w:afterAutospacing="0" w:line="259" w:lineRule="auto"/>
      <w:outlineLvl w:val="9"/>
    </w:pPr>
    <w:rPr>
      <w:rFonts w:hint="default" w:asciiTheme="majorHAnsi" w:hAnsiTheme="majorHAnsi" w:eastAsiaTheme="majorEastAsia" w:cstheme="majorBidi"/>
      <w:b w:val="0"/>
      <w:color w:val="376092" w:themeColor="accent1" w:themeShade="BF"/>
      <w:kern w:val="0"/>
      <w:sz w:val="32"/>
      <w:szCs w:val="32"/>
    </w:rPr>
  </w:style>
  <w:style w:type="character" w:customStyle="1" w:styleId="46">
    <w:name w:val="NormalCharacter"/>
    <w:semiHidden/>
    <w:qFormat/>
    <w:uiPriority w:val="0"/>
  </w:style>
  <w:style w:type="paragraph" w:customStyle="1" w:styleId="47">
    <w:name w:val="Heading8"/>
    <w:basedOn w:val="1"/>
    <w:next w:val="48"/>
    <w:qFormat/>
    <w:uiPriority w:val="0"/>
    <w:pPr>
      <w:keepNext/>
      <w:keepLines/>
      <w:widowControl/>
      <w:spacing w:before="240" w:after="64" w:line="319" w:lineRule="auto"/>
      <w:ind w:firstLine="400"/>
    </w:pPr>
    <w:rPr>
      <w:rFonts w:ascii="Arial" w:hAnsi="Arial" w:eastAsia="黑体"/>
      <w:b/>
      <w:szCs w:val="20"/>
    </w:rPr>
  </w:style>
  <w:style w:type="paragraph" w:customStyle="1" w:styleId="48">
    <w:name w:val="NormalIndent"/>
    <w:basedOn w:val="1"/>
    <w:qFormat/>
    <w:uiPriority w:val="0"/>
    <w:pPr>
      <w:widowControl/>
      <w:spacing w:line="360" w:lineRule="atLeast"/>
      <w:ind w:firstLine="420"/>
      <w:jc w:val="left"/>
    </w:pPr>
    <w:rPr>
      <w:kern w:val="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16</Pages>
  <Words>8888</Words>
  <Characters>9529</Characters>
  <Lines>30</Lines>
  <Paragraphs>8</Paragraphs>
  <TotalTime>22</TotalTime>
  <ScaleCrop>false</ScaleCrop>
  <LinksUpToDate>false</LinksUpToDate>
  <CharactersWithSpaces>9731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2015-12-11T08:54:00Z</dcterms:created>
  <dc:creator>News</dc:creator>
  <cp:lastModifiedBy>李鹏程</cp:lastModifiedBy>
  <cp:lastPrinted>2026-03-02T03:18:00Z</cp:lastPrinted>
  <dcterms:modified xsi:type="dcterms:W3CDTF">2026-04-08T07:22:09Z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D87B9AA6308040E9949C9B8A58FB5B7B_12</vt:lpwstr>
  </property>
  <property fmtid="{D5CDD505-2E9C-101B-9397-08002B2CF9AE}" pid="4" name="KSOTemplateDocerSaveRecord">
    <vt:lpwstr>eyJoZGlkIjoiZGE2Mjg2YTZkZTMyMTYwY2M1OTQ5YzJlN2MyYmRjOGEiLCJ1c2VySWQiOiIxNTY5NDgyOTM2In0=</vt:lpwstr>
  </property>
</Properties>
</file>