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F528D">
      <w:pPr>
        <w:rPr>
          <w:color w:val="auto"/>
          <w:highlight w:val="none"/>
        </w:rPr>
      </w:pPr>
      <w:bookmarkStart w:id="34" w:name="_GoBack"/>
      <w:r>
        <w:rPr>
          <w:color w:val="auto"/>
          <w:highlight w:val="none"/>
        </w:rPr>
        <w:drawing>
          <wp:anchor distT="0" distB="0" distL="114300" distR="114300" simplePos="0" relativeHeight="251660288" behindDoc="0" locked="0" layoutInCell="1" allowOverlap="1">
            <wp:simplePos x="0" y="0"/>
            <wp:positionH relativeFrom="column">
              <wp:posOffset>-66675</wp:posOffset>
            </wp:positionH>
            <wp:positionV relativeFrom="paragraph">
              <wp:posOffset>268605</wp:posOffset>
            </wp:positionV>
            <wp:extent cx="582930" cy="483870"/>
            <wp:effectExtent l="0" t="0" r="7620" b="11430"/>
            <wp:wrapNone/>
            <wp:docPr id="2" name="图片 4" descr="8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8888"/>
                    <pic:cNvPicPr>
                      <a:picLocks noChangeAspect="1"/>
                    </pic:cNvPicPr>
                  </pic:nvPicPr>
                  <pic:blipFill>
                    <a:blip r:embed="rId7"/>
                    <a:stretch>
                      <a:fillRect/>
                    </a:stretch>
                  </pic:blipFill>
                  <pic:spPr>
                    <a:xfrm>
                      <a:off x="0" y="0"/>
                      <a:ext cx="582930" cy="483870"/>
                    </a:xfrm>
                    <a:prstGeom prst="rect">
                      <a:avLst/>
                    </a:prstGeom>
                    <a:noFill/>
                    <a:ln>
                      <a:noFill/>
                    </a:ln>
                  </pic:spPr>
                </pic:pic>
              </a:graphicData>
            </a:graphic>
          </wp:anchor>
        </w:drawing>
      </w:r>
    </w:p>
    <w:p w14:paraId="2AA673D2">
      <w:pPr>
        <w:spacing w:line="360" w:lineRule="auto"/>
        <w:ind w:firstLine="964" w:firstLineChars="300"/>
        <w:rPr>
          <w:rFonts w:hint="eastAsia" w:ascii="宋体" w:hAnsi="宋体" w:cs="宋体"/>
          <w:b/>
          <w:color w:val="auto"/>
          <w:sz w:val="32"/>
          <w:szCs w:val="32"/>
          <w:highlight w:val="none"/>
        </w:rPr>
      </w:pPr>
      <w:r>
        <w:rPr>
          <w:rFonts w:hint="eastAsia" w:ascii="宋体" w:hAnsi="宋体" w:cs="宋体"/>
          <w:b/>
          <w:color w:val="auto"/>
          <w:sz w:val="32"/>
          <w:szCs w:val="32"/>
          <w:highlight w:val="none"/>
        </w:rPr>
        <w:t>伊犁新天煤化工有限责任公司</w:t>
      </w:r>
    </w:p>
    <w:p w14:paraId="3012B1F8">
      <w:pPr>
        <w:rPr>
          <w:rStyle w:val="31"/>
          <w:rFonts w:hint="eastAsia" w:ascii="宋体" w:hAnsi="宋体"/>
          <w:b/>
          <w:color w:val="auto"/>
          <w:sz w:val="28"/>
          <w:szCs w:val="28"/>
          <w:highlight w:val="none"/>
        </w:rPr>
      </w:pPr>
    </w:p>
    <w:p w14:paraId="180099DC">
      <w:pPr>
        <w:rPr>
          <w:rStyle w:val="31"/>
          <w:rFonts w:hint="eastAsia" w:ascii="宋体" w:hAnsi="宋体"/>
          <w:b/>
          <w:color w:val="auto"/>
          <w:sz w:val="32"/>
          <w:szCs w:val="32"/>
          <w:highlight w:val="none"/>
        </w:rPr>
      </w:pPr>
    </w:p>
    <w:p w14:paraId="79EFD6FE">
      <w:pPr>
        <w:rPr>
          <w:rStyle w:val="31"/>
          <w:rFonts w:hint="eastAsia" w:ascii="宋体" w:hAnsi="宋体"/>
          <w:b/>
          <w:color w:val="auto"/>
          <w:sz w:val="32"/>
          <w:szCs w:val="32"/>
          <w:highlight w:val="none"/>
        </w:rPr>
      </w:pPr>
    </w:p>
    <w:p w14:paraId="779311D9">
      <w:pPr>
        <w:widowControl w:val="0"/>
        <w:spacing w:line="360" w:lineRule="auto"/>
        <w:jc w:val="center"/>
        <w:textAlignment w:val="auto"/>
        <w:rPr>
          <w:rFonts w:hint="eastAsia" w:ascii="宋体" w:hAnsi="宋体" w:cs="宋体"/>
          <w:b/>
          <w:bCs/>
          <w:color w:val="auto"/>
          <w:kern w:val="44"/>
          <w:sz w:val="44"/>
          <w:szCs w:val="44"/>
          <w:highlight w:val="none"/>
        </w:rPr>
      </w:pPr>
      <w:r>
        <w:rPr>
          <w:rFonts w:hint="eastAsia" w:ascii="宋体" w:hAnsi="宋体" w:cs="宋体"/>
          <w:b/>
          <w:bCs/>
          <w:color w:val="auto"/>
          <w:kern w:val="44"/>
          <w:sz w:val="44"/>
          <w:szCs w:val="44"/>
          <w:highlight w:val="none"/>
        </w:rPr>
        <w:t>净化装置</w:t>
      </w:r>
      <w:r>
        <w:rPr>
          <w:rFonts w:hint="eastAsia" w:ascii="宋体" w:hAnsi="宋体" w:cs="宋体"/>
          <w:b/>
          <w:bCs/>
          <w:color w:val="auto"/>
          <w:kern w:val="44"/>
          <w:sz w:val="44"/>
          <w:szCs w:val="44"/>
          <w:highlight w:val="none"/>
          <w:lang w:val="en-US" w:eastAsia="zh-CN"/>
        </w:rPr>
        <w:t>高温旁通阀、膨胀节更换和过热器、省煤器清理</w:t>
      </w:r>
      <w:r>
        <w:rPr>
          <w:rFonts w:hint="eastAsia" w:ascii="宋体" w:hAnsi="宋体" w:cs="宋体"/>
          <w:b/>
          <w:bCs/>
          <w:color w:val="auto"/>
          <w:kern w:val="44"/>
          <w:sz w:val="44"/>
          <w:szCs w:val="44"/>
          <w:highlight w:val="none"/>
        </w:rPr>
        <w:t>服务技术规范书</w:t>
      </w:r>
    </w:p>
    <w:p w14:paraId="3785A2B0">
      <w:pPr>
        <w:spacing w:line="360" w:lineRule="auto"/>
        <w:jc w:val="center"/>
        <w:rPr>
          <w:rFonts w:hint="eastAsia" w:ascii="宋体" w:hAnsi="宋体" w:cs="宋体"/>
          <w:b/>
          <w:color w:val="auto"/>
          <w:sz w:val="36"/>
          <w:szCs w:val="36"/>
          <w:highlight w:val="none"/>
        </w:rPr>
      </w:pPr>
    </w:p>
    <w:p w14:paraId="40D1C442">
      <w:pPr>
        <w:spacing w:line="360" w:lineRule="auto"/>
        <w:rPr>
          <w:rFonts w:hint="eastAsia" w:ascii="宋体" w:hAnsi="宋体" w:cs="宋体"/>
          <w:b/>
          <w:color w:val="auto"/>
          <w:sz w:val="32"/>
          <w:szCs w:val="32"/>
          <w:highlight w:val="none"/>
        </w:rPr>
      </w:pPr>
    </w:p>
    <w:p w14:paraId="7432371A">
      <w:pPr>
        <w:widowControl w:val="0"/>
        <w:spacing w:line="360" w:lineRule="auto"/>
        <w:ind w:firstLine="2530" w:firstLineChars="900"/>
        <w:jc w:val="left"/>
        <w:textAlignment w:val="auto"/>
        <w:rPr>
          <w:rFonts w:hint="eastAsia" w:cs="宋体"/>
          <w:b/>
          <w:bCs/>
          <w:color w:val="auto"/>
          <w:kern w:val="44"/>
          <w:sz w:val="28"/>
          <w:szCs w:val="28"/>
          <w:highlight w:val="none"/>
        </w:rPr>
      </w:pPr>
      <w:r>
        <w:rPr>
          <w:rFonts w:hint="eastAsia" w:cs="宋体"/>
          <w:b/>
          <w:bCs/>
          <w:color w:val="auto"/>
          <w:kern w:val="44"/>
          <w:sz w:val="28"/>
          <w:szCs w:val="28"/>
          <w:highlight w:val="none"/>
        </w:rPr>
        <w:t>编制：</w:t>
      </w:r>
    </w:p>
    <w:p w14:paraId="4E6BDDC6">
      <w:pPr>
        <w:widowControl w:val="0"/>
        <w:spacing w:line="360" w:lineRule="auto"/>
        <w:ind w:firstLine="2530" w:firstLineChars="900"/>
        <w:jc w:val="left"/>
        <w:textAlignment w:val="auto"/>
        <w:rPr>
          <w:rFonts w:hint="eastAsia" w:cs="宋体"/>
          <w:b/>
          <w:bCs/>
          <w:color w:val="auto"/>
          <w:kern w:val="44"/>
          <w:sz w:val="28"/>
          <w:szCs w:val="28"/>
          <w:highlight w:val="none"/>
        </w:rPr>
      </w:pPr>
    </w:p>
    <w:p w14:paraId="31C18623">
      <w:pPr>
        <w:widowControl w:val="0"/>
        <w:spacing w:line="360" w:lineRule="auto"/>
        <w:ind w:firstLine="2530" w:firstLineChars="900"/>
        <w:jc w:val="left"/>
        <w:textAlignment w:val="auto"/>
        <w:rPr>
          <w:rFonts w:hint="eastAsia" w:cs="宋体"/>
          <w:b/>
          <w:bCs/>
          <w:color w:val="auto"/>
          <w:kern w:val="44"/>
          <w:sz w:val="28"/>
          <w:szCs w:val="28"/>
          <w:highlight w:val="none"/>
        </w:rPr>
      </w:pPr>
      <w:r>
        <w:rPr>
          <w:rFonts w:hint="eastAsia" w:cs="宋体"/>
          <w:b/>
          <w:bCs/>
          <w:color w:val="auto"/>
          <w:kern w:val="44"/>
          <w:sz w:val="28"/>
          <w:szCs w:val="28"/>
          <w:highlight w:val="none"/>
        </w:rPr>
        <w:t>会签：</w:t>
      </w:r>
    </w:p>
    <w:p w14:paraId="7063A916">
      <w:pPr>
        <w:widowControl w:val="0"/>
        <w:spacing w:line="360" w:lineRule="auto"/>
        <w:ind w:firstLine="2530" w:firstLineChars="900"/>
        <w:jc w:val="left"/>
        <w:textAlignment w:val="auto"/>
        <w:rPr>
          <w:rFonts w:hint="eastAsia" w:cs="宋体"/>
          <w:b/>
          <w:bCs/>
          <w:color w:val="auto"/>
          <w:kern w:val="44"/>
          <w:sz w:val="28"/>
          <w:szCs w:val="28"/>
          <w:highlight w:val="none"/>
        </w:rPr>
      </w:pPr>
    </w:p>
    <w:p w14:paraId="5F3E39A9">
      <w:pPr>
        <w:widowControl w:val="0"/>
        <w:spacing w:line="360" w:lineRule="auto"/>
        <w:ind w:firstLine="2530" w:firstLineChars="900"/>
        <w:jc w:val="left"/>
        <w:textAlignment w:val="auto"/>
        <w:rPr>
          <w:rFonts w:hint="eastAsia" w:cs="宋体"/>
          <w:b/>
          <w:bCs/>
          <w:color w:val="auto"/>
          <w:kern w:val="44"/>
          <w:sz w:val="28"/>
          <w:szCs w:val="28"/>
          <w:highlight w:val="none"/>
        </w:rPr>
      </w:pPr>
      <w:r>
        <w:rPr>
          <w:rFonts w:hint="eastAsia" w:cs="宋体"/>
          <w:b/>
          <w:bCs/>
          <w:color w:val="auto"/>
          <w:kern w:val="44"/>
          <w:sz w:val="28"/>
          <w:szCs w:val="28"/>
          <w:highlight w:val="none"/>
        </w:rPr>
        <w:t>审核：</w:t>
      </w:r>
    </w:p>
    <w:p w14:paraId="527B9DD4">
      <w:pPr>
        <w:widowControl w:val="0"/>
        <w:spacing w:line="360" w:lineRule="auto"/>
        <w:ind w:firstLine="2530" w:firstLineChars="900"/>
        <w:jc w:val="left"/>
        <w:textAlignment w:val="auto"/>
        <w:rPr>
          <w:rFonts w:hint="eastAsia" w:cs="宋体"/>
          <w:b/>
          <w:bCs/>
          <w:color w:val="auto"/>
          <w:kern w:val="44"/>
          <w:sz w:val="28"/>
          <w:szCs w:val="28"/>
          <w:highlight w:val="none"/>
        </w:rPr>
      </w:pPr>
    </w:p>
    <w:p w14:paraId="12BF0CA6">
      <w:pPr>
        <w:widowControl w:val="0"/>
        <w:spacing w:line="360" w:lineRule="auto"/>
        <w:ind w:firstLine="2530" w:firstLineChars="900"/>
        <w:jc w:val="left"/>
        <w:textAlignment w:val="auto"/>
        <w:rPr>
          <w:rFonts w:hint="eastAsia" w:cs="宋体"/>
          <w:b/>
          <w:bCs/>
          <w:color w:val="auto"/>
          <w:kern w:val="44"/>
          <w:sz w:val="28"/>
          <w:szCs w:val="28"/>
          <w:highlight w:val="none"/>
        </w:rPr>
      </w:pPr>
      <w:r>
        <w:rPr>
          <w:rFonts w:hint="eastAsia" w:cs="宋体"/>
          <w:b/>
          <w:bCs/>
          <w:color w:val="auto"/>
          <w:kern w:val="44"/>
          <w:sz w:val="28"/>
          <w:szCs w:val="28"/>
          <w:highlight w:val="none"/>
        </w:rPr>
        <w:t>审定：</w:t>
      </w:r>
    </w:p>
    <w:p w14:paraId="55F87430">
      <w:pPr>
        <w:widowControl w:val="0"/>
        <w:spacing w:line="360" w:lineRule="auto"/>
        <w:ind w:firstLine="2530" w:firstLineChars="900"/>
        <w:jc w:val="left"/>
        <w:textAlignment w:val="auto"/>
        <w:rPr>
          <w:rFonts w:hint="eastAsia" w:cs="宋体"/>
          <w:b/>
          <w:bCs/>
          <w:color w:val="auto"/>
          <w:kern w:val="44"/>
          <w:sz w:val="28"/>
          <w:szCs w:val="28"/>
          <w:highlight w:val="none"/>
        </w:rPr>
      </w:pPr>
    </w:p>
    <w:p w14:paraId="64F8556B">
      <w:pPr>
        <w:widowControl w:val="0"/>
        <w:spacing w:line="360" w:lineRule="auto"/>
        <w:ind w:firstLine="2530" w:firstLineChars="900"/>
        <w:jc w:val="left"/>
        <w:textAlignment w:val="auto"/>
        <w:rPr>
          <w:rFonts w:hint="eastAsia" w:cs="宋体"/>
          <w:b/>
          <w:bCs/>
          <w:color w:val="auto"/>
          <w:kern w:val="44"/>
          <w:sz w:val="28"/>
          <w:szCs w:val="28"/>
          <w:highlight w:val="none"/>
        </w:rPr>
      </w:pPr>
      <w:r>
        <w:rPr>
          <w:rFonts w:hint="eastAsia" w:cs="宋体"/>
          <w:b/>
          <w:bCs/>
          <w:color w:val="auto"/>
          <w:kern w:val="44"/>
          <w:sz w:val="28"/>
          <w:szCs w:val="28"/>
          <w:highlight w:val="none"/>
        </w:rPr>
        <w:t>批准：</w:t>
      </w:r>
    </w:p>
    <w:p w14:paraId="549F11F2">
      <w:pPr>
        <w:spacing w:line="360" w:lineRule="auto"/>
        <w:rPr>
          <w:rFonts w:hint="eastAsia" w:ascii="宋体" w:hAnsi="宋体" w:cs="宋体"/>
          <w:b/>
          <w:color w:val="auto"/>
          <w:sz w:val="32"/>
          <w:szCs w:val="32"/>
          <w:highlight w:val="none"/>
        </w:rPr>
      </w:pPr>
    </w:p>
    <w:p w14:paraId="561EF8FE">
      <w:pPr>
        <w:spacing w:line="360" w:lineRule="auto"/>
        <w:jc w:val="center"/>
        <w:rPr>
          <w:rFonts w:hint="eastAsia" w:ascii="宋体" w:hAnsi="宋体" w:cs="宋体"/>
          <w:b/>
          <w:color w:val="auto"/>
          <w:sz w:val="32"/>
          <w:szCs w:val="32"/>
          <w:highlight w:val="none"/>
        </w:rPr>
      </w:pPr>
    </w:p>
    <w:p w14:paraId="23C2AE10">
      <w:pPr>
        <w:spacing w:line="360" w:lineRule="auto"/>
        <w:jc w:val="center"/>
        <w:rPr>
          <w:rFonts w:hint="eastAsia" w:ascii="宋体" w:hAnsi="宋体" w:cs="宋体"/>
          <w:b/>
          <w:color w:val="auto"/>
          <w:sz w:val="32"/>
          <w:szCs w:val="32"/>
          <w:highlight w:val="none"/>
        </w:rPr>
      </w:pPr>
    </w:p>
    <w:p w14:paraId="62CFE892">
      <w:pPr>
        <w:widowControl w:val="0"/>
        <w:spacing w:line="276" w:lineRule="auto"/>
        <w:jc w:val="center"/>
        <w:textAlignment w:val="auto"/>
        <w:rPr>
          <w:rFonts w:hint="eastAsia" w:ascii="黑体" w:hAnsi="黑体" w:eastAsia="黑体" w:cs="宋体"/>
          <w:b/>
          <w:bCs/>
          <w:color w:val="auto"/>
          <w:kern w:val="44"/>
          <w:sz w:val="28"/>
          <w:szCs w:val="28"/>
          <w:highlight w:val="none"/>
        </w:rPr>
      </w:pPr>
    </w:p>
    <w:p w14:paraId="456DBDA7">
      <w:pPr>
        <w:widowControl w:val="0"/>
        <w:spacing w:line="276" w:lineRule="auto"/>
        <w:ind w:firstLine="2530" w:firstLineChars="900"/>
        <w:jc w:val="both"/>
        <w:textAlignment w:val="auto"/>
        <w:rPr>
          <w:rFonts w:hint="eastAsia" w:ascii="黑体" w:hAnsi="黑体" w:eastAsia="黑体" w:cs="宋体"/>
          <w:b/>
          <w:bCs/>
          <w:color w:val="auto"/>
          <w:kern w:val="44"/>
          <w:sz w:val="28"/>
          <w:szCs w:val="28"/>
          <w:highlight w:val="none"/>
        </w:rPr>
      </w:pPr>
      <w:r>
        <w:rPr>
          <w:rFonts w:hint="eastAsia" w:ascii="黑体" w:hAnsi="黑体" w:eastAsia="黑体" w:cs="宋体"/>
          <w:b/>
          <w:bCs/>
          <w:color w:val="auto"/>
          <w:kern w:val="44"/>
          <w:sz w:val="28"/>
          <w:szCs w:val="28"/>
          <w:highlight w:val="none"/>
        </w:rPr>
        <w:t>伊犁新天煤化工有限责任公司</w:t>
      </w:r>
    </w:p>
    <w:p w14:paraId="77F606AC">
      <w:pPr>
        <w:widowControl w:val="0"/>
        <w:spacing w:line="276" w:lineRule="auto"/>
        <w:jc w:val="center"/>
        <w:textAlignment w:val="auto"/>
        <w:rPr>
          <w:rFonts w:hint="eastAsia" w:ascii="黑体" w:hAnsi="黑体" w:eastAsia="黑体" w:cs="宋体"/>
          <w:b/>
          <w:bCs/>
          <w:color w:val="auto"/>
          <w:kern w:val="44"/>
          <w:sz w:val="28"/>
          <w:szCs w:val="28"/>
          <w:highlight w:val="none"/>
        </w:rPr>
      </w:pPr>
      <w:r>
        <w:rPr>
          <w:rFonts w:hint="eastAsia" w:ascii="黑体" w:hAnsi="黑体" w:eastAsia="黑体" w:cs="宋体"/>
          <w:b/>
          <w:bCs/>
          <w:color w:val="auto"/>
          <w:kern w:val="44"/>
          <w:sz w:val="28"/>
          <w:szCs w:val="28"/>
          <w:highlight w:val="none"/>
        </w:rPr>
        <w:t>202</w:t>
      </w:r>
      <w:r>
        <w:rPr>
          <w:rFonts w:hint="eastAsia" w:ascii="黑体" w:hAnsi="黑体" w:eastAsia="黑体" w:cs="宋体"/>
          <w:b/>
          <w:bCs/>
          <w:color w:val="auto"/>
          <w:kern w:val="44"/>
          <w:sz w:val="28"/>
          <w:szCs w:val="28"/>
          <w:highlight w:val="none"/>
          <w:lang w:val="en-US" w:eastAsia="zh-CN"/>
        </w:rPr>
        <w:t>6</w:t>
      </w:r>
      <w:r>
        <w:rPr>
          <w:rFonts w:hint="eastAsia" w:ascii="黑体" w:hAnsi="黑体" w:eastAsia="黑体" w:cs="宋体"/>
          <w:b/>
          <w:bCs/>
          <w:color w:val="auto"/>
          <w:kern w:val="44"/>
          <w:sz w:val="28"/>
          <w:szCs w:val="28"/>
          <w:highlight w:val="none"/>
        </w:rPr>
        <w:t>年</w:t>
      </w:r>
      <w:r>
        <w:rPr>
          <w:rFonts w:hint="eastAsia" w:ascii="黑体" w:hAnsi="黑体" w:eastAsia="黑体" w:cs="宋体"/>
          <w:b/>
          <w:bCs/>
          <w:color w:val="auto"/>
          <w:kern w:val="44"/>
          <w:sz w:val="28"/>
          <w:szCs w:val="28"/>
          <w:highlight w:val="none"/>
          <w:lang w:val="en-US" w:eastAsia="zh-CN"/>
        </w:rPr>
        <w:t>1</w:t>
      </w:r>
      <w:r>
        <w:rPr>
          <w:rFonts w:hint="eastAsia" w:ascii="黑体" w:hAnsi="黑体" w:eastAsia="黑体" w:cs="宋体"/>
          <w:b/>
          <w:bCs/>
          <w:color w:val="auto"/>
          <w:kern w:val="44"/>
          <w:sz w:val="28"/>
          <w:szCs w:val="28"/>
          <w:highlight w:val="none"/>
        </w:rPr>
        <w:t>月</w:t>
      </w:r>
    </w:p>
    <w:p w14:paraId="030A72CE">
      <w:pPr>
        <w:spacing w:line="360" w:lineRule="auto"/>
        <w:jc w:val="center"/>
        <w:rPr>
          <w:rFonts w:hint="eastAsia" w:ascii="宋体" w:hAnsi="宋体" w:cs="宋体"/>
          <w:b/>
          <w:color w:val="auto"/>
          <w:sz w:val="32"/>
          <w:szCs w:val="32"/>
          <w:highlight w:val="none"/>
        </w:rPr>
      </w:pPr>
    </w:p>
    <w:p w14:paraId="0BAA26B0">
      <w:pPr>
        <w:spacing w:line="360" w:lineRule="auto"/>
        <w:jc w:val="center"/>
        <w:rPr>
          <w:rFonts w:hint="eastAsia" w:ascii="宋体" w:hAnsi="宋体" w:cs="宋体"/>
          <w:b/>
          <w:color w:val="auto"/>
          <w:sz w:val="32"/>
          <w:szCs w:val="32"/>
          <w:highlight w:val="none"/>
        </w:rPr>
      </w:pPr>
    </w:p>
    <w:p w14:paraId="5C746B4C">
      <w:pPr>
        <w:spacing w:line="360" w:lineRule="auto"/>
        <w:jc w:val="center"/>
        <w:rPr>
          <w:rFonts w:hint="eastAsia" w:ascii="宋体" w:hAnsi="宋体" w:cs="宋体"/>
          <w:b/>
          <w:color w:val="auto"/>
          <w:sz w:val="32"/>
          <w:szCs w:val="32"/>
          <w:highlight w:val="none"/>
        </w:rPr>
      </w:pPr>
    </w:p>
    <w:p w14:paraId="04EA77C8">
      <w:pPr>
        <w:pStyle w:val="22"/>
        <w:tabs>
          <w:tab w:val="right" w:leader="dot" w:pos="9026"/>
          <w:tab w:val="clear" w:pos="8820"/>
        </w:tabs>
        <w:rPr>
          <w:color w:val="auto"/>
          <w:highlight w:val="none"/>
        </w:rPr>
      </w:pPr>
      <w:r>
        <w:rPr>
          <w:bCs/>
          <w:color w:val="auto"/>
          <w:sz w:val="24"/>
          <w:highlight w:val="none"/>
        </w:rPr>
        <w:fldChar w:fldCharType="begin"/>
      </w:r>
      <w:r>
        <w:rPr>
          <w:bCs/>
          <w:color w:val="auto"/>
          <w:sz w:val="24"/>
          <w:highlight w:val="none"/>
        </w:rPr>
        <w:instrText xml:space="preserve">TOC \o "1-1" \h \u </w:instrText>
      </w:r>
      <w:r>
        <w:rPr>
          <w:bCs/>
          <w:color w:val="auto"/>
          <w:sz w:val="24"/>
          <w:highlight w:val="none"/>
        </w:rPr>
        <w:fldChar w:fldCharType="separate"/>
      </w:r>
      <w:r>
        <w:rPr>
          <w:bCs/>
          <w:color w:val="auto"/>
          <w:highlight w:val="none"/>
        </w:rPr>
        <w:fldChar w:fldCharType="begin"/>
      </w:r>
      <w:r>
        <w:rPr>
          <w:bCs/>
          <w:color w:val="auto"/>
          <w:highlight w:val="none"/>
        </w:rPr>
        <w:instrText xml:space="preserve"> HYPERLINK \l _Toc23763 </w:instrText>
      </w:r>
      <w:r>
        <w:rPr>
          <w:bCs/>
          <w:color w:val="auto"/>
          <w:highlight w:val="none"/>
        </w:rPr>
        <w:fldChar w:fldCharType="separate"/>
      </w:r>
      <w:r>
        <w:rPr>
          <w:rFonts w:hint="eastAsia" w:ascii="宋体" w:hAnsi="宋体" w:eastAsia="宋体" w:cs="宋体"/>
          <w:color w:val="auto"/>
          <w:szCs w:val="24"/>
          <w:highlight w:val="none"/>
          <w:lang w:val="en-US" w:eastAsia="zh-CN"/>
        </w:rPr>
        <w:t>1</w:t>
      </w:r>
      <w:r>
        <w:rPr>
          <w:rFonts w:hint="eastAsia" w:ascii="宋体" w:hAnsi="宋体" w:eastAsia="宋体" w:cs="宋体"/>
          <w:color w:val="auto"/>
          <w:szCs w:val="24"/>
          <w:highlight w:val="none"/>
        </w:rPr>
        <w:t>、总则</w:t>
      </w:r>
      <w:r>
        <w:rPr>
          <w:color w:val="auto"/>
          <w:highlight w:val="none"/>
        </w:rPr>
        <w:tab/>
      </w:r>
      <w:r>
        <w:rPr>
          <w:color w:val="auto"/>
          <w:highlight w:val="none"/>
        </w:rPr>
        <w:fldChar w:fldCharType="begin"/>
      </w:r>
      <w:r>
        <w:rPr>
          <w:color w:val="auto"/>
          <w:highlight w:val="none"/>
        </w:rPr>
        <w:instrText xml:space="preserve"> PAGEREF _Toc23763 \h </w:instrText>
      </w:r>
      <w:r>
        <w:rPr>
          <w:color w:val="auto"/>
          <w:highlight w:val="none"/>
        </w:rPr>
        <w:fldChar w:fldCharType="separate"/>
      </w:r>
      <w:r>
        <w:rPr>
          <w:color w:val="auto"/>
          <w:highlight w:val="none"/>
        </w:rPr>
        <w:t>4</w:t>
      </w:r>
      <w:r>
        <w:rPr>
          <w:color w:val="auto"/>
          <w:highlight w:val="none"/>
        </w:rPr>
        <w:fldChar w:fldCharType="end"/>
      </w:r>
      <w:r>
        <w:rPr>
          <w:bCs/>
          <w:color w:val="auto"/>
          <w:highlight w:val="none"/>
        </w:rPr>
        <w:fldChar w:fldCharType="end"/>
      </w:r>
    </w:p>
    <w:p w14:paraId="076EA76C">
      <w:pPr>
        <w:pStyle w:val="22"/>
        <w:tabs>
          <w:tab w:val="right" w:leader="dot" w:pos="9026"/>
          <w:tab w:val="clear" w:pos="8820"/>
        </w:tabs>
        <w:rPr>
          <w:color w:val="auto"/>
          <w:highlight w:val="none"/>
        </w:rPr>
      </w:pPr>
      <w:r>
        <w:rPr>
          <w:bCs/>
          <w:color w:val="auto"/>
          <w:highlight w:val="none"/>
        </w:rPr>
        <w:fldChar w:fldCharType="begin"/>
      </w:r>
      <w:r>
        <w:rPr>
          <w:bCs/>
          <w:color w:val="auto"/>
          <w:highlight w:val="none"/>
        </w:rPr>
        <w:instrText xml:space="preserve"> HYPERLINK \l _Toc17201 </w:instrText>
      </w:r>
      <w:r>
        <w:rPr>
          <w:bCs/>
          <w:color w:val="auto"/>
          <w:highlight w:val="none"/>
        </w:rPr>
        <w:fldChar w:fldCharType="separate"/>
      </w:r>
      <w:r>
        <w:rPr>
          <w:rFonts w:hint="eastAsia" w:ascii="宋体" w:hAnsi="宋体" w:eastAsia="宋体" w:cs="宋体"/>
          <w:color w:val="auto"/>
          <w:szCs w:val="24"/>
          <w:highlight w:val="none"/>
        </w:rPr>
        <w:t>2 项目概况</w:t>
      </w:r>
      <w:r>
        <w:rPr>
          <w:color w:val="auto"/>
          <w:highlight w:val="none"/>
        </w:rPr>
        <w:tab/>
      </w:r>
      <w:r>
        <w:rPr>
          <w:color w:val="auto"/>
          <w:highlight w:val="none"/>
        </w:rPr>
        <w:fldChar w:fldCharType="begin"/>
      </w:r>
      <w:r>
        <w:rPr>
          <w:color w:val="auto"/>
          <w:highlight w:val="none"/>
        </w:rPr>
        <w:instrText xml:space="preserve"> PAGEREF _Toc17201 \h </w:instrText>
      </w:r>
      <w:r>
        <w:rPr>
          <w:color w:val="auto"/>
          <w:highlight w:val="none"/>
        </w:rPr>
        <w:fldChar w:fldCharType="separate"/>
      </w:r>
      <w:r>
        <w:rPr>
          <w:color w:val="auto"/>
          <w:highlight w:val="none"/>
        </w:rPr>
        <w:t>4</w:t>
      </w:r>
      <w:r>
        <w:rPr>
          <w:color w:val="auto"/>
          <w:highlight w:val="none"/>
        </w:rPr>
        <w:fldChar w:fldCharType="end"/>
      </w:r>
      <w:r>
        <w:rPr>
          <w:bCs/>
          <w:color w:val="auto"/>
          <w:highlight w:val="none"/>
        </w:rPr>
        <w:fldChar w:fldCharType="end"/>
      </w:r>
    </w:p>
    <w:p w14:paraId="7833434D">
      <w:pPr>
        <w:pStyle w:val="22"/>
        <w:tabs>
          <w:tab w:val="right" w:leader="dot" w:pos="9026"/>
          <w:tab w:val="clear" w:pos="8820"/>
        </w:tabs>
        <w:rPr>
          <w:color w:val="auto"/>
          <w:highlight w:val="none"/>
        </w:rPr>
      </w:pPr>
      <w:r>
        <w:rPr>
          <w:bCs/>
          <w:color w:val="auto"/>
          <w:highlight w:val="none"/>
        </w:rPr>
        <w:fldChar w:fldCharType="begin"/>
      </w:r>
      <w:r>
        <w:rPr>
          <w:bCs/>
          <w:color w:val="auto"/>
          <w:highlight w:val="none"/>
        </w:rPr>
        <w:instrText xml:space="preserve"> HYPERLINK \l _Toc28009 </w:instrText>
      </w:r>
      <w:r>
        <w:rPr>
          <w:bCs/>
          <w:color w:val="auto"/>
          <w:highlight w:val="none"/>
        </w:rPr>
        <w:fldChar w:fldCharType="separate"/>
      </w:r>
      <w:r>
        <w:rPr>
          <w:rFonts w:hint="eastAsia" w:ascii="宋体" w:hAnsi="宋体" w:eastAsia="宋体" w:cs="宋体"/>
          <w:color w:val="auto"/>
          <w:szCs w:val="24"/>
          <w:highlight w:val="none"/>
          <w:lang w:val="en-US" w:eastAsia="zh-CN"/>
        </w:rPr>
        <w:t>3</w:t>
      </w:r>
      <w:r>
        <w:rPr>
          <w:rFonts w:hint="eastAsia" w:ascii="宋体" w:hAnsi="宋体" w:eastAsia="宋体" w:cs="宋体"/>
          <w:color w:val="auto"/>
          <w:szCs w:val="24"/>
          <w:highlight w:val="none"/>
        </w:rPr>
        <w:t>本项目执行的标准和规范</w:t>
      </w:r>
      <w:r>
        <w:rPr>
          <w:color w:val="auto"/>
          <w:highlight w:val="none"/>
        </w:rPr>
        <w:tab/>
      </w:r>
      <w:r>
        <w:rPr>
          <w:color w:val="auto"/>
          <w:highlight w:val="none"/>
        </w:rPr>
        <w:fldChar w:fldCharType="begin"/>
      </w:r>
      <w:r>
        <w:rPr>
          <w:color w:val="auto"/>
          <w:highlight w:val="none"/>
        </w:rPr>
        <w:instrText xml:space="preserve"> PAGEREF _Toc28009 \h </w:instrText>
      </w:r>
      <w:r>
        <w:rPr>
          <w:color w:val="auto"/>
          <w:highlight w:val="none"/>
        </w:rPr>
        <w:fldChar w:fldCharType="separate"/>
      </w:r>
      <w:r>
        <w:rPr>
          <w:color w:val="auto"/>
          <w:highlight w:val="none"/>
        </w:rPr>
        <w:t>4</w:t>
      </w:r>
      <w:r>
        <w:rPr>
          <w:color w:val="auto"/>
          <w:highlight w:val="none"/>
        </w:rPr>
        <w:fldChar w:fldCharType="end"/>
      </w:r>
      <w:r>
        <w:rPr>
          <w:bCs/>
          <w:color w:val="auto"/>
          <w:highlight w:val="none"/>
        </w:rPr>
        <w:fldChar w:fldCharType="end"/>
      </w:r>
    </w:p>
    <w:p w14:paraId="697B9D3F">
      <w:pPr>
        <w:pStyle w:val="22"/>
        <w:tabs>
          <w:tab w:val="right" w:leader="dot" w:pos="9026"/>
          <w:tab w:val="clear" w:pos="8820"/>
        </w:tabs>
        <w:rPr>
          <w:color w:val="auto"/>
          <w:highlight w:val="none"/>
        </w:rPr>
      </w:pPr>
      <w:r>
        <w:rPr>
          <w:bCs/>
          <w:color w:val="auto"/>
          <w:highlight w:val="none"/>
        </w:rPr>
        <w:fldChar w:fldCharType="begin"/>
      </w:r>
      <w:r>
        <w:rPr>
          <w:bCs/>
          <w:color w:val="auto"/>
          <w:highlight w:val="none"/>
        </w:rPr>
        <w:instrText xml:space="preserve"> HYPERLINK \l _Toc27959 </w:instrText>
      </w:r>
      <w:r>
        <w:rPr>
          <w:bCs/>
          <w:color w:val="auto"/>
          <w:highlight w:val="none"/>
        </w:rPr>
        <w:fldChar w:fldCharType="separate"/>
      </w:r>
      <w:r>
        <w:rPr>
          <w:rFonts w:hint="eastAsia" w:ascii="宋体" w:hAnsi="宋体" w:eastAsia="宋体" w:cs="宋体"/>
          <w:color w:val="auto"/>
          <w:szCs w:val="24"/>
          <w:highlight w:val="none"/>
          <w:lang w:val="en-US" w:eastAsia="zh-CN"/>
        </w:rPr>
        <w:t>4 项目</w:t>
      </w:r>
      <w:r>
        <w:rPr>
          <w:rFonts w:hint="eastAsia" w:ascii="宋体" w:hAnsi="宋体" w:eastAsia="宋体" w:cs="宋体"/>
          <w:color w:val="auto"/>
          <w:szCs w:val="24"/>
          <w:highlight w:val="none"/>
        </w:rPr>
        <w:t>范围及</w:t>
      </w:r>
      <w:r>
        <w:rPr>
          <w:rFonts w:hint="eastAsia" w:ascii="宋体" w:hAnsi="宋体" w:eastAsia="宋体" w:cs="宋体"/>
          <w:color w:val="auto"/>
          <w:szCs w:val="24"/>
          <w:highlight w:val="none"/>
          <w:lang w:val="en-US" w:eastAsia="zh-CN"/>
        </w:rPr>
        <w:t>工期</w:t>
      </w:r>
      <w:r>
        <w:rPr>
          <w:color w:val="auto"/>
          <w:highlight w:val="none"/>
        </w:rPr>
        <w:tab/>
      </w:r>
      <w:r>
        <w:rPr>
          <w:color w:val="auto"/>
          <w:highlight w:val="none"/>
        </w:rPr>
        <w:fldChar w:fldCharType="begin"/>
      </w:r>
      <w:r>
        <w:rPr>
          <w:color w:val="auto"/>
          <w:highlight w:val="none"/>
        </w:rPr>
        <w:instrText xml:space="preserve"> PAGEREF _Toc27959 \h </w:instrText>
      </w:r>
      <w:r>
        <w:rPr>
          <w:color w:val="auto"/>
          <w:highlight w:val="none"/>
        </w:rPr>
        <w:fldChar w:fldCharType="separate"/>
      </w:r>
      <w:r>
        <w:rPr>
          <w:color w:val="auto"/>
          <w:highlight w:val="none"/>
        </w:rPr>
        <w:t>5</w:t>
      </w:r>
      <w:r>
        <w:rPr>
          <w:color w:val="auto"/>
          <w:highlight w:val="none"/>
        </w:rPr>
        <w:fldChar w:fldCharType="end"/>
      </w:r>
      <w:r>
        <w:rPr>
          <w:bCs/>
          <w:color w:val="auto"/>
          <w:highlight w:val="none"/>
        </w:rPr>
        <w:fldChar w:fldCharType="end"/>
      </w:r>
    </w:p>
    <w:p w14:paraId="516644EA">
      <w:pPr>
        <w:pStyle w:val="22"/>
        <w:tabs>
          <w:tab w:val="right" w:leader="dot" w:pos="9026"/>
          <w:tab w:val="clear" w:pos="8820"/>
        </w:tabs>
        <w:rPr>
          <w:color w:val="auto"/>
          <w:highlight w:val="none"/>
        </w:rPr>
      </w:pPr>
      <w:r>
        <w:rPr>
          <w:bCs/>
          <w:color w:val="auto"/>
          <w:highlight w:val="none"/>
        </w:rPr>
        <w:fldChar w:fldCharType="begin"/>
      </w:r>
      <w:r>
        <w:rPr>
          <w:bCs/>
          <w:color w:val="auto"/>
          <w:highlight w:val="none"/>
        </w:rPr>
        <w:instrText xml:space="preserve"> HYPERLINK \l _Toc28439 </w:instrText>
      </w:r>
      <w:r>
        <w:rPr>
          <w:bCs/>
          <w:color w:val="auto"/>
          <w:highlight w:val="none"/>
        </w:rPr>
        <w:fldChar w:fldCharType="separate"/>
      </w:r>
      <w:r>
        <w:rPr>
          <w:rFonts w:hint="eastAsia" w:ascii="宋体" w:hAnsi="宋体" w:eastAsia="宋体" w:cs="宋体"/>
          <w:color w:val="auto"/>
          <w:szCs w:val="24"/>
          <w:highlight w:val="none"/>
          <w:lang w:val="en-US" w:eastAsia="zh-CN"/>
        </w:rPr>
        <w:t>5项目内容及</w:t>
      </w:r>
      <w:r>
        <w:rPr>
          <w:rFonts w:hint="eastAsia" w:ascii="宋体" w:hAnsi="宋体" w:eastAsia="宋体" w:cs="宋体"/>
          <w:color w:val="auto"/>
          <w:szCs w:val="24"/>
          <w:highlight w:val="none"/>
        </w:rPr>
        <w:t>要求</w:t>
      </w:r>
      <w:r>
        <w:rPr>
          <w:color w:val="auto"/>
          <w:highlight w:val="none"/>
        </w:rPr>
        <w:tab/>
      </w:r>
      <w:r>
        <w:rPr>
          <w:color w:val="auto"/>
          <w:highlight w:val="none"/>
        </w:rPr>
        <w:fldChar w:fldCharType="begin"/>
      </w:r>
      <w:r>
        <w:rPr>
          <w:color w:val="auto"/>
          <w:highlight w:val="none"/>
        </w:rPr>
        <w:instrText xml:space="preserve"> PAGEREF _Toc28439 \h </w:instrText>
      </w:r>
      <w:r>
        <w:rPr>
          <w:color w:val="auto"/>
          <w:highlight w:val="none"/>
        </w:rPr>
        <w:fldChar w:fldCharType="separate"/>
      </w:r>
      <w:r>
        <w:rPr>
          <w:color w:val="auto"/>
          <w:highlight w:val="none"/>
        </w:rPr>
        <w:t>6</w:t>
      </w:r>
      <w:r>
        <w:rPr>
          <w:color w:val="auto"/>
          <w:highlight w:val="none"/>
        </w:rPr>
        <w:fldChar w:fldCharType="end"/>
      </w:r>
      <w:r>
        <w:rPr>
          <w:bCs/>
          <w:color w:val="auto"/>
          <w:highlight w:val="none"/>
        </w:rPr>
        <w:fldChar w:fldCharType="end"/>
      </w:r>
    </w:p>
    <w:p w14:paraId="18331952">
      <w:pPr>
        <w:pStyle w:val="22"/>
        <w:tabs>
          <w:tab w:val="right" w:leader="dot" w:pos="9026"/>
          <w:tab w:val="clear" w:pos="8820"/>
        </w:tabs>
        <w:rPr>
          <w:color w:val="auto"/>
          <w:highlight w:val="none"/>
        </w:rPr>
      </w:pPr>
      <w:r>
        <w:rPr>
          <w:bCs/>
          <w:color w:val="auto"/>
          <w:highlight w:val="none"/>
        </w:rPr>
        <w:fldChar w:fldCharType="begin"/>
      </w:r>
      <w:r>
        <w:rPr>
          <w:bCs/>
          <w:color w:val="auto"/>
          <w:highlight w:val="none"/>
        </w:rPr>
        <w:instrText xml:space="preserve"> HYPERLINK \l _Toc31702 </w:instrText>
      </w:r>
      <w:r>
        <w:rPr>
          <w:bCs/>
          <w:color w:val="auto"/>
          <w:highlight w:val="none"/>
        </w:rPr>
        <w:fldChar w:fldCharType="separate"/>
      </w:r>
      <w:r>
        <w:rPr>
          <w:rFonts w:hint="eastAsia" w:ascii="宋体" w:hAnsi="宋体" w:eastAsia="宋体" w:cs="宋体"/>
          <w:color w:val="auto"/>
          <w:szCs w:val="24"/>
          <w:highlight w:val="none"/>
          <w:lang w:val="en-US" w:eastAsia="zh-CN"/>
        </w:rPr>
        <w:t>6 投标方应达到的目标</w:t>
      </w:r>
      <w:r>
        <w:rPr>
          <w:color w:val="auto"/>
          <w:highlight w:val="none"/>
        </w:rPr>
        <w:tab/>
      </w:r>
      <w:r>
        <w:rPr>
          <w:color w:val="auto"/>
          <w:highlight w:val="none"/>
        </w:rPr>
        <w:fldChar w:fldCharType="begin"/>
      </w:r>
      <w:r>
        <w:rPr>
          <w:color w:val="auto"/>
          <w:highlight w:val="none"/>
        </w:rPr>
        <w:instrText xml:space="preserve"> PAGEREF _Toc31702 \h </w:instrText>
      </w:r>
      <w:r>
        <w:rPr>
          <w:color w:val="auto"/>
          <w:highlight w:val="none"/>
        </w:rPr>
        <w:fldChar w:fldCharType="separate"/>
      </w:r>
      <w:r>
        <w:rPr>
          <w:color w:val="auto"/>
          <w:highlight w:val="none"/>
        </w:rPr>
        <w:t>14</w:t>
      </w:r>
      <w:r>
        <w:rPr>
          <w:color w:val="auto"/>
          <w:highlight w:val="none"/>
        </w:rPr>
        <w:fldChar w:fldCharType="end"/>
      </w:r>
      <w:r>
        <w:rPr>
          <w:bCs/>
          <w:color w:val="auto"/>
          <w:highlight w:val="none"/>
        </w:rPr>
        <w:fldChar w:fldCharType="end"/>
      </w:r>
    </w:p>
    <w:p w14:paraId="426270B4">
      <w:pPr>
        <w:pStyle w:val="22"/>
        <w:tabs>
          <w:tab w:val="right" w:leader="dot" w:pos="9026"/>
          <w:tab w:val="clear" w:pos="8820"/>
        </w:tabs>
        <w:rPr>
          <w:color w:val="auto"/>
          <w:highlight w:val="none"/>
        </w:rPr>
      </w:pPr>
      <w:r>
        <w:rPr>
          <w:bCs/>
          <w:color w:val="auto"/>
          <w:highlight w:val="none"/>
        </w:rPr>
        <w:fldChar w:fldCharType="begin"/>
      </w:r>
      <w:r>
        <w:rPr>
          <w:bCs/>
          <w:color w:val="auto"/>
          <w:highlight w:val="none"/>
        </w:rPr>
        <w:instrText xml:space="preserve"> HYPERLINK \l _Toc14819 </w:instrText>
      </w:r>
      <w:r>
        <w:rPr>
          <w:bCs/>
          <w:color w:val="auto"/>
          <w:highlight w:val="none"/>
        </w:rPr>
        <w:fldChar w:fldCharType="separate"/>
      </w:r>
      <w:r>
        <w:rPr>
          <w:rFonts w:hint="eastAsia" w:ascii="宋体" w:hAnsi="宋体" w:eastAsia="宋体" w:cs="宋体"/>
          <w:color w:val="auto"/>
          <w:szCs w:val="24"/>
          <w:highlight w:val="none"/>
          <w:lang w:val="en-US" w:eastAsia="zh-CN"/>
        </w:rPr>
        <w:t>7</w:t>
      </w:r>
      <w:r>
        <w:rPr>
          <w:rFonts w:hint="eastAsia" w:ascii="宋体" w:hAnsi="宋体" w:eastAsia="宋体" w:cs="宋体"/>
          <w:color w:val="auto"/>
          <w:szCs w:val="24"/>
          <w:highlight w:val="none"/>
        </w:rPr>
        <w:t>资质</w:t>
      </w:r>
      <w:r>
        <w:rPr>
          <w:rFonts w:hint="eastAsia" w:ascii="宋体" w:hAnsi="宋体" w:eastAsia="宋体" w:cs="宋体"/>
          <w:color w:val="auto"/>
          <w:szCs w:val="24"/>
          <w:highlight w:val="none"/>
          <w:lang w:val="en-US" w:eastAsia="zh-CN"/>
        </w:rPr>
        <w:t>条件</w:t>
      </w:r>
      <w:r>
        <w:rPr>
          <w:rFonts w:hint="eastAsia" w:ascii="宋体" w:hAnsi="宋体" w:eastAsia="宋体" w:cs="宋体"/>
          <w:color w:val="auto"/>
          <w:szCs w:val="24"/>
          <w:highlight w:val="none"/>
        </w:rPr>
        <w:t>及人员要求</w:t>
      </w:r>
      <w:r>
        <w:rPr>
          <w:color w:val="auto"/>
          <w:highlight w:val="none"/>
        </w:rPr>
        <w:tab/>
      </w:r>
      <w:r>
        <w:rPr>
          <w:color w:val="auto"/>
          <w:highlight w:val="none"/>
        </w:rPr>
        <w:fldChar w:fldCharType="begin"/>
      </w:r>
      <w:r>
        <w:rPr>
          <w:color w:val="auto"/>
          <w:highlight w:val="none"/>
        </w:rPr>
        <w:instrText xml:space="preserve"> PAGEREF _Toc14819 \h </w:instrText>
      </w:r>
      <w:r>
        <w:rPr>
          <w:color w:val="auto"/>
          <w:highlight w:val="none"/>
        </w:rPr>
        <w:fldChar w:fldCharType="separate"/>
      </w:r>
      <w:r>
        <w:rPr>
          <w:color w:val="auto"/>
          <w:highlight w:val="none"/>
        </w:rPr>
        <w:t>15</w:t>
      </w:r>
      <w:r>
        <w:rPr>
          <w:color w:val="auto"/>
          <w:highlight w:val="none"/>
        </w:rPr>
        <w:fldChar w:fldCharType="end"/>
      </w:r>
      <w:r>
        <w:rPr>
          <w:bCs/>
          <w:color w:val="auto"/>
          <w:highlight w:val="none"/>
        </w:rPr>
        <w:fldChar w:fldCharType="end"/>
      </w:r>
    </w:p>
    <w:p w14:paraId="148526CF">
      <w:pPr>
        <w:pStyle w:val="22"/>
        <w:tabs>
          <w:tab w:val="right" w:leader="dot" w:pos="9026"/>
          <w:tab w:val="clear" w:pos="8820"/>
        </w:tabs>
        <w:rPr>
          <w:color w:val="auto"/>
          <w:highlight w:val="none"/>
        </w:rPr>
      </w:pPr>
      <w:r>
        <w:rPr>
          <w:bCs/>
          <w:color w:val="auto"/>
          <w:highlight w:val="none"/>
        </w:rPr>
        <w:fldChar w:fldCharType="begin"/>
      </w:r>
      <w:r>
        <w:rPr>
          <w:bCs/>
          <w:color w:val="auto"/>
          <w:highlight w:val="none"/>
        </w:rPr>
        <w:instrText xml:space="preserve"> HYPERLINK \l _Toc16240 </w:instrText>
      </w:r>
      <w:r>
        <w:rPr>
          <w:bCs/>
          <w:color w:val="auto"/>
          <w:highlight w:val="none"/>
        </w:rPr>
        <w:fldChar w:fldCharType="separate"/>
      </w:r>
      <w:r>
        <w:rPr>
          <w:rFonts w:hint="eastAsia" w:ascii="宋体" w:hAnsi="宋体" w:eastAsia="宋体" w:cs="宋体"/>
          <w:color w:val="auto"/>
          <w:szCs w:val="24"/>
          <w:highlight w:val="none"/>
          <w:lang w:val="en-US" w:eastAsia="zh-CN"/>
        </w:rPr>
        <w:t>8安全要求</w:t>
      </w:r>
      <w:r>
        <w:rPr>
          <w:color w:val="auto"/>
          <w:highlight w:val="none"/>
        </w:rPr>
        <w:tab/>
      </w:r>
      <w:r>
        <w:rPr>
          <w:color w:val="auto"/>
          <w:highlight w:val="none"/>
        </w:rPr>
        <w:fldChar w:fldCharType="begin"/>
      </w:r>
      <w:r>
        <w:rPr>
          <w:color w:val="auto"/>
          <w:highlight w:val="none"/>
        </w:rPr>
        <w:instrText xml:space="preserve"> PAGEREF _Toc16240 \h </w:instrText>
      </w:r>
      <w:r>
        <w:rPr>
          <w:color w:val="auto"/>
          <w:highlight w:val="none"/>
        </w:rPr>
        <w:fldChar w:fldCharType="separate"/>
      </w:r>
      <w:r>
        <w:rPr>
          <w:color w:val="auto"/>
          <w:highlight w:val="none"/>
        </w:rPr>
        <w:t>17</w:t>
      </w:r>
      <w:r>
        <w:rPr>
          <w:color w:val="auto"/>
          <w:highlight w:val="none"/>
        </w:rPr>
        <w:fldChar w:fldCharType="end"/>
      </w:r>
      <w:r>
        <w:rPr>
          <w:bCs/>
          <w:color w:val="auto"/>
          <w:highlight w:val="none"/>
        </w:rPr>
        <w:fldChar w:fldCharType="end"/>
      </w:r>
    </w:p>
    <w:p w14:paraId="1313E959">
      <w:pPr>
        <w:pStyle w:val="22"/>
        <w:tabs>
          <w:tab w:val="right" w:leader="dot" w:pos="9026"/>
          <w:tab w:val="clear" w:pos="8820"/>
        </w:tabs>
        <w:rPr>
          <w:color w:val="auto"/>
          <w:highlight w:val="none"/>
        </w:rPr>
      </w:pPr>
      <w:r>
        <w:rPr>
          <w:bCs/>
          <w:color w:val="auto"/>
          <w:highlight w:val="none"/>
        </w:rPr>
        <w:fldChar w:fldCharType="begin"/>
      </w:r>
      <w:r>
        <w:rPr>
          <w:bCs/>
          <w:color w:val="auto"/>
          <w:highlight w:val="none"/>
        </w:rPr>
        <w:instrText xml:space="preserve"> HYPERLINK \l _Toc224 </w:instrText>
      </w:r>
      <w:r>
        <w:rPr>
          <w:bCs/>
          <w:color w:val="auto"/>
          <w:highlight w:val="none"/>
        </w:rPr>
        <w:fldChar w:fldCharType="separate"/>
      </w:r>
      <w:r>
        <w:rPr>
          <w:rFonts w:hint="eastAsia" w:ascii="宋体" w:hAnsi="宋体" w:eastAsia="宋体" w:cs="宋体"/>
          <w:color w:val="auto"/>
          <w:szCs w:val="24"/>
          <w:highlight w:val="none"/>
          <w:lang w:val="en-US" w:eastAsia="zh-CN"/>
        </w:rPr>
        <w:t>9双方职责</w:t>
      </w:r>
      <w:r>
        <w:rPr>
          <w:color w:val="auto"/>
          <w:highlight w:val="none"/>
        </w:rPr>
        <w:tab/>
      </w:r>
      <w:r>
        <w:rPr>
          <w:color w:val="auto"/>
          <w:highlight w:val="none"/>
        </w:rPr>
        <w:fldChar w:fldCharType="begin"/>
      </w:r>
      <w:r>
        <w:rPr>
          <w:color w:val="auto"/>
          <w:highlight w:val="none"/>
        </w:rPr>
        <w:instrText xml:space="preserve"> PAGEREF _Toc224 \h </w:instrText>
      </w:r>
      <w:r>
        <w:rPr>
          <w:color w:val="auto"/>
          <w:highlight w:val="none"/>
        </w:rPr>
        <w:fldChar w:fldCharType="separate"/>
      </w:r>
      <w:r>
        <w:rPr>
          <w:color w:val="auto"/>
          <w:highlight w:val="none"/>
        </w:rPr>
        <w:t>19</w:t>
      </w:r>
      <w:r>
        <w:rPr>
          <w:color w:val="auto"/>
          <w:highlight w:val="none"/>
        </w:rPr>
        <w:fldChar w:fldCharType="end"/>
      </w:r>
      <w:r>
        <w:rPr>
          <w:bCs/>
          <w:color w:val="auto"/>
          <w:highlight w:val="none"/>
        </w:rPr>
        <w:fldChar w:fldCharType="end"/>
      </w:r>
    </w:p>
    <w:p w14:paraId="2D19DD82">
      <w:pPr>
        <w:pStyle w:val="22"/>
        <w:tabs>
          <w:tab w:val="right" w:leader="dot" w:pos="9026"/>
          <w:tab w:val="clear" w:pos="8820"/>
        </w:tabs>
        <w:rPr>
          <w:color w:val="auto"/>
          <w:highlight w:val="none"/>
        </w:rPr>
      </w:pPr>
      <w:r>
        <w:rPr>
          <w:bCs/>
          <w:color w:val="auto"/>
          <w:highlight w:val="none"/>
        </w:rPr>
        <w:fldChar w:fldCharType="begin"/>
      </w:r>
      <w:r>
        <w:rPr>
          <w:bCs/>
          <w:color w:val="auto"/>
          <w:highlight w:val="none"/>
        </w:rPr>
        <w:instrText xml:space="preserve"> HYPERLINK \l _Toc21176 </w:instrText>
      </w:r>
      <w:r>
        <w:rPr>
          <w:bCs/>
          <w:color w:val="auto"/>
          <w:highlight w:val="none"/>
        </w:rPr>
        <w:fldChar w:fldCharType="separate"/>
      </w:r>
      <w:r>
        <w:rPr>
          <w:rFonts w:hint="eastAsia" w:ascii="宋体" w:hAnsi="宋体" w:eastAsia="宋体" w:cs="宋体"/>
          <w:color w:val="auto"/>
          <w:szCs w:val="24"/>
          <w:highlight w:val="none"/>
          <w:lang w:val="en-US" w:eastAsia="zh-CN"/>
        </w:rPr>
        <w:t>10</w:t>
      </w:r>
      <w:r>
        <w:rPr>
          <w:rFonts w:hint="eastAsia" w:hAnsi="宋体" w:cs="宋体"/>
          <w:color w:val="auto"/>
          <w:szCs w:val="24"/>
          <w:highlight w:val="none"/>
        </w:rPr>
        <w:t>安健环及文明施工、危险源（环境因素）控制要求</w:t>
      </w:r>
      <w:r>
        <w:rPr>
          <w:color w:val="auto"/>
          <w:highlight w:val="none"/>
        </w:rPr>
        <w:tab/>
      </w:r>
      <w:r>
        <w:rPr>
          <w:color w:val="auto"/>
          <w:highlight w:val="none"/>
        </w:rPr>
        <w:fldChar w:fldCharType="begin"/>
      </w:r>
      <w:r>
        <w:rPr>
          <w:color w:val="auto"/>
          <w:highlight w:val="none"/>
        </w:rPr>
        <w:instrText xml:space="preserve"> PAGEREF _Toc21176 \h </w:instrText>
      </w:r>
      <w:r>
        <w:rPr>
          <w:color w:val="auto"/>
          <w:highlight w:val="none"/>
        </w:rPr>
        <w:fldChar w:fldCharType="separate"/>
      </w:r>
      <w:r>
        <w:rPr>
          <w:color w:val="auto"/>
          <w:highlight w:val="none"/>
        </w:rPr>
        <w:t>21</w:t>
      </w:r>
      <w:r>
        <w:rPr>
          <w:color w:val="auto"/>
          <w:highlight w:val="none"/>
        </w:rPr>
        <w:fldChar w:fldCharType="end"/>
      </w:r>
      <w:r>
        <w:rPr>
          <w:bCs/>
          <w:color w:val="auto"/>
          <w:highlight w:val="none"/>
        </w:rPr>
        <w:fldChar w:fldCharType="end"/>
      </w:r>
    </w:p>
    <w:p w14:paraId="222D618E">
      <w:pPr>
        <w:pStyle w:val="22"/>
        <w:tabs>
          <w:tab w:val="right" w:leader="dot" w:pos="9026"/>
          <w:tab w:val="clear" w:pos="8820"/>
        </w:tabs>
        <w:rPr>
          <w:color w:val="auto"/>
          <w:highlight w:val="none"/>
        </w:rPr>
      </w:pPr>
      <w:r>
        <w:rPr>
          <w:bCs/>
          <w:color w:val="auto"/>
          <w:highlight w:val="none"/>
        </w:rPr>
        <w:fldChar w:fldCharType="begin"/>
      </w:r>
      <w:r>
        <w:rPr>
          <w:bCs/>
          <w:color w:val="auto"/>
          <w:highlight w:val="none"/>
        </w:rPr>
        <w:instrText xml:space="preserve"> HYPERLINK \l _Toc13675 </w:instrText>
      </w:r>
      <w:r>
        <w:rPr>
          <w:bCs/>
          <w:color w:val="auto"/>
          <w:highlight w:val="none"/>
        </w:rPr>
        <w:fldChar w:fldCharType="separate"/>
      </w:r>
      <w:r>
        <w:rPr>
          <w:rFonts w:hint="eastAsia" w:ascii="宋体" w:hAnsi="宋体" w:eastAsia="宋体" w:cs="宋体"/>
          <w:color w:val="auto"/>
          <w:szCs w:val="24"/>
          <w:highlight w:val="none"/>
          <w:lang w:val="en-US" w:eastAsia="zh-CN"/>
        </w:rPr>
        <w:t>11考核</w:t>
      </w:r>
      <w:r>
        <w:rPr>
          <w:color w:val="auto"/>
          <w:highlight w:val="none"/>
        </w:rPr>
        <w:tab/>
      </w:r>
      <w:r>
        <w:rPr>
          <w:color w:val="auto"/>
          <w:highlight w:val="none"/>
        </w:rPr>
        <w:fldChar w:fldCharType="begin"/>
      </w:r>
      <w:r>
        <w:rPr>
          <w:color w:val="auto"/>
          <w:highlight w:val="none"/>
        </w:rPr>
        <w:instrText xml:space="preserve"> PAGEREF _Toc13675 \h </w:instrText>
      </w:r>
      <w:r>
        <w:rPr>
          <w:color w:val="auto"/>
          <w:highlight w:val="none"/>
        </w:rPr>
        <w:fldChar w:fldCharType="separate"/>
      </w:r>
      <w:r>
        <w:rPr>
          <w:color w:val="auto"/>
          <w:highlight w:val="none"/>
        </w:rPr>
        <w:t>23</w:t>
      </w:r>
      <w:r>
        <w:rPr>
          <w:color w:val="auto"/>
          <w:highlight w:val="none"/>
        </w:rPr>
        <w:fldChar w:fldCharType="end"/>
      </w:r>
      <w:r>
        <w:rPr>
          <w:bCs/>
          <w:color w:val="auto"/>
          <w:highlight w:val="none"/>
        </w:rPr>
        <w:fldChar w:fldCharType="end"/>
      </w:r>
    </w:p>
    <w:p w14:paraId="2F564E4F">
      <w:pPr>
        <w:pStyle w:val="22"/>
        <w:tabs>
          <w:tab w:val="right" w:leader="dot" w:pos="9026"/>
          <w:tab w:val="clear" w:pos="8820"/>
        </w:tabs>
        <w:rPr>
          <w:color w:val="auto"/>
          <w:highlight w:val="none"/>
        </w:rPr>
      </w:pPr>
      <w:r>
        <w:rPr>
          <w:bCs/>
          <w:color w:val="auto"/>
          <w:highlight w:val="none"/>
        </w:rPr>
        <w:fldChar w:fldCharType="begin"/>
      </w:r>
      <w:r>
        <w:rPr>
          <w:bCs/>
          <w:color w:val="auto"/>
          <w:highlight w:val="none"/>
        </w:rPr>
        <w:instrText xml:space="preserve"> HYPERLINK \l _Toc14993 </w:instrText>
      </w:r>
      <w:r>
        <w:rPr>
          <w:bCs/>
          <w:color w:val="auto"/>
          <w:highlight w:val="none"/>
        </w:rPr>
        <w:fldChar w:fldCharType="separate"/>
      </w:r>
      <w:r>
        <w:rPr>
          <w:rFonts w:hint="eastAsia" w:ascii="宋体" w:hAnsi="宋体" w:eastAsia="宋体" w:cs="宋体"/>
          <w:color w:val="auto"/>
          <w:szCs w:val="24"/>
          <w:highlight w:val="none"/>
          <w:lang w:val="en-US" w:eastAsia="zh-CN"/>
        </w:rPr>
        <w:t>12 附则</w:t>
      </w:r>
      <w:r>
        <w:rPr>
          <w:color w:val="auto"/>
          <w:highlight w:val="none"/>
        </w:rPr>
        <w:tab/>
      </w:r>
      <w:r>
        <w:rPr>
          <w:color w:val="auto"/>
          <w:highlight w:val="none"/>
        </w:rPr>
        <w:fldChar w:fldCharType="begin"/>
      </w:r>
      <w:r>
        <w:rPr>
          <w:color w:val="auto"/>
          <w:highlight w:val="none"/>
        </w:rPr>
        <w:instrText xml:space="preserve"> PAGEREF _Toc14993 \h </w:instrText>
      </w:r>
      <w:r>
        <w:rPr>
          <w:color w:val="auto"/>
          <w:highlight w:val="none"/>
        </w:rPr>
        <w:fldChar w:fldCharType="separate"/>
      </w:r>
      <w:r>
        <w:rPr>
          <w:color w:val="auto"/>
          <w:highlight w:val="none"/>
        </w:rPr>
        <w:t>23</w:t>
      </w:r>
      <w:r>
        <w:rPr>
          <w:color w:val="auto"/>
          <w:highlight w:val="none"/>
        </w:rPr>
        <w:fldChar w:fldCharType="end"/>
      </w:r>
      <w:r>
        <w:rPr>
          <w:bCs/>
          <w:color w:val="auto"/>
          <w:highlight w:val="none"/>
        </w:rPr>
        <w:fldChar w:fldCharType="end"/>
      </w:r>
    </w:p>
    <w:p w14:paraId="57A17971">
      <w:pPr>
        <w:pStyle w:val="22"/>
        <w:tabs>
          <w:tab w:val="right" w:leader="dot" w:pos="9026"/>
          <w:tab w:val="clear" w:pos="8820"/>
        </w:tabs>
        <w:rPr>
          <w:color w:val="auto"/>
          <w:highlight w:val="none"/>
        </w:rPr>
      </w:pPr>
      <w:r>
        <w:rPr>
          <w:bCs/>
          <w:color w:val="auto"/>
          <w:highlight w:val="none"/>
        </w:rPr>
        <w:fldChar w:fldCharType="begin"/>
      </w:r>
      <w:r>
        <w:rPr>
          <w:bCs/>
          <w:color w:val="auto"/>
          <w:highlight w:val="none"/>
        </w:rPr>
        <w:instrText xml:space="preserve"> HYPERLINK \l _Toc26468 </w:instrText>
      </w:r>
      <w:r>
        <w:rPr>
          <w:bCs/>
          <w:color w:val="auto"/>
          <w:highlight w:val="none"/>
        </w:rPr>
        <w:fldChar w:fldCharType="separate"/>
      </w:r>
      <w:r>
        <w:rPr>
          <w:rFonts w:hint="eastAsia" w:ascii="宋体" w:hAnsi="宋体" w:eastAsia="宋体" w:cs="宋体"/>
          <w:color w:val="auto"/>
          <w:szCs w:val="24"/>
          <w:highlight w:val="none"/>
          <w:lang w:val="en-US" w:eastAsia="zh-CN"/>
        </w:rPr>
        <w:t>13附录附表</w:t>
      </w:r>
      <w:r>
        <w:rPr>
          <w:color w:val="auto"/>
          <w:highlight w:val="none"/>
        </w:rPr>
        <w:tab/>
      </w:r>
      <w:r>
        <w:rPr>
          <w:color w:val="auto"/>
          <w:highlight w:val="none"/>
        </w:rPr>
        <w:fldChar w:fldCharType="begin"/>
      </w:r>
      <w:r>
        <w:rPr>
          <w:color w:val="auto"/>
          <w:highlight w:val="none"/>
        </w:rPr>
        <w:instrText xml:space="preserve"> PAGEREF _Toc26468 \h </w:instrText>
      </w:r>
      <w:r>
        <w:rPr>
          <w:color w:val="auto"/>
          <w:highlight w:val="none"/>
        </w:rPr>
        <w:fldChar w:fldCharType="separate"/>
      </w:r>
      <w:r>
        <w:rPr>
          <w:color w:val="auto"/>
          <w:highlight w:val="none"/>
        </w:rPr>
        <w:t>23</w:t>
      </w:r>
      <w:r>
        <w:rPr>
          <w:color w:val="auto"/>
          <w:highlight w:val="none"/>
        </w:rPr>
        <w:fldChar w:fldCharType="end"/>
      </w:r>
      <w:r>
        <w:rPr>
          <w:bCs/>
          <w:color w:val="auto"/>
          <w:highlight w:val="none"/>
        </w:rPr>
        <w:fldChar w:fldCharType="end"/>
      </w:r>
    </w:p>
    <w:p w14:paraId="746FC16D">
      <w:pPr>
        <w:spacing w:line="360" w:lineRule="auto"/>
        <w:rPr>
          <w:color w:val="auto"/>
          <w:highlight w:val="none"/>
        </w:rPr>
        <w:sectPr>
          <w:footerReference r:id="rId4" w:type="first"/>
          <w:footerReference r:id="rId3" w:type="default"/>
          <w:pgSz w:w="11906" w:h="16838"/>
          <w:pgMar w:top="1440" w:right="1440" w:bottom="1440" w:left="1440" w:header="851" w:footer="992" w:gutter="0"/>
          <w:pgNumType w:start="1"/>
          <w:cols w:space="720" w:num="1"/>
          <w:docGrid w:linePitch="312" w:charSpace="0"/>
        </w:sectPr>
      </w:pPr>
      <w:r>
        <w:rPr>
          <w:bCs/>
          <w:color w:val="auto"/>
          <w:highlight w:val="none"/>
        </w:rPr>
        <w:fldChar w:fldCharType="end"/>
      </w:r>
    </w:p>
    <w:p w14:paraId="7881A6D7">
      <w:pPr>
        <w:pStyle w:val="2"/>
        <w:rPr>
          <w:rFonts w:hint="eastAsia" w:ascii="宋体" w:hAnsi="宋体" w:eastAsia="宋体" w:cs="宋体"/>
          <w:color w:val="auto"/>
          <w:sz w:val="24"/>
          <w:szCs w:val="24"/>
          <w:highlight w:val="none"/>
        </w:rPr>
      </w:pPr>
      <w:bookmarkStart w:id="0" w:name="_Toc26517"/>
      <w:bookmarkStart w:id="1" w:name="_Toc23763"/>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、总则</w:t>
      </w:r>
      <w:bookmarkEnd w:id="0"/>
      <w:bookmarkEnd w:id="1"/>
      <w:r>
        <w:rPr>
          <w:rFonts w:hint="eastAsia" w:ascii="宋体" w:hAnsi="宋体" w:eastAsia="宋体" w:cs="宋体"/>
          <w:color w:val="auto"/>
          <w:sz w:val="24"/>
          <w:szCs w:val="24"/>
          <w:highlight w:val="none"/>
        </w:rPr>
        <w:t xml:space="preserve"> </w:t>
      </w:r>
    </w:p>
    <w:p w14:paraId="6D764699">
      <w:pPr>
        <w:spacing w:line="360" w:lineRule="auto"/>
        <w:rPr>
          <w:rFonts w:hint="eastAsia" w:ascii="宋体" w:hAnsi="宋体" w:eastAsia="宋体" w:cs="宋体"/>
          <w:color w:val="auto"/>
          <w:sz w:val="24"/>
          <w:szCs w:val="24"/>
          <w:highlight w:val="none"/>
        </w:rPr>
      </w:pPr>
      <w:bookmarkStart w:id="2" w:name="_Toc29373551"/>
      <w:bookmarkStart w:id="3" w:name="_Toc14163"/>
      <w:bookmarkStart w:id="4" w:name="_Toc26775"/>
      <w:bookmarkStart w:id="5" w:name="_Toc29373319"/>
      <w:bookmarkStart w:id="6" w:name="_Toc29556560"/>
      <w:bookmarkStart w:id="7" w:name="_Toc15938"/>
      <w:bookmarkStart w:id="8" w:name="_Toc29373226"/>
      <w:bookmarkStart w:id="9" w:name="_Toc31666_WPSOffice_Level1"/>
      <w:bookmarkStart w:id="10" w:name="_Toc29556519"/>
      <w:r>
        <w:rPr>
          <w:rFonts w:hint="eastAsia" w:ascii="宋体" w:hAnsi="宋体" w:eastAsia="宋体" w:cs="宋体"/>
          <w:color w:val="auto"/>
          <w:sz w:val="24"/>
          <w:szCs w:val="24"/>
          <w:highlight w:val="none"/>
        </w:rPr>
        <w:t>1.1</w:t>
      </w:r>
      <w:r>
        <w:rPr>
          <w:rFonts w:hint="eastAsia" w:ascii="宋体" w:hAnsi="宋体" w:eastAsia="宋体" w:cs="宋体"/>
          <w:bCs/>
          <w:color w:val="auto"/>
          <w:sz w:val="24"/>
          <w:szCs w:val="24"/>
          <w:highlight w:val="none"/>
        </w:rPr>
        <w:t>本技术规范书适用于浙能伊犁新天煤化工有限责任公司</w:t>
      </w:r>
      <w:r>
        <w:rPr>
          <w:rFonts w:hint="eastAsia" w:ascii="宋体" w:hAnsi="宋体" w:eastAsia="宋体" w:cs="宋体"/>
          <w:bCs/>
          <w:color w:val="auto"/>
          <w:sz w:val="24"/>
          <w:szCs w:val="24"/>
          <w:highlight w:val="none"/>
          <w:lang w:val="en-US" w:eastAsia="zh-CN"/>
        </w:rPr>
        <w:t>RTO装置高温旁通阀、高温膨胀节更换项目</w:t>
      </w:r>
      <w:r>
        <w:rPr>
          <w:rFonts w:hint="eastAsia" w:ascii="宋体" w:hAnsi="宋体" w:eastAsia="宋体" w:cs="宋体"/>
          <w:bCs/>
          <w:color w:val="auto"/>
          <w:sz w:val="24"/>
          <w:szCs w:val="24"/>
          <w:highlight w:val="none"/>
        </w:rPr>
        <w:t>、</w:t>
      </w:r>
      <w:r>
        <w:rPr>
          <w:rStyle w:val="31"/>
          <w:rFonts w:hint="eastAsia" w:ascii="宋体" w:hAnsi="宋体" w:eastAsia="宋体" w:cs="宋体"/>
          <w:color w:val="auto"/>
          <w:sz w:val="24"/>
          <w:szCs w:val="24"/>
          <w:highlight w:val="none"/>
        </w:rPr>
        <w:t>过热器</w:t>
      </w:r>
      <w:r>
        <w:rPr>
          <w:rStyle w:val="31"/>
          <w:rFonts w:hint="eastAsia" w:ascii="宋体" w:hAnsi="宋体" w:eastAsia="宋体" w:cs="宋体"/>
          <w:color w:val="auto"/>
          <w:sz w:val="24"/>
          <w:szCs w:val="24"/>
          <w:highlight w:val="none"/>
          <w:lang w:val="en-US" w:eastAsia="zh-CN"/>
        </w:rPr>
        <w:t>及省煤器</w:t>
      </w:r>
      <w:r>
        <w:rPr>
          <w:rStyle w:val="31"/>
          <w:rFonts w:hint="eastAsia" w:ascii="宋体" w:hAnsi="宋体" w:eastAsia="宋体" w:cs="宋体"/>
          <w:color w:val="auto"/>
          <w:sz w:val="24"/>
          <w:szCs w:val="24"/>
          <w:highlight w:val="none"/>
        </w:rPr>
        <w:t>清理</w:t>
      </w:r>
      <w:r>
        <w:rPr>
          <w:rFonts w:hint="eastAsia" w:ascii="宋体" w:hAnsi="宋体" w:eastAsia="宋体" w:cs="宋体"/>
          <w:bCs/>
          <w:color w:val="auto"/>
          <w:sz w:val="24"/>
          <w:szCs w:val="24"/>
          <w:highlight w:val="none"/>
        </w:rPr>
        <w:t>项目服务招标工作。</w:t>
      </w:r>
    </w:p>
    <w:p w14:paraId="1A6F1CD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本技术规范书提出的是最低限度的技术要求，并未对一切技术细节作出规定，也未充分引述有关标准和规范。投标方必须保证提供符合本技术规范书和相关国家标准要求的优质服务。对国家有关安全、环保等强制性标准，必须满足要求。</w:t>
      </w:r>
    </w:p>
    <w:p w14:paraId="3ECF337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1.3如未对本技术规范书提出偏差，将认为投标方提供的服务符合规范和标准的要求。</w:t>
      </w:r>
    </w:p>
    <w:p w14:paraId="4030A38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1.4招标方不接受任何带有试验性质的服务工作。</w:t>
      </w:r>
    </w:p>
    <w:p w14:paraId="55660EC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1.5投标方在整个</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项目中所使用规范和标准必须遵循现行最新版本的国家标准。投标方应提供所使用的规范和标准。本技术规范书所使用的规范标准如遇与投标方所执行的规范标准发生矛盾时，应按较高标准执行。</w:t>
      </w:r>
    </w:p>
    <w:p w14:paraId="11A9A70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1.6在签订合同之后，招标方有权提出因规范标准和规程发生变化而产生的一些补充要求，具体项目由招标方和投标方共同商定。</w:t>
      </w:r>
    </w:p>
    <w:p w14:paraId="44DBEB5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投标人资质具有压力管道安装GC</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级安全生产许可证。提供的</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服务应是成熟可靠、技术先进，类似行业有</w:t>
      </w:r>
      <w:r>
        <w:rPr>
          <w:rFonts w:hint="eastAsia" w:ascii="宋体" w:hAnsi="宋体" w:eastAsia="宋体" w:cs="宋体"/>
          <w:color w:val="auto"/>
          <w:sz w:val="24"/>
          <w:szCs w:val="24"/>
          <w:highlight w:val="none"/>
          <w:lang w:val="en-US" w:eastAsia="zh-CN"/>
        </w:rPr>
        <w:t>高温烟气管道施工</w:t>
      </w:r>
      <w:r>
        <w:rPr>
          <w:rFonts w:hint="eastAsia" w:ascii="宋体" w:hAnsi="宋体" w:eastAsia="宋体" w:cs="宋体"/>
          <w:color w:val="auto"/>
          <w:sz w:val="24"/>
          <w:szCs w:val="24"/>
          <w:highlight w:val="none"/>
        </w:rPr>
        <w:t>相关业绩。</w:t>
      </w:r>
    </w:p>
    <w:p w14:paraId="1B981A7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1.8本技术规范书将作为合同的附件，与合同正文具有同等效力。</w:t>
      </w:r>
    </w:p>
    <w:p w14:paraId="30C1658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1.9未尽事宜，双方友好协商解决。</w:t>
      </w:r>
    </w:p>
    <w:p w14:paraId="1C3E7AD2">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rPr>
      </w:pPr>
      <w:bookmarkStart w:id="11" w:name="_Toc17201"/>
      <w:bookmarkStart w:id="12" w:name="_Toc141011852"/>
      <w:r>
        <w:rPr>
          <w:rFonts w:hint="eastAsia" w:ascii="宋体" w:hAnsi="宋体" w:eastAsia="宋体" w:cs="宋体"/>
          <w:color w:val="auto"/>
          <w:sz w:val="24"/>
          <w:szCs w:val="24"/>
          <w:highlight w:val="none"/>
        </w:rPr>
        <w:t>2 项目概况</w:t>
      </w:r>
      <w:bookmarkEnd w:id="11"/>
      <w:bookmarkEnd w:id="12"/>
    </w:p>
    <w:p w14:paraId="6474E7E1">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31"/>
          <w:rFonts w:hint="eastAsia" w:ascii="宋体" w:hAnsi="宋体" w:eastAsia="宋体" w:cs="宋体"/>
          <w:color w:val="auto"/>
          <w:sz w:val="24"/>
          <w:szCs w:val="24"/>
          <w:highlight w:val="none"/>
        </w:rPr>
      </w:pPr>
      <w:r>
        <w:rPr>
          <w:rStyle w:val="31"/>
          <w:rFonts w:hint="eastAsia" w:ascii="宋体" w:hAnsi="宋体" w:eastAsia="宋体" w:cs="宋体"/>
          <w:color w:val="auto"/>
          <w:sz w:val="24"/>
          <w:szCs w:val="24"/>
          <w:highlight w:val="none"/>
        </w:rPr>
        <w:t xml:space="preserve">公司建于新疆维吾尔自治区伊宁市巴彦岱镇火龙洞以北，北靠天山支脉科古琴山，南临伊犁河，厂址地形高差较大，北高南低，海拔标高约1000-1080m 之间，东西向中部大部分地段较为平缓。土地属于半荒漠草场。 </w:t>
      </w:r>
    </w:p>
    <w:p w14:paraId="2BBCE9D4">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31"/>
          <w:rFonts w:hint="eastAsia" w:ascii="宋体" w:hAnsi="宋体" w:eastAsia="宋体" w:cs="宋体"/>
          <w:color w:val="auto"/>
          <w:sz w:val="24"/>
          <w:szCs w:val="24"/>
          <w:highlight w:val="none"/>
          <w:lang w:val="en-US" w:eastAsia="zh-CN"/>
        </w:rPr>
      </w:pPr>
      <w:r>
        <w:rPr>
          <w:rStyle w:val="31"/>
          <w:rFonts w:hint="eastAsia" w:ascii="宋体" w:hAnsi="宋体" w:eastAsia="宋体" w:cs="宋体"/>
          <w:color w:val="auto"/>
          <w:sz w:val="24"/>
          <w:szCs w:val="24"/>
          <w:highlight w:val="none"/>
        </w:rPr>
        <w:t>该地区属大陆性气候，因地形关系，经常形成多雨雪的天气。冬季寒冷，夏季炎热，7 月份极端最高气温为 39.2℃；1 月份最低气温为-30.9℃，极端最低气温为-36℃，全年平均气温9℃；年平均降水量269mm；年平均蒸发量为1604.3mm；空气平均相对湿度65%；50年一遇基本雪压1.0kPa，最大积雪厚度79cm。最大冻结深度120cm。常年主导风向为东风和偏西风，50年一遇基本风压0.6kPa。</w:t>
      </w:r>
    </w:p>
    <w:p w14:paraId="36EE9182">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rPr>
      </w:pPr>
      <w:bookmarkStart w:id="13" w:name="_Toc28009"/>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本项目执行的标准和规范</w:t>
      </w:r>
      <w:bookmarkEnd w:id="13"/>
    </w:p>
    <w:p w14:paraId="2802DCD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执行的标准规范包括但不限于下述内容，如果采用其它标准，其要求不得低于下述标准。以下标准和规范均应采用最新版本，如下述标准和规范之间，或它们与本技术规范书之间有重大原则性冲突时，投标人应及时用书面形式向招标方提出解决方法的建议，并由双方共同协商处理。从合同签订之日起至投标方开始施工之前的这段时间内，如果因规范、标准发生修改或变化，招标方有权提出补充要求，投标方应满足并遵守这些要求。</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GB/T 12220 《工业阀门 标志》</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GB/T 12221 《金属阀门 结构长度》</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GB/T 12224 《钢制阀门 一般要求》</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HG/T 20592~20635 《钢制管法兰、垫片、紧固件》</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GB/T 26480 《阀门的检验和试验》</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GB 50235 《工业金属管道工程施工规范》</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GB 50236 《现场设备、工业管道焊接工程施工规范》</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GB 50184 《工业金属管道工程施工质量验收规范》</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GB 50316 《工业金属管道设计规范》</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执行的标准规范包括但不限于上述内容，如果采用其它标准，其要求不得低于上述标准，如有新版本，以最新的版本为准。</w:t>
      </w:r>
    </w:p>
    <w:bookmarkEnd w:id="2"/>
    <w:bookmarkEnd w:id="3"/>
    <w:bookmarkEnd w:id="4"/>
    <w:bookmarkEnd w:id="5"/>
    <w:bookmarkEnd w:id="6"/>
    <w:bookmarkEnd w:id="7"/>
    <w:bookmarkEnd w:id="8"/>
    <w:bookmarkEnd w:id="9"/>
    <w:bookmarkEnd w:id="10"/>
    <w:p w14:paraId="4466F0D0">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lang w:eastAsia="zh-CN"/>
        </w:rPr>
      </w:pPr>
      <w:bookmarkStart w:id="14" w:name="_Toc141011853"/>
      <w:bookmarkStart w:id="15" w:name="_Toc27959"/>
      <w:r>
        <w:rPr>
          <w:rFonts w:hint="eastAsia" w:ascii="宋体" w:hAnsi="宋体" w:eastAsia="宋体" w:cs="宋体"/>
          <w:color w:val="auto"/>
          <w:sz w:val="24"/>
          <w:szCs w:val="24"/>
          <w:highlight w:val="none"/>
          <w:lang w:val="en-US" w:eastAsia="zh-CN"/>
        </w:rPr>
        <w:t>4 项目</w:t>
      </w:r>
      <w:r>
        <w:rPr>
          <w:rFonts w:hint="eastAsia" w:ascii="宋体" w:hAnsi="宋体" w:eastAsia="宋体" w:cs="宋体"/>
          <w:color w:val="auto"/>
          <w:sz w:val="24"/>
          <w:szCs w:val="24"/>
          <w:highlight w:val="none"/>
        </w:rPr>
        <w:t>范围及</w:t>
      </w:r>
      <w:bookmarkEnd w:id="14"/>
      <w:r>
        <w:rPr>
          <w:rFonts w:hint="eastAsia" w:ascii="宋体" w:hAnsi="宋体" w:eastAsia="宋体" w:cs="宋体"/>
          <w:color w:val="auto"/>
          <w:sz w:val="24"/>
          <w:szCs w:val="24"/>
          <w:highlight w:val="none"/>
          <w:lang w:val="en-US" w:eastAsia="zh-CN"/>
        </w:rPr>
        <w:t>工期</w:t>
      </w:r>
      <w:bookmarkEnd w:id="15"/>
    </w:p>
    <w:p w14:paraId="3C8507F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4.1项目范围</w:t>
      </w:r>
    </w:p>
    <w:p w14:paraId="00C666B0">
      <w:pPr>
        <w:spacing w:line="360" w:lineRule="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val="en-US" w:eastAsia="zh-CN"/>
        </w:rPr>
        <w:t xml:space="preserve">4.1.1 </w:t>
      </w:r>
      <w:r>
        <w:rPr>
          <w:rFonts w:hint="eastAsia" w:ascii="宋体" w:hAnsi="宋体" w:eastAsia="宋体" w:cs="宋体"/>
          <w:bCs/>
          <w:color w:val="auto"/>
          <w:sz w:val="24"/>
          <w:szCs w:val="24"/>
          <w:highlight w:val="none"/>
        </w:rPr>
        <w:t>净化车间RTO装置</w:t>
      </w:r>
      <w:r>
        <w:rPr>
          <w:rFonts w:hint="eastAsia" w:ascii="宋体" w:hAnsi="宋体" w:eastAsia="宋体" w:cs="宋体"/>
          <w:bCs/>
          <w:color w:val="auto"/>
          <w:sz w:val="24"/>
          <w:szCs w:val="24"/>
          <w:highlight w:val="none"/>
          <w:lang w:val="en-US" w:eastAsia="zh-CN"/>
        </w:rPr>
        <w:t>DN1400</w:t>
      </w:r>
      <w:r>
        <w:rPr>
          <w:rFonts w:hint="eastAsia" w:ascii="宋体" w:hAnsi="宋体" w:eastAsia="宋体" w:cs="宋体"/>
          <w:bCs/>
          <w:color w:val="auto"/>
          <w:sz w:val="24"/>
          <w:szCs w:val="24"/>
          <w:highlight w:val="none"/>
        </w:rPr>
        <w:t>高温</w:t>
      </w:r>
      <w:r>
        <w:rPr>
          <w:rFonts w:hint="eastAsia" w:ascii="宋体" w:hAnsi="宋体" w:eastAsia="宋体" w:cs="宋体"/>
          <w:bCs/>
          <w:color w:val="auto"/>
          <w:sz w:val="24"/>
          <w:szCs w:val="24"/>
          <w:highlight w:val="none"/>
          <w:lang w:val="en-US" w:eastAsia="zh-CN"/>
        </w:rPr>
        <w:t>旁通阀18台</w:t>
      </w:r>
      <w:r>
        <w:rPr>
          <w:rFonts w:hint="eastAsia" w:ascii="宋体" w:hAnsi="宋体" w:eastAsia="宋体" w:cs="宋体"/>
          <w:bCs/>
          <w:color w:val="auto"/>
          <w:sz w:val="24"/>
          <w:szCs w:val="24"/>
          <w:highlight w:val="none"/>
        </w:rPr>
        <w:t>整体更换</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DN3500膨胀节2台整体更换</w:t>
      </w:r>
      <w:r>
        <w:rPr>
          <w:rFonts w:hint="eastAsia" w:ascii="宋体" w:hAnsi="宋体" w:eastAsia="宋体" w:cs="宋体"/>
          <w:bCs/>
          <w:color w:val="auto"/>
          <w:sz w:val="24"/>
          <w:szCs w:val="24"/>
          <w:highlight w:val="none"/>
        </w:rPr>
        <w:t>。</w:t>
      </w:r>
    </w:p>
    <w:p w14:paraId="51389B6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4.1.2</w:t>
      </w:r>
      <w:r>
        <w:rPr>
          <w:rFonts w:hint="eastAsia" w:ascii="宋体" w:hAnsi="宋体" w:eastAsia="宋体" w:cs="宋体"/>
          <w:bCs/>
          <w:color w:val="auto"/>
          <w:sz w:val="24"/>
          <w:szCs w:val="24"/>
          <w:highlight w:val="none"/>
        </w:rPr>
        <w:t>净化车间RTO装置过热器A/B</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省煤器</w:t>
      </w:r>
      <w:r>
        <w:rPr>
          <w:rFonts w:hint="eastAsia" w:ascii="宋体" w:hAnsi="宋体" w:eastAsia="宋体" w:cs="宋体"/>
          <w:bCs/>
          <w:color w:val="auto"/>
          <w:sz w:val="24"/>
          <w:szCs w:val="24"/>
          <w:highlight w:val="none"/>
        </w:rPr>
        <w:t>清理A/B</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共4台）内部保温棉堵塞清理工作。</w:t>
      </w:r>
    </w:p>
    <w:p w14:paraId="79E9EA5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4.1.2 投标方应充分进行现场勘探和评估，因施工区域缺陷和施工难度而引起的施工方案的调整，均由投标方无条件完成，招标方不再另行增加费用。</w:t>
      </w:r>
    </w:p>
    <w:p w14:paraId="203E2D3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4.1.4 本项目检修工作量为暂估量，检修过程中如有变化，以实际完成工作量进行统计、核算。</w:t>
      </w:r>
    </w:p>
    <w:p w14:paraId="781E1DB9">
      <w:pPr>
        <w:widowControl/>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4.1.5 在上述服务范围内，投标方在履行合同义务时应遵守下列标准：</w:t>
      </w:r>
    </w:p>
    <w:p w14:paraId="37973CB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4.1.5.1标准规范：投标方在合同期内所做工作，规范和标准必须遵循现行最新版本的标准。招标方最终以有利于自己的标准规范对投标方进行考核。</w:t>
      </w:r>
    </w:p>
    <w:p w14:paraId="41574FA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4.1.5.2投标方必须执行原电力工业部、化工部及其承继机构颁发并继续有效的有关电厂、化工企业运行维护的规定。有矛盾时，按较高标准执行。</w:t>
      </w:r>
    </w:p>
    <w:p w14:paraId="3EE5A3C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4.1.5.3运行手册、检修手册、操作手册及企业标准。</w:t>
      </w:r>
    </w:p>
    <w:p w14:paraId="3007743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4.1.5.4设备供应商提供的技术规范。</w:t>
      </w:r>
    </w:p>
    <w:p w14:paraId="70633B8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4.1.5.5任何适用的环保限制和国家、省政府及地方政府颁发的有关环保规定。</w:t>
      </w:r>
    </w:p>
    <w:p w14:paraId="6F82FD7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4.1.5.6 除上述标准外，投标方亦应遵守招标方的下列手册和管理制度的要求：</w:t>
      </w:r>
    </w:p>
    <w:p w14:paraId="72D84DFE">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a职业健康和安全培训手册。</w:t>
      </w:r>
    </w:p>
    <w:p w14:paraId="2F8312A3">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b质量培训手册。</w:t>
      </w:r>
    </w:p>
    <w:p w14:paraId="54D495EE">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c环保培训手册。</w:t>
      </w:r>
    </w:p>
    <w:p w14:paraId="50788366">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d招标方合理希望实施的任何其他培训手册。</w:t>
      </w:r>
    </w:p>
    <w:p w14:paraId="0D665BF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4.2 项目工期</w:t>
      </w:r>
    </w:p>
    <w:p w14:paraId="289BC907">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4.2.1 </w:t>
      </w:r>
      <w:r>
        <w:rPr>
          <w:rStyle w:val="31"/>
          <w:rFonts w:hint="eastAsia" w:ascii="宋体" w:hAnsi="宋体" w:eastAsia="宋体" w:cs="宋体"/>
          <w:color w:val="auto"/>
          <w:sz w:val="24"/>
          <w:szCs w:val="24"/>
          <w:highlight w:val="none"/>
          <w:lang w:val="en-US" w:eastAsia="zh-CN"/>
        </w:rPr>
        <w:t>本</w:t>
      </w:r>
      <w:r>
        <w:rPr>
          <w:rStyle w:val="31"/>
          <w:rFonts w:hint="eastAsia" w:ascii="宋体" w:hAnsi="宋体" w:eastAsia="宋体" w:cs="宋体"/>
          <w:color w:val="auto"/>
          <w:sz w:val="24"/>
          <w:szCs w:val="24"/>
          <w:highlight w:val="none"/>
        </w:rPr>
        <w:t>项目施工工期为</w:t>
      </w:r>
      <w:r>
        <w:rPr>
          <w:rStyle w:val="31"/>
          <w:rFonts w:hint="eastAsia" w:ascii="宋体" w:hAnsi="宋体" w:eastAsia="宋体" w:cs="宋体"/>
          <w:color w:val="auto"/>
          <w:sz w:val="24"/>
          <w:szCs w:val="24"/>
          <w:highlight w:val="none"/>
          <w:lang w:val="en-US" w:eastAsia="zh-CN"/>
        </w:rPr>
        <w:t>30</w:t>
      </w:r>
      <w:r>
        <w:rPr>
          <w:rStyle w:val="31"/>
          <w:rFonts w:hint="eastAsia" w:ascii="宋体" w:hAnsi="宋体" w:eastAsia="宋体" w:cs="宋体"/>
          <w:color w:val="auto"/>
          <w:sz w:val="24"/>
          <w:szCs w:val="24"/>
          <w:highlight w:val="none"/>
        </w:rPr>
        <w:t>天，</w:t>
      </w:r>
      <w:r>
        <w:rPr>
          <w:rFonts w:hint="eastAsia" w:ascii="宋体" w:hAnsi="宋体" w:eastAsia="宋体" w:cs="宋体"/>
          <w:color w:val="auto"/>
          <w:sz w:val="24"/>
          <w:szCs w:val="24"/>
          <w:highlight w:val="none"/>
        </w:rPr>
        <w:t>暂定2025年08月-0</w:t>
      </w:r>
      <w:r>
        <w:rPr>
          <w:rFonts w:hint="eastAsia" w:ascii="宋体" w:hAnsi="宋体" w:eastAsia="宋体" w:cs="宋体"/>
          <w:color w:val="auto"/>
          <w:sz w:val="24"/>
          <w:szCs w:val="24"/>
          <w:highlight w:val="none"/>
          <w:lang w:val="en-US" w:eastAsia="zh-CN"/>
        </w:rPr>
        <w:t>9月，具体时间以招标方通知为准；投标方开工前提供项目进度表，确保整体进度。受国家、地方、企业等的政策或要求等影响，所延误工期时，工期顺延）。</w:t>
      </w:r>
    </w:p>
    <w:p w14:paraId="01C15F4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4.2.2 投标方不仅要保证自己承担工作的进度，同时和招标方一起协调与其它外包系统设备的连接项目等施工进度，确保整体进度。</w:t>
      </w:r>
    </w:p>
    <w:p w14:paraId="7445967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4.2.3 施工服务工期内，涉及各类检修作业时不仅须按时完成项目，同时各分项工期均须按投标方要求进度时间完成。</w:t>
      </w:r>
    </w:p>
    <w:p w14:paraId="53F7BD3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4.2.4 施工服务工期内，以生产装置现场实际情况为指导，不仅要求按时按进度完成本职检修工作，同时应服从招标方协调指挥要求，主动配合完成现场其他施工作业工作。</w:t>
      </w:r>
    </w:p>
    <w:p w14:paraId="4E483968">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rPr>
      </w:pPr>
      <w:bookmarkStart w:id="16" w:name="_Toc28439"/>
      <w:bookmarkStart w:id="17" w:name="_Toc141011854"/>
      <w:r>
        <w:rPr>
          <w:rFonts w:hint="eastAsia" w:ascii="宋体" w:hAnsi="宋体" w:eastAsia="宋体" w:cs="宋体"/>
          <w:color w:val="auto"/>
          <w:sz w:val="24"/>
          <w:szCs w:val="24"/>
          <w:highlight w:val="none"/>
          <w:lang w:val="en-US" w:eastAsia="zh-CN"/>
        </w:rPr>
        <w:t>5项目内容及</w:t>
      </w:r>
      <w:r>
        <w:rPr>
          <w:rFonts w:hint="eastAsia" w:ascii="宋体" w:hAnsi="宋体" w:eastAsia="宋体" w:cs="宋体"/>
          <w:color w:val="auto"/>
          <w:sz w:val="24"/>
          <w:szCs w:val="24"/>
          <w:highlight w:val="none"/>
        </w:rPr>
        <w:t>要求</w:t>
      </w:r>
      <w:bookmarkEnd w:id="16"/>
      <w:bookmarkEnd w:id="17"/>
    </w:p>
    <w:p w14:paraId="5C5B895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5.1 </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内容：</w:t>
      </w:r>
      <w:r>
        <w:rPr>
          <w:rFonts w:hint="eastAsia" w:ascii="宋体" w:hAnsi="宋体" w:eastAsia="宋体" w:cs="宋体"/>
          <w:bCs/>
          <w:color w:val="auto"/>
          <w:sz w:val="24"/>
          <w:szCs w:val="24"/>
          <w:highlight w:val="none"/>
        </w:rPr>
        <w:t>净化车间RTO装置</w:t>
      </w:r>
      <w:r>
        <w:rPr>
          <w:rFonts w:hint="eastAsia" w:ascii="宋体" w:hAnsi="宋体" w:eastAsia="宋体" w:cs="宋体"/>
          <w:bCs/>
          <w:color w:val="auto"/>
          <w:sz w:val="24"/>
          <w:szCs w:val="24"/>
          <w:highlight w:val="none"/>
          <w:lang w:val="en-US" w:eastAsia="zh-CN"/>
        </w:rPr>
        <w:t>DN1400</w:t>
      </w:r>
      <w:r>
        <w:rPr>
          <w:rFonts w:hint="eastAsia" w:ascii="宋体" w:hAnsi="宋体" w:eastAsia="宋体" w:cs="宋体"/>
          <w:bCs/>
          <w:color w:val="auto"/>
          <w:sz w:val="24"/>
          <w:szCs w:val="24"/>
          <w:highlight w:val="none"/>
        </w:rPr>
        <w:t>高温</w:t>
      </w:r>
      <w:r>
        <w:rPr>
          <w:rFonts w:hint="eastAsia" w:ascii="宋体" w:hAnsi="宋体" w:eastAsia="宋体" w:cs="宋体"/>
          <w:bCs/>
          <w:color w:val="auto"/>
          <w:sz w:val="24"/>
          <w:szCs w:val="24"/>
          <w:highlight w:val="none"/>
          <w:lang w:val="en-US" w:eastAsia="zh-CN"/>
        </w:rPr>
        <w:t>旁通阀18台</w:t>
      </w:r>
      <w:r>
        <w:rPr>
          <w:rFonts w:hint="eastAsia" w:ascii="宋体" w:hAnsi="宋体" w:eastAsia="宋体" w:cs="宋体"/>
          <w:bCs/>
          <w:color w:val="auto"/>
          <w:sz w:val="24"/>
          <w:szCs w:val="24"/>
          <w:highlight w:val="none"/>
        </w:rPr>
        <w:t>整体更换</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DN3500膨胀节2台整体更换</w:t>
      </w:r>
      <w:r>
        <w:rPr>
          <w:rFonts w:hint="eastAsia" w:ascii="宋体" w:hAnsi="宋体" w:eastAsia="宋体" w:cs="宋体"/>
          <w:bCs/>
          <w:color w:val="auto"/>
          <w:sz w:val="24"/>
          <w:szCs w:val="24"/>
          <w:highlight w:val="none"/>
        </w:rPr>
        <w:t>。RTO装置过热器A/B</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省煤器</w:t>
      </w:r>
      <w:r>
        <w:rPr>
          <w:rFonts w:hint="eastAsia" w:ascii="宋体" w:hAnsi="宋体" w:eastAsia="宋体" w:cs="宋体"/>
          <w:bCs/>
          <w:color w:val="auto"/>
          <w:sz w:val="24"/>
          <w:szCs w:val="24"/>
          <w:highlight w:val="none"/>
        </w:rPr>
        <w:t>清理A/B</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共4台）内部保温棉堵塞清理工作</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投标方应充分进行现场勘探和评估，因施工区域缺陷和施工难度而引起的施工方案的调整，均由投标方负责，招标方不再另行增加费用</w:t>
      </w:r>
      <w:r>
        <w:rPr>
          <w:rFonts w:hint="eastAsia" w:ascii="宋体" w:hAnsi="宋体" w:eastAsia="宋体" w:cs="宋体"/>
          <w:color w:val="auto"/>
          <w:sz w:val="24"/>
          <w:szCs w:val="24"/>
          <w:highlight w:val="none"/>
          <w:lang w:eastAsia="zh-CN"/>
        </w:rPr>
        <w:t>。</w:t>
      </w:r>
    </w:p>
    <w:p w14:paraId="29E026E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5.2 项目施工内容：</w:t>
      </w:r>
    </w:p>
    <w:p w14:paraId="4E2FBBC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5.2.1DN1400高温旁通阀18台整体更换施工内容为：</w:t>
      </w:r>
    </w:p>
    <w:p w14:paraId="1FA7FB8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5.2.1.1、18台DN1400旧高温旁通阀南侧管口割除（18道口），北侧18道法兰口螺栓拆除，汽车吊就位挂钩承重前，焊口割除要留四分之一，法兰螺栓至少留对称4颗；</w:t>
      </w:r>
    </w:p>
    <w:p w14:paraId="2BACFAA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5.2.1.1、汽车吊（50-80T）就位，将18台DN1400旧高温旁通阀连同高温膨胀节吊装至地面检修场地；</w:t>
      </w:r>
    </w:p>
    <w:p w14:paraId="715756C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5.2.1.2、拆除18台DN1400旧高温旁通阀和高温膨胀节连接法兰螺栓；</w:t>
      </w:r>
    </w:p>
    <w:p w14:paraId="63B87B8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5.2.1.3、对72道DN1400法兰密封面及螺栓进行清理；</w:t>
      </w:r>
    </w:p>
    <w:p w14:paraId="1DBFD05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5.2.1.4、36道DN1300/6mm坡口打磨；</w:t>
      </w:r>
    </w:p>
    <w:p w14:paraId="11D8F75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5.2.1.5、18道DN1400旧高温旁通阀和高温膨胀节连接法兰螺栓安装及紧固；</w:t>
      </w:r>
    </w:p>
    <w:p w14:paraId="15B3777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5.2.1.6、18台DN1400新高温旁通阀吊装就位；</w:t>
      </w:r>
    </w:p>
    <w:p w14:paraId="54460B5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5.2.1.7、18道DN1300/6mm管口对口，18道DN1400旧高温旁通阀连接法兰螺栓安装及紧固；</w:t>
      </w:r>
    </w:p>
    <w:p w14:paraId="45569D2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5.2.1.8、18道DN1300/6mm口焊接及渗透检测；</w:t>
      </w:r>
    </w:p>
    <w:p w14:paraId="681F5AB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5.2.1.9、18台DN1400旧高温清运及现场工完料净场清。</w:t>
      </w:r>
    </w:p>
    <w:p w14:paraId="3FD1CFC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5.3.1DN3500高温膨胀节2台整体更换施工内容为：</w:t>
      </w:r>
    </w:p>
    <w:p w14:paraId="2625045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5.3.1.1、2台DN3500/6mm旧膨胀节割除（4道口）；</w:t>
      </w:r>
    </w:p>
    <w:p w14:paraId="75680ED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5.3.1.2、2台DN3500旧膨胀节吊装至地面检修场地；</w:t>
      </w:r>
    </w:p>
    <w:p w14:paraId="4592E69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5.3.1.3、8道DN3500/6mm坡口打磨；</w:t>
      </w:r>
    </w:p>
    <w:p w14:paraId="269466D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5.3.1.4、2台DN3500新膨胀节吊装；</w:t>
      </w:r>
    </w:p>
    <w:p w14:paraId="4325A25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5.3.1.5、4道DN3500/6mm管口对口；</w:t>
      </w:r>
    </w:p>
    <w:p w14:paraId="0D40466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5.3.1.6、4道DN3500/6mm口焊接及渗透检测；</w:t>
      </w:r>
    </w:p>
    <w:p w14:paraId="2EF89A0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5.3.1.7、2台 DN3500旧膨胀节清运及现场工完料净场清。</w:t>
      </w:r>
    </w:p>
    <w:p w14:paraId="28AE867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5.3 本项目中不包括膨胀节及和高温旁通阀内保温更换安装工作。</w:t>
      </w:r>
    </w:p>
    <w:p w14:paraId="6EA9B9C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bookmarkStart w:id="18" w:name="_Toc141011855"/>
      <w:r>
        <w:rPr>
          <w:rFonts w:hint="eastAsia" w:ascii="宋体" w:hAnsi="宋体" w:eastAsia="宋体" w:cs="宋体"/>
          <w:color w:val="auto"/>
          <w:sz w:val="24"/>
          <w:szCs w:val="24"/>
          <w:highlight w:val="none"/>
          <w:lang w:val="en-US" w:eastAsia="zh-CN"/>
        </w:rPr>
        <w:t>5.4项目技术要求</w:t>
      </w:r>
    </w:p>
    <w:bookmarkEnd w:id="18"/>
    <w:p w14:paraId="0E252AB4">
      <w:pPr>
        <w:spacing w:line="360" w:lineRule="auto"/>
        <w:rPr>
          <w:rStyle w:val="31"/>
          <w:rFonts w:hint="eastAsia" w:ascii="宋体" w:hAnsi="宋体" w:eastAsia="宋体" w:cs="宋体"/>
          <w:color w:val="auto"/>
          <w:sz w:val="24"/>
          <w:szCs w:val="24"/>
          <w:highlight w:val="none"/>
          <w:lang w:val="en-US" w:eastAsia="zh-CN"/>
        </w:rPr>
      </w:pPr>
      <w:r>
        <w:rPr>
          <w:rStyle w:val="31"/>
          <w:rFonts w:hint="eastAsia" w:ascii="宋体" w:hAnsi="宋体" w:eastAsia="宋体" w:cs="宋体"/>
          <w:color w:val="auto"/>
          <w:sz w:val="24"/>
          <w:szCs w:val="24"/>
          <w:highlight w:val="none"/>
          <w:lang w:val="en-US" w:eastAsia="zh-CN"/>
        </w:rPr>
        <w:t>5.4.1</w:t>
      </w:r>
      <w:r>
        <w:rPr>
          <w:rStyle w:val="31"/>
          <w:rFonts w:hint="eastAsia" w:ascii="宋体" w:hAnsi="宋体" w:eastAsia="宋体" w:cs="宋体"/>
          <w:color w:val="auto"/>
          <w:sz w:val="24"/>
          <w:szCs w:val="24"/>
          <w:highlight w:val="none"/>
        </w:rPr>
        <w:t>吊装</w:t>
      </w:r>
      <w:r>
        <w:rPr>
          <w:rStyle w:val="31"/>
          <w:rFonts w:hint="eastAsia" w:ascii="宋体" w:hAnsi="宋体" w:eastAsia="宋体" w:cs="宋体"/>
          <w:color w:val="auto"/>
          <w:sz w:val="24"/>
          <w:szCs w:val="24"/>
          <w:highlight w:val="none"/>
          <w:lang w:val="en-US" w:eastAsia="zh-CN"/>
        </w:rPr>
        <w:t>技术要求</w:t>
      </w:r>
    </w:p>
    <w:p w14:paraId="5699AF71">
      <w:pPr>
        <w:spacing w:line="360" w:lineRule="auto"/>
        <w:rPr>
          <w:rStyle w:val="31"/>
          <w:rFonts w:hint="eastAsia" w:ascii="宋体" w:hAnsi="宋体" w:eastAsia="宋体" w:cs="宋体"/>
          <w:color w:val="auto"/>
          <w:sz w:val="24"/>
          <w:szCs w:val="24"/>
          <w:highlight w:val="none"/>
        </w:rPr>
      </w:pPr>
      <w:r>
        <w:rPr>
          <w:rStyle w:val="31"/>
          <w:rFonts w:hint="eastAsia" w:ascii="宋体" w:hAnsi="宋体" w:eastAsia="宋体" w:cs="宋体"/>
          <w:color w:val="auto"/>
          <w:sz w:val="24"/>
          <w:szCs w:val="24"/>
          <w:highlight w:val="none"/>
          <w:lang w:val="en-US" w:eastAsia="zh-CN"/>
        </w:rPr>
        <w:t>5.4.1.1</w:t>
      </w:r>
      <w:r>
        <w:rPr>
          <w:rStyle w:val="31"/>
          <w:rFonts w:hint="eastAsia" w:ascii="宋体" w:hAnsi="宋体" w:eastAsia="宋体" w:cs="宋体"/>
          <w:color w:val="auto"/>
          <w:sz w:val="24"/>
          <w:szCs w:val="24"/>
          <w:highlight w:val="none"/>
        </w:rPr>
        <w:t>吊装前，对基础标高进行复核，基础中心线轴线进行弹线复核，对设备中心线进行分中、核对，设备基础验收合格后进行吊装。</w:t>
      </w:r>
    </w:p>
    <w:p w14:paraId="681B5F61">
      <w:pPr>
        <w:spacing w:line="360" w:lineRule="auto"/>
        <w:rPr>
          <w:rStyle w:val="31"/>
          <w:rFonts w:hint="eastAsia" w:ascii="宋体" w:hAnsi="宋体" w:eastAsia="宋体" w:cs="宋体"/>
          <w:color w:val="auto"/>
          <w:sz w:val="24"/>
          <w:szCs w:val="24"/>
          <w:highlight w:val="none"/>
        </w:rPr>
      </w:pPr>
      <w:r>
        <w:rPr>
          <w:rStyle w:val="31"/>
          <w:rFonts w:hint="eastAsia" w:ascii="宋体" w:hAnsi="宋体" w:eastAsia="宋体" w:cs="宋体"/>
          <w:color w:val="auto"/>
          <w:sz w:val="24"/>
          <w:szCs w:val="24"/>
          <w:highlight w:val="none"/>
          <w:lang w:val="en-US" w:eastAsia="zh-CN"/>
        </w:rPr>
        <w:t>5.4.1.2</w:t>
      </w:r>
      <w:r>
        <w:rPr>
          <w:rStyle w:val="31"/>
          <w:rFonts w:hint="eastAsia" w:ascii="宋体" w:hAnsi="宋体" w:eastAsia="宋体" w:cs="宋体"/>
          <w:color w:val="auto"/>
          <w:sz w:val="24"/>
          <w:szCs w:val="24"/>
          <w:highlight w:val="none"/>
        </w:rPr>
        <w:t>吊装前进行吊装参数的收集并编制相应吊装方案，进行参数计算和验证并报审合格后。</w:t>
      </w:r>
    </w:p>
    <w:p w14:paraId="7228C8D9">
      <w:pPr>
        <w:spacing w:line="360" w:lineRule="auto"/>
        <w:rPr>
          <w:rStyle w:val="31"/>
          <w:rFonts w:hint="eastAsia" w:ascii="宋体" w:hAnsi="宋体" w:eastAsia="宋体" w:cs="宋体"/>
          <w:color w:val="auto"/>
          <w:sz w:val="24"/>
          <w:szCs w:val="24"/>
          <w:highlight w:val="none"/>
        </w:rPr>
      </w:pPr>
      <w:r>
        <w:rPr>
          <w:rStyle w:val="31"/>
          <w:rFonts w:hint="eastAsia" w:ascii="宋体" w:hAnsi="宋体" w:eastAsia="宋体" w:cs="宋体"/>
          <w:color w:val="auto"/>
          <w:sz w:val="24"/>
          <w:szCs w:val="24"/>
          <w:highlight w:val="none"/>
          <w:lang w:val="en-US" w:eastAsia="zh-CN"/>
        </w:rPr>
        <w:t>5.4.1.3</w:t>
      </w:r>
      <w:r>
        <w:rPr>
          <w:rStyle w:val="31"/>
          <w:rFonts w:hint="eastAsia" w:ascii="宋体" w:hAnsi="宋体" w:eastAsia="宋体" w:cs="宋体"/>
          <w:color w:val="auto"/>
          <w:sz w:val="24"/>
          <w:szCs w:val="24"/>
          <w:highlight w:val="none"/>
        </w:rPr>
        <w:t>吊装前要完成对作业人员、吊车司机等先关人员进行吊装方案交底。</w:t>
      </w:r>
    </w:p>
    <w:p w14:paraId="43C71087">
      <w:pPr>
        <w:spacing w:line="360" w:lineRule="auto"/>
        <w:rPr>
          <w:rStyle w:val="31"/>
          <w:rFonts w:hint="eastAsia" w:ascii="宋体" w:hAnsi="宋体" w:eastAsia="宋体" w:cs="宋体"/>
          <w:color w:val="auto"/>
          <w:sz w:val="24"/>
          <w:szCs w:val="24"/>
          <w:highlight w:val="none"/>
        </w:rPr>
      </w:pPr>
      <w:r>
        <w:rPr>
          <w:rStyle w:val="31"/>
          <w:rFonts w:hint="eastAsia" w:ascii="宋体" w:hAnsi="宋体" w:eastAsia="宋体" w:cs="宋体"/>
          <w:color w:val="auto"/>
          <w:sz w:val="24"/>
          <w:szCs w:val="24"/>
          <w:highlight w:val="none"/>
          <w:lang w:val="en-US" w:eastAsia="zh-CN"/>
        </w:rPr>
        <w:t>5.4.1.4</w:t>
      </w:r>
      <w:r>
        <w:rPr>
          <w:rStyle w:val="31"/>
          <w:rFonts w:hint="eastAsia" w:ascii="宋体" w:hAnsi="宋体" w:eastAsia="宋体" w:cs="宋体"/>
          <w:color w:val="auto"/>
          <w:sz w:val="24"/>
          <w:szCs w:val="24"/>
          <w:highlight w:val="none"/>
        </w:rPr>
        <w:t>吊车进场前要进行检查，确保工况良好、证件齐全、满足施工方案中的起吊要求，并完成设备进场报验。</w:t>
      </w:r>
    </w:p>
    <w:p w14:paraId="3D8DB98A">
      <w:pPr>
        <w:spacing w:line="360" w:lineRule="auto"/>
        <w:rPr>
          <w:rStyle w:val="31"/>
          <w:rFonts w:hint="eastAsia" w:ascii="宋体" w:hAnsi="宋体" w:eastAsia="宋体" w:cs="宋体"/>
          <w:color w:val="auto"/>
          <w:sz w:val="24"/>
          <w:szCs w:val="24"/>
          <w:highlight w:val="none"/>
        </w:rPr>
      </w:pPr>
      <w:r>
        <w:rPr>
          <w:rStyle w:val="31"/>
          <w:rFonts w:hint="eastAsia" w:ascii="宋体" w:hAnsi="宋体" w:eastAsia="宋体" w:cs="宋体"/>
          <w:color w:val="auto"/>
          <w:sz w:val="24"/>
          <w:szCs w:val="24"/>
          <w:highlight w:val="none"/>
          <w:lang w:val="en-US" w:eastAsia="zh-CN"/>
        </w:rPr>
        <w:t>5.4.1.5</w:t>
      </w:r>
      <w:r>
        <w:rPr>
          <w:rStyle w:val="31"/>
          <w:rFonts w:hint="eastAsia" w:ascii="宋体" w:hAnsi="宋体" w:eastAsia="宋体" w:cs="宋体"/>
          <w:color w:val="auto"/>
          <w:sz w:val="24"/>
          <w:szCs w:val="24"/>
          <w:highlight w:val="none"/>
        </w:rPr>
        <w:t>吊装前与厂家沟通，吊装应符合厂家的吊装说明书，满足厂家的相关吊装要求。</w:t>
      </w:r>
    </w:p>
    <w:p w14:paraId="0C382B30">
      <w:pPr>
        <w:spacing w:line="360" w:lineRule="auto"/>
        <w:outlineLvl w:val="0"/>
        <w:rPr>
          <w:rStyle w:val="31"/>
          <w:rFonts w:hint="eastAsia" w:ascii="宋体" w:hAnsi="宋体" w:eastAsia="宋体" w:cs="宋体"/>
          <w:color w:val="auto"/>
          <w:sz w:val="24"/>
          <w:szCs w:val="24"/>
          <w:highlight w:val="none"/>
        </w:rPr>
      </w:pPr>
      <w:bookmarkStart w:id="19" w:name="_Toc12170"/>
      <w:r>
        <w:rPr>
          <w:rStyle w:val="31"/>
          <w:rFonts w:hint="eastAsia" w:ascii="宋体" w:hAnsi="宋体" w:eastAsia="宋体" w:cs="宋体"/>
          <w:color w:val="auto"/>
          <w:sz w:val="24"/>
          <w:szCs w:val="24"/>
          <w:highlight w:val="none"/>
          <w:lang w:val="en-US" w:eastAsia="zh-CN"/>
        </w:rPr>
        <w:t>5.4.1.6</w:t>
      </w:r>
      <w:r>
        <w:rPr>
          <w:rStyle w:val="31"/>
          <w:rFonts w:hint="eastAsia" w:ascii="宋体" w:hAnsi="宋体" w:eastAsia="宋体" w:cs="宋体"/>
          <w:color w:val="auto"/>
          <w:sz w:val="24"/>
          <w:szCs w:val="24"/>
          <w:highlight w:val="none"/>
        </w:rPr>
        <w:t>吊装、安装工艺</w:t>
      </w:r>
      <w:r>
        <w:rPr>
          <w:rStyle w:val="31"/>
          <w:rFonts w:hint="eastAsia" w:ascii="宋体" w:hAnsi="宋体" w:eastAsia="宋体" w:cs="宋体"/>
          <w:color w:val="auto"/>
          <w:sz w:val="24"/>
          <w:szCs w:val="24"/>
          <w:highlight w:val="none"/>
          <w:lang w:val="en-US" w:eastAsia="zh-CN"/>
        </w:rPr>
        <w:t>流程</w:t>
      </w:r>
      <w:bookmarkEnd w:id="19"/>
      <w:r>
        <w:rPr>
          <w:rFonts w:hint="eastAsia" w:ascii="宋体" w:hAnsi="宋体" w:eastAsia="宋体" w:cs="宋体"/>
          <w:color w:val="auto"/>
          <w:sz w:val="24"/>
          <w:szCs w:val="24"/>
          <w:highlight w:val="none"/>
        </w:rPr>
        <mc:AlternateContent>
          <mc:Choice Requires="wpg">
            <w:drawing>
              <wp:anchor distT="0" distB="0" distL="114300" distR="114300" simplePos="0" relativeHeight="251665408" behindDoc="0" locked="0" layoutInCell="1" allowOverlap="1">
                <wp:simplePos x="0" y="0"/>
                <wp:positionH relativeFrom="column">
                  <wp:posOffset>-106045</wp:posOffset>
                </wp:positionH>
                <wp:positionV relativeFrom="paragraph">
                  <wp:posOffset>292735</wp:posOffset>
                </wp:positionV>
                <wp:extent cx="6287135" cy="1644015"/>
                <wp:effectExtent l="4445" t="4445" r="13970" b="8890"/>
                <wp:wrapNone/>
                <wp:docPr id="6" name="组合 113"/>
                <wp:cNvGraphicFramePr/>
                <a:graphic xmlns:a="http://schemas.openxmlformats.org/drawingml/2006/main">
                  <a:graphicData uri="http://schemas.microsoft.com/office/word/2010/wordprocessingGroup">
                    <wpg:wgp>
                      <wpg:cNvGrpSpPr/>
                      <wpg:grpSpPr>
                        <a:xfrm>
                          <a:off x="0" y="0"/>
                          <a:ext cx="6287135" cy="1644015"/>
                          <a:chOff x="1486" y="2444"/>
                          <a:chExt cx="9901" cy="2589"/>
                        </a:xfrm>
                      </wpg:grpSpPr>
                      <wps:wsp>
                        <wps:cNvPr id="38" name="直线 114"/>
                        <wps:cNvCnPr/>
                        <wps:spPr>
                          <a:xfrm>
                            <a:off x="11026" y="3700"/>
                            <a:ext cx="360" cy="1"/>
                          </a:xfrm>
                          <a:prstGeom prst="line">
                            <a:avLst/>
                          </a:prstGeom>
                          <a:ln w="9525" cap="flat" cmpd="sng">
                            <a:solidFill>
                              <a:srgbClr val="000000"/>
                            </a:solidFill>
                            <a:prstDash val="solid"/>
                            <a:headEnd type="none" w="med" len="med"/>
                            <a:tailEnd type="none" w="med" len="med"/>
                          </a:ln>
                        </wps:spPr>
                        <wps:bodyPr/>
                      </wps:wsp>
                      <wps:wsp>
                        <wps:cNvPr id="39" name="自选图形 115"/>
                        <wps:cNvSpPr/>
                        <wps:spPr>
                          <a:xfrm>
                            <a:off x="4366" y="3548"/>
                            <a:ext cx="1620" cy="468"/>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BF8C58C">
                              <w:pPr>
                                <w:rPr>
                                  <w:rFonts w:hint="default" w:eastAsia="宋体"/>
                                  <w:lang w:val="en-US" w:eastAsia="zh-CN"/>
                                </w:rPr>
                              </w:pPr>
                              <w:r>
                                <w:rPr>
                                  <w:rFonts w:hint="eastAsia"/>
                                </w:rPr>
                                <w:t>旧</w:t>
                              </w:r>
                              <w:r>
                                <w:rPr>
                                  <w:rFonts w:hint="eastAsia"/>
                                  <w:lang w:val="en-US" w:eastAsia="zh-CN"/>
                                </w:rPr>
                                <w:t>设备吊装</w:t>
                              </w:r>
                            </w:p>
                          </w:txbxContent>
                        </wps:txbx>
                        <wps:bodyPr upright="1"/>
                      </wps:wsp>
                      <wps:wsp>
                        <wps:cNvPr id="40" name="直线 116"/>
                        <wps:cNvCnPr/>
                        <wps:spPr>
                          <a:xfrm>
                            <a:off x="1486" y="3756"/>
                            <a:ext cx="360" cy="1"/>
                          </a:xfrm>
                          <a:prstGeom prst="line">
                            <a:avLst/>
                          </a:prstGeom>
                          <a:ln w="9525" cap="flat" cmpd="sng">
                            <a:solidFill>
                              <a:srgbClr val="000000"/>
                            </a:solidFill>
                            <a:prstDash val="solid"/>
                            <a:headEnd type="none" w="med" len="med"/>
                            <a:tailEnd type="triangle" w="med" len="med"/>
                          </a:ln>
                        </wps:spPr>
                        <wps:bodyPr/>
                      </wps:wsp>
                      <wps:wsp>
                        <wps:cNvPr id="41" name="直线 117"/>
                        <wps:cNvCnPr/>
                        <wps:spPr>
                          <a:xfrm>
                            <a:off x="11386" y="3700"/>
                            <a:ext cx="1" cy="548"/>
                          </a:xfrm>
                          <a:prstGeom prst="line">
                            <a:avLst/>
                          </a:prstGeom>
                          <a:ln w="9525" cap="flat" cmpd="sng">
                            <a:solidFill>
                              <a:srgbClr val="000000"/>
                            </a:solidFill>
                            <a:prstDash val="solid"/>
                            <a:headEnd type="none" w="med" len="med"/>
                            <a:tailEnd type="none" w="med" len="med"/>
                          </a:ln>
                        </wps:spPr>
                        <wps:bodyPr/>
                      </wps:wsp>
                      <wps:wsp>
                        <wps:cNvPr id="42" name="直线 118"/>
                        <wps:cNvCnPr/>
                        <wps:spPr>
                          <a:xfrm>
                            <a:off x="1486" y="3128"/>
                            <a:ext cx="9900" cy="1"/>
                          </a:xfrm>
                          <a:prstGeom prst="line">
                            <a:avLst/>
                          </a:prstGeom>
                          <a:ln w="9525" cap="flat" cmpd="sng">
                            <a:solidFill>
                              <a:srgbClr val="000000"/>
                            </a:solidFill>
                            <a:prstDash val="solid"/>
                            <a:headEnd type="none" w="med" len="med"/>
                            <a:tailEnd type="none" w="med" len="med"/>
                          </a:ln>
                        </wps:spPr>
                        <wps:bodyPr/>
                      </wps:wsp>
                      <wps:wsp>
                        <wps:cNvPr id="43" name="直线 119"/>
                        <wps:cNvCnPr/>
                        <wps:spPr>
                          <a:xfrm>
                            <a:off x="1486" y="3128"/>
                            <a:ext cx="1" cy="624"/>
                          </a:xfrm>
                          <a:prstGeom prst="line">
                            <a:avLst/>
                          </a:prstGeom>
                          <a:ln w="9525" cap="flat" cmpd="sng">
                            <a:solidFill>
                              <a:srgbClr val="000000"/>
                            </a:solidFill>
                            <a:prstDash val="solid"/>
                            <a:headEnd type="none" w="med" len="med"/>
                            <a:tailEnd type="none" w="med" len="med"/>
                          </a:ln>
                        </wps:spPr>
                        <wps:bodyPr/>
                      </wps:wsp>
                      <wps:wsp>
                        <wps:cNvPr id="44" name="直线 120"/>
                        <wps:cNvCnPr/>
                        <wps:spPr>
                          <a:xfrm>
                            <a:off x="8506" y="3767"/>
                            <a:ext cx="900" cy="1"/>
                          </a:xfrm>
                          <a:prstGeom prst="line">
                            <a:avLst/>
                          </a:prstGeom>
                          <a:ln w="9525" cap="flat" cmpd="sng">
                            <a:solidFill>
                              <a:srgbClr val="000000"/>
                            </a:solidFill>
                            <a:prstDash val="solid"/>
                            <a:headEnd type="none" w="med" len="med"/>
                            <a:tailEnd type="triangle" w="med" len="med"/>
                          </a:ln>
                        </wps:spPr>
                        <wps:bodyPr/>
                      </wps:wsp>
                      <wps:wsp>
                        <wps:cNvPr id="45" name="直线 121"/>
                        <wps:cNvCnPr/>
                        <wps:spPr>
                          <a:xfrm>
                            <a:off x="1486" y="4248"/>
                            <a:ext cx="1" cy="548"/>
                          </a:xfrm>
                          <a:prstGeom prst="line">
                            <a:avLst/>
                          </a:prstGeom>
                          <a:ln w="9525" cap="flat" cmpd="sng">
                            <a:solidFill>
                              <a:srgbClr val="000000"/>
                            </a:solidFill>
                            <a:prstDash val="solid"/>
                            <a:headEnd type="none" w="med" len="med"/>
                            <a:tailEnd type="none" w="med" len="med"/>
                          </a:ln>
                        </wps:spPr>
                        <wps:bodyPr/>
                      </wps:wsp>
                      <wps:wsp>
                        <wps:cNvPr id="46" name="直线 122"/>
                        <wps:cNvCnPr/>
                        <wps:spPr>
                          <a:xfrm>
                            <a:off x="5986" y="3767"/>
                            <a:ext cx="900" cy="1"/>
                          </a:xfrm>
                          <a:prstGeom prst="line">
                            <a:avLst/>
                          </a:prstGeom>
                          <a:ln w="9525" cap="flat" cmpd="sng">
                            <a:solidFill>
                              <a:srgbClr val="000000"/>
                            </a:solidFill>
                            <a:prstDash val="solid"/>
                            <a:headEnd type="none" w="med" len="med"/>
                            <a:tailEnd type="triangle" w="med" len="med"/>
                          </a:ln>
                        </wps:spPr>
                        <wps:bodyPr/>
                      </wps:wsp>
                      <wps:wsp>
                        <wps:cNvPr id="47" name="直线 123"/>
                        <wps:cNvCnPr/>
                        <wps:spPr>
                          <a:xfrm>
                            <a:off x="1486" y="4248"/>
                            <a:ext cx="9900" cy="1"/>
                          </a:xfrm>
                          <a:prstGeom prst="line">
                            <a:avLst/>
                          </a:prstGeom>
                          <a:ln w="9525" cap="flat" cmpd="sng">
                            <a:solidFill>
                              <a:srgbClr val="000000"/>
                            </a:solidFill>
                            <a:prstDash val="solid"/>
                            <a:headEnd type="none" w="med" len="med"/>
                            <a:tailEnd type="none" w="med" len="med"/>
                          </a:ln>
                        </wps:spPr>
                        <wps:bodyPr/>
                      </wps:wsp>
                      <wps:wsp>
                        <wps:cNvPr id="48" name="直线 124"/>
                        <wps:cNvCnPr/>
                        <wps:spPr>
                          <a:xfrm>
                            <a:off x="3466" y="3767"/>
                            <a:ext cx="900" cy="1"/>
                          </a:xfrm>
                          <a:prstGeom prst="line">
                            <a:avLst/>
                          </a:prstGeom>
                          <a:ln w="9525" cap="flat" cmpd="sng">
                            <a:solidFill>
                              <a:srgbClr val="000000"/>
                            </a:solidFill>
                            <a:prstDash val="solid"/>
                            <a:headEnd type="none" w="med" len="med"/>
                            <a:tailEnd type="triangle" w="med" len="med"/>
                          </a:ln>
                        </wps:spPr>
                        <wps:bodyPr/>
                      </wps:wsp>
                      <wps:wsp>
                        <wps:cNvPr id="49" name="自选图形 125"/>
                        <wps:cNvSpPr/>
                        <wps:spPr>
                          <a:xfrm>
                            <a:off x="9406" y="3548"/>
                            <a:ext cx="1620" cy="468"/>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198617EA">
                              <w:pPr>
                                <w:jc w:val="center"/>
                                <w:rPr>
                                  <w:rFonts w:hint="default" w:eastAsia="宋体"/>
                                  <w:lang w:val="en-US" w:eastAsia="zh-CN"/>
                                </w:rPr>
                              </w:pPr>
                              <w:r>
                                <w:rPr>
                                  <w:rFonts w:hint="eastAsia" w:cs="宋体"/>
                                  <w:spacing w:val="-16"/>
                                  <w:sz w:val="18"/>
                                  <w:szCs w:val="18"/>
                                </w:rPr>
                                <w:t>新</w:t>
                              </w:r>
                              <w:r>
                                <w:rPr>
                                  <w:rFonts w:hint="eastAsia" w:cs="宋体"/>
                                  <w:spacing w:val="-16"/>
                                  <w:sz w:val="18"/>
                                  <w:szCs w:val="18"/>
                                  <w:lang w:val="en-US" w:eastAsia="zh-CN"/>
                                </w:rPr>
                                <w:t>设备管道 对口</w:t>
                              </w:r>
                            </w:p>
                            <w:p w14:paraId="6C1A225F"/>
                          </w:txbxContent>
                        </wps:txbx>
                        <wps:bodyPr upright="1"/>
                      </wps:wsp>
                      <wps:wsp>
                        <wps:cNvPr id="50" name="自选图形 126"/>
                        <wps:cNvSpPr/>
                        <wps:spPr>
                          <a:xfrm>
                            <a:off x="6886" y="3536"/>
                            <a:ext cx="1620" cy="468"/>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D59A41F">
                              <w:pPr>
                                <w:jc w:val="center"/>
                                <w:rPr>
                                  <w:sz w:val="18"/>
                                  <w:szCs w:val="18"/>
                                </w:rPr>
                              </w:pPr>
                              <w:r>
                                <w:rPr>
                                  <w:rFonts w:hint="eastAsia" w:cs="宋体"/>
                                  <w:sz w:val="18"/>
                                  <w:szCs w:val="18"/>
                                </w:rPr>
                                <w:t>新</w:t>
                              </w:r>
                              <w:r>
                                <w:rPr>
                                  <w:rFonts w:hint="eastAsia" w:cs="宋体"/>
                                  <w:sz w:val="18"/>
                                  <w:szCs w:val="18"/>
                                  <w:lang w:val="en-US" w:eastAsia="zh-CN"/>
                                </w:rPr>
                                <w:t>设备</w:t>
                              </w:r>
                              <w:r>
                                <w:rPr>
                                  <w:rFonts w:hint="eastAsia" w:cs="宋体"/>
                                  <w:sz w:val="18"/>
                                  <w:szCs w:val="18"/>
                                </w:rPr>
                                <w:t>起吊</w:t>
                              </w:r>
                            </w:p>
                            <w:p w14:paraId="0AD57D8D"/>
                          </w:txbxContent>
                        </wps:txbx>
                        <wps:bodyPr upright="1"/>
                      </wps:wsp>
                      <wps:wsp>
                        <wps:cNvPr id="51" name="自选图形 127"/>
                        <wps:cNvSpPr/>
                        <wps:spPr>
                          <a:xfrm>
                            <a:off x="1846" y="4565"/>
                            <a:ext cx="1620" cy="468"/>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77A2CADD">
                              <w:pPr>
                                <w:jc w:val="center"/>
                                <w:rPr>
                                  <w:rFonts w:cs="宋体"/>
                                  <w:sz w:val="18"/>
                                  <w:szCs w:val="18"/>
                                </w:rPr>
                              </w:pPr>
                              <w:r>
                                <w:rPr>
                                  <w:rFonts w:hint="eastAsia" w:cs="宋体"/>
                                  <w:sz w:val="18"/>
                                  <w:szCs w:val="18"/>
                                  <w:lang w:val="en-US" w:eastAsia="zh-CN"/>
                                </w:rPr>
                                <w:t>焊接</w:t>
                              </w:r>
                              <w:r>
                                <w:rPr>
                                  <w:rFonts w:hint="eastAsia" w:cs="宋体"/>
                                  <w:sz w:val="18"/>
                                  <w:szCs w:val="18"/>
                                </w:rPr>
                                <w:t>连接管道</w:t>
                              </w:r>
                            </w:p>
                          </w:txbxContent>
                        </wps:txbx>
                        <wps:bodyPr upright="1"/>
                      </wps:wsp>
                      <wps:wsp>
                        <wps:cNvPr id="52" name="自选图形 128"/>
                        <wps:cNvSpPr/>
                        <wps:spPr>
                          <a:xfrm>
                            <a:off x="1846" y="3536"/>
                            <a:ext cx="1620" cy="468"/>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498F7389">
                              <w:pPr>
                                <w:jc w:val="center"/>
                              </w:pPr>
                              <w:r>
                                <w:rPr>
                                  <w:rFonts w:hint="eastAsia"/>
                                </w:rPr>
                                <w:t>旧</w:t>
                              </w:r>
                              <w:r>
                                <w:rPr>
                                  <w:rFonts w:hint="eastAsia"/>
                                  <w:lang w:val="en-US" w:eastAsia="zh-CN"/>
                                </w:rPr>
                                <w:t>设备割除</w:t>
                              </w:r>
                            </w:p>
                          </w:txbxContent>
                        </wps:txbx>
                        <wps:bodyPr upright="1"/>
                      </wps:wsp>
                      <wps:wsp>
                        <wps:cNvPr id="53" name="直线 129"/>
                        <wps:cNvCnPr/>
                        <wps:spPr>
                          <a:xfrm>
                            <a:off x="5995" y="4815"/>
                            <a:ext cx="900" cy="1"/>
                          </a:xfrm>
                          <a:prstGeom prst="line">
                            <a:avLst/>
                          </a:prstGeom>
                          <a:ln w="9525" cap="flat" cmpd="sng">
                            <a:solidFill>
                              <a:srgbClr val="000000"/>
                            </a:solidFill>
                            <a:prstDash val="solid"/>
                            <a:headEnd type="none" w="med" len="med"/>
                            <a:tailEnd type="triangle" w="med" len="med"/>
                          </a:ln>
                        </wps:spPr>
                        <wps:bodyPr/>
                      </wps:wsp>
                      <wps:wsp>
                        <wps:cNvPr id="54" name="自选图形 130"/>
                        <wps:cNvSpPr/>
                        <wps:spPr>
                          <a:xfrm>
                            <a:off x="1846" y="2444"/>
                            <a:ext cx="1620" cy="468"/>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604C574">
                              <w:pPr>
                                <w:jc w:val="center"/>
                                <w:rPr>
                                  <w:sz w:val="18"/>
                                  <w:szCs w:val="18"/>
                                </w:rPr>
                              </w:pPr>
                              <w:r>
                                <w:rPr>
                                  <w:rFonts w:hint="eastAsia" w:cs="宋体"/>
                                  <w:sz w:val="18"/>
                                  <w:szCs w:val="18"/>
                                </w:rPr>
                                <w:t>吊装方案的确定</w:t>
                              </w:r>
                            </w:p>
                          </w:txbxContent>
                        </wps:txbx>
                        <wps:bodyPr upright="1"/>
                      </wps:wsp>
                      <wps:wsp>
                        <wps:cNvPr id="55" name="直线 131"/>
                        <wps:cNvCnPr/>
                        <wps:spPr>
                          <a:xfrm>
                            <a:off x="1533" y="4815"/>
                            <a:ext cx="360" cy="1"/>
                          </a:xfrm>
                          <a:prstGeom prst="line">
                            <a:avLst/>
                          </a:prstGeom>
                          <a:ln w="9525" cap="flat" cmpd="sng">
                            <a:solidFill>
                              <a:srgbClr val="000000"/>
                            </a:solidFill>
                            <a:prstDash val="solid"/>
                            <a:headEnd type="none" w="med" len="med"/>
                            <a:tailEnd type="triangle" w="med" len="med"/>
                          </a:ln>
                        </wps:spPr>
                        <wps:bodyPr/>
                      </wps:wsp>
                      <wps:wsp>
                        <wps:cNvPr id="56" name="自选图形 132"/>
                        <wps:cNvSpPr/>
                        <wps:spPr>
                          <a:xfrm>
                            <a:off x="4366" y="2444"/>
                            <a:ext cx="1620" cy="468"/>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B33F6E6">
                              <w:pPr>
                                <w:jc w:val="center"/>
                                <w:rPr>
                                  <w:sz w:val="18"/>
                                  <w:szCs w:val="18"/>
                                </w:rPr>
                              </w:pPr>
                              <w:r>
                                <w:rPr>
                                  <w:rFonts w:hint="eastAsia" w:cs="宋体"/>
                                  <w:sz w:val="18"/>
                                  <w:szCs w:val="18"/>
                                </w:rPr>
                                <w:t>起重机设备配置</w:t>
                              </w:r>
                            </w:p>
                          </w:txbxContent>
                        </wps:txbx>
                        <wps:bodyPr upright="1"/>
                      </wps:wsp>
                      <wps:wsp>
                        <wps:cNvPr id="57" name="直线 133"/>
                        <wps:cNvCnPr/>
                        <wps:spPr>
                          <a:xfrm>
                            <a:off x="3475" y="4828"/>
                            <a:ext cx="900" cy="1"/>
                          </a:xfrm>
                          <a:prstGeom prst="line">
                            <a:avLst/>
                          </a:prstGeom>
                          <a:ln w="9525" cap="flat" cmpd="sng">
                            <a:solidFill>
                              <a:srgbClr val="000000"/>
                            </a:solidFill>
                            <a:prstDash val="solid"/>
                            <a:headEnd type="none" w="med" len="med"/>
                            <a:tailEnd type="triangle" w="med" len="med"/>
                          </a:ln>
                        </wps:spPr>
                        <wps:bodyPr/>
                      </wps:wsp>
                      <wps:wsp>
                        <wps:cNvPr id="58" name="自选图形 134"/>
                        <wps:cNvSpPr/>
                        <wps:spPr>
                          <a:xfrm>
                            <a:off x="6886" y="2444"/>
                            <a:ext cx="1620" cy="468"/>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ECDABA1">
                              <w:pPr>
                                <w:jc w:val="center"/>
                                <w:rPr>
                                  <w:sz w:val="18"/>
                                  <w:szCs w:val="18"/>
                                </w:rPr>
                              </w:pPr>
                              <w:r>
                                <w:rPr>
                                  <w:rFonts w:hint="eastAsia" w:cs="宋体"/>
                                  <w:sz w:val="18"/>
                                  <w:szCs w:val="18"/>
                                </w:rPr>
                                <w:t>现场布局定位</w:t>
                              </w:r>
                            </w:p>
                          </w:txbxContent>
                        </wps:txbx>
                        <wps:bodyPr upright="1"/>
                      </wps:wsp>
                      <wps:wsp>
                        <wps:cNvPr id="59" name="自选图形 135"/>
                        <wps:cNvSpPr/>
                        <wps:spPr>
                          <a:xfrm>
                            <a:off x="9406" y="2444"/>
                            <a:ext cx="1620" cy="468"/>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30B0F37A">
                              <w:pPr>
                                <w:jc w:val="center"/>
                                <w:rPr>
                                  <w:sz w:val="18"/>
                                  <w:szCs w:val="18"/>
                                </w:rPr>
                              </w:pPr>
                              <w:r>
                                <w:rPr>
                                  <w:rFonts w:hint="eastAsia" w:cs="宋体"/>
                                  <w:sz w:val="18"/>
                                  <w:szCs w:val="18"/>
                                </w:rPr>
                                <w:t>试吊、全面检查</w:t>
                              </w:r>
                            </w:p>
                          </w:txbxContent>
                        </wps:txbx>
                        <wps:bodyPr upright="1"/>
                      </wps:wsp>
                      <wps:wsp>
                        <wps:cNvPr id="60" name="直线 136"/>
                        <wps:cNvCnPr/>
                        <wps:spPr>
                          <a:xfrm>
                            <a:off x="3466" y="2690"/>
                            <a:ext cx="900" cy="1"/>
                          </a:xfrm>
                          <a:prstGeom prst="line">
                            <a:avLst/>
                          </a:prstGeom>
                          <a:ln w="9525" cap="flat" cmpd="sng">
                            <a:solidFill>
                              <a:srgbClr val="000000"/>
                            </a:solidFill>
                            <a:prstDash val="solid"/>
                            <a:headEnd type="none" w="med" len="med"/>
                            <a:tailEnd type="triangle" w="med" len="med"/>
                          </a:ln>
                        </wps:spPr>
                        <wps:bodyPr/>
                      </wps:wsp>
                      <wps:wsp>
                        <wps:cNvPr id="61" name="直线 137"/>
                        <wps:cNvCnPr/>
                        <wps:spPr>
                          <a:xfrm>
                            <a:off x="5986" y="2675"/>
                            <a:ext cx="900" cy="1"/>
                          </a:xfrm>
                          <a:prstGeom prst="line">
                            <a:avLst/>
                          </a:prstGeom>
                          <a:ln w="9525" cap="flat" cmpd="sng">
                            <a:solidFill>
                              <a:srgbClr val="000000"/>
                            </a:solidFill>
                            <a:prstDash val="solid"/>
                            <a:headEnd type="none" w="med" len="med"/>
                            <a:tailEnd type="triangle" w="med" len="med"/>
                          </a:ln>
                        </wps:spPr>
                        <wps:bodyPr/>
                      </wps:wsp>
                      <wps:wsp>
                        <wps:cNvPr id="62" name="直线 138"/>
                        <wps:cNvCnPr/>
                        <wps:spPr>
                          <a:xfrm>
                            <a:off x="8506" y="2675"/>
                            <a:ext cx="900" cy="1"/>
                          </a:xfrm>
                          <a:prstGeom prst="line">
                            <a:avLst/>
                          </a:prstGeom>
                          <a:ln w="9525" cap="flat" cmpd="sng">
                            <a:solidFill>
                              <a:srgbClr val="000000"/>
                            </a:solidFill>
                            <a:prstDash val="solid"/>
                            <a:headEnd type="none" w="med" len="med"/>
                            <a:tailEnd type="triangle" w="med" len="med"/>
                          </a:ln>
                        </wps:spPr>
                        <wps:bodyPr/>
                      </wps:wsp>
                      <wps:wsp>
                        <wps:cNvPr id="63" name="直线 139"/>
                        <wps:cNvCnPr/>
                        <wps:spPr>
                          <a:xfrm>
                            <a:off x="11026" y="2660"/>
                            <a:ext cx="360" cy="1"/>
                          </a:xfrm>
                          <a:prstGeom prst="line">
                            <a:avLst/>
                          </a:prstGeom>
                          <a:ln w="9525" cap="flat" cmpd="sng">
                            <a:solidFill>
                              <a:srgbClr val="000000"/>
                            </a:solidFill>
                            <a:prstDash val="solid"/>
                            <a:headEnd type="none" w="med" len="med"/>
                            <a:tailEnd type="none" w="med" len="med"/>
                          </a:ln>
                        </wps:spPr>
                        <wps:bodyPr/>
                      </wps:wsp>
                      <wps:wsp>
                        <wps:cNvPr id="64" name="直线 140"/>
                        <wps:cNvCnPr/>
                        <wps:spPr>
                          <a:xfrm>
                            <a:off x="11386" y="2660"/>
                            <a:ext cx="1" cy="468"/>
                          </a:xfrm>
                          <a:prstGeom prst="line">
                            <a:avLst/>
                          </a:prstGeom>
                          <a:ln w="9525" cap="flat" cmpd="sng">
                            <a:solidFill>
                              <a:srgbClr val="000000"/>
                            </a:solidFill>
                            <a:prstDash val="solid"/>
                            <a:headEnd type="none" w="med" len="med"/>
                            <a:tailEnd type="none" w="med" len="med"/>
                          </a:ln>
                        </wps:spPr>
                        <wps:bodyPr/>
                      </wps:wsp>
                      <wps:wsp>
                        <wps:cNvPr id="65" name="自选图形 141"/>
                        <wps:cNvSpPr/>
                        <wps:spPr>
                          <a:xfrm>
                            <a:off x="4376" y="4565"/>
                            <a:ext cx="1620" cy="468"/>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3C103CC4">
                              <w:pPr>
                                <w:jc w:val="both"/>
                                <w:rPr>
                                  <w:rFonts w:hint="default" w:eastAsia="宋体"/>
                                  <w:sz w:val="18"/>
                                  <w:szCs w:val="18"/>
                                  <w:lang w:val="en-US" w:eastAsia="zh-CN"/>
                                </w:rPr>
                              </w:pPr>
                              <w:r>
                                <w:rPr>
                                  <w:rFonts w:hint="eastAsia"/>
                                  <w:sz w:val="18"/>
                                  <w:szCs w:val="18"/>
                                  <w:lang w:val="en-US" w:eastAsia="zh-CN"/>
                                </w:rPr>
                                <w:t>焊缝渗透检查</w:t>
                              </w:r>
                            </w:p>
                          </w:txbxContent>
                        </wps:txbx>
                        <wps:bodyPr upright="1"/>
                      </wps:wsp>
                      <wps:wsp>
                        <wps:cNvPr id="66" name="自选图形 142"/>
                        <wps:cNvSpPr/>
                        <wps:spPr>
                          <a:xfrm>
                            <a:off x="6886" y="4565"/>
                            <a:ext cx="1620" cy="468"/>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3B6005FD">
                              <w:pPr>
                                <w:jc w:val="center"/>
                                <w:rPr>
                                  <w:sz w:val="18"/>
                                  <w:szCs w:val="18"/>
                                </w:rPr>
                              </w:pPr>
                              <w:r>
                                <w:rPr>
                                  <w:rFonts w:hint="eastAsia"/>
                                  <w:sz w:val="18"/>
                                  <w:szCs w:val="18"/>
                                </w:rPr>
                                <w:t>恢复</w:t>
                              </w:r>
                              <w:r>
                                <w:rPr>
                                  <w:rFonts w:hint="eastAsia"/>
                                  <w:sz w:val="18"/>
                                  <w:szCs w:val="18"/>
                                  <w:lang w:val="en-US" w:eastAsia="zh-CN"/>
                                </w:rPr>
                                <w:t>内</w:t>
                              </w:r>
                              <w:r>
                                <w:rPr>
                                  <w:rFonts w:hint="eastAsia"/>
                                  <w:sz w:val="18"/>
                                  <w:szCs w:val="18"/>
                                </w:rPr>
                                <w:t>保温</w:t>
                              </w:r>
                            </w:p>
                          </w:txbxContent>
                        </wps:txbx>
                        <wps:bodyPr upright="1"/>
                      </wps:wsp>
                    </wpg:wgp>
                  </a:graphicData>
                </a:graphic>
              </wp:anchor>
            </w:drawing>
          </mc:Choice>
          <mc:Fallback>
            <w:pict>
              <v:group id="组合 113" o:spid="_x0000_s1026" o:spt="203" style="position:absolute;left:0pt;margin-left:-8.35pt;margin-top:23.05pt;height:129.45pt;width:495.05pt;z-index:251665408;mso-width-relative:page;mso-height-relative:page;" coordorigin="1486,2444" coordsize="9901,2589" o:gfxdata="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">
                <o:lock v:ext="edit" aspectratio="f"/>
                <v:line id="直线 114" o:spid="_x0000_s1026" o:spt="20" style="position:absolute;left:11026;top:3700;height:1;width:360;" filled="f" stroked="t" coordsize="21600,21600" o:gfxdata="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L/gM6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roundrect id="自选图形 115" o:spid="_x0000_s1026" o:spt="2" style="position:absolute;left:4366;top:3548;height:468;width:1620;" fillcolor="#FFFFFF" filled="t" stroked="t" coordsize="21600,21600" arcsize="0.166666666666667" o:gfxdata="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7NCY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textbox>
                    <w:txbxContent>
                      <w:p w14:paraId="5BF8C58C">
                        <w:pPr>
                          <w:rPr>
                            <w:rFonts w:hint="default" w:eastAsia="宋体"/>
                            <w:lang w:val="en-US" w:eastAsia="zh-CN"/>
                          </w:rPr>
                        </w:pPr>
                        <w:r>
                          <w:rPr>
                            <w:rFonts w:hint="eastAsia"/>
                          </w:rPr>
                          <w:t>旧</w:t>
                        </w:r>
                        <w:r>
                          <w:rPr>
                            <w:rFonts w:hint="eastAsia"/>
                            <w:lang w:val="en-US" w:eastAsia="zh-CN"/>
                          </w:rPr>
                          <w:t>设备吊装</w:t>
                        </w:r>
                      </w:p>
                    </w:txbxContent>
                  </v:textbox>
                </v:roundrect>
                <v:line id="直线 116" o:spid="_x0000_s1026" o:spt="20" style="position:absolute;left:1486;top:3756;height:1;width:360;" filled="f" stroked="t" coordsize="21600,21600" o:gfxdata="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hrTt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直线 117" o:spid="_x0000_s1026" o:spt="20" style="position:absolute;left:11386;top:3700;height:548;width:1;" filled="f" stroked="t" coordsize="21600,21600" o:gfxdata="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w1ou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线 118" o:spid="_x0000_s1026" o:spt="20" style="position:absolute;left:1486;top:3128;height:1;width:9900;" filled="f" stroked="t" coordsize="21600,21600" o:gfxdata="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EcRZ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线 119" o:spid="_x0000_s1026" o:spt="20" style="position:absolute;left:1486;top:3128;height:624;width:1;" filled="f" stroked="t" coordsize="21600,21600" o:gfxdata="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F1hw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线 120" o:spid="_x0000_s1026" o:spt="20" style="position:absolute;left:8506;top:3767;height:1;width:900;" filled="f" stroked="t" coordsize="21600,21600" o:gfxdata="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SHVt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121" o:spid="_x0000_s1026" o:spt="20" style="position:absolute;left:1486;top:4248;height:548;width:1;" filled="f" stroked="t" coordsize="21600,21600" o:gfxdata="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T4XC2/&#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线 122" o:spid="_x0000_s1026" o:spt="20" style="position:absolute;left:5986;top:3767;height:1;width:900;" filled="f" stroked="t" coordsize="21600,21600" o:gfxdata="UEsDBAoAAAAAAIdO4kAAAAAAAAAAAAAAAAAEAAAAZHJzL1BLAwQUAAAACACHTuJAmr/uWb8AAADb&#10;AAAADwAAAGRycy9kb3ducmV2LnhtbEWPT2vCQBTE74LfYXmCN92kFA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q/7lm/&#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123" o:spid="_x0000_s1026" o:spt="20" style="position:absolute;left:1486;top:4248;height:1;width:9900;" filled="f" stroked="t" coordsize="21600,21600" o:gfxdata="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tmZ8G/&#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线 124" o:spid="_x0000_s1026" o:spt="20" style="position:absolute;left:3466;top:3767;height:1;width:900;" filled="f" stroked="t" coordsize="21600,21600" o:gfxdata="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Gzfs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oundrect id="自选图形 125" o:spid="_x0000_s1026" o:spt="2" style="position:absolute;left:9406;top:3548;height:468;width:1620;" fillcolor="#FFFFFF" filled="t" stroked="t" coordsize="21600,21600" arcsize="0.166666666666667" o:gfxdata="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6qPl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textbox>
                    <w:txbxContent>
                      <w:p w14:paraId="198617EA">
                        <w:pPr>
                          <w:jc w:val="center"/>
                          <w:rPr>
                            <w:rFonts w:hint="default" w:eastAsia="宋体"/>
                            <w:lang w:val="en-US" w:eastAsia="zh-CN"/>
                          </w:rPr>
                        </w:pPr>
                        <w:r>
                          <w:rPr>
                            <w:rFonts w:hint="eastAsia" w:cs="宋体"/>
                            <w:spacing w:val="-16"/>
                            <w:sz w:val="18"/>
                            <w:szCs w:val="18"/>
                          </w:rPr>
                          <w:t>新</w:t>
                        </w:r>
                        <w:r>
                          <w:rPr>
                            <w:rFonts w:hint="eastAsia" w:cs="宋体"/>
                            <w:spacing w:val="-16"/>
                            <w:sz w:val="18"/>
                            <w:szCs w:val="18"/>
                            <w:lang w:val="en-US" w:eastAsia="zh-CN"/>
                          </w:rPr>
                          <w:t>设备管道 对口</w:t>
                        </w:r>
                      </w:p>
                      <w:p w14:paraId="6C1A225F"/>
                    </w:txbxContent>
                  </v:textbox>
                </v:roundrect>
                <v:roundrect id="自选图形 126" o:spid="_x0000_s1026" o:spt="2" style="position:absolute;left:6886;top:3536;height:468;width:1620;" fillcolor="#FFFFFF" filled="t" stroked="t" coordsize="21600,21600" arcsize="0.166666666666667" o:gfxdata="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CZyl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textbox>
                    <w:txbxContent>
                      <w:p w14:paraId="5D59A41F">
                        <w:pPr>
                          <w:jc w:val="center"/>
                          <w:rPr>
                            <w:sz w:val="18"/>
                            <w:szCs w:val="18"/>
                          </w:rPr>
                        </w:pPr>
                        <w:r>
                          <w:rPr>
                            <w:rFonts w:hint="eastAsia" w:cs="宋体"/>
                            <w:sz w:val="18"/>
                            <w:szCs w:val="18"/>
                          </w:rPr>
                          <w:t>新</w:t>
                        </w:r>
                        <w:r>
                          <w:rPr>
                            <w:rFonts w:hint="eastAsia" w:cs="宋体"/>
                            <w:sz w:val="18"/>
                            <w:szCs w:val="18"/>
                            <w:lang w:val="en-US" w:eastAsia="zh-CN"/>
                          </w:rPr>
                          <w:t>设备</w:t>
                        </w:r>
                        <w:r>
                          <w:rPr>
                            <w:rFonts w:hint="eastAsia" w:cs="宋体"/>
                            <w:sz w:val="18"/>
                            <w:szCs w:val="18"/>
                          </w:rPr>
                          <w:t>起吊</w:t>
                        </w:r>
                      </w:p>
                      <w:p w14:paraId="0AD57D8D"/>
                    </w:txbxContent>
                  </v:textbox>
                </v:roundrect>
                <v:roundrect id="自选图形 127" o:spid="_x0000_s1026" o:spt="2" style="position:absolute;left:1846;top:4565;height:468;width:1620;" fillcolor="#FFFFFF" filled="t" stroked="t" coordsize="21600,21600" arcsize="0.166666666666667" o:gfxdata="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RTk+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textbox>
                    <w:txbxContent>
                      <w:p w14:paraId="77A2CADD">
                        <w:pPr>
                          <w:jc w:val="center"/>
                          <w:rPr>
                            <w:rFonts w:cs="宋体"/>
                            <w:sz w:val="18"/>
                            <w:szCs w:val="18"/>
                          </w:rPr>
                        </w:pPr>
                        <w:r>
                          <w:rPr>
                            <w:rFonts w:hint="eastAsia" w:cs="宋体"/>
                            <w:sz w:val="18"/>
                            <w:szCs w:val="18"/>
                            <w:lang w:val="en-US" w:eastAsia="zh-CN"/>
                          </w:rPr>
                          <w:t>焊接</w:t>
                        </w:r>
                        <w:r>
                          <w:rPr>
                            <w:rFonts w:hint="eastAsia" w:cs="宋体"/>
                            <w:sz w:val="18"/>
                            <w:szCs w:val="18"/>
                          </w:rPr>
                          <w:t>连接管道</w:t>
                        </w:r>
                      </w:p>
                    </w:txbxContent>
                  </v:textbox>
                </v:roundrect>
                <v:roundrect id="自选图形 128" o:spid="_x0000_s1026" o:spt="2" style="position:absolute;left:1846;top:3536;height:468;width:1620;" fillcolor="#FFFFFF" filled="t" stroked="t" coordsize="21600,21600" arcsize="0.166666666666667" o:gfxdata="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l6dJ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textbox>
                    <w:txbxContent>
                      <w:p w14:paraId="498F7389">
                        <w:pPr>
                          <w:jc w:val="center"/>
                        </w:pPr>
                        <w:r>
                          <w:rPr>
                            <w:rFonts w:hint="eastAsia"/>
                          </w:rPr>
                          <w:t>旧</w:t>
                        </w:r>
                        <w:r>
                          <w:rPr>
                            <w:rFonts w:hint="eastAsia"/>
                            <w:lang w:val="en-US" w:eastAsia="zh-CN"/>
                          </w:rPr>
                          <w:t>设备割除</w:t>
                        </w:r>
                      </w:p>
                    </w:txbxContent>
                  </v:textbox>
                </v:roundrect>
                <v:line id="直线 129" o:spid="_x0000_s1026" o:spt="20" style="position:absolute;left:5995;top:4815;height:1;width:900;" filled="f" stroked="t" coordsize="21600,21600" o:gfxdata="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8R2xy/&#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oundrect id="自选图形 130" o:spid="_x0000_s1026" o:spt="2" style="position:absolute;left:1846;top:2444;height:468;width:1620;" fillcolor="#FFFFFF" filled="t" stroked="t" coordsize="21600,21600" arcsize="0.166666666666667" o:gfxdata="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oymqa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w:txbxContent>
                      <w:p w14:paraId="2604C574">
                        <w:pPr>
                          <w:jc w:val="center"/>
                          <w:rPr>
                            <w:sz w:val="18"/>
                            <w:szCs w:val="18"/>
                          </w:rPr>
                        </w:pPr>
                        <w:r>
                          <w:rPr>
                            <w:rFonts w:hint="eastAsia" w:cs="宋体"/>
                            <w:sz w:val="18"/>
                            <w:szCs w:val="18"/>
                          </w:rPr>
                          <w:t>吊装方案的确定</w:t>
                        </w:r>
                      </w:p>
                    </w:txbxContent>
                  </v:textbox>
                </v:roundrect>
                <v:line id="直线 131" o:spid="_x0000_s1026" o:spt="20" style="position:absolute;left:1533;top:4815;height:1;width:360;" filled="f" stroked="t" coordsize="21600,21600" o:gfxdata="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7Tm8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oundrect id="自选图形 132" o:spid="_x0000_s1026" o:spt="2" style="position:absolute;left:4366;top:2444;height:468;width:1620;" fillcolor="#FFFFFF" filled="t" stroked="t" coordsize="21600,21600" arcsize="0.166666666666667" o:gfxdata="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WsoUq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w:txbxContent>
                      <w:p w14:paraId="0B33F6E6">
                        <w:pPr>
                          <w:jc w:val="center"/>
                          <w:rPr>
                            <w:sz w:val="18"/>
                            <w:szCs w:val="18"/>
                          </w:rPr>
                        </w:pPr>
                        <w:r>
                          <w:rPr>
                            <w:rFonts w:hint="eastAsia" w:cs="宋体"/>
                            <w:sz w:val="18"/>
                            <w:szCs w:val="18"/>
                          </w:rPr>
                          <w:t>起重机设备配置</w:t>
                        </w:r>
                      </w:p>
                    </w:txbxContent>
                  </v:textbox>
                </v:roundrect>
                <v:line id="直线 133" o:spid="_x0000_s1026" o:spt="20" style="position:absolute;left:3475;top:4828;height:1;width:900;" filled="f" stroked="t" coordsize="21600,21600" o:gfxdata="UEsDBAoAAAAAAIdO4kAAAAAAAAAAAAAAAAAEAAAAZHJzL1BLAwQUAAAACACHTuJAcCrdH78AAADb&#10;AAAADwAAAGRycy9kb3ducmV2LnhtbEWPT2vCQBTE7wW/w/KE3uomQmuI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Aq3R+/&#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oundrect id="自选图形 134" o:spid="_x0000_s1026" o:spt="2" style="position:absolute;left:6886;top:2444;height:468;width:1620;" fillcolor="#FFFFFF" filled="t" stroked="t" coordsize="21600,21600" arcsize="0.166666666666667" o:gfxdata="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f5Cj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textbox>
                    <w:txbxContent>
                      <w:p w14:paraId="0ECDABA1">
                        <w:pPr>
                          <w:jc w:val="center"/>
                          <w:rPr>
                            <w:sz w:val="18"/>
                            <w:szCs w:val="18"/>
                          </w:rPr>
                        </w:pPr>
                        <w:r>
                          <w:rPr>
                            <w:rFonts w:hint="eastAsia" w:cs="宋体"/>
                            <w:sz w:val="18"/>
                            <w:szCs w:val="18"/>
                          </w:rPr>
                          <w:t>现场布局定位</w:t>
                        </w:r>
                      </w:p>
                    </w:txbxContent>
                  </v:textbox>
                </v:roundrect>
                <v:roundrect id="自选图形 135" o:spid="_x0000_s1026" o:spt="2" style="position:absolute;left:9406;top:2444;height:468;width:1620;" fillcolor="#FFFFFF" filled="t" stroked="t" coordsize="21600,21600" arcsize="0.166666666666667" o:gfxdata="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QzNTi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w:txbxContent>
                      <w:p w14:paraId="30B0F37A">
                        <w:pPr>
                          <w:jc w:val="center"/>
                          <w:rPr>
                            <w:sz w:val="18"/>
                            <w:szCs w:val="18"/>
                          </w:rPr>
                        </w:pPr>
                        <w:r>
                          <w:rPr>
                            <w:rFonts w:hint="eastAsia" w:cs="宋体"/>
                            <w:sz w:val="18"/>
                            <w:szCs w:val="18"/>
                          </w:rPr>
                          <w:t>试吊、全面检查</w:t>
                        </w:r>
                      </w:p>
                    </w:txbxContent>
                  </v:textbox>
                </v:roundrect>
                <v:line id="直线 136" o:spid="_x0000_s1026" o:spt="20" style="position:absolute;left:3466;top:2690;height:1;width:900;" filled="f" stroked="t" coordsize="21600,21600" o:gfxdata="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a+P1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直线 137" o:spid="_x0000_s1026" o:spt="20" style="position:absolute;left:5986;top:2675;height:1;width:900;" filled="f" stroked="t" coordsize="21600,21600" o:gfxdata="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4ypN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直线 138" o:spid="_x0000_s1026" o:spt="20" style="position:absolute;left:8506;top:2675;height:1;width:900;" filled="f" stroked="t" coordsize="21600,21600" o:gfxdata="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jG0O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139" o:spid="_x0000_s1026" o:spt="20" style="position:absolute;left:11026;top:2660;height:1;width:360;" filled="f" stroked="t" coordsize="21600,21600" o:gfxdata="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6D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线 140" o:spid="_x0000_s1026" o:spt="20" style="position:absolute;left:11386;top:2660;height:468;width:1;" filled="f" stroked="t" coordsize="21600,21600" o:gfxdata="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ABpda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roundrect id="自选图形 141" o:spid="_x0000_s1026" o:spt="2" style="position:absolute;left:4376;top:4565;height:468;width:1620;" fillcolor="#FFFFFF" filled="t" stroked="t" coordsize="21600,21600" arcsize="0.166666666666667" o:gfxdata="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sS9YC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w:txbxContent>
                      <w:p w14:paraId="3C103CC4">
                        <w:pPr>
                          <w:jc w:val="both"/>
                          <w:rPr>
                            <w:rFonts w:hint="default" w:eastAsia="宋体"/>
                            <w:sz w:val="18"/>
                            <w:szCs w:val="18"/>
                            <w:lang w:val="en-US" w:eastAsia="zh-CN"/>
                          </w:rPr>
                        </w:pPr>
                        <w:r>
                          <w:rPr>
                            <w:rFonts w:hint="eastAsia"/>
                            <w:sz w:val="18"/>
                            <w:szCs w:val="18"/>
                            <w:lang w:val="en-US" w:eastAsia="zh-CN"/>
                          </w:rPr>
                          <w:t>焊缝渗透检查</w:t>
                        </w:r>
                      </w:p>
                    </w:txbxContent>
                  </v:textbox>
                </v:roundrect>
                <v:roundrect id="自选图形 142" o:spid="_x0000_s1026" o:spt="2" style="position:absolute;left:6886;top:4565;height:468;width:1620;" fillcolor="#FFFFFF" filled="t" stroked="t" coordsize="21600,21600" arcsize="0.166666666666667" o:gfxdata="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vAa/e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w:txbxContent>
                      <w:p w14:paraId="3B6005FD">
                        <w:pPr>
                          <w:jc w:val="center"/>
                          <w:rPr>
                            <w:sz w:val="18"/>
                            <w:szCs w:val="18"/>
                          </w:rPr>
                        </w:pPr>
                        <w:r>
                          <w:rPr>
                            <w:rFonts w:hint="eastAsia"/>
                            <w:sz w:val="18"/>
                            <w:szCs w:val="18"/>
                          </w:rPr>
                          <w:t>恢复</w:t>
                        </w:r>
                        <w:r>
                          <w:rPr>
                            <w:rFonts w:hint="eastAsia"/>
                            <w:sz w:val="18"/>
                            <w:szCs w:val="18"/>
                            <w:lang w:val="en-US" w:eastAsia="zh-CN"/>
                          </w:rPr>
                          <w:t>内</w:t>
                        </w:r>
                        <w:r>
                          <w:rPr>
                            <w:rFonts w:hint="eastAsia"/>
                            <w:sz w:val="18"/>
                            <w:szCs w:val="18"/>
                          </w:rPr>
                          <w:t>保温</w:t>
                        </w:r>
                      </w:p>
                    </w:txbxContent>
                  </v:textbox>
                </v:roundrect>
              </v:group>
            </w:pict>
          </mc:Fallback>
        </mc:AlternateContent>
      </w:r>
    </w:p>
    <w:p w14:paraId="2C951D00">
      <w:pPr>
        <w:spacing w:line="360" w:lineRule="auto"/>
        <w:rPr>
          <w:rStyle w:val="31"/>
          <w:rFonts w:hint="eastAsia" w:ascii="宋体" w:hAnsi="宋体" w:eastAsia="宋体" w:cs="宋体"/>
          <w:color w:val="auto"/>
          <w:sz w:val="24"/>
          <w:szCs w:val="24"/>
          <w:highlight w:val="none"/>
        </w:rPr>
      </w:pPr>
    </w:p>
    <w:p w14:paraId="112BC6B9">
      <w:pPr>
        <w:pStyle w:val="3"/>
        <w:rPr>
          <w:rFonts w:hint="eastAsia"/>
          <w:color w:val="auto"/>
          <w:highlight w:val="none"/>
        </w:rPr>
      </w:pPr>
    </w:p>
    <w:p w14:paraId="7A16B89C">
      <w:pPr>
        <w:spacing w:line="360" w:lineRule="auto"/>
        <w:rPr>
          <w:rStyle w:val="31"/>
          <w:rFonts w:hint="eastAsia" w:ascii="宋体" w:hAnsi="宋体" w:eastAsia="宋体" w:cs="宋体"/>
          <w:color w:val="auto"/>
          <w:sz w:val="24"/>
          <w:szCs w:val="24"/>
          <w:highlight w:val="none"/>
        </w:rPr>
      </w:pPr>
    </w:p>
    <w:p w14:paraId="59E916E2">
      <w:pPr>
        <w:spacing w:line="360" w:lineRule="auto"/>
        <w:rPr>
          <w:rFonts w:hint="eastAsia" w:ascii="宋体" w:hAnsi="宋体" w:eastAsia="宋体" w:cs="宋体"/>
          <w:color w:val="auto"/>
          <w:sz w:val="24"/>
          <w:szCs w:val="24"/>
          <w:highlight w:val="none"/>
        </w:rPr>
      </w:pPr>
      <w:r>
        <w:rPr>
          <w:rStyle w:val="31"/>
          <w:rFonts w:hint="eastAsia" w:ascii="宋体" w:hAnsi="宋体" w:eastAsia="宋体" w:cs="宋体"/>
          <w:color w:val="auto"/>
          <w:sz w:val="24"/>
          <w:szCs w:val="24"/>
          <w:highlight w:val="none"/>
          <w:lang w:val="en-US" w:eastAsia="zh-CN"/>
        </w:rPr>
        <w:t>5.4.2</w:t>
      </w:r>
      <w:r>
        <w:rPr>
          <w:rFonts w:hint="eastAsia" w:ascii="宋体" w:hAnsi="宋体" w:eastAsia="宋体" w:cs="宋体"/>
          <w:color w:val="auto"/>
          <w:sz w:val="24"/>
          <w:szCs w:val="24"/>
          <w:highlight w:val="none"/>
        </w:rPr>
        <w:t>设备安装前，应对基础进行检查，基础的外形尺寸、坐标位置及预留螺栓孔，应符合设计图样的要求；</w:t>
      </w:r>
    </w:p>
    <w:p w14:paraId="7A6EFC70">
      <w:pPr>
        <w:spacing w:line="360" w:lineRule="auto"/>
        <w:rPr>
          <w:rFonts w:hint="eastAsia" w:ascii="宋体" w:hAnsi="宋体" w:eastAsia="宋体" w:cs="宋体"/>
          <w:color w:val="auto"/>
          <w:sz w:val="24"/>
          <w:szCs w:val="24"/>
          <w:highlight w:val="none"/>
        </w:rPr>
      </w:pPr>
      <w:r>
        <w:rPr>
          <w:rStyle w:val="31"/>
          <w:rFonts w:hint="eastAsia" w:ascii="宋体" w:hAnsi="宋体" w:eastAsia="宋体" w:cs="宋体"/>
          <w:color w:val="auto"/>
          <w:sz w:val="24"/>
          <w:szCs w:val="24"/>
          <w:highlight w:val="none"/>
          <w:lang w:val="en-US" w:eastAsia="zh-CN"/>
        </w:rPr>
        <w:t>5.4.3</w:t>
      </w:r>
      <w:r>
        <w:rPr>
          <w:rFonts w:hint="eastAsia" w:ascii="宋体" w:hAnsi="宋体" w:eastAsia="宋体" w:cs="宋体"/>
          <w:color w:val="auto"/>
          <w:sz w:val="24"/>
          <w:szCs w:val="24"/>
          <w:highlight w:val="none"/>
        </w:rPr>
        <w:t>地脚螺栓的螺纹，应无损坏、锈蚀，且有保护措施；</w:t>
      </w:r>
    </w:p>
    <w:p w14:paraId="53D7CCD3">
      <w:pPr>
        <w:spacing w:line="360" w:lineRule="auto"/>
        <w:rPr>
          <w:rFonts w:hint="eastAsia" w:ascii="宋体" w:hAnsi="宋体" w:eastAsia="宋体" w:cs="宋体"/>
          <w:color w:val="auto"/>
          <w:sz w:val="24"/>
          <w:szCs w:val="24"/>
          <w:highlight w:val="none"/>
        </w:rPr>
      </w:pPr>
      <w:r>
        <w:rPr>
          <w:rStyle w:val="31"/>
          <w:rFonts w:hint="eastAsia" w:ascii="宋体" w:hAnsi="宋体" w:eastAsia="宋体" w:cs="宋体"/>
          <w:color w:val="auto"/>
          <w:sz w:val="24"/>
          <w:szCs w:val="24"/>
          <w:highlight w:val="none"/>
          <w:lang w:val="en-US" w:eastAsia="zh-CN"/>
        </w:rPr>
        <w:t>5.4.4</w:t>
      </w:r>
      <w:r>
        <w:rPr>
          <w:rFonts w:hint="eastAsia" w:ascii="宋体" w:hAnsi="宋体" w:eastAsia="宋体" w:cs="宋体"/>
          <w:color w:val="auto"/>
          <w:sz w:val="24"/>
          <w:szCs w:val="24"/>
          <w:highlight w:val="none"/>
          <w:lang w:eastAsia="zh-CN"/>
        </w:rPr>
        <w:t>设备</w:t>
      </w:r>
      <w:r>
        <w:rPr>
          <w:rFonts w:hint="eastAsia" w:ascii="宋体" w:hAnsi="宋体" w:eastAsia="宋体" w:cs="宋体"/>
          <w:color w:val="auto"/>
          <w:sz w:val="24"/>
          <w:szCs w:val="24"/>
          <w:highlight w:val="none"/>
        </w:rPr>
        <w:t>安装后利用垫铁进行找正，因此在基础验收合格后，在放置垫铁的位置处凿出垫铁窝，其水平度允许偏差为2mm/m。</w:t>
      </w:r>
    </w:p>
    <w:p w14:paraId="66445BD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5.4.5</w:t>
      </w:r>
      <w:r>
        <w:rPr>
          <w:rFonts w:hint="eastAsia" w:ascii="宋体" w:hAnsi="宋体" w:eastAsia="宋体" w:cs="宋体"/>
          <w:color w:val="auto"/>
          <w:sz w:val="24"/>
          <w:szCs w:val="24"/>
          <w:highlight w:val="none"/>
        </w:rPr>
        <w:t>新设备安装前，设备上的油污，泥土等杂物均应清除干净，</w:t>
      </w:r>
    </w:p>
    <w:p w14:paraId="0FAF0D3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5.4.6</w:t>
      </w:r>
      <w:r>
        <w:rPr>
          <w:rFonts w:hint="eastAsia" w:ascii="宋体" w:hAnsi="宋体" w:eastAsia="宋体" w:cs="宋体"/>
          <w:color w:val="auto"/>
          <w:sz w:val="24"/>
          <w:szCs w:val="24"/>
          <w:highlight w:val="none"/>
        </w:rPr>
        <w:t>设备所有开孔的保护塞或盖，在安装前不得拆除；</w:t>
      </w:r>
    </w:p>
    <w:p w14:paraId="2173951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5.4.7</w:t>
      </w:r>
      <w:r>
        <w:rPr>
          <w:rFonts w:hint="eastAsia" w:ascii="宋体" w:hAnsi="宋体" w:eastAsia="宋体" w:cs="宋体"/>
          <w:color w:val="auto"/>
          <w:sz w:val="24"/>
          <w:szCs w:val="24"/>
          <w:highlight w:val="none"/>
        </w:rPr>
        <w:t>按照设计图样和对设备的管口方位、中心线和重心位置，确认无误后方可就位。设备的找正与找平应按基础上的安装基准线（中心标记、水平标记）对应设备上的基准测点进行调整和测量。设备各支承的底面标高应以基础上的标高基准线为基准。</w:t>
      </w:r>
    </w:p>
    <w:p w14:paraId="4FEE81B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5.4.8</w:t>
      </w:r>
      <w:r>
        <w:rPr>
          <w:rFonts w:hint="eastAsia" w:ascii="宋体" w:hAnsi="宋体" w:eastAsia="宋体" w:cs="宋体"/>
          <w:color w:val="auto"/>
          <w:sz w:val="24"/>
          <w:szCs w:val="24"/>
          <w:highlight w:val="none"/>
        </w:rPr>
        <w:t>设备安装前应该核对出厂质量说明书的主要技术数据，并对设备进行复测。检查设备壁上的基准圆周线，应与设备主轴线垂直。</w:t>
      </w:r>
    </w:p>
    <w:p w14:paraId="46B08D2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5.4.9</w:t>
      </w:r>
      <w:r>
        <w:rPr>
          <w:rFonts w:hint="eastAsia" w:ascii="宋体" w:hAnsi="宋体" w:eastAsia="宋体" w:cs="宋体"/>
          <w:color w:val="auto"/>
          <w:sz w:val="24"/>
          <w:szCs w:val="24"/>
          <w:highlight w:val="none"/>
        </w:rPr>
        <w:t>设备安装的允许偏差，应符合下列要求：</w:t>
      </w:r>
    </w:p>
    <w:p w14:paraId="16EC8EEC">
      <w:pPr>
        <w:spacing w:line="360" w:lineRule="auto"/>
        <w:rPr>
          <w:rFonts w:hint="eastAsia" w:ascii="宋体" w:hAnsi="宋体" w:eastAsia="宋体" w:cs="宋体"/>
          <w:color w:val="auto"/>
          <w:sz w:val="24"/>
          <w:szCs w:val="24"/>
          <w:highlight w:val="none"/>
        </w:rPr>
      </w:pPr>
    </w:p>
    <w:tbl>
      <w:tblPr>
        <w:tblStyle w:val="27"/>
        <w:tblW w:w="874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440"/>
        <w:gridCol w:w="3909"/>
        <w:gridCol w:w="3399"/>
      </w:tblGrid>
      <w:tr w14:paraId="3ECA11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4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8DB45F">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检查项目</w:t>
            </w:r>
          </w:p>
        </w:tc>
        <w:tc>
          <w:tcPr>
            <w:tcW w:w="73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4784E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允许偏差（mm）</w:t>
            </w:r>
          </w:p>
        </w:tc>
      </w:tr>
      <w:tr w14:paraId="625BD6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9CBE142">
            <w:pPr>
              <w:jc w:val="center"/>
              <w:rPr>
                <w:rFonts w:hint="eastAsia" w:ascii="宋体" w:hAnsi="宋体" w:eastAsia="宋体" w:cs="宋体"/>
                <w:color w:val="auto"/>
                <w:sz w:val="24"/>
                <w:szCs w:val="24"/>
                <w:highlight w:val="none"/>
              </w:rPr>
            </w:pPr>
          </w:p>
        </w:tc>
        <w:tc>
          <w:tcPr>
            <w:tcW w:w="3909" w:type="dxa"/>
            <w:tcBorders>
              <w:top w:val="single" w:color="auto" w:sz="4" w:space="0"/>
              <w:left w:val="single" w:color="auto" w:sz="4" w:space="0"/>
              <w:bottom w:val="single" w:color="auto" w:sz="4" w:space="0"/>
              <w:right w:val="single" w:color="auto" w:sz="4" w:space="0"/>
            </w:tcBorders>
            <w:shd w:val="clear" w:color="auto" w:fill="auto"/>
            <w:vAlign w:val="center"/>
          </w:tcPr>
          <w:p w14:paraId="1A294284">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立式</w:t>
            </w:r>
          </w:p>
        </w:tc>
        <w:tc>
          <w:tcPr>
            <w:tcW w:w="3399" w:type="dxa"/>
            <w:tcBorders>
              <w:top w:val="single" w:color="auto" w:sz="4" w:space="0"/>
              <w:left w:val="single" w:color="auto" w:sz="4" w:space="0"/>
              <w:bottom w:val="single" w:color="auto" w:sz="4" w:space="0"/>
              <w:right w:val="single" w:color="auto" w:sz="4" w:space="0"/>
            </w:tcBorders>
            <w:shd w:val="clear" w:color="auto" w:fill="auto"/>
            <w:vAlign w:val="center"/>
          </w:tcPr>
          <w:p w14:paraId="5EAE24E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卧式</w:t>
            </w:r>
          </w:p>
        </w:tc>
      </w:tr>
      <w:tr w14:paraId="4ABC40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1" w:hRule="atLeast"/>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0AB9DAA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中心线位置</w:t>
            </w:r>
          </w:p>
        </w:tc>
        <w:tc>
          <w:tcPr>
            <w:tcW w:w="3909" w:type="dxa"/>
            <w:tcBorders>
              <w:top w:val="single" w:color="auto" w:sz="4" w:space="0"/>
              <w:left w:val="single" w:color="auto" w:sz="4" w:space="0"/>
              <w:bottom w:val="single" w:color="auto" w:sz="4" w:space="0"/>
              <w:right w:val="single" w:color="auto" w:sz="4" w:space="0"/>
            </w:tcBorders>
            <w:shd w:val="clear" w:color="auto" w:fill="auto"/>
            <w:vAlign w:val="center"/>
          </w:tcPr>
          <w:p w14:paraId="49EB449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3399" w:type="dxa"/>
            <w:tcBorders>
              <w:top w:val="single" w:color="auto" w:sz="4" w:space="0"/>
              <w:left w:val="single" w:color="auto" w:sz="4" w:space="0"/>
              <w:bottom w:val="single" w:color="auto" w:sz="4" w:space="0"/>
              <w:right w:val="single" w:color="auto" w:sz="4" w:space="0"/>
            </w:tcBorders>
            <w:shd w:val="clear" w:color="auto" w:fill="auto"/>
            <w:vAlign w:val="center"/>
          </w:tcPr>
          <w:p w14:paraId="163CC51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r>
      <w:tr w14:paraId="7EAEB4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292EA382">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标高</w:t>
            </w:r>
          </w:p>
        </w:tc>
        <w:tc>
          <w:tcPr>
            <w:tcW w:w="3909" w:type="dxa"/>
            <w:tcBorders>
              <w:top w:val="single" w:color="auto" w:sz="4" w:space="0"/>
              <w:left w:val="single" w:color="auto" w:sz="4" w:space="0"/>
              <w:bottom w:val="single" w:color="auto" w:sz="4" w:space="0"/>
              <w:right w:val="single" w:color="auto" w:sz="4" w:space="0"/>
            </w:tcBorders>
            <w:shd w:val="clear" w:color="auto" w:fill="auto"/>
            <w:vAlign w:val="center"/>
          </w:tcPr>
          <w:p w14:paraId="32201C4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3399" w:type="dxa"/>
            <w:tcBorders>
              <w:top w:val="single" w:color="auto" w:sz="4" w:space="0"/>
              <w:left w:val="single" w:color="auto" w:sz="4" w:space="0"/>
              <w:bottom w:val="single" w:color="auto" w:sz="4" w:space="0"/>
              <w:right w:val="single" w:color="auto" w:sz="4" w:space="0"/>
            </w:tcBorders>
            <w:shd w:val="clear" w:color="auto" w:fill="auto"/>
            <w:vAlign w:val="center"/>
          </w:tcPr>
          <w:p w14:paraId="1876AE4F">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r>
      <w:tr w14:paraId="5E4D54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68C0148E">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垂直度</w:t>
            </w:r>
          </w:p>
        </w:tc>
        <w:tc>
          <w:tcPr>
            <w:tcW w:w="3909" w:type="dxa"/>
            <w:tcBorders>
              <w:top w:val="single" w:color="auto" w:sz="4" w:space="0"/>
              <w:left w:val="single" w:color="auto" w:sz="4" w:space="0"/>
              <w:bottom w:val="single" w:color="auto" w:sz="4" w:space="0"/>
              <w:right w:val="single" w:color="auto" w:sz="4" w:space="0"/>
            </w:tcBorders>
            <w:shd w:val="clear" w:color="auto" w:fill="auto"/>
            <w:vAlign w:val="center"/>
          </w:tcPr>
          <w:p w14:paraId="43F3602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H/1000</w:t>
            </w:r>
          </w:p>
        </w:tc>
        <w:tc>
          <w:tcPr>
            <w:tcW w:w="3399" w:type="dxa"/>
            <w:tcBorders>
              <w:top w:val="single" w:color="auto" w:sz="4" w:space="0"/>
              <w:left w:val="single" w:color="auto" w:sz="4" w:space="0"/>
              <w:bottom w:val="single" w:color="auto" w:sz="4" w:space="0"/>
              <w:right w:val="single" w:color="auto" w:sz="4" w:space="0"/>
            </w:tcBorders>
            <w:shd w:val="clear" w:color="auto" w:fill="auto"/>
            <w:vAlign w:val="center"/>
          </w:tcPr>
          <w:p w14:paraId="2F50D506">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r>
      <w:tr w14:paraId="45BDFD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1" w:hRule="atLeast"/>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3DF29C9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水平度</w:t>
            </w:r>
          </w:p>
        </w:tc>
        <w:tc>
          <w:tcPr>
            <w:tcW w:w="3909" w:type="dxa"/>
            <w:tcBorders>
              <w:top w:val="single" w:color="auto" w:sz="4" w:space="0"/>
              <w:left w:val="single" w:color="auto" w:sz="4" w:space="0"/>
              <w:bottom w:val="single" w:color="auto" w:sz="4" w:space="0"/>
              <w:right w:val="single" w:color="auto" w:sz="4" w:space="0"/>
            </w:tcBorders>
            <w:shd w:val="clear" w:color="auto" w:fill="auto"/>
            <w:vAlign w:val="center"/>
          </w:tcPr>
          <w:p w14:paraId="10775CA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3399" w:type="dxa"/>
            <w:tcBorders>
              <w:top w:val="single" w:color="auto" w:sz="4" w:space="0"/>
              <w:left w:val="single" w:color="auto" w:sz="4" w:space="0"/>
              <w:bottom w:val="single" w:color="auto" w:sz="4" w:space="0"/>
              <w:right w:val="single" w:color="auto" w:sz="4" w:space="0"/>
            </w:tcBorders>
            <w:shd w:val="clear" w:color="auto" w:fill="auto"/>
            <w:vAlign w:val="center"/>
          </w:tcPr>
          <w:p w14:paraId="298CF36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轴向L/1000；径向2DO/1000</w:t>
            </w:r>
          </w:p>
        </w:tc>
      </w:tr>
      <w:tr w14:paraId="53BB39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6B502D54">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方位</w:t>
            </w:r>
          </w:p>
        </w:tc>
        <w:tc>
          <w:tcPr>
            <w:tcW w:w="3909" w:type="dxa"/>
            <w:tcBorders>
              <w:top w:val="single" w:color="auto" w:sz="4" w:space="0"/>
              <w:left w:val="single" w:color="auto" w:sz="4" w:space="0"/>
              <w:bottom w:val="single" w:color="auto" w:sz="4" w:space="0"/>
              <w:right w:val="single" w:color="auto" w:sz="4" w:space="0"/>
            </w:tcBorders>
            <w:shd w:val="clear" w:color="auto" w:fill="auto"/>
            <w:vAlign w:val="center"/>
          </w:tcPr>
          <w:p w14:paraId="6BBDC1D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±5（沿底座环圆轴测量）</w:t>
            </w:r>
          </w:p>
        </w:tc>
        <w:tc>
          <w:tcPr>
            <w:tcW w:w="3399" w:type="dxa"/>
            <w:tcBorders>
              <w:top w:val="single" w:color="auto" w:sz="4" w:space="0"/>
              <w:left w:val="single" w:color="auto" w:sz="4" w:space="0"/>
              <w:bottom w:val="single" w:color="auto" w:sz="4" w:space="0"/>
              <w:right w:val="single" w:color="auto" w:sz="4" w:space="0"/>
            </w:tcBorders>
            <w:shd w:val="clear" w:color="auto" w:fill="auto"/>
            <w:vAlign w:val="center"/>
          </w:tcPr>
          <w:p w14:paraId="15C292A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r>
    </w:tbl>
    <w:p w14:paraId="471F8439">
      <w:pPr>
        <w:spacing w:line="360" w:lineRule="auto"/>
        <w:rPr>
          <w:rFonts w:hint="eastAsia" w:ascii="宋体" w:hAnsi="宋体" w:eastAsia="宋体" w:cs="宋体"/>
          <w:color w:val="auto"/>
          <w:sz w:val="24"/>
          <w:szCs w:val="24"/>
          <w:highlight w:val="none"/>
        </w:rPr>
      </w:pPr>
    </w:p>
    <w:p w14:paraId="3DE496D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5.4.10</w:t>
      </w:r>
      <w:r>
        <w:rPr>
          <w:rFonts w:hint="eastAsia" w:ascii="宋体" w:hAnsi="宋体" w:eastAsia="宋体" w:cs="宋体"/>
          <w:color w:val="auto"/>
          <w:sz w:val="24"/>
          <w:szCs w:val="24"/>
          <w:highlight w:val="none"/>
        </w:rPr>
        <w:t>管道焊接工艺</w:t>
      </w:r>
    </w:p>
    <w:p w14:paraId="1BDD38A0">
      <w:pPr>
        <w:numPr>
          <w:ilvl w:val="0"/>
          <w:numId w:val="0"/>
        </w:numPr>
        <w:bidi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5.4.10.1旧设备</w:t>
      </w:r>
      <w:r>
        <w:rPr>
          <w:rFonts w:hint="eastAsia" w:ascii="宋体" w:hAnsi="宋体" w:eastAsia="宋体" w:cs="宋体"/>
          <w:color w:val="auto"/>
          <w:sz w:val="24"/>
          <w:szCs w:val="24"/>
          <w:highlight w:val="none"/>
        </w:rPr>
        <w:t>割除后，应首先对管道两端的焊缝进行开设</w:t>
      </w:r>
      <w:r>
        <w:rPr>
          <w:rFonts w:hint="eastAsia" w:ascii="宋体" w:hAnsi="宋体" w:eastAsia="宋体" w:cs="宋体"/>
          <w:color w:val="auto"/>
          <w:sz w:val="24"/>
          <w:szCs w:val="24"/>
          <w:highlight w:val="none"/>
          <w:lang w:val="en-US" w:eastAsia="zh-CN"/>
        </w:rPr>
        <w:t>V型</w:t>
      </w:r>
      <w:r>
        <w:rPr>
          <w:rFonts w:hint="eastAsia" w:ascii="宋体" w:hAnsi="宋体" w:eastAsia="宋体" w:cs="宋体"/>
          <w:color w:val="auto"/>
          <w:sz w:val="24"/>
          <w:szCs w:val="24"/>
          <w:highlight w:val="none"/>
        </w:rPr>
        <w:t>坡口并进行打磨，考虑到现场管道内的施工难度，因此开设单面55度-60度的外坡口，采用手工焊或二氧化碳气体保护焊的焊接方法进行焊接。具体的焊接形式详见焊接工艺规程。</w:t>
      </w:r>
    </w:p>
    <w:p w14:paraId="46C7559A">
      <w:pPr>
        <w:numPr>
          <w:ilvl w:val="0"/>
          <w:numId w:val="0"/>
        </w:numPr>
        <w:bidi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5.4.10.2</w:t>
      </w:r>
      <w:r>
        <w:rPr>
          <w:rFonts w:hint="eastAsia" w:ascii="宋体" w:hAnsi="宋体" w:eastAsia="宋体" w:cs="宋体"/>
          <w:color w:val="auto"/>
          <w:sz w:val="24"/>
          <w:szCs w:val="24"/>
          <w:highlight w:val="none"/>
        </w:rPr>
        <w:t>新</w:t>
      </w:r>
      <w:r>
        <w:rPr>
          <w:rFonts w:hint="eastAsia" w:ascii="宋体" w:hAnsi="宋体" w:eastAsia="宋体" w:cs="宋体"/>
          <w:color w:val="auto"/>
          <w:sz w:val="24"/>
          <w:szCs w:val="24"/>
          <w:highlight w:val="none"/>
          <w:lang w:val="en-US" w:eastAsia="zh-CN"/>
        </w:rPr>
        <w:t>设备</w:t>
      </w:r>
      <w:r>
        <w:rPr>
          <w:rFonts w:hint="eastAsia" w:ascii="宋体" w:hAnsi="宋体" w:eastAsia="宋体" w:cs="宋体"/>
          <w:color w:val="auto"/>
          <w:sz w:val="24"/>
          <w:szCs w:val="24"/>
          <w:highlight w:val="none"/>
        </w:rPr>
        <w:t>两端焊缝在组对时，不得强力组对，也不得在原管道及膨胀节上直接敲打，以防止造成设备的损坏及结构的脱落。</w:t>
      </w:r>
    </w:p>
    <w:p w14:paraId="6D0DFF36">
      <w:pPr>
        <w:numPr>
          <w:ilvl w:val="0"/>
          <w:numId w:val="0"/>
        </w:numPr>
        <w:bidi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5.4.10.3</w:t>
      </w:r>
      <w:r>
        <w:rPr>
          <w:rFonts w:hint="eastAsia" w:ascii="宋体" w:hAnsi="宋体" w:eastAsia="宋体" w:cs="宋体"/>
          <w:color w:val="auto"/>
          <w:sz w:val="24"/>
          <w:szCs w:val="24"/>
          <w:highlight w:val="none"/>
        </w:rPr>
        <w:t>管道焊缝组对前，应将管道焊缝两侧的油污、铁锈等杂物清理干净，且表面不得有裂纹、夹层层缺陷。</w:t>
      </w:r>
    </w:p>
    <w:p w14:paraId="28E4FA6C">
      <w:pPr>
        <w:numPr>
          <w:ilvl w:val="0"/>
          <w:numId w:val="0"/>
        </w:numPr>
        <w:bidi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5.4.10.4</w:t>
      </w:r>
      <w:r>
        <w:rPr>
          <w:rFonts w:hint="eastAsia" w:ascii="宋体" w:hAnsi="宋体" w:eastAsia="宋体" w:cs="宋体"/>
          <w:color w:val="auto"/>
          <w:sz w:val="24"/>
          <w:szCs w:val="24"/>
          <w:highlight w:val="none"/>
        </w:rPr>
        <w:t>焊缝组对时，管道内壁错变量必须符合规范要求，内壁错边量不得超过壁厚的10%且不得大于2mm。</w:t>
      </w:r>
    </w:p>
    <w:p w14:paraId="57611CEF">
      <w:pPr>
        <w:numPr>
          <w:ilvl w:val="0"/>
          <w:numId w:val="0"/>
        </w:numPr>
        <w:bidi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5.4.10.5</w:t>
      </w:r>
      <w:r>
        <w:rPr>
          <w:rFonts w:hint="eastAsia" w:ascii="宋体" w:hAnsi="宋体" w:eastAsia="宋体" w:cs="宋体"/>
          <w:color w:val="auto"/>
          <w:sz w:val="24"/>
          <w:szCs w:val="24"/>
          <w:highlight w:val="none"/>
          <w:shd w:val="clear" w:color="auto" w:fill="FFFFFF"/>
        </w:rPr>
        <w:t>为了保证</w:t>
      </w:r>
      <w:r>
        <w:rPr>
          <w:rFonts w:hint="eastAsia" w:ascii="宋体" w:hAnsi="宋体" w:eastAsia="宋体" w:cs="宋体"/>
          <w:color w:val="auto"/>
          <w:sz w:val="24"/>
          <w:szCs w:val="24"/>
          <w:highlight w:val="none"/>
          <w:shd w:val="clear" w:color="auto" w:fill="FFFFFF"/>
          <w:lang w:val="en-US" w:eastAsia="zh-CN"/>
        </w:rPr>
        <w:t>在</w:t>
      </w:r>
      <w:r>
        <w:rPr>
          <w:rFonts w:hint="eastAsia" w:ascii="宋体" w:hAnsi="宋体" w:eastAsia="宋体" w:cs="宋体"/>
          <w:color w:val="auto"/>
          <w:sz w:val="24"/>
          <w:szCs w:val="24"/>
          <w:highlight w:val="none"/>
          <w:shd w:val="clear" w:color="auto" w:fill="FFFFFF"/>
        </w:rPr>
        <w:t>高空组对</w:t>
      </w:r>
      <w:r>
        <w:rPr>
          <w:rFonts w:hint="eastAsia" w:ascii="宋体" w:hAnsi="宋体" w:eastAsia="宋体" w:cs="宋体"/>
          <w:color w:val="auto"/>
          <w:sz w:val="24"/>
          <w:szCs w:val="24"/>
          <w:highlight w:val="none"/>
          <w:shd w:val="clear" w:color="auto" w:fill="FFFFFF"/>
          <w:lang w:val="en-US" w:eastAsia="zh-CN"/>
        </w:rPr>
        <w:t>焊缝</w:t>
      </w:r>
      <w:r>
        <w:rPr>
          <w:rFonts w:hint="eastAsia" w:ascii="宋体" w:hAnsi="宋体" w:eastAsia="宋体" w:cs="宋体"/>
          <w:color w:val="auto"/>
          <w:sz w:val="24"/>
          <w:szCs w:val="24"/>
          <w:highlight w:val="none"/>
          <w:shd w:val="clear" w:color="auto" w:fill="FFFFFF"/>
        </w:rPr>
        <w:t>顺利进行，在每个</w:t>
      </w:r>
      <w:r>
        <w:rPr>
          <w:rFonts w:hint="eastAsia" w:ascii="宋体" w:hAnsi="宋体" w:eastAsia="宋体" w:cs="宋体"/>
          <w:color w:val="auto"/>
          <w:sz w:val="24"/>
          <w:szCs w:val="24"/>
          <w:highlight w:val="none"/>
          <w:shd w:val="clear" w:color="auto" w:fill="FFFFFF"/>
          <w:lang w:val="en-US" w:eastAsia="zh-CN"/>
        </w:rPr>
        <w:t>管口上</w:t>
      </w:r>
      <w:r>
        <w:rPr>
          <w:rFonts w:hint="eastAsia" w:ascii="宋体" w:hAnsi="宋体" w:eastAsia="宋体" w:cs="宋体"/>
          <w:color w:val="auto"/>
          <w:sz w:val="24"/>
          <w:szCs w:val="24"/>
          <w:highlight w:val="none"/>
          <w:shd w:val="clear" w:color="auto" w:fill="FFFFFF"/>
        </w:rPr>
        <w:t>均布焊接</w:t>
      </w:r>
      <w:r>
        <w:rPr>
          <w:rFonts w:hint="eastAsia" w:ascii="宋体" w:hAnsi="宋体" w:eastAsia="宋体" w:cs="宋体"/>
          <w:color w:val="auto"/>
          <w:sz w:val="24"/>
          <w:szCs w:val="24"/>
          <w:highlight w:val="none"/>
          <w:shd w:val="clear" w:color="auto" w:fill="FFFFFF"/>
          <w:lang w:val="en-US" w:eastAsia="zh-CN"/>
        </w:rPr>
        <w:t>4</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shd w:val="clear" w:color="auto" w:fill="FFFFFF"/>
          <w:lang w:val="en-US" w:eastAsia="zh-CN"/>
        </w:rPr>
        <w:t>8</w:t>
      </w:r>
      <w:r>
        <w:rPr>
          <w:rFonts w:hint="eastAsia" w:ascii="宋体" w:hAnsi="宋体" w:eastAsia="宋体" w:cs="宋体"/>
          <w:color w:val="auto"/>
          <w:sz w:val="24"/>
          <w:szCs w:val="24"/>
          <w:highlight w:val="none"/>
          <w:shd w:val="clear" w:color="auto" w:fill="FFFFFF"/>
        </w:rPr>
        <w:t>个导向/阻挡筋板，并在</w:t>
      </w:r>
      <w:r>
        <w:rPr>
          <w:rFonts w:hint="eastAsia" w:ascii="宋体" w:hAnsi="宋体" w:eastAsia="宋体" w:cs="宋体"/>
          <w:color w:val="auto"/>
          <w:sz w:val="24"/>
          <w:szCs w:val="24"/>
          <w:highlight w:val="none"/>
          <w:shd w:val="clear" w:color="auto" w:fill="FFFFFF"/>
          <w:lang w:val="en-US" w:eastAsia="zh-CN"/>
        </w:rPr>
        <w:t>焊缝</w:t>
      </w:r>
      <w:r>
        <w:rPr>
          <w:rFonts w:hint="eastAsia" w:ascii="宋体" w:hAnsi="宋体" w:eastAsia="宋体" w:cs="宋体"/>
          <w:color w:val="auto"/>
          <w:sz w:val="24"/>
          <w:szCs w:val="24"/>
          <w:highlight w:val="none"/>
          <w:shd w:val="clear" w:color="auto" w:fill="FFFFFF"/>
        </w:rPr>
        <w:t>上的零度轴线位置设立一套限位卡具，以顺利</w:t>
      </w:r>
      <w:r>
        <w:rPr>
          <w:rFonts w:hint="eastAsia" w:ascii="宋体" w:hAnsi="宋体" w:eastAsia="宋体" w:cs="宋体"/>
          <w:color w:val="auto"/>
          <w:sz w:val="24"/>
          <w:szCs w:val="24"/>
          <w:highlight w:val="none"/>
          <w:shd w:val="clear" w:color="auto" w:fill="FFFFFF"/>
          <w:lang w:val="en-US" w:eastAsia="zh-CN"/>
        </w:rPr>
        <w:t>对接</w:t>
      </w:r>
      <w:r>
        <w:rPr>
          <w:rFonts w:hint="eastAsia" w:ascii="宋体" w:hAnsi="宋体" w:eastAsia="宋体" w:cs="宋体"/>
          <w:color w:val="auto"/>
          <w:sz w:val="24"/>
          <w:szCs w:val="24"/>
          <w:highlight w:val="none"/>
          <w:shd w:val="clear" w:color="auto" w:fill="FFFFFF"/>
        </w:rPr>
        <w:t>就位，导向/阻挡筋板和限位卡具结构如图</w:t>
      </w:r>
      <w:r>
        <w:rPr>
          <w:rFonts w:hint="eastAsia" w:ascii="宋体" w:hAnsi="宋体" w:eastAsia="宋体" w:cs="宋体"/>
          <w:color w:val="auto"/>
          <w:sz w:val="24"/>
          <w:szCs w:val="24"/>
          <w:highlight w:val="none"/>
          <w:shd w:val="clear" w:color="auto" w:fill="FFFFFF"/>
          <w:lang w:val="en-US" w:eastAsia="zh-CN"/>
        </w:rPr>
        <w:t>1。</w:t>
      </w:r>
    </w:p>
    <w:p w14:paraId="58A1751F">
      <w:pPr>
        <w:numPr>
          <w:ilvl w:val="0"/>
          <w:numId w:val="0"/>
        </w:numPr>
        <w:bidi w:val="0"/>
        <w:spacing w:line="360" w:lineRule="auto"/>
        <w:ind w:left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mc:AlternateContent>
          <mc:Choice Requires="wpg">
            <w:drawing>
              <wp:anchor distT="0" distB="0" distL="114300" distR="114300" simplePos="0" relativeHeight="251666432" behindDoc="0" locked="0" layoutInCell="1" allowOverlap="1">
                <wp:simplePos x="0" y="0"/>
                <wp:positionH relativeFrom="column">
                  <wp:posOffset>128270</wp:posOffset>
                </wp:positionH>
                <wp:positionV relativeFrom="paragraph">
                  <wp:posOffset>81915</wp:posOffset>
                </wp:positionV>
                <wp:extent cx="4606925" cy="1885315"/>
                <wp:effectExtent l="0" t="0" r="0" b="0"/>
                <wp:wrapNone/>
                <wp:docPr id="67" name="组合 67"/>
                <wp:cNvGraphicFramePr/>
                <a:graphic xmlns:a="http://schemas.openxmlformats.org/drawingml/2006/main">
                  <a:graphicData uri="http://schemas.microsoft.com/office/word/2010/wordprocessingGroup">
                    <wpg:wgp>
                      <wpg:cNvGrpSpPr/>
                      <wpg:grpSpPr>
                        <a:xfrm rot="0">
                          <a:off x="0" y="0"/>
                          <a:ext cx="4606925" cy="1885315"/>
                          <a:chOff x="0" y="0"/>
                          <a:chExt cx="7475" cy="3588"/>
                        </a:xfrm>
                      </wpg:grpSpPr>
                      <wps:wsp>
                        <wps:cNvPr id="68" name="流程图: 文档 115"/>
                        <wps:cNvSpPr/>
                        <wps:spPr>
                          <a:xfrm>
                            <a:off x="540" y="1248"/>
                            <a:ext cx="3240" cy="1716"/>
                          </a:xfrm>
                          <a:prstGeom prst="flowChartDocument">
                            <a:avLst/>
                          </a:prstGeom>
                          <a:solidFill>
                            <a:srgbClr val="FFFFFF"/>
                          </a:solidFill>
                          <a:ln w="9525" cap="flat" cmpd="sng">
                            <a:solidFill>
                              <a:srgbClr val="000000"/>
                            </a:solidFill>
                            <a:prstDash val="solid"/>
                            <a:miter/>
                            <a:headEnd type="none" w="med" len="med"/>
                            <a:tailEnd type="none" w="med" len="med"/>
                          </a:ln>
                        </wps:spPr>
                        <wps:bodyPr upright="1"/>
                      </wps:wsp>
                      <wps:wsp>
                        <wps:cNvPr id="69" name="椭圆 116"/>
                        <wps:cNvSpPr/>
                        <wps:spPr>
                          <a:xfrm>
                            <a:off x="565" y="666"/>
                            <a:ext cx="3240" cy="937"/>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70" name="直接连接符 117"/>
                        <wps:cNvCnPr/>
                        <wps:spPr>
                          <a:xfrm>
                            <a:off x="0" y="1248"/>
                            <a:ext cx="4860" cy="0"/>
                          </a:xfrm>
                          <a:prstGeom prst="line">
                            <a:avLst/>
                          </a:prstGeom>
                          <a:ln w="9525" cap="flat" cmpd="sng">
                            <a:solidFill>
                              <a:srgbClr val="000000"/>
                            </a:solidFill>
                            <a:prstDash val="lgDashDot"/>
                            <a:headEnd type="none" w="med" len="med"/>
                            <a:tailEnd type="none" w="med" len="med"/>
                          </a:ln>
                        </wps:spPr>
                        <wps:bodyPr upright="1"/>
                      </wps:wsp>
                      <wps:wsp>
                        <wps:cNvPr id="71" name="直接连接符 118"/>
                        <wps:cNvCnPr/>
                        <wps:spPr>
                          <a:xfrm>
                            <a:off x="2160" y="0"/>
                            <a:ext cx="0" cy="3432"/>
                          </a:xfrm>
                          <a:prstGeom prst="line">
                            <a:avLst/>
                          </a:prstGeom>
                          <a:ln w="9525" cap="flat" cmpd="sng">
                            <a:solidFill>
                              <a:srgbClr val="000000"/>
                            </a:solidFill>
                            <a:prstDash val="lgDashDot"/>
                            <a:headEnd type="none" w="med" len="med"/>
                            <a:tailEnd type="none" w="med" len="med"/>
                          </a:ln>
                        </wps:spPr>
                        <wps:bodyPr upright="1"/>
                      </wps:wsp>
                      <wps:wsp>
                        <wps:cNvPr id="72" name="直接连接符 119"/>
                        <wps:cNvCnPr/>
                        <wps:spPr>
                          <a:xfrm>
                            <a:off x="3780" y="156"/>
                            <a:ext cx="0" cy="1404"/>
                          </a:xfrm>
                          <a:prstGeom prst="line">
                            <a:avLst/>
                          </a:prstGeom>
                          <a:ln w="9525" cap="flat" cmpd="sng">
                            <a:solidFill>
                              <a:srgbClr val="000000"/>
                            </a:solidFill>
                            <a:prstDash val="solid"/>
                            <a:headEnd type="none" w="med" len="med"/>
                            <a:tailEnd type="none" w="med" len="med"/>
                          </a:ln>
                        </wps:spPr>
                        <wps:bodyPr upright="1"/>
                      </wps:wsp>
                      <wps:wsp>
                        <wps:cNvPr id="73" name="直接连接符 120"/>
                        <wps:cNvCnPr/>
                        <wps:spPr>
                          <a:xfrm>
                            <a:off x="5979" y="617"/>
                            <a:ext cx="1416" cy="7"/>
                          </a:xfrm>
                          <a:prstGeom prst="line">
                            <a:avLst/>
                          </a:prstGeom>
                          <a:ln w="9525" cap="flat" cmpd="sng">
                            <a:solidFill>
                              <a:srgbClr val="000000"/>
                            </a:solidFill>
                            <a:prstDash val="solid"/>
                            <a:headEnd type="none" w="med" len="med"/>
                            <a:tailEnd type="none" w="med" len="med"/>
                          </a:ln>
                        </wps:spPr>
                        <wps:bodyPr upright="1"/>
                      </wps:wsp>
                      <wps:wsp>
                        <wps:cNvPr id="74" name="直接连接符 121"/>
                        <wps:cNvCnPr/>
                        <wps:spPr>
                          <a:xfrm>
                            <a:off x="6675" y="624"/>
                            <a:ext cx="0" cy="2652"/>
                          </a:xfrm>
                          <a:prstGeom prst="line">
                            <a:avLst/>
                          </a:prstGeom>
                          <a:ln w="9525" cap="flat" cmpd="sng">
                            <a:solidFill>
                              <a:srgbClr val="000000"/>
                            </a:solidFill>
                            <a:prstDash val="solid"/>
                            <a:headEnd type="none" w="med" len="med"/>
                            <a:tailEnd type="none" w="med" len="med"/>
                          </a:ln>
                        </wps:spPr>
                        <wps:bodyPr upright="1"/>
                      </wps:wsp>
                      <wps:wsp>
                        <wps:cNvPr id="75" name="直接连接符 122"/>
                        <wps:cNvCnPr/>
                        <wps:spPr>
                          <a:xfrm>
                            <a:off x="5415" y="312"/>
                            <a:ext cx="0" cy="2964"/>
                          </a:xfrm>
                          <a:prstGeom prst="line">
                            <a:avLst/>
                          </a:prstGeom>
                          <a:ln w="9525" cap="flat" cmpd="sng">
                            <a:solidFill>
                              <a:srgbClr val="000000"/>
                            </a:solidFill>
                            <a:prstDash val="solid"/>
                            <a:headEnd type="none" w="med" len="med"/>
                            <a:tailEnd type="none" w="med" len="med"/>
                          </a:ln>
                        </wps:spPr>
                        <wps:bodyPr upright="1"/>
                      </wps:wsp>
                      <wps:wsp>
                        <wps:cNvPr id="76" name="直接连接符 123"/>
                        <wps:cNvCnPr/>
                        <wps:spPr>
                          <a:xfrm flipH="1">
                            <a:off x="5055" y="2964"/>
                            <a:ext cx="2340" cy="0"/>
                          </a:xfrm>
                          <a:prstGeom prst="line">
                            <a:avLst/>
                          </a:prstGeom>
                          <a:ln w="9525" cap="flat" cmpd="sng">
                            <a:solidFill>
                              <a:srgbClr val="000000"/>
                            </a:solidFill>
                            <a:prstDash val="solid"/>
                            <a:headEnd type="none" w="med" len="med"/>
                            <a:tailEnd type="none" w="med" len="med"/>
                          </a:ln>
                        </wps:spPr>
                        <wps:bodyPr upright="1"/>
                      </wps:wsp>
                      <wps:wsp>
                        <wps:cNvPr id="77" name="直接连接符 124"/>
                        <wps:cNvCnPr/>
                        <wps:spPr>
                          <a:xfrm flipV="1">
                            <a:off x="5970" y="312"/>
                            <a:ext cx="0" cy="312"/>
                          </a:xfrm>
                          <a:prstGeom prst="line">
                            <a:avLst/>
                          </a:prstGeom>
                          <a:ln w="9525" cap="flat" cmpd="sng">
                            <a:solidFill>
                              <a:srgbClr val="000000"/>
                            </a:solidFill>
                            <a:prstDash val="solid"/>
                            <a:headEnd type="none" w="med" len="med"/>
                            <a:tailEnd type="none" w="med" len="med"/>
                          </a:ln>
                        </wps:spPr>
                        <wps:bodyPr upright="1"/>
                      </wps:wsp>
                      <wps:wsp>
                        <wps:cNvPr id="78" name="直接连接符 125"/>
                        <wps:cNvCnPr/>
                        <wps:spPr>
                          <a:xfrm>
                            <a:off x="5415" y="3180"/>
                            <a:ext cx="1260" cy="0"/>
                          </a:xfrm>
                          <a:prstGeom prst="line">
                            <a:avLst/>
                          </a:prstGeom>
                          <a:ln w="9525" cap="flat" cmpd="sng">
                            <a:solidFill>
                              <a:srgbClr val="000000"/>
                            </a:solidFill>
                            <a:prstDash val="solid"/>
                            <a:headEnd type="none" w="med" len="med"/>
                            <a:tailEnd type="none" w="med" len="med"/>
                          </a:ln>
                        </wps:spPr>
                        <wps:bodyPr upright="1"/>
                      </wps:wsp>
                      <wps:wsp>
                        <wps:cNvPr id="79" name="直接连接符 126"/>
                        <wps:cNvCnPr/>
                        <wps:spPr>
                          <a:xfrm flipH="1">
                            <a:off x="5055" y="1305"/>
                            <a:ext cx="180" cy="0"/>
                          </a:xfrm>
                          <a:prstGeom prst="line">
                            <a:avLst/>
                          </a:prstGeom>
                          <a:ln w="9525" cap="flat" cmpd="sng">
                            <a:solidFill>
                              <a:srgbClr val="000000"/>
                            </a:solidFill>
                            <a:prstDash val="solid"/>
                            <a:headEnd type="none" w="med" len="med"/>
                            <a:tailEnd type="none" w="med" len="med"/>
                          </a:ln>
                        </wps:spPr>
                        <wps:bodyPr upright="1"/>
                      </wps:wsp>
                      <wps:wsp>
                        <wps:cNvPr id="80" name="直接连接符 127"/>
                        <wps:cNvCnPr/>
                        <wps:spPr>
                          <a:xfrm flipH="1">
                            <a:off x="5175" y="1321"/>
                            <a:ext cx="1" cy="1643"/>
                          </a:xfrm>
                          <a:prstGeom prst="line">
                            <a:avLst/>
                          </a:prstGeom>
                          <a:ln w="9525" cap="flat" cmpd="sng">
                            <a:solidFill>
                              <a:srgbClr val="000000"/>
                            </a:solidFill>
                            <a:prstDash val="solid"/>
                            <a:headEnd type="none" w="med" len="med"/>
                            <a:tailEnd type="none" w="med" len="med"/>
                          </a:ln>
                        </wps:spPr>
                        <wps:bodyPr upright="1"/>
                      </wps:wsp>
                      <wps:wsp>
                        <wps:cNvPr id="81" name="直接连接符 128"/>
                        <wps:cNvCnPr/>
                        <wps:spPr>
                          <a:xfrm>
                            <a:off x="7255" y="624"/>
                            <a:ext cx="0" cy="2345"/>
                          </a:xfrm>
                          <a:prstGeom prst="line">
                            <a:avLst/>
                          </a:prstGeom>
                          <a:ln w="9525" cap="flat" cmpd="sng">
                            <a:solidFill>
                              <a:srgbClr val="000000"/>
                            </a:solidFill>
                            <a:prstDash val="solid"/>
                            <a:headEnd type="none" w="med" len="med"/>
                            <a:tailEnd type="none" w="med" len="med"/>
                          </a:ln>
                        </wps:spPr>
                        <wps:bodyPr upright="1"/>
                      </wps:wsp>
                      <wps:wsp>
                        <wps:cNvPr id="82" name="文本框 129"/>
                        <wps:cNvSpPr txBox="1"/>
                        <wps:spPr>
                          <a:xfrm>
                            <a:off x="4791" y="1737"/>
                            <a:ext cx="720" cy="624"/>
                          </a:xfrm>
                          <a:prstGeom prst="rect">
                            <a:avLst/>
                          </a:prstGeom>
                          <a:noFill/>
                          <a:ln>
                            <a:noFill/>
                          </a:ln>
                        </wps:spPr>
                        <wps:txbx>
                          <w:txbxContent>
                            <w:p w14:paraId="6F623AA6">
                              <w:pPr>
                                <w:tabs>
                                  <w:tab w:val="left" w:pos="9062"/>
                                </w:tabs>
                                <w:spacing w:line="460" w:lineRule="auto"/>
                                <w:ind w:firstLine="482"/>
                                <w:rPr>
                                  <w:b/>
                                </w:rPr>
                              </w:pPr>
                              <w:r>
                                <w:rPr>
                                  <w:rFonts w:hint="eastAsia" w:ascii="仿宋_GB2312" w:eastAsia="仿宋_GB2312"/>
                                  <w:b/>
                                </w:rPr>
                                <w:t>150</w:t>
                              </w:r>
                            </w:p>
                          </w:txbxContent>
                        </wps:txbx>
                        <wps:bodyPr vert="vert270" upright="1"/>
                      </wps:wsp>
                      <wps:wsp>
                        <wps:cNvPr id="83" name="文本框 130"/>
                        <wps:cNvSpPr txBox="1"/>
                        <wps:spPr>
                          <a:xfrm>
                            <a:off x="6755" y="1540"/>
                            <a:ext cx="720" cy="624"/>
                          </a:xfrm>
                          <a:prstGeom prst="rect">
                            <a:avLst/>
                          </a:prstGeom>
                          <a:noFill/>
                          <a:ln>
                            <a:noFill/>
                          </a:ln>
                        </wps:spPr>
                        <wps:txbx>
                          <w:txbxContent>
                            <w:p w14:paraId="76D3F0DA">
                              <w:pPr>
                                <w:tabs>
                                  <w:tab w:val="left" w:pos="9062"/>
                                </w:tabs>
                                <w:spacing w:line="460" w:lineRule="auto"/>
                                <w:ind w:firstLine="482"/>
                                <w:rPr>
                                  <w:b/>
                                </w:rPr>
                              </w:pPr>
                              <w:r>
                                <w:rPr>
                                  <w:rFonts w:hint="eastAsia" w:ascii="仿宋_GB2312" w:eastAsia="仿宋_GB2312"/>
                                  <w:b/>
                                </w:rPr>
                                <w:t>250</w:t>
                              </w:r>
                            </w:p>
                          </w:txbxContent>
                        </wps:txbx>
                        <wps:bodyPr vert="vert270" upright="1"/>
                      </wps:wsp>
                      <wps:wsp>
                        <wps:cNvPr id="84" name="文本框 131"/>
                        <wps:cNvSpPr txBox="1"/>
                        <wps:spPr>
                          <a:xfrm>
                            <a:off x="5451" y="41"/>
                            <a:ext cx="720" cy="468"/>
                          </a:xfrm>
                          <a:prstGeom prst="rect">
                            <a:avLst/>
                          </a:prstGeom>
                          <a:noFill/>
                          <a:ln>
                            <a:noFill/>
                          </a:ln>
                        </wps:spPr>
                        <wps:txbx>
                          <w:txbxContent>
                            <w:p w14:paraId="288787DE">
                              <w:pPr>
                                <w:tabs>
                                  <w:tab w:val="left" w:pos="9062"/>
                                </w:tabs>
                                <w:spacing w:line="460" w:lineRule="auto"/>
                                <w:ind w:firstLine="482"/>
                              </w:pPr>
                              <w:r>
                                <w:rPr>
                                  <w:rFonts w:hint="eastAsia" w:ascii="仿宋_GB2312" w:eastAsia="仿宋_GB2312"/>
                                  <w:b/>
                                </w:rPr>
                                <w:t>30</w:t>
                              </w:r>
                            </w:p>
                          </w:txbxContent>
                        </wps:txbx>
                        <wps:bodyPr upright="1"/>
                      </wps:wsp>
                      <wps:wsp>
                        <wps:cNvPr id="85" name="文本框 132"/>
                        <wps:cNvSpPr txBox="1"/>
                        <wps:spPr>
                          <a:xfrm>
                            <a:off x="5775" y="3120"/>
                            <a:ext cx="720" cy="468"/>
                          </a:xfrm>
                          <a:prstGeom prst="rect">
                            <a:avLst/>
                          </a:prstGeom>
                          <a:noFill/>
                          <a:ln>
                            <a:noFill/>
                          </a:ln>
                        </wps:spPr>
                        <wps:txbx>
                          <w:txbxContent>
                            <w:p w14:paraId="3E381329">
                              <w:pPr>
                                <w:tabs>
                                  <w:tab w:val="left" w:pos="9062"/>
                                </w:tabs>
                                <w:spacing w:line="460" w:lineRule="auto"/>
                                <w:ind w:firstLine="482"/>
                                <w:rPr>
                                  <w:b/>
                                </w:rPr>
                              </w:pPr>
                              <w:r>
                                <w:rPr>
                                  <w:rFonts w:hint="eastAsia"/>
                                  <w:b/>
                                </w:rPr>
                                <w:t>100</w:t>
                              </w:r>
                            </w:p>
                          </w:txbxContent>
                        </wps:txbx>
                        <wps:bodyPr upright="1"/>
                      </wps:wsp>
                      <wps:wsp>
                        <wps:cNvPr id="86" name="直接连接符 133"/>
                        <wps:cNvCnPr/>
                        <wps:spPr>
                          <a:xfrm flipV="1">
                            <a:off x="6309" y="153"/>
                            <a:ext cx="540" cy="780"/>
                          </a:xfrm>
                          <a:prstGeom prst="line">
                            <a:avLst/>
                          </a:prstGeom>
                          <a:ln w="9525" cap="flat" cmpd="sng">
                            <a:solidFill>
                              <a:srgbClr val="000000"/>
                            </a:solidFill>
                            <a:prstDash val="solid"/>
                            <a:headEnd type="none" w="med" len="med"/>
                            <a:tailEnd type="none" w="med" len="med"/>
                          </a:ln>
                        </wps:spPr>
                        <wps:bodyPr upright="1"/>
                      </wps:wsp>
                      <wps:wsp>
                        <wps:cNvPr id="87" name="直接连接符 134"/>
                        <wps:cNvCnPr/>
                        <wps:spPr>
                          <a:xfrm flipV="1">
                            <a:off x="3780" y="780"/>
                            <a:ext cx="180" cy="468"/>
                          </a:xfrm>
                          <a:prstGeom prst="line">
                            <a:avLst/>
                          </a:prstGeom>
                          <a:ln w="9525" cap="flat" cmpd="sng">
                            <a:solidFill>
                              <a:srgbClr val="000000"/>
                            </a:solidFill>
                            <a:prstDash val="solid"/>
                            <a:headEnd type="none" w="med" len="med"/>
                            <a:tailEnd type="none" w="med" len="med"/>
                          </a:ln>
                        </wps:spPr>
                        <wps:bodyPr upright="1"/>
                      </wps:wsp>
                      <wps:wsp>
                        <wps:cNvPr id="88" name="直接连接符 135"/>
                        <wps:cNvCnPr/>
                        <wps:spPr>
                          <a:xfrm>
                            <a:off x="3960" y="780"/>
                            <a:ext cx="360" cy="0"/>
                          </a:xfrm>
                          <a:prstGeom prst="line">
                            <a:avLst/>
                          </a:prstGeom>
                          <a:ln w="9525" cap="flat" cmpd="sng">
                            <a:solidFill>
                              <a:srgbClr val="000000"/>
                            </a:solidFill>
                            <a:prstDash val="solid"/>
                            <a:headEnd type="none" w="med" len="med"/>
                            <a:tailEnd type="none" w="med" len="med"/>
                          </a:ln>
                        </wps:spPr>
                        <wps:bodyPr upright="1"/>
                      </wps:wsp>
                      <wps:wsp>
                        <wps:cNvPr id="89" name="直接连接符 136"/>
                        <wps:cNvCnPr/>
                        <wps:spPr>
                          <a:xfrm>
                            <a:off x="4320" y="780"/>
                            <a:ext cx="0" cy="1248"/>
                          </a:xfrm>
                          <a:prstGeom prst="line">
                            <a:avLst/>
                          </a:prstGeom>
                          <a:ln w="9525" cap="flat" cmpd="sng">
                            <a:solidFill>
                              <a:srgbClr val="000000"/>
                            </a:solidFill>
                            <a:prstDash val="solid"/>
                            <a:headEnd type="none" w="med" len="med"/>
                            <a:tailEnd type="none" w="med" len="med"/>
                          </a:ln>
                        </wps:spPr>
                        <wps:bodyPr upright="1"/>
                      </wps:wsp>
                      <wps:wsp>
                        <wps:cNvPr id="90" name="直接连接符 137"/>
                        <wps:cNvCnPr/>
                        <wps:spPr>
                          <a:xfrm>
                            <a:off x="3780" y="2028"/>
                            <a:ext cx="540" cy="0"/>
                          </a:xfrm>
                          <a:prstGeom prst="line">
                            <a:avLst/>
                          </a:prstGeom>
                          <a:ln w="9525" cap="flat" cmpd="sng">
                            <a:solidFill>
                              <a:srgbClr val="000000"/>
                            </a:solidFill>
                            <a:prstDash val="solid"/>
                            <a:headEnd type="none" w="med" len="med"/>
                            <a:tailEnd type="none" w="med" len="med"/>
                          </a:ln>
                        </wps:spPr>
                        <wps:bodyPr upright="1"/>
                      </wps:wsp>
                      <wps:wsp>
                        <wps:cNvPr id="91" name="直接连接符 138"/>
                        <wps:cNvCnPr/>
                        <wps:spPr>
                          <a:xfrm flipV="1">
                            <a:off x="5418" y="617"/>
                            <a:ext cx="561" cy="688"/>
                          </a:xfrm>
                          <a:prstGeom prst="line">
                            <a:avLst/>
                          </a:prstGeom>
                          <a:ln w="9525" cap="flat" cmpd="sng">
                            <a:solidFill>
                              <a:srgbClr val="000000"/>
                            </a:solidFill>
                            <a:prstDash val="solid"/>
                            <a:headEnd type="none" w="med" len="med"/>
                            <a:tailEnd type="none" w="med" len="med"/>
                          </a:ln>
                        </wps:spPr>
                        <wps:bodyPr upright="1"/>
                      </wps:wsp>
                      <wps:wsp>
                        <wps:cNvPr id="92" name="直接连接符 139"/>
                        <wps:cNvCnPr/>
                        <wps:spPr>
                          <a:xfrm>
                            <a:off x="5429" y="441"/>
                            <a:ext cx="528" cy="0"/>
                          </a:xfrm>
                          <a:prstGeom prst="line">
                            <a:avLst/>
                          </a:prstGeom>
                          <a:ln w="9525" cap="flat" cmpd="sng">
                            <a:solidFill>
                              <a:srgbClr val="000000"/>
                            </a:solidFill>
                            <a:prstDash val="solid"/>
                            <a:headEnd type="none" w="med" len="med"/>
                            <a:tailEnd type="none" w="med" len="med"/>
                          </a:ln>
                        </wps:spPr>
                        <wps:bodyPr upright="1"/>
                      </wps:wsp>
                    </wpg:wgp>
                  </a:graphicData>
                </a:graphic>
              </wp:anchor>
            </w:drawing>
          </mc:Choice>
          <mc:Fallback>
            <w:pict>
              <v:group id="_x0000_s1026" o:spid="_x0000_s1026" o:spt="203" style="position:absolute;left:0pt;margin-left:10.1pt;margin-top:6.45pt;height:148.45pt;width:362.75pt;z-index:251666432;mso-width-relative:page;mso-height-relative:page;" coordsize="7475,3588" o:gfxdata="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">
                <o:lock v:ext="edit" aspectratio="f"/>
                <v:shape id="流程图: 文档 115" o:spid="_x0000_s1026" o:spt="114" type="#_x0000_t114" style="position:absolute;left:540;top:1248;height:1716;width:3240;" fillcolor="#FFFFFF" filled="t" stroked="t" coordsize="21600,21600" o:gfxdata="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gUBL6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shape>
                <v:shape id="椭圆 116" o:spid="_x0000_s1026" o:spt="3" type="#_x0000_t3" style="position:absolute;left:565;top:666;height:937;width:3240;" fillcolor="#FFFFFF" filled="t" stroked="t" coordsize="21600,21600" o:gfxdata="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sCW7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shape>
                <v:line id="直接连接符 117" o:spid="_x0000_s1026" o:spt="20" style="position:absolute;left:0;top:1248;height:0;width:4860;" filled="f" stroked="t" coordsize="21600,21600" o:gfxdata="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AGm5bsAAADb&#10;AAAADwAAAAAAAAABACAAAAAiAAAAZHJzL2Rvd25yZXYueG1sUEsBAhQAFAAAAAgAh07iQDMvBZ47&#10;AAAAOQAAABAAAAAAAAAAAQAgAAAACgEAAGRycy9zaGFwZXhtbC54bWxQSwUGAAAAAAYABgBbAQAA&#10;tAMAAAAA&#10;">
                  <v:fill on="f" focussize="0,0"/>
                  <v:stroke color="#000000" joinstyle="round" dashstyle="longDashDot"/>
                  <v:imagedata o:title=""/>
                  <o:lock v:ext="edit" aspectratio="f"/>
                </v:line>
                <v:line id="直接连接符 118" o:spid="_x0000_s1026" o:spt="20" style="position:absolute;left:2160;top:0;height:3432;width:0;" filled="f" stroked="t" coordsize="21600,21600" o:gfxdata="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00Dfr4A&#10;AADbAAAADwAAAAAAAAABACAAAAAiAAAAZHJzL2Rvd25yZXYueG1sUEsBAhQAFAAAAAgAh07iQDMv&#10;BZ47AAAAOQAAABAAAAAAAAAAAQAgAAAADQEAAGRycy9zaGFwZXhtbC54bWxQSwUGAAAAAAYABgBb&#10;AQAAtwMAAAAA&#10;">
                  <v:fill on="f" focussize="0,0"/>
                  <v:stroke color="#000000" joinstyle="round" dashstyle="longDashDot"/>
                  <v:imagedata o:title=""/>
                  <o:lock v:ext="edit" aspectratio="f"/>
                </v:line>
                <v:line id="直接连接符 119" o:spid="_x0000_s1026" o:spt="20" style="position:absolute;left:3780;top:156;height:1404;width:0;" filled="f" stroked="t" coordsize="21600,21600" o:gfxdata="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fQ7k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20" o:spid="_x0000_s1026" o:spt="20" style="position:absolute;left:5979;top:617;height:7;width:1416;" filled="f" stroked="t" coordsize="21600,21600" o:gfxdata="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jGrf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121" o:spid="_x0000_s1026" o:spt="20" style="position:absolute;left:6675;top:624;height:2652;width:0;" filled="f" stroked="t" coordsize="21600,21600" o:gfxdata="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XYMwu/&#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122" o:spid="_x0000_s1026" o:spt="20" style="position:absolute;left:5415;top:312;height:2964;width:0;" filled="f" stroked="t" coordsize="21600,21600" o:gfxdata="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qUlpC/&#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123" o:spid="_x0000_s1026" o:spt="20" style="position:absolute;left:5055;top:2964;flip:x;height:0;width:2340;" filled="f" stroked="t" coordsize="21600,21600" o:gfxdata="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SDbN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24" o:spid="_x0000_s1026" o:spt="20" style="position:absolute;left:5970;top:312;flip:y;height:312;width:0;" filled="f" stroked="t" coordsize="21600,21600" o:gfxdata="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BJNW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25" o:spid="_x0000_s1026" o:spt="20" style="position:absolute;left:5415;top:3180;height:0;width:1260;" filled="f" stroked="t" coordsize="21600,21600" o:gfxdata="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ElTkO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126" o:spid="_x0000_s1026" o:spt="20" style="position:absolute;left:5055;top:1305;flip:x;height:0;width:180;" filled="f" stroked="t" coordsize="21600,21600" o:gfxdata="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rXor+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127" o:spid="_x0000_s1026" o:spt="20" style="position:absolute;left:5175;top:1321;flip:x;height:1643;width:1;" filled="f" stroked="t" coordsize="21600,21600" o:gfxdata="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h7BbgAAADbAAAA&#10;DwAAAAAAAAABACAAAAAiAAAAZHJzL2Rvd25yZXYueG1sUEsBAhQAFAAAAAgAh07iQDMvBZ47AAAA&#10;OQAAABAAAAAAAAAAAQAgAAAABwEAAGRycy9zaGFwZXhtbC54bWxQSwUGAAAAAAYABgBbAQAAsQMA&#10;AAAA&#10;">
                  <v:fill on="f" focussize="0,0"/>
                  <v:stroke color="#000000" joinstyle="round"/>
                  <v:imagedata o:title=""/>
                  <o:lock v:ext="edit" aspectratio="f"/>
                </v:line>
                <v:line id="直接连接符 128" o:spid="_x0000_s1026" o:spt="20" style="position:absolute;left:7255;top:624;height:2345;width:0;" filled="f" stroked="t" coordsize="21600,21600" o:gfxdata="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B64L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shape id="文本框 129" o:spid="_x0000_s1026" o:spt="202" type="#_x0000_t202" style="position:absolute;left:4791;top:1737;height:624;width:720;" filled="f" stroked="f" coordsize="21600,21600" o:gfxdata="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gAPmq/&#10;AAAA2wAAAA8AAAAAAAAAAQAgAAAAIgAAAGRycy9kb3ducmV2LnhtbFBLAQIUABQAAAAIAIdO4kAz&#10;LwWeOwAAADkAAAAQAAAAAAAAAAEAIAAAAA4BAABkcnMvc2hhcGV4bWwueG1sUEsFBgAAAAAGAAYA&#10;WwEAALgDAAAAAA==&#10;">
                  <v:fill on="f" focussize="0,0"/>
                  <v:stroke on="f"/>
                  <v:imagedata o:title=""/>
                  <o:lock v:ext="edit" aspectratio="f"/>
                  <v:textbox style="layout-flow:vertical;mso-layout-flow-alt:bottom-to-top;">
                    <w:txbxContent>
                      <w:p w14:paraId="6F623AA6">
                        <w:pPr>
                          <w:tabs>
                            <w:tab w:val="left" w:pos="9062"/>
                          </w:tabs>
                          <w:spacing w:line="460" w:lineRule="auto"/>
                          <w:ind w:firstLine="482"/>
                          <w:rPr>
                            <w:b/>
                          </w:rPr>
                        </w:pPr>
                        <w:r>
                          <w:rPr>
                            <w:rFonts w:hint="eastAsia" w:ascii="仿宋_GB2312" w:eastAsia="仿宋_GB2312"/>
                            <w:b/>
                          </w:rPr>
                          <w:t>150</w:t>
                        </w:r>
                      </w:p>
                    </w:txbxContent>
                  </v:textbox>
                </v:shape>
                <v:shape id="文本框 130" o:spid="_x0000_s1026" o:spt="202" type="#_x0000_t202" style="position:absolute;left:6755;top:1540;height:624;width:720;" filled="f" stroked="f" coordsize="21600,21600" o:gfxdata="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0yb8b4A&#10;AADbAAAADwAAAAAAAAABACAAAAAiAAAAZHJzL2Rvd25yZXYueG1sUEsBAhQAFAAAAAgAh07iQDMv&#10;BZ47AAAAOQAAABAAAAAAAAAAAQAgAAAADQEAAGRycy9zaGFwZXhtbC54bWxQSwUGAAAAAAYABgBb&#10;AQAAtwMAAAAA&#10;">
                  <v:fill on="f" focussize="0,0"/>
                  <v:stroke on="f"/>
                  <v:imagedata o:title=""/>
                  <o:lock v:ext="edit" aspectratio="f"/>
                  <v:textbox style="layout-flow:vertical;mso-layout-flow-alt:bottom-to-top;">
                    <w:txbxContent>
                      <w:p w14:paraId="76D3F0DA">
                        <w:pPr>
                          <w:tabs>
                            <w:tab w:val="left" w:pos="9062"/>
                          </w:tabs>
                          <w:spacing w:line="460" w:lineRule="auto"/>
                          <w:ind w:firstLine="482"/>
                          <w:rPr>
                            <w:b/>
                          </w:rPr>
                        </w:pPr>
                        <w:r>
                          <w:rPr>
                            <w:rFonts w:hint="eastAsia" w:ascii="仿宋_GB2312" w:eastAsia="仿宋_GB2312"/>
                            <w:b/>
                          </w:rPr>
                          <w:t>250</w:t>
                        </w:r>
                      </w:p>
                    </w:txbxContent>
                  </v:textbox>
                </v:shape>
                <v:shape id="文本框 131" o:spid="_x0000_s1026" o:spt="202" type="#_x0000_t202" style="position:absolute;left:5451;top:41;height:468;width:720;" filled="f" stroked="f" coordsize="21600,21600" o:gfxdata="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IIVcr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288787DE">
                        <w:pPr>
                          <w:tabs>
                            <w:tab w:val="left" w:pos="9062"/>
                          </w:tabs>
                          <w:spacing w:line="460" w:lineRule="auto"/>
                          <w:ind w:firstLine="482"/>
                        </w:pPr>
                        <w:r>
                          <w:rPr>
                            <w:rFonts w:hint="eastAsia" w:ascii="仿宋_GB2312" w:eastAsia="仿宋_GB2312"/>
                            <w:b/>
                          </w:rPr>
                          <w:t>30</w:t>
                        </w:r>
                      </w:p>
                    </w:txbxContent>
                  </v:textbox>
                </v:shape>
                <v:shape id="文本框 132" o:spid="_x0000_s1026" o:spt="202" type="#_x0000_t202" style="position:absolute;left:5775;top:3120;height:468;width:720;" filled="f" stroked="f" coordsize="21600,21600" o:gfxdata="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7zrDp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3E381329">
                        <w:pPr>
                          <w:tabs>
                            <w:tab w:val="left" w:pos="9062"/>
                          </w:tabs>
                          <w:spacing w:line="460" w:lineRule="auto"/>
                          <w:ind w:firstLine="482"/>
                          <w:rPr>
                            <w:b/>
                          </w:rPr>
                        </w:pPr>
                        <w:r>
                          <w:rPr>
                            <w:rFonts w:hint="eastAsia"/>
                            <w:b/>
                          </w:rPr>
                          <w:t>100</w:t>
                        </w:r>
                      </w:p>
                    </w:txbxContent>
                  </v:textbox>
                </v:shape>
                <v:line id="直接连接符 133" o:spid="_x0000_s1026" o:spt="20" style="position:absolute;left:6309;top:153;flip:y;height:780;width:540;" filled="f" stroked="t" coordsize="21600,21600" o:gfxdata="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p1G6r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134" o:spid="_x0000_s1026" o:spt="20" style="position:absolute;left:3780;top:780;flip:y;height:468;width:180;" filled="f" stroked="t" coordsize="21600,21600" o:gfxdata="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0eNx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35" o:spid="_x0000_s1026" o:spt="20" style="position:absolute;left:3960;top:780;height:0;width:360;" filled="f" stroked="t" coordsize="21600,21600" o:gfxdata="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UBJKb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136" o:spid="_x0000_s1026" o:spt="20" style="position:absolute;left:4320;top:780;height:1248;width:0;" filled="f" stroked="t" coordsize="21600,21600" o:gfxdata="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4M7LK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137" o:spid="_x0000_s1026" o:spt="20" style="position:absolute;left:3780;top:2028;height:0;width:540;" filled="f" stroked="t" coordsize="21600,21600" o:gfxdata="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K79Py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138" o:spid="_x0000_s1026" o:spt="20" style="position:absolute;left:5418;top:617;flip:y;height:688;width:561;" filled="f" stroked="t" coordsize="21600,21600" o:gfxdata="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StSE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139" o:spid="_x0000_s1026" o:spt="20" style="position:absolute;left:5429;top:441;height:0;width:528;" filled="f" stroked="t" coordsize="21600,21600" o:gfxdata="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ceg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w:pict>
          </mc:Fallback>
        </mc:AlternateContent>
      </w:r>
    </w:p>
    <w:p w14:paraId="54F9776D">
      <w:pPr>
        <w:numPr>
          <w:ilvl w:val="0"/>
          <w:numId w:val="0"/>
        </w:numPr>
        <w:bidi w:val="0"/>
        <w:spacing w:line="360" w:lineRule="auto"/>
        <w:ind w:leftChars="200"/>
        <w:jc w:val="left"/>
        <w:rPr>
          <w:rFonts w:hint="eastAsia" w:ascii="宋体" w:hAnsi="宋体" w:eastAsia="宋体" w:cs="宋体"/>
          <w:color w:val="auto"/>
          <w:sz w:val="24"/>
          <w:szCs w:val="24"/>
          <w:highlight w:val="none"/>
        </w:rPr>
      </w:pPr>
    </w:p>
    <w:p w14:paraId="43386667">
      <w:pPr>
        <w:numPr>
          <w:ilvl w:val="0"/>
          <w:numId w:val="0"/>
        </w:numPr>
        <w:bidi w:val="0"/>
        <w:spacing w:line="360" w:lineRule="auto"/>
        <w:ind w:leftChars="200"/>
        <w:jc w:val="left"/>
        <w:rPr>
          <w:rFonts w:hint="eastAsia" w:ascii="宋体" w:hAnsi="宋体" w:eastAsia="宋体" w:cs="宋体"/>
          <w:color w:val="auto"/>
          <w:sz w:val="24"/>
          <w:szCs w:val="24"/>
          <w:highlight w:val="none"/>
        </w:rPr>
      </w:pPr>
    </w:p>
    <w:p w14:paraId="04DB480C">
      <w:pPr>
        <w:numPr>
          <w:ilvl w:val="0"/>
          <w:numId w:val="0"/>
        </w:numPr>
        <w:bidi w:val="0"/>
        <w:spacing w:line="360" w:lineRule="auto"/>
        <w:ind w:leftChars="200"/>
        <w:jc w:val="left"/>
        <w:rPr>
          <w:rFonts w:hint="eastAsia" w:ascii="宋体" w:hAnsi="宋体" w:eastAsia="宋体" w:cs="宋体"/>
          <w:color w:val="auto"/>
          <w:sz w:val="24"/>
          <w:szCs w:val="24"/>
          <w:highlight w:val="none"/>
        </w:rPr>
      </w:pPr>
    </w:p>
    <w:p w14:paraId="7BA9E449">
      <w:pPr>
        <w:numPr>
          <w:ilvl w:val="0"/>
          <w:numId w:val="0"/>
        </w:numPr>
        <w:bidi w:val="0"/>
        <w:spacing w:line="360" w:lineRule="auto"/>
        <w:ind w:leftChars="200"/>
        <w:jc w:val="left"/>
        <w:rPr>
          <w:rFonts w:hint="eastAsia" w:ascii="宋体" w:hAnsi="宋体" w:eastAsia="宋体" w:cs="宋体"/>
          <w:color w:val="auto"/>
          <w:sz w:val="24"/>
          <w:szCs w:val="24"/>
          <w:highlight w:val="none"/>
        </w:rPr>
      </w:pPr>
    </w:p>
    <w:p w14:paraId="6E4263DD">
      <w:pPr>
        <w:numPr>
          <w:ilvl w:val="0"/>
          <w:numId w:val="0"/>
        </w:numPr>
        <w:bidi w:val="0"/>
        <w:spacing w:line="360" w:lineRule="auto"/>
        <w:ind w:leftChars="200"/>
        <w:jc w:val="left"/>
        <w:rPr>
          <w:rFonts w:hint="eastAsia" w:ascii="宋体" w:hAnsi="宋体" w:eastAsia="宋体" w:cs="宋体"/>
          <w:color w:val="auto"/>
          <w:sz w:val="24"/>
          <w:szCs w:val="24"/>
          <w:highlight w:val="none"/>
        </w:rPr>
      </w:pPr>
    </w:p>
    <w:p w14:paraId="74C22D68">
      <w:pPr>
        <w:numPr>
          <w:ilvl w:val="0"/>
          <w:numId w:val="0"/>
        </w:numPr>
        <w:bidi w:val="0"/>
        <w:spacing w:line="360" w:lineRule="auto"/>
        <w:ind w:leftChars="200"/>
        <w:jc w:val="left"/>
        <w:rPr>
          <w:rFonts w:hint="eastAsia" w:ascii="宋体" w:hAnsi="宋体" w:eastAsia="宋体" w:cs="宋体"/>
          <w:color w:val="auto"/>
          <w:sz w:val="24"/>
          <w:szCs w:val="24"/>
          <w:highlight w:val="none"/>
        </w:rPr>
      </w:pPr>
    </w:p>
    <w:p w14:paraId="4FE2E08B">
      <w:pPr>
        <w:numPr>
          <w:ilvl w:val="0"/>
          <w:numId w:val="0"/>
        </w:numPr>
        <w:bidi w:val="0"/>
        <w:spacing w:line="360" w:lineRule="auto"/>
        <w:ind w:leftChars="20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图</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 xml:space="preserve"> 导向筋板图</w:t>
      </w:r>
    </w:p>
    <w:p w14:paraId="7E9E36E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5.4.10.6</w:t>
      </w:r>
      <w:r>
        <w:rPr>
          <w:rFonts w:hint="eastAsia" w:ascii="宋体" w:hAnsi="宋体" w:eastAsia="宋体" w:cs="宋体"/>
          <w:color w:val="auto"/>
          <w:sz w:val="24"/>
          <w:szCs w:val="24"/>
          <w:highlight w:val="none"/>
        </w:rPr>
        <w:t>焊缝焊接要求</w:t>
      </w:r>
    </w:p>
    <w:p w14:paraId="72AD7815">
      <w:pPr>
        <w:numPr>
          <w:ilvl w:val="0"/>
          <w:numId w:val="0"/>
        </w:numPr>
        <w:spacing w:line="360" w:lineRule="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对在本工程中从事焊接工作的焊工，在正式施焊前应进行考试，焊工考试按《压力容器焊工考试规则》执行。焊工在取得劳动局颁发的焊工合格证后，方可在本工程中从事相应焊接工作。</w:t>
      </w:r>
    </w:p>
    <w:p w14:paraId="02828C33">
      <w:pPr>
        <w:numPr>
          <w:ilvl w:val="0"/>
          <w:numId w:val="0"/>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焊接环境：若出现下列情况之一时，未采取有效保护措施不得施焊：电弧焊焊接时风速≥8m/S，气体保护焊焊接时风速≥2m/S；相对湿度≥90％；下雨或下雪</w:t>
      </w:r>
      <w:r>
        <w:rPr>
          <w:rFonts w:hint="eastAsia" w:ascii="宋体" w:hAnsi="宋体" w:eastAsia="宋体" w:cs="宋体"/>
          <w:color w:val="auto"/>
          <w:sz w:val="24"/>
          <w:szCs w:val="24"/>
          <w:highlight w:val="none"/>
          <w:lang w:eastAsia="zh-CN"/>
        </w:rPr>
        <w:t>；</w:t>
      </w:r>
    </w:p>
    <w:p w14:paraId="0045A373">
      <w:pPr>
        <w:numPr>
          <w:ilvl w:val="0"/>
          <w:numId w:val="0"/>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焊缝焊接完毕后，应及时对焊缝表面的药皮、飞溅等清理干净。</w:t>
      </w:r>
    </w:p>
    <w:p w14:paraId="26B14168">
      <w:pPr>
        <w:numPr>
          <w:ilvl w:val="0"/>
          <w:numId w:val="0"/>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焊缝表面缺陷允许的范围见下表：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3114"/>
        <w:gridCol w:w="4676"/>
      </w:tblGrid>
      <w:tr w14:paraId="70BA0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noWrap w:val="0"/>
            <w:vAlign w:val="top"/>
          </w:tcPr>
          <w:p w14:paraId="133F9D1A">
            <w:pPr>
              <w:spacing w:line="5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114" w:type="dxa"/>
            <w:noWrap w:val="0"/>
            <w:vAlign w:val="top"/>
          </w:tcPr>
          <w:p w14:paraId="1C1E0762">
            <w:pPr>
              <w:spacing w:line="5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验评项目</w:t>
            </w:r>
          </w:p>
        </w:tc>
        <w:tc>
          <w:tcPr>
            <w:tcW w:w="4676" w:type="dxa"/>
            <w:noWrap w:val="0"/>
            <w:vAlign w:val="top"/>
          </w:tcPr>
          <w:p w14:paraId="5480D7A0">
            <w:pPr>
              <w:spacing w:line="5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质量标准</w:t>
            </w:r>
          </w:p>
        </w:tc>
      </w:tr>
      <w:tr w14:paraId="6F51B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noWrap w:val="0"/>
            <w:vAlign w:val="top"/>
          </w:tcPr>
          <w:p w14:paraId="0C33ECE4">
            <w:pPr>
              <w:spacing w:line="5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114" w:type="dxa"/>
            <w:noWrap w:val="0"/>
            <w:vAlign w:val="top"/>
          </w:tcPr>
          <w:p w14:paraId="7C13679D">
            <w:pPr>
              <w:spacing w:line="5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焊缝成型</w:t>
            </w:r>
          </w:p>
        </w:tc>
        <w:tc>
          <w:tcPr>
            <w:tcW w:w="4676" w:type="dxa"/>
            <w:noWrap w:val="0"/>
            <w:vAlign w:val="top"/>
          </w:tcPr>
          <w:p w14:paraId="53909476">
            <w:pPr>
              <w:spacing w:line="5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焊缝过渡圆滑，接头良好</w:t>
            </w:r>
          </w:p>
        </w:tc>
      </w:tr>
      <w:tr w14:paraId="6CBC9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noWrap w:val="0"/>
            <w:vAlign w:val="top"/>
          </w:tcPr>
          <w:p w14:paraId="1135C212">
            <w:pPr>
              <w:spacing w:line="5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3114" w:type="dxa"/>
            <w:noWrap w:val="0"/>
            <w:vAlign w:val="top"/>
          </w:tcPr>
          <w:p w14:paraId="00545793">
            <w:pPr>
              <w:spacing w:line="5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焊缝尺寸</w:t>
            </w:r>
          </w:p>
        </w:tc>
        <w:tc>
          <w:tcPr>
            <w:tcW w:w="4676" w:type="dxa"/>
            <w:noWrap w:val="0"/>
            <w:vAlign w:val="top"/>
          </w:tcPr>
          <w:p w14:paraId="7362CBCD">
            <w:pPr>
              <w:spacing w:line="5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符合设计要求</w:t>
            </w:r>
          </w:p>
        </w:tc>
      </w:tr>
      <w:tr w14:paraId="20ABA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noWrap w:val="0"/>
            <w:vAlign w:val="top"/>
          </w:tcPr>
          <w:p w14:paraId="5AF68C5F">
            <w:pPr>
              <w:spacing w:line="5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3114" w:type="dxa"/>
            <w:noWrap w:val="0"/>
            <w:vAlign w:val="top"/>
          </w:tcPr>
          <w:p w14:paraId="2C96ABB8">
            <w:pPr>
              <w:spacing w:line="5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咬边</w:t>
            </w:r>
          </w:p>
        </w:tc>
        <w:tc>
          <w:tcPr>
            <w:tcW w:w="4676" w:type="dxa"/>
            <w:noWrap w:val="0"/>
            <w:vAlign w:val="top"/>
          </w:tcPr>
          <w:p w14:paraId="4044B013">
            <w:pPr>
              <w:spacing w:line="5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h≤0。5mm</w:t>
            </w:r>
          </w:p>
        </w:tc>
      </w:tr>
      <w:tr w14:paraId="768F5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noWrap w:val="0"/>
            <w:vAlign w:val="top"/>
          </w:tcPr>
          <w:p w14:paraId="0C714DD1">
            <w:pPr>
              <w:spacing w:line="5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3114" w:type="dxa"/>
            <w:noWrap w:val="0"/>
            <w:vAlign w:val="top"/>
          </w:tcPr>
          <w:p w14:paraId="7633ABA6">
            <w:pPr>
              <w:spacing w:line="5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根部未焊透</w:t>
            </w:r>
          </w:p>
        </w:tc>
        <w:tc>
          <w:tcPr>
            <w:tcW w:w="4676" w:type="dxa"/>
            <w:noWrap w:val="0"/>
            <w:vAlign w:val="top"/>
          </w:tcPr>
          <w:p w14:paraId="390FEEBF">
            <w:pPr>
              <w:spacing w:line="5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h≤0。5δ，总长≤0.1L</w:t>
            </w:r>
          </w:p>
        </w:tc>
      </w:tr>
      <w:tr w14:paraId="60F48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noWrap w:val="0"/>
            <w:vAlign w:val="top"/>
          </w:tcPr>
          <w:p w14:paraId="19B0A4FA">
            <w:pPr>
              <w:spacing w:line="5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3114" w:type="dxa"/>
            <w:noWrap w:val="0"/>
            <w:vAlign w:val="top"/>
          </w:tcPr>
          <w:p w14:paraId="599D65E1">
            <w:pPr>
              <w:spacing w:line="5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表面裂纹</w:t>
            </w:r>
          </w:p>
        </w:tc>
        <w:tc>
          <w:tcPr>
            <w:tcW w:w="4676" w:type="dxa"/>
            <w:noWrap w:val="0"/>
            <w:vAlign w:val="top"/>
          </w:tcPr>
          <w:p w14:paraId="5D339498">
            <w:pPr>
              <w:spacing w:line="5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无</w:t>
            </w:r>
          </w:p>
        </w:tc>
      </w:tr>
      <w:tr w14:paraId="2872F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noWrap w:val="0"/>
            <w:vAlign w:val="top"/>
          </w:tcPr>
          <w:p w14:paraId="3D8CD817">
            <w:pPr>
              <w:spacing w:line="5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3114" w:type="dxa"/>
            <w:noWrap w:val="0"/>
            <w:vAlign w:val="top"/>
          </w:tcPr>
          <w:p w14:paraId="085EBFC4">
            <w:pPr>
              <w:spacing w:line="5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表面弧坑</w:t>
            </w:r>
          </w:p>
        </w:tc>
        <w:tc>
          <w:tcPr>
            <w:tcW w:w="4676" w:type="dxa"/>
            <w:noWrap w:val="0"/>
            <w:vAlign w:val="top"/>
          </w:tcPr>
          <w:p w14:paraId="0F91402A">
            <w:pPr>
              <w:spacing w:line="5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无</w:t>
            </w:r>
          </w:p>
        </w:tc>
      </w:tr>
      <w:tr w14:paraId="13EBB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noWrap w:val="0"/>
            <w:vAlign w:val="top"/>
          </w:tcPr>
          <w:p w14:paraId="10FBFBA7">
            <w:pPr>
              <w:spacing w:line="5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3114" w:type="dxa"/>
            <w:noWrap w:val="0"/>
            <w:vAlign w:val="top"/>
          </w:tcPr>
          <w:p w14:paraId="708095B0">
            <w:pPr>
              <w:spacing w:line="5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表面气孔</w:t>
            </w:r>
          </w:p>
        </w:tc>
        <w:tc>
          <w:tcPr>
            <w:tcW w:w="4676" w:type="dxa"/>
            <w:noWrap w:val="0"/>
            <w:vAlign w:val="top"/>
          </w:tcPr>
          <w:p w14:paraId="1F7173A4">
            <w:pPr>
              <w:spacing w:line="5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无</w:t>
            </w:r>
          </w:p>
        </w:tc>
      </w:tr>
      <w:tr w14:paraId="5FFAF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noWrap w:val="0"/>
            <w:vAlign w:val="top"/>
          </w:tcPr>
          <w:p w14:paraId="176E4050">
            <w:pPr>
              <w:spacing w:line="5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3114" w:type="dxa"/>
            <w:noWrap w:val="0"/>
            <w:vAlign w:val="top"/>
          </w:tcPr>
          <w:p w14:paraId="5212D2D2">
            <w:pPr>
              <w:spacing w:line="5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表面夹渣</w:t>
            </w:r>
          </w:p>
        </w:tc>
        <w:tc>
          <w:tcPr>
            <w:tcW w:w="4676" w:type="dxa"/>
            <w:noWrap w:val="0"/>
            <w:vAlign w:val="top"/>
          </w:tcPr>
          <w:p w14:paraId="1E515198">
            <w:pPr>
              <w:spacing w:line="5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无</w:t>
            </w:r>
          </w:p>
        </w:tc>
      </w:tr>
      <w:tr w14:paraId="6CAAE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noWrap w:val="0"/>
            <w:vAlign w:val="top"/>
          </w:tcPr>
          <w:p w14:paraId="5D7F8F74">
            <w:pPr>
              <w:spacing w:line="5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3114" w:type="dxa"/>
            <w:noWrap w:val="0"/>
            <w:vAlign w:val="top"/>
          </w:tcPr>
          <w:p w14:paraId="42597C96">
            <w:pPr>
              <w:spacing w:line="5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严密性</w:t>
            </w:r>
          </w:p>
        </w:tc>
        <w:tc>
          <w:tcPr>
            <w:tcW w:w="4676" w:type="dxa"/>
            <w:noWrap w:val="0"/>
            <w:vAlign w:val="top"/>
          </w:tcPr>
          <w:p w14:paraId="196CEB98">
            <w:pPr>
              <w:spacing w:line="5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无渗漏</w:t>
            </w:r>
          </w:p>
        </w:tc>
      </w:tr>
    </w:tbl>
    <w:p w14:paraId="7D6A40BF">
      <w:pPr>
        <w:spacing w:line="5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注:δ-壁厚    h-缺陷深度   L—焊缝长度。</w:t>
      </w:r>
    </w:p>
    <w:p w14:paraId="6CF51C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5.4.10.7</w:t>
      </w:r>
      <w:r>
        <w:rPr>
          <w:rFonts w:hint="eastAsia" w:ascii="宋体" w:hAnsi="宋体" w:eastAsia="宋体" w:cs="宋体"/>
          <w:color w:val="auto"/>
          <w:sz w:val="24"/>
          <w:szCs w:val="24"/>
          <w:highlight w:val="none"/>
        </w:rPr>
        <w:t>焊缝检测要求</w:t>
      </w:r>
    </w:p>
    <w:p w14:paraId="598E3550">
      <w:pPr>
        <w:pStyle w:val="137"/>
        <w:numPr>
          <w:ilvl w:val="0"/>
          <w:numId w:val="0"/>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焊缝外观质量检查：焊缝表面不得有裂纹、未熔合、夹渣、气孔等缺陷。</w:t>
      </w:r>
    </w:p>
    <w:p w14:paraId="42AB9760">
      <w:pPr>
        <w:pStyle w:val="138"/>
        <w:numPr>
          <w:ilvl w:val="0"/>
          <w:numId w:val="0"/>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焊缝咬边深度不得大于0.5mm，长度小于焊缝全长10%，且小于100mm。</w:t>
      </w:r>
    </w:p>
    <w:p w14:paraId="0E01B399">
      <w:pPr>
        <w:pStyle w:val="138"/>
        <w:numPr>
          <w:ilvl w:val="0"/>
          <w:numId w:val="0"/>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焊缝余高应不大于3mm。</w:t>
      </w:r>
    </w:p>
    <w:p w14:paraId="3EA11380">
      <w:pPr>
        <w:pStyle w:val="138"/>
        <w:numPr>
          <w:ilvl w:val="0"/>
          <w:numId w:val="0"/>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焊缝表面不得低于母材(咬边除外)。</w:t>
      </w:r>
    </w:p>
    <w:p w14:paraId="7CB513FF">
      <w:pPr>
        <w:pStyle w:val="138"/>
        <w:numPr>
          <w:ilvl w:val="0"/>
          <w:numId w:val="0"/>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焊缝表面不得有飞溅。</w:t>
      </w:r>
    </w:p>
    <w:p w14:paraId="37CA3585">
      <w:pPr>
        <w:pStyle w:val="137"/>
        <w:numPr>
          <w:ilvl w:val="0"/>
          <w:numId w:val="0"/>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焊缝内部质量检查：焊缝内部质量的检查办法应遵照设计要求或有关标准的规定，按照车间提供的图纸要求。</w:t>
      </w:r>
    </w:p>
    <w:p w14:paraId="76F0CB47">
      <w:pPr>
        <w:pStyle w:val="137"/>
        <w:numPr>
          <w:ilvl w:val="0"/>
          <w:numId w:val="0"/>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焊条在使用前应安规定进行烘烤，并应在使用过程中保持干燥。</w:t>
      </w:r>
    </w:p>
    <w:p w14:paraId="07018326">
      <w:pPr>
        <w:pStyle w:val="137"/>
        <w:numPr>
          <w:ilvl w:val="0"/>
          <w:numId w:val="0"/>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与管道组对完成经检查确认无误后方可施焊。</w:t>
      </w:r>
    </w:p>
    <w:p w14:paraId="09F2CA32">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作业条件</w:t>
      </w:r>
      <w:r>
        <w:rPr>
          <w:rFonts w:hint="eastAsia" w:ascii="宋体" w:hAnsi="宋体" w:eastAsia="宋体" w:cs="宋体"/>
          <w:color w:val="auto"/>
          <w:sz w:val="24"/>
          <w:szCs w:val="24"/>
          <w:highlight w:val="none"/>
          <w:lang w:eastAsia="zh-CN"/>
        </w:rPr>
        <w:t>：</w:t>
      </w:r>
    </w:p>
    <w:p w14:paraId="73FED02D">
      <w:pPr>
        <w:spacing w:line="360" w:lineRule="auto"/>
        <w:rPr>
          <w:rStyle w:val="31"/>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Style w:val="31"/>
          <w:rFonts w:hint="eastAsia" w:ascii="宋体" w:hAnsi="宋体" w:eastAsia="宋体" w:cs="宋体"/>
          <w:color w:val="auto"/>
          <w:sz w:val="24"/>
          <w:szCs w:val="24"/>
          <w:highlight w:val="none"/>
        </w:rPr>
        <w:t>当环境出现下列任意一种情况，且无有效的防护措施时，严禁焊接。</w:t>
      </w:r>
    </w:p>
    <w:p w14:paraId="1CD88ED9">
      <w:pPr>
        <w:spacing w:line="360" w:lineRule="auto"/>
        <w:rPr>
          <w:rStyle w:val="31"/>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Style w:val="31"/>
          <w:rFonts w:hint="eastAsia" w:ascii="宋体" w:hAnsi="宋体" w:eastAsia="宋体" w:cs="宋体"/>
          <w:color w:val="auto"/>
          <w:sz w:val="24"/>
          <w:szCs w:val="24"/>
          <w:highlight w:val="none"/>
        </w:rPr>
        <w:t>作业点风速≥10 m/s 时。</w:t>
      </w:r>
    </w:p>
    <w:p w14:paraId="7FA83F31">
      <w:pPr>
        <w:spacing w:line="360" w:lineRule="auto"/>
        <w:rPr>
          <w:rStyle w:val="31"/>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Style w:val="31"/>
          <w:rFonts w:hint="eastAsia" w:ascii="宋体" w:hAnsi="宋体" w:eastAsia="宋体" w:cs="宋体"/>
          <w:color w:val="auto"/>
          <w:sz w:val="24"/>
          <w:szCs w:val="24"/>
          <w:highlight w:val="none"/>
        </w:rPr>
        <w:t>作业点相对湿度≥90%时。</w:t>
      </w:r>
    </w:p>
    <w:p w14:paraId="364ECFEC">
      <w:pPr>
        <w:spacing w:line="360" w:lineRule="auto"/>
        <w:rPr>
          <w:rStyle w:val="31"/>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Style w:val="31"/>
          <w:rFonts w:hint="eastAsia" w:ascii="宋体" w:hAnsi="宋体" w:eastAsia="宋体" w:cs="宋体"/>
          <w:color w:val="auto"/>
          <w:sz w:val="24"/>
          <w:szCs w:val="24"/>
          <w:highlight w:val="none"/>
        </w:rPr>
        <w:t>焊件有水，淋到雨或接触到雾时。</w:t>
      </w:r>
    </w:p>
    <w:p w14:paraId="104BAB98">
      <w:pPr>
        <w:spacing w:line="360" w:lineRule="auto"/>
        <w:rPr>
          <w:rStyle w:val="31"/>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Style w:val="31"/>
          <w:rFonts w:hint="eastAsia" w:ascii="宋体" w:hAnsi="宋体" w:eastAsia="宋体" w:cs="宋体"/>
          <w:color w:val="auto"/>
          <w:sz w:val="24"/>
          <w:szCs w:val="24"/>
          <w:highlight w:val="none"/>
        </w:rPr>
        <w:t>待焊管内有穿堂风时。</w:t>
      </w:r>
    </w:p>
    <w:p w14:paraId="17C56356">
      <w:pPr>
        <w:spacing w:line="360" w:lineRule="auto"/>
        <w:rPr>
          <w:rStyle w:val="31"/>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Style w:val="31"/>
          <w:rFonts w:hint="eastAsia" w:ascii="宋体" w:hAnsi="宋体" w:eastAsia="宋体" w:cs="宋体"/>
          <w:color w:val="auto"/>
          <w:sz w:val="24"/>
          <w:szCs w:val="24"/>
          <w:highlight w:val="none"/>
        </w:rPr>
        <w:t>焊工应具备相应的合格证项目，在上岗前经过上岗考试合格，并通过审核批准后才具备上岗资格。</w:t>
      </w:r>
    </w:p>
    <w:p w14:paraId="313CC0BD">
      <w:pPr>
        <w:spacing w:line="360" w:lineRule="auto"/>
        <w:rPr>
          <w:rStyle w:val="31"/>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Style w:val="31"/>
          <w:rFonts w:hint="eastAsia" w:ascii="宋体" w:hAnsi="宋体" w:eastAsia="宋体" w:cs="宋体"/>
          <w:color w:val="auto"/>
          <w:sz w:val="24"/>
          <w:szCs w:val="24"/>
          <w:highlight w:val="none"/>
        </w:rPr>
        <w:t>焊工上岗前必须经焊接工艺技术交底和安全技术交底，并在交底表上签名、记录。</w:t>
      </w:r>
    </w:p>
    <w:p w14:paraId="312C737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5.4.10.8</w:t>
      </w:r>
      <w:r>
        <w:rPr>
          <w:rFonts w:hint="eastAsia" w:ascii="宋体" w:hAnsi="宋体" w:eastAsia="宋体" w:cs="宋体"/>
          <w:color w:val="auto"/>
          <w:sz w:val="24"/>
          <w:szCs w:val="24"/>
          <w:highlight w:val="none"/>
        </w:rPr>
        <w:t>管道对口工艺</w:t>
      </w:r>
    </w:p>
    <w:p w14:paraId="7C4CAA2F">
      <w:pPr>
        <w:spacing w:line="360" w:lineRule="auto"/>
        <w:rPr>
          <w:rStyle w:val="31"/>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Style w:val="31"/>
          <w:rFonts w:hint="eastAsia" w:ascii="宋体" w:hAnsi="宋体" w:eastAsia="宋体" w:cs="宋体"/>
          <w:color w:val="auto"/>
          <w:sz w:val="24"/>
          <w:szCs w:val="24"/>
          <w:highlight w:val="none"/>
        </w:rPr>
        <w:t>管子对口前，应将坡口及母材内、外壁的油、漆、垢等清理干净并打磨，直至露出金属光泽。</w:t>
      </w:r>
    </w:p>
    <w:p w14:paraId="4BC48C8F">
      <w:pPr>
        <w:spacing w:line="360" w:lineRule="auto"/>
        <w:rPr>
          <w:rStyle w:val="31"/>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Style w:val="31"/>
          <w:rFonts w:hint="eastAsia" w:ascii="宋体" w:hAnsi="宋体" w:eastAsia="宋体" w:cs="宋体"/>
          <w:color w:val="auto"/>
          <w:sz w:val="24"/>
          <w:szCs w:val="24"/>
          <w:highlight w:val="none"/>
        </w:rPr>
        <w:t>坡口处母材无裂纹、重皮、坡口损伤及毛刺等缺陷。</w:t>
      </w:r>
    </w:p>
    <w:p w14:paraId="0F4E6496">
      <w:pPr>
        <w:spacing w:line="360" w:lineRule="auto"/>
        <w:rPr>
          <w:rStyle w:val="31"/>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Style w:val="31"/>
          <w:rFonts w:hint="eastAsia" w:ascii="宋体" w:hAnsi="宋体" w:eastAsia="宋体" w:cs="宋体"/>
          <w:color w:val="auto"/>
          <w:sz w:val="24"/>
          <w:szCs w:val="24"/>
          <w:highlight w:val="none"/>
        </w:rPr>
        <w:t>坡口加工尺寸符合焊接工艺卡要求。</w:t>
      </w:r>
    </w:p>
    <w:p w14:paraId="60E9356F">
      <w:pPr>
        <w:spacing w:line="360" w:lineRule="auto"/>
        <w:rPr>
          <w:rStyle w:val="31"/>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Style w:val="31"/>
          <w:rFonts w:hint="eastAsia" w:ascii="宋体" w:hAnsi="宋体" w:eastAsia="宋体" w:cs="宋体"/>
          <w:color w:val="auto"/>
          <w:sz w:val="24"/>
          <w:szCs w:val="24"/>
          <w:highlight w:val="none"/>
        </w:rPr>
        <w:t>对接管口端面应与管子中心线垂直。其偏斜度Δf不得超过以下规定：管子外径≤</w:t>
      </w:r>
    </w:p>
    <w:p w14:paraId="301A9B2D">
      <w:pPr>
        <w:spacing w:line="360" w:lineRule="auto"/>
        <w:ind w:left="425" w:hanging="425"/>
        <w:rPr>
          <w:rStyle w:val="31"/>
          <w:rFonts w:hint="eastAsia" w:ascii="宋体" w:hAnsi="宋体" w:eastAsia="宋体" w:cs="宋体"/>
          <w:color w:val="auto"/>
          <w:sz w:val="24"/>
          <w:szCs w:val="24"/>
          <w:highlight w:val="none"/>
        </w:rPr>
      </w:pPr>
      <w:r>
        <w:rPr>
          <w:rStyle w:val="31"/>
          <w:rFonts w:hint="eastAsia" w:ascii="宋体" w:hAnsi="宋体" w:eastAsia="宋体" w:cs="宋体"/>
          <w:color w:val="auto"/>
          <w:sz w:val="24"/>
          <w:szCs w:val="24"/>
          <w:highlight w:val="none"/>
        </w:rPr>
        <w:t>60mm，Δf为0.5mm，管子外径＞60mm，Δf为1mm。</w:t>
      </w:r>
    </w:p>
    <w:p w14:paraId="79B89143">
      <w:pPr>
        <w:spacing w:line="360" w:lineRule="auto"/>
        <w:rPr>
          <w:rStyle w:val="31"/>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Style w:val="31"/>
          <w:rFonts w:hint="eastAsia" w:ascii="宋体" w:hAnsi="宋体" w:eastAsia="宋体" w:cs="宋体"/>
          <w:color w:val="auto"/>
          <w:sz w:val="24"/>
          <w:szCs w:val="24"/>
          <w:highlight w:val="none"/>
        </w:rPr>
        <w:t>管子对口时一般应做到内壁齐平。如有错口，其错口值不应超过焊件厚度的10%，</w:t>
      </w:r>
    </w:p>
    <w:p w14:paraId="1EDA37CF">
      <w:pPr>
        <w:spacing w:line="360" w:lineRule="auto"/>
        <w:rPr>
          <w:rStyle w:val="31"/>
          <w:rFonts w:hint="eastAsia" w:ascii="宋体" w:hAnsi="宋体" w:eastAsia="宋体" w:cs="宋体"/>
          <w:color w:val="auto"/>
          <w:sz w:val="24"/>
          <w:szCs w:val="24"/>
          <w:highlight w:val="none"/>
        </w:rPr>
      </w:pPr>
      <w:r>
        <w:rPr>
          <w:rStyle w:val="31"/>
          <w:rFonts w:hint="eastAsia" w:ascii="宋体" w:hAnsi="宋体" w:eastAsia="宋体" w:cs="宋体"/>
          <w:color w:val="auto"/>
          <w:sz w:val="24"/>
          <w:szCs w:val="24"/>
          <w:highlight w:val="none"/>
        </w:rPr>
        <w:t>且不大于1mm。</w:t>
      </w:r>
    </w:p>
    <w:p w14:paraId="150C5CB4">
      <w:pPr>
        <w:spacing w:line="360" w:lineRule="auto"/>
        <w:rPr>
          <w:rStyle w:val="31"/>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6)对口间隙应符</w:t>
      </w:r>
      <w:r>
        <w:rPr>
          <w:rStyle w:val="31"/>
          <w:rFonts w:hint="eastAsia" w:ascii="宋体" w:hAnsi="宋体" w:eastAsia="宋体" w:cs="宋体"/>
          <w:color w:val="auto"/>
          <w:sz w:val="24"/>
          <w:szCs w:val="24"/>
          <w:highlight w:val="none"/>
        </w:rPr>
        <w:t>合焊接工艺卡要求，间隙过大或过小都应设法修整到规定尺寸，严禁强力对口或在间隙内加填塞物作为填充金属，更不允许利用热膨胀法对口。</w:t>
      </w:r>
    </w:p>
    <w:p w14:paraId="7436BD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5.4.10.9</w:t>
      </w:r>
      <w:r>
        <w:rPr>
          <w:rFonts w:hint="eastAsia" w:ascii="宋体" w:hAnsi="宋体" w:eastAsia="宋体" w:cs="宋体"/>
          <w:color w:val="auto"/>
          <w:sz w:val="24"/>
          <w:szCs w:val="24"/>
          <w:highlight w:val="none"/>
        </w:rPr>
        <w:t>组装定位</w:t>
      </w:r>
    </w:p>
    <w:p w14:paraId="3E82E814">
      <w:pPr>
        <w:spacing w:line="360" w:lineRule="auto"/>
        <w:rPr>
          <w:rStyle w:val="31"/>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Style w:val="31"/>
          <w:rFonts w:hint="eastAsia" w:ascii="宋体" w:hAnsi="宋体" w:eastAsia="宋体" w:cs="宋体"/>
          <w:color w:val="auto"/>
          <w:sz w:val="24"/>
          <w:szCs w:val="24"/>
          <w:highlight w:val="none"/>
        </w:rPr>
        <w:t>定位焊的工艺应与正式施焊工艺相一致。焊接电流可比正式焊接时稍高10%</w:t>
      </w:r>
      <w:r>
        <w:rPr>
          <w:rFonts w:hint="eastAsia" w:ascii="宋体" w:hAnsi="宋体" w:eastAsia="宋体" w:cs="宋体"/>
          <w:color w:val="auto"/>
          <w:sz w:val="24"/>
          <w:szCs w:val="24"/>
          <w:highlight w:val="none"/>
        </w:rPr>
        <w:t>～</w:t>
      </w:r>
      <w:r>
        <w:rPr>
          <w:rStyle w:val="31"/>
          <w:rFonts w:hint="eastAsia" w:ascii="宋体" w:hAnsi="宋体" w:eastAsia="宋体" w:cs="宋体"/>
          <w:color w:val="auto"/>
          <w:sz w:val="24"/>
          <w:szCs w:val="24"/>
          <w:highlight w:val="none"/>
        </w:rPr>
        <w:t>15%。</w:t>
      </w:r>
    </w:p>
    <w:p w14:paraId="4644652F">
      <w:pPr>
        <w:spacing w:line="360" w:lineRule="auto"/>
        <w:rPr>
          <w:rStyle w:val="31"/>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Style w:val="31"/>
          <w:rFonts w:hint="eastAsia" w:ascii="宋体" w:hAnsi="宋体" w:eastAsia="宋体" w:cs="宋体"/>
          <w:color w:val="auto"/>
          <w:sz w:val="24"/>
          <w:szCs w:val="24"/>
          <w:highlight w:val="none"/>
        </w:rPr>
        <w:t>定位焊可视焊件具体情况，可在1</w:t>
      </w:r>
      <w:r>
        <w:rPr>
          <w:rFonts w:hint="eastAsia" w:ascii="宋体" w:hAnsi="宋体" w:eastAsia="宋体" w:cs="宋体"/>
          <w:color w:val="auto"/>
          <w:sz w:val="24"/>
          <w:szCs w:val="24"/>
          <w:highlight w:val="none"/>
        </w:rPr>
        <w:t>～</w:t>
      </w:r>
      <w:r>
        <w:rPr>
          <w:rStyle w:val="31"/>
          <w:rFonts w:hint="eastAsia" w:ascii="宋体" w:hAnsi="宋体" w:eastAsia="宋体" w:cs="宋体"/>
          <w:color w:val="auto"/>
          <w:sz w:val="24"/>
          <w:szCs w:val="24"/>
          <w:highlight w:val="none"/>
        </w:rPr>
        <w:t>2处进行间断焊，间断焊长度15</w:t>
      </w:r>
      <w:r>
        <w:rPr>
          <w:rFonts w:hint="eastAsia" w:ascii="宋体" w:hAnsi="宋体" w:eastAsia="宋体" w:cs="宋体"/>
          <w:color w:val="auto"/>
          <w:sz w:val="24"/>
          <w:szCs w:val="24"/>
          <w:highlight w:val="none"/>
        </w:rPr>
        <w:t>～</w:t>
      </w:r>
      <w:r>
        <w:rPr>
          <w:rStyle w:val="31"/>
          <w:rFonts w:hint="eastAsia" w:ascii="宋体" w:hAnsi="宋体" w:eastAsia="宋体" w:cs="宋体"/>
          <w:color w:val="auto"/>
          <w:sz w:val="24"/>
          <w:szCs w:val="24"/>
          <w:highlight w:val="none"/>
        </w:rPr>
        <w:t>30mm。对</w:t>
      </w:r>
    </w:p>
    <w:p w14:paraId="5702A3F4">
      <w:pPr>
        <w:spacing w:line="360" w:lineRule="auto"/>
        <w:rPr>
          <w:rStyle w:val="31"/>
          <w:rFonts w:hint="eastAsia" w:ascii="宋体" w:hAnsi="宋体" w:eastAsia="宋体" w:cs="宋体"/>
          <w:color w:val="auto"/>
          <w:sz w:val="24"/>
          <w:szCs w:val="24"/>
          <w:highlight w:val="none"/>
        </w:rPr>
      </w:pPr>
      <w:r>
        <w:rPr>
          <w:rStyle w:val="31"/>
          <w:rFonts w:hint="eastAsia" w:ascii="宋体" w:hAnsi="宋体" w:eastAsia="宋体" w:cs="宋体"/>
          <w:color w:val="auto"/>
          <w:sz w:val="24"/>
          <w:szCs w:val="24"/>
          <w:highlight w:val="none"/>
        </w:rPr>
        <w:t>个别定位焊处需增加焊缝强度时，可适当增加间断焊长度。</w:t>
      </w:r>
    </w:p>
    <w:p w14:paraId="4920DD3A">
      <w:pPr>
        <w:spacing w:line="360" w:lineRule="auto"/>
        <w:rPr>
          <w:rStyle w:val="31"/>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Style w:val="31"/>
          <w:rFonts w:hint="eastAsia" w:ascii="宋体" w:hAnsi="宋体" w:eastAsia="宋体" w:cs="宋体"/>
          <w:color w:val="auto"/>
          <w:sz w:val="24"/>
          <w:szCs w:val="24"/>
          <w:highlight w:val="none"/>
        </w:rPr>
        <w:t>定位焊焊缝起头和收尾处不能过陡，应斜坡过渡。必要时可进行修磨。</w:t>
      </w:r>
    </w:p>
    <w:p w14:paraId="7AD07F46">
      <w:pPr>
        <w:spacing w:line="360" w:lineRule="auto"/>
        <w:rPr>
          <w:rStyle w:val="31"/>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Style w:val="31"/>
          <w:rFonts w:hint="eastAsia" w:ascii="宋体" w:hAnsi="宋体" w:eastAsia="宋体" w:cs="宋体"/>
          <w:color w:val="auto"/>
          <w:sz w:val="24"/>
          <w:szCs w:val="24"/>
          <w:highlight w:val="none"/>
        </w:rPr>
        <w:t>定位的间断焊焊缝焊后立即检查，如发现有焊接缺陷，应立即清除，重新进行间断</w:t>
      </w:r>
    </w:p>
    <w:p w14:paraId="489ED12B">
      <w:pPr>
        <w:spacing w:line="360" w:lineRule="auto"/>
        <w:ind w:left="425" w:hanging="425"/>
        <w:rPr>
          <w:rStyle w:val="31"/>
          <w:rFonts w:hint="eastAsia" w:ascii="宋体" w:hAnsi="宋体" w:eastAsia="宋体" w:cs="宋体"/>
          <w:color w:val="auto"/>
          <w:sz w:val="24"/>
          <w:szCs w:val="24"/>
          <w:highlight w:val="none"/>
        </w:rPr>
      </w:pPr>
      <w:r>
        <w:rPr>
          <w:rStyle w:val="31"/>
          <w:rFonts w:hint="eastAsia" w:ascii="宋体" w:hAnsi="宋体" w:eastAsia="宋体" w:cs="宋体"/>
          <w:color w:val="auto"/>
          <w:sz w:val="24"/>
          <w:szCs w:val="24"/>
          <w:highlight w:val="none"/>
        </w:rPr>
        <w:t>焊。</w:t>
      </w:r>
    </w:p>
    <w:p w14:paraId="2AC1D853">
      <w:pPr>
        <w:spacing w:line="360" w:lineRule="auto"/>
        <w:rPr>
          <w:rStyle w:val="31"/>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Style w:val="31"/>
          <w:rFonts w:hint="eastAsia" w:ascii="宋体" w:hAnsi="宋体" w:eastAsia="宋体" w:cs="宋体"/>
          <w:color w:val="auto"/>
          <w:sz w:val="24"/>
          <w:szCs w:val="24"/>
          <w:highlight w:val="none"/>
        </w:rPr>
        <w:t>手工电弧焊焊接工艺参数的选择严格按照焊接工艺卡或有关技术交底执行。</w:t>
      </w:r>
    </w:p>
    <w:p w14:paraId="7370B5C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5.4.10.10</w:t>
      </w:r>
      <w:r>
        <w:rPr>
          <w:rFonts w:hint="eastAsia" w:ascii="宋体" w:hAnsi="宋体" w:eastAsia="宋体" w:cs="宋体"/>
          <w:color w:val="auto"/>
          <w:sz w:val="24"/>
          <w:szCs w:val="24"/>
          <w:highlight w:val="none"/>
        </w:rPr>
        <w:t>焊后自检</w:t>
      </w:r>
    </w:p>
    <w:p w14:paraId="36F986CA">
      <w:pPr>
        <w:spacing w:line="360" w:lineRule="auto"/>
        <w:rPr>
          <w:rStyle w:val="31"/>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Style w:val="31"/>
          <w:rFonts w:hint="eastAsia" w:ascii="宋体" w:hAnsi="宋体" w:eastAsia="宋体" w:cs="宋体"/>
          <w:color w:val="auto"/>
          <w:sz w:val="24"/>
          <w:szCs w:val="24"/>
          <w:highlight w:val="none"/>
        </w:rPr>
        <w:t>焊口焊完后应及时进行清理，对不符合相关规定的外观缺陷进行打磨、补焊。补焊</w:t>
      </w:r>
    </w:p>
    <w:p w14:paraId="18580DC2">
      <w:pPr>
        <w:spacing w:line="360" w:lineRule="auto"/>
        <w:rPr>
          <w:rStyle w:val="31"/>
          <w:rFonts w:hint="eastAsia" w:ascii="宋体" w:hAnsi="宋体" w:eastAsia="宋体" w:cs="宋体"/>
          <w:color w:val="auto"/>
          <w:sz w:val="24"/>
          <w:szCs w:val="24"/>
          <w:highlight w:val="none"/>
        </w:rPr>
      </w:pPr>
      <w:r>
        <w:rPr>
          <w:rStyle w:val="31"/>
          <w:rFonts w:hint="eastAsia" w:ascii="宋体" w:hAnsi="宋体" w:eastAsia="宋体" w:cs="宋体"/>
          <w:color w:val="auto"/>
          <w:sz w:val="24"/>
          <w:szCs w:val="24"/>
          <w:highlight w:val="none"/>
        </w:rPr>
        <w:t>时的工艺要求与焊接时相同。</w:t>
      </w:r>
    </w:p>
    <w:p w14:paraId="71E320F8">
      <w:pPr>
        <w:spacing w:line="360" w:lineRule="auto"/>
        <w:rPr>
          <w:rStyle w:val="31"/>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Style w:val="31"/>
          <w:rFonts w:hint="eastAsia" w:ascii="宋体" w:hAnsi="宋体" w:eastAsia="宋体" w:cs="宋体"/>
          <w:color w:val="auto"/>
          <w:sz w:val="24"/>
          <w:szCs w:val="24"/>
          <w:highlight w:val="none"/>
        </w:rPr>
        <w:t>焊缝与母材应圆滑过渡，焊缝外形尺寸应符合设计要求，其允许尺寸应符合规范。</w:t>
      </w:r>
    </w:p>
    <w:p w14:paraId="7BD078AF">
      <w:pPr>
        <w:spacing w:line="360" w:lineRule="auto"/>
        <w:rPr>
          <w:rStyle w:val="31"/>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Style w:val="31"/>
          <w:rFonts w:hint="eastAsia" w:ascii="宋体" w:hAnsi="宋体" w:eastAsia="宋体" w:cs="宋体"/>
          <w:color w:val="auto"/>
          <w:sz w:val="24"/>
          <w:szCs w:val="24"/>
          <w:highlight w:val="none"/>
        </w:rPr>
        <w:t>焊缝和热影响区表面不得有裂纹、气孔、夹渣、未熔合、根部未焊透等表露缺陷，</w:t>
      </w:r>
    </w:p>
    <w:p w14:paraId="6C164C4E">
      <w:pPr>
        <w:spacing w:line="360" w:lineRule="auto"/>
        <w:ind w:left="425" w:hanging="425"/>
        <w:rPr>
          <w:rStyle w:val="31"/>
          <w:rFonts w:hint="eastAsia" w:ascii="宋体" w:hAnsi="宋体" w:eastAsia="宋体" w:cs="宋体"/>
          <w:color w:val="auto"/>
          <w:sz w:val="24"/>
          <w:szCs w:val="24"/>
          <w:highlight w:val="none"/>
        </w:rPr>
      </w:pPr>
      <w:r>
        <w:rPr>
          <w:rStyle w:val="31"/>
          <w:rFonts w:hint="eastAsia" w:ascii="宋体" w:hAnsi="宋体" w:eastAsia="宋体" w:cs="宋体"/>
          <w:color w:val="auto"/>
          <w:sz w:val="24"/>
          <w:szCs w:val="24"/>
          <w:highlight w:val="none"/>
        </w:rPr>
        <w:t>咬边、根部凸出、内凹等表露缺陷允许尺寸应符合要求。</w:t>
      </w:r>
    </w:p>
    <w:p w14:paraId="415C0865">
      <w:pPr>
        <w:spacing w:line="360" w:lineRule="auto"/>
        <w:rPr>
          <w:rStyle w:val="31"/>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Style w:val="31"/>
          <w:rFonts w:hint="eastAsia" w:ascii="宋体" w:hAnsi="宋体" w:eastAsia="宋体" w:cs="宋体"/>
          <w:color w:val="auto"/>
          <w:sz w:val="24"/>
          <w:szCs w:val="24"/>
          <w:highlight w:val="none"/>
        </w:rPr>
        <w:t>焊接角变形、管子外壁错口值应符合要求。</w:t>
      </w:r>
    </w:p>
    <w:p w14:paraId="79CE3D5D">
      <w:pPr>
        <w:spacing w:line="360" w:lineRule="auto"/>
        <w:rPr>
          <w:rStyle w:val="31"/>
          <w:rFonts w:hint="eastAsia" w:ascii="宋体" w:hAnsi="宋体" w:eastAsia="宋体" w:cs="宋体"/>
          <w:color w:val="auto"/>
          <w:sz w:val="24"/>
          <w:szCs w:val="24"/>
          <w:highlight w:val="none"/>
        </w:rPr>
      </w:pPr>
      <w:r>
        <w:rPr>
          <w:rStyle w:val="31"/>
          <w:rFonts w:hint="eastAsia" w:ascii="宋体" w:hAnsi="宋体" w:eastAsia="宋体" w:cs="宋体"/>
          <w:color w:val="auto"/>
          <w:sz w:val="24"/>
          <w:szCs w:val="24"/>
          <w:highlight w:val="none"/>
          <w:lang w:val="en-US" w:eastAsia="zh-CN"/>
        </w:rPr>
        <w:t>5.4.11</w:t>
      </w:r>
      <w:r>
        <w:rPr>
          <w:rStyle w:val="31"/>
          <w:rFonts w:hint="eastAsia" w:ascii="宋体" w:hAnsi="宋体" w:eastAsia="宋体" w:cs="宋体"/>
          <w:color w:val="auto"/>
          <w:sz w:val="24"/>
          <w:szCs w:val="24"/>
          <w:highlight w:val="none"/>
        </w:rPr>
        <w:t>施工项目</w:t>
      </w:r>
      <w:r>
        <w:rPr>
          <w:rStyle w:val="31"/>
          <w:rFonts w:hint="eastAsia" w:ascii="宋体" w:hAnsi="宋体" w:eastAsia="宋体" w:cs="宋体"/>
          <w:color w:val="auto"/>
          <w:sz w:val="24"/>
          <w:szCs w:val="24"/>
          <w:highlight w:val="none"/>
          <w:lang w:val="en-US" w:eastAsia="zh-CN"/>
        </w:rPr>
        <w:t>作业</w:t>
      </w:r>
      <w:r>
        <w:rPr>
          <w:rStyle w:val="31"/>
          <w:rFonts w:hint="eastAsia" w:ascii="宋体" w:hAnsi="宋体" w:eastAsia="宋体" w:cs="宋体"/>
          <w:color w:val="auto"/>
          <w:sz w:val="24"/>
          <w:szCs w:val="24"/>
          <w:highlight w:val="none"/>
        </w:rPr>
        <w:t>过程验收实行三级验收制度，在项目完工后按照体系文件要求，执行竣工验收程序</w:t>
      </w:r>
      <w:r>
        <w:rPr>
          <w:rStyle w:val="31"/>
          <w:rFonts w:hint="eastAsia" w:ascii="宋体" w:hAnsi="宋体" w:eastAsia="宋体" w:cs="宋体"/>
          <w:color w:val="auto"/>
          <w:sz w:val="24"/>
          <w:szCs w:val="24"/>
          <w:highlight w:val="none"/>
          <w:lang w:eastAsia="zh-CN"/>
        </w:rPr>
        <w:t>，</w:t>
      </w:r>
      <w:r>
        <w:rPr>
          <w:rStyle w:val="31"/>
          <w:rFonts w:hint="eastAsia" w:ascii="宋体" w:hAnsi="宋体" w:eastAsia="宋体" w:cs="宋体"/>
          <w:color w:val="auto"/>
          <w:sz w:val="24"/>
          <w:szCs w:val="24"/>
          <w:highlight w:val="none"/>
        </w:rPr>
        <w:t>竣工报告至少包括下列资料：</w:t>
      </w:r>
    </w:p>
    <w:p w14:paraId="72B2FE72">
      <w:pPr>
        <w:spacing w:line="360" w:lineRule="auto"/>
        <w:rPr>
          <w:rStyle w:val="31"/>
          <w:rFonts w:hint="eastAsia" w:ascii="宋体" w:hAnsi="宋体" w:eastAsia="宋体" w:cs="宋体"/>
          <w:color w:val="auto"/>
          <w:sz w:val="24"/>
          <w:szCs w:val="24"/>
          <w:highlight w:val="none"/>
        </w:rPr>
      </w:pPr>
      <w:r>
        <w:rPr>
          <w:rStyle w:val="31"/>
          <w:rFonts w:hint="eastAsia" w:ascii="宋体" w:hAnsi="宋体" w:eastAsia="宋体" w:cs="宋体"/>
          <w:color w:val="auto"/>
          <w:sz w:val="24"/>
          <w:szCs w:val="24"/>
          <w:highlight w:val="none"/>
        </w:rPr>
        <w:t>1）焊工作业特殊工种人员的有效证件复印件。</w:t>
      </w:r>
    </w:p>
    <w:p w14:paraId="782717B8">
      <w:pPr>
        <w:spacing w:line="360" w:lineRule="auto"/>
        <w:rPr>
          <w:rStyle w:val="31"/>
          <w:rFonts w:hint="eastAsia" w:ascii="宋体" w:hAnsi="宋体" w:eastAsia="宋体" w:cs="宋体"/>
          <w:color w:val="auto"/>
          <w:sz w:val="24"/>
          <w:szCs w:val="24"/>
          <w:highlight w:val="none"/>
        </w:rPr>
      </w:pPr>
      <w:r>
        <w:rPr>
          <w:rStyle w:val="31"/>
          <w:rFonts w:hint="eastAsia" w:ascii="宋体" w:hAnsi="宋体" w:eastAsia="宋体" w:cs="宋体"/>
          <w:color w:val="auto"/>
          <w:sz w:val="24"/>
          <w:szCs w:val="24"/>
          <w:highlight w:val="none"/>
        </w:rPr>
        <w:t>2）中间工序的关键点见证验收单。</w:t>
      </w:r>
    </w:p>
    <w:p w14:paraId="39B23552">
      <w:pPr>
        <w:spacing w:line="360" w:lineRule="auto"/>
        <w:rPr>
          <w:rStyle w:val="31"/>
          <w:rFonts w:hint="eastAsia" w:ascii="宋体" w:hAnsi="宋体" w:eastAsia="宋体" w:cs="宋体"/>
          <w:color w:val="auto"/>
          <w:sz w:val="24"/>
          <w:szCs w:val="24"/>
          <w:highlight w:val="none"/>
        </w:rPr>
      </w:pPr>
      <w:r>
        <w:rPr>
          <w:rStyle w:val="31"/>
          <w:rFonts w:hint="eastAsia" w:ascii="宋体" w:hAnsi="宋体" w:eastAsia="宋体" w:cs="宋体"/>
          <w:color w:val="auto"/>
          <w:sz w:val="24"/>
          <w:szCs w:val="24"/>
          <w:highlight w:val="none"/>
        </w:rPr>
        <w:t>3）整个检修资料装订成册，整体移交，向招标方移交一式三份，同时提交电子检修资料一套。</w:t>
      </w:r>
    </w:p>
    <w:p w14:paraId="66E00579">
      <w:pPr>
        <w:spacing w:line="360" w:lineRule="auto"/>
        <w:rPr>
          <w:rStyle w:val="31"/>
          <w:rFonts w:hint="eastAsia" w:ascii="宋体" w:hAnsi="宋体" w:eastAsia="宋体" w:cs="宋体"/>
          <w:color w:val="auto"/>
          <w:sz w:val="24"/>
          <w:szCs w:val="24"/>
          <w:highlight w:val="none"/>
        </w:rPr>
      </w:pPr>
      <w:r>
        <w:rPr>
          <w:rStyle w:val="31"/>
          <w:rFonts w:hint="eastAsia" w:ascii="宋体" w:hAnsi="宋体" w:eastAsia="宋体" w:cs="宋体"/>
          <w:color w:val="auto"/>
          <w:sz w:val="24"/>
          <w:szCs w:val="24"/>
          <w:highlight w:val="none"/>
          <w:lang w:val="en-US" w:eastAsia="zh-CN"/>
        </w:rPr>
        <w:t>4）</w:t>
      </w:r>
      <w:r>
        <w:rPr>
          <w:rStyle w:val="31"/>
          <w:rFonts w:hint="eastAsia" w:ascii="宋体" w:hAnsi="宋体" w:eastAsia="宋体" w:cs="宋体"/>
          <w:color w:val="auto"/>
          <w:sz w:val="24"/>
          <w:szCs w:val="24"/>
          <w:highlight w:val="none"/>
        </w:rPr>
        <w:t>投标人应对本项目范围内的材料、设备、施工组织、安全、文明生产、施工质量等一系列工作负责，特别是施工质量要求，质保期为1年</w:t>
      </w:r>
      <w:r>
        <w:rPr>
          <w:rStyle w:val="31"/>
          <w:rFonts w:hint="eastAsia" w:ascii="宋体" w:hAnsi="宋体" w:eastAsia="宋体" w:cs="宋体"/>
          <w:color w:val="auto"/>
          <w:sz w:val="24"/>
          <w:szCs w:val="24"/>
          <w:highlight w:val="none"/>
          <w:lang w:eastAsia="zh-CN"/>
        </w:rPr>
        <w:t>，</w:t>
      </w:r>
      <w:r>
        <w:rPr>
          <w:rStyle w:val="31"/>
          <w:rFonts w:hint="eastAsia" w:ascii="宋体" w:hAnsi="宋体" w:eastAsia="宋体" w:cs="宋体"/>
          <w:color w:val="auto"/>
          <w:sz w:val="24"/>
          <w:szCs w:val="24"/>
          <w:highlight w:val="none"/>
        </w:rPr>
        <w:t>在质保期1年内，检查发现包括但不限于安装不符合要求，投标人免费负责处理，并考核工程款5%。</w:t>
      </w:r>
    </w:p>
    <w:p w14:paraId="50E74AB7">
      <w:pPr>
        <w:pStyle w:val="109"/>
        <w:numPr>
          <w:ilvl w:val="4"/>
          <w:numId w:val="0"/>
        </w:num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5.5 检修项目及工日</w:t>
      </w:r>
    </w:p>
    <w:p w14:paraId="70F561E3">
      <w:pPr>
        <w:pStyle w:val="73"/>
        <w:adjustRightInd w:val="0"/>
        <w:snapToGrid w:val="0"/>
        <w:spacing w:line="360" w:lineRule="auto"/>
        <w:ind w:firstLine="0" w:firstLineChars="0"/>
        <w:rPr>
          <w:rStyle w:val="31"/>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5.5.1</w:t>
      </w:r>
      <w:r>
        <w:rPr>
          <w:rFonts w:hint="eastAsia" w:ascii="宋体" w:hAnsi="宋体" w:eastAsia="宋体" w:cs="宋体"/>
          <w:bCs/>
          <w:color w:val="auto"/>
          <w:sz w:val="24"/>
          <w:szCs w:val="24"/>
          <w:highlight w:val="none"/>
        </w:rPr>
        <w:t>RTO装置</w:t>
      </w:r>
      <w:r>
        <w:rPr>
          <w:rStyle w:val="31"/>
          <w:rFonts w:hint="eastAsia" w:ascii="宋体" w:hAnsi="宋体" w:eastAsia="宋体" w:cs="宋体"/>
          <w:color w:val="auto"/>
          <w:sz w:val="24"/>
          <w:szCs w:val="24"/>
          <w:highlight w:val="none"/>
        </w:rPr>
        <w:t>过热器</w:t>
      </w:r>
      <w:r>
        <w:rPr>
          <w:rStyle w:val="31"/>
          <w:rFonts w:hint="eastAsia" w:ascii="宋体" w:hAnsi="宋体" w:eastAsia="宋体" w:cs="宋体"/>
          <w:color w:val="auto"/>
          <w:sz w:val="24"/>
          <w:szCs w:val="24"/>
          <w:highlight w:val="none"/>
          <w:lang w:eastAsia="zh-CN"/>
        </w:rPr>
        <w:t>（</w:t>
      </w:r>
      <w:r>
        <w:rPr>
          <w:rFonts w:hint="eastAsia" w:ascii="宋体" w:hAnsi="宋体" w:eastAsia="宋体" w:cs="宋体"/>
          <w:color w:val="auto"/>
          <w:kern w:val="0"/>
          <w:sz w:val="24"/>
          <w:szCs w:val="24"/>
          <w:highlight w:val="none"/>
          <w:lang w:bidi="ar"/>
        </w:rPr>
        <w:t>A/B</w:t>
      </w:r>
      <w:r>
        <w:rPr>
          <w:rFonts w:hint="eastAsia" w:ascii="宋体" w:hAnsi="宋体" w:eastAsia="宋体" w:cs="宋体"/>
          <w:color w:val="auto"/>
          <w:kern w:val="0"/>
          <w:sz w:val="24"/>
          <w:szCs w:val="24"/>
          <w:highlight w:val="none"/>
          <w:lang w:eastAsia="zh-CN" w:bidi="ar"/>
        </w:rPr>
        <w:t>）</w:t>
      </w:r>
      <w:r>
        <w:rPr>
          <w:rStyle w:val="31"/>
          <w:rFonts w:hint="eastAsia" w:ascii="宋体" w:hAnsi="宋体" w:eastAsia="宋体" w:cs="宋体"/>
          <w:color w:val="auto"/>
          <w:sz w:val="24"/>
          <w:szCs w:val="24"/>
          <w:highlight w:val="none"/>
          <w:lang w:eastAsia="zh-CN"/>
        </w:rPr>
        <w:t>、</w:t>
      </w:r>
      <w:r>
        <w:rPr>
          <w:rStyle w:val="31"/>
          <w:rFonts w:hint="eastAsia" w:ascii="宋体" w:hAnsi="宋体" w:eastAsia="宋体" w:cs="宋体"/>
          <w:color w:val="auto"/>
          <w:sz w:val="24"/>
          <w:szCs w:val="24"/>
          <w:highlight w:val="none"/>
          <w:lang w:val="en-US" w:eastAsia="zh-CN"/>
        </w:rPr>
        <w:t>省煤器</w:t>
      </w:r>
      <w:r>
        <w:rPr>
          <w:rStyle w:val="31"/>
          <w:rFonts w:hint="eastAsia" w:ascii="宋体" w:hAnsi="宋体" w:eastAsia="宋体" w:cs="宋体"/>
          <w:color w:val="auto"/>
          <w:sz w:val="24"/>
          <w:szCs w:val="24"/>
          <w:highlight w:val="none"/>
        </w:rPr>
        <w:t>清理</w:t>
      </w:r>
      <w:r>
        <w:rPr>
          <w:rStyle w:val="31"/>
          <w:rFonts w:hint="eastAsia" w:ascii="宋体" w:hAnsi="宋体" w:eastAsia="宋体" w:cs="宋体"/>
          <w:color w:val="auto"/>
          <w:sz w:val="24"/>
          <w:szCs w:val="24"/>
          <w:highlight w:val="none"/>
          <w:lang w:eastAsia="zh-CN"/>
        </w:rPr>
        <w:t>（</w:t>
      </w:r>
      <w:r>
        <w:rPr>
          <w:rFonts w:hint="eastAsia" w:ascii="宋体" w:hAnsi="宋体" w:eastAsia="宋体" w:cs="宋体"/>
          <w:color w:val="auto"/>
          <w:kern w:val="0"/>
          <w:sz w:val="24"/>
          <w:szCs w:val="24"/>
          <w:highlight w:val="none"/>
          <w:lang w:bidi="ar"/>
        </w:rPr>
        <w:t>A/B</w:t>
      </w:r>
      <w:r>
        <w:rPr>
          <w:rFonts w:hint="eastAsia" w:ascii="宋体" w:hAnsi="宋体" w:eastAsia="宋体" w:cs="宋体"/>
          <w:color w:val="auto"/>
          <w:kern w:val="0"/>
          <w:sz w:val="24"/>
          <w:szCs w:val="24"/>
          <w:highlight w:val="none"/>
          <w:lang w:eastAsia="zh-CN" w:bidi="ar"/>
        </w:rPr>
        <w:t>）</w:t>
      </w:r>
      <w:r>
        <w:rPr>
          <w:rStyle w:val="31"/>
          <w:rFonts w:hint="eastAsia" w:ascii="宋体" w:hAnsi="宋体" w:eastAsia="宋体" w:cs="宋体"/>
          <w:color w:val="auto"/>
          <w:sz w:val="24"/>
          <w:szCs w:val="24"/>
          <w:highlight w:val="none"/>
        </w:rPr>
        <w:t>作业</w:t>
      </w:r>
      <w:r>
        <w:rPr>
          <w:rFonts w:hint="eastAsia" w:ascii="宋体" w:hAnsi="宋体" w:eastAsia="宋体" w:cs="宋体"/>
          <w:bCs/>
          <w:color w:val="auto"/>
          <w:sz w:val="24"/>
          <w:szCs w:val="24"/>
          <w:highlight w:val="none"/>
        </w:rPr>
        <w:t>具体工程量清单如下：</w:t>
      </w:r>
    </w:p>
    <w:tbl>
      <w:tblPr>
        <w:tblStyle w:val="27"/>
        <w:tblW w:w="96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6"/>
        <w:gridCol w:w="5745"/>
        <w:gridCol w:w="1014"/>
        <w:gridCol w:w="1050"/>
        <w:gridCol w:w="885"/>
      </w:tblGrid>
      <w:tr w14:paraId="1AE96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8745" w:type="dxa"/>
            <w:gridSpan w:val="4"/>
            <w:tcBorders>
              <w:top w:val="nil"/>
              <w:left w:val="nil"/>
              <w:bottom w:val="nil"/>
              <w:right w:val="nil"/>
            </w:tcBorders>
            <w:shd w:val="clear" w:color="auto" w:fill="FFFFFF"/>
            <w:noWrap/>
            <w:vAlign w:val="center"/>
          </w:tcPr>
          <w:p w14:paraId="6796F960">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RTO过热器A/B、省煤器A/B清理施工</w:t>
            </w:r>
          </w:p>
        </w:tc>
        <w:tc>
          <w:tcPr>
            <w:tcW w:w="885" w:type="dxa"/>
            <w:tcBorders>
              <w:top w:val="nil"/>
              <w:left w:val="nil"/>
              <w:bottom w:val="nil"/>
              <w:right w:val="nil"/>
            </w:tcBorders>
            <w:shd w:val="clear" w:color="auto" w:fill="auto"/>
            <w:noWrap/>
            <w:vAlign w:val="center"/>
          </w:tcPr>
          <w:p w14:paraId="434EF47A">
            <w:pPr>
              <w:rPr>
                <w:rFonts w:hint="eastAsia" w:ascii="宋体" w:hAnsi="宋体" w:eastAsia="宋体" w:cs="宋体"/>
                <w:i w:val="0"/>
                <w:iCs w:val="0"/>
                <w:color w:val="auto"/>
                <w:sz w:val="24"/>
                <w:szCs w:val="24"/>
                <w:highlight w:val="none"/>
                <w:u w:val="none"/>
              </w:rPr>
            </w:pPr>
          </w:p>
        </w:tc>
      </w:tr>
      <w:tr w14:paraId="679AA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nil"/>
              <w:left w:val="nil"/>
              <w:bottom w:val="nil"/>
              <w:right w:val="nil"/>
            </w:tcBorders>
            <w:shd w:val="clear" w:color="auto" w:fill="FFFFFF"/>
            <w:noWrap/>
            <w:vAlign w:val="center"/>
          </w:tcPr>
          <w:p w14:paraId="233CEC2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单位：</w:t>
            </w:r>
          </w:p>
        </w:tc>
        <w:tc>
          <w:tcPr>
            <w:tcW w:w="0" w:type="auto"/>
            <w:tcBorders>
              <w:top w:val="nil"/>
              <w:left w:val="nil"/>
              <w:bottom w:val="nil"/>
              <w:right w:val="nil"/>
            </w:tcBorders>
            <w:shd w:val="clear" w:color="auto" w:fill="FFFFFF"/>
            <w:noWrap/>
            <w:vAlign w:val="center"/>
          </w:tcPr>
          <w:p w14:paraId="0C1AEA9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伊犁新天煤化工有限责任公司</w:t>
            </w:r>
          </w:p>
        </w:tc>
        <w:tc>
          <w:tcPr>
            <w:tcW w:w="0" w:type="auto"/>
            <w:tcBorders>
              <w:top w:val="nil"/>
              <w:left w:val="nil"/>
              <w:bottom w:val="nil"/>
              <w:right w:val="nil"/>
            </w:tcBorders>
            <w:shd w:val="clear" w:color="auto" w:fill="FFFFFF"/>
            <w:noWrap/>
            <w:vAlign w:val="center"/>
          </w:tcPr>
          <w:p w14:paraId="7E6545A7">
            <w:pPr>
              <w:jc w:val="center"/>
              <w:rPr>
                <w:rFonts w:hint="eastAsia" w:ascii="宋体" w:hAnsi="宋体" w:eastAsia="宋体" w:cs="宋体"/>
                <w:b/>
                <w:bCs/>
                <w:i w:val="0"/>
                <w:iCs w:val="0"/>
                <w:color w:val="auto"/>
                <w:sz w:val="24"/>
                <w:szCs w:val="24"/>
                <w:highlight w:val="none"/>
                <w:u w:val="none"/>
              </w:rPr>
            </w:pPr>
          </w:p>
        </w:tc>
        <w:tc>
          <w:tcPr>
            <w:tcW w:w="0" w:type="auto"/>
            <w:tcBorders>
              <w:top w:val="nil"/>
              <w:left w:val="nil"/>
              <w:bottom w:val="nil"/>
              <w:right w:val="nil"/>
            </w:tcBorders>
            <w:shd w:val="clear" w:color="auto" w:fill="FFFFFF"/>
            <w:noWrap/>
            <w:vAlign w:val="center"/>
          </w:tcPr>
          <w:p w14:paraId="3FE5D2A4">
            <w:pPr>
              <w:jc w:val="center"/>
              <w:rPr>
                <w:rFonts w:hint="eastAsia" w:ascii="宋体" w:hAnsi="宋体" w:eastAsia="宋体" w:cs="宋体"/>
                <w:b/>
                <w:bCs/>
                <w:i w:val="0"/>
                <w:iCs w:val="0"/>
                <w:color w:val="auto"/>
                <w:sz w:val="24"/>
                <w:szCs w:val="24"/>
                <w:highlight w:val="none"/>
                <w:u w:val="none"/>
              </w:rPr>
            </w:pPr>
          </w:p>
        </w:tc>
        <w:tc>
          <w:tcPr>
            <w:tcW w:w="0" w:type="auto"/>
            <w:tcBorders>
              <w:top w:val="nil"/>
              <w:left w:val="nil"/>
              <w:bottom w:val="nil"/>
              <w:right w:val="nil"/>
            </w:tcBorders>
            <w:shd w:val="clear" w:color="auto" w:fill="auto"/>
            <w:noWrap/>
            <w:vAlign w:val="center"/>
          </w:tcPr>
          <w:p w14:paraId="1A3287FF">
            <w:pPr>
              <w:rPr>
                <w:rFonts w:hint="eastAsia" w:ascii="宋体" w:hAnsi="宋体" w:eastAsia="宋体" w:cs="宋体"/>
                <w:i w:val="0"/>
                <w:iCs w:val="0"/>
                <w:color w:val="auto"/>
                <w:sz w:val="24"/>
                <w:szCs w:val="24"/>
                <w:highlight w:val="none"/>
                <w:u w:val="none"/>
              </w:rPr>
            </w:pPr>
          </w:p>
        </w:tc>
      </w:tr>
      <w:tr w14:paraId="2F75E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5FD0ED">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9F7F86">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项目特征</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E0FBA">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计量单位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A9603">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工程量</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2AB0A">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备注</w:t>
            </w:r>
          </w:p>
        </w:tc>
      </w:tr>
      <w:tr w14:paraId="20E1B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D5B70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57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8D239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入厂培训、安全交底、现场施工准备</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00423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ED05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A8399">
            <w:pPr>
              <w:rPr>
                <w:rFonts w:hint="eastAsia" w:ascii="宋体" w:hAnsi="宋体" w:eastAsia="宋体" w:cs="宋体"/>
                <w:i w:val="0"/>
                <w:iCs w:val="0"/>
                <w:color w:val="auto"/>
                <w:sz w:val="24"/>
                <w:szCs w:val="24"/>
                <w:highlight w:val="none"/>
                <w:u w:val="none"/>
              </w:rPr>
            </w:pPr>
          </w:p>
        </w:tc>
      </w:tr>
      <w:tr w14:paraId="2F885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3911B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57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287B6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系统隔离及安全措施；</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0C0C8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D296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91A40">
            <w:pPr>
              <w:rPr>
                <w:rFonts w:hint="eastAsia" w:ascii="宋体" w:hAnsi="宋体" w:eastAsia="宋体" w:cs="宋体"/>
                <w:i w:val="0"/>
                <w:iCs w:val="0"/>
                <w:color w:val="auto"/>
                <w:sz w:val="24"/>
                <w:szCs w:val="24"/>
                <w:highlight w:val="none"/>
                <w:u w:val="none"/>
              </w:rPr>
            </w:pPr>
          </w:p>
        </w:tc>
      </w:tr>
      <w:tr w14:paraId="5D036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9AB5C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5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8FC0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RTO过热器A/B、省煤器A/B顶部，使用气割工具割除800㎜*800㎜人孔4处。</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CBEDA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7B07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09F3E">
            <w:pPr>
              <w:rPr>
                <w:rFonts w:hint="eastAsia" w:ascii="宋体" w:hAnsi="宋体" w:eastAsia="宋体" w:cs="宋体"/>
                <w:i w:val="0"/>
                <w:iCs w:val="0"/>
                <w:color w:val="auto"/>
                <w:sz w:val="24"/>
                <w:szCs w:val="24"/>
                <w:highlight w:val="none"/>
                <w:u w:val="none"/>
              </w:rPr>
            </w:pPr>
          </w:p>
        </w:tc>
      </w:tr>
      <w:tr w14:paraId="6935D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0E964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5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04CA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1、RTO过热器清理A/B、省煤器A/B夹缝保温棉内部使用制作专用工具清理（受限作业）                        2、安装气泵，对夹缝进行吹扫，将内部灰尘及散落保温棉吹出。                  </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5993A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9E30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BC189">
            <w:pPr>
              <w:rPr>
                <w:rFonts w:hint="eastAsia" w:ascii="宋体" w:hAnsi="宋体" w:eastAsia="宋体" w:cs="宋体"/>
                <w:i w:val="0"/>
                <w:iCs w:val="0"/>
                <w:color w:val="auto"/>
                <w:sz w:val="24"/>
                <w:szCs w:val="24"/>
                <w:highlight w:val="none"/>
                <w:u w:val="none"/>
              </w:rPr>
            </w:pPr>
          </w:p>
        </w:tc>
      </w:tr>
      <w:tr w14:paraId="57D8F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11F9F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5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2FB6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恢复回装RTO过热器A/B、省煤器A/B顶部4处800㎜*800㎜人孔。1、800㎜*800人孔下料4件；2、800㎜*800㎜人孔坡口打磨4处；3、800㎜*800㎜人孔使用手工焊焊接恢复。</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581D0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9E1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C6FAC">
            <w:pPr>
              <w:rPr>
                <w:rFonts w:hint="eastAsia" w:ascii="宋体" w:hAnsi="宋体" w:eastAsia="宋体" w:cs="宋体"/>
                <w:i w:val="0"/>
                <w:iCs w:val="0"/>
                <w:color w:val="auto"/>
                <w:sz w:val="24"/>
                <w:szCs w:val="24"/>
                <w:highlight w:val="none"/>
                <w:u w:val="none"/>
              </w:rPr>
            </w:pPr>
          </w:p>
        </w:tc>
      </w:tr>
      <w:tr w14:paraId="04741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24DB0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57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05E1E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工完场清，废料及垃圾运至甲方指定地点；</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93C9C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AFEC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8F18C">
            <w:pPr>
              <w:rPr>
                <w:rFonts w:hint="eastAsia" w:ascii="宋体" w:hAnsi="宋体" w:eastAsia="宋体" w:cs="宋体"/>
                <w:i w:val="0"/>
                <w:iCs w:val="0"/>
                <w:color w:val="auto"/>
                <w:sz w:val="24"/>
                <w:szCs w:val="24"/>
                <w:highlight w:val="none"/>
                <w:u w:val="none"/>
              </w:rPr>
            </w:pPr>
          </w:p>
        </w:tc>
      </w:tr>
      <w:tr w14:paraId="5AA24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0D16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D76A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合计</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F1005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0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100E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1FF9F">
            <w:pPr>
              <w:rPr>
                <w:rFonts w:hint="eastAsia" w:ascii="宋体" w:hAnsi="宋体" w:eastAsia="宋体" w:cs="宋体"/>
                <w:i w:val="0"/>
                <w:iCs w:val="0"/>
                <w:color w:val="auto"/>
                <w:sz w:val="24"/>
                <w:szCs w:val="24"/>
                <w:highlight w:val="none"/>
                <w:u w:val="none"/>
              </w:rPr>
            </w:pPr>
          </w:p>
        </w:tc>
      </w:tr>
    </w:tbl>
    <w:p w14:paraId="0D2399A6">
      <w:pPr>
        <w:spacing w:line="360" w:lineRule="auto"/>
        <w:rPr>
          <w:rFonts w:hint="eastAsia" w:ascii="宋体" w:hAnsi="宋体" w:eastAsia="宋体" w:cs="宋体"/>
          <w:color w:val="auto"/>
          <w:sz w:val="24"/>
          <w:szCs w:val="24"/>
          <w:highlight w:val="none"/>
        </w:rPr>
      </w:pPr>
    </w:p>
    <w:p w14:paraId="131EB307">
      <w:pPr>
        <w:pStyle w:val="73"/>
        <w:adjustRightInd w:val="0"/>
        <w:snapToGrid w:val="0"/>
        <w:spacing w:line="360" w:lineRule="auto"/>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5.5.2</w:t>
      </w:r>
      <w:r>
        <w:rPr>
          <w:rFonts w:hint="eastAsia" w:ascii="宋体" w:hAnsi="宋体" w:eastAsia="宋体" w:cs="宋体"/>
          <w:color w:val="auto"/>
          <w:sz w:val="24"/>
          <w:szCs w:val="24"/>
          <w:highlight w:val="none"/>
        </w:rPr>
        <w:t>RTO</w:t>
      </w:r>
      <w:r>
        <w:rPr>
          <w:rFonts w:hint="eastAsia" w:ascii="宋体" w:hAnsi="宋体" w:eastAsia="宋体" w:cs="宋体"/>
          <w:color w:val="auto"/>
          <w:sz w:val="24"/>
          <w:szCs w:val="24"/>
          <w:highlight w:val="none"/>
          <w:lang w:val="en-US" w:eastAsia="zh-CN"/>
        </w:rPr>
        <w:t>高温旁通阀、高温</w:t>
      </w:r>
      <w:r>
        <w:rPr>
          <w:rFonts w:hint="eastAsia" w:ascii="宋体" w:hAnsi="宋体" w:eastAsia="宋体" w:cs="宋体"/>
          <w:color w:val="auto"/>
          <w:sz w:val="24"/>
          <w:szCs w:val="24"/>
          <w:highlight w:val="none"/>
        </w:rPr>
        <w:t>膨胀节更换项目</w:t>
      </w:r>
      <w:r>
        <w:rPr>
          <w:rFonts w:hint="eastAsia" w:ascii="宋体" w:hAnsi="宋体" w:eastAsia="宋体" w:cs="宋体"/>
          <w:bCs/>
          <w:color w:val="auto"/>
          <w:sz w:val="24"/>
          <w:szCs w:val="24"/>
          <w:highlight w:val="none"/>
        </w:rPr>
        <w:t>具体工程量清单如下：</w:t>
      </w:r>
    </w:p>
    <w:tbl>
      <w:tblPr>
        <w:tblStyle w:val="27"/>
        <w:tblW w:w="90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26"/>
        <w:gridCol w:w="4273"/>
        <w:gridCol w:w="1268"/>
        <w:gridCol w:w="1268"/>
        <w:gridCol w:w="1080"/>
      </w:tblGrid>
      <w:tr w14:paraId="41E85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935" w:type="dxa"/>
            <w:gridSpan w:val="4"/>
            <w:tcBorders>
              <w:top w:val="nil"/>
              <w:left w:val="nil"/>
              <w:bottom w:val="nil"/>
              <w:right w:val="nil"/>
            </w:tcBorders>
            <w:shd w:val="clear" w:color="auto" w:fill="FFFFFF"/>
            <w:noWrap/>
            <w:vAlign w:val="center"/>
          </w:tcPr>
          <w:p w14:paraId="4E1DA7C4">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RTO高温旁通阀更换及膨胀节更换施工</w:t>
            </w:r>
          </w:p>
        </w:tc>
        <w:tc>
          <w:tcPr>
            <w:tcW w:w="1080" w:type="dxa"/>
            <w:tcBorders>
              <w:top w:val="nil"/>
              <w:left w:val="nil"/>
              <w:bottom w:val="nil"/>
              <w:right w:val="nil"/>
            </w:tcBorders>
            <w:shd w:val="clear" w:color="auto" w:fill="auto"/>
            <w:noWrap/>
            <w:vAlign w:val="center"/>
          </w:tcPr>
          <w:p w14:paraId="1B4A6BDE">
            <w:pPr>
              <w:rPr>
                <w:rFonts w:hint="eastAsia" w:ascii="宋体" w:hAnsi="宋体" w:eastAsia="宋体" w:cs="宋体"/>
                <w:i w:val="0"/>
                <w:iCs w:val="0"/>
                <w:color w:val="auto"/>
                <w:sz w:val="24"/>
                <w:szCs w:val="24"/>
                <w:highlight w:val="none"/>
                <w:u w:val="none"/>
              </w:rPr>
            </w:pPr>
          </w:p>
        </w:tc>
      </w:tr>
      <w:tr w14:paraId="6F7CE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nil"/>
              <w:left w:val="nil"/>
              <w:bottom w:val="nil"/>
              <w:right w:val="nil"/>
            </w:tcBorders>
            <w:shd w:val="clear" w:color="auto" w:fill="FFFFFF"/>
            <w:noWrap/>
            <w:vAlign w:val="center"/>
          </w:tcPr>
          <w:p w14:paraId="1D8AA7C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单位：</w:t>
            </w:r>
          </w:p>
        </w:tc>
        <w:tc>
          <w:tcPr>
            <w:tcW w:w="0" w:type="auto"/>
            <w:tcBorders>
              <w:top w:val="nil"/>
              <w:left w:val="nil"/>
              <w:bottom w:val="nil"/>
              <w:right w:val="nil"/>
            </w:tcBorders>
            <w:shd w:val="clear" w:color="auto" w:fill="FFFFFF"/>
            <w:noWrap/>
            <w:vAlign w:val="center"/>
          </w:tcPr>
          <w:p w14:paraId="7B77296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伊犁新天煤化工有限责任公司</w:t>
            </w:r>
          </w:p>
        </w:tc>
        <w:tc>
          <w:tcPr>
            <w:tcW w:w="0" w:type="auto"/>
            <w:tcBorders>
              <w:top w:val="nil"/>
              <w:left w:val="nil"/>
              <w:bottom w:val="nil"/>
              <w:right w:val="nil"/>
            </w:tcBorders>
            <w:shd w:val="clear" w:color="auto" w:fill="FFFFFF"/>
            <w:noWrap/>
            <w:vAlign w:val="center"/>
          </w:tcPr>
          <w:p w14:paraId="1EAE056D">
            <w:pPr>
              <w:jc w:val="center"/>
              <w:rPr>
                <w:rFonts w:hint="eastAsia" w:ascii="宋体" w:hAnsi="宋体" w:eastAsia="宋体" w:cs="宋体"/>
                <w:b/>
                <w:bCs/>
                <w:i w:val="0"/>
                <w:iCs w:val="0"/>
                <w:color w:val="auto"/>
                <w:sz w:val="24"/>
                <w:szCs w:val="24"/>
                <w:highlight w:val="none"/>
                <w:u w:val="none"/>
              </w:rPr>
            </w:pPr>
          </w:p>
        </w:tc>
        <w:tc>
          <w:tcPr>
            <w:tcW w:w="0" w:type="auto"/>
            <w:tcBorders>
              <w:top w:val="nil"/>
              <w:left w:val="nil"/>
              <w:bottom w:val="nil"/>
              <w:right w:val="nil"/>
            </w:tcBorders>
            <w:shd w:val="clear" w:color="auto" w:fill="FFFFFF"/>
            <w:noWrap/>
            <w:vAlign w:val="center"/>
          </w:tcPr>
          <w:p w14:paraId="79B26316">
            <w:pPr>
              <w:jc w:val="center"/>
              <w:rPr>
                <w:rFonts w:hint="eastAsia" w:ascii="宋体" w:hAnsi="宋体" w:eastAsia="宋体" w:cs="宋体"/>
                <w:b/>
                <w:bCs/>
                <w:i w:val="0"/>
                <w:iCs w:val="0"/>
                <w:color w:val="auto"/>
                <w:sz w:val="24"/>
                <w:szCs w:val="24"/>
                <w:highlight w:val="none"/>
                <w:u w:val="none"/>
              </w:rPr>
            </w:pPr>
          </w:p>
        </w:tc>
        <w:tc>
          <w:tcPr>
            <w:tcW w:w="0" w:type="auto"/>
            <w:tcBorders>
              <w:top w:val="nil"/>
              <w:left w:val="nil"/>
              <w:bottom w:val="nil"/>
              <w:right w:val="nil"/>
            </w:tcBorders>
            <w:shd w:val="clear" w:color="auto" w:fill="auto"/>
            <w:noWrap/>
            <w:vAlign w:val="center"/>
          </w:tcPr>
          <w:p w14:paraId="6E7FD1BF">
            <w:pPr>
              <w:rPr>
                <w:rFonts w:hint="eastAsia" w:ascii="宋体" w:hAnsi="宋体" w:eastAsia="宋体" w:cs="宋体"/>
                <w:i w:val="0"/>
                <w:iCs w:val="0"/>
                <w:color w:val="auto"/>
                <w:sz w:val="24"/>
                <w:szCs w:val="24"/>
                <w:highlight w:val="none"/>
                <w:u w:val="none"/>
              </w:rPr>
            </w:pPr>
          </w:p>
        </w:tc>
      </w:tr>
      <w:tr w14:paraId="7E47A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4DC8DB">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A24E13">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项目特征</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1095B">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计量单位</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89539">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工程量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D4D7A">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备注</w:t>
            </w:r>
          </w:p>
        </w:tc>
      </w:tr>
      <w:tr w14:paraId="13420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52E32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37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9FB5A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入厂培训、安全交底、现场施工准备</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7AB26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4271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7309E">
            <w:pPr>
              <w:rPr>
                <w:rFonts w:hint="eastAsia" w:ascii="宋体" w:hAnsi="宋体" w:eastAsia="宋体" w:cs="宋体"/>
                <w:i w:val="0"/>
                <w:iCs w:val="0"/>
                <w:color w:val="auto"/>
                <w:sz w:val="24"/>
                <w:szCs w:val="24"/>
                <w:highlight w:val="none"/>
                <w:u w:val="none"/>
              </w:rPr>
            </w:pPr>
          </w:p>
        </w:tc>
      </w:tr>
      <w:tr w14:paraId="21D8C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1051F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37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007B4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系统隔离及安全措施；</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38D6B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2FBD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2BC59">
            <w:pPr>
              <w:rPr>
                <w:rFonts w:hint="eastAsia" w:ascii="宋体" w:hAnsi="宋体" w:eastAsia="宋体" w:cs="宋体"/>
                <w:i w:val="0"/>
                <w:iCs w:val="0"/>
                <w:color w:val="auto"/>
                <w:sz w:val="24"/>
                <w:szCs w:val="24"/>
                <w:highlight w:val="none"/>
                <w:u w:val="none"/>
              </w:rPr>
            </w:pPr>
          </w:p>
        </w:tc>
      </w:tr>
      <w:tr w14:paraId="5E3EC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8C725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3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4801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18台DN1400旧高温旁通阀割除（18道口）</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6F3B2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437A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55381">
            <w:pPr>
              <w:rPr>
                <w:rFonts w:hint="eastAsia" w:ascii="宋体" w:hAnsi="宋体" w:eastAsia="宋体" w:cs="宋体"/>
                <w:i w:val="0"/>
                <w:iCs w:val="0"/>
                <w:color w:val="auto"/>
                <w:sz w:val="24"/>
                <w:szCs w:val="24"/>
                <w:highlight w:val="none"/>
                <w:u w:val="none"/>
              </w:rPr>
            </w:pPr>
          </w:p>
        </w:tc>
      </w:tr>
      <w:tr w14:paraId="1FB10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09418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3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1DA2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18台DN1400旧高温旁通阀吊装</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1CD80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C226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2EC53">
            <w:pPr>
              <w:rPr>
                <w:rFonts w:hint="eastAsia" w:ascii="宋体" w:hAnsi="宋体" w:eastAsia="宋体" w:cs="宋体"/>
                <w:i w:val="0"/>
                <w:iCs w:val="0"/>
                <w:color w:val="auto"/>
                <w:sz w:val="24"/>
                <w:szCs w:val="24"/>
                <w:highlight w:val="none"/>
                <w:u w:val="none"/>
              </w:rPr>
            </w:pPr>
          </w:p>
        </w:tc>
      </w:tr>
      <w:tr w14:paraId="48B79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AC7C5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3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918B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36道DN1400法兰螺栓拆除</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6365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9444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69415">
            <w:pPr>
              <w:rPr>
                <w:rFonts w:hint="eastAsia" w:ascii="宋体" w:hAnsi="宋体" w:eastAsia="宋体" w:cs="宋体"/>
                <w:i w:val="0"/>
                <w:iCs w:val="0"/>
                <w:color w:val="auto"/>
                <w:sz w:val="24"/>
                <w:szCs w:val="24"/>
                <w:highlight w:val="none"/>
                <w:u w:val="none"/>
              </w:rPr>
            </w:pPr>
          </w:p>
        </w:tc>
      </w:tr>
      <w:tr w14:paraId="0B18D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96B68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3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90AD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72道DN1400法兰面及螺栓清理</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249C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B33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71C38">
            <w:pPr>
              <w:rPr>
                <w:rFonts w:hint="eastAsia" w:ascii="宋体" w:hAnsi="宋体" w:eastAsia="宋体" w:cs="宋体"/>
                <w:i w:val="0"/>
                <w:iCs w:val="0"/>
                <w:color w:val="auto"/>
                <w:sz w:val="24"/>
                <w:szCs w:val="24"/>
                <w:highlight w:val="none"/>
                <w:u w:val="none"/>
              </w:rPr>
            </w:pPr>
          </w:p>
        </w:tc>
      </w:tr>
      <w:tr w14:paraId="4D91B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F587A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3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1B18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36道DN1400法兰螺栓安装及紧固</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316C1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00A0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A5BFC">
            <w:pPr>
              <w:rPr>
                <w:rFonts w:hint="eastAsia" w:ascii="宋体" w:hAnsi="宋体" w:eastAsia="宋体" w:cs="宋体"/>
                <w:i w:val="0"/>
                <w:iCs w:val="0"/>
                <w:color w:val="auto"/>
                <w:sz w:val="24"/>
                <w:szCs w:val="24"/>
                <w:highlight w:val="none"/>
                <w:u w:val="none"/>
              </w:rPr>
            </w:pPr>
          </w:p>
        </w:tc>
      </w:tr>
      <w:tr w14:paraId="526B2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8D78A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3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C65E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36道DN1300/6mm坡口打磨</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8FEA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CBA7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29892">
            <w:pPr>
              <w:rPr>
                <w:rFonts w:hint="eastAsia" w:ascii="宋体" w:hAnsi="宋体" w:eastAsia="宋体" w:cs="宋体"/>
                <w:i w:val="0"/>
                <w:iCs w:val="0"/>
                <w:color w:val="auto"/>
                <w:sz w:val="24"/>
                <w:szCs w:val="24"/>
                <w:highlight w:val="none"/>
                <w:u w:val="none"/>
              </w:rPr>
            </w:pPr>
          </w:p>
        </w:tc>
      </w:tr>
      <w:tr w14:paraId="70973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0E6A4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3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6A5D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18台DN1400新高温旁通阀吊装</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CAD55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443D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843E9">
            <w:pPr>
              <w:rPr>
                <w:rFonts w:hint="eastAsia" w:ascii="宋体" w:hAnsi="宋体" w:eastAsia="宋体" w:cs="宋体"/>
                <w:i w:val="0"/>
                <w:iCs w:val="0"/>
                <w:color w:val="auto"/>
                <w:sz w:val="24"/>
                <w:szCs w:val="24"/>
                <w:highlight w:val="none"/>
                <w:u w:val="none"/>
              </w:rPr>
            </w:pPr>
          </w:p>
        </w:tc>
      </w:tr>
      <w:tr w14:paraId="2C10B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EAD3A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3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135E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18道DN1300/6mm管口对口</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BB2D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7379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8ED39">
            <w:pPr>
              <w:rPr>
                <w:rFonts w:hint="eastAsia" w:ascii="宋体" w:hAnsi="宋体" w:eastAsia="宋体" w:cs="宋体"/>
                <w:i w:val="0"/>
                <w:iCs w:val="0"/>
                <w:color w:val="auto"/>
                <w:sz w:val="24"/>
                <w:szCs w:val="24"/>
                <w:highlight w:val="none"/>
                <w:u w:val="none"/>
              </w:rPr>
            </w:pPr>
          </w:p>
        </w:tc>
      </w:tr>
      <w:tr w14:paraId="3E84A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89777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3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95B7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18道DN1300/6mm口焊接，</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EC441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D183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04633">
            <w:pPr>
              <w:rPr>
                <w:rFonts w:hint="eastAsia" w:ascii="宋体" w:hAnsi="宋体" w:eastAsia="宋体" w:cs="宋体"/>
                <w:i w:val="0"/>
                <w:iCs w:val="0"/>
                <w:color w:val="auto"/>
                <w:sz w:val="24"/>
                <w:szCs w:val="24"/>
                <w:highlight w:val="none"/>
                <w:u w:val="none"/>
              </w:rPr>
            </w:pPr>
          </w:p>
        </w:tc>
      </w:tr>
      <w:tr w14:paraId="6BF45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302BC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3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4C7A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18台DN1400旧高温清运及现场工完料净场清</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FA923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F784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EC794">
            <w:pPr>
              <w:rPr>
                <w:rFonts w:hint="eastAsia" w:ascii="宋体" w:hAnsi="宋体" w:eastAsia="宋体" w:cs="宋体"/>
                <w:i w:val="0"/>
                <w:iCs w:val="0"/>
                <w:color w:val="auto"/>
                <w:sz w:val="24"/>
                <w:szCs w:val="24"/>
                <w:highlight w:val="none"/>
                <w:u w:val="none"/>
              </w:rPr>
            </w:pPr>
          </w:p>
        </w:tc>
      </w:tr>
      <w:tr w14:paraId="2E033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7FC23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3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B79F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2台DN3500/6mm旧膨胀节割除（4道口）</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8661C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CD08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93303">
            <w:pPr>
              <w:rPr>
                <w:rFonts w:hint="eastAsia" w:ascii="宋体" w:hAnsi="宋体" w:eastAsia="宋体" w:cs="宋体"/>
                <w:i w:val="0"/>
                <w:iCs w:val="0"/>
                <w:color w:val="auto"/>
                <w:sz w:val="24"/>
                <w:szCs w:val="24"/>
                <w:highlight w:val="none"/>
                <w:u w:val="none"/>
              </w:rPr>
            </w:pPr>
          </w:p>
        </w:tc>
      </w:tr>
      <w:tr w14:paraId="3D278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5676B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w:t>
            </w:r>
          </w:p>
        </w:tc>
        <w:tc>
          <w:tcPr>
            <w:tcW w:w="3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F1CB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2台DN3500旧膨胀节吊装</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5F2A0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40C2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B687D">
            <w:pPr>
              <w:rPr>
                <w:rFonts w:hint="eastAsia" w:ascii="宋体" w:hAnsi="宋体" w:eastAsia="宋体" w:cs="宋体"/>
                <w:i w:val="0"/>
                <w:iCs w:val="0"/>
                <w:color w:val="auto"/>
                <w:sz w:val="24"/>
                <w:szCs w:val="24"/>
                <w:highlight w:val="none"/>
                <w:u w:val="none"/>
              </w:rPr>
            </w:pPr>
          </w:p>
        </w:tc>
      </w:tr>
      <w:tr w14:paraId="177AB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C3FC8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c>
          <w:tcPr>
            <w:tcW w:w="3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4923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4道DN3500/6mm坡口打磨</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1F4E8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12EB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B2EDE">
            <w:pPr>
              <w:rPr>
                <w:rFonts w:hint="eastAsia" w:ascii="宋体" w:hAnsi="宋体" w:eastAsia="宋体" w:cs="宋体"/>
                <w:i w:val="0"/>
                <w:iCs w:val="0"/>
                <w:color w:val="auto"/>
                <w:sz w:val="24"/>
                <w:szCs w:val="24"/>
                <w:highlight w:val="none"/>
                <w:u w:val="none"/>
              </w:rPr>
            </w:pPr>
          </w:p>
        </w:tc>
      </w:tr>
      <w:tr w14:paraId="5709E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6CCE6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3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3681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2台DN3500新膨胀节吊装（含吊车）</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BE9AE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0B6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D5FFE">
            <w:pPr>
              <w:rPr>
                <w:rFonts w:hint="eastAsia" w:ascii="宋体" w:hAnsi="宋体" w:eastAsia="宋体" w:cs="宋体"/>
                <w:i w:val="0"/>
                <w:iCs w:val="0"/>
                <w:color w:val="auto"/>
                <w:sz w:val="24"/>
                <w:szCs w:val="24"/>
                <w:highlight w:val="none"/>
                <w:u w:val="none"/>
              </w:rPr>
            </w:pPr>
          </w:p>
        </w:tc>
      </w:tr>
      <w:tr w14:paraId="23D44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1998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17</w:t>
            </w:r>
          </w:p>
        </w:tc>
        <w:tc>
          <w:tcPr>
            <w:tcW w:w="3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F4A3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4道DN3500/6mm管口对口</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C3EDC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4DA8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37482">
            <w:pPr>
              <w:rPr>
                <w:rFonts w:hint="eastAsia" w:ascii="宋体" w:hAnsi="宋体" w:eastAsia="宋体" w:cs="宋体"/>
                <w:i w:val="0"/>
                <w:iCs w:val="0"/>
                <w:color w:val="auto"/>
                <w:sz w:val="24"/>
                <w:szCs w:val="24"/>
                <w:highlight w:val="none"/>
                <w:u w:val="none"/>
              </w:rPr>
            </w:pPr>
          </w:p>
        </w:tc>
      </w:tr>
      <w:tr w14:paraId="73D6F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B73ED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18</w:t>
            </w:r>
          </w:p>
        </w:tc>
        <w:tc>
          <w:tcPr>
            <w:tcW w:w="3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DCB9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4道DN3500/6mm口焊接</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1E6CD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BA19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3770A">
            <w:pPr>
              <w:rPr>
                <w:rFonts w:hint="eastAsia" w:ascii="宋体" w:hAnsi="宋体" w:eastAsia="宋体" w:cs="宋体"/>
                <w:i w:val="0"/>
                <w:iCs w:val="0"/>
                <w:color w:val="auto"/>
                <w:sz w:val="24"/>
                <w:szCs w:val="24"/>
                <w:highlight w:val="none"/>
                <w:u w:val="none"/>
              </w:rPr>
            </w:pPr>
          </w:p>
        </w:tc>
      </w:tr>
      <w:tr w14:paraId="65ED7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FF9EA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19</w:t>
            </w:r>
          </w:p>
        </w:tc>
        <w:tc>
          <w:tcPr>
            <w:tcW w:w="3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8A47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2台 DN3500旧膨胀节清运及现场工完料净场清.</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3FA9A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E16A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AADB3">
            <w:pPr>
              <w:rPr>
                <w:rFonts w:hint="eastAsia" w:ascii="宋体" w:hAnsi="宋体" w:eastAsia="宋体" w:cs="宋体"/>
                <w:i w:val="0"/>
                <w:iCs w:val="0"/>
                <w:color w:val="auto"/>
                <w:sz w:val="24"/>
                <w:szCs w:val="24"/>
                <w:highlight w:val="none"/>
                <w:u w:val="none"/>
              </w:rPr>
            </w:pPr>
          </w:p>
        </w:tc>
      </w:tr>
      <w:tr w14:paraId="60008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9BAB4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FD72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平行施工</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7C8BE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5534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02AB4">
            <w:pPr>
              <w:rPr>
                <w:rFonts w:hint="eastAsia" w:ascii="宋体" w:hAnsi="宋体" w:eastAsia="宋体" w:cs="宋体"/>
                <w:i w:val="0"/>
                <w:iCs w:val="0"/>
                <w:color w:val="auto"/>
                <w:sz w:val="24"/>
                <w:szCs w:val="24"/>
                <w:highlight w:val="none"/>
                <w:u w:val="none"/>
              </w:rPr>
            </w:pPr>
          </w:p>
        </w:tc>
      </w:tr>
      <w:tr w14:paraId="442C8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331DB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BAA5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人工合计</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3E794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工日</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A435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A3E6A">
            <w:pPr>
              <w:rPr>
                <w:rFonts w:hint="eastAsia" w:ascii="宋体" w:hAnsi="宋体" w:eastAsia="宋体" w:cs="宋体"/>
                <w:i w:val="0"/>
                <w:iCs w:val="0"/>
                <w:color w:val="auto"/>
                <w:sz w:val="24"/>
                <w:szCs w:val="24"/>
                <w:highlight w:val="none"/>
                <w:u w:val="none"/>
              </w:rPr>
            </w:pPr>
          </w:p>
        </w:tc>
      </w:tr>
      <w:tr w14:paraId="70391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EB8EB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22</w:t>
            </w:r>
          </w:p>
        </w:tc>
        <w:tc>
          <w:tcPr>
            <w:tcW w:w="3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A0EE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机械台班费：50T汽车吊15台班,80T汽车吊8台班，9.6米卡车3台班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9CD4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2A07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26B33">
            <w:pPr>
              <w:rPr>
                <w:rFonts w:hint="eastAsia" w:ascii="宋体" w:hAnsi="宋体" w:eastAsia="宋体" w:cs="宋体"/>
                <w:i w:val="0"/>
                <w:iCs w:val="0"/>
                <w:color w:val="auto"/>
                <w:sz w:val="24"/>
                <w:szCs w:val="24"/>
                <w:highlight w:val="none"/>
                <w:u w:val="none"/>
              </w:rPr>
            </w:pPr>
          </w:p>
        </w:tc>
      </w:tr>
    </w:tbl>
    <w:p w14:paraId="49C54EBE">
      <w:pPr>
        <w:rPr>
          <w:rFonts w:hint="eastAsia" w:ascii="宋体" w:hAnsi="宋体" w:eastAsia="宋体" w:cs="宋体"/>
          <w:color w:val="auto"/>
          <w:sz w:val="24"/>
          <w:szCs w:val="24"/>
          <w:highlight w:val="none"/>
          <w:lang w:val="en-US" w:eastAsia="zh-CN"/>
        </w:rPr>
      </w:pPr>
    </w:p>
    <w:p w14:paraId="1A725889">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5.6</w:t>
      </w:r>
      <w:r>
        <w:rPr>
          <w:rFonts w:hint="eastAsia" w:ascii="宋体" w:hAnsi="宋体" w:eastAsia="宋体" w:cs="宋体"/>
          <w:bCs/>
          <w:color w:val="auto"/>
          <w:sz w:val="24"/>
          <w:szCs w:val="24"/>
          <w:highlight w:val="none"/>
        </w:rPr>
        <w:t>服务范围及职责</w:t>
      </w:r>
    </w:p>
    <w:p w14:paraId="251CE687">
      <w:pPr>
        <w:pStyle w:val="73"/>
        <w:numPr>
          <w:ilvl w:val="0"/>
          <w:numId w:val="0"/>
        </w:numPr>
        <w:adjustRightInd w:val="0"/>
        <w:snapToGrid w:val="0"/>
        <w:spacing w:line="360" w:lineRule="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5.6.1</w:t>
      </w:r>
      <w:r>
        <w:rPr>
          <w:rFonts w:hint="eastAsia" w:ascii="宋体" w:hAnsi="宋体" w:eastAsia="宋体" w:cs="宋体"/>
          <w:bCs/>
          <w:color w:val="auto"/>
          <w:sz w:val="24"/>
          <w:szCs w:val="24"/>
          <w:highlight w:val="none"/>
        </w:rPr>
        <w:t>招标方</w:t>
      </w:r>
      <w:r>
        <w:rPr>
          <w:rFonts w:hint="eastAsia" w:ascii="宋体" w:hAnsi="宋体" w:eastAsia="宋体" w:cs="宋体"/>
          <w:bCs/>
          <w:color w:val="auto"/>
          <w:sz w:val="24"/>
          <w:szCs w:val="24"/>
          <w:highlight w:val="none"/>
          <w:lang w:val="en-US" w:eastAsia="zh-CN"/>
        </w:rPr>
        <w:t>职责：</w:t>
      </w:r>
    </w:p>
    <w:p w14:paraId="3E1534BC">
      <w:pPr>
        <w:pStyle w:val="73"/>
        <w:numPr>
          <w:ilvl w:val="0"/>
          <w:numId w:val="0"/>
        </w:numPr>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5.6.1.1</w:t>
      </w:r>
      <w:r>
        <w:rPr>
          <w:rFonts w:hint="eastAsia" w:ascii="宋体" w:hAnsi="宋体" w:eastAsia="宋体" w:cs="宋体"/>
          <w:bCs/>
          <w:color w:val="auto"/>
          <w:sz w:val="24"/>
          <w:szCs w:val="24"/>
          <w:highlight w:val="none"/>
        </w:rPr>
        <w:t>负责脚手架搭设、设备及附属管线外保温拆除</w:t>
      </w:r>
      <w:r>
        <w:rPr>
          <w:rFonts w:hint="eastAsia" w:ascii="宋体" w:hAnsi="宋体" w:eastAsia="宋体" w:cs="宋体"/>
          <w:bCs/>
          <w:color w:val="auto"/>
          <w:sz w:val="24"/>
          <w:szCs w:val="24"/>
          <w:highlight w:val="none"/>
          <w:lang w:val="en-US" w:eastAsia="zh-CN"/>
        </w:rPr>
        <w:t>恢复</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内保温恢复、</w:t>
      </w:r>
      <w:r>
        <w:rPr>
          <w:rFonts w:hint="eastAsia" w:ascii="宋体" w:hAnsi="宋体" w:eastAsia="宋体" w:cs="宋体"/>
          <w:bCs/>
          <w:color w:val="auto"/>
          <w:sz w:val="24"/>
          <w:szCs w:val="24"/>
          <w:highlight w:val="none"/>
        </w:rPr>
        <w:t>除锈、刷漆；</w:t>
      </w:r>
    </w:p>
    <w:p w14:paraId="402BF732">
      <w:pPr>
        <w:pStyle w:val="73"/>
        <w:numPr>
          <w:ilvl w:val="0"/>
          <w:numId w:val="0"/>
        </w:numPr>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5.6.1.2</w:t>
      </w:r>
      <w:r>
        <w:rPr>
          <w:rFonts w:hint="eastAsia" w:ascii="宋体" w:hAnsi="宋体" w:eastAsia="宋体" w:cs="宋体"/>
          <w:bCs/>
          <w:color w:val="auto"/>
          <w:sz w:val="24"/>
          <w:szCs w:val="24"/>
          <w:highlight w:val="none"/>
        </w:rPr>
        <w:t>负责管道焊缝焊接后</w:t>
      </w:r>
      <w:r>
        <w:rPr>
          <w:rFonts w:hint="eastAsia" w:ascii="宋体" w:hAnsi="宋体" w:eastAsia="宋体" w:cs="宋体"/>
          <w:bCs/>
          <w:color w:val="auto"/>
          <w:sz w:val="24"/>
          <w:szCs w:val="24"/>
          <w:highlight w:val="none"/>
          <w:lang w:val="en-US" w:eastAsia="zh-CN"/>
        </w:rPr>
        <w:t>渗透检查</w:t>
      </w:r>
      <w:r>
        <w:rPr>
          <w:rFonts w:hint="eastAsia" w:ascii="宋体" w:hAnsi="宋体" w:eastAsia="宋体" w:cs="宋体"/>
          <w:bCs/>
          <w:color w:val="auto"/>
          <w:sz w:val="24"/>
          <w:szCs w:val="24"/>
          <w:highlight w:val="none"/>
        </w:rPr>
        <w:t>（只提供一次检测费用，返修投标方负责）；</w:t>
      </w:r>
    </w:p>
    <w:p w14:paraId="35FA2A25">
      <w:pPr>
        <w:pStyle w:val="73"/>
        <w:numPr>
          <w:ilvl w:val="0"/>
          <w:numId w:val="0"/>
        </w:numPr>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5.6.1.3负责提供</w:t>
      </w:r>
      <w:r>
        <w:rPr>
          <w:rFonts w:hint="eastAsia" w:ascii="宋体" w:hAnsi="宋体" w:eastAsia="宋体" w:cs="宋体"/>
          <w:bCs/>
          <w:color w:val="auto"/>
          <w:sz w:val="24"/>
          <w:szCs w:val="24"/>
          <w:highlight w:val="none"/>
        </w:rPr>
        <w:t>焊条、焊丝、工业用气（氧气、乙炔、氩气、CO2保护气）</w:t>
      </w:r>
    </w:p>
    <w:p w14:paraId="43F7FF3C">
      <w:pPr>
        <w:pStyle w:val="73"/>
        <w:numPr>
          <w:ilvl w:val="0"/>
          <w:numId w:val="0"/>
        </w:numPr>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5.6.1.4</w:t>
      </w:r>
      <w:r>
        <w:rPr>
          <w:rFonts w:hint="eastAsia" w:ascii="宋体" w:hAnsi="宋体" w:eastAsia="宋体" w:cs="宋体"/>
          <w:bCs/>
          <w:color w:val="auto"/>
          <w:sz w:val="24"/>
          <w:szCs w:val="24"/>
          <w:highlight w:val="none"/>
        </w:rPr>
        <w:t>负责提供属于检修工作所用的备品配件、装置性材料（如钢板、圆钢、角钢、槽钢、工字钢、H型钢、管材、法兰、阀门、管件、支吊架、螺栓、螺母、成型垫片、等）；</w:t>
      </w:r>
    </w:p>
    <w:p w14:paraId="6E9E6B99">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rPr>
      </w:pPr>
      <w:bookmarkStart w:id="20" w:name="_Toc31702"/>
      <w:r>
        <w:rPr>
          <w:rFonts w:hint="eastAsia" w:ascii="宋体" w:hAnsi="宋体" w:eastAsia="宋体" w:cs="宋体"/>
          <w:color w:val="auto"/>
          <w:sz w:val="24"/>
          <w:szCs w:val="24"/>
          <w:highlight w:val="none"/>
          <w:lang w:val="en-US" w:eastAsia="zh-CN"/>
        </w:rPr>
        <w:t>6 投标方应达到的目标</w:t>
      </w:r>
      <w:bookmarkEnd w:id="20"/>
    </w:p>
    <w:p w14:paraId="7652717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6.1安全性指标</w:t>
      </w:r>
    </w:p>
    <w:p w14:paraId="600341D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（1）不发生本项目部员工轻伤以上、急性中毒等各类人身事故。</w:t>
      </w:r>
    </w:p>
    <w:p w14:paraId="54F7959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（2）不发生外包人员轻伤以上、急性中毒等各类人身事故。</w:t>
      </w:r>
    </w:p>
    <w:p w14:paraId="4D18553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（3）不发生负主责以上有人员受伤构成的交通事故。</w:t>
      </w:r>
    </w:p>
    <w:p w14:paraId="2ABD85E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（4）不发生本项目部责任造成的火险事件。</w:t>
      </w:r>
    </w:p>
    <w:p w14:paraId="53A22E9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（5）设备考核障碍及可靠性指标控制在以下范围（指非人为原因造成）：不发生考核障碍、一类障碍、二类障碍。</w:t>
      </w:r>
    </w:p>
    <w:p w14:paraId="25A4CB5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（6）不发生误操作事件。</w:t>
      </w:r>
    </w:p>
    <w:p w14:paraId="784AA1C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6.2 环保指标：</w:t>
      </w:r>
    </w:p>
    <w:p w14:paraId="43DB9B0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（1）不发生一般以上环境污染事件。</w:t>
      </w:r>
    </w:p>
    <w:p w14:paraId="3E07C75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（2）不发生本项目部责任造成的“三废”排放超标事件。</w:t>
      </w:r>
    </w:p>
    <w:p w14:paraId="2B47CB3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（3）不发生本项目部责任造成的危废处置不合规、不合法事件。</w:t>
      </w:r>
    </w:p>
    <w:p w14:paraId="2B6C004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（4）不发生本项目部责任造成的公司被上级单位、政府部门通报批评或罚款的环保事件。</w:t>
      </w:r>
    </w:p>
    <w:p w14:paraId="01062CB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6.3不发生造成后果的危险化学品泄漏事件。</w:t>
      </w:r>
    </w:p>
    <w:p w14:paraId="087E86F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6.4 职业卫生：</w:t>
      </w:r>
    </w:p>
    <w:p w14:paraId="27E82BD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（1）不发生新增职业病病例。</w:t>
      </w:r>
    </w:p>
    <w:p w14:paraId="57EDB5E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（2）职业病危害年度体检率100%。</w:t>
      </w:r>
    </w:p>
    <w:p w14:paraId="5B3E01A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6.5 不发生本项目部责任造成的公司被上级单位及政府部门下发的安全环保挂牌督办通知书、安全生产督（稽）查通知书要求整改的问题未及时整改的情况和上级单位及政府部门通报批评的事件。</w:t>
      </w:r>
    </w:p>
    <w:p w14:paraId="42ED458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6.6 治安保卫：</w:t>
      </w:r>
    </w:p>
    <w:p w14:paraId="5BFE932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（1）不发生本项目部责任造成的生产物资被盗抢案件。</w:t>
      </w:r>
    </w:p>
    <w:p w14:paraId="35BD81E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（2）不发生危险物品（包括易制毒、放射品）被盗、丢失或被非法转让案件。</w:t>
      </w:r>
    </w:p>
    <w:p w14:paraId="64D9B1A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（3）公司区域内不发生有本项目部人员参与的群殴、群架事件。</w:t>
      </w:r>
    </w:p>
    <w:p w14:paraId="5500B9A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6.7 其他指标：</w:t>
      </w:r>
    </w:p>
    <w:p w14:paraId="31A79AE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（1）隐患整改率不低于95%。</w:t>
      </w:r>
    </w:p>
    <w:p w14:paraId="5605DAE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（2）不发生本项目部员工个人负主责的其他不安全事件。</w:t>
      </w:r>
    </w:p>
    <w:p w14:paraId="6DD0DBB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（3）员工三级安全培训率100%。</w:t>
      </w:r>
    </w:p>
    <w:p w14:paraId="14C6C3D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(4) 特种作业人员持证上岗率100%。</w:t>
      </w:r>
    </w:p>
    <w:p w14:paraId="436D7FC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6.8 经济性指标</w:t>
      </w:r>
    </w:p>
    <w:p w14:paraId="513BEB31">
      <w:pPr>
        <w:snapToGrid w:val="0"/>
        <w:spacing w:line="360" w:lineRule="auto"/>
        <w:ind w:firstLine="480" w:firstLineChars="200"/>
        <w:jc w:val="left"/>
        <w:rPr>
          <w:rStyle w:val="31"/>
          <w:rFonts w:hint="eastAsia" w:ascii="宋体" w:hAnsi="宋体" w:eastAsia="宋体" w:cs="宋体"/>
          <w:bCs/>
          <w:color w:val="auto"/>
          <w:sz w:val="24"/>
          <w:szCs w:val="24"/>
          <w:highlight w:val="none"/>
        </w:rPr>
      </w:pPr>
      <w:r>
        <w:rPr>
          <w:rStyle w:val="31"/>
          <w:rFonts w:hint="eastAsia" w:ascii="宋体" w:hAnsi="宋体" w:eastAsia="宋体" w:cs="宋体"/>
          <w:bCs/>
          <w:color w:val="auto"/>
          <w:sz w:val="24"/>
          <w:szCs w:val="24"/>
          <w:highlight w:val="none"/>
        </w:rPr>
        <w:t>机组、设备达到铭牌出力；能耗、物耗达到招标方制定的当年计划指标。</w:t>
      </w:r>
    </w:p>
    <w:p w14:paraId="7509BDD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6.9 可靠性指标</w:t>
      </w:r>
    </w:p>
    <w:p w14:paraId="13AB6210">
      <w:pPr>
        <w:snapToGrid w:val="0"/>
        <w:spacing w:line="360" w:lineRule="auto"/>
        <w:ind w:firstLine="240" w:firstLineChars="100"/>
        <w:jc w:val="left"/>
        <w:rPr>
          <w:rStyle w:val="31"/>
          <w:rFonts w:hint="eastAsia" w:ascii="宋体" w:hAnsi="宋体" w:eastAsia="宋体" w:cs="宋体"/>
          <w:bCs/>
          <w:color w:val="auto"/>
          <w:sz w:val="24"/>
          <w:szCs w:val="24"/>
          <w:highlight w:val="none"/>
        </w:rPr>
      </w:pPr>
      <w:r>
        <w:rPr>
          <w:rStyle w:val="31"/>
          <w:rFonts w:hint="eastAsia" w:ascii="宋体" w:hAnsi="宋体" w:eastAsia="宋体" w:cs="宋体"/>
          <w:bCs/>
          <w:color w:val="auto"/>
          <w:sz w:val="24"/>
          <w:szCs w:val="24"/>
          <w:highlight w:val="none"/>
        </w:rPr>
        <w:t>（1）非计划停运次数投标方责任0次/每年。</w:t>
      </w:r>
    </w:p>
    <w:p w14:paraId="62102077">
      <w:pPr>
        <w:snapToGrid w:val="0"/>
        <w:spacing w:line="360" w:lineRule="auto"/>
        <w:ind w:firstLine="240" w:firstLineChars="100"/>
        <w:jc w:val="left"/>
        <w:rPr>
          <w:rStyle w:val="31"/>
          <w:rFonts w:hint="eastAsia" w:ascii="宋体" w:hAnsi="宋体" w:eastAsia="宋体" w:cs="宋体"/>
          <w:bCs/>
          <w:color w:val="auto"/>
          <w:sz w:val="24"/>
          <w:szCs w:val="24"/>
          <w:highlight w:val="none"/>
        </w:rPr>
      </w:pPr>
      <w:r>
        <w:rPr>
          <w:rStyle w:val="31"/>
          <w:rFonts w:hint="eastAsia" w:ascii="宋体" w:hAnsi="宋体" w:eastAsia="宋体" w:cs="宋体"/>
          <w:bCs/>
          <w:color w:val="auto"/>
          <w:sz w:val="24"/>
          <w:szCs w:val="24"/>
          <w:highlight w:val="none"/>
        </w:rPr>
        <w:t>（2）不发生考核障碍、一类障碍和二类障碍。</w:t>
      </w:r>
    </w:p>
    <w:p w14:paraId="0D68CC5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6.10 环保指标</w:t>
      </w:r>
    </w:p>
    <w:p w14:paraId="58924078">
      <w:pPr>
        <w:snapToGrid w:val="0"/>
        <w:spacing w:line="360" w:lineRule="auto"/>
        <w:ind w:firstLine="480" w:firstLineChars="200"/>
        <w:jc w:val="left"/>
        <w:rPr>
          <w:rStyle w:val="31"/>
          <w:rFonts w:hint="eastAsia" w:ascii="宋体" w:hAnsi="宋体" w:eastAsia="宋体" w:cs="宋体"/>
          <w:bCs/>
          <w:color w:val="auto"/>
          <w:sz w:val="24"/>
          <w:szCs w:val="24"/>
          <w:highlight w:val="none"/>
        </w:rPr>
      </w:pPr>
      <w:r>
        <w:rPr>
          <w:rStyle w:val="31"/>
          <w:rFonts w:hint="eastAsia" w:ascii="宋体" w:hAnsi="宋体" w:eastAsia="宋体" w:cs="宋体"/>
          <w:bCs/>
          <w:color w:val="auto"/>
          <w:sz w:val="24"/>
          <w:szCs w:val="24"/>
          <w:highlight w:val="none"/>
        </w:rPr>
        <w:t>现场作业过程要符合国家有关环保管理标准、技术规范及公司环保管理制度。</w:t>
      </w:r>
    </w:p>
    <w:p w14:paraId="6C42B98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6.11 生产管理目标:</w:t>
      </w:r>
    </w:p>
    <w:p w14:paraId="29CABF00">
      <w:pPr>
        <w:snapToGrid w:val="0"/>
        <w:spacing w:line="360" w:lineRule="auto"/>
        <w:ind w:firstLine="240" w:firstLineChars="100"/>
        <w:jc w:val="left"/>
        <w:rPr>
          <w:rStyle w:val="31"/>
          <w:rFonts w:hint="eastAsia" w:ascii="宋体" w:hAnsi="宋体" w:eastAsia="宋体" w:cs="宋体"/>
          <w:bCs/>
          <w:color w:val="auto"/>
          <w:sz w:val="24"/>
          <w:szCs w:val="24"/>
          <w:highlight w:val="none"/>
        </w:rPr>
      </w:pPr>
      <w:r>
        <w:rPr>
          <w:rStyle w:val="31"/>
          <w:rFonts w:hint="eastAsia" w:ascii="宋体" w:hAnsi="宋体" w:eastAsia="宋体" w:cs="宋体"/>
          <w:bCs/>
          <w:color w:val="auto"/>
          <w:sz w:val="24"/>
          <w:szCs w:val="24"/>
          <w:highlight w:val="none"/>
        </w:rPr>
        <w:t>（1）机组、设备要达到一流煤化工企业管理水平，设备管理达到无渗漏标准。</w:t>
      </w:r>
    </w:p>
    <w:p w14:paraId="33720778">
      <w:pPr>
        <w:snapToGrid w:val="0"/>
        <w:spacing w:line="360" w:lineRule="auto"/>
        <w:ind w:firstLine="240" w:firstLineChars="100"/>
        <w:jc w:val="left"/>
        <w:rPr>
          <w:rStyle w:val="31"/>
          <w:rFonts w:hint="eastAsia" w:ascii="宋体" w:hAnsi="宋体" w:eastAsia="宋体" w:cs="宋体"/>
          <w:bCs/>
          <w:color w:val="auto"/>
          <w:sz w:val="24"/>
          <w:szCs w:val="24"/>
          <w:highlight w:val="none"/>
        </w:rPr>
      </w:pPr>
      <w:r>
        <w:rPr>
          <w:rStyle w:val="31"/>
          <w:rFonts w:hint="eastAsia" w:ascii="宋体" w:hAnsi="宋体" w:eastAsia="宋体" w:cs="宋体"/>
          <w:bCs/>
          <w:color w:val="auto"/>
          <w:sz w:val="24"/>
          <w:szCs w:val="24"/>
          <w:highlight w:val="none"/>
        </w:rPr>
        <w:t>（2）设备大修后，连续运行时间在200天以上。</w:t>
      </w:r>
    </w:p>
    <w:p w14:paraId="2CD93F12">
      <w:pPr>
        <w:snapToGrid w:val="0"/>
        <w:spacing w:line="360" w:lineRule="auto"/>
        <w:ind w:firstLine="240" w:firstLineChars="100"/>
        <w:jc w:val="left"/>
        <w:rPr>
          <w:rStyle w:val="31"/>
          <w:rFonts w:hint="eastAsia" w:ascii="宋体" w:hAnsi="宋体" w:eastAsia="宋体" w:cs="宋体"/>
          <w:bCs/>
          <w:color w:val="auto"/>
          <w:sz w:val="24"/>
          <w:szCs w:val="24"/>
          <w:highlight w:val="none"/>
        </w:rPr>
      </w:pPr>
      <w:r>
        <w:rPr>
          <w:rStyle w:val="31"/>
          <w:rFonts w:hint="eastAsia" w:ascii="宋体" w:hAnsi="宋体" w:eastAsia="宋体" w:cs="宋体"/>
          <w:bCs/>
          <w:color w:val="auto"/>
          <w:sz w:val="24"/>
          <w:szCs w:val="24"/>
          <w:highlight w:val="none"/>
        </w:rPr>
        <w:t>（3）设备定修定检项目遗漏率为0%。</w:t>
      </w:r>
    </w:p>
    <w:p w14:paraId="08785053">
      <w:pPr>
        <w:snapToGrid w:val="0"/>
        <w:spacing w:line="360" w:lineRule="auto"/>
        <w:ind w:firstLine="240" w:firstLineChars="100"/>
        <w:jc w:val="left"/>
        <w:rPr>
          <w:rStyle w:val="31"/>
          <w:rFonts w:hint="eastAsia" w:ascii="宋体" w:hAnsi="宋体" w:eastAsia="宋体" w:cs="宋体"/>
          <w:bCs/>
          <w:color w:val="auto"/>
          <w:sz w:val="24"/>
          <w:szCs w:val="24"/>
          <w:highlight w:val="none"/>
        </w:rPr>
      </w:pPr>
      <w:r>
        <w:rPr>
          <w:rStyle w:val="31"/>
          <w:rFonts w:hint="eastAsia" w:ascii="宋体" w:hAnsi="宋体" w:eastAsia="宋体" w:cs="宋体"/>
          <w:bCs/>
          <w:color w:val="auto"/>
          <w:sz w:val="24"/>
          <w:szCs w:val="24"/>
          <w:highlight w:val="none"/>
        </w:rPr>
        <w:t>（4）完成招标方制定的相关生产指标。</w:t>
      </w:r>
    </w:p>
    <w:p w14:paraId="3C16C689">
      <w:pPr>
        <w:keepNext w:val="0"/>
        <w:keepLines w:val="0"/>
        <w:pageBreakBefore w:val="0"/>
        <w:widowControl w:val="0"/>
        <w:kinsoku w:val="0"/>
        <w:wordWrap/>
        <w:overflowPunct/>
        <w:topLinePunct w:val="0"/>
        <w:autoSpaceDE/>
        <w:autoSpaceDN/>
        <w:bidi w:val="0"/>
        <w:adjustRightInd w:val="0"/>
        <w:snapToGrid/>
        <w:spacing w:line="360" w:lineRule="auto"/>
        <w:ind w:firstLine="240" w:firstLineChars="1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（5）票证合格率100%</w:t>
      </w:r>
      <w:r>
        <w:rPr>
          <w:rFonts w:hint="eastAsia" w:ascii="宋体" w:hAnsi="宋体" w:eastAsia="宋体" w:cs="宋体"/>
          <w:color w:val="auto"/>
          <w:sz w:val="24"/>
          <w:szCs w:val="24"/>
          <w:highlight w:val="none"/>
          <w:lang w:eastAsia="zh-CN"/>
        </w:rPr>
        <w:t>。</w:t>
      </w:r>
    </w:p>
    <w:p w14:paraId="6F2D6C89">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rPr>
      </w:pPr>
      <w:bookmarkStart w:id="21" w:name="_Toc14819"/>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资质</w:t>
      </w:r>
      <w:r>
        <w:rPr>
          <w:rFonts w:hint="eastAsia" w:ascii="宋体" w:hAnsi="宋体" w:eastAsia="宋体" w:cs="宋体"/>
          <w:color w:val="auto"/>
          <w:sz w:val="24"/>
          <w:szCs w:val="24"/>
          <w:highlight w:val="none"/>
          <w:lang w:val="en-US" w:eastAsia="zh-CN"/>
        </w:rPr>
        <w:t>条件</w:t>
      </w:r>
      <w:r>
        <w:rPr>
          <w:rFonts w:hint="eastAsia" w:ascii="宋体" w:hAnsi="宋体" w:eastAsia="宋体" w:cs="宋体"/>
          <w:color w:val="auto"/>
          <w:sz w:val="24"/>
          <w:szCs w:val="24"/>
          <w:highlight w:val="none"/>
        </w:rPr>
        <w:t>及人员要求</w:t>
      </w:r>
      <w:bookmarkEnd w:id="21"/>
    </w:p>
    <w:p w14:paraId="6CFB167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投标方必须是在中华人民共和国境内依法注册、具有独立法人资格、具有履行合同所必需的财务、技术及相关服务等能力，且是浙能集团的合格供应商。</w:t>
      </w:r>
    </w:p>
    <w:p w14:paraId="3EC9D53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投标方必须具有GC</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工业管道安装及以上资质，化工行业或发电厂类似项目的维修业绩。</w:t>
      </w:r>
    </w:p>
    <w:p w14:paraId="1A8CE71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参与项目的人员必须身体健康，具有从事</w:t>
      </w:r>
      <w:r>
        <w:rPr>
          <w:rFonts w:hint="eastAsia" w:ascii="宋体" w:hAnsi="宋体" w:eastAsia="宋体" w:cs="宋体"/>
          <w:color w:val="auto"/>
          <w:sz w:val="24"/>
          <w:szCs w:val="24"/>
          <w:highlight w:val="none"/>
          <w:lang w:val="en-US" w:eastAsia="zh-CN"/>
        </w:rPr>
        <w:t>化工设备</w:t>
      </w:r>
      <w:r>
        <w:rPr>
          <w:rFonts w:hint="eastAsia" w:ascii="宋体" w:hAnsi="宋体" w:eastAsia="宋体" w:cs="宋体"/>
          <w:color w:val="auto"/>
          <w:sz w:val="24"/>
          <w:szCs w:val="24"/>
          <w:highlight w:val="none"/>
        </w:rPr>
        <w:t xml:space="preserve">检修或安装工作经验3年以上。 </w:t>
      </w:r>
    </w:p>
    <w:p w14:paraId="772E7E5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 参加项目的主要专业技术人员应不少于总人数的10%，其配备需经招标人认可，主要技术人员从事化工设备检修或安装工作至少5年以上，并具有石化或化工大修类似设备的检修或安装经验。</w:t>
      </w:r>
    </w:p>
    <w:p w14:paraId="17CD50A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5 </w:t>
      </w:r>
      <w:r>
        <w:rPr>
          <w:rFonts w:hint="eastAsia" w:ascii="宋体" w:hAnsi="宋体" w:eastAsia="宋体" w:cs="宋体"/>
          <w:color w:val="auto"/>
          <w:sz w:val="24"/>
          <w:szCs w:val="24"/>
          <w:highlight w:val="none"/>
        </w:rPr>
        <w:t>从事特种作业（特种设备作业）的人员至少应有该工种实际操作经验3年以上，并必须持有经相关部门核发的有效证书，且从事特种作业的人员技术数量必须达到能保证24小时连续作业的要求。</w:t>
      </w:r>
    </w:p>
    <w:p w14:paraId="2DFC85E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6 </w:t>
      </w:r>
      <w:r>
        <w:rPr>
          <w:rFonts w:hint="eastAsia" w:ascii="宋体" w:hAnsi="宋体" w:eastAsia="宋体" w:cs="宋体"/>
          <w:color w:val="auto"/>
          <w:sz w:val="24"/>
          <w:szCs w:val="24"/>
          <w:highlight w:val="none"/>
        </w:rPr>
        <w:t>投标人应具有完善的质量保证体系，投标人的焊工必须持有质监局发的《特种设备作业人员证》和安监局的《特种作业操作证》。</w:t>
      </w:r>
      <w:r>
        <w:rPr>
          <w:rFonts w:hint="eastAsia" w:ascii="宋体" w:hAnsi="宋体" w:eastAsia="宋体" w:cs="宋体"/>
          <w:color w:val="auto"/>
          <w:sz w:val="24"/>
          <w:szCs w:val="24"/>
          <w:highlight w:val="none"/>
          <w:lang w:val="en-US" w:eastAsia="zh-CN"/>
        </w:rPr>
        <w:t>焊工需接受招标方的入厂测试并合格后方可进入该项目进行焊接作业，未经招标方入厂测试的焊接严禁施工焊接。</w:t>
      </w:r>
    </w:p>
    <w:p w14:paraId="756C52B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7.7 </w:t>
      </w:r>
      <w:r>
        <w:rPr>
          <w:rFonts w:hint="eastAsia" w:ascii="宋体" w:hAnsi="宋体" w:eastAsia="宋体" w:cs="宋体"/>
          <w:color w:val="auto"/>
          <w:sz w:val="24"/>
          <w:szCs w:val="24"/>
          <w:highlight w:val="none"/>
        </w:rPr>
        <w:t>需要进行高处作业的作业人员，需持有特种作业操作证（高处作业），且在有效期内。</w:t>
      </w:r>
    </w:p>
    <w:p w14:paraId="12BDBF4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 xml:space="preserve">.8严禁使用未成年人和不适应现场安全施工要求的老、弱、病、残人员。 </w:t>
      </w:r>
    </w:p>
    <w:p w14:paraId="5E3C068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7.9</w:t>
      </w:r>
      <w:r>
        <w:rPr>
          <w:rFonts w:hint="eastAsia" w:ascii="宋体" w:hAnsi="宋体" w:eastAsia="宋体" w:cs="宋体"/>
          <w:color w:val="auto"/>
          <w:sz w:val="24"/>
          <w:szCs w:val="24"/>
          <w:highlight w:val="none"/>
        </w:rPr>
        <w:t xml:space="preserve"> 投标人应严格按照合同、设计文件（图纸等）、技术规范的要求进行试验和检验。技术规范和图纸中的焊接结构及有关说明仅为原则性的，投标人应根据技术协议和图纸，制定焊接工艺评定、详细的焊接工艺、焊接结构选择，并取得招标人的同意。</w:t>
      </w:r>
    </w:p>
    <w:p w14:paraId="65F5472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7.10</w:t>
      </w:r>
      <w:r>
        <w:rPr>
          <w:rFonts w:hint="eastAsia" w:ascii="宋体" w:hAnsi="宋体" w:eastAsia="宋体" w:cs="宋体"/>
          <w:color w:val="auto"/>
          <w:sz w:val="24"/>
          <w:szCs w:val="24"/>
          <w:highlight w:val="none"/>
        </w:rPr>
        <w:t xml:space="preserve"> 投标人应制定详细的作业方案和计划，并在施工前发给招标人审核。</w:t>
      </w:r>
    </w:p>
    <w:p w14:paraId="7D5A229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7.11</w:t>
      </w:r>
      <w:r>
        <w:rPr>
          <w:rFonts w:hint="eastAsia" w:ascii="宋体" w:hAnsi="宋体" w:eastAsia="宋体" w:cs="宋体"/>
          <w:color w:val="auto"/>
          <w:sz w:val="24"/>
          <w:szCs w:val="24"/>
          <w:highlight w:val="none"/>
        </w:rPr>
        <w:t xml:space="preserve"> 投标人有专人负责本合同的施工质量，由专人负责有关质量证明的签发和管理。</w:t>
      </w:r>
    </w:p>
    <w:p w14:paraId="795A351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7.12</w:t>
      </w:r>
      <w:r>
        <w:rPr>
          <w:rFonts w:hint="eastAsia" w:ascii="宋体" w:hAnsi="宋体" w:eastAsia="宋体" w:cs="宋体"/>
          <w:color w:val="auto"/>
          <w:sz w:val="24"/>
          <w:szCs w:val="24"/>
          <w:highlight w:val="none"/>
        </w:rPr>
        <w:t xml:space="preserve"> 投标人应接受招标人以及招标人委托第三方检验机构的检验，任何因质量检验不合格而造成</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进度的拖延，一切责任均由投标人负责。</w:t>
      </w:r>
    </w:p>
    <w:p w14:paraId="335766E7">
      <w:pPr>
        <w:snapToGrid w:val="0"/>
        <w:spacing w:line="360" w:lineRule="auto"/>
        <w:jc w:val="left"/>
        <w:rPr>
          <w:rStyle w:val="31"/>
          <w:rFonts w:hint="eastAsia" w:ascii="宋体" w:hAnsi="宋体" w:eastAsia="宋体" w:cs="宋体"/>
          <w:bCs/>
          <w:color w:val="auto"/>
          <w:sz w:val="24"/>
          <w:szCs w:val="24"/>
          <w:highlight w:val="none"/>
          <w:lang w:val="en-US" w:eastAsia="zh-CN"/>
        </w:rPr>
      </w:pPr>
      <w:r>
        <w:rPr>
          <w:rStyle w:val="31"/>
          <w:rFonts w:hint="eastAsia" w:ascii="宋体" w:hAnsi="宋体" w:eastAsia="宋体" w:cs="宋体"/>
          <w:bCs/>
          <w:color w:val="auto"/>
          <w:sz w:val="24"/>
          <w:szCs w:val="24"/>
          <w:highlight w:val="none"/>
          <w:lang w:val="en-US" w:eastAsia="zh-CN"/>
        </w:rPr>
        <w:t>7.13 投标方检修人员的配备应在经招标方考核（笔试、面试）合格后方能上岗，且投标方的人员必须固定，并能长期住在现场，投标方在现场的维护管理和技术人员名单应与合同确定的名单相符，任何情况下的人员变动都应提前通知招标方，并需征得招标方的同意。并将人员变动情况书面抄报招标方项目责任部门、现场监管部门。</w:t>
      </w:r>
    </w:p>
    <w:p w14:paraId="1001EDDD">
      <w:pPr>
        <w:snapToGrid w:val="0"/>
        <w:spacing w:line="360" w:lineRule="auto"/>
        <w:jc w:val="left"/>
        <w:rPr>
          <w:rStyle w:val="31"/>
          <w:rFonts w:hint="eastAsia" w:ascii="宋体" w:hAnsi="宋体" w:eastAsia="宋体" w:cs="宋体"/>
          <w:bCs/>
          <w:color w:val="auto"/>
          <w:sz w:val="24"/>
          <w:szCs w:val="24"/>
          <w:highlight w:val="none"/>
          <w:lang w:val="en-US" w:eastAsia="zh-CN"/>
        </w:rPr>
      </w:pPr>
      <w:r>
        <w:rPr>
          <w:rStyle w:val="31"/>
          <w:rFonts w:hint="eastAsia" w:ascii="宋体" w:hAnsi="宋体" w:eastAsia="宋体" w:cs="宋体"/>
          <w:bCs/>
          <w:color w:val="auto"/>
          <w:sz w:val="24"/>
          <w:szCs w:val="24"/>
          <w:highlight w:val="none"/>
          <w:lang w:val="en-US" w:eastAsia="zh-CN"/>
        </w:rPr>
        <w:t>7.14 投标方人员休假原则上由投标方自行安排，但投标方主要技术人员（班组长、安全员、焊工人员）离开招标方现场三天及以上的，必须到招标方归口管理部门办理书面请假手续。</w:t>
      </w:r>
    </w:p>
    <w:p w14:paraId="2753F265">
      <w:pPr>
        <w:spacing w:line="360" w:lineRule="auto"/>
        <w:rPr>
          <w:rStyle w:val="31"/>
          <w:rFonts w:hint="eastAsia" w:ascii="宋体" w:hAnsi="宋体" w:eastAsia="宋体" w:cs="宋体"/>
          <w:color w:val="auto"/>
          <w:sz w:val="24"/>
          <w:szCs w:val="24"/>
          <w:highlight w:val="none"/>
          <w:lang w:val="en-US"/>
        </w:rPr>
      </w:pPr>
      <w:r>
        <w:rPr>
          <w:rStyle w:val="31"/>
          <w:rFonts w:hint="eastAsia" w:ascii="宋体" w:hAnsi="宋体" w:eastAsia="宋体" w:cs="宋体"/>
          <w:bCs/>
          <w:color w:val="auto"/>
          <w:sz w:val="24"/>
          <w:szCs w:val="24"/>
          <w:highlight w:val="none"/>
          <w:lang w:val="en-US" w:eastAsia="zh-CN"/>
        </w:rPr>
        <w:t>7.15 最低</w:t>
      </w:r>
      <w:r>
        <w:rPr>
          <w:rStyle w:val="31"/>
          <w:rFonts w:hint="eastAsia" w:ascii="宋体" w:hAnsi="宋体" w:eastAsia="宋体" w:cs="宋体"/>
          <w:bCs/>
          <w:color w:val="auto"/>
          <w:sz w:val="24"/>
          <w:szCs w:val="24"/>
          <w:highlight w:val="none"/>
        </w:rPr>
        <w:t>人员配置</w:t>
      </w:r>
      <w:r>
        <w:rPr>
          <w:rStyle w:val="31"/>
          <w:rFonts w:hint="eastAsia" w:ascii="宋体" w:hAnsi="宋体" w:eastAsia="宋体" w:cs="宋体"/>
          <w:bCs/>
          <w:color w:val="auto"/>
          <w:sz w:val="24"/>
          <w:szCs w:val="24"/>
          <w:highlight w:val="none"/>
          <w:lang w:eastAsia="zh-CN"/>
        </w:rPr>
        <w:t>：</w:t>
      </w:r>
      <w:r>
        <w:rPr>
          <w:rStyle w:val="31"/>
          <w:rFonts w:hint="eastAsia" w:ascii="宋体" w:hAnsi="宋体" w:eastAsia="宋体" w:cs="宋体"/>
          <w:bCs/>
          <w:color w:val="auto"/>
          <w:sz w:val="24"/>
          <w:szCs w:val="24"/>
          <w:highlight w:val="none"/>
        </w:rPr>
        <w:t>本次投标方人员配置为：</w:t>
      </w:r>
      <w:r>
        <w:rPr>
          <w:rStyle w:val="31"/>
          <w:rFonts w:hint="eastAsia" w:ascii="宋体" w:hAnsi="宋体" w:eastAsia="宋体" w:cs="宋体"/>
          <w:bCs/>
          <w:color w:val="auto"/>
          <w:sz w:val="24"/>
          <w:szCs w:val="24"/>
          <w:highlight w:val="none"/>
          <w:lang w:val="en-US" w:eastAsia="zh-CN"/>
        </w:rPr>
        <w:t>不少于45</w:t>
      </w:r>
      <w:r>
        <w:rPr>
          <w:rStyle w:val="31"/>
          <w:rFonts w:hint="eastAsia" w:ascii="宋体" w:hAnsi="宋体" w:eastAsia="宋体" w:cs="宋体"/>
          <w:bCs/>
          <w:color w:val="auto"/>
          <w:sz w:val="24"/>
          <w:szCs w:val="24"/>
          <w:highlight w:val="none"/>
        </w:rPr>
        <w:t>人。具体配置及人员要求</w:t>
      </w:r>
      <w:r>
        <w:rPr>
          <w:rStyle w:val="31"/>
          <w:rFonts w:hint="eastAsia" w:ascii="宋体" w:hAnsi="宋体" w:eastAsia="宋体" w:cs="宋体"/>
          <w:bCs/>
          <w:color w:val="auto"/>
          <w:sz w:val="24"/>
          <w:szCs w:val="24"/>
          <w:highlight w:val="none"/>
          <w:lang w:val="en-US" w:eastAsia="zh-CN"/>
        </w:rPr>
        <w:t>如下：</w:t>
      </w:r>
    </w:p>
    <w:tbl>
      <w:tblPr>
        <w:tblStyle w:val="27"/>
        <w:tblW w:w="5524" w:type="pct"/>
        <w:jc w:val="center"/>
        <w:tblLayout w:type="fixed"/>
        <w:tblCellMar>
          <w:top w:w="0" w:type="dxa"/>
          <w:left w:w="108" w:type="dxa"/>
          <w:bottom w:w="0" w:type="dxa"/>
          <w:right w:w="108" w:type="dxa"/>
        </w:tblCellMar>
      </w:tblPr>
      <w:tblGrid>
        <w:gridCol w:w="1188"/>
        <w:gridCol w:w="1188"/>
        <w:gridCol w:w="1354"/>
        <w:gridCol w:w="5251"/>
        <w:gridCol w:w="1593"/>
      </w:tblGrid>
      <w:tr w14:paraId="4CE34943">
        <w:tblPrEx>
          <w:tblCellMar>
            <w:top w:w="0" w:type="dxa"/>
            <w:left w:w="108" w:type="dxa"/>
            <w:bottom w:w="0" w:type="dxa"/>
            <w:right w:w="108" w:type="dxa"/>
          </w:tblCellMar>
        </w:tblPrEx>
        <w:trPr>
          <w:trHeight w:val="510" w:hRule="atLeast"/>
          <w:jc w:val="center"/>
        </w:trPr>
        <w:tc>
          <w:tcPr>
            <w:tcW w:w="561" w:type="pct"/>
            <w:tcBorders>
              <w:top w:val="single" w:color="auto" w:sz="4" w:space="0"/>
              <w:left w:val="single" w:color="auto" w:sz="4" w:space="0"/>
              <w:bottom w:val="single" w:color="auto" w:sz="4" w:space="0"/>
              <w:right w:val="single" w:color="auto" w:sz="4" w:space="0"/>
            </w:tcBorders>
            <w:shd w:val="clear" w:color="000000" w:fill="FFFFFF"/>
            <w:vAlign w:val="center"/>
          </w:tcPr>
          <w:p w14:paraId="2738255B">
            <w:pPr>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人员分类</w:t>
            </w:r>
          </w:p>
        </w:tc>
        <w:tc>
          <w:tcPr>
            <w:tcW w:w="561" w:type="pct"/>
            <w:tcBorders>
              <w:top w:val="single" w:color="auto" w:sz="4" w:space="0"/>
              <w:left w:val="single" w:color="auto" w:sz="4" w:space="0"/>
              <w:bottom w:val="single" w:color="auto" w:sz="4" w:space="0"/>
              <w:right w:val="single" w:color="auto" w:sz="4" w:space="0"/>
            </w:tcBorders>
            <w:shd w:val="clear" w:color="000000" w:fill="FFFFFF"/>
            <w:vAlign w:val="center"/>
          </w:tcPr>
          <w:p w14:paraId="1D82C459">
            <w:pPr>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岗位/工种</w:t>
            </w:r>
          </w:p>
        </w:tc>
        <w:tc>
          <w:tcPr>
            <w:tcW w:w="640" w:type="pct"/>
            <w:tcBorders>
              <w:top w:val="single" w:color="auto" w:sz="4" w:space="0"/>
              <w:left w:val="nil"/>
              <w:bottom w:val="single" w:color="auto" w:sz="4" w:space="0"/>
              <w:right w:val="single" w:color="auto" w:sz="4" w:space="0"/>
            </w:tcBorders>
            <w:shd w:val="clear" w:color="000000" w:fill="FFFFFF"/>
            <w:noWrap/>
            <w:vAlign w:val="center"/>
          </w:tcPr>
          <w:p w14:paraId="38AA9590">
            <w:pPr>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人数</w:t>
            </w:r>
          </w:p>
        </w:tc>
        <w:tc>
          <w:tcPr>
            <w:tcW w:w="2482" w:type="pct"/>
            <w:tcBorders>
              <w:top w:val="single" w:color="auto" w:sz="4" w:space="0"/>
              <w:left w:val="nil"/>
              <w:bottom w:val="single" w:color="auto" w:sz="4" w:space="0"/>
              <w:right w:val="single" w:color="auto" w:sz="4" w:space="0"/>
            </w:tcBorders>
            <w:shd w:val="clear" w:color="000000" w:fill="FFFFFF"/>
            <w:vAlign w:val="center"/>
          </w:tcPr>
          <w:p w14:paraId="22A2BD11">
            <w:pPr>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人员要求</w:t>
            </w:r>
          </w:p>
        </w:tc>
        <w:tc>
          <w:tcPr>
            <w:tcW w:w="753" w:type="pct"/>
            <w:tcBorders>
              <w:top w:val="single" w:color="auto" w:sz="4" w:space="0"/>
              <w:left w:val="nil"/>
              <w:bottom w:val="single" w:color="auto" w:sz="4" w:space="0"/>
              <w:right w:val="single" w:color="auto" w:sz="4" w:space="0"/>
            </w:tcBorders>
            <w:shd w:val="clear" w:color="000000" w:fill="FFFFFF"/>
            <w:noWrap/>
            <w:vAlign w:val="center"/>
          </w:tcPr>
          <w:p w14:paraId="706E8ABA">
            <w:pPr>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备注</w:t>
            </w:r>
          </w:p>
        </w:tc>
      </w:tr>
      <w:tr w14:paraId="7FB69328">
        <w:tblPrEx>
          <w:tblCellMar>
            <w:top w:w="0" w:type="dxa"/>
            <w:left w:w="108" w:type="dxa"/>
            <w:bottom w:w="0" w:type="dxa"/>
            <w:right w:w="108" w:type="dxa"/>
          </w:tblCellMar>
        </w:tblPrEx>
        <w:trPr>
          <w:trHeight w:val="1215" w:hRule="atLeast"/>
          <w:jc w:val="center"/>
        </w:trPr>
        <w:tc>
          <w:tcPr>
            <w:tcW w:w="561" w:type="pct"/>
            <w:tcBorders>
              <w:top w:val="single" w:color="auto" w:sz="4" w:space="0"/>
              <w:left w:val="single" w:color="auto" w:sz="4" w:space="0"/>
              <w:right w:val="single" w:color="auto" w:sz="4" w:space="0"/>
            </w:tcBorders>
            <w:shd w:val="clear" w:color="000000" w:fill="FFFFFF"/>
            <w:vAlign w:val="center"/>
          </w:tcPr>
          <w:p w14:paraId="3BAF4F9E">
            <w:pPr>
              <w:jc w:val="center"/>
              <w:rPr>
                <w:rFonts w:hint="eastAsia" w:ascii="宋体" w:hAnsi="宋体" w:eastAsia="宋体" w:cs="宋体"/>
                <w:color w:val="auto"/>
                <w:kern w:val="0"/>
                <w:sz w:val="24"/>
                <w:szCs w:val="24"/>
                <w:highlight w:val="none"/>
              </w:rPr>
            </w:pPr>
          </w:p>
        </w:tc>
        <w:tc>
          <w:tcPr>
            <w:tcW w:w="561" w:type="pct"/>
            <w:tcBorders>
              <w:top w:val="single" w:color="auto" w:sz="4" w:space="0"/>
              <w:left w:val="single" w:color="auto" w:sz="4" w:space="0"/>
              <w:bottom w:val="single" w:color="auto" w:sz="4" w:space="0"/>
              <w:right w:val="single" w:color="auto" w:sz="4" w:space="0"/>
            </w:tcBorders>
            <w:shd w:val="clear" w:color="auto" w:fill="FFFFFF"/>
            <w:vAlign w:val="center"/>
          </w:tcPr>
          <w:p w14:paraId="2FA1C164">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检修队伍入场作业前准备</w:t>
            </w:r>
          </w:p>
        </w:tc>
        <w:tc>
          <w:tcPr>
            <w:tcW w:w="640" w:type="pct"/>
            <w:tcBorders>
              <w:top w:val="nil"/>
              <w:left w:val="nil"/>
              <w:bottom w:val="single" w:color="auto" w:sz="4" w:space="0"/>
              <w:right w:val="single" w:color="auto" w:sz="4" w:space="0"/>
            </w:tcBorders>
            <w:shd w:val="clear" w:color="auto" w:fill="FFFFFF"/>
            <w:noWrap/>
            <w:vAlign w:val="center"/>
          </w:tcPr>
          <w:p w14:paraId="36D6BF6D">
            <w:pP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45</w:t>
            </w:r>
          </w:p>
        </w:tc>
        <w:tc>
          <w:tcPr>
            <w:tcW w:w="2482" w:type="pct"/>
            <w:tcBorders>
              <w:top w:val="nil"/>
              <w:left w:val="nil"/>
              <w:bottom w:val="single" w:color="auto" w:sz="4" w:space="0"/>
              <w:right w:val="single" w:color="auto" w:sz="4" w:space="0"/>
            </w:tcBorders>
            <w:shd w:val="clear" w:color="auto" w:fill="FFFFFF"/>
            <w:vAlign w:val="center"/>
          </w:tcPr>
          <w:p w14:paraId="24119014">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检修队伍入厂教育培训及考试</w:t>
            </w:r>
          </w:p>
        </w:tc>
        <w:tc>
          <w:tcPr>
            <w:tcW w:w="75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0E21E83">
            <w:pPr>
              <w:rPr>
                <w:rFonts w:hint="eastAsia" w:ascii="宋体" w:hAnsi="宋体" w:eastAsia="宋体" w:cs="宋体"/>
                <w:color w:val="auto"/>
                <w:kern w:val="2"/>
                <w:sz w:val="24"/>
                <w:szCs w:val="24"/>
                <w:highlight w:val="none"/>
                <w:lang w:val="en-US" w:eastAsia="zh-CN" w:bidi="ar-SA"/>
              </w:rPr>
            </w:pPr>
          </w:p>
        </w:tc>
      </w:tr>
      <w:tr w14:paraId="6AE8DBC9">
        <w:tblPrEx>
          <w:tblCellMar>
            <w:top w:w="0" w:type="dxa"/>
            <w:left w:w="108" w:type="dxa"/>
            <w:bottom w:w="0" w:type="dxa"/>
            <w:right w:w="108" w:type="dxa"/>
          </w:tblCellMar>
        </w:tblPrEx>
        <w:trPr>
          <w:trHeight w:val="1215" w:hRule="atLeast"/>
          <w:jc w:val="center"/>
        </w:trPr>
        <w:tc>
          <w:tcPr>
            <w:tcW w:w="561" w:type="pct"/>
            <w:tcBorders>
              <w:top w:val="single" w:color="auto" w:sz="4" w:space="0"/>
              <w:left w:val="single" w:color="auto" w:sz="4" w:space="0"/>
              <w:right w:val="single" w:color="auto" w:sz="4" w:space="0"/>
            </w:tcBorders>
            <w:shd w:val="clear" w:color="000000" w:fill="FFFFFF"/>
            <w:vAlign w:val="center"/>
          </w:tcPr>
          <w:p w14:paraId="40779548">
            <w:pPr>
              <w:jc w:val="center"/>
              <w:rPr>
                <w:rFonts w:hint="eastAsia" w:ascii="宋体" w:hAnsi="宋体" w:eastAsia="宋体" w:cs="宋体"/>
                <w:color w:val="auto"/>
                <w:kern w:val="0"/>
                <w:sz w:val="24"/>
                <w:szCs w:val="24"/>
                <w:highlight w:val="none"/>
              </w:rPr>
            </w:pPr>
          </w:p>
        </w:tc>
        <w:tc>
          <w:tcPr>
            <w:tcW w:w="561" w:type="pct"/>
            <w:tcBorders>
              <w:top w:val="single" w:color="auto" w:sz="4" w:space="0"/>
              <w:left w:val="single" w:color="auto" w:sz="4" w:space="0"/>
              <w:bottom w:val="single" w:color="auto" w:sz="4" w:space="0"/>
              <w:right w:val="single" w:color="auto" w:sz="4" w:space="0"/>
            </w:tcBorders>
            <w:shd w:val="clear" w:color="auto" w:fill="FFFFFF"/>
            <w:vAlign w:val="center"/>
          </w:tcPr>
          <w:p w14:paraId="4A93C814">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检修队伍入场作业前准备</w:t>
            </w:r>
          </w:p>
        </w:tc>
        <w:tc>
          <w:tcPr>
            <w:tcW w:w="640" w:type="pct"/>
            <w:tcBorders>
              <w:top w:val="nil"/>
              <w:left w:val="nil"/>
              <w:bottom w:val="single" w:color="auto" w:sz="4" w:space="0"/>
              <w:right w:val="single" w:color="auto" w:sz="4" w:space="0"/>
            </w:tcBorders>
            <w:shd w:val="clear" w:color="auto" w:fill="FFFFFF"/>
            <w:noWrap/>
            <w:vAlign w:val="center"/>
          </w:tcPr>
          <w:p w14:paraId="2036645D">
            <w:pP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45</w:t>
            </w:r>
          </w:p>
        </w:tc>
        <w:tc>
          <w:tcPr>
            <w:tcW w:w="2482" w:type="pct"/>
            <w:tcBorders>
              <w:top w:val="nil"/>
              <w:left w:val="nil"/>
              <w:bottom w:val="single" w:color="auto" w:sz="4" w:space="0"/>
              <w:right w:val="single" w:color="auto" w:sz="4" w:space="0"/>
            </w:tcBorders>
            <w:shd w:val="clear" w:color="auto" w:fill="FFFFFF"/>
            <w:vAlign w:val="center"/>
          </w:tcPr>
          <w:p w14:paraId="19CDB7F5">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检修队伍入厂证办理、检修项目安全及技术交底</w:t>
            </w:r>
          </w:p>
        </w:tc>
        <w:tc>
          <w:tcPr>
            <w:tcW w:w="753"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064B928">
            <w:pPr>
              <w:rPr>
                <w:rFonts w:hint="eastAsia" w:ascii="宋体" w:hAnsi="宋体" w:eastAsia="宋体" w:cs="宋体"/>
                <w:color w:val="auto"/>
                <w:kern w:val="2"/>
                <w:sz w:val="24"/>
                <w:szCs w:val="24"/>
                <w:highlight w:val="none"/>
                <w:lang w:val="en-US" w:eastAsia="zh-CN" w:bidi="ar-SA"/>
              </w:rPr>
            </w:pPr>
          </w:p>
        </w:tc>
      </w:tr>
      <w:tr w14:paraId="3029983A">
        <w:tblPrEx>
          <w:tblCellMar>
            <w:top w:w="0" w:type="dxa"/>
            <w:left w:w="108" w:type="dxa"/>
            <w:bottom w:w="0" w:type="dxa"/>
            <w:right w:w="108" w:type="dxa"/>
          </w:tblCellMar>
        </w:tblPrEx>
        <w:trPr>
          <w:trHeight w:val="1215" w:hRule="atLeast"/>
          <w:jc w:val="center"/>
        </w:trPr>
        <w:tc>
          <w:tcPr>
            <w:tcW w:w="561" w:type="pct"/>
            <w:vMerge w:val="restart"/>
            <w:tcBorders>
              <w:top w:val="single" w:color="auto" w:sz="4" w:space="0"/>
              <w:left w:val="single" w:color="auto" w:sz="4" w:space="0"/>
              <w:right w:val="single" w:color="auto" w:sz="4" w:space="0"/>
            </w:tcBorders>
            <w:shd w:val="clear" w:color="000000" w:fill="FFFFFF"/>
            <w:vAlign w:val="center"/>
          </w:tcPr>
          <w:p w14:paraId="0D84A607">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管理人员</w:t>
            </w:r>
          </w:p>
        </w:tc>
        <w:tc>
          <w:tcPr>
            <w:tcW w:w="561" w:type="pct"/>
            <w:tcBorders>
              <w:top w:val="single" w:color="auto" w:sz="4" w:space="0"/>
              <w:left w:val="single" w:color="auto" w:sz="4" w:space="0"/>
              <w:bottom w:val="single" w:color="auto" w:sz="4" w:space="0"/>
              <w:right w:val="single" w:color="auto" w:sz="4" w:space="0"/>
            </w:tcBorders>
            <w:shd w:val="clear" w:color="000000" w:fill="FFFFFF"/>
            <w:vAlign w:val="center"/>
          </w:tcPr>
          <w:p w14:paraId="0BCAB614">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项目经理</w:t>
            </w:r>
          </w:p>
        </w:tc>
        <w:tc>
          <w:tcPr>
            <w:tcW w:w="640" w:type="pct"/>
            <w:tcBorders>
              <w:top w:val="nil"/>
              <w:left w:val="nil"/>
              <w:bottom w:val="single" w:color="auto" w:sz="4" w:space="0"/>
              <w:right w:val="single" w:color="auto" w:sz="4" w:space="0"/>
            </w:tcBorders>
            <w:shd w:val="clear" w:color="000000" w:fill="FFFFFF"/>
            <w:noWrap/>
            <w:vAlign w:val="center"/>
          </w:tcPr>
          <w:p w14:paraId="797CD5F8">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2482" w:type="pct"/>
            <w:tcBorders>
              <w:top w:val="nil"/>
              <w:left w:val="nil"/>
              <w:bottom w:val="single" w:color="auto" w:sz="4" w:space="0"/>
              <w:right w:val="single" w:color="auto" w:sz="4" w:space="0"/>
            </w:tcBorders>
            <w:shd w:val="clear" w:color="000000" w:fill="FFFFFF"/>
            <w:vAlign w:val="center"/>
          </w:tcPr>
          <w:p w14:paraId="31ECE181">
            <w:pP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1.10年以上设备安装、检修施工管理经验；须持有危险化学品生产单位主要负责人考核合格证（A）级；</w:t>
            </w:r>
          </w:p>
          <w:p w14:paraId="15A47CA5">
            <w:pP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2.熟悉国家相关法律法规、经济、政策。</w:t>
            </w:r>
          </w:p>
        </w:tc>
        <w:tc>
          <w:tcPr>
            <w:tcW w:w="753" w:type="pct"/>
            <w:tcBorders>
              <w:top w:val="single" w:color="auto" w:sz="4" w:space="0"/>
              <w:left w:val="single" w:color="auto" w:sz="4" w:space="0"/>
              <w:bottom w:val="single" w:color="auto" w:sz="4" w:space="0"/>
              <w:right w:val="single" w:color="auto" w:sz="4" w:space="0"/>
            </w:tcBorders>
            <w:noWrap/>
            <w:vAlign w:val="center"/>
          </w:tcPr>
          <w:p w14:paraId="455368D3">
            <w:pPr>
              <w:jc w:val="center"/>
              <w:rPr>
                <w:rFonts w:hint="eastAsia" w:ascii="宋体" w:hAnsi="宋体" w:eastAsia="宋体" w:cs="宋体"/>
                <w:color w:val="auto"/>
                <w:sz w:val="24"/>
                <w:szCs w:val="24"/>
                <w:highlight w:val="none"/>
              </w:rPr>
            </w:pPr>
          </w:p>
        </w:tc>
      </w:tr>
      <w:tr w14:paraId="4D9A2687">
        <w:tblPrEx>
          <w:tblCellMar>
            <w:top w:w="0" w:type="dxa"/>
            <w:left w:w="108" w:type="dxa"/>
            <w:bottom w:w="0" w:type="dxa"/>
            <w:right w:w="108" w:type="dxa"/>
          </w:tblCellMar>
        </w:tblPrEx>
        <w:trPr>
          <w:trHeight w:val="765" w:hRule="atLeast"/>
          <w:jc w:val="center"/>
        </w:trPr>
        <w:tc>
          <w:tcPr>
            <w:tcW w:w="561" w:type="pct"/>
            <w:vMerge w:val="continue"/>
            <w:tcBorders>
              <w:left w:val="single" w:color="auto" w:sz="4" w:space="0"/>
              <w:right w:val="single" w:color="auto" w:sz="4" w:space="0"/>
            </w:tcBorders>
            <w:shd w:val="clear" w:color="000000" w:fill="FFFFFF"/>
            <w:vAlign w:val="center"/>
          </w:tcPr>
          <w:p w14:paraId="1DE90AF4">
            <w:pPr>
              <w:jc w:val="center"/>
              <w:rPr>
                <w:rFonts w:hint="eastAsia" w:ascii="宋体" w:hAnsi="宋体" w:eastAsia="宋体" w:cs="宋体"/>
                <w:color w:val="auto"/>
                <w:kern w:val="0"/>
                <w:sz w:val="24"/>
                <w:szCs w:val="24"/>
                <w:highlight w:val="none"/>
              </w:rPr>
            </w:pPr>
          </w:p>
        </w:tc>
        <w:tc>
          <w:tcPr>
            <w:tcW w:w="561" w:type="pct"/>
            <w:tcBorders>
              <w:top w:val="single" w:color="auto" w:sz="4" w:space="0"/>
              <w:left w:val="single" w:color="auto" w:sz="4" w:space="0"/>
              <w:bottom w:val="single" w:color="auto" w:sz="4" w:space="0"/>
              <w:right w:val="single" w:color="auto" w:sz="4" w:space="0"/>
            </w:tcBorders>
            <w:shd w:val="clear" w:color="000000" w:fill="FFFFFF"/>
            <w:vAlign w:val="center"/>
          </w:tcPr>
          <w:p w14:paraId="4D363605">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专职安全员</w:t>
            </w:r>
          </w:p>
        </w:tc>
        <w:tc>
          <w:tcPr>
            <w:tcW w:w="640" w:type="pct"/>
            <w:tcBorders>
              <w:top w:val="single" w:color="auto" w:sz="4" w:space="0"/>
              <w:left w:val="nil"/>
              <w:bottom w:val="single" w:color="auto" w:sz="4" w:space="0"/>
              <w:right w:val="single" w:color="auto" w:sz="4" w:space="0"/>
            </w:tcBorders>
            <w:noWrap/>
            <w:vAlign w:val="center"/>
          </w:tcPr>
          <w:p w14:paraId="4ABFF8AE">
            <w:pPr>
              <w:jc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1</w:t>
            </w:r>
          </w:p>
        </w:tc>
        <w:tc>
          <w:tcPr>
            <w:tcW w:w="2482" w:type="pct"/>
            <w:tcBorders>
              <w:top w:val="single" w:color="auto" w:sz="4" w:space="0"/>
              <w:left w:val="nil"/>
              <w:bottom w:val="single" w:color="auto" w:sz="4" w:space="0"/>
              <w:right w:val="single" w:color="auto" w:sz="4" w:space="0"/>
            </w:tcBorders>
            <w:vAlign w:val="center"/>
          </w:tcPr>
          <w:p w14:paraId="2FAF7521">
            <w:pPr>
              <w:numPr>
                <w:ilvl w:val="0"/>
                <w:numId w:val="1"/>
              </w:numP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持有危险化学品生产单位安全生产知识和管理能力考核合格证（C）；</w:t>
            </w:r>
          </w:p>
          <w:p w14:paraId="3F46C7B4">
            <w:pPr>
              <w:numPr>
                <w:ilvl w:val="0"/>
                <w:numId w:val="1"/>
              </w:numP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3</w:t>
            </w:r>
            <w:r>
              <w:rPr>
                <w:rFonts w:hint="eastAsia" w:ascii="宋体" w:hAnsi="宋体" w:eastAsia="宋体" w:cs="宋体"/>
                <w:color w:val="auto"/>
                <w:kern w:val="0"/>
                <w:sz w:val="24"/>
                <w:szCs w:val="24"/>
                <w:highlight w:val="none"/>
                <w:lang w:bidi="ar"/>
              </w:rPr>
              <w:t>年以上安全管理工作经验；</w:t>
            </w:r>
          </w:p>
          <w:p w14:paraId="1C776DAB">
            <w:pPr>
              <w:numPr>
                <w:ilvl w:val="0"/>
                <w:numId w:val="1"/>
              </w:numP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能够处理施工后作业中出现的安全问题；</w:t>
            </w:r>
          </w:p>
          <w:p w14:paraId="24C53527">
            <w:pPr>
              <w:numPr>
                <w:ilvl w:val="0"/>
                <w:numId w:val="0"/>
              </w:numP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4.熟练掌握国家、企业关于安全生产的法令、法规及有关规章制度。</w:t>
            </w:r>
          </w:p>
        </w:tc>
        <w:tc>
          <w:tcPr>
            <w:tcW w:w="753" w:type="pct"/>
            <w:tcBorders>
              <w:top w:val="single" w:color="auto" w:sz="4" w:space="0"/>
              <w:left w:val="single" w:color="auto" w:sz="4" w:space="0"/>
              <w:bottom w:val="single" w:color="auto" w:sz="4" w:space="0"/>
              <w:right w:val="single" w:color="auto" w:sz="4" w:space="0"/>
            </w:tcBorders>
            <w:vAlign w:val="center"/>
          </w:tcPr>
          <w:p w14:paraId="78AF000F">
            <w:pPr>
              <w:jc w:val="left"/>
              <w:rPr>
                <w:rFonts w:hint="eastAsia" w:ascii="宋体" w:hAnsi="宋体" w:eastAsia="宋体" w:cs="宋体"/>
                <w:color w:val="auto"/>
                <w:kern w:val="0"/>
                <w:sz w:val="24"/>
                <w:szCs w:val="24"/>
                <w:highlight w:val="none"/>
              </w:rPr>
            </w:pPr>
          </w:p>
        </w:tc>
      </w:tr>
      <w:tr w14:paraId="7CE0DD26">
        <w:tblPrEx>
          <w:tblCellMar>
            <w:top w:w="0" w:type="dxa"/>
            <w:left w:w="108" w:type="dxa"/>
            <w:bottom w:w="0" w:type="dxa"/>
            <w:right w:w="108" w:type="dxa"/>
          </w:tblCellMar>
        </w:tblPrEx>
        <w:trPr>
          <w:trHeight w:val="765" w:hRule="atLeast"/>
          <w:jc w:val="center"/>
        </w:trPr>
        <w:tc>
          <w:tcPr>
            <w:tcW w:w="561" w:type="pct"/>
            <w:vMerge w:val="continue"/>
            <w:tcBorders>
              <w:left w:val="single" w:color="auto" w:sz="4" w:space="0"/>
              <w:right w:val="single" w:color="auto" w:sz="4" w:space="0"/>
            </w:tcBorders>
            <w:shd w:val="clear" w:color="000000" w:fill="FFFFFF"/>
            <w:vAlign w:val="center"/>
          </w:tcPr>
          <w:p w14:paraId="5140C592">
            <w:pPr>
              <w:jc w:val="center"/>
              <w:rPr>
                <w:rFonts w:hint="eastAsia" w:ascii="宋体" w:hAnsi="宋体" w:eastAsia="宋体" w:cs="宋体"/>
                <w:color w:val="auto"/>
                <w:kern w:val="0"/>
                <w:sz w:val="24"/>
                <w:szCs w:val="24"/>
                <w:highlight w:val="none"/>
              </w:rPr>
            </w:pPr>
          </w:p>
        </w:tc>
        <w:tc>
          <w:tcPr>
            <w:tcW w:w="561" w:type="pct"/>
            <w:tcBorders>
              <w:top w:val="single" w:color="auto" w:sz="4" w:space="0"/>
              <w:left w:val="single" w:color="auto" w:sz="4" w:space="0"/>
              <w:bottom w:val="single" w:color="auto" w:sz="4" w:space="0"/>
              <w:right w:val="single" w:color="auto" w:sz="4" w:space="0"/>
            </w:tcBorders>
            <w:shd w:val="clear" w:color="000000" w:fill="FFFFFF"/>
            <w:vAlign w:val="center"/>
          </w:tcPr>
          <w:p w14:paraId="4F1B88F0">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技术</w:t>
            </w:r>
            <w:r>
              <w:rPr>
                <w:rFonts w:hint="eastAsia" w:ascii="宋体" w:hAnsi="宋体" w:eastAsia="宋体" w:cs="宋体"/>
                <w:color w:val="auto"/>
                <w:kern w:val="0"/>
                <w:sz w:val="24"/>
                <w:szCs w:val="24"/>
                <w:highlight w:val="none"/>
              </w:rPr>
              <w:t>员</w:t>
            </w:r>
          </w:p>
        </w:tc>
        <w:tc>
          <w:tcPr>
            <w:tcW w:w="640" w:type="pct"/>
            <w:tcBorders>
              <w:top w:val="single" w:color="auto" w:sz="4" w:space="0"/>
              <w:left w:val="nil"/>
              <w:bottom w:val="single" w:color="auto" w:sz="4" w:space="0"/>
              <w:right w:val="single" w:color="auto" w:sz="4" w:space="0"/>
            </w:tcBorders>
            <w:noWrap/>
            <w:vAlign w:val="center"/>
          </w:tcPr>
          <w:p w14:paraId="7826896C">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2482" w:type="pct"/>
            <w:tcBorders>
              <w:top w:val="single" w:color="auto" w:sz="4" w:space="0"/>
              <w:left w:val="nil"/>
              <w:bottom w:val="single" w:color="auto" w:sz="4" w:space="0"/>
              <w:right w:val="single" w:color="auto" w:sz="4" w:space="0"/>
            </w:tcBorders>
            <w:vAlign w:val="center"/>
          </w:tcPr>
          <w:p w14:paraId="21BC7404">
            <w:pP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sz w:val="24"/>
                <w:szCs w:val="24"/>
                <w:highlight w:val="none"/>
                <w:shd w:val="clear" w:color="auto" w:fill="FFFFFF"/>
              </w:rPr>
              <w:t>对项目施工质量进行监督和检查，确保施工过程和工程质量符合相关标准和要求。需熟悉质量检验检测方法和标准，具备较强的质量意识和责任心，持有质量员岗位证书。</w:t>
            </w:r>
          </w:p>
        </w:tc>
        <w:tc>
          <w:tcPr>
            <w:tcW w:w="753" w:type="pct"/>
            <w:tcBorders>
              <w:top w:val="single" w:color="auto" w:sz="4" w:space="0"/>
              <w:left w:val="single" w:color="auto" w:sz="4" w:space="0"/>
              <w:bottom w:val="single" w:color="auto" w:sz="4" w:space="0"/>
              <w:right w:val="single" w:color="auto" w:sz="4" w:space="0"/>
            </w:tcBorders>
            <w:vAlign w:val="center"/>
          </w:tcPr>
          <w:p w14:paraId="2708CC05">
            <w:pPr>
              <w:jc w:val="left"/>
              <w:rPr>
                <w:rFonts w:hint="eastAsia" w:ascii="宋体" w:hAnsi="宋体" w:eastAsia="宋体" w:cs="宋体"/>
                <w:color w:val="auto"/>
                <w:kern w:val="0"/>
                <w:sz w:val="24"/>
                <w:szCs w:val="24"/>
                <w:highlight w:val="none"/>
              </w:rPr>
            </w:pPr>
          </w:p>
          <w:p w14:paraId="34E7EDB6">
            <w:pPr>
              <w:pStyle w:val="3"/>
              <w:rPr>
                <w:rFonts w:hint="eastAsia" w:ascii="宋体" w:hAnsi="宋体" w:eastAsia="宋体" w:cs="宋体"/>
                <w:color w:val="auto"/>
                <w:sz w:val="24"/>
                <w:szCs w:val="24"/>
                <w:highlight w:val="none"/>
              </w:rPr>
            </w:pPr>
          </w:p>
        </w:tc>
      </w:tr>
      <w:tr w14:paraId="6395C21C">
        <w:tblPrEx>
          <w:tblCellMar>
            <w:top w:w="0" w:type="dxa"/>
            <w:left w:w="108" w:type="dxa"/>
            <w:bottom w:w="0" w:type="dxa"/>
            <w:right w:w="108" w:type="dxa"/>
          </w:tblCellMar>
        </w:tblPrEx>
        <w:trPr>
          <w:trHeight w:val="765" w:hRule="atLeast"/>
          <w:jc w:val="center"/>
        </w:trPr>
        <w:tc>
          <w:tcPr>
            <w:tcW w:w="561" w:type="pct"/>
            <w:vMerge w:val="restart"/>
            <w:tcBorders>
              <w:top w:val="single" w:color="auto" w:sz="4" w:space="0"/>
              <w:left w:val="single" w:color="auto" w:sz="4" w:space="0"/>
              <w:right w:val="single" w:color="auto" w:sz="4" w:space="0"/>
            </w:tcBorders>
            <w:shd w:val="clear" w:color="000000" w:fill="FFFFFF"/>
            <w:vAlign w:val="center"/>
          </w:tcPr>
          <w:p w14:paraId="2E816A49">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技术工人</w:t>
            </w:r>
          </w:p>
        </w:tc>
        <w:tc>
          <w:tcPr>
            <w:tcW w:w="561" w:type="pct"/>
            <w:tcBorders>
              <w:top w:val="single" w:color="auto" w:sz="4" w:space="0"/>
              <w:left w:val="single" w:color="auto" w:sz="4" w:space="0"/>
              <w:bottom w:val="single" w:color="auto" w:sz="4" w:space="0"/>
              <w:right w:val="single" w:color="auto" w:sz="4" w:space="0"/>
            </w:tcBorders>
            <w:shd w:val="clear" w:color="000000" w:fill="FFFFFF"/>
            <w:vAlign w:val="center"/>
          </w:tcPr>
          <w:p w14:paraId="1C68FF45">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焊工</w:t>
            </w:r>
          </w:p>
        </w:tc>
        <w:tc>
          <w:tcPr>
            <w:tcW w:w="640" w:type="pct"/>
            <w:tcBorders>
              <w:top w:val="single" w:color="auto" w:sz="4" w:space="0"/>
              <w:left w:val="nil"/>
              <w:bottom w:val="single" w:color="auto" w:sz="4" w:space="0"/>
              <w:right w:val="single" w:color="auto" w:sz="4" w:space="0"/>
            </w:tcBorders>
            <w:noWrap/>
            <w:vAlign w:val="center"/>
          </w:tcPr>
          <w:p w14:paraId="5CE02E71">
            <w:pPr>
              <w:jc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6</w:t>
            </w:r>
          </w:p>
        </w:tc>
        <w:tc>
          <w:tcPr>
            <w:tcW w:w="2482" w:type="pct"/>
            <w:tcBorders>
              <w:top w:val="single" w:color="auto" w:sz="4" w:space="0"/>
              <w:left w:val="nil"/>
              <w:bottom w:val="single" w:color="auto" w:sz="4" w:space="0"/>
              <w:right w:val="single" w:color="auto" w:sz="4" w:space="0"/>
            </w:tcBorders>
            <w:vAlign w:val="center"/>
          </w:tcPr>
          <w:p w14:paraId="18B9975E">
            <w:pP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1.持有相应的焊工资格证书，熟练掌握焊接设备的操作方法，包括电焊机、气焊设备、氩弧焊机等；</w:t>
            </w:r>
          </w:p>
          <w:p w14:paraId="772EDE5C">
            <w:pP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2.熟悉不同焊接工艺和焊接材料的特性，能按照焊接工艺要求进行高质量的焊接作业</w:t>
            </w:r>
          </w:p>
          <w:p w14:paraId="7058AA84">
            <w:pP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3应急管理局和市场监督管理局颁发的双证</w:t>
            </w:r>
            <w:r>
              <w:rPr>
                <w:rFonts w:hint="eastAsia" w:ascii="宋体" w:hAnsi="宋体" w:eastAsia="宋体" w:cs="宋体"/>
                <w:color w:val="auto"/>
                <w:kern w:val="0"/>
                <w:sz w:val="24"/>
                <w:szCs w:val="24"/>
                <w:highlight w:val="none"/>
                <w:lang w:bidi="ar"/>
              </w:rPr>
              <w:t>。</w:t>
            </w:r>
            <w:r>
              <w:rPr>
                <w:rFonts w:hint="eastAsia" w:ascii="宋体" w:hAnsi="宋体" w:eastAsia="宋体" w:cs="宋体"/>
                <w:color w:val="auto"/>
                <w:kern w:val="0"/>
                <w:sz w:val="24"/>
                <w:szCs w:val="24"/>
                <w:highlight w:val="none"/>
                <w:lang w:val="en-US" w:eastAsia="zh-CN" w:bidi="ar"/>
              </w:rPr>
              <w:t>(证件符合相关焊接要求)</w:t>
            </w:r>
          </w:p>
        </w:tc>
        <w:tc>
          <w:tcPr>
            <w:tcW w:w="753" w:type="pct"/>
            <w:tcBorders>
              <w:top w:val="single" w:color="auto" w:sz="4" w:space="0"/>
              <w:left w:val="single" w:color="auto" w:sz="4" w:space="0"/>
              <w:bottom w:val="single" w:color="auto" w:sz="4" w:space="0"/>
              <w:right w:val="single" w:color="auto" w:sz="4" w:space="0"/>
            </w:tcBorders>
            <w:vAlign w:val="center"/>
          </w:tcPr>
          <w:p w14:paraId="1D3F1BE0">
            <w:pPr>
              <w:jc w:val="left"/>
              <w:rPr>
                <w:rFonts w:hint="eastAsia" w:ascii="宋体" w:hAnsi="宋体" w:eastAsia="宋体" w:cs="宋体"/>
                <w:color w:val="auto"/>
                <w:kern w:val="0"/>
                <w:sz w:val="24"/>
                <w:szCs w:val="24"/>
                <w:highlight w:val="none"/>
              </w:rPr>
            </w:pPr>
          </w:p>
        </w:tc>
      </w:tr>
      <w:tr w14:paraId="68745C95">
        <w:tblPrEx>
          <w:tblCellMar>
            <w:top w:w="0" w:type="dxa"/>
            <w:left w:w="108" w:type="dxa"/>
            <w:bottom w:w="0" w:type="dxa"/>
            <w:right w:w="108" w:type="dxa"/>
          </w:tblCellMar>
        </w:tblPrEx>
        <w:trPr>
          <w:trHeight w:val="765" w:hRule="atLeast"/>
          <w:jc w:val="center"/>
        </w:trPr>
        <w:tc>
          <w:tcPr>
            <w:tcW w:w="561" w:type="pct"/>
            <w:vMerge w:val="continue"/>
            <w:tcBorders>
              <w:left w:val="single" w:color="auto" w:sz="4" w:space="0"/>
              <w:right w:val="single" w:color="auto" w:sz="4" w:space="0"/>
            </w:tcBorders>
            <w:shd w:val="clear" w:color="000000" w:fill="FFFFFF"/>
            <w:vAlign w:val="center"/>
          </w:tcPr>
          <w:p w14:paraId="34D85589">
            <w:pPr>
              <w:jc w:val="center"/>
              <w:rPr>
                <w:rFonts w:hint="eastAsia" w:ascii="宋体" w:hAnsi="宋体" w:eastAsia="宋体" w:cs="宋体"/>
                <w:color w:val="auto"/>
                <w:kern w:val="0"/>
                <w:sz w:val="24"/>
                <w:szCs w:val="24"/>
                <w:highlight w:val="none"/>
              </w:rPr>
            </w:pPr>
          </w:p>
        </w:tc>
        <w:tc>
          <w:tcPr>
            <w:tcW w:w="561" w:type="pct"/>
            <w:tcBorders>
              <w:top w:val="single" w:color="auto" w:sz="4" w:space="0"/>
              <w:left w:val="single" w:color="auto" w:sz="4" w:space="0"/>
              <w:bottom w:val="single" w:color="auto" w:sz="4" w:space="0"/>
              <w:right w:val="single" w:color="auto" w:sz="4" w:space="0"/>
            </w:tcBorders>
            <w:shd w:val="clear" w:color="000000" w:fill="FFFFFF"/>
            <w:vAlign w:val="center"/>
          </w:tcPr>
          <w:p w14:paraId="0C679096">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sz w:val="24"/>
                <w:szCs w:val="24"/>
                <w:highlight w:val="none"/>
                <w:lang w:val="en-US" w:eastAsia="zh-CN"/>
              </w:rPr>
              <w:t>起重指挥</w:t>
            </w:r>
          </w:p>
        </w:tc>
        <w:tc>
          <w:tcPr>
            <w:tcW w:w="640" w:type="pct"/>
            <w:tcBorders>
              <w:top w:val="single" w:color="auto" w:sz="4" w:space="0"/>
              <w:left w:val="nil"/>
              <w:bottom w:val="single" w:color="auto" w:sz="4" w:space="0"/>
              <w:right w:val="single" w:color="auto" w:sz="4" w:space="0"/>
            </w:tcBorders>
            <w:noWrap/>
            <w:vAlign w:val="center"/>
          </w:tcPr>
          <w:p w14:paraId="05A9E8D6">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2482" w:type="pct"/>
            <w:tcBorders>
              <w:top w:val="single" w:color="auto" w:sz="4" w:space="0"/>
              <w:left w:val="nil"/>
              <w:bottom w:val="single" w:color="auto" w:sz="4" w:space="0"/>
              <w:right w:val="single" w:color="auto" w:sz="4" w:space="0"/>
            </w:tcBorders>
            <w:vAlign w:val="center"/>
          </w:tcPr>
          <w:p w14:paraId="433133B5">
            <w:pPr>
              <w:textAlignment w:val="center"/>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起重指挥人员必须经专门的安全技术培训并考核合格，取得相应的特种设备作业人员证（起重机械指挥项目），方可上岗作业</w:t>
            </w:r>
          </w:p>
        </w:tc>
        <w:tc>
          <w:tcPr>
            <w:tcW w:w="753" w:type="pct"/>
            <w:tcBorders>
              <w:top w:val="single" w:color="auto" w:sz="4" w:space="0"/>
              <w:left w:val="single" w:color="auto" w:sz="4" w:space="0"/>
              <w:bottom w:val="single" w:color="auto" w:sz="4" w:space="0"/>
              <w:right w:val="single" w:color="auto" w:sz="4" w:space="0"/>
            </w:tcBorders>
            <w:vAlign w:val="center"/>
          </w:tcPr>
          <w:p w14:paraId="273F36CA">
            <w:pPr>
              <w:jc w:val="left"/>
              <w:rPr>
                <w:rFonts w:hint="eastAsia" w:ascii="宋体" w:hAnsi="宋体" w:eastAsia="宋体" w:cs="宋体"/>
                <w:color w:val="auto"/>
                <w:kern w:val="0"/>
                <w:sz w:val="24"/>
                <w:szCs w:val="24"/>
                <w:highlight w:val="none"/>
              </w:rPr>
            </w:pPr>
          </w:p>
        </w:tc>
      </w:tr>
      <w:tr w14:paraId="38496D8D">
        <w:tblPrEx>
          <w:tblCellMar>
            <w:top w:w="0" w:type="dxa"/>
            <w:left w:w="108" w:type="dxa"/>
            <w:bottom w:w="0" w:type="dxa"/>
            <w:right w:w="108" w:type="dxa"/>
          </w:tblCellMar>
        </w:tblPrEx>
        <w:trPr>
          <w:trHeight w:val="765" w:hRule="atLeast"/>
          <w:jc w:val="center"/>
        </w:trPr>
        <w:tc>
          <w:tcPr>
            <w:tcW w:w="561" w:type="pct"/>
            <w:vMerge w:val="continue"/>
            <w:tcBorders>
              <w:left w:val="single" w:color="auto" w:sz="4" w:space="0"/>
              <w:right w:val="single" w:color="auto" w:sz="4" w:space="0"/>
            </w:tcBorders>
            <w:shd w:val="clear" w:color="000000" w:fill="FFFFFF"/>
            <w:vAlign w:val="center"/>
          </w:tcPr>
          <w:p w14:paraId="60321974">
            <w:pPr>
              <w:jc w:val="center"/>
              <w:rPr>
                <w:rFonts w:hint="eastAsia" w:ascii="宋体" w:hAnsi="宋体" w:eastAsia="宋体" w:cs="宋体"/>
                <w:color w:val="auto"/>
                <w:kern w:val="0"/>
                <w:sz w:val="24"/>
                <w:szCs w:val="24"/>
                <w:highlight w:val="none"/>
              </w:rPr>
            </w:pPr>
          </w:p>
        </w:tc>
        <w:tc>
          <w:tcPr>
            <w:tcW w:w="561" w:type="pct"/>
            <w:tcBorders>
              <w:top w:val="single" w:color="auto" w:sz="4" w:space="0"/>
              <w:left w:val="single" w:color="auto" w:sz="4" w:space="0"/>
              <w:bottom w:val="single" w:color="auto" w:sz="4" w:space="0"/>
              <w:right w:val="single" w:color="auto" w:sz="4" w:space="0"/>
            </w:tcBorders>
            <w:shd w:val="clear" w:color="000000" w:fill="FFFFFF"/>
            <w:vAlign w:val="center"/>
          </w:tcPr>
          <w:p w14:paraId="215A15B5">
            <w:pPr>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管工</w:t>
            </w:r>
          </w:p>
        </w:tc>
        <w:tc>
          <w:tcPr>
            <w:tcW w:w="640" w:type="pct"/>
            <w:tcBorders>
              <w:top w:val="single" w:color="auto" w:sz="4" w:space="0"/>
              <w:left w:val="nil"/>
              <w:bottom w:val="single" w:color="auto" w:sz="4" w:space="0"/>
              <w:right w:val="single" w:color="auto" w:sz="4" w:space="0"/>
            </w:tcBorders>
            <w:noWrap/>
            <w:vAlign w:val="center"/>
          </w:tcPr>
          <w:p w14:paraId="3064864B">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2482" w:type="pct"/>
            <w:tcBorders>
              <w:top w:val="single" w:color="auto" w:sz="4" w:space="0"/>
              <w:left w:val="nil"/>
              <w:bottom w:val="single" w:color="auto" w:sz="4" w:space="0"/>
              <w:right w:val="single" w:color="auto" w:sz="4" w:space="0"/>
            </w:tcBorders>
            <w:vAlign w:val="center"/>
          </w:tcPr>
          <w:p w14:paraId="290DB2EA">
            <w:pPr>
              <w:textAlignment w:val="center"/>
              <w:rPr>
                <w:rFonts w:hint="eastAsia" w:ascii="宋体" w:hAnsi="宋体" w:eastAsia="宋体" w:cs="宋体"/>
                <w:color w:val="auto"/>
                <w:sz w:val="24"/>
                <w:szCs w:val="24"/>
                <w:highlight w:val="none"/>
                <w:shd w:val="clear" w:color="auto" w:fill="FFFFFF"/>
              </w:rPr>
            </w:pPr>
          </w:p>
        </w:tc>
        <w:tc>
          <w:tcPr>
            <w:tcW w:w="753" w:type="pct"/>
            <w:tcBorders>
              <w:top w:val="single" w:color="auto" w:sz="4" w:space="0"/>
              <w:left w:val="single" w:color="auto" w:sz="4" w:space="0"/>
              <w:bottom w:val="single" w:color="auto" w:sz="4" w:space="0"/>
              <w:right w:val="single" w:color="auto" w:sz="4" w:space="0"/>
            </w:tcBorders>
            <w:vAlign w:val="center"/>
          </w:tcPr>
          <w:p w14:paraId="38712361">
            <w:pPr>
              <w:jc w:val="left"/>
              <w:rPr>
                <w:rFonts w:hint="eastAsia" w:ascii="宋体" w:hAnsi="宋体" w:eastAsia="宋体" w:cs="宋体"/>
                <w:color w:val="auto"/>
                <w:kern w:val="0"/>
                <w:sz w:val="24"/>
                <w:szCs w:val="24"/>
                <w:highlight w:val="none"/>
              </w:rPr>
            </w:pPr>
          </w:p>
        </w:tc>
      </w:tr>
      <w:tr w14:paraId="197160F0">
        <w:tblPrEx>
          <w:tblCellMar>
            <w:top w:w="0" w:type="dxa"/>
            <w:left w:w="108" w:type="dxa"/>
            <w:bottom w:w="0" w:type="dxa"/>
            <w:right w:w="108" w:type="dxa"/>
          </w:tblCellMar>
        </w:tblPrEx>
        <w:trPr>
          <w:trHeight w:val="765" w:hRule="atLeast"/>
          <w:jc w:val="center"/>
        </w:trPr>
        <w:tc>
          <w:tcPr>
            <w:tcW w:w="561" w:type="pct"/>
            <w:vMerge w:val="continue"/>
            <w:tcBorders>
              <w:left w:val="single" w:color="auto" w:sz="4" w:space="0"/>
              <w:right w:val="single" w:color="auto" w:sz="4" w:space="0"/>
            </w:tcBorders>
            <w:shd w:val="clear" w:color="000000" w:fill="FFFFFF"/>
            <w:vAlign w:val="center"/>
          </w:tcPr>
          <w:p w14:paraId="2A5F58C1">
            <w:pPr>
              <w:jc w:val="center"/>
              <w:rPr>
                <w:rFonts w:hint="eastAsia" w:ascii="宋体" w:hAnsi="宋体" w:eastAsia="宋体" w:cs="宋体"/>
                <w:color w:val="auto"/>
                <w:kern w:val="0"/>
                <w:sz w:val="24"/>
                <w:szCs w:val="24"/>
                <w:highlight w:val="none"/>
              </w:rPr>
            </w:pPr>
          </w:p>
        </w:tc>
        <w:tc>
          <w:tcPr>
            <w:tcW w:w="561" w:type="pct"/>
            <w:tcBorders>
              <w:top w:val="single" w:color="auto" w:sz="4" w:space="0"/>
              <w:left w:val="single" w:color="auto" w:sz="4" w:space="0"/>
              <w:bottom w:val="single" w:color="auto" w:sz="4" w:space="0"/>
              <w:right w:val="single" w:color="auto" w:sz="4" w:space="0"/>
            </w:tcBorders>
            <w:shd w:val="clear" w:color="000000" w:fill="FFFFFF"/>
            <w:vAlign w:val="center"/>
          </w:tcPr>
          <w:p w14:paraId="0A6645F8">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电工</w:t>
            </w:r>
          </w:p>
        </w:tc>
        <w:tc>
          <w:tcPr>
            <w:tcW w:w="640" w:type="pct"/>
            <w:tcBorders>
              <w:top w:val="single" w:color="auto" w:sz="4" w:space="0"/>
              <w:left w:val="nil"/>
              <w:bottom w:val="single" w:color="auto" w:sz="4" w:space="0"/>
              <w:right w:val="single" w:color="auto" w:sz="4" w:space="0"/>
            </w:tcBorders>
            <w:noWrap/>
            <w:vAlign w:val="center"/>
          </w:tcPr>
          <w:p w14:paraId="4B3D551B">
            <w:pPr>
              <w:jc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1</w:t>
            </w:r>
          </w:p>
        </w:tc>
        <w:tc>
          <w:tcPr>
            <w:tcW w:w="2482" w:type="pct"/>
            <w:tcBorders>
              <w:top w:val="single" w:color="auto" w:sz="4" w:space="0"/>
              <w:left w:val="nil"/>
              <w:bottom w:val="single" w:color="auto" w:sz="4" w:space="0"/>
              <w:right w:val="single" w:color="auto" w:sz="4" w:space="0"/>
            </w:tcBorders>
            <w:vAlign w:val="center"/>
          </w:tcPr>
          <w:p w14:paraId="4D329DBE">
            <w:pPr>
              <w:jc w:val="left"/>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1.必须持有电工特种作业操作证</w:t>
            </w:r>
          </w:p>
          <w:p w14:paraId="090AB28B">
            <w:pPr>
              <w:jc w:val="left"/>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2.熟练掌握电工工具和仪器仪表的使用</w:t>
            </w:r>
          </w:p>
          <w:p w14:paraId="24D17F5D">
            <w:pPr>
              <w:jc w:val="left"/>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3.具备电气设备的安装、调试、维护和检修能力</w:t>
            </w:r>
          </w:p>
          <w:p w14:paraId="03FC5153">
            <w:pPr>
              <w:jc w:val="left"/>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4.</w:t>
            </w:r>
            <w:r>
              <w:rPr>
                <w:rFonts w:hint="eastAsia" w:ascii="宋体" w:hAnsi="宋体" w:eastAsia="宋体" w:cs="宋体"/>
                <w:color w:val="auto"/>
                <w:kern w:val="0"/>
                <w:sz w:val="24"/>
                <w:szCs w:val="24"/>
                <w:highlight w:val="none"/>
                <w:lang w:bidi="ar"/>
              </w:rPr>
              <w:t>熟练掌握汉语语言</w:t>
            </w:r>
          </w:p>
        </w:tc>
        <w:tc>
          <w:tcPr>
            <w:tcW w:w="753" w:type="pct"/>
            <w:tcBorders>
              <w:left w:val="single" w:color="auto" w:sz="4" w:space="0"/>
              <w:bottom w:val="single" w:color="auto" w:sz="4" w:space="0"/>
              <w:right w:val="single" w:color="auto" w:sz="4" w:space="0"/>
            </w:tcBorders>
            <w:vAlign w:val="center"/>
          </w:tcPr>
          <w:p w14:paraId="7EECBF4F">
            <w:pPr>
              <w:jc w:val="left"/>
              <w:rPr>
                <w:rFonts w:hint="eastAsia" w:ascii="宋体" w:hAnsi="宋体" w:eastAsia="宋体" w:cs="宋体"/>
                <w:color w:val="auto"/>
                <w:kern w:val="0"/>
                <w:sz w:val="24"/>
                <w:szCs w:val="24"/>
                <w:highlight w:val="none"/>
              </w:rPr>
            </w:pPr>
          </w:p>
        </w:tc>
      </w:tr>
      <w:tr w14:paraId="1D0DF3BD">
        <w:tblPrEx>
          <w:tblCellMar>
            <w:top w:w="0" w:type="dxa"/>
            <w:left w:w="108" w:type="dxa"/>
            <w:bottom w:w="0" w:type="dxa"/>
            <w:right w:w="108" w:type="dxa"/>
          </w:tblCellMar>
        </w:tblPrEx>
        <w:trPr>
          <w:trHeight w:val="270" w:hRule="atLeast"/>
          <w:jc w:val="center"/>
        </w:trPr>
        <w:tc>
          <w:tcPr>
            <w:tcW w:w="561" w:type="pct"/>
            <w:tcBorders>
              <w:top w:val="single" w:color="auto" w:sz="4" w:space="0"/>
              <w:left w:val="single" w:color="auto" w:sz="4" w:space="0"/>
              <w:bottom w:val="single" w:color="auto" w:sz="4" w:space="0"/>
              <w:right w:val="single" w:color="auto" w:sz="4" w:space="0"/>
            </w:tcBorders>
            <w:vAlign w:val="center"/>
          </w:tcPr>
          <w:p w14:paraId="66F61BD1">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普通工人</w:t>
            </w:r>
          </w:p>
        </w:tc>
        <w:tc>
          <w:tcPr>
            <w:tcW w:w="561" w:type="pct"/>
            <w:tcBorders>
              <w:top w:val="single" w:color="auto" w:sz="4" w:space="0"/>
              <w:left w:val="single" w:color="auto" w:sz="4" w:space="0"/>
              <w:bottom w:val="single" w:color="auto" w:sz="4" w:space="0"/>
              <w:right w:val="single" w:color="auto" w:sz="4" w:space="0"/>
            </w:tcBorders>
            <w:vAlign w:val="center"/>
          </w:tcPr>
          <w:p w14:paraId="5CB199F4">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普工</w:t>
            </w:r>
          </w:p>
        </w:tc>
        <w:tc>
          <w:tcPr>
            <w:tcW w:w="640" w:type="pct"/>
            <w:tcBorders>
              <w:top w:val="single" w:color="auto" w:sz="4" w:space="0"/>
              <w:left w:val="nil"/>
              <w:bottom w:val="single" w:color="auto" w:sz="4" w:space="0"/>
              <w:right w:val="single" w:color="auto" w:sz="4" w:space="0"/>
            </w:tcBorders>
            <w:noWrap/>
            <w:vAlign w:val="center"/>
          </w:tcPr>
          <w:p w14:paraId="5F608631">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31</w:t>
            </w:r>
          </w:p>
        </w:tc>
        <w:tc>
          <w:tcPr>
            <w:tcW w:w="2482" w:type="pct"/>
            <w:tcBorders>
              <w:top w:val="single" w:color="auto" w:sz="4" w:space="0"/>
              <w:left w:val="nil"/>
              <w:bottom w:val="single" w:color="auto" w:sz="4" w:space="0"/>
              <w:right w:val="single" w:color="auto" w:sz="4" w:space="0"/>
            </w:tcBorders>
            <w:vAlign w:val="center"/>
          </w:tcPr>
          <w:p w14:paraId="5B818365">
            <w:pPr>
              <w:jc w:val="left"/>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1.熟练使用各种检修工具和仪器设备</w:t>
            </w:r>
          </w:p>
          <w:p w14:paraId="5AEE2A7D">
            <w:pPr>
              <w:jc w:val="left"/>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2.具备设备的拆卸、装配和调整能力</w:t>
            </w:r>
          </w:p>
          <w:p w14:paraId="34985176">
            <w:pPr>
              <w:jc w:val="left"/>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3.具备良好的身体素质和耐力，能够承受一定的工作强度</w:t>
            </w:r>
          </w:p>
          <w:p w14:paraId="77F12441">
            <w:pPr>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w:t>
            </w:r>
            <w:r>
              <w:rPr>
                <w:rFonts w:hint="eastAsia" w:ascii="宋体" w:hAnsi="宋体" w:eastAsia="宋体" w:cs="宋体"/>
                <w:color w:val="auto"/>
                <w:kern w:val="0"/>
                <w:sz w:val="24"/>
                <w:szCs w:val="24"/>
                <w:highlight w:val="none"/>
                <w:lang w:bidi="ar"/>
              </w:rPr>
              <w:t>熟练掌握汉语语言</w:t>
            </w:r>
          </w:p>
        </w:tc>
        <w:tc>
          <w:tcPr>
            <w:tcW w:w="753" w:type="pct"/>
            <w:tcBorders>
              <w:top w:val="single" w:color="auto" w:sz="4" w:space="0"/>
              <w:left w:val="single" w:color="auto" w:sz="4" w:space="0"/>
              <w:bottom w:val="single" w:color="auto" w:sz="4" w:space="0"/>
              <w:right w:val="single" w:color="auto" w:sz="4" w:space="0"/>
            </w:tcBorders>
            <w:vAlign w:val="center"/>
          </w:tcPr>
          <w:p w14:paraId="68DCBD3E">
            <w:pPr>
              <w:jc w:val="left"/>
              <w:rPr>
                <w:rFonts w:hint="eastAsia" w:ascii="宋体" w:hAnsi="宋体" w:eastAsia="宋体" w:cs="宋体"/>
                <w:color w:val="auto"/>
                <w:kern w:val="0"/>
                <w:sz w:val="24"/>
                <w:szCs w:val="24"/>
                <w:highlight w:val="none"/>
              </w:rPr>
            </w:pPr>
          </w:p>
        </w:tc>
      </w:tr>
    </w:tbl>
    <w:p w14:paraId="5A79EC06">
      <w:pPr>
        <w:snapToGrid w:val="0"/>
        <w:spacing w:line="360" w:lineRule="auto"/>
        <w:jc w:val="left"/>
        <w:rPr>
          <w:rStyle w:val="31"/>
          <w:rFonts w:hint="eastAsia" w:ascii="宋体" w:hAnsi="宋体" w:eastAsia="宋体" w:cs="宋体"/>
          <w:b/>
          <w:color w:val="auto"/>
          <w:sz w:val="24"/>
          <w:szCs w:val="24"/>
          <w:highlight w:val="none"/>
        </w:rPr>
      </w:pPr>
    </w:p>
    <w:p w14:paraId="36E66934">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lang w:val="en-US" w:eastAsia="zh-CN"/>
        </w:rPr>
      </w:pPr>
      <w:bookmarkStart w:id="22" w:name="_Toc16240"/>
      <w:r>
        <w:rPr>
          <w:rFonts w:hint="eastAsia" w:ascii="宋体" w:hAnsi="宋体" w:eastAsia="宋体" w:cs="宋体"/>
          <w:color w:val="auto"/>
          <w:sz w:val="24"/>
          <w:szCs w:val="24"/>
          <w:highlight w:val="none"/>
          <w:lang w:val="en-US" w:eastAsia="zh-CN"/>
        </w:rPr>
        <w:t>8安全要求</w:t>
      </w:r>
      <w:bookmarkEnd w:id="22"/>
    </w:p>
    <w:p w14:paraId="5B00406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8.1入厂资料要求：</w:t>
      </w:r>
    </w:p>
    <w:p w14:paraId="128837E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8.1.1 投标方应该建立归档资料如下：</w:t>
      </w:r>
    </w:p>
    <w:p w14:paraId="633E231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8.1.2 投标方管理人员对作业人员的安全技术交底记录（全员覆盖，新入职人员及时进行安全技术交底，纸质版留档）。</w:t>
      </w:r>
    </w:p>
    <w:p w14:paraId="51CCF2C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8.1.3 投标方组织员工培训学习公司相关制度、管理规定、事故案例的学习记录。（电子版备查，要求有清晰的照片能证明所学内容，有清晰的扫描签到表）</w:t>
      </w:r>
    </w:p>
    <w:p w14:paraId="4C31BE8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8.1.4 三级安全教育台账以及整套资料。</w:t>
      </w:r>
    </w:p>
    <w:p w14:paraId="78B118F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8.1.5 项目主管单位对制度、管理规定、操作规程提供的确认表。（纸质版留档）</w:t>
      </w:r>
    </w:p>
    <w:p w14:paraId="003986C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8.1.6 项目主管单位对投标方组织进行培训学习记录。（常年维保单位每月一次）。（电子版备查，要求有清晰的照片能证明所学内容，有清晰的扫描签到表）</w:t>
      </w:r>
    </w:p>
    <w:p w14:paraId="51A5430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8.1.7 安健环协议以及交叉协议。（纸质版留档）</w:t>
      </w:r>
    </w:p>
    <w:p w14:paraId="2489565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8.1.8 项目开工前条件确认表。（纸质版留档）</w:t>
      </w:r>
    </w:p>
    <w:p w14:paraId="7AF15DD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8.1.9 安全生产责任书（层层签订）（纸质版留档）</w:t>
      </w:r>
    </w:p>
    <w:p w14:paraId="49657B3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8.1.10 合同以及附件。（纸质版留档）</w:t>
      </w:r>
    </w:p>
    <w:p w14:paraId="4EED3CA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8.1.11 企业资质、专业外包资质。（电子版备查）</w:t>
      </w:r>
    </w:p>
    <w:p w14:paraId="03D58EE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8.1.12 管理人员授权书、任命书。（纸质版留档）</w:t>
      </w:r>
    </w:p>
    <w:p w14:paraId="3972207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8.1.13 投标方全员安全生产责任制。（纸质版留档）</w:t>
      </w:r>
    </w:p>
    <w:p w14:paraId="27C8C43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8.1.14 投标方应急预案。（纸质版留档）</w:t>
      </w:r>
    </w:p>
    <w:p w14:paraId="1143506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8.1.15 外包项目人员台账（及时更新）以及特种作业人员台账（电子版及时更新）。</w:t>
      </w:r>
    </w:p>
    <w:p w14:paraId="4516345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8.1.16 所有审核审批的方案存档。（纸质版留档）</w:t>
      </w:r>
    </w:p>
    <w:p w14:paraId="6B5CEB7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8.1.17 安全生产费用使用台账（电子版台账，必须提供相关佐证资料例如发票等）。</w:t>
      </w:r>
    </w:p>
    <w:p w14:paraId="0A430C4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8.1.18 外包项目所有人员的入厂健康体检、职业病体检报告（纸质版留档）,详细要求见附件22。</w:t>
      </w:r>
    </w:p>
    <w:p w14:paraId="44E6F9C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8.2安全要求：</w:t>
      </w:r>
    </w:p>
    <w:p w14:paraId="18A5316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8.2.1 检修人员进行设备检修工作时，必须办理合格的工作票及各种特殊作业票。</w:t>
      </w:r>
    </w:p>
    <w:p w14:paraId="3763AB5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8.2.2 检修人员如需在脚手架上工作，必须系安全带方能上脚手架，并将安全带挂在固定牢固部件上，高挂低用。</w:t>
      </w:r>
    </w:p>
    <w:p w14:paraId="1A045E6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8.2.3 设备所有零部件，应按要求摆放在指定的地点, 妥善保管。工作中轻起轻落,不准将设备或零部件直接放在地面上，在检修现场必须垫上橡胶垫，以防工具、零件等掉在地上。</w:t>
      </w:r>
    </w:p>
    <w:p w14:paraId="04B5743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8.2.4 检修现场应尽量避免上下交叉作业，如无法避免，应在监护人的监督下，由工作负责人统一指挥，上方检修人员应系好安全带、所用工器具系好安全绳并确保防坠落安全措施已执行到位；下方检修人员，应在工作负责人确认安全措施已执行到位后，方可进入现场工作，并做好事故预想，工作时做到注意力集中，保持上下通信畅通。</w:t>
      </w:r>
    </w:p>
    <w:p w14:paraId="6B9BBC1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8.2.5 现场工作人员应精神状态良好、无有碍工作的疾病，并不得酒后上班。</w:t>
      </w:r>
    </w:p>
    <w:p w14:paraId="0295F70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8.2.6 进入生产场所的所有人员包括管理人员必须戴好安全帽，禁止在生产场所吸烟。</w:t>
      </w:r>
    </w:p>
    <w:p w14:paraId="1BC4D8A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8.2.7 动火作业按要求办理好动火作业工作票，注意火星的控制，以及动火操作的规范。</w:t>
      </w:r>
    </w:p>
    <w:p w14:paraId="3E21E0A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8.2.8 容器内作业注意通风，外部设专业监护，防止中毒窒息。</w:t>
      </w:r>
    </w:p>
    <w:p w14:paraId="79F36D7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8.2.9 必须严格遵守安全监察部制定的八大特殊作业等安全管理制度要求。</w:t>
      </w:r>
    </w:p>
    <w:p w14:paraId="1E02FBC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8.3 安全生产七大禁令</w:t>
      </w:r>
    </w:p>
    <w:p w14:paraId="1E7A9E0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Style w:val="31"/>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lang w:val="en-US" w:eastAsia="zh-CN"/>
        </w:rPr>
        <w:t>8.3.1 严禁在生产装置区内吸烟。</w:t>
      </w:r>
    </w:p>
    <w:p w14:paraId="4BF16EC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8.3.2 严禁高处作业不使用安全带。</w:t>
      </w:r>
    </w:p>
    <w:p w14:paraId="7BBCE21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8.3.3 严禁违章指挥、强令他人违章冒险作业。</w:t>
      </w:r>
    </w:p>
    <w:p w14:paraId="1CDAAB6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8.3.4 严禁未经许可进行受限空间作业、动火作业。</w:t>
      </w:r>
    </w:p>
    <w:p w14:paraId="7FD4BDC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8.3.5 严禁无证进行电气、架子、叉车、电气焊作业。</w:t>
      </w:r>
    </w:p>
    <w:p w14:paraId="66BE280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8.3.6 严禁未经审批或许可，取消或退出安全联锁。</w:t>
      </w:r>
    </w:p>
    <w:p w14:paraId="1B3177F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8.3.7 严禁未经许可关闭、破坏直接关系生产安全的报警、防护、救生设备、设施，不得篡改、销毁其相关数据、信息。</w:t>
      </w:r>
    </w:p>
    <w:p w14:paraId="2D76B86A">
      <w:pPr>
        <w:rPr>
          <w:rStyle w:val="31"/>
          <w:rFonts w:hint="eastAsia" w:ascii="宋体" w:hAnsi="宋体" w:eastAsia="宋体" w:cs="宋体"/>
          <w:b/>
          <w:color w:val="auto"/>
          <w:sz w:val="24"/>
          <w:szCs w:val="24"/>
          <w:highlight w:val="none"/>
        </w:rPr>
      </w:pPr>
    </w:p>
    <w:p w14:paraId="433E6CED">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lang w:val="en-US" w:eastAsia="zh-CN"/>
        </w:rPr>
      </w:pPr>
      <w:bookmarkStart w:id="23" w:name="_Toc224"/>
      <w:r>
        <w:rPr>
          <w:rFonts w:hint="eastAsia" w:ascii="宋体" w:hAnsi="宋体" w:eastAsia="宋体" w:cs="宋体"/>
          <w:color w:val="auto"/>
          <w:sz w:val="24"/>
          <w:szCs w:val="24"/>
          <w:highlight w:val="none"/>
          <w:lang w:val="en-US" w:eastAsia="zh-CN"/>
        </w:rPr>
        <w:t>9双方职责</w:t>
      </w:r>
      <w:bookmarkEnd w:id="23"/>
    </w:p>
    <w:p w14:paraId="3ACC137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9.1 招标方职责</w:t>
      </w:r>
    </w:p>
    <w:p w14:paraId="40C4133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9.1.1 对项目安全、质量及进度实施全过程管理，安全管理实行统一牵头、统一指挥、统一管理及考核，对存在的各类安全隐患及时督促整改。</w:t>
      </w:r>
    </w:p>
    <w:p w14:paraId="1F7B86D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9.1.2 对投标方提出的各种技术方案进行审核和批准。</w:t>
      </w:r>
    </w:p>
    <w:p w14:paraId="022555B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9.1.3 负责</w:t>
      </w:r>
      <w:r>
        <w:rPr>
          <w:rFonts w:hint="eastAsia" w:ascii="宋体" w:hAnsi="宋体" w:eastAsia="宋体" w:cs="宋体"/>
          <w:color w:val="auto"/>
          <w:sz w:val="24"/>
          <w:szCs w:val="24"/>
          <w:highlight w:val="none"/>
        </w:rPr>
        <w:t>报废物资和退库物资手续办理，投标方运送至指定地点。</w:t>
      </w:r>
    </w:p>
    <w:p w14:paraId="17CD108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9.1.4 负责检修项目中涉及的光谱分析及焊缝探伤工作。</w:t>
      </w:r>
    </w:p>
    <w:p w14:paraId="7676D2F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9.1.5 负责检修项目涉及的水、电、脚手架搭设、保温的拆装、恢复等工作。</w:t>
      </w:r>
    </w:p>
    <w:p w14:paraId="473500E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9.1.6 根据招标方的相关事故调查规定，当发生不安全情况时,必要时组织投标方进行事故调查处理。</w:t>
      </w:r>
    </w:p>
    <w:p w14:paraId="4A69A0B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9.1.7 向投标方提供有关设备资料及有关生产、管理需要的上级文件，并及时答复投标方提出的有关生产、管理中发生的问题。</w:t>
      </w:r>
    </w:p>
    <w:p w14:paraId="6068738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9.1.8 负责组织内部检修协调会议，并负责投标方与其它相关单位的工作协调。</w:t>
      </w:r>
    </w:p>
    <w:p w14:paraId="296389F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9.1.9 为投标方提供本承包范围范围系统设备设计、制造、安装、调试、运行、维护的图纸资料（包括设备的技术规范、竣工图纸、运行及维护手册或说明书等投标方履行本合同所需的资料）的收集和管理便利，避免影响检修进度和质量。</w:t>
      </w:r>
    </w:p>
    <w:p w14:paraId="74E8B2E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9.1.10 按本承包合同规定，及时向投标方支付各种费用。</w:t>
      </w:r>
    </w:p>
    <w:p w14:paraId="5660893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9.1.11 参加检修项目的验收工作。</w:t>
      </w:r>
    </w:p>
    <w:p w14:paraId="51F57BF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9.1.12 检修所需的项目车辆由招标方统一负责协调。</w:t>
      </w:r>
    </w:p>
    <w:p w14:paraId="01D8A26B">
      <w:pPr>
        <w:snapToGrid w:val="0"/>
        <w:spacing w:line="360" w:lineRule="auto"/>
        <w:jc w:val="left"/>
        <w:rPr>
          <w:rStyle w:val="31"/>
          <w:rFonts w:hint="eastAsia" w:ascii="宋体" w:hAnsi="宋体" w:eastAsia="宋体" w:cs="宋体"/>
          <w:bCs/>
          <w:color w:val="auto"/>
          <w:sz w:val="24"/>
          <w:szCs w:val="24"/>
          <w:highlight w:val="none"/>
        </w:rPr>
      </w:pPr>
      <w:r>
        <w:rPr>
          <w:rStyle w:val="31"/>
          <w:rFonts w:hint="eastAsia" w:ascii="宋体" w:hAnsi="宋体" w:eastAsia="宋体" w:cs="宋体"/>
          <w:bCs/>
          <w:color w:val="auto"/>
          <w:sz w:val="24"/>
          <w:szCs w:val="24"/>
          <w:highlight w:val="none"/>
          <w:lang w:val="en-US" w:eastAsia="zh-CN"/>
        </w:rPr>
        <w:t>9</w:t>
      </w:r>
      <w:r>
        <w:rPr>
          <w:rStyle w:val="31"/>
          <w:rFonts w:hint="eastAsia" w:ascii="宋体" w:hAnsi="宋体" w:eastAsia="宋体" w:cs="宋体"/>
          <w:bCs/>
          <w:color w:val="auto"/>
          <w:sz w:val="24"/>
          <w:szCs w:val="24"/>
          <w:highlight w:val="none"/>
        </w:rPr>
        <w:t>.1.1</w:t>
      </w:r>
      <w:r>
        <w:rPr>
          <w:rStyle w:val="31"/>
          <w:rFonts w:hint="eastAsia" w:ascii="宋体" w:hAnsi="宋体" w:eastAsia="宋体" w:cs="宋体"/>
          <w:bCs/>
          <w:color w:val="auto"/>
          <w:sz w:val="24"/>
          <w:szCs w:val="24"/>
          <w:highlight w:val="none"/>
          <w:lang w:val="en-US" w:eastAsia="zh-CN"/>
        </w:rPr>
        <w:t xml:space="preserve">3 </w:t>
      </w:r>
      <w:r>
        <w:rPr>
          <w:rStyle w:val="31"/>
          <w:rFonts w:hint="eastAsia" w:ascii="宋体" w:hAnsi="宋体" w:eastAsia="宋体" w:cs="宋体"/>
          <w:bCs/>
          <w:color w:val="auto"/>
          <w:sz w:val="24"/>
          <w:szCs w:val="24"/>
          <w:highlight w:val="none"/>
        </w:rPr>
        <w:t>招标方有权收取提供给承包商生活使用的电费及食堂管理费。</w:t>
      </w:r>
    </w:p>
    <w:p w14:paraId="366C08E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9.2 投标方职责</w:t>
      </w:r>
    </w:p>
    <w:p w14:paraId="647E399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9.2.1投标方在接到中标通知书后1个月内，将本项目组织机构、质量措施、安全措施、组织措施等文件（不限上列内容）报招标方审核。在检修开始一周前将工作负责人及工作票签发人名单、工作人员名单、特殊工种人员名单及资质材料报招标方审核。</w:t>
      </w:r>
    </w:p>
    <w:p w14:paraId="175119E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9.2.2</w:t>
      </w:r>
      <w:r>
        <w:rPr>
          <w:rFonts w:hint="eastAsia" w:ascii="宋体" w:hAnsi="宋体" w:eastAsia="宋体" w:cs="宋体"/>
          <w:color w:val="auto"/>
          <w:sz w:val="24"/>
          <w:szCs w:val="24"/>
          <w:highlight w:val="none"/>
        </w:rPr>
        <w:t xml:space="preserve"> 本项目所需要的票证办理、施工准备由投标方负责。</w:t>
      </w:r>
    </w:p>
    <w:p w14:paraId="6B10B9D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9.2</w:t>
      </w:r>
      <w:r>
        <w:rPr>
          <w:rFonts w:hint="eastAsia" w:ascii="宋体" w:hAnsi="宋体" w:eastAsia="宋体" w:cs="宋体"/>
          <w:color w:val="auto"/>
          <w:sz w:val="24"/>
          <w:szCs w:val="24"/>
          <w:highlight w:val="none"/>
        </w:rPr>
        <w:t>.3 投标人必须在开工前十天将气化炉单炉大修、堆焊用工器具、消耗性材料清单发给招标人审阅。且在开工前一周将气化炉单炉大修用工器具、消耗性材料运至招标人检修现场（由投标人自行保管）。</w:t>
      </w:r>
    </w:p>
    <w:p w14:paraId="5119C05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9.2</w:t>
      </w:r>
      <w:r>
        <w:rPr>
          <w:rFonts w:hint="eastAsia" w:ascii="宋体" w:hAnsi="宋体" w:eastAsia="宋体" w:cs="宋体"/>
          <w:color w:val="auto"/>
          <w:sz w:val="24"/>
          <w:szCs w:val="24"/>
          <w:highlight w:val="none"/>
        </w:rPr>
        <w:t>.4 本项目检修所用的工器具必须保证完好，且校验合格（现场使用的计量工器具，须有检验合格证及检验时间，过期未检验计量工器具严禁带入现场使用），投标人保证在施工过程中使用的工器具是安全和可靠的，不会造成事故，否则，投标人承担由此引起的相应责任。出厂前要按照清单进行清点，并由招标人签字认可，确保现场无施工遗留工具。</w:t>
      </w:r>
    </w:p>
    <w:p w14:paraId="4777C89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9.2</w:t>
      </w:r>
      <w:r>
        <w:rPr>
          <w:rFonts w:hint="eastAsia" w:ascii="宋体" w:hAnsi="宋体" w:eastAsia="宋体" w:cs="宋体"/>
          <w:color w:val="auto"/>
          <w:sz w:val="24"/>
          <w:szCs w:val="24"/>
          <w:highlight w:val="none"/>
        </w:rPr>
        <w:t>.5 所有的耗材均需采购国内合格产品，凡是没有标签、生产日期的消耗性材料一律不得采用，杜绝伪劣产品使用在工作中。投标人提出新型材料的使用前必须报招标人批准后方可使用。</w:t>
      </w:r>
    </w:p>
    <w:p w14:paraId="44FB878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9.2</w:t>
      </w:r>
      <w:r>
        <w:rPr>
          <w:rFonts w:hint="eastAsia" w:ascii="宋体" w:hAnsi="宋体" w:eastAsia="宋体" w:cs="宋体"/>
          <w:color w:val="auto"/>
          <w:sz w:val="24"/>
          <w:szCs w:val="24"/>
          <w:highlight w:val="none"/>
        </w:rPr>
        <w:t>.6 投标方负责做好承包维护设备范围内的装置性设施（如平台、栏杆、现场专用检修平台等）的维护及保养等工作, 保持设备及生产场地的清洁卫生。</w:t>
      </w:r>
    </w:p>
    <w:p w14:paraId="0A13223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9.2.7 检修过程中产生的废料和垃圾的清理、转运由投标方负责（转运地点由招标方指定）。</w:t>
      </w:r>
    </w:p>
    <w:p w14:paraId="4299D73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9.2.8 负责完成机务专业检修中和检修结束后需进行的各种试验和调试（含电气、仪控专业需机务配合完成的项目）。</w:t>
      </w:r>
    </w:p>
    <w:p w14:paraId="219EEC7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9.2.9 投标方应尽其最大努力减少维护人员的流动和更换，同时招标方有权建议更换任何不合适的人员。投标方在招用员工时要审查核实是否与另外单位项目用工重合。</w:t>
      </w:r>
    </w:p>
    <w:p w14:paraId="3E065C0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9.2.10 投标人应根据项目内容、时间进度和招标方要求，配置足够人员，参加气化炉大修的人员数量和资格必须在开工一周前报招标方。</w:t>
      </w:r>
    </w:p>
    <w:p w14:paraId="203AF98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9.2.11 投标人应及时将遇到的技术问题通知招标人，并积极处理和解决。</w:t>
      </w:r>
    </w:p>
    <w:p w14:paraId="4592839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9.2.12 投标人应制订堆焊施工方案、焊接工艺卡和项目进度表。</w:t>
      </w:r>
    </w:p>
    <w:p w14:paraId="0F7C20E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9.2.13 项目服务工期内，以生产装置现场实际情况为指导，不仅要求按时按进度完成本职检修工作，同时应服从招标方协调指挥要求，主动配合完成现场其他施工作业工作。</w:t>
      </w:r>
    </w:p>
    <w:p w14:paraId="4545DF4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9.2.14 投标方做好设备主体部分进行解体检查和调整工作，必要时对达到规定磨损限度的零件加以更换。此外，还要对主要零部件的磨损情况进行测量、鉴定和记录。</w:t>
      </w:r>
    </w:p>
    <w:p w14:paraId="6BF3092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9.2.15 投标方检修所做的各项检修技术记录、检查试验（校验）报告、安装调试文件、设计说明、测绘图纸及相关计算书等必须齐全准确、符合招标方归档要求，并及时提供给招标方。</w:t>
      </w:r>
    </w:p>
    <w:p w14:paraId="217FFED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9.2.16 招标方对投标方项目部的日常考核，投标方接到招标方的通报后，投标方应在一个月内将考核执行情况反馈给招标方。</w:t>
      </w:r>
    </w:p>
    <w:p w14:paraId="70FB4B3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9.2.17 投标方所有人员薪金结算必须由第三方（银行）支付到员工。</w:t>
      </w:r>
    </w:p>
    <w:p w14:paraId="7CE0265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9.2.18 安全生产费用专款专用，必须用于安全相关费用支出。</w:t>
      </w:r>
    </w:p>
    <w:p w14:paraId="336600E2">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lang w:val="en-US" w:eastAsia="zh-CN"/>
        </w:rPr>
      </w:pPr>
      <w:bookmarkStart w:id="24" w:name="_Toc21176"/>
      <w:r>
        <w:rPr>
          <w:rFonts w:hint="eastAsia" w:ascii="宋体" w:hAnsi="宋体" w:eastAsia="宋体" w:cs="宋体"/>
          <w:color w:val="auto"/>
          <w:sz w:val="24"/>
          <w:szCs w:val="24"/>
          <w:highlight w:val="none"/>
          <w:lang w:val="en-US" w:eastAsia="zh-CN"/>
        </w:rPr>
        <w:t>10</w:t>
      </w:r>
      <w:r>
        <w:rPr>
          <w:rFonts w:hint="eastAsia" w:hAnsi="宋体" w:cs="宋体"/>
          <w:color w:val="auto"/>
          <w:sz w:val="24"/>
          <w:szCs w:val="24"/>
          <w:highlight w:val="none"/>
        </w:rPr>
        <w:t>安健环及文明施工、危险源（环境因素）控制要求</w:t>
      </w:r>
      <w:bookmarkEnd w:id="24"/>
    </w:p>
    <w:p w14:paraId="0C812D7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10.1 贯彻“谁施工、谁负责安全”的管理原则。</w:t>
      </w:r>
    </w:p>
    <w:p w14:paraId="1D4AD9B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10.2 </w:t>
      </w:r>
      <w:r>
        <w:rPr>
          <w:rFonts w:hint="eastAsia" w:ascii="宋体" w:hAnsi="宋体" w:eastAsia="宋体" w:cs="宋体"/>
          <w:color w:val="auto"/>
          <w:sz w:val="24"/>
          <w:szCs w:val="24"/>
          <w:highlight w:val="none"/>
        </w:rPr>
        <w:t>所有作业人员必须经过安全培训方可上岗，作业时必须严格按照相关要求穿戴劳保用品；</w:t>
      </w:r>
    </w:p>
    <w:p w14:paraId="742CFAE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10.3 </w:t>
      </w:r>
      <w:r>
        <w:rPr>
          <w:rFonts w:hint="eastAsia" w:ascii="宋体" w:hAnsi="宋体" w:eastAsia="宋体" w:cs="宋体"/>
          <w:color w:val="auto"/>
          <w:sz w:val="24"/>
          <w:szCs w:val="24"/>
          <w:highlight w:val="none"/>
        </w:rPr>
        <w:t>涉及到高风险作业时，必须由投标人及招标人双方共同监护的情况下方可作业；</w:t>
      </w:r>
    </w:p>
    <w:p w14:paraId="3AFD622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10.4 </w:t>
      </w:r>
      <w:r>
        <w:rPr>
          <w:rFonts w:hint="eastAsia" w:ascii="宋体" w:hAnsi="宋体" w:eastAsia="宋体" w:cs="宋体"/>
          <w:color w:val="auto"/>
          <w:sz w:val="24"/>
          <w:szCs w:val="24"/>
          <w:highlight w:val="none"/>
        </w:rPr>
        <w:t>投标方的工作人员必须严格遵守招标方的管理要求，严格按安全规程文明施工，服从招标方生产调度，接受招标方文明生产考核。投标方必须有安全员，制定与本</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有关的安全措施。针对有可能发生火灾、爆炸、触电、高空坠落、中毒、窒息、机械伤害、烧烫伤等危险或引起严重设备事故的施工，投标方应事先向招标方详细了解情况，并制定施工安全技术措施，经招标方确认后实施。针对高空作业、交叉、动火等特殊作业，必须制定并落实针对性的安全防范保护措施，确保人身、设备、施工机械的安全。投标方还应落实好保证消防安全的措施，施工时注意留出安全消防通道，不得妨碍交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通行</w:t>
      </w:r>
      <w:r>
        <w:rPr>
          <w:rFonts w:hint="eastAsia" w:ascii="宋体" w:hAnsi="宋体" w:eastAsia="宋体" w:cs="宋体"/>
          <w:color w:val="auto"/>
          <w:sz w:val="24"/>
          <w:szCs w:val="24"/>
          <w:highlight w:val="none"/>
        </w:rPr>
        <w:t>。作业人员在作业区域内必须遵守招标方安全管理的有关规定和制度，佩好胸卡，戴好安全帽等个人安全器具，不准进入与作业无关的区域，并随时接受招标方的项目负责人的工作指导和安监人员现场的安全监督。</w:t>
      </w:r>
    </w:p>
    <w:p w14:paraId="764D91E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10.5 </w:t>
      </w:r>
      <w:r>
        <w:rPr>
          <w:rFonts w:hint="eastAsia" w:ascii="宋体" w:hAnsi="宋体" w:eastAsia="宋体" w:cs="宋体"/>
          <w:color w:val="auto"/>
          <w:sz w:val="24"/>
          <w:szCs w:val="24"/>
          <w:highlight w:val="none"/>
        </w:rPr>
        <w:t>投标方</w:t>
      </w:r>
      <w:r>
        <w:rPr>
          <w:rFonts w:hint="eastAsia" w:ascii="宋体" w:hAnsi="宋体" w:eastAsia="宋体" w:cs="宋体"/>
          <w:color w:val="auto"/>
          <w:sz w:val="24"/>
          <w:szCs w:val="24"/>
          <w:highlight w:val="none"/>
          <w:lang w:eastAsia="zh-CN"/>
        </w:rPr>
        <w:t>项目负责人</w:t>
      </w:r>
      <w:r>
        <w:rPr>
          <w:rFonts w:hint="eastAsia" w:ascii="宋体" w:hAnsi="宋体" w:eastAsia="宋体" w:cs="宋体"/>
          <w:color w:val="auto"/>
          <w:sz w:val="24"/>
          <w:szCs w:val="24"/>
          <w:highlight w:val="none"/>
        </w:rPr>
        <w:t>是本</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的安全工作的第一责任人，对本</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工作期间所有施工项目的实施过程中涉及的安全负责，以及施工现场、施工过程中的安全负责。投标方参加施工的特种作业人员和特种设备作业人员必须具备政府主管部门（车间）颁发的有效证书或证明，提交招标方审核、备案。</w:t>
      </w:r>
    </w:p>
    <w:p w14:paraId="72DF5F7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10.6 投标方负责对本单位施工人员进行安全生产教育和安全考试，考试合格后方可参与项目相关工作。安全教育培训应形成书面记录，并由本人签名确认。未经安全生产教育以及培训考核不合格的工作人员，不得上岗作业。受教育人员的名单和考试成绩必须报招标方安全环保部备案，凡增补或调换人员，更换工种，必须及时进行安全教育和考试，考试成绩报招标方安全环保部备案。未接受安全教育和安全考试不合格者不得进入现场施工。</w:t>
      </w:r>
    </w:p>
    <w:p w14:paraId="3242349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10.7 投标方应接受招标方的监督、检查和指导。对于招标方查出的隐患及问题，投标方必须限期整改。当招标方认为确实有必要暂停施工，并提出要求投标方暂停施工意见后，投标方应当按招标方要求停止施工。投标方实施处理意见后，以书面形式向招标方提出复工要求。在招标方组织验收并签字同意后，投标方重新施工。对招标方违反安全生产规定、制度的要求，投标方有权拒绝执行，有权要求招标方改进。</w:t>
      </w:r>
    </w:p>
    <w:p w14:paraId="7E4FF3B8">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10.8 各种安全防护设施如：遮栏、安全标志牌、警告牌、接地线、脚手架结构等不得擅自拆除、变更。如确实需要拆除、变更的，必须经招标方项目主管部门负责人和上述安全设施、标志设置单位（人员）同意，采取必要、可靠的安全措施后，方能拆除、变更现场安全防护设施。投标方因施工需要设置的安全防护设施、安全标志牌，其他人员不得擅自拆除，投方在项目完成后应及时拆除，不得无故延误。</w:t>
      </w:r>
    </w:p>
    <w:p w14:paraId="573E351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10.9 </w:t>
      </w:r>
      <w:r>
        <w:rPr>
          <w:rFonts w:hint="eastAsia" w:ascii="宋体" w:hAnsi="宋体" w:eastAsia="宋体" w:cs="宋体"/>
          <w:color w:val="auto"/>
          <w:sz w:val="24"/>
          <w:szCs w:val="24"/>
          <w:highlight w:val="none"/>
        </w:rPr>
        <w:t>招标人已经将水、电源提供到检修区就近的地方，投标人必须按照国家有关规范、安全的要求自行连接到使用地点，并负责水、电线路及装置日常维护和管理。</w:t>
      </w:r>
    </w:p>
    <w:p w14:paraId="3554FE7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10.10 </w:t>
      </w:r>
      <w:r>
        <w:rPr>
          <w:rFonts w:hint="eastAsia" w:ascii="宋体" w:hAnsi="宋体" w:eastAsia="宋体" w:cs="宋体"/>
          <w:color w:val="auto"/>
          <w:sz w:val="24"/>
          <w:szCs w:val="24"/>
          <w:highlight w:val="none"/>
        </w:rPr>
        <w:t>投标人必须按国家颁布的安全规范及要求进行施工。</w:t>
      </w:r>
    </w:p>
    <w:p w14:paraId="0040E9A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10.11 </w:t>
      </w:r>
      <w:r>
        <w:rPr>
          <w:rFonts w:hint="eastAsia" w:ascii="宋体" w:hAnsi="宋体" w:eastAsia="宋体" w:cs="宋体"/>
          <w:color w:val="auto"/>
          <w:sz w:val="24"/>
          <w:szCs w:val="24"/>
          <w:highlight w:val="none"/>
        </w:rPr>
        <w:t>投标人在规定的施工场地内施工，不得随意占用厂内的主干道。施工的临时设施，各类加工场地及堆棚、用电、用水，要符合安全要求，要有管理制度。各类施工机具堆放整齐，要设有安全及文明安装的标牌。</w:t>
      </w:r>
    </w:p>
    <w:p w14:paraId="79EFF76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10.12 </w:t>
      </w:r>
      <w:r>
        <w:rPr>
          <w:rFonts w:hint="eastAsia" w:ascii="宋体" w:hAnsi="宋体" w:eastAsia="宋体" w:cs="宋体"/>
          <w:color w:val="auto"/>
          <w:sz w:val="24"/>
          <w:szCs w:val="24"/>
          <w:highlight w:val="none"/>
        </w:rPr>
        <w:t>保证安装现场清洁整齐，材料分类堆码整齐，施工剩余物资、边角余料、垃圾等均由投标人收集并运到招标人指定地点，并不得增加任何费用。</w:t>
      </w:r>
    </w:p>
    <w:p w14:paraId="2A5F6208">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10.13 </w:t>
      </w:r>
      <w:r>
        <w:rPr>
          <w:rFonts w:hint="eastAsia" w:ascii="宋体" w:hAnsi="宋体" w:eastAsia="宋体" w:cs="宋体"/>
          <w:color w:val="auto"/>
          <w:sz w:val="24"/>
          <w:szCs w:val="24"/>
          <w:highlight w:val="none"/>
        </w:rPr>
        <w:t>投标人负责施工区域的安全、保卫工作及施工照明，采取有效措施确保施工安全，杜绝重大人身伤亡及设备事故。如因投标人安全措施不到位而发生责任事故，全部损失由投标人承担。</w:t>
      </w:r>
    </w:p>
    <w:p w14:paraId="1175EE3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10.14 </w:t>
      </w:r>
      <w:r>
        <w:rPr>
          <w:rFonts w:hint="eastAsia" w:ascii="宋体" w:hAnsi="宋体" w:eastAsia="宋体" w:cs="宋体"/>
          <w:color w:val="auto"/>
          <w:sz w:val="24"/>
          <w:szCs w:val="24"/>
          <w:highlight w:val="none"/>
        </w:rPr>
        <w:t>投标人必须具备安装所需的各类规范、国家标准，各类有关的技术标准等技术资料，招标人认为有必要时，必须无条件提供。</w:t>
      </w:r>
    </w:p>
    <w:p w14:paraId="37962678">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10.15 </w:t>
      </w:r>
      <w:r>
        <w:rPr>
          <w:rFonts w:hint="eastAsia" w:ascii="宋体" w:hAnsi="宋体" w:eastAsia="宋体" w:cs="宋体"/>
          <w:color w:val="auto"/>
          <w:sz w:val="24"/>
          <w:szCs w:val="24"/>
          <w:highlight w:val="none"/>
        </w:rPr>
        <w:t>投标人必须在合同意向确认后，立即组织有关施工人员进驻现场，向招标人提供开工报告、组织施工方案、安全承诺书、质量保证措施，及各项施工准备（机具和人员）。</w:t>
      </w:r>
    </w:p>
    <w:p w14:paraId="6A1349A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10.16 项目</w:t>
      </w:r>
      <w:r>
        <w:rPr>
          <w:rFonts w:hint="eastAsia" w:ascii="宋体" w:hAnsi="宋体" w:eastAsia="宋体" w:cs="宋体"/>
          <w:color w:val="auto"/>
          <w:sz w:val="24"/>
          <w:szCs w:val="24"/>
          <w:highlight w:val="none"/>
        </w:rPr>
        <w:t>开工后，投标人要与招标人单位密切配合，为施工创造条件；施工交叉作业时，要服从招标人的统一协调安排。</w:t>
      </w:r>
    </w:p>
    <w:p w14:paraId="5FED547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10.17 </w:t>
      </w:r>
      <w:r>
        <w:rPr>
          <w:rFonts w:hint="eastAsia" w:ascii="宋体" w:hAnsi="宋体" w:eastAsia="宋体" w:cs="宋体"/>
          <w:color w:val="auto"/>
          <w:sz w:val="24"/>
          <w:szCs w:val="24"/>
          <w:highlight w:val="none"/>
        </w:rPr>
        <w:t>全体施工工作人员必须严格遵守施工</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所在地的有关规定，由于违反规定而发生的一切后果由投标人自负。</w:t>
      </w:r>
    </w:p>
    <w:p w14:paraId="4F25F0E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10.18 </w:t>
      </w:r>
      <w:r>
        <w:rPr>
          <w:rFonts w:hint="eastAsia" w:ascii="宋体" w:hAnsi="宋体" w:eastAsia="宋体" w:cs="宋体"/>
          <w:color w:val="auto"/>
          <w:sz w:val="24"/>
          <w:szCs w:val="24"/>
          <w:highlight w:val="none"/>
        </w:rPr>
        <w:t>投标人在容器内施工应符合安全规范，并做好上下交叉作业的安全措施。</w:t>
      </w:r>
    </w:p>
    <w:p w14:paraId="08F0CC2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 xml:space="preserve">10.19 </w:t>
      </w:r>
      <w:r>
        <w:rPr>
          <w:rFonts w:hint="eastAsia" w:ascii="宋体" w:hAnsi="宋体" w:eastAsia="宋体" w:cs="宋体"/>
          <w:color w:val="auto"/>
          <w:sz w:val="24"/>
          <w:szCs w:val="24"/>
          <w:highlight w:val="none"/>
          <w:lang w:val="zh-CN"/>
        </w:rPr>
        <w:t>由于招标方原因造成投标方人身或设备事故，投标方负责处理，招标方承担责任并配合处理。</w:t>
      </w:r>
    </w:p>
    <w:p w14:paraId="2FC4C55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10.20</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在检修过程中出现的被更换下来的任何废旧设备、配件和装置性材料均为招标方所有，应妥善保护并及时向招标方移交被更换下来的设备或材料。应每天对施工现场的废物、垃圾进行</w:t>
      </w:r>
      <w:r>
        <w:rPr>
          <w:rFonts w:hint="eastAsia" w:ascii="宋体" w:hAnsi="宋体" w:eastAsia="宋体" w:cs="宋体"/>
          <w:color w:val="auto"/>
          <w:sz w:val="24"/>
          <w:szCs w:val="24"/>
          <w:highlight w:val="none"/>
          <w:lang w:val="zh-CN" w:eastAsia="zh-CN"/>
        </w:rPr>
        <w:t>一次清理，并将其集中堆放在招标方同意的地点。</w:t>
      </w:r>
    </w:p>
    <w:p w14:paraId="2D6E1545">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lang w:val="en-US" w:eastAsia="zh-CN"/>
        </w:rPr>
      </w:pPr>
      <w:bookmarkStart w:id="25" w:name="_Toc13675"/>
      <w:bookmarkStart w:id="26" w:name="_Toc141011861"/>
      <w:r>
        <w:rPr>
          <w:rFonts w:hint="eastAsia" w:ascii="宋体" w:hAnsi="宋体" w:eastAsia="宋体" w:cs="宋体"/>
          <w:color w:val="auto"/>
          <w:sz w:val="24"/>
          <w:szCs w:val="24"/>
          <w:highlight w:val="none"/>
          <w:lang w:val="en-US" w:eastAsia="zh-CN"/>
        </w:rPr>
        <w:t>11考核</w:t>
      </w:r>
      <w:bookmarkEnd w:id="25"/>
      <w:bookmarkEnd w:id="26"/>
    </w:p>
    <w:p w14:paraId="428F47E5">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b w:val="0"/>
          <w:bCs/>
          <w:color w:val="auto"/>
          <w:sz w:val="24"/>
          <w:szCs w:val="24"/>
          <w:highlight w:val="none"/>
          <w:lang w:val="en-US" w:eastAsia="zh-CN"/>
        </w:rPr>
      </w:pPr>
      <w:bookmarkStart w:id="27" w:name="_Toc29840"/>
      <w:bookmarkStart w:id="28" w:name="_Toc141011862"/>
      <w:r>
        <w:rPr>
          <w:rFonts w:hint="eastAsia" w:ascii="宋体" w:hAnsi="宋体" w:eastAsia="宋体" w:cs="宋体"/>
          <w:b w:val="0"/>
          <w:bCs/>
          <w:color w:val="auto"/>
          <w:sz w:val="24"/>
          <w:szCs w:val="24"/>
          <w:highlight w:val="none"/>
          <w:lang w:val="en-US" w:eastAsia="zh-CN"/>
        </w:rPr>
        <w:t>11.1 范 围</w:t>
      </w:r>
      <w:bookmarkEnd w:id="27"/>
    </w:p>
    <w:p w14:paraId="60D07D47">
      <w:pPr>
        <w:pStyle w:val="2"/>
        <w:keepNext/>
        <w:keepLines/>
        <w:pageBreakBefore w:val="0"/>
        <w:widowControl w:val="0"/>
        <w:kinsoku w:val="0"/>
        <w:wordWrap/>
        <w:overflowPunct/>
        <w:topLinePunct w:val="0"/>
        <w:autoSpaceDE/>
        <w:autoSpaceDN/>
        <w:bidi w:val="0"/>
        <w:adjustRightInd w:val="0"/>
        <w:snapToGrid w:val="0"/>
        <w:ind w:firstLine="480" w:firstLineChars="200"/>
        <w:jc w:val="left"/>
        <w:textAlignment w:val="auto"/>
        <w:rPr>
          <w:rFonts w:hint="eastAsia" w:ascii="宋体" w:hAnsi="宋体" w:eastAsia="宋体" w:cs="宋体"/>
          <w:b w:val="0"/>
          <w:bCs/>
          <w:color w:val="auto"/>
          <w:sz w:val="24"/>
          <w:szCs w:val="24"/>
          <w:highlight w:val="none"/>
          <w:lang w:val="en-US" w:eastAsia="zh-CN"/>
        </w:rPr>
      </w:pPr>
      <w:bookmarkStart w:id="29" w:name="_Toc29079"/>
      <w:r>
        <w:rPr>
          <w:rFonts w:hint="eastAsia" w:ascii="宋体" w:hAnsi="宋体" w:eastAsia="宋体" w:cs="宋体"/>
          <w:b w:val="0"/>
          <w:bCs/>
          <w:color w:val="auto"/>
          <w:sz w:val="24"/>
          <w:szCs w:val="24"/>
          <w:highlight w:val="none"/>
          <w:lang w:val="en-US" w:eastAsia="zh-CN"/>
        </w:rPr>
        <w:t>本办法规定了对设备维保工程项目的管理考核、维修质量与可靠性、进度、文明生产等考核及奖励办法详见附件13：《考核标准及奖励标准》。</w:t>
      </w:r>
      <w:bookmarkEnd w:id="29"/>
    </w:p>
    <w:p w14:paraId="45E2A470">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lang w:val="en-US" w:eastAsia="zh-CN"/>
        </w:rPr>
      </w:pPr>
      <w:bookmarkStart w:id="30" w:name="_Toc14993"/>
      <w:r>
        <w:rPr>
          <w:rFonts w:hint="eastAsia" w:ascii="宋体" w:hAnsi="宋体" w:eastAsia="宋体" w:cs="宋体"/>
          <w:color w:val="auto"/>
          <w:sz w:val="24"/>
          <w:szCs w:val="24"/>
          <w:highlight w:val="none"/>
          <w:lang w:val="en-US" w:eastAsia="zh-CN"/>
        </w:rPr>
        <w:t>12 附则</w:t>
      </w:r>
      <w:bookmarkEnd w:id="30"/>
    </w:p>
    <w:p w14:paraId="4BA5B16E">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b w:val="0"/>
          <w:bCs/>
          <w:color w:val="auto"/>
          <w:sz w:val="24"/>
          <w:szCs w:val="24"/>
          <w:highlight w:val="none"/>
          <w:lang w:val="en-US" w:eastAsia="zh-CN"/>
        </w:rPr>
      </w:pPr>
      <w:bookmarkStart w:id="31" w:name="_Toc4385"/>
      <w:r>
        <w:rPr>
          <w:rFonts w:hint="eastAsia" w:ascii="宋体" w:hAnsi="宋体" w:eastAsia="宋体" w:cs="宋体"/>
          <w:b w:val="0"/>
          <w:bCs/>
          <w:color w:val="auto"/>
          <w:sz w:val="24"/>
          <w:szCs w:val="24"/>
          <w:highlight w:val="none"/>
          <w:lang w:val="en-US" w:eastAsia="zh-CN"/>
        </w:rPr>
        <w:t>12.1 本办法是合同协议书的附件，作为合同的构成部分。附件中的维护质量与可靠性、维护作业安全考核项目中的相关工作，虽经（或未经）招标方管理人员的验收，均不能免除投标方的相关责任。</w:t>
      </w:r>
      <w:bookmarkEnd w:id="31"/>
    </w:p>
    <w:p w14:paraId="178ABE24">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b w:val="0"/>
          <w:bCs/>
          <w:color w:val="auto"/>
          <w:sz w:val="24"/>
          <w:szCs w:val="24"/>
          <w:highlight w:val="none"/>
          <w:lang w:val="en-US" w:eastAsia="zh-CN"/>
        </w:rPr>
      </w:pPr>
      <w:bookmarkStart w:id="32" w:name="_Toc25575"/>
      <w:r>
        <w:rPr>
          <w:rFonts w:hint="eastAsia" w:ascii="宋体" w:hAnsi="宋体" w:eastAsia="宋体" w:cs="宋体"/>
          <w:b w:val="0"/>
          <w:bCs/>
          <w:color w:val="auto"/>
          <w:sz w:val="24"/>
          <w:szCs w:val="24"/>
          <w:highlight w:val="none"/>
          <w:lang w:val="en-US" w:eastAsia="zh-CN"/>
        </w:rPr>
        <w:t>12.2 投标方应在投标之前就本办法的内容进行研究并考虑相关风险，在招标澄清时提请解释或提出相关的协商意见。一旦投标，将被认为已熟悉了本办法并双方同意，在执行时有关条款的度量权为招标方。</w:t>
      </w:r>
      <w:bookmarkEnd w:id="32"/>
    </w:p>
    <w:p w14:paraId="7E13F1DB">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lang w:val="en-US" w:eastAsia="zh-CN"/>
        </w:rPr>
      </w:pPr>
      <w:bookmarkStart w:id="33" w:name="_Toc26468"/>
      <w:r>
        <w:rPr>
          <w:rFonts w:hint="eastAsia" w:ascii="宋体" w:hAnsi="宋体" w:eastAsia="宋体" w:cs="宋体"/>
          <w:color w:val="auto"/>
          <w:sz w:val="24"/>
          <w:szCs w:val="24"/>
          <w:highlight w:val="none"/>
          <w:lang w:val="en-US" w:eastAsia="zh-CN"/>
        </w:rPr>
        <w:t>13附录附表</w:t>
      </w:r>
      <w:bookmarkEnd w:id="28"/>
      <w:bookmarkEnd w:id="33"/>
    </w:p>
    <w:p w14:paraId="554BF4E3">
      <w:pPr>
        <w:snapToGrid w:val="0"/>
        <w:spacing w:line="360" w:lineRule="auto"/>
        <w:jc w:val="left"/>
        <w:rPr>
          <w:rStyle w:val="31"/>
          <w:rFonts w:hint="eastAsia" w:ascii="宋体" w:hAnsi="宋体" w:eastAsia="宋体" w:cs="宋体"/>
          <w:bCs/>
          <w:color w:val="auto"/>
          <w:sz w:val="24"/>
          <w:szCs w:val="24"/>
          <w:highlight w:val="none"/>
        </w:rPr>
      </w:pPr>
      <w:r>
        <w:rPr>
          <w:rStyle w:val="31"/>
          <w:rFonts w:hint="eastAsia" w:ascii="宋体" w:hAnsi="宋体" w:eastAsia="宋体" w:cs="宋体"/>
          <w:bCs/>
          <w:color w:val="auto"/>
          <w:sz w:val="24"/>
          <w:szCs w:val="24"/>
          <w:highlight w:val="none"/>
        </w:rPr>
        <w:t>附录A  差异表</w:t>
      </w:r>
    </w:p>
    <w:p w14:paraId="40EDB285">
      <w:pPr>
        <w:snapToGrid w:val="0"/>
        <w:spacing w:line="360" w:lineRule="auto"/>
        <w:jc w:val="left"/>
        <w:rPr>
          <w:rStyle w:val="31"/>
          <w:rFonts w:hint="eastAsia" w:ascii="宋体" w:hAnsi="宋体" w:eastAsia="宋体" w:cs="宋体"/>
          <w:bCs/>
          <w:color w:val="auto"/>
          <w:sz w:val="24"/>
          <w:szCs w:val="24"/>
          <w:highlight w:val="none"/>
        </w:rPr>
      </w:pPr>
    </w:p>
    <w:p w14:paraId="00A16AE9">
      <w:pPr>
        <w:spacing w:line="360" w:lineRule="auto"/>
        <w:jc w:val="center"/>
        <w:rPr>
          <w:rFonts w:hint="eastAsia" w:ascii="宋体" w:hAnsi="宋体" w:cs="宋体"/>
          <w:color w:val="auto"/>
          <w:sz w:val="32"/>
          <w:szCs w:val="32"/>
          <w:highlight w:val="none"/>
        </w:rPr>
      </w:pPr>
      <w:r>
        <w:rPr>
          <w:rFonts w:hint="eastAsia" w:ascii="宋体" w:hAnsi="宋体" w:cs="宋体"/>
          <w:color w:val="auto"/>
          <w:sz w:val="32"/>
          <w:szCs w:val="32"/>
          <w:highlight w:val="none"/>
        </w:rPr>
        <w:t>差  异  表</w:t>
      </w:r>
    </w:p>
    <w:tbl>
      <w:tblPr>
        <w:tblStyle w:val="27"/>
        <w:tblW w:w="0" w:type="auto"/>
        <w:jc w:val="center"/>
        <w:tblLayout w:type="fixed"/>
        <w:tblCellMar>
          <w:top w:w="0" w:type="dxa"/>
          <w:left w:w="28" w:type="dxa"/>
          <w:bottom w:w="0" w:type="dxa"/>
          <w:right w:w="28" w:type="dxa"/>
        </w:tblCellMar>
      </w:tblPr>
      <w:tblGrid>
        <w:gridCol w:w="935"/>
        <w:gridCol w:w="1074"/>
        <w:gridCol w:w="3334"/>
        <w:gridCol w:w="1068"/>
        <w:gridCol w:w="3206"/>
      </w:tblGrid>
      <w:tr w14:paraId="486D7C9C">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right w:val="single" w:color="auto" w:sz="6" w:space="0"/>
            </w:tcBorders>
            <w:noWrap w:val="0"/>
            <w:vAlign w:val="center"/>
          </w:tcPr>
          <w:p w14:paraId="6E212440">
            <w:pPr>
              <w:spacing w:line="360" w:lineRule="auto"/>
              <w:jc w:val="center"/>
              <w:rPr>
                <w:rFonts w:hint="eastAsia" w:ascii="宋体" w:hAnsi="宋体" w:cs="宋体"/>
                <w:color w:val="auto"/>
                <w:highlight w:val="none"/>
              </w:rPr>
            </w:pPr>
          </w:p>
        </w:tc>
        <w:tc>
          <w:tcPr>
            <w:tcW w:w="1074" w:type="dxa"/>
            <w:tcBorders>
              <w:top w:val="single" w:color="auto" w:sz="6" w:space="0"/>
              <w:left w:val="nil"/>
            </w:tcBorders>
            <w:noWrap w:val="0"/>
            <w:vAlign w:val="center"/>
          </w:tcPr>
          <w:p w14:paraId="67146465">
            <w:pPr>
              <w:spacing w:line="360" w:lineRule="auto"/>
              <w:jc w:val="center"/>
              <w:rPr>
                <w:rFonts w:hint="eastAsia" w:ascii="宋体" w:hAnsi="宋体" w:cs="宋体"/>
                <w:color w:val="auto"/>
                <w:highlight w:val="none"/>
              </w:rPr>
            </w:pPr>
          </w:p>
        </w:tc>
        <w:tc>
          <w:tcPr>
            <w:tcW w:w="3334" w:type="dxa"/>
            <w:tcBorders>
              <w:top w:val="single" w:color="auto" w:sz="6" w:space="0"/>
              <w:right w:val="single" w:color="auto" w:sz="6" w:space="0"/>
            </w:tcBorders>
            <w:noWrap w:val="0"/>
            <w:vAlign w:val="center"/>
          </w:tcPr>
          <w:p w14:paraId="66476FAC">
            <w:pPr>
              <w:spacing w:line="360" w:lineRule="auto"/>
              <w:ind w:firstLine="630" w:firstLineChars="300"/>
              <w:rPr>
                <w:rFonts w:hint="eastAsia" w:ascii="宋体" w:hAnsi="宋体" w:cs="宋体"/>
                <w:color w:val="auto"/>
                <w:highlight w:val="none"/>
              </w:rPr>
            </w:pPr>
            <w:r>
              <w:rPr>
                <w:rFonts w:hint="eastAsia" w:ascii="宋体" w:hAnsi="宋体" w:cs="宋体"/>
                <w:color w:val="auto"/>
                <w:highlight w:val="none"/>
              </w:rPr>
              <w:t>招标文件</w:t>
            </w:r>
          </w:p>
        </w:tc>
        <w:tc>
          <w:tcPr>
            <w:tcW w:w="1068" w:type="dxa"/>
            <w:tcBorders>
              <w:top w:val="single" w:color="auto" w:sz="6" w:space="0"/>
              <w:left w:val="nil"/>
            </w:tcBorders>
            <w:noWrap w:val="0"/>
            <w:vAlign w:val="center"/>
          </w:tcPr>
          <w:p w14:paraId="1910850A">
            <w:pPr>
              <w:spacing w:line="360" w:lineRule="auto"/>
              <w:jc w:val="center"/>
              <w:rPr>
                <w:rFonts w:hint="eastAsia" w:ascii="宋体" w:hAnsi="宋体" w:cs="宋体"/>
                <w:color w:val="auto"/>
                <w:highlight w:val="none"/>
              </w:rPr>
            </w:pPr>
          </w:p>
        </w:tc>
        <w:tc>
          <w:tcPr>
            <w:tcW w:w="3206" w:type="dxa"/>
            <w:tcBorders>
              <w:top w:val="single" w:color="auto" w:sz="6" w:space="0"/>
              <w:right w:val="single" w:color="auto" w:sz="6" w:space="0"/>
            </w:tcBorders>
            <w:noWrap w:val="0"/>
            <w:vAlign w:val="center"/>
          </w:tcPr>
          <w:p w14:paraId="05BDDD9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投标文件</w:t>
            </w:r>
          </w:p>
        </w:tc>
      </w:tr>
      <w:tr w14:paraId="3F3FE62C">
        <w:tblPrEx>
          <w:tblCellMar>
            <w:top w:w="0" w:type="dxa"/>
            <w:left w:w="28" w:type="dxa"/>
            <w:bottom w:w="0" w:type="dxa"/>
            <w:right w:w="28" w:type="dxa"/>
          </w:tblCellMar>
        </w:tblPrEx>
        <w:trPr>
          <w:trHeight w:val="481" w:hRule="atLeast"/>
          <w:jc w:val="center"/>
        </w:trPr>
        <w:tc>
          <w:tcPr>
            <w:tcW w:w="935" w:type="dxa"/>
            <w:tcBorders>
              <w:left w:val="single" w:color="auto" w:sz="6" w:space="0"/>
              <w:right w:val="single" w:color="auto" w:sz="6" w:space="0"/>
            </w:tcBorders>
            <w:noWrap w:val="0"/>
            <w:vAlign w:val="center"/>
          </w:tcPr>
          <w:p w14:paraId="2EA5DAEA">
            <w:pPr>
              <w:spacing w:line="360" w:lineRule="auto"/>
              <w:jc w:val="center"/>
              <w:rPr>
                <w:rFonts w:hint="eastAsia" w:ascii="宋体" w:hAnsi="宋体" w:cs="宋体"/>
                <w:color w:val="auto"/>
                <w:highlight w:val="none"/>
              </w:rPr>
            </w:pPr>
            <w:r>
              <w:rPr>
                <w:rFonts w:hint="eastAsia" w:ascii="宋体" w:hAnsi="宋体" w:cs="宋体"/>
                <w:color w:val="auto"/>
                <w:highlight w:val="none"/>
              </w:rPr>
              <w:t>序号</w:t>
            </w:r>
          </w:p>
        </w:tc>
        <w:tc>
          <w:tcPr>
            <w:tcW w:w="1074" w:type="dxa"/>
            <w:tcBorders>
              <w:top w:val="single" w:color="auto" w:sz="6" w:space="0"/>
              <w:left w:val="nil"/>
              <w:right w:val="single" w:color="auto" w:sz="6" w:space="0"/>
            </w:tcBorders>
            <w:noWrap w:val="0"/>
            <w:vAlign w:val="center"/>
          </w:tcPr>
          <w:p w14:paraId="422ED64A">
            <w:pPr>
              <w:spacing w:line="360" w:lineRule="auto"/>
              <w:jc w:val="center"/>
              <w:rPr>
                <w:rFonts w:hint="eastAsia" w:ascii="宋体" w:hAnsi="宋体" w:cs="宋体"/>
                <w:color w:val="auto"/>
                <w:highlight w:val="none"/>
              </w:rPr>
            </w:pPr>
            <w:r>
              <w:rPr>
                <w:rFonts w:hint="eastAsia" w:ascii="宋体" w:hAnsi="宋体" w:cs="宋体"/>
                <w:color w:val="auto"/>
                <w:highlight w:val="none"/>
              </w:rPr>
              <w:t>条目</w:t>
            </w:r>
          </w:p>
        </w:tc>
        <w:tc>
          <w:tcPr>
            <w:tcW w:w="3334" w:type="dxa"/>
            <w:tcBorders>
              <w:top w:val="single" w:color="auto" w:sz="6" w:space="0"/>
              <w:left w:val="nil"/>
              <w:right w:val="single" w:color="auto" w:sz="6" w:space="0"/>
            </w:tcBorders>
            <w:noWrap w:val="0"/>
            <w:vAlign w:val="center"/>
          </w:tcPr>
          <w:p w14:paraId="215CA0B7">
            <w:pPr>
              <w:spacing w:line="360" w:lineRule="auto"/>
              <w:jc w:val="center"/>
              <w:rPr>
                <w:rFonts w:hint="eastAsia" w:ascii="宋体" w:hAnsi="宋体" w:cs="宋体"/>
                <w:color w:val="auto"/>
                <w:highlight w:val="none"/>
              </w:rPr>
            </w:pPr>
            <w:r>
              <w:rPr>
                <w:rFonts w:hint="eastAsia" w:ascii="宋体" w:hAnsi="宋体" w:cs="宋体"/>
                <w:color w:val="auto"/>
                <w:highlight w:val="none"/>
              </w:rPr>
              <w:t>简要内容</w:t>
            </w:r>
          </w:p>
        </w:tc>
        <w:tc>
          <w:tcPr>
            <w:tcW w:w="1068" w:type="dxa"/>
            <w:tcBorders>
              <w:top w:val="single" w:color="auto" w:sz="6" w:space="0"/>
              <w:left w:val="nil"/>
              <w:right w:val="single" w:color="auto" w:sz="6" w:space="0"/>
            </w:tcBorders>
            <w:noWrap w:val="0"/>
            <w:vAlign w:val="center"/>
          </w:tcPr>
          <w:p w14:paraId="076DAD73">
            <w:pPr>
              <w:spacing w:line="360" w:lineRule="auto"/>
              <w:jc w:val="center"/>
              <w:rPr>
                <w:rFonts w:hint="eastAsia" w:ascii="宋体" w:hAnsi="宋体" w:cs="宋体"/>
                <w:color w:val="auto"/>
                <w:highlight w:val="none"/>
              </w:rPr>
            </w:pPr>
            <w:r>
              <w:rPr>
                <w:rFonts w:hint="eastAsia" w:ascii="宋体" w:hAnsi="宋体" w:cs="宋体"/>
                <w:color w:val="auto"/>
                <w:highlight w:val="none"/>
              </w:rPr>
              <w:t>条目</w:t>
            </w:r>
          </w:p>
        </w:tc>
        <w:tc>
          <w:tcPr>
            <w:tcW w:w="3206" w:type="dxa"/>
            <w:tcBorders>
              <w:top w:val="single" w:color="auto" w:sz="6" w:space="0"/>
              <w:left w:val="nil"/>
              <w:right w:val="single" w:color="auto" w:sz="6" w:space="0"/>
            </w:tcBorders>
            <w:noWrap w:val="0"/>
            <w:vAlign w:val="center"/>
          </w:tcPr>
          <w:p w14:paraId="399A644D">
            <w:pPr>
              <w:spacing w:line="360" w:lineRule="auto"/>
              <w:jc w:val="center"/>
              <w:rPr>
                <w:rFonts w:hint="eastAsia" w:ascii="宋体" w:hAnsi="宋体" w:cs="宋体"/>
                <w:color w:val="auto"/>
                <w:highlight w:val="none"/>
              </w:rPr>
            </w:pPr>
            <w:r>
              <w:rPr>
                <w:rFonts w:hint="eastAsia" w:ascii="宋体" w:hAnsi="宋体" w:cs="宋体"/>
                <w:color w:val="auto"/>
                <w:highlight w:val="none"/>
              </w:rPr>
              <w:t>简要内容</w:t>
            </w:r>
          </w:p>
        </w:tc>
      </w:tr>
      <w:tr w14:paraId="6980E0F1">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bottom w:val="single" w:color="auto" w:sz="6" w:space="0"/>
            </w:tcBorders>
            <w:noWrap w:val="0"/>
            <w:vAlign w:val="center"/>
          </w:tcPr>
          <w:p w14:paraId="213E3BB1">
            <w:pPr>
              <w:spacing w:line="360" w:lineRule="auto"/>
              <w:jc w:val="center"/>
              <w:rPr>
                <w:rFonts w:hint="eastAsia" w:ascii="宋体" w:hAnsi="宋体" w:cs="宋体"/>
                <w:color w:val="auto"/>
                <w:highlight w:val="none"/>
              </w:rPr>
            </w:pPr>
          </w:p>
        </w:tc>
        <w:tc>
          <w:tcPr>
            <w:tcW w:w="1074" w:type="dxa"/>
            <w:tcBorders>
              <w:top w:val="single" w:color="auto" w:sz="6" w:space="0"/>
              <w:left w:val="single" w:color="auto" w:sz="6" w:space="0"/>
              <w:bottom w:val="single" w:color="auto" w:sz="6" w:space="0"/>
              <w:right w:val="single" w:color="auto" w:sz="6" w:space="0"/>
            </w:tcBorders>
            <w:noWrap w:val="0"/>
            <w:vAlign w:val="center"/>
          </w:tcPr>
          <w:p w14:paraId="0AA026EF">
            <w:pPr>
              <w:spacing w:line="360" w:lineRule="auto"/>
              <w:jc w:val="center"/>
              <w:rPr>
                <w:rFonts w:hint="eastAsia" w:ascii="宋体" w:hAnsi="宋体" w:cs="宋体"/>
                <w:color w:val="auto"/>
                <w:highlight w:val="none"/>
              </w:rPr>
            </w:pPr>
          </w:p>
        </w:tc>
        <w:tc>
          <w:tcPr>
            <w:tcW w:w="3334" w:type="dxa"/>
            <w:tcBorders>
              <w:top w:val="single" w:color="auto" w:sz="6" w:space="0"/>
              <w:left w:val="nil"/>
              <w:bottom w:val="single" w:color="auto" w:sz="6" w:space="0"/>
            </w:tcBorders>
            <w:noWrap w:val="0"/>
            <w:vAlign w:val="center"/>
          </w:tcPr>
          <w:p w14:paraId="71DDF32E">
            <w:pPr>
              <w:spacing w:line="360" w:lineRule="auto"/>
              <w:jc w:val="center"/>
              <w:rPr>
                <w:rFonts w:hint="eastAsia" w:ascii="宋体" w:hAnsi="宋体" w:cs="宋体"/>
                <w:color w:val="auto"/>
                <w:highlight w:val="none"/>
              </w:rPr>
            </w:pPr>
          </w:p>
        </w:tc>
        <w:tc>
          <w:tcPr>
            <w:tcW w:w="1068" w:type="dxa"/>
            <w:tcBorders>
              <w:top w:val="single" w:color="auto" w:sz="6" w:space="0"/>
              <w:left w:val="single" w:color="auto" w:sz="6" w:space="0"/>
              <w:bottom w:val="single" w:color="auto" w:sz="6" w:space="0"/>
              <w:right w:val="single" w:color="auto" w:sz="6" w:space="0"/>
            </w:tcBorders>
            <w:noWrap w:val="0"/>
            <w:vAlign w:val="center"/>
          </w:tcPr>
          <w:p w14:paraId="29BB427E">
            <w:pPr>
              <w:spacing w:line="360" w:lineRule="auto"/>
              <w:jc w:val="center"/>
              <w:rPr>
                <w:rFonts w:hint="eastAsia" w:ascii="宋体" w:hAnsi="宋体" w:cs="宋体"/>
                <w:color w:val="auto"/>
                <w:highlight w:val="none"/>
              </w:rPr>
            </w:pPr>
          </w:p>
        </w:tc>
        <w:tc>
          <w:tcPr>
            <w:tcW w:w="3206" w:type="dxa"/>
            <w:tcBorders>
              <w:top w:val="single" w:color="auto" w:sz="6" w:space="0"/>
              <w:left w:val="nil"/>
              <w:bottom w:val="single" w:color="auto" w:sz="6" w:space="0"/>
              <w:right w:val="single" w:color="auto" w:sz="6" w:space="0"/>
            </w:tcBorders>
            <w:noWrap w:val="0"/>
            <w:vAlign w:val="center"/>
          </w:tcPr>
          <w:p w14:paraId="5D3934B7">
            <w:pPr>
              <w:spacing w:line="360" w:lineRule="auto"/>
              <w:jc w:val="center"/>
              <w:rPr>
                <w:rFonts w:hint="eastAsia" w:ascii="宋体" w:hAnsi="宋体" w:cs="宋体"/>
                <w:color w:val="auto"/>
                <w:highlight w:val="none"/>
              </w:rPr>
            </w:pPr>
          </w:p>
        </w:tc>
      </w:tr>
      <w:tr w14:paraId="193C7CB0">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bottom w:val="single" w:color="auto" w:sz="6" w:space="0"/>
            </w:tcBorders>
            <w:noWrap w:val="0"/>
            <w:vAlign w:val="center"/>
          </w:tcPr>
          <w:p w14:paraId="6615EE3E">
            <w:pPr>
              <w:spacing w:line="360" w:lineRule="auto"/>
              <w:jc w:val="center"/>
              <w:rPr>
                <w:rFonts w:hint="eastAsia" w:ascii="宋体" w:hAnsi="宋体" w:cs="宋体"/>
                <w:color w:val="auto"/>
                <w:highlight w:val="none"/>
              </w:rPr>
            </w:pPr>
          </w:p>
        </w:tc>
        <w:tc>
          <w:tcPr>
            <w:tcW w:w="1074" w:type="dxa"/>
            <w:tcBorders>
              <w:top w:val="single" w:color="auto" w:sz="6" w:space="0"/>
              <w:left w:val="single" w:color="auto" w:sz="6" w:space="0"/>
              <w:bottom w:val="single" w:color="auto" w:sz="6" w:space="0"/>
              <w:right w:val="single" w:color="auto" w:sz="6" w:space="0"/>
            </w:tcBorders>
            <w:noWrap w:val="0"/>
            <w:vAlign w:val="center"/>
          </w:tcPr>
          <w:p w14:paraId="4D8E9114">
            <w:pPr>
              <w:spacing w:line="360" w:lineRule="auto"/>
              <w:jc w:val="center"/>
              <w:rPr>
                <w:rFonts w:hint="eastAsia" w:ascii="宋体" w:hAnsi="宋体" w:cs="宋体"/>
                <w:color w:val="auto"/>
                <w:highlight w:val="none"/>
              </w:rPr>
            </w:pPr>
          </w:p>
        </w:tc>
        <w:tc>
          <w:tcPr>
            <w:tcW w:w="3334" w:type="dxa"/>
            <w:tcBorders>
              <w:top w:val="single" w:color="auto" w:sz="6" w:space="0"/>
              <w:left w:val="nil"/>
              <w:bottom w:val="single" w:color="auto" w:sz="6" w:space="0"/>
            </w:tcBorders>
            <w:noWrap w:val="0"/>
            <w:vAlign w:val="center"/>
          </w:tcPr>
          <w:p w14:paraId="37113F46">
            <w:pPr>
              <w:spacing w:line="360" w:lineRule="auto"/>
              <w:jc w:val="center"/>
              <w:rPr>
                <w:rFonts w:hint="eastAsia" w:ascii="宋体" w:hAnsi="宋体" w:cs="宋体"/>
                <w:color w:val="auto"/>
                <w:highlight w:val="none"/>
              </w:rPr>
            </w:pPr>
          </w:p>
        </w:tc>
        <w:tc>
          <w:tcPr>
            <w:tcW w:w="1068" w:type="dxa"/>
            <w:tcBorders>
              <w:top w:val="single" w:color="auto" w:sz="6" w:space="0"/>
              <w:left w:val="single" w:color="auto" w:sz="6" w:space="0"/>
              <w:bottom w:val="single" w:color="auto" w:sz="6" w:space="0"/>
              <w:right w:val="single" w:color="auto" w:sz="6" w:space="0"/>
            </w:tcBorders>
            <w:noWrap w:val="0"/>
            <w:vAlign w:val="center"/>
          </w:tcPr>
          <w:p w14:paraId="56A3C5F4">
            <w:pPr>
              <w:spacing w:line="360" w:lineRule="auto"/>
              <w:jc w:val="center"/>
              <w:rPr>
                <w:rFonts w:hint="eastAsia" w:ascii="宋体" w:hAnsi="宋体" w:cs="宋体"/>
                <w:color w:val="auto"/>
                <w:highlight w:val="none"/>
              </w:rPr>
            </w:pPr>
          </w:p>
        </w:tc>
        <w:tc>
          <w:tcPr>
            <w:tcW w:w="3206" w:type="dxa"/>
            <w:tcBorders>
              <w:top w:val="single" w:color="auto" w:sz="6" w:space="0"/>
              <w:left w:val="nil"/>
              <w:bottom w:val="single" w:color="auto" w:sz="6" w:space="0"/>
              <w:right w:val="single" w:color="auto" w:sz="6" w:space="0"/>
            </w:tcBorders>
            <w:noWrap w:val="0"/>
            <w:vAlign w:val="center"/>
          </w:tcPr>
          <w:p w14:paraId="176D73FE">
            <w:pPr>
              <w:spacing w:line="360" w:lineRule="auto"/>
              <w:jc w:val="center"/>
              <w:rPr>
                <w:rFonts w:hint="eastAsia" w:ascii="宋体" w:hAnsi="宋体" w:cs="宋体"/>
                <w:color w:val="auto"/>
                <w:highlight w:val="none"/>
              </w:rPr>
            </w:pPr>
          </w:p>
        </w:tc>
      </w:tr>
      <w:tr w14:paraId="6E11CAD2">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bottom w:val="single" w:color="auto" w:sz="6" w:space="0"/>
            </w:tcBorders>
            <w:noWrap w:val="0"/>
            <w:vAlign w:val="center"/>
          </w:tcPr>
          <w:p w14:paraId="10B35FDC">
            <w:pPr>
              <w:spacing w:line="360" w:lineRule="auto"/>
              <w:jc w:val="center"/>
              <w:rPr>
                <w:rFonts w:hint="eastAsia" w:ascii="宋体" w:hAnsi="宋体" w:cs="宋体"/>
                <w:color w:val="auto"/>
                <w:highlight w:val="none"/>
              </w:rPr>
            </w:pPr>
          </w:p>
        </w:tc>
        <w:tc>
          <w:tcPr>
            <w:tcW w:w="1074" w:type="dxa"/>
            <w:tcBorders>
              <w:top w:val="single" w:color="auto" w:sz="6" w:space="0"/>
              <w:left w:val="single" w:color="auto" w:sz="6" w:space="0"/>
              <w:bottom w:val="single" w:color="auto" w:sz="6" w:space="0"/>
              <w:right w:val="single" w:color="auto" w:sz="6" w:space="0"/>
            </w:tcBorders>
            <w:noWrap w:val="0"/>
            <w:vAlign w:val="center"/>
          </w:tcPr>
          <w:p w14:paraId="64B2349D">
            <w:pPr>
              <w:spacing w:line="360" w:lineRule="auto"/>
              <w:jc w:val="center"/>
              <w:rPr>
                <w:rFonts w:hint="eastAsia" w:ascii="宋体" w:hAnsi="宋体" w:cs="宋体"/>
                <w:color w:val="auto"/>
                <w:highlight w:val="none"/>
              </w:rPr>
            </w:pPr>
          </w:p>
        </w:tc>
        <w:tc>
          <w:tcPr>
            <w:tcW w:w="3334" w:type="dxa"/>
            <w:tcBorders>
              <w:top w:val="single" w:color="auto" w:sz="6" w:space="0"/>
              <w:left w:val="nil"/>
              <w:bottom w:val="single" w:color="auto" w:sz="6" w:space="0"/>
            </w:tcBorders>
            <w:noWrap w:val="0"/>
            <w:vAlign w:val="center"/>
          </w:tcPr>
          <w:p w14:paraId="36393E3B">
            <w:pPr>
              <w:spacing w:line="360" w:lineRule="auto"/>
              <w:jc w:val="center"/>
              <w:rPr>
                <w:rFonts w:hint="eastAsia" w:ascii="宋体" w:hAnsi="宋体" w:cs="宋体"/>
                <w:color w:val="auto"/>
                <w:highlight w:val="none"/>
              </w:rPr>
            </w:pPr>
          </w:p>
        </w:tc>
        <w:tc>
          <w:tcPr>
            <w:tcW w:w="1068" w:type="dxa"/>
            <w:tcBorders>
              <w:top w:val="single" w:color="auto" w:sz="6" w:space="0"/>
              <w:left w:val="single" w:color="auto" w:sz="6" w:space="0"/>
              <w:bottom w:val="single" w:color="auto" w:sz="6" w:space="0"/>
              <w:right w:val="single" w:color="auto" w:sz="6" w:space="0"/>
            </w:tcBorders>
            <w:noWrap w:val="0"/>
            <w:vAlign w:val="center"/>
          </w:tcPr>
          <w:p w14:paraId="755DCC6B">
            <w:pPr>
              <w:spacing w:line="360" w:lineRule="auto"/>
              <w:jc w:val="center"/>
              <w:rPr>
                <w:rFonts w:hint="eastAsia" w:ascii="宋体" w:hAnsi="宋体" w:cs="宋体"/>
                <w:color w:val="auto"/>
                <w:highlight w:val="none"/>
              </w:rPr>
            </w:pPr>
          </w:p>
        </w:tc>
        <w:tc>
          <w:tcPr>
            <w:tcW w:w="3206" w:type="dxa"/>
            <w:tcBorders>
              <w:top w:val="single" w:color="auto" w:sz="6" w:space="0"/>
              <w:left w:val="nil"/>
              <w:bottom w:val="single" w:color="auto" w:sz="6" w:space="0"/>
              <w:right w:val="single" w:color="auto" w:sz="6" w:space="0"/>
            </w:tcBorders>
            <w:noWrap w:val="0"/>
            <w:vAlign w:val="center"/>
          </w:tcPr>
          <w:p w14:paraId="17CE23D2">
            <w:pPr>
              <w:spacing w:line="360" w:lineRule="auto"/>
              <w:jc w:val="center"/>
              <w:rPr>
                <w:rFonts w:hint="eastAsia" w:ascii="宋体" w:hAnsi="宋体" w:cs="宋体"/>
                <w:color w:val="auto"/>
                <w:highlight w:val="none"/>
              </w:rPr>
            </w:pPr>
          </w:p>
        </w:tc>
      </w:tr>
      <w:tr w14:paraId="32B13F60">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bottom w:val="single" w:color="auto" w:sz="6" w:space="0"/>
            </w:tcBorders>
            <w:noWrap w:val="0"/>
            <w:vAlign w:val="center"/>
          </w:tcPr>
          <w:p w14:paraId="385C6A3E">
            <w:pPr>
              <w:spacing w:line="360" w:lineRule="auto"/>
              <w:jc w:val="center"/>
              <w:rPr>
                <w:rFonts w:hint="eastAsia" w:ascii="宋体" w:hAnsi="宋体" w:cs="宋体"/>
                <w:color w:val="auto"/>
                <w:highlight w:val="none"/>
              </w:rPr>
            </w:pPr>
          </w:p>
        </w:tc>
        <w:tc>
          <w:tcPr>
            <w:tcW w:w="1074" w:type="dxa"/>
            <w:tcBorders>
              <w:top w:val="single" w:color="auto" w:sz="6" w:space="0"/>
              <w:left w:val="single" w:color="auto" w:sz="6" w:space="0"/>
              <w:bottom w:val="single" w:color="auto" w:sz="6" w:space="0"/>
              <w:right w:val="single" w:color="auto" w:sz="6" w:space="0"/>
            </w:tcBorders>
            <w:noWrap w:val="0"/>
            <w:vAlign w:val="center"/>
          </w:tcPr>
          <w:p w14:paraId="7036383D">
            <w:pPr>
              <w:spacing w:line="360" w:lineRule="auto"/>
              <w:jc w:val="center"/>
              <w:rPr>
                <w:rFonts w:hint="eastAsia" w:ascii="宋体" w:hAnsi="宋体" w:cs="宋体"/>
                <w:color w:val="auto"/>
                <w:highlight w:val="none"/>
              </w:rPr>
            </w:pPr>
          </w:p>
        </w:tc>
        <w:tc>
          <w:tcPr>
            <w:tcW w:w="3334" w:type="dxa"/>
            <w:tcBorders>
              <w:top w:val="single" w:color="auto" w:sz="6" w:space="0"/>
              <w:left w:val="nil"/>
              <w:bottom w:val="single" w:color="auto" w:sz="6" w:space="0"/>
            </w:tcBorders>
            <w:noWrap w:val="0"/>
            <w:vAlign w:val="center"/>
          </w:tcPr>
          <w:p w14:paraId="79981D91">
            <w:pPr>
              <w:spacing w:line="360" w:lineRule="auto"/>
              <w:jc w:val="center"/>
              <w:rPr>
                <w:rFonts w:hint="eastAsia" w:ascii="宋体" w:hAnsi="宋体" w:cs="宋体"/>
                <w:color w:val="auto"/>
                <w:highlight w:val="none"/>
              </w:rPr>
            </w:pPr>
          </w:p>
        </w:tc>
        <w:tc>
          <w:tcPr>
            <w:tcW w:w="1068" w:type="dxa"/>
            <w:tcBorders>
              <w:top w:val="single" w:color="auto" w:sz="6" w:space="0"/>
              <w:left w:val="single" w:color="auto" w:sz="6" w:space="0"/>
              <w:bottom w:val="single" w:color="auto" w:sz="6" w:space="0"/>
              <w:right w:val="single" w:color="auto" w:sz="6" w:space="0"/>
            </w:tcBorders>
            <w:noWrap w:val="0"/>
            <w:vAlign w:val="center"/>
          </w:tcPr>
          <w:p w14:paraId="65D43F15">
            <w:pPr>
              <w:spacing w:line="360" w:lineRule="auto"/>
              <w:jc w:val="center"/>
              <w:rPr>
                <w:rFonts w:hint="eastAsia" w:ascii="宋体" w:hAnsi="宋体" w:cs="宋体"/>
                <w:color w:val="auto"/>
                <w:highlight w:val="none"/>
              </w:rPr>
            </w:pPr>
          </w:p>
        </w:tc>
        <w:tc>
          <w:tcPr>
            <w:tcW w:w="3206" w:type="dxa"/>
            <w:tcBorders>
              <w:top w:val="single" w:color="auto" w:sz="6" w:space="0"/>
              <w:left w:val="nil"/>
              <w:bottom w:val="single" w:color="auto" w:sz="6" w:space="0"/>
              <w:right w:val="single" w:color="auto" w:sz="6" w:space="0"/>
            </w:tcBorders>
            <w:noWrap w:val="0"/>
            <w:vAlign w:val="center"/>
          </w:tcPr>
          <w:p w14:paraId="2EC0388C">
            <w:pPr>
              <w:spacing w:line="360" w:lineRule="auto"/>
              <w:jc w:val="center"/>
              <w:rPr>
                <w:rFonts w:hint="eastAsia" w:ascii="宋体" w:hAnsi="宋体" w:cs="宋体"/>
                <w:color w:val="auto"/>
                <w:highlight w:val="none"/>
              </w:rPr>
            </w:pPr>
          </w:p>
        </w:tc>
      </w:tr>
      <w:tr w14:paraId="1A6EBBE9">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bottom w:val="single" w:color="auto" w:sz="6" w:space="0"/>
            </w:tcBorders>
            <w:noWrap w:val="0"/>
            <w:vAlign w:val="center"/>
          </w:tcPr>
          <w:p w14:paraId="15A425B1">
            <w:pPr>
              <w:spacing w:line="360" w:lineRule="auto"/>
              <w:jc w:val="center"/>
              <w:rPr>
                <w:rFonts w:hint="eastAsia" w:ascii="宋体" w:hAnsi="宋体" w:cs="宋体"/>
                <w:color w:val="auto"/>
                <w:highlight w:val="none"/>
              </w:rPr>
            </w:pPr>
          </w:p>
        </w:tc>
        <w:tc>
          <w:tcPr>
            <w:tcW w:w="1074" w:type="dxa"/>
            <w:tcBorders>
              <w:top w:val="single" w:color="auto" w:sz="6" w:space="0"/>
              <w:left w:val="single" w:color="auto" w:sz="6" w:space="0"/>
              <w:bottom w:val="single" w:color="auto" w:sz="6" w:space="0"/>
              <w:right w:val="single" w:color="auto" w:sz="6" w:space="0"/>
            </w:tcBorders>
            <w:noWrap w:val="0"/>
            <w:vAlign w:val="center"/>
          </w:tcPr>
          <w:p w14:paraId="5C7F10CF">
            <w:pPr>
              <w:spacing w:line="360" w:lineRule="auto"/>
              <w:jc w:val="center"/>
              <w:rPr>
                <w:rFonts w:hint="eastAsia" w:ascii="宋体" w:hAnsi="宋体" w:cs="宋体"/>
                <w:color w:val="auto"/>
                <w:highlight w:val="none"/>
              </w:rPr>
            </w:pPr>
          </w:p>
        </w:tc>
        <w:tc>
          <w:tcPr>
            <w:tcW w:w="3334" w:type="dxa"/>
            <w:tcBorders>
              <w:top w:val="single" w:color="auto" w:sz="6" w:space="0"/>
              <w:left w:val="nil"/>
              <w:bottom w:val="single" w:color="auto" w:sz="6" w:space="0"/>
            </w:tcBorders>
            <w:noWrap w:val="0"/>
            <w:vAlign w:val="center"/>
          </w:tcPr>
          <w:p w14:paraId="7DD77392">
            <w:pPr>
              <w:spacing w:line="360" w:lineRule="auto"/>
              <w:jc w:val="center"/>
              <w:rPr>
                <w:rFonts w:hint="eastAsia" w:ascii="宋体" w:hAnsi="宋体" w:cs="宋体"/>
                <w:color w:val="auto"/>
                <w:highlight w:val="none"/>
              </w:rPr>
            </w:pPr>
          </w:p>
        </w:tc>
        <w:tc>
          <w:tcPr>
            <w:tcW w:w="1068" w:type="dxa"/>
            <w:tcBorders>
              <w:top w:val="single" w:color="auto" w:sz="6" w:space="0"/>
              <w:left w:val="single" w:color="auto" w:sz="6" w:space="0"/>
              <w:bottom w:val="single" w:color="auto" w:sz="6" w:space="0"/>
              <w:right w:val="single" w:color="auto" w:sz="6" w:space="0"/>
            </w:tcBorders>
            <w:noWrap w:val="0"/>
            <w:vAlign w:val="center"/>
          </w:tcPr>
          <w:p w14:paraId="2BCEEF74">
            <w:pPr>
              <w:spacing w:line="360" w:lineRule="auto"/>
              <w:jc w:val="center"/>
              <w:rPr>
                <w:rFonts w:hint="eastAsia" w:ascii="宋体" w:hAnsi="宋体" w:cs="宋体"/>
                <w:color w:val="auto"/>
                <w:highlight w:val="none"/>
              </w:rPr>
            </w:pPr>
          </w:p>
        </w:tc>
        <w:tc>
          <w:tcPr>
            <w:tcW w:w="3206" w:type="dxa"/>
            <w:tcBorders>
              <w:top w:val="single" w:color="auto" w:sz="6" w:space="0"/>
              <w:left w:val="nil"/>
              <w:bottom w:val="single" w:color="auto" w:sz="6" w:space="0"/>
              <w:right w:val="single" w:color="auto" w:sz="6" w:space="0"/>
            </w:tcBorders>
            <w:noWrap w:val="0"/>
            <w:vAlign w:val="center"/>
          </w:tcPr>
          <w:p w14:paraId="2E1FB265">
            <w:pPr>
              <w:spacing w:line="360" w:lineRule="auto"/>
              <w:jc w:val="center"/>
              <w:rPr>
                <w:rFonts w:hint="eastAsia" w:ascii="宋体" w:hAnsi="宋体" w:cs="宋体"/>
                <w:color w:val="auto"/>
                <w:highlight w:val="none"/>
              </w:rPr>
            </w:pPr>
          </w:p>
        </w:tc>
      </w:tr>
      <w:tr w14:paraId="646A4A36">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bottom w:val="single" w:color="auto" w:sz="6" w:space="0"/>
            </w:tcBorders>
            <w:noWrap w:val="0"/>
            <w:vAlign w:val="center"/>
          </w:tcPr>
          <w:p w14:paraId="02F66AE2">
            <w:pPr>
              <w:spacing w:line="360" w:lineRule="auto"/>
              <w:jc w:val="center"/>
              <w:rPr>
                <w:rFonts w:hint="eastAsia" w:ascii="宋体" w:hAnsi="宋体" w:cs="宋体"/>
                <w:color w:val="auto"/>
                <w:highlight w:val="none"/>
              </w:rPr>
            </w:pPr>
          </w:p>
        </w:tc>
        <w:tc>
          <w:tcPr>
            <w:tcW w:w="1074" w:type="dxa"/>
            <w:tcBorders>
              <w:top w:val="single" w:color="auto" w:sz="6" w:space="0"/>
              <w:left w:val="single" w:color="auto" w:sz="6" w:space="0"/>
              <w:bottom w:val="single" w:color="auto" w:sz="6" w:space="0"/>
              <w:right w:val="single" w:color="auto" w:sz="6" w:space="0"/>
            </w:tcBorders>
            <w:noWrap w:val="0"/>
            <w:vAlign w:val="center"/>
          </w:tcPr>
          <w:p w14:paraId="1CDCF37F">
            <w:pPr>
              <w:spacing w:line="360" w:lineRule="auto"/>
              <w:jc w:val="center"/>
              <w:rPr>
                <w:rFonts w:hint="eastAsia" w:ascii="宋体" w:hAnsi="宋体" w:cs="宋体"/>
                <w:color w:val="auto"/>
                <w:highlight w:val="none"/>
              </w:rPr>
            </w:pPr>
          </w:p>
        </w:tc>
        <w:tc>
          <w:tcPr>
            <w:tcW w:w="3334" w:type="dxa"/>
            <w:tcBorders>
              <w:top w:val="single" w:color="auto" w:sz="6" w:space="0"/>
              <w:left w:val="nil"/>
              <w:bottom w:val="single" w:color="auto" w:sz="6" w:space="0"/>
            </w:tcBorders>
            <w:noWrap w:val="0"/>
            <w:vAlign w:val="center"/>
          </w:tcPr>
          <w:p w14:paraId="4C0EBE78">
            <w:pPr>
              <w:spacing w:line="360" w:lineRule="auto"/>
              <w:jc w:val="center"/>
              <w:rPr>
                <w:rFonts w:hint="eastAsia" w:ascii="宋体" w:hAnsi="宋体" w:cs="宋体"/>
                <w:color w:val="auto"/>
                <w:highlight w:val="none"/>
              </w:rPr>
            </w:pPr>
          </w:p>
        </w:tc>
        <w:tc>
          <w:tcPr>
            <w:tcW w:w="1068" w:type="dxa"/>
            <w:tcBorders>
              <w:top w:val="single" w:color="auto" w:sz="6" w:space="0"/>
              <w:left w:val="single" w:color="auto" w:sz="6" w:space="0"/>
              <w:bottom w:val="single" w:color="auto" w:sz="6" w:space="0"/>
              <w:right w:val="single" w:color="auto" w:sz="6" w:space="0"/>
            </w:tcBorders>
            <w:noWrap w:val="0"/>
            <w:vAlign w:val="center"/>
          </w:tcPr>
          <w:p w14:paraId="1483542C">
            <w:pPr>
              <w:spacing w:line="360" w:lineRule="auto"/>
              <w:jc w:val="center"/>
              <w:rPr>
                <w:rFonts w:hint="eastAsia" w:ascii="宋体" w:hAnsi="宋体" w:cs="宋体"/>
                <w:color w:val="auto"/>
                <w:highlight w:val="none"/>
              </w:rPr>
            </w:pPr>
          </w:p>
        </w:tc>
        <w:tc>
          <w:tcPr>
            <w:tcW w:w="3206" w:type="dxa"/>
            <w:tcBorders>
              <w:top w:val="single" w:color="auto" w:sz="6" w:space="0"/>
              <w:left w:val="nil"/>
              <w:bottom w:val="single" w:color="auto" w:sz="6" w:space="0"/>
              <w:right w:val="single" w:color="auto" w:sz="6" w:space="0"/>
            </w:tcBorders>
            <w:noWrap w:val="0"/>
            <w:vAlign w:val="center"/>
          </w:tcPr>
          <w:p w14:paraId="54A5677C">
            <w:pPr>
              <w:spacing w:line="360" w:lineRule="auto"/>
              <w:jc w:val="center"/>
              <w:rPr>
                <w:rFonts w:hint="eastAsia" w:ascii="宋体" w:hAnsi="宋体" w:cs="宋体"/>
                <w:color w:val="auto"/>
                <w:highlight w:val="none"/>
              </w:rPr>
            </w:pPr>
          </w:p>
        </w:tc>
      </w:tr>
      <w:tr w14:paraId="53EA6767">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bottom w:val="single" w:color="auto" w:sz="6" w:space="0"/>
            </w:tcBorders>
            <w:noWrap w:val="0"/>
            <w:vAlign w:val="center"/>
          </w:tcPr>
          <w:p w14:paraId="12E8D5EA">
            <w:pPr>
              <w:spacing w:line="360" w:lineRule="auto"/>
              <w:jc w:val="center"/>
              <w:rPr>
                <w:rFonts w:hint="eastAsia" w:ascii="宋体" w:hAnsi="宋体" w:cs="宋体"/>
                <w:color w:val="auto"/>
                <w:highlight w:val="none"/>
              </w:rPr>
            </w:pPr>
          </w:p>
        </w:tc>
        <w:tc>
          <w:tcPr>
            <w:tcW w:w="1074" w:type="dxa"/>
            <w:tcBorders>
              <w:top w:val="single" w:color="auto" w:sz="6" w:space="0"/>
              <w:left w:val="single" w:color="auto" w:sz="6" w:space="0"/>
              <w:bottom w:val="single" w:color="auto" w:sz="6" w:space="0"/>
              <w:right w:val="single" w:color="auto" w:sz="6" w:space="0"/>
            </w:tcBorders>
            <w:noWrap w:val="0"/>
            <w:vAlign w:val="center"/>
          </w:tcPr>
          <w:p w14:paraId="5C723BCE">
            <w:pPr>
              <w:spacing w:line="360" w:lineRule="auto"/>
              <w:jc w:val="center"/>
              <w:rPr>
                <w:rFonts w:hint="eastAsia" w:ascii="宋体" w:hAnsi="宋体" w:cs="宋体"/>
                <w:color w:val="auto"/>
                <w:highlight w:val="none"/>
              </w:rPr>
            </w:pPr>
          </w:p>
        </w:tc>
        <w:tc>
          <w:tcPr>
            <w:tcW w:w="3334" w:type="dxa"/>
            <w:tcBorders>
              <w:top w:val="single" w:color="auto" w:sz="6" w:space="0"/>
              <w:left w:val="nil"/>
              <w:bottom w:val="single" w:color="auto" w:sz="6" w:space="0"/>
            </w:tcBorders>
            <w:noWrap w:val="0"/>
            <w:vAlign w:val="center"/>
          </w:tcPr>
          <w:p w14:paraId="5D03FB20">
            <w:pPr>
              <w:spacing w:line="360" w:lineRule="auto"/>
              <w:jc w:val="center"/>
              <w:rPr>
                <w:rFonts w:hint="eastAsia" w:ascii="宋体" w:hAnsi="宋体" w:cs="宋体"/>
                <w:color w:val="auto"/>
                <w:highlight w:val="none"/>
              </w:rPr>
            </w:pPr>
          </w:p>
        </w:tc>
        <w:tc>
          <w:tcPr>
            <w:tcW w:w="1068" w:type="dxa"/>
            <w:tcBorders>
              <w:top w:val="single" w:color="auto" w:sz="6" w:space="0"/>
              <w:left w:val="single" w:color="auto" w:sz="6" w:space="0"/>
              <w:bottom w:val="single" w:color="auto" w:sz="6" w:space="0"/>
              <w:right w:val="single" w:color="auto" w:sz="6" w:space="0"/>
            </w:tcBorders>
            <w:noWrap w:val="0"/>
            <w:vAlign w:val="center"/>
          </w:tcPr>
          <w:p w14:paraId="633F7874">
            <w:pPr>
              <w:spacing w:line="360" w:lineRule="auto"/>
              <w:jc w:val="center"/>
              <w:rPr>
                <w:rFonts w:hint="eastAsia" w:ascii="宋体" w:hAnsi="宋体" w:cs="宋体"/>
                <w:color w:val="auto"/>
                <w:highlight w:val="none"/>
              </w:rPr>
            </w:pPr>
          </w:p>
        </w:tc>
        <w:tc>
          <w:tcPr>
            <w:tcW w:w="3206" w:type="dxa"/>
            <w:tcBorders>
              <w:top w:val="single" w:color="auto" w:sz="6" w:space="0"/>
              <w:left w:val="nil"/>
              <w:bottom w:val="single" w:color="auto" w:sz="6" w:space="0"/>
              <w:right w:val="single" w:color="auto" w:sz="6" w:space="0"/>
            </w:tcBorders>
            <w:noWrap w:val="0"/>
            <w:vAlign w:val="center"/>
          </w:tcPr>
          <w:p w14:paraId="62DD88E5">
            <w:pPr>
              <w:spacing w:line="360" w:lineRule="auto"/>
              <w:jc w:val="center"/>
              <w:rPr>
                <w:rFonts w:hint="eastAsia" w:ascii="宋体" w:hAnsi="宋体" w:cs="宋体"/>
                <w:color w:val="auto"/>
                <w:highlight w:val="none"/>
              </w:rPr>
            </w:pPr>
          </w:p>
        </w:tc>
      </w:tr>
      <w:tr w14:paraId="2A483408">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bottom w:val="single" w:color="auto" w:sz="6" w:space="0"/>
            </w:tcBorders>
            <w:noWrap w:val="0"/>
            <w:vAlign w:val="center"/>
          </w:tcPr>
          <w:p w14:paraId="0FC8614B">
            <w:pPr>
              <w:spacing w:line="360" w:lineRule="auto"/>
              <w:jc w:val="center"/>
              <w:rPr>
                <w:rFonts w:hint="eastAsia" w:ascii="宋体" w:hAnsi="宋体" w:cs="宋体"/>
                <w:color w:val="auto"/>
                <w:highlight w:val="none"/>
              </w:rPr>
            </w:pPr>
          </w:p>
        </w:tc>
        <w:tc>
          <w:tcPr>
            <w:tcW w:w="1074" w:type="dxa"/>
            <w:tcBorders>
              <w:top w:val="single" w:color="auto" w:sz="6" w:space="0"/>
              <w:left w:val="single" w:color="auto" w:sz="6" w:space="0"/>
              <w:bottom w:val="single" w:color="auto" w:sz="6" w:space="0"/>
              <w:right w:val="single" w:color="auto" w:sz="6" w:space="0"/>
            </w:tcBorders>
            <w:noWrap w:val="0"/>
            <w:vAlign w:val="center"/>
          </w:tcPr>
          <w:p w14:paraId="65DAFA5D">
            <w:pPr>
              <w:spacing w:line="360" w:lineRule="auto"/>
              <w:jc w:val="center"/>
              <w:rPr>
                <w:rFonts w:hint="eastAsia" w:ascii="宋体" w:hAnsi="宋体" w:cs="宋体"/>
                <w:color w:val="auto"/>
                <w:highlight w:val="none"/>
              </w:rPr>
            </w:pPr>
          </w:p>
        </w:tc>
        <w:tc>
          <w:tcPr>
            <w:tcW w:w="3334" w:type="dxa"/>
            <w:tcBorders>
              <w:top w:val="single" w:color="auto" w:sz="6" w:space="0"/>
              <w:left w:val="nil"/>
              <w:bottom w:val="single" w:color="auto" w:sz="6" w:space="0"/>
            </w:tcBorders>
            <w:noWrap w:val="0"/>
            <w:vAlign w:val="center"/>
          </w:tcPr>
          <w:p w14:paraId="4E853987">
            <w:pPr>
              <w:spacing w:line="360" w:lineRule="auto"/>
              <w:jc w:val="center"/>
              <w:rPr>
                <w:rFonts w:hint="eastAsia" w:ascii="宋体" w:hAnsi="宋体" w:cs="宋体"/>
                <w:color w:val="auto"/>
                <w:highlight w:val="none"/>
              </w:rPr>
            </w:pPr>
          </w:p>
        </w:tc>
        <w:tc>
          <w:tcPr>
            <w:tcW w:w="1068" w:type="dxa"/>
            <w:tcBorders>
              <w:top w:val="single" w:color="auto" w:sz="6" w:space="0"/>
              <w:left w:val="single" w:color="auto" w:sz="6" w:space="0"/>
              <w:bottom w:val="single" w:color="auto" w:sz="6" w:space="0"/>
              <w:right w:val="single" w:color="auto" w:sz="6" w:space="0"/>
            </w:tcBorders>
            <w:noWrap w:val="0"/>
            <w:vAlign w:val="center"/>
          </w:tcPr>
          <w:p w14:paraId="05E8D74D">
            <w:pPr>
              <w:spacing w:line="360" w:lineRule="auto"/>
              <w:jc w:val="center"/>
              <w:rPr>
                <w:rFonts w:hint="eastAsia" w:ascii="宋体" w:hAnsi="宋体" w:cs="宋体"/>
                <w:color w:val="auto"/>
                <w:highlight w:val="none"/>
              </w:rPr>
            </w:pPr>
          </w:p>
        </w:tc>
        <w:tc>
          <w:tcPr>
            <w:tcW w:w="3206" w:type="dxa"/>
            <w:tcBorders>
              <w:top w:val="single" w:color="auto" w:sz="6" w:space="0"/>
              <w:left w:val="nil"/>
              <w:bottom w:val="single" w:color="auto" w:sz="6" w:space="0"/>
              <w:right w:val="single" w:color="auto" w:sz="6" w:space="0"/>
            </w:tcBorders>
            <w:noWrap w:val="0"/>
            <w:vAlign w:val="center"/>
          </w:tcPr>
          <w:p w14:paraId="0B66A1EE">
            <w:pPr>
              <w:spacing w:line="360" w:lineRule="auto"/>
              <w:jc w:val="center"/>
              <w:rPr>
                <w:rFonts w:hint="eastAsia" w:ascii="宋体" w:hAnsi="宋体" w:cs="宋体"/>
                <w:color w:val="auto"/>
                <w:highlight w:val="none"/>
              </w:rPr>
            </w:pPr>
          </w:p>
        </w:tc>
      </w:tr>
      <w:tr w14:paraId="11FDC71C">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bottom w:val="single" w:color="auto" w:sz="6" w:space="0"/>
            </w:tcBorders>
            <w:noWrap w:val="0"/>
            <w:vAlign w:val="center"/>
          </w:tcPr>
          <w:p w14:paraId="03BC7A80">
            <w:pPr>
              <w:spacing w:line="360" w:lineRule="auto"/>
              <w:jc w:val="center"/>
              <w:rPr>
                <w:rFonts w:hint="eastAsia" w:ascii="宋体" w:hAnsi="宋体" w:cs="宋体"/>
                <w:color w:val="auto"/>
                <w:highlight w:val="none"/>
              </w:rPr>
            </w:pPr>
          </w:p>
        </w:tc>
        <w:tc>
          <w:tcPr>
            <w:tcW w:w="1074" w:type="dxa"/>
            <w:tcBorders>
              <w:top w:val="single" w:color="auto" w:sz="6" w:space="0"/>
              <w:left w:val="single" w:color="auto" w:sz="6" w:space="0"/>
              <w:bottom w:val="single" w:color="auto" w:sz="6" w:space="0"/>
              <w:right w:val="single" w:color="auto" w:sz="6" w:space="0"/>
            </w:tcBorders>
            <w:noWrap w:val="0"/>
            <w:vAlign w:val="center"/>
          </w:tcPr>
          <w:p w14:paraId="606955E4">
            <w:pPr>
              <w:spacing w:line="360" w:lineRule="auto"/>
              <w:jc w:val="center"/>
              <w:rPr>
                <w:rFonts w:hint="eastAsia" w:ascii="宋体" w:hAnsi="宋体" w:cs="宋体"/>
                <w:color w:val="auto"/>
                <w:highlight w:val="none"/>
              </w:rPr>
            </w:pPr>
          </w:p>
        </w:tc>
        <w:tc>
          <w:tcPr>
            <w:tcW w:w="3334" w:type="dxa"/>
            <w:tcBorders>
              <w:top w:val="single" w:color="auto" w:sz="6" w:space="0"/>
              <w:left w:val="nil"/>
              <w:bottom w:val="single" w:color="auto" w:sz="6" w:space="0"/>
            </w:tcBorders>
            <w:noWrap w:val="0"/>
            <w:vAlign w:val="center"/>
          </w:tcPr>
          <w:p w14:paraId="12CC36B8">
            <w:pPr>
              <w:spacing w:line="360" w:lineRule="auto"/>
              <w:jc w:val="center"/>
              <w:rPr>
                <w:rFonts w:hint="eastAsia" w:ascii="宋体" w:hAnsi="宋体" w:cs="宋体"/>
                <w:color w:val="auto"/>
                <w:highlight w:val="none"/>
              </w:rPr>
            </w:pPr>
          </w:p>
        </w:tc>
        <w:tc>
          <w:tcPr>
            <w:tcW w:w="1068" w:type="dxa"/>
            <w:tcBorders>
              <w:top w:val="single" w:color="auto" w:sz="6" w:space="0"/>
              <w:left w:val="single" w:color="auto" w:sz="6" w:space="0"/>
              <w:bottom w:val="single" w:color="auto" w:sz="6" w:space="0"/>
              <w:right w:val="single" w:color="auto" w:sz="6" w:space="0"/>
            </w:tcBorders>
            <w:noWrap w:val="0"/>
            <w:vAlign w:val="center"/>
          </w:tcPr>
          <w:p w14:paraId="20DFBF72">
            <w:pPr>
              <w:spacing w:line="360" w:lineRule="auto"/>
              <w:jc w:val="center"/>
              <w:rPr>
                <w:rFonts w:hint="eastAsia" w:ascii="宋体" w:hAnsi="宋体" w:cs="宋体"/>
                <w:color w:val="auto"/>
                <w:highlight w:val="none"/>
              </w:rPr>
            </w:pPr>
          </w:p>
        </w:tc>
        <w:tc>
          <w:tcPr>
            <w:tcW w:w="3206" w:type="dxa"/>
            <w:tcBorders>
              <w:top w:val="single" w:color="auto" w:sz="6" w:space="0"/>
              <w:left w:val="nil"/>
              <w:bottom w:val="single" w:color="auto" w:sz="6" w:space="0"/>
              <w:right w:val="single" w:color="auto" w:sz="6" w:space="0"/>
            </w:tcBorders>
            <w:noWrap w:val="0"/>
            <w:vAlign w:val="center"/>
          </w:tcPr>
          <w:p w14:paraId="68632009">
            <w:pPr>
              <w:spacing w:line="360" w:lineRule="auto"/>
              <w:jc w:val="center"/>
              <w:rPr>
                <w:rFonts w:hint="eastAsia" w:ascii="宋体" w:hAnsi="宋体" w:cs="宋体"/>
                <w:color w:val="auto"/>
                <w:highlight w:val="none"/>
              </w:rPr>
            </w:pPr>
          </w:p>
        </w:tc>
      </w:tr>
      <w:tr w14:paraId="156AB5C6">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bottom w:val="single" w:color="auto" w:sz="6" w:space="0"/>
            </w:tcBorders>
            <w:noWrap w:val="0"/>
            <w:vAlign w:val="center"/>
          </w:tcPr>
          <w:p w14:paraId="24FC0014">
            <w:pPr>
              <w:spacing w:line="360" w:lineRule="auto"/>
              <w:jc w:val="center"/>
              <w:rPr>
                <w:rFonts w:hint="eastAsia" w:ascii="宋体" w:hAnsi="宋体" w:cs="宋体"/>
                <w:color w:val="auto"/>
                <w:highlight w:val="none"/>
              </w:rPr>
            </w:pPr>
          </w:p>
        </w:tc>
        <w:tc>
          <w:tcPr>
            <w:tcW w:w="1074" w:type="dxa"/>
            <w:tcBorders>
              <w:top w:val="single" w:color="auto" w:sz="6" w:space="0"/>
              <w:left w:val="single" w:color="auto" w:sz="6" w:space="0"/>
              <w:bottom w:val="single" w:color="auto" w:sz="6" w:space="0"/>
              <w:right w:val="single" w:color="auto" w:sz="6" w:space="0"/>
            </w:tcBorders>
            <w:noWrap w:val="0"/>
            <w:vAlign w:val="center"/>
          </w:tcPr>
          <w:p w14:paraId="378B9035">
            <w:pPr>
              <w:spacing w:line="360" w:lineRule="auto"/>
              <w:jc w:val="center"/>
              <w:rPr>
                <w:rFonts w:hint="eastAsia" w:ascii="宋体" w:hAnsi="宋体" w:cs="宋体"/>
                <w:color w:val="auto"/>
                <w:highlight w:val="none"/>
              </w:rPr>
            </w:pPr>
          </w:p>
        </w:tc>
        <w:tc>
          <w:tcPr>
            <w:tcW w:w="3334" w:type="dxa"/>
            <w:tcBorders>
              <w:top w:val="single" w:color="auto" w:sz="6" w:space="0"/>
              <w:left w:val="nil"/>
              <w:bottom w:val="single" w:color="auto" w:sz="6" w:space="0"/>
            </w:tcBorders>
            <w:noWrap w:val="0"/>
            <w:vAlign w:val="center"/>
          </w:tcPr>
          <w:p w14:paraId="38C1395F">
            <w:pPr>
              <w:spacing w:line="360" w:lineRule="auto"/>
              <w:jc w:val="center"/>
              <w:rPr>
                <w:rFonts w:hint="eastAsia" w:ascii="宋体" w:hAnsi="宋体" w:cs="宋体"/>
                <w:color w:val="auto"/>
                <w:highlight w:val="none"/>
              </w:rPr>
            </w:pPr>
          </w:p>
        </w:tc>
        <w:tc>
          <w:tcPr>
            <w:tcW w:w="1068" w:type="dxa"/>
            <w:tcBorders>
              <w:top w:val="single" w:color="auto" w:sz="6" w:space="0"/>
              <w:left w:val="single" w:color="auto" w:sz="6" w:space="0"/>
              <w:bottom w:val="single" w:color="auto" w:sz="6" w:space="0"/>
              <w:right w:val="single" w:color="auto" w:sz="6" w:space="0"/>
            </w:tcBorders>
            <w:noWrap w:val="0"/>
            <w:vAlign w:val="center"/>
          </w:tcPr>
          <w:p w14:paraId="45FA7DEC">
            <w:pPr>
              <w:spacing w:line="360" w:lineRule="auto"/>
              <w:jc w:val="center"/>
              <w:rPr>
                <w:rFonts w:hint="eastAsia" w:ascii="宋体" w:hAnsi="宋体" w:cs="宋体"/>
                <w:color w:val="auto"/>
                <w:highlight w:val="none"/>
              </w:rPr>
            </w:pPr>
          </w:p>
        </w:tc>
        <w:tc>
          <w:tcPr>
            <w:tcW w:w="3206" w:type="dxa"/>
            <w:tcBorders>
              <w:top w:val="single" w:color="auto" w:sz="6" w:space="0"/>
              <w:left w:val="nil"/>
              <w:bottom w:val="single" w:color="auto" w:sz="6" w:space="0"/>
              <w:right w:val="single" w:color="auto" w:sz="6" w:space="0"/>
            </w:tcBorders>
            <w:noWrap w:val="0"/>
            <w:vAlign w:val="center"/>
          </w:tcPr>
          <w:p w14:paraId="0FB02D18">
            <w:pPr>
              <w:spacing w:line="360" w:lineRule="auto"/>
              <w:jc w:val="center"/>
              <w:rPr>
                <w:rFonts w:hint="eastAsia" w:ascii="宋体" w:hAnsi="宋体" w:cs="宋体"/>
                <w:color w:val="auto"/>
                <w:highlight w:val="none"/>
              </w:rPr>
            </w:pPr>
          </w:p>
        </w:tc>
      </w:tr>
    </w:tbl>
    <w:p w14:paraId="484BC565">
      <w:pPr>
        <w:spacing w:line="520" w:lineRule="exact"/>
        <w:ind w:firstLine="420"/>
        <w:rPr>
          <w:rFonts w:hint="eastAsia" w:ascii="仿宋" w:hAnsi="仿宋" w:eastAsia="仿宋" w:cs="宋体"/>
          <w:color w:val="auto"/>
          <w:highlight w:val="none"/>
        </w:rPr>
      </w:pPr>
      <w:r>
        <w:rPr>
          <w:rFonts w:hint="eastAsia" w:ascii="仿宋" w:hAnsi="仿宋" w:eastAsia="仿宋" w:cs="宋体"/>
          <w:color w:val="auto"/>
          <w:highlight w:val="none"/>
        </w:rPr>
        <w:t>注：投标方要将投标文件和招标文件的差异之处汇集成表。技术部分和商务部分要单独列表。</w:t>
      </w:r>
    </w:p>
    <w:p w14:paraId="1FB79F47">
      <w:pPr>
        <w:pStyle w:val="3"/>
        <w:rPr>
          <w:rFonts w:hint="eastAsia"/>
          <w:color w:val="auto"/>
          <w:highlight w:val="none"/>
        </w:rPr>
        <w:sectPr>
          <w:endnotePr>
            <w:numFmt w:val="decimal"/>
          </w:endnotePr>
          <w:pgSz w:w="11906" w:h="16838"/>
          <w:pgMar w:top="1418" w:right="1134" w:bottom="1134" w:left="1418" w:header="851" w:footer="641" w:gutter="0"/>
          <w:cols w:space="720" w:num="1"/>
          <w:docGrid w:linePitch="312" w:charSpace="0"/>
        </w:sectPr>
      </w:pPr>
    </w:p>
    <w:p w14:paraId="16620A03">
      <w:pPr>
        <w:spacing w:line="360" w:lineRule="auto"/>
        <w:jc w:val="center"/>
        <w:rPr>
          <w:rStyle w:val="31"/>
          <w:rFonts w:hint="eastAsia" w:ascii="宋体" w:hAnsi="宋体" w:eastAsia="宋体" w:cs="宋体"/>
          <w:color w:val="auto"/>
          <w:sz w:val="24"/>
          <w:szCs w:val="24"/>
          <w:highlight w:val="none"/>
        </w:rPr>
      </w:pPr>
    </w:p>
    <w:bookmarkEnd w:id="34"/>
    <w:sectPr>
      <w:footerReference r:id="rId5" w:type="default"/>
      <w:pgSz w:w="11906" w:h="16838"/>
      <w:pgMar w:top="1440" w:right="1440" w:bottom="1440" w:left="1440"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小标宋">
    <w:altName w:val="宋体"/>
    <w:panose1 w:val="00000000000000000000"/>
    <w:charset w:val="86"/>
    <w:family w:val="modern"/>
    <w:pitch w:val="default"/>
    <w:sig w:usb0="00000000" w:usb1="00000000" w:usb2="00000010" w:usb3="00000000" w:csb0="00040000" w:csb1="00000000"/>
  </w:font>
  <w:font w:name="PingFang SC">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幼圆">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72455">
    <w:pPr>
      <w:pStyle w:val="58"/>
      <w:jc w:val="center"/>
      <w:rPr>
        <w:rStyle w:val="31"/>
        <w:rFonts w:hint="eastAsia"/>
      </w:rPr>
    </w:pPr>
    <w:r>
      <mc:AlternateContent>
        <mc:Choice Requires="wps">
          <w:drawing>
            <wp:anchor distT="0" distB="0" distL="0" distR="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文本框 4"/>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9349F49">
                          <w:pPr>
                            <w:pStyle w:val="20"/>
                          </w:pPr>
                          <w:r>
                            <w:fldChar w:fldCharType="begin"/>
                          </w:r>
                          <w:r>
                            <w:instrText xml:space="preserve"> PAGE  \* MERGEFORMAT </w:instrText>
                          </w:r>
                          <w:r>
                            <w:fldChar w:fldCharType="separate"/>
                          </w:r>
                          <w:r>
                            <w:t>5</w:t>
                          </w:r>
                          <w:r>
                            <w:fldChar w:fldCharType="end"/>
                          </w:r>
                        </w:p>
                      </w:txbxContent>
                    </wps:txbx>
                    <wps:bodyPr vert="horz" wrap="none" lIns="0" tIns="0" rIns="0" bIns="0" anchor="t">
                      <a:spAutoFit/>
                    </wps:bodyPr>
                  </wps:wsp>
                </a:graphicData>
              </a:graphic>
            </wp:anchor>
          </w:drawing>
        </mc:Choice>
        <mc:Fallback>
          <w:pict>
            <v:rect id="文本框 4"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uXW5UtAAAAAFAQAADwAAAAAAAAABACAAAAAiAAAAZHJzL2Rvd25yZXYu&#10;eG1sUEsBAhQAFAAAAAgAh07iQD7AX7rKAQAAkgMAAA4AAAAAAAAAAQAgAAAAHwEAAGRycy9lMm9E&#10;b2MueG1sUEsFBgAAAAAGAAYAWQEAAFsFAAAAAA==&#10;">
              <v:fill on="f" focussize="0,0"/>
              <v:stroke on="f"/>
              <v:imagedata o:title=""/>
              <o:lock v:ext="edit" aspectratio="f"/>
              <v:textbox inset="0mm,0mm,0mm,0mm" style="mso-fit-shape-to-text:t;">
                <w:txbxContent>
                  <w:p w14:paraId="69349F49">
                    <w:pPr>
                      <w:pStyle w:val="20"/>
                    </w:pPr>
                    <w:r>
                      <w:fldChar w:fldCharType="begin"/>
                    </w:r>
                    <w:r>
                      <w:instrText xml:space="preserve"> PAGE  \* MERGEFORMAT </w:instrText>
                    </w:r>
                    <w:r>
                      <w:fldChar w:fldCharType="separate"/>
                    </w:r>
                    <w:r>
                      <w:t>5</w:t>
                    </w:r>
                    <w:r>
                      <w:fldChar w:fldCharType="end"/>
                    </w:r>
                  </w:p>
                </w:txbxContent>
              </v:textbox>
            </v:rect>
          </w:pict>
        </mc:Fallback>
      </mc:AlternateContent>
    </w:r>
    <w:r>
      <w:rPr>
        <w:rStyle w:val="31"/>
      </w:rPr>
      <mc:AlternateContent>
        <mc:Choice Requires="wps">
          <w:drawing>
            <wp:anchor distT="0" distB="0" distL="0" distR="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0"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8715703"/>
                      </w:txbxContent>
                    </wps:txbx>
                    <wps:bodyPr lIns="0" tIns="0" rIns="0" bIns="0" upright="1"/>
                  </wps:wsp>
                </a:graphicData>
              </a:graphic>
            </wp:anchor>
          </w:drawing>
        </mc:Choice>
        <mc:Fallback>
          <w:pict>
            <v:rect id="文本框 1" o:spid="_x0000_s1026" o:spt="1" style="position:absolute;left:0pt;margin-top:0pt;height:144pt;width:144pt;mso-position-horizontal:center;mso-position-horizontal-relative:margin;z-index:251662336;mso-width-relative:page;mso-height-relative:page;" filled="f" stroked="f" coordsize="21600,21600" o:gfxdata="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Wa2Y8tMAAAAFAQAA&#10;DwAAAAAAAAABACAAAAAiAAAAZHJzL2Rvd25yZXYueG1sUEsBAhQAFAAAAAgAh07iQPmbWcasAQAA&#10;YQMAAA4AAAAAAAAAAQAgAAAAIgEAAGRycy9lMm9Eb2MueG1sUEsFBgAAAAAGAAYAWQEAAEAFAAAA&#10;AA==&#10;">
              <v:fill on="f" focussize="0,0"/>
              <v:stroke on="f"/>
              <v:imagedata o:title=""/>
              <o:lock v:ext="edit" aspectratio="f"/>
              <v:textbox inset="0mm,0mm,0mm,0mm">
                <w:txbxContent>
                  <w:p w14:paraId="08715703"/>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D7894">
    <w:pPr>
      <w:jc w:val="center"/>
      <w:rPr>
        <w:rStyle w:val="31"/>
      </w:rPr>
    </w:pPr>
    <w:r>
      <mc:AlternateContent>
        <mc:Choice Requires="wps">
          <w:drawing>
            <wp:anchor distT="0" distB="0" distL="0" distR="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1" name="文本框 39"/>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CC57A99">
                          <w:pPr>
                            <w:pStyle w:val="20"/>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39" o:spid="_x0000_s1026" o:spt="1"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l1uVLQAAAABQEAAA8AAAAAAAAAAQAgAAAAIgAAAGRycy9kb3ducmV2&#10;LnhtbFBLAQIUABQAAAAIAIdO4kA82vNMywEAAJMDAAAOAAAAAAAAAAEAIAAAAB8BAABkcnMvZTJv&#10;RG9jLnhtbFBLBQYAAAAABgAGAFkBAABcBQAAAAA=&#10;">
              <v:fill on="f" focussize="0,0"/>
              <v:stroke on="f"/>
              <v:imagedata o:title=""/>
              <o:lock v:ext="edit" aspectratio="f"/>
              <v:textbox inset="0mm,0mm,0mm,0mm" style="mso-fit-shape-to-text:t;">
                <w:txbxContent>
                  <w:p w14:paraId="1CC57A99">
                    <w:pPr>
                      <w:pStyle w:val="20"/>
                    </w:pPr>
                    <w:r>
                      <w:fldChar w:fldCharType="begin"/>
                    </w:r>
                    <w:r>
                      <w:instrText xml:space="preserve"> PAGE  \* MERGEFORMAT </w:instrText>
                    </w:r>
                    <w:r>
                      <w:fldChar w:fldCharType="separate"/>
                    </w:r>
                    <w:r>
                      <w:t>1</w:t>
                    </w:r>
                    <w:r>
                      <w:fldChar w:fldCharType="end"/>
                    </w:r>
                  </w:p>
                </w:txbxContent>
              </v:textbox>
            </v:rect>
          </w:pict>
        </mc:Fallback>
      </mc:AlternateContent>
    </w:r>
    <w:r>
      <w:rPr>
        <w:rStyle w:val="31"/>
      </w:rPr>
      <mc:AlternateContent>
        <mc:Choice Requires="wps">
          <w:drawing>
            <wp:anchor distT="0" distB="0" distL="0" distR="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2"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6FE6A95"/>
                      </w:txbxContent>
                    </wps:txbx>
                    <wps:bodyPr lIns="0" tIns="0" rIns="0" bIns="0" upright="1"/>
                  </wps:wsp>
                </a:graphicData>
              </a:graphic>
            </wp:anchor>
          </w:drawing>
        </mc:Choice>
        <mc:Fallback>
          <w:pict>
            <v:rect id="文本框 2" o:spid="_x0000_s1026" o:spt="1" style="position:absolute;left:0pt;margin-top:0pt;height:144pt;width:144pt;mso-position-horizontal:center;mso-position-horizontal-relative:margin;z-index:251664384;mso-width-relative:page;mso-height-relative:page;" filled="f" stroked="f" coordsize="21600,21600" o:gfxdata="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ZrZjy0wAAAAUB&#10;AAAPAAAAAAAAAAEAIAAAACIAAABkcnMvZG93bnJldi54bWxQSwECFAAUAAAACACHTuJAP0x9d64B&#10;AABhAwAADgAAAAAAAAABACAAAAAiAQAAZHJzL2Uyb0RvYy54bWxQSwUGAAAAAAYABgBZAQAAQgUA&#10;AAAA&#10;">
              <v:fill on="f" focussize="0,0"/>
              <v:stroke on="f"/>
              <v:imagedata o:title=""/>
              <o:lock v:ext="edit" aspectratio="f"/>
              <v:textbox inset="0mm,0mm,0mm,0mm">
                <w:txbxContent>
                  <w:p w14:paraId="16FE6A95"/>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D907A">
    <w:pPr>
      <w:pStyle w:val="58"/>
      <w:jc w:val="center"/>
      <w:rPr>
        <w:rStyle w:val="31"/>
        <w:rFonts w:hint="eastAsia"/>
      </w:rPr>
    </w:pPr>
    <w:r>
      <w:rPr>
        <w:rStyle w:val="3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D5ECE25"/>
                      </w:txbxContent>
                    </wps:txbx>
                    <wps:bodyPr lIns="0" tIns="0" rIns="0" bIns="0" upright="1"/>
                  </wps:wsp>
                </a:graphicData>
              </a:graphic>
            </wp:anchor>
          </w:drawing>
        </mc:Choice>
        <mc:Fallback>
          <w:pict>
            <v:shape id="文本框 1" o:spid="_x0000_s1026" o:spt="202" type="#_x0000_t202" style="position:absolute;left:0pt;margin-top:0pt;height:144pt;width:144pt;mso-position-horizontal:center;mso-position-horizontal-relative:margin;z-index:251659264;mso-width-relative:page;mso-height-relative:page;" filled="f" stroked="f" coordsize="21600,21600" o:gfxdata="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WaT2&#10;QNIAAAAFAQAADwAAAAAAAAABACAAAAAiAAAAZHJzL2Rvd25yZXYueG1sUEsBAhQAFAAAAAgAh07i&#10;QC4PcXy2AQAAdAMAAA4AAAAAAAAAAQAgAAAAIQEAAGRycy9lMm9Eb2MueG1sUEsFBgAAAAAGAAYA&#10;WQEAAEkFAAAAAA==&#10;">
              <v:fill on="f" focussize="0,0"/>
              <v:stroke on="f"/>
              <v:imagedata o:title=""/>
              <o:lock v:ext="edit" aspectratio="f"/>
              <v:textbox inset="0mm,0mm,0mm,0mm">
                <w:txbxContent>
                  <w:p w14:paraId="1D5ECE25"/>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0A372F"/>
    <w:multiLevelType w:val="singleLevel"/>
    <w:tmpl w:val="6C0A372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hideSpellingErrors/>
  <w:documentProtection w:enforcement="0"/>
  <w:defaultTabStop w:val="4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4M2NkYjczZjQ4M2Q1YmVmNDZjOTQ3YzRiNDMyOWMifQ=="/>
  </w:docVars>
  <w:rsids>
    <w:rsidRoot w:val="00CF6F49"/>
    <w:rsid w:val="00013D0C"/>
    <w:rsid w:val="00033000"/>
    <w:rsid w:val="000338F3"/>
    <w:rsid w:val="00036E36"/>
    <w:rsid w:val="00041069"/>
    <w:rsid w:val="00061991"/>
    <w:rsid w:val="000675B9"/>
    <w:rsid w:val="000738FD"/>
    <w:rsid w:val="000850A5"/>
    <w:rsid w:val="00087DAC"/>
    <w:rsid w:val="000C0F61"/>
    <w:rsid w:val="000C3B8E"/>
    <w:rsid w:val="000E5F8E"/>
    <w:rsid w:val="000F3EA8"/>
    <w:rsid w:val="00110A26"/>
    <w:rsid w:val="00112265"/>
    <w:rsid w:val="00133F6F"/>
    <w:rsid w:val="00142CB1"/>
    <w:rsid w:val="001523A0"/>
    <w:rsid w:val="00162615"/>
    <w:rsid w:val="001769A6"/>
    <w:rsid w:val="0018142C"/>
    <w:rsid w:val="00183CC7"/>
    <w:rsid w:val="00191F96"/>
    <w:rsid w:val="0019724D"/>
    <w:rsid w:val="001A2CC8"/>
    <w:rsid w:val="001C0418"/>
    <w:rsid w:val="001C2612"/>
    <w:rsid w:val="001D5D02"/>
    <w:rsid w:val="001E555F"/>
    <w:rsid w:val="001F03FE"/>
    <w:rsid w:val="0020210C"/>
    <w:rsid w:val="002070B8"/>
    <w:rsid w:val="00217794"/>
    <w:rsid w:val="00225F67"/>
    <w:rsid w:val="00233099"/>
    <w:rsid w:val="00234A51"/>
    <w:rsid w:val="0024485C"/>
    <w:rsid w:val="00246FBB"/>
    <w:rsid w:val="00250054"/>
    <w:rsid w:val="00270373"/>
    <w:rsid w:val="00272884"/>
    <w:rsid w:val="002739D6"/>
    <w:rsid w:val="002762C9"/>
    <w:rsid w:val="0028126E"/>
    <w:rsid w:val="002828C7"/>
    <w:rsid w:val="002A491F"/>
    <w:rsid w:val="002B63F8"/>
    <w:rsid w:val="002D22BE"/>
    <w:rsid w:val="002E1376"/>
    <w:rsid w:val="00312159"/>
    <w:rsid w:val="00323AFA"/>
    <w:rsid w:val="0032501A"/>
    <w:rsid w:val="00355391"/>
    <w:rsid w:val="00385A1C"/>
    <w:rsid w:val="00394E2B"/>
    <w:rsid w:val="003A5ACC"/>
    <w:rsid w:val="003B42DB"/>
    <w:rsid w:val="003C2596"/>
    <w:rsid w:val="003C39B9"/>
    <w:rsid w:val="003C6988"/>
    <w:rsid w:val="003F4074"/>
    <w:rsid w:val="003F4173"/>
    <w:rsid w:val="00410A0D"/>
    <w:rsid w:val="004201A5"/>
    <w:rsid w:val="00450FBD"/>
    <w:rsid w:val="004520BB"/>
    <w:rsid w:val="0049538F"/>
    <w:rsid w:val="004A5072"/>
    <w:rsid w:val="004A50C5"/>
    <w:rsid w:val="004D1108"/>
    <w:rsid w:val="004E20A9"/>
    <w:rsid w:val="004E63F4"/>
    <w:rsid w:val="00513E68"/>
    <w:rsid w:val="005363B5"/>
    <w:rsid w:val="00537B21"/>
    <w:rsid w:val="0055338A"/>
    <w:rsid w:val="0057791D"/>
    <w:rsid w:val="005852DE"/>
    <w:rsid w:val="00587153"/>
    <w:rsid w:val="00590071"/>
    <w:rsid w:val="005B454B"/>
    <w:rsid w:val="005C0548"/>
    <w:rsid w:val="005C0F03"/>
    <w:rsid w:val="005F246D"/>
    <w:rsid w:val="00636406"/>
    <w:rsid w:val="00652FE2"/>
    <w:rsid w:val="00682080"/>
    <w:rsid w:val="006B78BB"/>
    <w:rsid w:val="006C5D66"/>
    <w:rsid w:val="006D2E93"/>
    <w:rsid w:val="006D7251"/>
    <w:rsid w:val="006F660D"/>
    <w:rsid w:val="00701E1D"/>
    <w:rsid w:val="007152B8"/>
    <w:rsid w:val="007346DA"/>
    <w:rsid w:val="00763610"/>
    <w:rsid w:val="007720D6"/>
    <w:rsid w:val="00782A08"/>
    <w:rsid w:val="007C22CA"/>
    <w:rsid w:val="007E10FC"/>
    <w:rsid w:val="007E7468"/>
    <w:rsid w:val="007F43D2"/>
    <w:rsid w:val="00811FEC"/>
    <w:rsid w:val="00817156"/>
    <w:rsid w:val="00821412"/>
    <w:rsid w:val="008364B5"/>
    <w:rsid w:val="00871012"/>
    <w:rsid w:val="008718EE"/>
    <w:rsid w:val="008735FB"/>
    <w:rsid w:val="008951D3"/>
    <w:rsid w:val="00895471"/>
    <w:rsid w:val="008A099B"/>
    <w:rsid w:val="008A6DA8"/>
    <w:rsid w:val="008A7AB1"/>
    <w:rsid w:val="008C4897"/>
    <w:rsid w:val="008E3E86"/>
    <w:rsid w:val="00902881"/>
    <w:rsid w:val="009044ED"/>
    <w:rsid w:val="00924C8E"/>
    <w:rsid w:val="0095003C"/>
    <w:rsid w:val="009504E9"/>
    <w:rsid w:val="009544FD"/>
    <w:rsid w:val="00962068"/>
    <w:rsid w:val="00963360"/>
    <w:rsid w:val="00967707"/>
    <w:rsid w:val="00971AD8"/>
    <w:rsid w:val="00975DDD"/>
    <w:rsid w:val="00977898"/>
    <w:rsid w:val="009A2CA9"/>
    <w:rsid w:val="009A56ED"/>
    <w:rsid w:val="009A65D7"/>
    <w:rsid w:val="009B52C9"/>
    <w:rsid w:val="009C59F3"/>
    <w:rsid w:val="009C642B"/>
    <w:rsid w:val="00A01F6E"/>
    <w:rsid w:val="00A2609A"/>
    <w:rsid w:val="00A26C07"/>
    <w:rsid w:val="00A312A7"/>
    <w:rsid w:val="00A40A60"/>
    <w:rsid w:val="00A4252C"/>
    <w:rsid w:val="00A43529"/>
    <w:rsid w:val="00A5014E"/>
    <w:rsid w:val="00A52DDA"/>
    <w:rsid w:val="00A67118"/>
    <w:rsid w:val="00A72563"/>
    <w:rsid w:val="00A7416B"/>
    <w:rsid w:val="00A74E6C"/>
    <w:rsid w:val="00A75E41"/>
    <w:rsid w:val="00AA2639"/>
    <w:rsid w:val="00AD0AC7"/>
    <w:rsid w:val="00AD1AAB"/>
    <w:rsid w:val="00AE408B"/>
    <w:rsid w:val="00AF0279"/>
    <w:rsid w:val="00AF04C7"/>
    <w:rsid w:val="00B37041"/>
    <w:rsid w:val="00B4004F"/>
    <w:rsid w:val="00B4093B"/>
    <w:rsid w:val="00B706FD"/>
    <w:rsid w:val="00B71687"/>
    <w:rsid w:val="00BB3506"/>
    <w:rsid w:val="00BC06ED"/>
    <w:rsid w:val="00BD5C38"/>
    <w:rsid w:val="00BF062F"/>
    <w:rsid w:val="00BF1B09"/>
    <w:rsid w:val="00BF52B0"/>
    <w:rsid w:val="00C00E5F"/>
    <w:rsid w:val="00C07E88"/>
    <w:rsid w:val="00C14DB8"/>
    <w:rsid w:val="00C17C62"/>
    <w:rsid w:val="00C201FD"/>
    <w:rsid w:val="00C32002"/>
    <w:rsid w:val="00C334F5"/>
    <w:rsid w:val="00C35401"/>
    <w:rsid w:val="00C35868"/>
    <w:rsid w:val="00C42D89"/>
    <w:rsid w:val="00C57A21"/>
    <w:rsid w:val="00C67850"/>
    <w:rsid w:val="00C90166"/>
    <w:rsid w:val="00C921B6"/>
    <w:rsid w:val="00CA3B3F"/>
    <w:rsid w:val="00CC4673"/>
    <w:rsid w:val="00CD7139"/>
    <w:rsid w:val="00CE3EFA"/>
    <w:rsid w:val="00CE7201"/>
    <w:rsid w:val="00CF594E"/>
    <w:rsid w:val="00CF6F49"/>
    <w:rsid w:val="00D1024B"/>
    <w:rsid w:val="00D43D2B"/>
    <w:rsid w:val="00D910DA"/>
    <w:rsid w:val="00DB0474"/>
    <w:rsid w:val="00DB2989"/>
    <w:rsid w:val="00DC20B7"/>
    <w:rsid w:val="00DC2BA3"/>
    <w:rsid w:val="00DC41CD"/>
    <w:rsid w:val="00E02DFA"/>
    <w:rsid w:val="00E50D93"/>
    <w:rsid w:val="00E73383"/>
    <w:rsid w:val="00E73C28"/>
    <w:rsid w:val="00E73F08"/>
    <w:rsid w:val="00E75D46"/>
    <w:rsid w:val="00E8037D"/>
    <w:rsid w:val="00E868F8"/>
    <w:rsid w:val="00EB5CAF"/>
    <w:rsid w:val="00EC17E7"/>
    <w:rsid w:val="00EF2D4E"/>
    <w:rsid w:val="00EF6149"/>
    <w:rsid w:val="00EF6757"/>
    <w:rsid w:val="00F018B6"/>
    <w:rsid w:val="00F122F6"/>
    <w:rsid w:val="00F1366D"/>
    <w:rsid w:val="00F15CD2"/>
    <w:rsid w:val="00F22D1C"/>
    <w:rsid w:val="00F34B0B"/>
    <w:rsid w:val="00F54DF0"/>
    <w:rsid w:val="00F71934"/>
    <w:rsid w:val="00F77C61"/>
    <w:rsid w:val="00F93F57"/>
    <w:rsid w:val="00FA24B3"/>
    <w:rsid w:val="00FA4FA2"/>
    <w:rsid w:val="00FE3B71"/>
    <w:rsid w:val="00FF2D0E"/>
    <w:rsid w:val="012E0D91"/>
    <w:rsid w:val="02557C87"/>
    <w:rsid w:val="02A3155A"/>
    <w:rsid w:val="04092691"/>
    <w:rsid w:val="040A715B"/>
    <w:rsid w:val="04974587"/>
    <w:rsid w:val="04BF4C57"/>
    <w:rsid w:val="04C462FB"/>
    <w:rsid w:val="06752D5E"/>
    <w:rsid w:val="071A291B"/>
    <w:rsid w:val="07A64AE1"/>
    <w:rsid w:val="07B7647D"/>
    <w:rsid w:val="07C66477"/>
    <w:rsid w:val="07E25A04"/>
    <w:rsid w:val="08034550"/>
    <w:rsid w:val="082C2EB6"/>
    <w:rsid w:val="0838773D"/>
    <w:rsid w:val="08A70E02"/>
    <w:rsid w:val="08B04754"/>
    <w:rsid w:val="09781C69"/>
    <w:rsid w:val="097B396B"/>
    <w:rsid w:val="0A083831"/>
    <w:rsid w:val="0A5B5D10"/>
    <w:rsid w:val="0C8573BB"/>
    <w:rsid w:val="0D0572E2"/>
    <w:rsid w:val="0D0B4931"/>
    <w:rsid w:val="0D31309F"/>
    <w:rsid w:val="0D5E0930"/>
    <w:rsid w:val="0D7B6F3D"/>
    <w:rsid w:val="0DFE7212"/>
    <w:rsid w:val="0E840CB7"/>
    <w:rsid w:val="0ED15794"/>
    <w:rsid w:val="0F1E71CE"/>
    <w:rsid w:val="0F3D4B01"/>
    <w:rsid w:val="0F8B4398"/>
    <w:rsid w:val="10030D22"/>
    <w:rsid w:val="109C2F25"/>
    <w:rsid w:val="10DC1574"/>
    <w:rsid w:val="112235C2"/>
    <w:rsid w:val="11BD13A5"/>
    <w:rsid w:val="120E69DB"/>
    <w:rsid w:val="12E110C3"/>
    <w:rsid w:val="13B92B25"/>
    <w:rsid w:val="14E04115"/>
    <w:rsid w:val="15393709"/>
    <w:rsid w:val="161731D1"/>
    <w:rsid w:val="16492AAC"/>
    <w:rsid w:val="17222EAE"/>
    <w:rsid w:val="17234B3C"/>
    <w:rsid w:val="174F0C42"/>
    <w:rsid w:val="17E5229C"/>
    <w:rsid w:val="180715CC"/>
    <w:rsid w:val="18D26CD5"/>
    <w:rsid w:val="18DA283C"/>
    <w:rsid w:val="18E611E1"/>
    <w:rsid w:val="19234583"/>
    <w:rsid w:val="1A243254"/>
    <w:rsid w:val="1AE72AED"/>
    <w:rsid w:val="1C5254BF"/>
    <w:rsid w:val="1CFA12B9"/>
    <w:rsid w:val="1CFC0B0C"/>
    <w:rsid w:val="1D4E55A7"/>
    <w:rsid w:val="1D5C3353"/>
    <w:rsid w:val="1D817015"/>
    <w:rsid w:val="1DA11B98"/>
    <w:rsid w:val="1DCE5BCC"/>
    <w:rsid w:val="1E537319"/>
    <w:rsid w:val="1E5C414D"/>
    <w:rsid w:val="20784E15"/>
    <w:rsid w:val="20C35284"/>
    <w:rsid w:val="20D03CE6"/>
    <w:rsid w:val="21366A7E"/>
    <w:rsid w:val="213F3B84"/>
    <w:rsid w:val="21D73DBD"/>
    <w:rsid w:val="225B679C"/>
    <w:rsid w:val="22935AE9"/>
    <w:rsid w:val="2325284A"/>
    <w:rsid w:val="2327091D"/>
    <w:rsid w:val="237302E3"/>
    <w:rsid w:val="24003335"/>
    <w:rsid w:val="24514225"/>
    <w:rsid w:val="24932828"/>
    <w:rsid w:val="24D55154"/>
    <w:rsid w:val="257F2008"/>
    <w:rsid w:val="25AA21EA"/>
    <w:rsid w:val="270A7185"/>
    <w:rsid w:val="27C623BA"/>
    <w:rsid w:val="293D6BFB"/>
    <w:rsid w:val="2994431C"/>
    <w:rsid w:val="2A252FF6"/>
    <w:rsid w:val="2A562929"/>
    <w:rsid w:val="2AC44D5F"/>
    <w:rsid w:val="2ACD19B4"/>
    <w:rsid w:val="2B724B56"/>
    <w:rsid w:val="2B7A6E44"/>
    <w:rsid w:val="2C78619D"/>
    <w:rsid w:val="2C884632"/>
    <w:rsid w:val="2FAC0C09"/>
    <w:rsid w:val="2FB10C54"/>
    <w:rsid w:val="2FE06FDD"/>
    <w:rsid w:val="2FF429A3"/>
    <w:rsid w:val="30C46377"/>
    <w:rsid w:val="317C04DD"/>
    <w:rsid w:val="318B6016"/>
    <w:rsid w:val="31AA329C"/>
    <w:rsid w:val="3235361D"/>
    <w:rsid w:val="323739ED"/>
    <w:rsid w:val="32C95D77"/>
    <w:rsid w:val="33E16D1D"/>
    <w:rsid w:val="342310E4"/>
    <w:rsid w:val="34256C5C"/>
    <w:rsid w:val="34D67F04"/>
    <w:rsid w:val="34F27058"/>
    <w:rsid w:val="35203AD9"/>
    <w:rsid w:val="35C209EC"/>
    <w:rsid w:val="36233D62"/>
    <w:rsid w:val="36911A1F"/>
    <w:rsid w:val="36FA6BAB"/>
    <w:rsid w:val="376B702A"/>
    <w:rsid w:val="376E4DBD"/>
    <w:rsid w:val="37974FD7"/>
    <w:rsid w:val="382C1457"/>
    <w:rsid w:val="383257E5"/>
    <w:rsid w:val="38BC0217"/>
    <w:rsid w:val="39757442"/>
    <w:rsid w:val="39A34F54"/>
    <w:rsid w:val="3AB962FE"/>
    <w:rsid w:val="3B6224F2"/>
    <w:rsid w:val="3C5B6581"/>
    <w:rsid w:val="3C5E535B"/>
    <w:rsid w:val="3C5F0234"/>
    <w:rsid w:val="3C984A2F"/>
    <w:rsid w:val="3D602F8D"/>
    <w:rsid w:val="3E830785"/>
    <w:rsid w:val="3ECC2AA4"/>
    <w:rsid w:val="3EF835C8"/>
    <w:rsid w:val="401008FA"/>
    <w:rsid w:val="402E02A7"/>
    <w:rsid w:val="40700DAC"/>
    <w:rsid w:val="41DD486A"/>
    <w:rsid w:val="42553A22"/>
    <w:rsid w:val="42AD2BBA"/>
    <w:rsid w:val="42AE19DD"/>
    <w:rsid w:val="43192398"/>
    <w:rsid w:val="445769C9"/>
    <w:rsid w:val="445826E4"/>
    <w:rsid w:val="44DB3950"/>
    <w:rsid w:val="45291FC0"/>
    <w:rsid w:val="45DC7F9A"/>
    <w:rsid w:val="45EF7078"/>
    <w:rsid w:val="465F4B2D"/>
    <w:rsid w:val="48013092"/>
    <w:rsid w:val="48243B68"/>
    <w:rsid w:val="488B0DB2"/>
    <w:rsid w:val="49303CF7"/>
    <w:rsid w:val="49652363"/>
    <w:rsid w:val="4A0F3952"/>
    <w:rsid w:val="4B2D7F8F"/>
    <w:rsid w:val="4B5123FB"/>
    <w:rsid w:val="4BF278C2"/>
    <w:rsid w:val="4C4C0F0B"/>
    <w:rsid w:val="4C7622A1"/>
    <w:rsid w:val="4C8C5620"/>
    <w:rsid w:val="4D130666"/>
    <w:rsid w:val="4D551EB6"/>
    <w:rsid w:val="4D711E4D"/>
    <w:rsid w:val="4DCD1A36"/>
    <w:rsid w:val="4F3B7E1F"/>
    <w:rsid w:val="4F8151E4"/>
    <w:rsid w:val="4FA879D9"/>
    <w:rsid w:val="50AF7567"/>
    <w:rsid w:val="50B138A7"/>
    <w:rsid w:val="5118661C"/>
    <w:rsid w:val="51263104"/>
    <w:rsid w:val="518E7838"/>
    <w:rsid w:val="52312AAC"/>
    <w:rsid w:val="52974503"/>
    <w:rsid w:val="534F73A8"/>
    <w:rsid w:val="53982AFD"/>
    <w:rsid w:val="54B44908"/>
    <w:rsid w:val="54BA15B2"/>
    <w:rsid w:val="54FC355F"/>
    <w:rsid w:val="55831A74"/>
    <w:rsid w:val="57F8018B"/>
    <w:rsid w:val="58205D3B"/>
    <w:rsid w:val="587C547D"/>
    <w:rsid w:val="588D5689"/>
    <w:rsid w:val="590B1FC3"/>
    <w:rsid w:val="59183990"/>
    <w:rsid w:val="59EE55ED"/>
    <w:rsid w:val="5A004A30"/>
    <w:rsid w:val="5A933E27"/>
    <w:rsid w:val="5AF42517"/>
    <w:rsid w:val="5C322624"/>
    <w:rsid w:val="5C5F68AD"/>
    <w:rsid w:val="5C71038F"/>
    <w:rsid w:val="5C82259C"/>
    <w:rsid w:val="5E113BD7"/>
    <w:rsid w:val="5E323EA3"/>
    <w:rsid w:val="5E632DDB"/>
    <w:rsid w:val="5EA25CCA"/>
    <w:rsid w:val="5EF552A7"/>
    <w:rsid w:val="5F610FA5"/>
    <w:rsid w:val="60123C27"/>
    <w:rsid w:val="603B318E"/>
    <w:rsid w:val="60FB119E"/>
    <w:rsid w:val="611759A9"/>
    <w:rsid w:val="621B179A"/>
    <w:rsid w:val="622D39F5"/>
    <w:rsid w:val="626B258D"/>
    <w:rsid w:val="6320698F"/>
    <w:rsid w:val="63A63296"/>
    <w:rsid w:val="642B3543"/>
    <w:rsid w:val="6437288F"/>
    <w:rsid w:val="64CF55AC"/>
    <w:rsid w:val="6525608D"/>
    <w:rsid w:val="652A7C9A"/>
    <w:rsid w:val="65FA646A"/>
    <w:rsid w:val="679766C0"/>
    <w:rsid w:val="67FE0BB6"/>
    <w:rsid w:val="68092E92"/>
    <w:rsid w:val="68F17EB2"/>
    <w:rsid w:val="69287E0E"/>
    <w:rsid w:val="694B635A"/>
    <w:rsid w:val="6985092D"/>
    <w:rsid w:val="6ACF7B20"/>
    <w:rsid w:val="6AD95A7D"/>
    <w:rsid w:val="6AF26B3F"/>
    <w:rsid w:val="6B3D58FF"/>
    <w:rsid w:val="6BA408F4"/>
    <w:rsid w:val="6C7D068A"/>
    <w:rsid w:val="6CBD1451"/>
    <w:rsid w:val="6D91263F"/>
    <w:rsid w:val="6E816588"/>
    <w:rsid w:val="6FCB7806"/>
    <w:rsid w:val="704A2F79"/>
    <w:rsid w:val="70F24DF4"/>
    <w:rsid w:val="70F50EA9"/>
    <w:rsid w:val="71593474"/>
    <w:rsid w:val="716D3419"/>
    <w:rsid w:val="71714531"/>
    <w:rsid w:val="71940950"/>
    <w:rsid w:val="722D4D79"/>
    <w:rsid w:val="72824E1C"/>
    <w:rsid w:val="729D74FA"/>
    <w:rsid w:val="73374439"/>
    <w:rsid w:val="73740A39"/>
    <w:rsid w:val="74C741F1"/>
    <w:rsid w:val="74F43CFB"/>
    <w:rsid w:val="75F111BF"/>
    <w:rsid w:val="763149BF"/>
    <w:rsid w:val="7655136F"/>
    <w:rsid w:val="766E1C96"/>
    <w:rsid w:val="766F5938"/>
    <w:rsid w:val="768510B5"/>
    <w:rsid w:val="76876CD5"/>
    <w:rsid w:val="76A84CD5"/>
    <w:rsid w:val="770B3462"/>
    <w:rsid w:val="781918E0"/>
    <w:rsid w:val="79683B38"/>
    <w:rsid w:val="79A750A0"/>
    <w:rsid w:val="79BD0A91"/>
    <w:rsid w:val="7ACF09AD"/>
    <w:rsid w:val="7B8E4BEC"/>
    <w:rsid w:val="7C105077"/>
    <w:rsid w:val="7C693446"/>
    <w:rsid w:val="7C7B7F6A"/>
    <w:rsid w:val="7D0E4000"/>
    <w:rsid w:val="7E897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uiPriority="99" w:name="HTML Typewriter"/>
    <w:lsdException w:qFormat="1" w:unhideWhenUsed="0" w:uiPriority="0" w:semiHidden="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styleId="2">
    <w:name w:val="heading 1"/>
    <w:basedOn w:val="1"/>
    <w:next w:val="1"/>
    <w:link w:val="42"/>
    <w:qFormat/>
    <w:uiPriority w:val="0"/>
    <w:pPr>
      <w:keepNext/>
      <w:keepLines/>
      <w:adjustRightInd w:val="0"/>
      <w:spacing w:line="360" w:lineRule="auto"/>
      <w:outlineLvl w:val="0"/>
    </w:pPr>
    <w:rPr>
      <w:rFonts w:ascii="宋体"/>
      <w:b/>
      <w:kern w:val="44"/>
      <w:sz w:val="44"/>
      <w:szCs w:val="20"/>
    </w:rPr>
  </w:style>
  <w:style w:type="paragraph" w:styleId="3">
    <w:name w:val="heading 2"/>
    <w:basedOn w:val="1"/>
    <w:next w:val="1"/>
    <w:qFormat/>
    <w:uiPriority w:val="0"/>
    <w:pPr>
      <w:keepNext/>
      <w:keepLines/>
      <w:adjustRightInd w:val="0"/>
      <w:spacing w:before="260" w:after="260" w:line="416" w:lineRule="atLeast"/>
      <w:outlineLvl w:val="1"/>
    </w:pPr>
    <w:rPr>
      <w:rFonts w:ascii="宋体"/>
      <w:b/>
      <w:kern w:val="44"/>
      <w:sz w:val="28"/>
      <w:szCs w:val="20"/>
    </w:rPr>
  </w:style>
  <w:style w:type="paragraph" w:styleId="4">
    <w:name w:val="heading 3"/>
    <w:basedOn w:val="1"/>
    <w:next w:val="5"/>
    <w:link w:val="43"/>
    <w:qFormat/>
    <w:uiPriority w:val="0"/>
    <w:pPr>
      <w:widowControl w:val="0"/>
      <w:tabs>
        <w:tab w:val="left" w:pos="680"/>
        <w:tab w:val="left" w:pos="907"/>
        <w:tab w:val="left" w:pos="1134"/>
        <w:tab w:val="left" w:pos="1361"/>
        <w:tab w:val="right" w:pos="6804"/>
        <w:tab w:val="left" w:pos="7088"/>
      </w:tabs>
      <w:adjustRightInd w:val="0"/>
      <w:spacing w:before="120" w:line="360" w:lineRule="atLeast"/>
      <w:jc w:val="left"/>
      <w:outlineLvl w:val="2"/>
    </w:pPr>
    <w:rPr>
      <w:rFonts w:ascii="Arial" w:hAnsi="Arial"/>
      <w:b/>
      <w:kern w:val="0"/>
      <w:sz w:val="24"/>
    </w:rPr>
  </w:style>
  <w:style w:type="paragraph" w:styleId="6">
    <w:name w:val="heading 4"/>
    <w:basedOn w:val="1"/>
    <w:next w:val="5"/>
    <w:link w:val="44"/>
    <w:qFormat/>
    <w:uiPriority w:val="0"/>
    <w:pPr>
      <w:keepNext/>
      <w:widowControl w:val="0"/>
      <w:adjustRightInd w:val="0"/>
      <w:spacing w:line="360" w:lineRule="auto"/>
      <w:ind w:left="454" w:hanging="425"/>
      <w:jc w:val="left"/>
      <w:outlineLvl w:val="3"/>
    </w:pPr>
    <w:rPr>
      <w:rFonts w:ascii="宋体"/>
      <w:i/>
      <w:kern w:val="0"/>
      <w:sz w:val="24"/>
      <w:szCs w:val="20"/>
    </w:rPr>
  </w:style>
  <w:style w:type="paragraph" w:styleId="7">
    <w:name w:val="heading 5"/>
    <w:basedOn w:val="1"/>
    <w:next w:val="5"/>
    <w:link w:val="45"/>
    <w:qFormat/>
    <w:uiPriority w:val="0"/>
    <w:pPr>
      <w:keepNext/>
      <w:keepLines/>
      <w:widowControl w:val="0"/>
      <w:spacing w:before="120" w:after="120"/>
      <w:ind w:left="310" w:firstLine="400"/>
      <w:textAlignment w:val="auto"/>
      <w:outlineLvl w:val="4"/>
    </w:pPr>
    <w:rPr>
      <w:rFonts w:ascii="小标宋"/>
      <w:sz w:val="24"/>
      <w:szCs w:val="20"/>
    </w:rPr>
  </w:style>
  <w:style w:type="paragraph" w:styleId="8">
    <w:name w:val="heading 6"/>
    <w:basedOn w:val="1"/>
    <w:next w:val="5"/>
    <w:link w:val="46"/>
    <w:qFormat/>
    <w:uiPriority w:val="0"/>
    <w:pPr>
      <w:keepNext/>
      <w:keepLines/>
      <w:widowControl w:val="0"/>
      <w:spacing w:before="240" w:after="64" w:line="320" w:lineRule="auto"/>
      <w:ind w:left="310" w:firstLine="400"/>
      <w:textAlignment w:val="auto"/>
      <w:outlineLvl w:val="5"/>
    </w:pPr>
    <w:rPr>
      <w:rFonts w:ascii="Arial" w:hAnsi="Arial" w:eastAsia="黑体"/>
      <w:sz w:val="24"/>
      <w:szCs w:val="20"/>
    </w:rPr>
  </w:style>
  <w:style w:type="paragraph" w:styleId="9">
    <w:name w:val="heading 7"/>
    <w:basedOn w:val="1"/>
    <w:next w:val="5"/>
    <w:link w:val="47"/>
    <w:qFormat/>
    <w:uiPriority w:val="0"/>
    <w:pPr>
      <w:keepNext/>
      <w:keepLines/>
      <w:widowControl w:val="0"/>
      <w:spacing w:before="240" w:after="64" w:line="320" w:lineRule="auto"/>
      <w:ind w:left="310" w:firstLine="400"/>
      <w:textAlignment w:val="auto"/>
      <w:outlineLvl w:val="6"/>
    </w:pPr>
    <w:rPr>
      <w:rFonts w:ascii="宋体"/>
      <w:sz w:val="24"/>
      <w:szCs w:val="20"/>
    </w:rPr>
  </w:style>
  <w:style w:type="paragraph" w:styleId="10">
    <w:name w:val="heading 8"/>
    <w:basedOn w:val="1"/>
    <w:next w:val="5"/>
    <w:link w:val="48"/>
    <w:qFormat/>
    <w:uiPriority w:val="0"/>
    <w:pPr>
      <w:keepNext/>
      <w:keepLines/>
      <w:widowControl w:val="0"/>
      <w:spacing w:before="240" w:after="64" w:line="320" w:lineRule="auto"/>
      <w:ind w:left="310" w:firstLine="400"/>
      <w:textAlignment w:val="auto"/>
      <w:outlineLvl w:val="7"/>
    </w:pPr>
    <w:rPr>
      <w:rFonts w:ascii="Arial" w:hAnsi="Arial" w:eastAsia="黑体"/>
      <w:b/>
      <w:sz w:val="24"/>
      <w:szCs w:val="20"/>
    </w:rPr>
  </w:style>
  <w:style w:type="paragraph" w:styleId="11">
    <w:name w:val="heading 9"/>
    <w:basedOn w:val="1"/>
    <w:next w:val="5"/>
    <w:link w:val="49"/>
    <w:qFormat/>
    <w:uiPriority w:val="0"/>
    <w:pPr>
      <w:keepNext/>
      <w:keepLines/>
      <w:widowControl w:val="0"/>
      <w:spacing w:before="240" w:after="64" w:line="320" w:lineRule="auto"/>
      <w:ind w:left="310" w:firstLine="400"/>
      <w:textAlignment w:val="auto"/>
      <w:outlineLvl w:val="8"/>
    </w:pPr>
    <w:rPr>
      <w:rFonts w:ascii="Arial" w:hAnsi="Arial" w:eastAsia="黑体"/>
      <w:b/>
      <w:sz w:val="24"/>
      <w:szCs w:val="20"/>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widowControl w:val="0"/>
      <w:adjustRightInd w:val="0"/>
      <w:spacing w:line="360" w:lineRule="atLeast"/>
      <w:ind w:firstLine="420"/>
      <w:jc w:val="left"/>
    </w:pPr>
    <w:rPr>
      <w:kern w:val="0"/>
      <w:sz w:val="24"/>
      <w:szCs w:val="20"/>
    </w:rPr>
  </w:style>
  <w:style w:type="paragraph" w:styleId="12">
    <w:name w:val="Document Map"/>
    <w:basedOn w:val="1"/>
    <w:link w:val="74"/>
    <w:semiHidden/>
    <w:qFormat/>
    <w:uiPriority w:val="0"/>
    <w:pPr>
      <w:widowControl w:val="0"/>
      <w:shd w:val="clear" w:color="auto" w:fill="000080"/>
      <w:textAlignment w:val="auto"/>
    </w:pPr>
    <w:rPr>
      <w:sz w:val="24"/>
    </w:rPr>
  </w:style>
  <w:style w:type="paragraph" w:styleId="13">
    <w:name w:val="annotation text"/>
    <w:basedOn w:val="1"/>
    <w:link w:val="75"/>
    <w:semiHidden/>
    <w:qFormat/>
    <w:uiPriority w:val="0"/>
    <w:pPr>
      <w:widowControl w:val="0"/>
      <w:jc w:val="left"/>
      <w:textAlignment w:val="auto"/>
    </w:pPr>
    <w:rPr>
      <w:sz w:val="24"/>
    </w:rPr>
  </w:style>
  <w:style w:type="paragraph" w:styleId="14">
    <w:name w:val="Body Text"/>
    <w:basedOn w:val="1"/>
    <w:link w:val="76"/>
    <w:qFormat/>
    <w:uiPriority w:val="0"/>
    <w:pPr>
      <w:widowControl w:val="0"/>
      <w:spacing w:after="120"/>
      <w:textAlignment w:val="auto"/>
    </w:pPr>
    <w:rPr>
      <w:sz w:val="24"/>
    </w:rPr>
  </w:style>
  <w:style w:type="paragraph" w:styleId="15">
    <w:name w:val="Body Text Indent"/>
    <w:basedOn w:val="1"/>
    <w:link w:val="77"/>
    <w:qFormat/>
    <w:uiPriority w:val="0"/>
    <w:pPr>
      <w:widowControl w:val="0"/>
      <w:adjustRightInd w:val="0"/>
      <w:spacing w:line="360" w:lineRule="auto"/>
      <w:ind w:firstLine="480"/>
      <w:jc w:val="left"/>
    </w:pPr>
    <w:rPr>
      <w:rFonts w:ascii="宋体"/>
      <w:color w:val="0000FF"/>
      <w:kern w:val="0"/>
      <w:sz w:val="24"/>
      <w:szCs w:val="20"/>
    </w:rPr>
  </w:style>
  <w:style w:type="paragraph" w:styleId="16">
    <w:name w:val="Plain Text"/>
    <w:basedOn w:val="1"/>
    <w:qFormat/>
    <w:uiPriority w:val="0"/>
    <w:rPr>
      <w:rFonts w:ascii="宋体" w:hAnsi="Courier New"/>
      <w:szCs w:val="20"/>
    </w:rPr>
  </w:style>
  <w:style w:type="paragraph" w:styleId="17">
    <w:name w:val="Date"/>
    <w:basedOn w:val="1"/>
    <w:next w:val="1"/>
    <w:qFormat/>
    <w:uiPriority w:val="0"/>
    <w:pPr>
      <w:ind w:left="100" w:leftChars="2500"/>
    </w:pPr>
  </w:style>
  <w:style w:type="paragraph" w:styleId="18">
    <w:name w:val="Body Text Indent 2"/>
    <w:basedOn w:val="1"/>
    <w:link w:val="78"/>
    <w:qFormat/>
    <w:uiPriority w:val="0"/>
    <w:pPr>
      <w:widowControl w:val="0"/>
      <w:adjustRightInd w:val="0"/>
      <w:spacing w:line="0" w:lineRule="atLeast"/>
      <w:ind w:right="202" w:firstLine="630" w:firstLineChars="225"/>
      <w:jc w:val="left"/>
    </w:pPr>
    <w:rPr>
      <w:rFonts w:ascii="宋体"/>
      <w:spacing w:val="20"/>
      <w:kern w:val="0"/>
      <w:position w:val="20"/>
      <w:sz w:val="24"/>
      <w:szCs w:val="20"/>
    </w:rPr>
  </w:style>
  <w:style w:type="paragraph" w:styleId="19">
    <w:name w:val="Balloon Text"/>
    <w:basedOn w:val="1"/>
    <w:link w:val="50"/>
    <w:semiHidden/>
    <w:unhideWhenUsed/>
    <w:qFormat/>
    <w:uiPriority w:val="0"/>
    <w:rPr>
      <w:sz w:val="18"/>
      <w:szCs w:val="18"/>
    </w:rPr>
  </w:style>
  <w:style w:type="paragraph" w:styleId="20">
    <w:name w:val="footer"/>
    <w:basedOn w:val="1"/>
    <w:qFormat/>
    <w:uiPriority w:val="0"/>
    <w:pPr>
      <w:tabs>
        <w:tab w:val="center" w:pos="4153"/>
        <w:tab w:val="right" w:pos="8306"/>
      </w:tabs>
      <w:adjustRightInd w:val="0"/>
      <w:spacing w:line="240" w:lineRule="atLeast"/>
      <w:jc w:val="left"/>
    </w:pPr>
    <w:rPr>
      <w:kern w:val="0"/>
      <w:sz w:val="18"/>
      <w:szCs w:val="20"/>
    </w:rPr>
  </w:style>
  <w:style w:type="paragraph" w:styleId="21">
    <w:name w:val="header"/>
    <w:basedOn w:val="1"/>
    <w:qFormat/>
    <w:uiPriority w:val="0"/>
    <w:pPr>
      <w:pBdr>
        <w:bottom w:val="single" w:color="auto" w:sz="6" w:space="1"/>
      </w:pBdr>
      <w:tabs>
        <w:tab w:val="center" w:pos="4153"/>
        <w:tab w:val="right" w:pos="8306"/>
      </w:tabs>
      <w:adjustRightInd w:val="0"/>
      <w:snapToGrid w:val="0"/>
      <w:spacing w:line="240" w:lineRule="atLeast"/>
      <w:jc w:val="center"/>
    </w:pPr>
    <w:rPr>
      <w:kern w:val="0"/>
      <w:sz w:val="18"/>
      <w:szCs w:val="20"/>
    </w:rPr>
  </w:style>
  <w:style w:type="paragraph" w:styleId="22">
    <w:name w:val="toc 1"/>
    <w:basedOn w:val="1"/>
    <w:next w:val="1"/>
    <w:semiHidden/>
    <w:qFormat/>
    <w:uiPriority w:val="0"/>
    <w:pPr>
      <w:widowControl w:val="0"/>
      <w:tabs>
        <w:tab w:val="right" w:leader="dot" w:pos="8820"/>
      </w:tabs>
      <w:adjustRightInd w:val="0"/>
      <w:spacing w:line="360" w:lineRule="auto"/>
      <w:jc w:val="left"/>
    </w:pPr>
    <w:rPr>
      <w:rFonts w:ascii="宋体" w:hAnsi="宋体"/>
      <w:b/>
      <w:kern w:val="0"/>
      <w:sz w:val="30"/>
      <w:szCs w:val="30"/>
    </w:rPr>
  </w:style>
  <w:style w:type="paragraph" w:styleId="23">
    <w:name w:val="Body Text Indent 3"/>
    <w:basedOn w:val="1"/>
    <w:link w:val="79"/>
    <w:qFormat/>
    <w:uiPriority w:val="0"/>
    <w:pPr>
      <w:widowControl w:val="0"/>
      <w:adjustRightInd w:val="0"/>
      <w:spacing w:line="360" w:lineRule="auto"/>
      <w:ind w:firstLine="780" w:firstLineChars="300"/>
      <w:jc w:val="left"/>
    </w:pPr>
    <w:rPr>
      <w:color w:val="FF0000"/>
      <w:spacing w:val="10"/>
      <w:kern w:val="0"/>
      <w:sz w:val="24"/>
      <w:szCs w:val="20"/>
      <w:u w:val="single"/>
    </w:rPr>
  </w:style>
  <w:style w:type="paragraph" w:styleId="24">
    <w:name w:val="Normal (Web)"/>
    <w:basedOn w:val="1"/>
    <w:unhideWhenUsed/>
    <w:qFormat/>
    <w:uiPriority w:val="0"/>
    <w:rPr>
      <w:sz w:val="24"/>
    </w:rPr>
  </w:style>
  <w:style w:type="paragraph" w:styleId="25">
    <w:name w:val="annotation subject"/>
    <w:basedOn w:val="13"/>
    <w:next w:val="13"/>
    <w:link w:val="80"/>
    <w:semiHidden/>
    <w:qFormat/>
    <w:uiPriority w:val="0"/>
    <w:rPr>
      <w:b/>
      <w:bCs/>
    </w:rPr>
  </w:style>
  <w:style w:type="paragraph" w:styleId="26">
    <w:name w:val="Body Text First Indent"/>
    <w:basedOn w:val="14"/>
    <w:link w:val="81"/>
    <w:qFormat/>
    <w:uiPriority w:val="0"/>
    <w:pPr>
      <w:spacing w:after="0"/>
      <w:ind w:firstLine="420"/>
    </w:pPr>
    <w:rPr>
      <w:szCs w:val="20"/>
    </w:rPr>
  </w:style>
  <w:style w:type="table" w:styleId="28">
    <w:name w:val="Table Grid"/>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31"/>
    <w:qFormat/>
    <w:uiPriority w:val="0"/>
    <w:rPr>
      <w:rFonts w:cs="Times New Roman"/>
      <w:b/>
      <w:bCs/>
    </w:rPr>
  </w:style>
  <w:style w:type="character" w:customStyle="1" w:styleId="31">
    <w:name w:val="NormalCharacter"/>
    <w:qFormat/>
    <w:uiPriority w:val="0"/>
  </w:style>
  <w:style w:type="character" w:styleId="32">
    <w:name w:val="page number"/>
    <w:basedOn w:val="29"/>
    <w:qFormat/>
    <w:uiPriority w:val="0"/>
  </w:style>
  <w:style w:type="character" w:styleId="33">
    <w:name w:val="FollowedHyperlink"/>
    <w:qFormat/>
    <w:uiPriority w:val="0"/>
    <w:rPr>
      <w:color w:val="3F88BF"/>
      <w:kern w:val="0"/>
      <w:u w:val="none"/>
    </w:rPr>
  </w:style>
  <w:style w:type="character" w:styleId="34">
    <w:name w:val="Emphasis"/>
    <w:qFormat/>
    <w:uiPriority w:val="0"/>
    <w:rPr>
      <w:color w:val="CC0000"/>
      <w:kern w:val="0"/>
    </w:rPr>
  </w:style>
  <w:style w:type="character" w:styleId="35">
    <w:name w:val="HTML Definition"/>
    <w:qFormat/>
    <w:uiPriority w:val="0"/>
    <w:rPr>
      <w:kern w:val="0"/>
    </w:rPr>
  </w:style>
  <w:style w:type="character" w:styleId="36">
    <w:name w:val="HTML Variable"/>
    <w:qFormat/>
    <w:uiPriority w:val="0"/>
    <w:rPr>
      <w:kern w:val="0"/>
    </w:rPr>
  </w:style>
  <w:style w:type="character" w:styleId="37">
    <w:name w:val="Hyperlink"/>
    <w:basedOn w:val="31"/>
    <w:qFormat/>
    <w:uiPriority w:val="0"/>
    <w:rPr>
      <w:color w:val="0000FF"/>
      <w:u w:val="single"/>
    </w:rPr>
  </w:style>
  <w:style w:type="character" w:styleId="38">
    <w:name w:val="HTML Code"/>
    <w:qFormat/>
    <w:uiPriority w:val="0"/>
    <w:rPr>
      <w:rFonts w:hint="default" w:ascii="PingFang SC" w:hAnsi="PingFang SC" w:eastAsia="PingFang SC" w:cs="PingFang SC"/>
      <w:kern w:val="0"/>
      <w:sz w:val="20"/>
    </w:rPr>
  </w:style>
  <w:style w:type="character" w:styleId="39">
    <w:name w:val="HTML Cite"/>
    <w:qFormat/>
    <w:uiPriority w:val="0"/>
    <w:rPr>
      <w:color w:val="008000"/>
      <w:kern w:val="0"/>
    </w:rPr>
  </w:style>
  <w:style w:type="character" w:styleId="40">
    <w:name w:val="HTML Keyboard"/>
    <w:qFormat/>
    <w:uiPriority w:val="0"/>
    <w:rPr>
      <w:rFonts w:hint="default" w:ascii="PingFang SC" w:hAnsi="PingFang SC" w:eastAsia="PingFang SC" w:cs="PingFang SC"/>
      <w:kern w:val="0"/>
      <w:sz w:val="20"/>
    </w:rPr>
  </w:style>
  <w:style w:type="character" w:styleId="41">
    <w:name w:val="HTML Sample"/>
    <w:qFormat/>
    <w:uiPriority w:val="0"/>
    <w:rPr>
      <w:rFonts w:hint="default" w:ascii="PingFang SC" w:hAnsi="PingFang SC" w:eastAsia="PingFang SC" w:cs="PingFang SC"/>
      <w:kern w:val="0"/>
    </w:rPr>
  </w:style>
  <w:style w:type="character" w:customStyle="1" w:styleId="42">
    <w:name w:val="标题 1 字符"/>
    <w:link w:val="2"/>
    <w:qFormat/>
    <w:uiPriority w:val="0"/>
    <w:rPr>
      <w:rFonts w:ascii="宋体"/>
      <w:b/>
      <w:kern w:val="44"/>
      <w:sz w:val="44"/>
    </w:rPr>
  </w:style>
  <w:style w:type="character" w:customStyle="1" w:styleId="43">
    <w:name w:val="标题 3 字符"/>
    <w:basedOn w:val="29"/>
    <w:link w:val="4"/>
    <w:qFormat/>
    <w:uiPriority w:val="0"/>
    <w:rPr>
      <w:rFonts w:ascii="Arial" w:hAnsi="Arial"/>
      <w:b/>
      <w:sz w:val="24"/>
      <w:szCs w:val="24"/>
    </w:rPr>
  </w:style>
  <w:style w:type="character" w:customStyle="1" w:styleId="44">
    <w:name w:val="标题 4 字符"/>
    <w:basedOn w:val="29"/>
    <w:link w:val="6"/>
    <w:qFormat/>
    <w:uiPriority w:val="0"/>
    <w:rPr>
      <w:rFonts w:ascii="宋体"/>
      <w:i/>
      <w:sz w:val="24"/>
    </w:rPr>
  </w:style>
  <w:style w:type="character" w:customStyle="1" w:styleId="45">
    <w:name w:val="标题 5 字符"/>
    <w:basedOn w:val="29"/>
    <w:link w:val="7"/>
    <w:qFormat/>
    <w:uiPriority w:val="0"/>
    <w:rPr>
      <w:rFonts w:ascii="小标宋"/>
      <w:kern w:val="2"/>
      <w:sz w:val="24"/>
    </w:rPr>
  </w:style>
  <w:style w:type="character" w:customStyle="1" w:styleId="46">
    <w:name w:val="标题 6 字符"/>
    <w:basedOn w:val="29"/>
    <w:link w:val="8"/>
    <w:qFormat/>
    <w:uiPriority w:val="0"/>
    <w:rPr>
      <w:rFonts w:ascii="Arial" w:hAnsi="Arial" w:eastAsia="黑体"/>
      <w:kern w:val="2"/>
      <w:sz w:val="24"/>
    </w:rPr>
  </w:style>
  <w:style w:type="character" w:customStyle="1" w:styleId="47">
    <w:name w:val="标题 7 字符"/>
    <w:basedOn w:val="29"/>
    <w:link w:val="9"/>
    <w:qFormat/>
    <w:uiPriority w:val="0"/>
    <w:rPr>
      <w:rFonts w:ascii="宋体"/>
      <w:kern w:val="2"/>
      <w:sz w:val="24"/>
    </w:rPr>
  </w:style>
  <w:style w:type="character" w:customStyle="1" w:styleId="48">
    <w:name w:val="标题 8 字符"/>
    <w:basedOn w:val="29"/>
    <w:link w:val="10"/>
    <w:qFormat/>
    <w:uiPriority w:val="0"/>
    <w:rPr>
      <w:rFonts w:ascii="Arial" w:hAnsi="Arial" w:eastAsia="黑体"/>
      <w:b/>
      <w:kern w:val="2"/>
      <w:sz w:val="24"/>
    </w:rPr>
  </w:style>
  <w:style w:type="character" w:customStyle="1" w:styleId="49">
    <w:name w:val="标题 9 字符"/>
    <w:basedOn w:val="29"/>
    <w:link w:val="11"/>
    <w:qFormat/>
    <w:uiPriority w:val="0"/>
    <w:rPr>
      <w:rFonts w:ascii="Arial" w:hAnsi="Arial" w:eastAsia="黑体"/>
      <w:b/>
      <w:kern w:val="2"/>
      <w:sz w:val="24"/>
    </w:rPr>
  </w:style>
  <w:style w:type="character" w:customStyle="1" w:styleId="50">
    <w:name w:val="批注框文本 字符"/>
    <w:basedOn w:val="29"/>
    <w:link w:val="19"/>
    <w:semiHidden/>
    <w:qFormat/>
    <w:uiPriority w:val="99"/>
    <w:rPr>
      <w:kern w:val="2"/>
      <w:sz w:val="18"/>
      <w:szCs w:val="18"/>
    </w:rPr>
  </w:style>
  <w:style w:type="paragraph" w:customStyle="1" w:styleId="51">
    <w:name w:val="Heading2"/>
    <w:basedOn w:val="1"/>
    <w:next w:val="1"/>
    <w:qFormat/>
    <w:uiPriority w:val="0"/>
    <w:pPr>
      <w:keepNext/>
      <w:keepLines/>
      <w:spacing w:before="260" w:after="260" w:line="416" w:lineRule="auto"/>
    </w:pPr>
    <w:rPr>
      <w:rFonts w:ascii="Arial" w:hAnsi="Arial" w:eastAsia="黑体"/>
      <w:b/>
      <w:bCs/>
      <w:sz w:val="32"/>
      <w:szCs w:val="32"/>
    </w:rPr>
  </w:style>
  <w:style w:type="paragraph" w:customStyle="1" w:styleId="52">
    <w:name w:val="Heading3"/>
    <w:basedOn w:val="1"/>
    <w:next w:val="1"/>
    <w:qFormat/>
    <w:uiPriority w:val="0"/>
    <w:pPr>
      <w:keepNext/>
      <w:keepLines/>
      <w:spacing w:before="260" w:after="260" w:line="416" w:lineRule="auto"/>
    </w:pPr>
    <w:rPr>
      <w:b/>
      <w:bCs/>
      <w:sz w:val="32"/>
      <w:szCs w:val="32"/>
    </w:rPr>
  </w:style>
  <w:style w:type="table" w:customStyle="1" w:styleId="53">
    <w:name w:val="TableNormal"/>
    <w:semiHidden/>
    <w:qFormat/>
    <w:uiPriority w:val="0"/>
    <w:tblPr>
      <w:tblCellMar>
        <w:top w:w="0" w:type="dxa"/>
        <w:left w:w="0" w:type="dxa"/>
        <w:bottom w:w="0" w:type="dxa"/>
        <w:right w:w="0" w:type="dxa"/>
      </w:tblCellMar>
    </w:tblPr>
  </w:style>
  <w:style w:type="character" w:customStyle="1" w:styleId="54">
    <w:name w:val="PageNumber"/>
    <w:basedOn w:val="31"/>
    <w:qFormat/>
    <w:uiPriority w:val="0"/>
  </w:style>
  <w:style w:type="paragraph" w:customStyle="1" w:styleId="55">
    <w:name w:val="TOC2"/>
    <w:basedOn w:val="1"/>
    <w:next w:val="1"/>
    <w:qFormat/>
    <w:uiPriority w:val="0"/>
    <w:pPr>
      <w:ind w:left="420" w:leftChars="200"/>
    </w:pPr>
  </w:style>
  <w:style w:type="paragraph" w:customStyle="1" w:styleId="56">
    <w:name w:val="TOC1"/>
    <w:basedOn w:val="1"/>
    <w:next w:val="1"/>
    <w:qFormat/>
    <w:uiPriority w:val="0"/>
  </w:style>
  <w:style w:type="paragraph" w:customStyle="1" w:styleId="57">
    <w:name w:val="Acetate"/>
    <w:basedOn w:val="1"/>
    <w:qFormat/>
    <w:uiPriority w:val="0"/>
    <w:rPr>
      <w:sz w:val="18"/>
      <w:szCs w:val="18"/>
    </w:rPr>
  </w:style>
  <w:style w:type="paragraph" w:customStyle="1" w:styleId="58">
    <w:name w:val="页脚1"/>
    <w:basedOn w:val="1"/>
    <w:qFormat/>
    <w:uiPriority w:val="0"/>
    <w:pPr>
      <w:tabs>
        <w:tab w:val="center" w:pos="4153"/>
        <w:tab w:val="right" w:pos="8306"/>
      </w:tabs>
      <w:snapToGrid w:val="0"/>
      <w:jc w:val="left"/>
    </w:pPr>
    <w:rPr>
      <w:rFonts w:ascii="宋体" w:hAnsi="宋体"/>
      <w:b/>
      <w:sz w:val="18"/>
      <w:szCs w:val="18"/>
    </w:rPr>
  </w:style>
  <w:style w:type="paragraph" w:customStyle="1" w:styleId="59">
    <w:name w:val="页眉1"/>
    <w:basedOn w:val="1"/>
    <w:qFormat/>
    <w:uiPriority w:val="0"/>
    <w:pPr>
      <w:pBdr>
        <w:bottom w:val="single" w:color="000000" w:sz="6" w:space="1"/>
      </w:pBdr>
      <w:tabs>
        <w:tab w:val="center" w:pos="4153"/>
        <w:tab w:val="right" w:pos="8306"/>
      </w:tabs>
      <w:snapToGrid w:val="0"/>
      <w:jc w:val="center"/>
    </w:pPr>
    <w:rPr>
      <w:sz w:val="18"/>
      <w:szCs w:val="18"/>
    </w:rPr>
  </w:style>
  <w:style w:type="paragraph" w:customStyle="1" w:styleId="60">
    <w:name w:val="UserStyle_0"/>
    <w:qFormat/>
    <w:uiPriority w:val="0"/>
    <w:pPr>
      <w:textAlignment w:val="baseline"/>
    </w:pPr>
    <w:rPr>
      <w:rFonts w:ascii="Times New Roman" w:hAnsi="Times New Roman" w:eastAsia="宋体" w:cs="Times New Roman"/>
      <w:lang w:val="en-US" w:eastAsia="zh-CN" w:bidi="ar-SA"/>
    </w:rPr>
  </w:style>
  <w:style w:type="paragraph" w:customStyle="1" w:styleId="61">
    <w:name w:val="UserStyle_1"/>
    <w:basedOn w:val="1"/>
    <w:qFormat/>
    <w:uiPriority w:val="0"/>
    <w:pPr>
      <w:snapToGrid w:val="0"/>
      <w:spacing w:line="360" w:lineRule="auto"/>
      <w:ind w:firstLine="560" w:firstLineChars="200"/>
    </w:pPr>
    <w:rPr>
      <w:rFonts w:ascii="宋体"/>
      <w:kern w:val="0"/>
      <w:sz w:val="28"/>
      <w:szCs w:val="20"/>
    </w:rPr>
  </w:style>
  <w:style w:type="paragraph" w:customStyle="1" w:styleId="62">
    <w:name w:val="UserStyle_2"/>
    <w:basedOn w:val="1"/>
    <w:qFormat/>
    <w:uiPriority w:val="0"/>
    <w:pPr>
      <w:tabs>
        <w:tab w:val="center" w:pos="4153"/>
        <w:tab w:val="right" w:pos="8306"/>
      </w:tabs>
      <w:snapToGrid w:val="0"/>
      <w:jc w:val="center"/>
    </w:pPr>
    <w:rPr>
      <w:sz w:val="18"/>
      <w:szCs w:val="18"/>
    </w:rPr>
  </w:style>
  <w:style w:type="paragraph" w:customStyle="1" w:styleId="63">
    <w:name w:val="UserStyle_3"/>
    <w:qFormat/>
    <w:uiPriority w:val="0"/>
    <w:pPr>
      <w:ind w:left="200" w:leftChars="200"/>
      <w:textAlignment w:val="baseline"/>
    </w:pPr>
    <w:rPr>
      <w:rFonts w:ascii="Times New Roman" w:hAnsi="Times New Roman" w:eastAsia="宋体" w:cs="Times New Roman"/>
      <w:lang w:val="en-US" w:eastAsia="zh-CN" w:bidi="ar-SA"/>
    </w:rPr>
  </w:style>
  <w:style w:type="paragraph" w:customStyle="1" w:styleId="64">
    <w:name w:val="UserStyle_4"/>
    <w:basedOn w:val="1"/>
    <w:qFormat/>
    <w:uiPriority w:val="0"/>
    <w:pPr>
      <w:spacing w:line="360" w:lineRule="auto"/>
    </w:pPr>
    <w:rPr>
      <w:rFonts w:ascii="宋体" w:hAnsi="宋体"/>
      <w:sz w:val="24"/>
      <w:szCs w:val="20"/>
    </w:rPr>
  </w:style>
  <w:style w:type="paragraph" w:customStyle="1" w:styleId="65">
    <w:name w:val="UserStyle_5"/>
    <w:basedOn w:val="52"/>
    <w:qFormat/>
    <w:uiPriority w:val="0"/>
    <w:pPr>
      <w:tabs>
        <w:tab w:val="left" w:pos="851"/>
        <w:tab w:val="left" w:pos="900"/>
      </w:tabs>
      <w:snapToGrid w:val="0"/>
      <w:spacing w:before="120" w:after="120" w:line="360" w:lineRule="auto"/>
      <w:ind w:firstLine="200" w:firstLineChars="200"/>
      <w:jc w:val="left"/>
    </w:pPr>
    <w:rPr>
      <w:rFonts w:eastAsia="黑体"/>
      <w:b w:val="0"/>
      <w:bCs w:val="0"/>
      <w:sz w:val="28"/>
      <w:szCs w:val="24"/>
    </w:rPr>
  </w:style>
  <w:style w:type="table" w:customStyle="1" w:styleId="66">
    <w:name w:val="UserStyle_6"/>
    <w:basedOn w:val="53"/>
    <w:qFormat/>
    <w:uiPriority w:val="0"/>
  </w:style>
  <w:style w:type="table" w:customStyle="1" w:styleId="67">
    <w:name w:val="UserStyle_7"/>
    <w:basedOn w:val="53"/>
    <w:qFormat/>
    <w:uiPriority w:val="0"/>
  </w:style>
  <w:style w:type="paragraph" w:customStyle="1" w:styleId="68">
    <w:name w:val="WPSOffice手动目录 1"/>
    <w:qFormat/>
    <w:uiPriority w:val="0"/>
    <w:rPr>
      <w:rFonts w:ascii="Times New Roman" w:hAnsi="Times New Roman" w:eastAsia="宋体" w:cs="Times New Roman"/>
      <w:lang w:val="en-US" w:eastAsia="zh-CN" w:bidi="ar-SA"/>
    </w:rPr>
  </w:style>
  <w:style w:type="paragraph" w:customStyle="1" w:styleId="69">
    <w:name w:val="列出段落1"/>
    <w:basedOn w:val="1"/>
    <w:qFormat/>
    <w:uiPriority w:val="0"/>
    <w:pPr>
      <w:ind w:firstLine="420" w:firstLineChars="200"/>
    </w:pPr>
  </w:style>
  <w:style w:type="character" w:customStyle="1" w:styleId="70">
    <w:name w:val="font11"/>
    <w:qFormat/>
    <w:uiPriority w:val="0"/>
    <w:rPr>
      <w:rFonts w:hint="eastAsia" w:ascii="宋体" w:hAnsi="宋体" w:eastAsia="宋体" w:cs="宋体"/>
      <w:color w:val="000000"/>
      <w:sz w:val="20"/>
      <w:szCs w:val="20"/>
      <w:u w:val="none"/>
    </w:rPr>
  </w:style>
  <w:style w:type="character" w:customStyle="1" w:styleId="71">
    <w:name w:val="font21"/>
    <w:qFormat/>
    <w:uiPriority w:val="0"/>
    <w:rPr>
      <w:rFonts w:hint="eastAsia" w:ascii="宋体" w:hAnsi="宋体" w:eastAsia="宋体" w:cs="宋体"/>
      <w:color w:val="000000"/>
      <w:sz w:val="20"/>
      <w:szCs w:val="20"/>
      <w:u w:val="none"/>
    </w:rPr>
  </w:style>
  <w:style w:type="paragraph" w:customStyle="1" w:styleId="72">
    <w:name w:val="首行缩进"/>
    <w:basedOn w:val="1"/>
    <w:qFormat/>
    <w:uiPriority w:val="0"/>
    <w:pPr>
      <w:shd w:val="clear" w:color="auto" w:fill="FFFFFF"/>
      <w:tabs>
        <w:tab w:val="left" w:pos="426"/>
      </w:tabs>
      <w:spacing w:line="480" w:lineRule="exact"/>
      <w:ind w:right="-21" w:rightChars="-21" w:firstLine="200" w:firstLineChars="200"/>
      <w:jc w:val="left"/>
    </w:pPr>
    <w:rPr>
      <w:rFonts w:ascii="宋体" w:hAnsi="宋体" w:cs="宋体"/>
      <w:bCs/>
      <w:szCs w:val="22"/>
    </w:rPr>
  </w:style>
  <w:style w:type="paragraph" w:styleId="73">
    <w:name w:val="List Paragraph"/>
    <w:basedOn w:val="1"/>
    <w:unhideWhenUsed/>
    <w:qFormat/>
    <w:uiPriority w:val="99"/>
    <w:pPr>
      <w:ind w:firstLine="420" w:firstLineChars="200"/>
    </w:pPr>
  </w:style>
  <w:style w:type="character" w:customStyle="1" w:styleId="74">
    <w:name w:val="文档结构图 字符"/>
    <w:basedOn w:val="29"/>
    <w:link w:val="12"/>
    <w:semiHidden/>
    <w:qFormat/>
    <w:uiPriority w:val="0"/>
    <w:rPr>
      <w:kern w:val="2"/>
      <w:sz w:val="24"/>
      <w:szCs w:val="24"/>
      <w:shd w:val="clear" w:color="auto" w:fill="000080"/>
    </w:rPr>
  </w:style>
  <w:style w:type="character" w:customStyle="1" w:styleId="75">
    <w:name w:val="批注文字 字符"/>
    <w:basedOn w:val="29"/>
    <w:link w:val="13"/>
    <w:semiHidden/>
    <w:qFormat/>
    <w:uiPriority w:val="0"/>
    <w:rPr>
      <w:kern w:val="2"/>
      <w:sz w:val="24"/>
      <w:szCs w:val="24"/>
    </w:rPr>
  </w:style>
  <w:style w:type="character" w:customStyle="1" w:styleId="76">
    <w:name w:val="正文文本 字符"/>
    <w:basedOn w:val="29"/>
    <w:link w:val="14"/>
    <w:qFormat/>
    <w:uiPriority w:val="0"/>
    <w:rPr>
      <w:kern w:val="2"/>
      <w:sz w:val="24"/>
      <w:szCs w:val="24"/>
    </w:rPr>
  </w:style>
  <w:style w:type="character" w:customStyle="1" w:styleId="77">
    <w:name w:val="正文文本缩进 字符"/>
    <w:basedOn w:val="29"/>
    <w:link w:val="15"/>
    <w:qFormat/>
    <w:uiPriority w:val="0"/>
    <w:rPr>
      <w:rFonts w:ascii="宋体"/>
      <w:color w:val="0000FF"/>
      <w:sz w:val="24"/>
    </w:rPr>
  </w:style>
  <w:style w:type="character" w:customStyle="1" w:styleId="78">
    <w:name w:val="正文文本缩进 2 字符"/>
    <w:basedOn w:val="29"/>
    <w:link w:val="18"/>
    <w:qFormat/>
    <w:uiPriority w:val="0"/>
    <w:rPr>
      <w:rFonts w:ascii="宋体"/>
      <w:spacing w:val="20"/>
      <w:position w:val="20"/>
      <w:sz w:val="24"/>
    </w:rPr>
  </w:style>
  <w:style w:type="character" w:customStyle="1" w:styleId="79">
    <w:name w:val="正文文本缩进 3 字符"/>
    <w:basedOn w:val="29"/>
    <w:link w:val="23"/>
    <w:qFormat/>
    <w:uiPriority w:val="0"/>
    <w:rPr>
      <w:color w:val="FF0000"/>
      <w:spacing w:val="10"/>
      <w:sz w:val="24"/>
      <w:u w:val="single"/>
    </w:rPr>
  </w:style>
  <w:style w:type="character" w:customStyle="1" w:styleId="80">
    <w:name w:val="批注主题 字符"/>
    <w:basedOn w:val="75"/>
    <w:link w:val="25"/>
    <w:semiHidden/>
    <w:qFormat/>
    <w:uiPriority w:val="0"/>
    <w:rPr>
      <w:b/>
      <w:bCs/>
      <w:kern w:val="2"/>
      <w:sz w:val="24"/>
      <w:szCs w:val="24"/>
    </w:rPr>
  </w:style>
  <w:style w:type="character" w:customStyle="1" w:styleId="81">
    <w:name w:val="正文文本首行缩进 字符"/>
    <w:basedOn w:val="76"/>
    <w:link w:val="26"/>
    <w:qFormat/>
    <w:uiPriority w:val="0"/>
    <w:rPr>
      <w:kern w:val="2"/>
      <w:sz w:val="24"/>
      <w:szCs w:val="24"/>
    </w:rPr>
  </w:style>
  <w:style w:type="character" w:customStyle="1" w:styleId="82">
    <w:name w:val="answer-title12"/>
    <w:qFormat/>
    <w:uiPriority w:val="0"/>
  </w:style>
  <w:style w:type="character" w:customStyle="1" w:styleId="83">
    <w:name w:val="num"/>
    <w:qFormat/>
    <w:uiPriority w:val="0"/>
    <w:rPr>
      <w:b/>
      <w:color w:val="FF7800"/>
      <w:kern w:val="0"/>
    </w:rPr>
  </w:style>
  <w:style w:type="character" w:customStyle="1" w:styleId="84">
    <w:name w:val="num10"/>
    <w:qFormat/>
    <w:uiPriority w:val="0"/>
    <w:rPr>
      <w:b/>
      <w:color w:val="FF7800"/>
      <w:kern w:val="0"/>
    </w:rPr>
  </w:style>
  <w:style w:type="character" w:customStyle="1" w:styleId="85">
    <w:name w:val="legend"/>
    <w:qFormat/>
    <w:uiPriority w:val="0"/>
    <w:rPr>
      <w:rFonts w:ascii="Arial" w:hAnsi="Arial" w:cs="Arial"/>
      <w:b/>
      <w:color w:val="73B304"/>
      <w:kern w:val="0"/>
      <w:sz w:val="21"/>
      <w:szCs w:val="21"/>
      <w:shd w:val="clear" w:color="auto" w:fill="FFFFFF"/>
    </w:rPr>
  </w:style>
  <w:style w:type="character" w:customStyle="1" w:styleId="86">
    <w:name w:val="release-day"/>
    <w:qFormat/>
    <w:uiPriority w:val="0"/>
    <w:rPr>
      <w:kern w:val="0"/>
      <w:bdr w:val="single" w:color="BDEBB0" w:sz="6" w:space="0"/>
      <w:shd w:val="clear" w:color="auto" w:fill="F5FFF1"/>
    </w:rPr>
  </w:style>
  <w:style w:type="character" w:customStyle="1" w:styleId="87">
    <w:name w:val="标题 1 Char1"/>
    <w:qFormat/>
    <w:uiPriority w:val="0"/>
    <w:rPr>
      <w:rFonts w:ascii="宋体" w:eastAsia="宋体"/>
      <w:b/>
      <w:kern w:val="44"/>
      <w:sz w:val="32"/>
      <w:lang w:val="en-US" w:eastAsia="zh-CN" w:bidi="ar-SA"/>
    </w:rPr>
  </w:style>
  <w:style w:type="character" w:customStyle="1" w:styleId="88">
    <w:name w:val="font01"/>
    <w:qFormat/>
    <w:uiPriority w:val="0"/>
    <w:rPr>
      <w:rFonts w:hint="eastAsia" w:ascii="宋体" w:hAnsi="宋体" w:eastAsia="宋体" w:cs="宋体"/>
      <w:color w:val="000000"/>
      <w:kern w:val="0"/>
      <w:sz w:val="18"/>
      <w:szCs w:val="18"/>
      <w:u w:val="none"/>
    </w:rPr>
  </w:style>
  <w:style w:type="paragraph" w:customStyle="1" w:styleId="89">
    <w:name w:val="Char1 Char Char Char Char Char Char Char Char Char"/>
    <w:basedOn w:val="1"/>
    <w:qFormat/>
    <w:uiPriority w:val="0"/>
    <w:pPr>
      <w:widowControl w:val="0"/>
      <w:textAlignment w:val="auto"/>
    </w:pPr>
  </w:style>
  <w:style w:type="paragraph" w:customStyle="1" w:styleId="90">
    <w:name w:val="默认段落字体 Para Char Char Char Char"/>
    <w:basedOn w:val="1"/>
    <w:qFormat/>
    <w:uiPriority w:val="0"/>
    <w:pPr>
      <w:widowControl w:val="0"/>
      <w:textAlignment w:val="auto"/>
    </w:pPr>
  </w:style>
  <w:style w:type="paragraph" w:customStyle="1" w:styleId="9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92">
    <w:name w:val="样式1"/>
    <w:basedOn w:val="1"/>
    <w:qFormat/>
    <w:uiPriority w:val="0"/>
    <w:pPr>
      <w:widowControl w:val="0"/>
      <w:adjustRightInd w:val="0"/>
      <w:spacing w:line="420" w:lineRule="auto"/>
      <w:jc w:val="center"/>
    </w:pPr>
    <w:rPr>
      <w:rFonts w:ascii="宋体"/>
      <w:kern w:val="0"/>
      <w:sz w:val="24"/>
      <w:szCs w:val="20"/>
    </w:rPr>
  </w:style>
  <w:style w:type="paragraph" w:customStyle="1" w:styleId="93">
    <w:name w:val="1"/>
    <w:basedOn w:val="1"/>
    <w:qFormat/>
    <w:uiPriority w:val="0"/>
    <w:pPr>
      <w:widowControl w:val="0"/>
      <w:adjustRightInd w:val="0"/>
      <w:spacing w:line="360" w:lineRule="atLeast"/>
      <w:jc w:val="left"/>
    </w:pPr>
    <w:rPr>
      <w:kern w:val="0"/>
      <w:sz w:val="24"/>
    </w:rPr>
  </w:style>
  <w:style w:type="paragraph" w:customStyle="1" w:styleId="94">
    <w:name w:val="Char Char Char Char1"/>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95">
    <w:name w:val="Char"/>
    <w:basedOn w:val="1"/>
    <w:qFormat/>
    <w:uiPriority w:val="0"/>
    <w:pPr>
      <w:widowControl w:val="0"/>
      <w:adjustRightInd w:val="0"/>
      <w:spacing w:line="360" w:lineRule="auto"/>
      <w:textAlignment w:val="auto"/>
    </w:pPr>
    <w:rPr>
      <w:kern w:val="0"/>
      <w:sz w:val="24"/>
    </w:rPr>
  </w:style>
  <w:style w:type="paragraph" w:customStyle="1" w:styleId="96">
    <w:name w:val="默认段落字体 Para Char Char Char Char Char Char Char Char Char Char"/>
    <w:basedOn w:val="1"/>
    <w:qFormat/>
    <w:uiPriority w:val="0"/>
    <w:pPr>
      <w:widowControl w:val="0"/>
      <w:textAlignment w:val="auto"/>
    </w:pPr>
  </w:style>
  <w:style w:type="paragraph" w:customStyle="1" w:styleId="97">
    <w:name w:val="Char Char Char"/>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98">
    <w:name w:val="A"/>
    <w:basedOn w:val="1"/>
    <w:qFormat/>
    <w:uiPriority w:val="0"/>
    <w:pPr>
      <w:widowControl w:val="0"/>
      <w:adjustRightInd w:val="0"/>
      <w:spacing w:line="480" w:lineRule="atLeast"/>
      <w:jc w:val="center"/>
    </w:pPr>
    <w:rPr>
      <w:rFonts w:ascii="宋体"/>
      <w:kern w:val="0"/>
      <w:sz w:val="32"/>
      <w:szCs w:val="20"/>
    </w:rPr>
  </w:style>
  <w:style w:type="paragraph" w:customStyle="1" w:styleId="99">
    <w:name w:val="二级条标题"/>
    <w:basedOn w:val="100"/>
    <w:next w:val="102"/>
    <w:qFormat/>
    <w:uiPriority w:val="0"/>
    <w:pPr>
      <w:outlineLvl w:val="3"/>
    </w:pPr>
  </w:style>
  <w:style w:type="paragraph" w:customStyle="1" w:styleId="100">
    <w:name w:val="一级条标题"/>
    <w:basedOn w:val="101"/>
    <w:next w:val="102"/>
    <w:qFormat/>
    <w:uiPriority w:val="0"/>
    <w:pPr>
      <w:spacing w:before="0" w:beforeLines="0" w:after="0" w:afterLines="0"/>
      <w:outlineLvl w:val="2"/>
    </w:pPr>
  </w:style>
  <w:style w:type="paragraph" w:customStyle="1" w:styleId="101">
    <w:name w:val="章标题"/>
    <w:next w:val="102"/>
    <w:qFormat/>
    <w:uiPriority w:val="0"/>
    <w:pPr>
      <w:spacing w:before="50" w:beforeLines="50" w:after="50" w:afterLines="50"/>
      <w:ind w:firstLine="400"/>
      <w:jc w:val="both"/>
      <w:outlineLvl w:val="1"/>
    </w:pPr>
    <w:rPr>
      <w:rFonts w:ascii="黑体" w:hAnsi="Times New Roman" w:eastAsia="黑体" w:cs="Times New Roman"/>
      <w:sz w:val="21"/>
      <w:szCs w:val="22"/>
      <w:lang w:val="en-US" w:eastAsia="zh-CN" w:bidi="ar-SA"/>
    </w:rPr>
  </w:style>
  <w:style w:type="paragraph" w:customStyle="1" w:styleId="102">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103">
    <w:name w:val="纯文本1"/>
    <w:basedOn w:val="1"/>
    <w:qFormat/>
    <w:uiPriority w:val="0"/>
    <w:pPr>
      <w:widowControl w:val="0"/>
      <w:textAlignment w:val="auto"/>
    </w:pPr>
    <w:rPr>
      <w:rFonts w:ascii="宋体" w:hAnsi="Courier New" w:cs="Courier New"/>
      <w:sz w:val="24"/>
      <w:szCs w:val="21"/>
    </w:rPr>
  </w:style>
  <w:style w:type="paragraph" w:customStyle="1" w:styleId="104">
    <w:name w:val="Char Char1"/>
    <w:basedOn w:val="1"/>
    <w:qFormat/>
    <w:uiPriority w:val="0"/>
    <w:pPr>
      <w:widowControl w:val="0"/>
      <w:adjustRightInd w:val="0"/>
      <w:spacing w:line="360" w:lineRule="atLeast"/>
      <w:jc w:val="left"/>
    </w:pPr>
    <w:rPr>
      <w:kern w:val="0"/>
      <w:sz w:val="24"/>
    </w:rPr>
  </w:style>
  <w:style w:type="paragraph" w:customStyle="1" w:styleId="105">
    <w:name w:val="UserStyle_10"/>
    <w:basedOn w:val="1"/>
    <w:qFormat/>
    <w:uiPriority w:val="0"/>
    <w:pPr>
      <w:widowControl w:val="0"/>
      <w:ind w:firstLine="420" w:firstLineChars="200"/>
      <w:textAlignment w:val="auto"/>
    </w:pPr>
    <w:rPr>
      <w:sz w:val="24"/>
    </w:rPr>
  </w:style>
  <w:style w:type="paragraph" w:customStyle="1" w:styleId="106">
    <w:name w:val="Char Char Char Char1 Char Char Char Char Char Char Char"/>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07">
    <w:name w:val="正文1"/>
    <w:basedOn w:val="1"/>
    <w:link w:val="108"/>
    <w:qFormat/>
    <w:uiPriority w:val="0"/>
    <w:pPr>
      <w:widowControl w:val="0"/>
      <w:adjustRightInd w:val="0"/>
      <w:spacing w:line="360" w:lineRule="atLeast"/>
      <w:jc w:val="left"/>
    </w:pPr>
    <w:rPr>
      <w:rFonts w:ascii="宋体"/>
      <w:kern w:val="0"/>
      <w:sz w:val="24"/>
      <w:szCs w:val="20"/>
    </w:rPr>
  </w:style>
  <w:style w:type="character" w:customStyle="1" w:styleId="108">
    <w:name w:val="正文1 Char"/>
    <w:link w:val="107"/>
    <w:qFormat/>
    <w:uiPriority w:val="0"/>
    <w:rPr>
      <w:rFonts w:ascii="宋体"/>
      <w:sz w:val="24"/>
    </w:rPr>
  </w:style>
  <w:style w:type="paragraph" w:customStyle="1" w:styleId="109">
    <w:name w:val="三级条标题"/>
    <w:basedOn w:val="99"/>
    <w:next w:val="102"/>
    <w:qFormat/>
    <w:uiPriority w:val="0"/>
    <w:pPr>
      <w:outlineLvl w:val="4"/>
    </w:pPr>
  </w:style>
  <w:style w:type="paragraph" w:customStyle="1" w:styleId="110">
    <w:name w:val="正文报告"/>
    <w:basedOn w:val="1"/>
    <w:qFormat/>
    <w:uiPriority w:val="0"/>
    <w:pPr>
      <w:widowControl w:val="0"/>
      <w:tabs>
        <w:tab w:val="left" w:pos="510"/>
      </w:tabs>
      <w:adjustRightInd w:val="0"/>
      <w:spacing w:line="460" w:lineRule="exact"/>
      <w:ind w:firstLine="482"/>
    </w:pPr>
    <w:rPr>
      <w:kern w:val="0"/>
      <w:sz w:val="24"/>
      <w:szCs w:val="20"/>
    </w:rPr>
  </w:style>
  <w:style w:type="paragraph" w:customStyle="1" w:styleId="111">
    <w:name w:val="字母编号列项（一级）"/>
    <w:qFormat/>
    <w:uiPriority w:val="0"/>
    <w:pPr>
      <w:ind w:left="840" w:leftChars="200" w:hanging="420" w:hangingChars="200"/>
      <w:jc w:val="both"/>
    </w:pPr>
    <w:rPr>
      <w:rFonts w:ascii="宋体" w:hAnsi="Times New Roman" w:eastAsia="宋体" w:cs="Times New Roman"/>
      <w:sz w:val="21"/>
      <w:szCs w:val="22"/>
      <w:lang w:val="en-US" w:eastAsia="zh-CN" w:bidi="ar-SA"/>
    </w:rPr>
  </w:style>
  <w:style w:type="paragraph" w:customStyle="1" w:styleId="112">
    <w:name w:val="Char Char"/>
    <w:basedOn w:val="1"/>
    <w:qFormat/>
    <w:uiPriority w:val="0"/>
    <w:pPr>
      <w:widowControl w:val="0"/>
      <w:adjustRightInd w:val="0"/>
      <w:spacing w:line="360" w:lineRule="atLeast"/>
      <w:jc w:val="left"/>
    </w:pPr>
    <w:rPr>
      <w:kern w:val="0"/>
      <w:sz w:val="24"/>
    </w:rPr>
  </w:style>
  <w:style w:type="paragraph" w:customStyle="1" w:styleId="113">
    <w:name w:val="Char Char11"/>
    <w:basedOn w:val="1"/>
    <w:qFormat/>
    <w:uiPriority w:val="0"/>
    <w:pPr>
      <w:widowControl w:val="0"/>
      <w:textAlignment w:val="auto"/>
    </w:pPr>
  </w:style>
  <w:style w:type="paragraph" w:customStyle="1" w:styleId="114">
    <w:name w:val="样式2"/>
    <w:basedOn w:val="1"/>
    <w:qFormat/>
    <w:uiPriority w:val="0"/>
    <w:pPr>
      <w:widowControl w:val="0"/>
      <w:spacing w:line="360" w:lineRule="auto"/>
      <w:textAlignment w:val="auto"/>
    </w:pPr>
    <w:rPr>
      <w:kern w:val="0"/>
      <w:sz w:val="28"/>
      <w:szCs w:val="20"/>
    </w:rPr>
  </w:style>
  <w:style w:type="paragraph" w:customStyle="1" w:styleId="115">
    <w:name w:val="Char Char Char Char"/>
    <w:basedOn w:val="1"/>
    <w:qFormat/>
    <w:uiPriority w:val="0"/>
    <w:pPr>
      <w:widowControl w:val="0"/>
      <w:adjustRightInd w:val="0"/>
      <w:spacing w:line="360" w:lineRule="auto"/>
      <w:textAlignment w:val="auto"/>
    </w:pPr>
    <w:rPr>
      <w:kern w:val="0"/>
      <w:sz w:val="24"/>
      <w:szCs w:val="20"/>
    </w:rPr>
  </w:style>
  <w:style w:type="paragraph" w:customStyle="1" w:styleId="116">
    <w:name w:val="Char1 Char"/>
    <w:basedOn w:val="1"/>
    <w:qFormat/>
    <w:uiPriority w:val="0"/>
    <w:pPr>
      <w:widowControl w:val="0"/>
      <w:adjustRightInd w:val="0"/>
      <w:spacing w:line="360" w:lineRule="atLeast"/>
      <w:jc w:val="left"/>
    </w:pPr>
    <w:rPr>
      <w:kern w:val="0"/>
      <w:sz w:val="24"/>
    </w:rPr>
  </w:style>
  <w:style w:type="paragraph" w:customStyle="1" w:styleId="117">
    <w:name w:val="Char1"/>
    <w:basedOn w:val="1"/>
    <w:qFormat/>
    <w:uiPriority w:val="0"/>
    <w:pPr>
      <w:widowControl w:val="0"/>
      <w:textAlignment w:val="auto"/>
    </w:pPr>
    <w:rPr>
      <w:sz w:val="24"/>
    </w:rPr>
  </w:style>
  <w:style w:type="paragraph" w:customStyle="1" w:styleId="118">
    <w:name w:val="正文文本 31"/>
    <w:basedOn w:val="1"/>
    <w:qFormat/>
    <w:uiPriority w:val="0"/>
    <w:pPr>
      <w:widowControl w:val="0"/>
      <w:adjustRightInd w:val="0"/>
      <w:spacing w:line="360" w:lineRule="auto"/>
      <w:jc w:val="center"/>
    </w:pPr>
    <w:rPr>
      <w:rFonts w:ascii="宋体"/>
      <w:b/>
      <w:color w:val="FF0000"/>
      <w:kern w:val="0"/>
      <w:sz w:val="24"/>
      <w:szCs w:val="20"/>
      <w:u w:val="single"/>
    </w:rPr>
  </w:style>
  <w:style w:type="paragraph" w:customStyle="1" w:styleId="119">
    <w:name w:val="p0"/>
    <w:basedOn w:val="1"/>
    <w:qFormat/>
    <w:uiPriority w:val="0"/>
    <w:pPr>
      <w:spacing w:line="560" w:lineRule="atLeast"/>
      <w:ind w:left="839" w:firstLine="200" w:firstLineChars="200"/>
      <w:textAlignment w:val="auto"/>
    </w:pPr>
    <w:rPr>
      <w:rFonts w:ascii="Calibri" w:hAnsi="Calibri" w:cs="宋体"/>
      <w:kern w:val="0"/>
      <w:sz w:val="24"/>
      <w:szCs w:val="21"/>
    </w:rPr>
  </w:style>
  <w:style w:type="paragraph" w:customStyle="1" w:styleId="120">
    <w:name w:val="列出段落2"/>
    <w:basedOn w:val="1"/>
    <w:unhideWhenUsed/>
    <w:qFormat/>
    <w:uiPriority w:val="34"/>
    <w:pPr>
      <w:widowControl w:val="0"/>
      <w:ind w:firstLine="420" w:firstLineChars="200"/>
      <w:textAlignment w:val="auto"/>
    </w:pPr>
    <w:rPr>
      <w:rFonts w:hint="eastAsia"/>
    </w:rPr>
  </w:style>
  <w:style w:type="paragraph" w:customStyle="1" w:styleId="121">
    <w:name w:val="Char Char Char Char1 Char Char Char"/>
    <w:basedOn w:val="1"/>
    <w:qFormat/>
    <w:uiPriority w:val="0"/>
    <w:pPr>
      <w:widowControl w:val="0"/>
      <w:spacing w:line="360" w:lineRule="auto"/>
      <w:ind w:firstLine="200" w:firstLineChars="200"/>
      <w:textAlignment w:val="auto"/>
    </w:pPr>
    <w:rPr>
      <w:rFonts w:ascii="宋体" w:hAnsi="宋体" w:cs="宋体"/>
      <w:sz w:val="24"/>
    </w:rPr>
  </w:style>
  <w:style w:type="character" w:customStyle="1" w:styleId="122">
    <w:name w:val="font31"/>
    <w:qFormat/>
    <w:uiPriority w:val="0"/>
    <w:rPr>
      <w:rFonts w:hint="eastAsia" w:ascii="宋体" w:hAnsi="宋体" w:eastAsia="宋体" w:cs="宋体"/>
      <w:color w:val="000000"/>
      <w:sz w:val="18"/>
      <w:szCs w:val="18"/>
      <w:u w:val="none"/>
    </w:rPr>
  </w:style>
  <w:style w:type="paragraph" w:customStyle="1" w:styleId="123">
    <w:name w:val="Char1 Char Char Char Char Char Char Char Char Char1"/>
    <w:basedOn w:val="1"/>
    <w:qFormat/>
    <w:uiPriority w:val="0"/>
    <w:pPr>
      <w:widowControl w:val="0"/>
      <w:textAlignment w:val="auto"/>
    </w:pPr>
  </w:style>
  <w:style w:type="paragraph" w:customStyle="1" w:styleId="124">
    <w:name w:val="Char Char Char Char11"/>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25">
    <w:name w:val="Char2"/>
    <w:basedOn w:val="1"/>
    <w:qFormat/>
    <w:uiPriority w:val="0"/>
    <w:pPr>
      <w:widowControl w:val="0"/>
      <w:adjustRightInd w:val="0"/>
      <w:spacing w:line="360" w:lineRule="auto"/>
      <w:textAlignment w:val="auto"/>
    </w:pPr>
    <w:rPr>
      <w:kern w:val="0"/>
      <w:sz w:val="24"/>
    </w:rPr>
  </w:style>
  <w:style w:type="paragraph" w:customStyle="1" w:styleId="126">
    <w:name w:val="Char Char Char1"/>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27">
    <w:name w:val="纯文本2"/>
    <w:basedOn w:val="1"/>
    <w:qFormat/>
    <w:uiPriority w:val="0"/>
    <w:pPr>
      <w:widowControl w:val="0"/>
      <w:textAlignment w:val="auto"/>
    </w:pPr>
    <w:rPr>
      <w:rFonts w:ascii="宋体" w:hAnsi="Courier New" w:cs="Courier New"/>
      <w:sz w:val="24"/>
      <w:szCs w:val="21"/>
    </w:rPr>
  </w:style>
  <w:style w:type="paragraph" w:customStyle="1" w:styleId="128">
    <w:name w:val="Char Char12"/>
    <w:basedOn w:val="1"/>
    <w:qFormat/>
    <w:uiPriority w:val="0"/>
    <w:pPr>
      <w:widowControl w:val="0"/>
      <w:adjustRightInd w:val="0"/>
      <w:spacing w:line="360" w:lineRule="atLeast"/>
      <w:jc w:val="left"/>
    </w:pPr>
    <w:rPr>
      <w:kern w:val="0"/>
      <w:sz w:val="24"/>
    </w:rPr>
  </w:style>
  <w:style w:type="paragraph" w:customStyle="1" w:styleId="129">
    <w:name w:val="Char Char Char Char1 Char Char Char Char Char Char Char1"/>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30">
    <w:name w:val="Char Char2"/>
    <w:basedOn w:val="1"/>
    <w:qFormat/>
    <w:uiPriority w:val="0"/>
    <w:pPr>
      <w:widowControl w:val="0"/>
      <w:adjustRightInd w:val="0"/>
      <w:spacing w:line="360" w:lineRule="atLeast"/>
      <w:jc w:val="left"/>
    </w:pPr>
    <w:rPr>
      <w:kern w:val="0"/>
      <w:sz w:val="24"/>
    </w:rPr>
  </w:style>
  <w:style w:type="paragraph" w:customStyle="1" w:styleId="131">
    <w:name w:val="Char Char Char Char2"/>
    <w:basedOn w:val="1"/>
    <w:qFormat/>
    <w:uiPriority w:val="0"/>
    <w:pPr>
      <w:widowControl w:val="0"/>
      <w:adjustRightInd w:val="0"/>
      <w:spacing w:line="360" w:lineRule="auto"/>
      <w:textAlignment w:val="auto"/>
    </w:pPr>
    <w:rPr>
      <w:kern w:val="0"/>
      <w:sz w:val="24"/>
      <w:szCs w:val="20"/>
    </w:rPr>
  </w:style>
  <w:style w:type="paragraph" w:customStyle="1" w:styleId="132">
    <w:name w:val="Char1 Char1"/>
    <w:basedOn w:val="1"/>
    <w:qFormat/>
    <w:uiPriority w:val="0"/>
    <w:pPr>
      <w:widowControl w:val="0"/>
      <w:adjustRightInd w:val="0"/>
      <w:spacing w:line="360" w:lineRule="atLeast"/>
      <w:jc w:val="left"/>
    </w:pPr>
    <w:rPr>
      <w:kern w:val="0"/>
      <w:sz w:val="24"/>
    </w:rPr>
  </w:style>
  <w:style w:type="paragraph" w:customStyle="1" w:styleId="133">
    <w:name w:val="Char11"/>
    <w:basedOn w:val="1"/>
    <w:qFormat/>
    <w:uiPriority w:val="0"/>
    <w:pPr>
      <w:widowControl w:val="0"/>
      <w:textAlignment w:val="auto"/>
    </w:pPr>
    <w:rPr>
      <w:sz w:val="24"/>
    </w:rPr>
  </w:style>
  <w:style w:type="paragraph" w:customStyle="1" w:styleId="134">
    <w:name w:val="正文文本 32"/>
    <w:basedOn w:val="1"/>
    <w:qFormat/>
    <w:uiPriority w:val="0"/>
    <w:pPr>
      <w:widowControl w:val="0"/>
      <w:adjustRightInd w:val="0"/>
      <w:spacing w:line="360" w:lineRule="auto"/>
      <w:jc w:val="center"/>
    </w:pPr>
    <w:rPr>
      <w:rFonts w:ascii="宋体"/>
      <w:b/>
      <w:color w:val="FF0000"/>
      <w:kern w:val="0"/>
      <w:sz w:val="24"/>
      <w:szCs w:val="20"/>
      <w:u w:val="single"/>
    </w:rPr>
  </w:style>
  <w:style w:type="paragraph" w:customStyle="1" w:styleId="135">
    <w:name w:val="列出段落3"/>
    <w:basedOn w:val="1"/>
    <w:unhideWhenUsed/>
    <w:qFormat/>
    <w:uiPriority w:val="34"/>
    <w:pPr>
      <w:widowControl w:val="0"/>
      <w:ind w:firstLine="420" w:firstLineChars="200"/>
      <w:textAlignment w:val="auto"/>
    </w:pPr>
    <w:rPr>
      <w:rFonts w:hint="eastAsia"/>
    </w:rPr>
  </w:style>
  <w:style w:type="paragraph" w:customStyle="1" w:styleId="136">
    <w:name w:val="Char Char Char Char1 Char Char Char1"/>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37">
    <w:name w:val="正文6q"/>
    <w:basedOn w:val="1"/>
    <w:qFormat/>
    <w:uiPriority w:val="0"/>
    <w:pPr>
      <w:tabs>
        <w:tab w:val="left" w:pos="912"/>
        <w:tab w:val="left" w:pos="960"/>
      </w:tabs>
      <w:spacing w:line="300" w:lineRule="auto"/>
    </w:pPr>
    <w:rPr>
      <w:rFonts w:eastAsia="幼圆"/>
      <w:sz w:val="24"/>
      <w:szCs w:val="20"/>
    </w:rPr>
  </w:style>
  <w:style w:type="paragraph" w:customStyle="1" w:styleId="138">
    <w:name w:val="正文3q"/>
    <w:basedOn w:val="1"/>
    <w:qFormat/>
    <w:uiPriority w:val="0"/>
    <w:pPr>
      <w:tabs>
        <w:tab w:val="left" w:pos="840"/>
      </w:tabs>
      <w:spacing w:line="300" w:lineRule="auto"/>
    </w:pPr>
    <w:rPr>
      <w:rFonts w:eastAsia="楷体_GB2312"/>
      <w:sz w:val="24"/>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12624</Words>
  <Characters>14128</Characters>
  <Lines>1</Lines>
  <Paragraphs>1</Paragraphs>
  <TotalTime>127</TotalTime>
  <ScaleCrop>false</ScaleCrop>
  <LinksUpToDate>false</LinksUpToDate>
  <CharactersWithSpaces>14348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2025-05-06T13:52:00Z</dcterms:created>
  <dc:creator>Administrator</dc:creator>
  <cp:lastModifiedBy>李鹏程</cp:lastModifiedBy>
  <cp:lastPrinted>2025-05-12T03:03:00Z</cp:lastPrinted>
  <dcterms:modified xsi:type="dcterms:W3CDTF">2026-04-08T07:22:37Z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6A4EE13082E748D68F9A97C40283777E_13</vt:lpwstr>
  </property>
  <property fmtid="{D5CDD505-2E9C-101B-9397-08002B2CF9AE}" pid="4" name="KSOTemplateDocerSaveRecord">
    <vt:lpwstr>eyJoZGlkIjoiZGE2Mjg2YTZkZTMyMTYwY2M1OTQ5YzJlN2MyYmRjOGEiLCJ1c2VySWQiOiIxNTY5NDgyOTM2In0=</vt:lpwstr>
  </property>
</Properties>
</file>