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47E2A">
      <w:pPr>
        <w:spacing w:line="387" w:lineRule="auto"/>
        <w:rPr>
          <w:color w:val="auto"/>
          <w:highlight w:val="none"/>
        </w:rPr>
      </w:pPr>
      <w:bookmarkStart w:id="24" w:name="_GoBack"/>
      <w:r>
        <w:rPr>
          <w:color w:val="auto"/>
          <w:highlight w:val="none"/>
        </w:rPr>
        <w:drawing>
          <wp:anchor distT="0" distB="0" distL="0" distR="0" simplePos="0" relativeHeight="251659264" behindDoc="0" locked="0" layoutInCell="0" allowOverlap="1">
            <wp:simplePos x="0" y="0"/>
            <wp:positionH relativeFrom="page">
              <wp:posOffset>901700</wp:posOffset>
            </wp:positionH>
            <wp:positionV relativeFrom="page">
              <wp:posOffset>1101090</wp:posOffset>
            </wp:positionV>
            <wp:extent cx="791210" cy="656590"/>
            <wp:effectExtent l="0" t="0" r="889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5"/>
                    <a:stretch>
                      <a:fillRect/>
                    </a:stretch>
                  </pic:blipFill>
                  <pic:spPr>
                    <a:xfrm>
                      <a:off x="0" y="0"/>
                      <a:ext cx="791210" cy="656590"/>
                    </a:xfrm>
                    <a:prstGeom prst="rect">
                      <a:avLst/>
                    </a:prstGeom>
                  </pic:spPr>
                </pic:pic>
              </a:graphicData>
            </a:graphic>
          </wp:anchor>
        </w:drawing>
      </w:r>
    </w:p>
    <w:p w14:paraId="1ECEEE9E">
      <w:pPr>
        <w:spacing w:before="95" w:line="227" w:lineRule="auto"/>
        <w:ind w:firstLine="1262"/>
        <w:rPr>
          <w:rFonts w:ascii="黑体" w:hAnsi="黑体" w:eastAsia="黑体" w:cs="黑体"/>
          <w:color w:val="auto"/>
          <w:sz w:val="29"/>
          <w:szCs w:val="29"/>
          <w:highlight w:val="none"/>
        </w:rPr>
      </w:pPr>
      <w:r>
        <w:rPr>
          <w:rFonts w:ascii="黑体" w:hAnsi="黑体" w:eastAsia="黑体" w:cs="黑体"/>
          <w:color w:val="auto"/>
          <w:spacing w:val="11"/>
          <w:sz w:val="29"/>
          <w:szCs w:val="29"/>
          <w:highlight w:val="none"/>
          <w14:textOutline w14:w="5448" w14:cap="sq" w14:cmpd="sng" w14:algn="ctr">
            <w14:solidFill>
              <w14:srgbClr w14:val="000000"/>
            </w14:solidFill>
            <w14:prstDash w14:val="solid"/>
            <w14:bevel/>
          </w14:textOutline>
        </w:rPr>
        <w:t>伊犁</w:t>
      </w:r>
      <w:r>
        <w:rPr>
          <w:rFonts w:ascii="黑体" w:hAnsi="黑体" w:eastAsia="黑体" w:cs="黑体"/>
          <w:color w:val="auto"/>
          <w:spacing w:val="10"/>
          <w:sz w:val="29"/>
          <w:szCs w:val="29"/>
          <w:highlight w:val="none"/>
          <w14:textOutline w14:w="5448" w14:cap="sq" w14:cmpd="sng" w14:algn="ctr">
            <w14:solidFill>
              <w14:srgbClr w14:val="000000"/>
            </w14:solidFill>
            <w14:prstDash w14:val="solid"/>
            <w14:bevel/>
          </w14:textOutline>
        </w:rPr>
        <w:t>新天煤化工有限责任公司</w:t>
      </w:r>
    </w:p>
    <w:p w14:paraId="606C7843">
      <w:pPr>
        <w:spacing w:line="256" w:lineRule="auto"/>
        <w:rPr>
          <w:color w:val="auto"/>
          <w:highlight w:val="none"/>
        </w:rPr>
      </w:pPr>
    </w:p>
    <w:p w14:paraId="0309A2D1">
      <w:pPr>
        <w:spacing w:line="256" w:lineRule="auto"/>
        <w:rPr>
          <w:color w:val="auto"/>
          <w:highlight w:val="none"/>
        </w:rPr>
      </w:pPr>
    </w:p>
    <w:p w14:paraId="0A6413CB">
      <w:pPr>
        <w:spacing w:line="256" w:lineRule="auto"/>
        <w:rPr>
          <w:color w:val="auto"/>
          <w:highlight w:val="none"/>
        </w:rPr>
      </w:pPr>
    </w:p>
    <w:p w14:paraId="47232770">
      <w:pPr>
        <w:spacing w:line="256" w:lineRule="auto"/>
        <w:rPr>
          <w:color w:val="auto"/>
          <w:highlight w:val="none"/>
        </w:rPr>
      </w:pPr>
    </w:p>
    <w:p w14:paraId="1E9FF952">
      <w:pPr>
        <w:spacing w:line="256" w:lineRule="auto"/>
        <w:rPr>
          <w:color w:val="auto"/>
          <w:highlight w:val="none"/>
        </w:rPr>
      </w:pPr>
    </w:p>
    <w:p w14:paraId="266311E8">
      <w:pPr>
        <w:spacing w:line="257" w:lineRule="auto"/>
        <w:rPr>
          <w:color w:val="auto"/>
          <w:highlight w:val="none"/>
        </w:rPr>
      </w:pPr>
    </w:p>
    <w:p w14:paraId="7845342C">
      <w:pPr>
        <w:spacing w:line="257" w:lineRule="auto"/>
        <w:rPr>
          <w:color w:val="auto"/>
          <w:highlight w:val="none"/>
        </w:rPr>
      </w:pPr>
    </w:p>
    <w:p w14:paraId="01AAEC47">
      <w:pPr>
        <w:spacing w:line="257" w:lineRule="auto"/>
        <w:rPr>
          <w:color w:val="auto"/>
          <w:highlight w:val="none"/>
        </w:rPr>
      </w:pPr>
    </w:p>
    <w:p w14:paraId="77823359">
      <w:pPr>
        <w:spacing w:before="169" w:line="343" w:lineRule="auto"/>
        <w:ind w:left="2420" w:right="224" w:hanging="2085"/>
        <w:jc w:val="center"/>
        <w:rPr>
          <w:rFonts w:ascii="黑体" w:hAnsi="黑体" w:eastAsia="黑体" w:cs="黑体"/>
          <w:color w:val="auto"/>
          <w:sz w:val="52"/>
          <w:szCs w:val="52"/>
          <w:highlight w:val="none"/>
        </w:rPr>
      </w:pPr>
      <w:r>
        <w:rPr>
          <w:rFonts w:ascii="黑体" w:hAnsi="黑体" w:eastAsia="黑体" w:cs="黑体"/>
          <w:color w:val="auto"/>
          <w:spacing w:val="1"/>
          <w:sz w:val="52"/>
          <w:szCs w:val="52"/>
          <w:highlight w:val="none"/>
          <w14:textOutline w14:w="9461" w14:cap="sq" w14:cmpd="sng" w14:algn="ctr">
            <w14:solidFill>
              <w14:srgbClr w14:val="000000"/>
            </w14:solidFill>
            <w14:prstDash w14:val="solid"/>
            <w14:bevel/>
          </w14:textOutline>
        </w:rPr>
        <w:t>煤气水分离双介质过滤</w:t>
      </w:r>
      <w:r>
        <w:rPr>
          <w:rFonts w:ascii="黑体" w:hAnsi="黑体" w:eastAsia="黑体" w:cs="黑体"/>
          <w:color w:val="auto"/>
          <w:sz w:val="52"/>
          <w:szCs w:val="52"/>
          <w:highlight w:val="none"/>
          <w14:textOutline w14:w="9461" w14:cap="sq" w14:cmpd="sng" w14:algn="ctr">
            <w14:solidFill>
              <w14:srgbClr w14:val="000000"/>
            </w14:solidFill>
            <w14:prstDash w14:val="solid"/>
            <w14:bevel/>
          </w14:textOutline>
        </w:rPr>
        <w:t>器、</w:t>
      </w:r>
      <w:r>
        <w:rPr>
          <w:rFonts w:hint="eastAsia" w:ascii="黑体" w:hAnsi="黑体" w:eastAsia="黑体" w:cs="黑体"/>
          <w:color w:val="auto"/>
          <w:sz w:val="52"/>
          <w:szCs w:val="52"/>
          <w:highlight w:val="none"/>
          <w14:textOutline w14:w="9461" w14:cap="sq" w14:cmpd="sng" w14:algn="ctr">
            <w14:solidFill>
              <w14:srgbClr w14:val="000000"/>
            </w14:solidFill>
            <w14:prstDash w14:val="solid"/>
            <w14:bevel/>
          </w14:textOutline>
        </w:rPr>
        <w:t>最终油</w:t>
      </w:r>
    </w:p>
    <w:p w14:paraId="19E1E439">
      <w:pPr>
        <w:spacing w:before="169" w:line="343" w:lineRule="auto"/>
        <w:ind w:left="2420" w:right="224" w:hanging="2085"/>
        <w:jc w:val="center"/>
        <w:rPr>
          <w:rFonts w:hint="eastAsia" w:ascii="黑体" w:hAnsi="黑体" w:eastAsia="黑体" w:cs="黑体"/>
          <w:color w:val="auto"/>
          <w:sz w:val="52"/>
          <w:szCs w:val="52"/>
          <w:highlight w:val="none"/>
          <w:lang w:eastAsia="zh-CN"/>
        </w:rPr>
      </w:pPr>
      <w:r>
        <w:rPr>
          <w:rFonts w:hint="eastAsia" w:ascii="黑体" w:hAnsi="黑体" w:eastAsia="黑体" w:cs="黑体"/>
          <w:color w:val="auto"/>
          <w:sz w:val="52"/>
          <w:szCs w:val="52"/>
          <w:highlight w:val="none"/>
          <w14:textOutline w14:w="9461" w14:cap="sq" w14:cmpd="sng" w14:algn="ctr">
            <w14:solidFill>
              <w14:srgbClr w14:val="000000"/>
            </w14:solidFill>
            <w14:prstDash w14:val="solid"/>
            <w14:bevel/>
          </w14:textOutline>
        </w:rPr>
        <w:t>分离器</w:t>
      </w:r>
      <w:r>
        <w:rPr>
          <w:rFonts w:ascii="黑体" w:hAnsi="黑体" w:eastAsia="黑体" w:cs="黑体"/>
          <w:color w:val="auto"/>
          <w:sz w:val="52"/>
          <w:szCs w:val="52"/>
          <w:highlight w:val="none"/>
          <w14:textOutline w14:w="9461" w14:cap="sq" w14:cmpd="sng" w14:algn="ctr">
            <w14:solidFill>
              <w14:srgbClr w14:val="000000"/>
            </w14:solidFill>
            <w14:prstDash w14:val="solid"/>
            <w14:bevel/>
          </w14:textOutline>
        </w:rPr>
        <w:t>更换滤料</w:t>
      </w:r>
      <w:r>
        <w:rPr>
          <w:rFonts w:hint="eastAsia" w:ascii="黑体" w:hAnsi="黑体" w:eastAsia="黑体" w:cs="黑体"/>
          <w:color w:val="auto"/>
          <w:spacing w:val="-1"/>
          <w:sz w:val="52"/>
          <w:szCs w:val="52"/>
          <w:highlight w:val="none"/>
          <w:lang w:val="en-US" w:eastAsia="zh-CN"/>
          <w14:textOutline w14:w="9461" w14:cap="sq" w14:cmpd="sng" w14:algn="ctr">
            <w14:solidFill>
              <w14:srgbClr w14:val="000000"/>
            </w14:solidFill>
            <w14:prstDash w14:val="solid"/>
            <w14:bevel/>
          </w14:textOutline>
        </w:rPr>
        <w:t>服务</w:t>
      </w:r>
    </w:p>
    <w:p w14:paraId="3AE7BC83">
      <w:pPr>
        <w:spacing w:line="280" w:lineRule="auto"/>
        <w:rPr>
          <w:color w:val="auto"/>
          <w:highlight w:val="none"/>
        </w:rPr>
      </w:pPr>
    </w:p>
    <w:p w14:paraId="3DFAE3A1">
      <w:pPr>
        <w:spacing w:line="280" w:lineRule="auto"/>
        <w:rPr>
          <w:color w:val="auto"/>
          <w:highlight w:val="none"/>
        </w:rPr>
      </w:pPr>
    </w:p>
    <w:p w14:paraId="75EF5617">
      <w:pPr>
        <w:spacing w:line="280" w:lineRule="auto"/>
        <w:rPr>
          <w:color w:val="auto"/>
          <w:highlight w:val="none"/>
        </w:rPr>
      </w:pPr>
    </w:p>
    <w:p w14:paraId="2D5B7EFA">
      <w:pPr>
        <w:spacing w:line="280" w:lineRule="auto"/>
        <w:rPr>
          <w:color w:val="auto"/>
          <w:highlight w:val="none"/>
        </w:rPr>
      </w:pPr>
    </w:p>
    <w:p w14:paraId="39C82A55">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编制：</w:t>
      </w:r>
    </w:p>
    <w:p w14:paraId="7F7D5190">
      <w:pPr>
        <w:ind w:firstLine="3614" w:firstLineChars="1200"/>
        <w:rPr>
          <w:rFonts w:ascii="宋体" w:hAnsi="宋体" w:cs="宋体"/>
          <w:b/>
          <w:bCs/>
          <w:color w:val="auto"/>
          <w:sz w:val="30"/>
          <w:szCs w:val="30"/>
          <w:highlight w:val="none"/>
        </w:rPr>
      </w:pPr>
    </w:p>
    <w:p w14:paraId="3B530C27">
      <w:pPr>
        <w:ind w:firstLine="2711" w:firstLineChars="900"/>
        <w:jc w:val="center"/>
        <w:rPr>
          <w:rFonts w:ascii="宋体" w:hAnsi="宋体" w:cs="宋体"/>
          <w:b/>
          <w:bCs/>
          <w:color w:val="auto"/>
          <w:sz w:val="30"/>
          <w:szCs w:val="30"/>
          <w:highlight w:val="none"/>
        </w:rPr>
      </w:pPr>
    </w:p>
    <w:p w14:paraId="21975C11">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审核：</w:t>
      </w:r>
    </w:p>
    <w:p w14:paraId="02114C22">
      <w:pPr>
        <w:ind w:firstLine="3614" w:firstLineChars="1200"/>
        <w:rPr>
          <w:rFonts w:ascii="宋体" w:hAnsi="宋体" w:cs="宋体"/>
          <w:b/>
          <w:bCs/>
          <w:color w:val="auto"/>
          <w:sz w:val="30"/>
          <w:szCs w:val="30"/>
          <w:highlight w:val="none"/>
        </w:rPr>
      </w:pPr>
    </w:p>
    <w:p w14:paraId="609571A3">
      <w:pPr>
        <w:ind w:firstLine="2711" w:firstLineChars="90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 xml:space="preserve"> </w:t>
      </w:r>
    </w:p>
    <w:p w14:paraId="769F06E9">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审定：</w:t>
      </w:r>
    </w:p>
    <w:p w14:paraId="3A807597">
      <w:pPr>
        <w:ind w:firstLine="3614" w:firstLineChars="1200"/>
        <w:rPr>
          <w:rFonts w:ascii="宋体" w:hAnsi="宋体" w:cs="宋体"/>
          <w:b/>
          <w:bCs/>
          <w:color w:val="auto"/>
          <w:sz w:val="30"/>
          <w:szCs w:val="30"/>
          <w:highlight w:val="none"/>
        </w:rPr>
      </w:pPr>
    </w:p>
    <w:p w14:paraId="0750B42B">
      <w:pPr>
        <w:ind w:firstLine="2409" w:firstLineChars="800"/>
        <w:jc w:val="center"/>
        <w:rPr>
          <w:rFonts w:ascii="宋体" w:hAnsi="宋体" w:cs="宋体"/>
          <w:b/>
          <w:bCs/>
          <w:color w:val="auto"/>
          <w:sz w:val="30"/>
          <w:szCs w:val="30"/>
          <w:highlight w:val="none"/>
        </w:rPr>
      </w:pPr>
    </w:p>
    <w:p w14:paraId="168E8D2C">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批准：</w:t>
      </w:r>
    </w:p>
    <w:p w14:paraId="7771E93E">
      <w:pPr>
        <w:ind w:firstLine="2240" w:firstLineChars="800"/>
        <w:jc w:val="center"/>
        <w:rPr>
          <w:rFonts w:ascii="宋体" w:hAnsi="宋体" w:cs="宋体"/>
          <w:color w:val="auto"/>
          <w:sz w:val="28"/>
          <w:szCs w:val="28"/>
          <w:highlight w:val="none"/>
        </w:rPr>
      </w:pPr>
    </w:p>
    <w:p w14:paraId="7051B721">
      <w:pPr>
        <w:jc w:val="center"/>
        <w:rPr>
          <w:rFonts w:ascii="宋体" w:hAnsi="宋体" w:cs="宋体"/>
          <w:b/>
          <w:bCs/>
          <w:color w:val="auto"/>
          <w:sz w:val="30"/>
          <w:szCs w:val="30"/>
          <w:highlight w:val="none"/>
        </w:rPr>
      </w:pPr>
    </w:p>
    <w:p w14:paraId="6071EA3E">
      <w:pPr>
        <w:jc w:val="center"/>
        <w:rPr>
          <w:rFonts w:ascii="宋体" w:hAnsi="宋体" w:cs="宋体"/>
          <w:b/>
          <w:bCs/>
          <w:color w:val="auto"/>
          <w:sz w:val="30"/>
          <w:szCs w:val="30"/>
          <w:highlight w:val="none"/>
        </w:rPr>
      </w:pPr>
    </w:p>
    <w:p w14:paraId="3C8E6AB5">
      <w:pPr>
        <w:spacing w:before="91" w:line="221" w:lineRule="auto"/>
        <w:ind w:firstLine="2108" w:firstLineChars="700"/>
        <w:jc w:val="center"/>
        <w:rPr>
          <w:rFonts w:ascii="宋体" w:hAnsi="宋体" w:cs="宋体"/>
          <w:b/>
          <w:bCs/>
          <w:color w:val="auto"/>
          <w:sz w:val="30"/>
          <w:szCs w:val="30"/>
          <w:highlight w:val="none"/>
        </w:rPr>
      </w:pPr>
    </w:p>
    <w:p w14:paraId="6952F0FC">
      <w:pPr>
        <w:spacing w:before="91" w:line="221" w:lineRule="auto"/>
        <w:ind w:firstLine="3313" w:firstLineChars="1100"/>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t>202</w:t>
      </w:r>
      <w:r>
        <w:rPr>
          <w:rFonts w:hint="eastAsia" w:ascii="宋体" w:hAnsi="宋体" w:cs="宋体"/>
          <w:b/>
          <w:bCs/>
          <w:color w:val="auto"/>
          <w:sz w:val="30"/>
          <w:szCs w:val="30"/>
          <w:highlight w:val="none"/>
          <w:lang w:val="en-US" w:eastAsia="zh-CN"/>
        </w:rPr>
        <w:t>6</w:t>
      </w:r>
      <w:r>
        <w:rPr>
          <w:rFonts w:hint="eastAsia" w:ascii="宋体" w:hAnsi="宋体" w:cs="宋体"/>
          <w:b/>
          <w:bCs/>
          <w:color w:val="auto"/>
          <w:sz w:val="30"/>
          <w:szCs w:val="30"/>
          <w:highlight w:val="none"/>
        </w:rPr>
        <w:t>年01月</w:t>
      </w:r>
    </w:p>
    <w:p w14:paraId="7D73E013">
      <w:pPr>
        <w:spacing w:before="91" w:line="221" w:lineRule="auto"/>
        <w:ind w:firstLine="3313" w:firstLineChars="1100"/>
        <w:rPr>
          <w:rFonts w:hint="eastAsia" w:ascii="宋体" w:hAnsi="宋体" w:cs="宋体"/>
          <w:b/>
          <w:bCs/>
          <w:color w:val="auto"/>
          <w:sz w:val="30"/>
          <w:szCs w:val="30"/>
          <w:highlight w:val="none"/>
        </w:rPr>
      </w:pPr>
    </w:p>
    <w:p w14:paraId="2DF53DE4">
      <w:pPr>
        <w:spacing w:before="91" w:line="221" w:lineRule="auto"/>
        <w:rPr>
          <w:rFonts w:ascii="宋体" w:hAnsi="宋体" w:cs="宋体"/>
          <w:b/>
          <w:bCs/>
          <w:color w:val="auto"/>
          <w:sz w:val="30"/>
          <w:szCs w:val="30"/>
          <w:highlight w:val="none"/>
        </w:rPr>
      </w:pPr>
    </w:p>
    <w:p w14:paraId="0F44FE23">
      <w:pPr>
        <w:spacing w:before="91" w:line="221" w:lineRule="auto"/>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sdt>
      <w:sdtPr>
        <w:rPr>
          <w:rFonts w:hint="eastAsia" w:ascii="黑体" w:hAnsi="黑体" w:eastAsia="黑体" w:cs="黑体"/>
          <w:snapToGrid w:val="0"/>
          <w:color w:val="auto"/>
          <w:sz w:val="44"/>
          <w:szCs w:val="44"/>
          <w:highlight w:val="none"/>
          <w:lang w:val="en-US" w:eastAsia="zh-CN" w:bidi="ar-SA"/>
        </w:rPr>
        <w:id w:val="147467293"/>
        <w15:color w:val="DBDBDB"/>
        <w:docPartObj>
          <w:docPartGallery w:val="Table of Contents"/>
          <w:docPartUnique/>
        </w:docPartObj>
      </w:sdtPr>
      <w:sdtEndPr>
        <w:rPr>
          <w:rFonts w:hint="eastAsia" w:ascii="宋体" w:hAnsi="宋体" w:eastAsia="宋体" w:cs="宋体"/>
          <w:bCs/>
          <w:snapToGrid/>
          <w:color w:val="auto"/>
          <w:spacing w:val="-2"/>
          <w:kern w:val="2"/>
          <w:sz w:val="24"/>
          <w:szCs w:val="28"/>
          <w:highlight w:val="none"/>
          <w:lang w:val="en-US" w:eastAsia="zh-CN" w:bidi="ar-SA"/>
          <w14:textOutline w14:w="5105" w14:cap="sq" w14:cmpd="sng" w14:algn="ctr">
            <w14:solidFill>
              <w14:srgbClr w14:val="000000"/>
            </w14:solidFill>
            <w14:prstDash w14:val="solid"/>
            <w14:bevel/>
          </w14:textOutline>
        </w:rPr>
      </w:sdtEndPr>
      <w:sdtContent>
        <w:p w14:paraId="46FEEE0B">
          <w:pPr>
            <w:spacing w:before="0" w:beforeLines="0" w:after="0" w:afterLines="0" w:line="240" w:lineRule="auto"/>
            <w:ind w:left="0" w:leftChars="0" w:right="0" w:rightChars="0" w:firstLine="0" w:firstLineChars="0"/>
            <w:jc w:val="center"/>
            <w:rPr>
              <w:rFonts w:hint="eastAsia" w:ascii="黑体" w:hAnsi="黑体" w:eastAsia="黑体" w:cs="黑体"/>
              <w:color w:val="auto"/>
              <w:sz w:val="44"/>
              <w:szCs w:val="44"/>
              <w:highlight w:val="none"/>
            </w:rPr>
          </w:pPr>
          <w:r>
            <w:rPr>
              <w:rFonts w:hint="eastAsia" w:ascii="黑体" w:hAnsi="黑体" w:eastAsia="黑体" w:cs="黑体"/>
              <w:color w:val="auto"/>
              <w:sz w:val="44"/>
              <w:szCs w:val="44"/>
              <w:highlight w:val="none"/>
            </w:rPr>
            <w:t>目录</w:t>
          </w:r>
        </w:p>
        <w:p w14:paraId="5EE6A84E">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fldChar w:fldCharType="begin"/>
          </w:r>
          <w: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instrText xml:space="preserve">TOC \o "1-1" \h \u </w:instrText>
          </w:r>
          <w: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_Toc30064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rPr>
            <w:t>1 总则</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_Toc30064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3</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2FDF2BEC">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_Toc30393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2</w:t>
          </w:r>
          <w:r>
            <w:rPr>
              <w:rFonts w:hint="eastAsia" w:ascii="华文仿宋" w:hAnsi="华文仿宋" w:eastAsia="华文仿宋" w:cs="华文仿宋"/>
              <w:color w:val="auto"/>
              <w:sz w:val="30"/>
              <w:szCs w:val="30"/>
              <w:highlight w:val="none"/>
            </w:rPr>
            <w:t xml:space="preserve"> 工程概况</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_Toc30393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3</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5279B8CC">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_Toc29232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3 项目范围及工期</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_Toc29232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4</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243176CF">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_Toc14915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4 项目内容及要求</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_Toc14915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4</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33FAC154">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_Toc18777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4.4 施工</w:t>
          </w:r>
          <w:r>
            <w:rPr>
              <w:rFonts w:hint="eastAsia" w:ascii="华文仿宋" w:hAnsi="华文仿宋" w:eastAsia="华文仿宋" w:cs="华文仿宋"/>
              <w:color w:val="auto"/>
              <w:sz w:val="30"/>
              <w:szCs w:val="30"/>
              <w:highlight w:val="none"/>
            </w:rPr>
            <w:t>要求</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_Toc18777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8</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08C361CF">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_Toc25115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rPr>
            <w:t>5</w:t>
          </w:r>
          <w:r>
            <w:rPr>
              <w:rFonts w:hint="eastAsia" w:ascii="华文仿宋" w:hAnsi="华文仿宋" w:eastAsia="华文仿宋" w:cs="华文仿宋"/>
              <w:color w:val="auto"/>
              <w:sz w:val="30"/>
              <w:szCs w:val="30"/>
              <w:highlight w:val="none"/>
              <w:lang w:val="en-US" w:eastAsia="zh-CN"/>
            </w:rPr>
            <w:t xml:space="preserve"> 投标方应达到的目标</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_Toc25115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10</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16E9291E">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_Toc4596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rPr>
            <w:t>6 资质</w:t>
          </w:r>
          <w:r>
            <w:rPr>
              <w:rFonts w:hint="eastAsia" w:ascii="华文仿宋" w:hAnsi="华文仿宋" w:eastAsia="华文仿宋" w:cs="华文仿宋"/>
              <w:color w:val="auto"/>
              <w:sz w:val="30"/>
              <w:szCs w:val="30"/>
              <w:highlight w:val="none"/>
              <w:lang w:val="en-US" w:eastAsia="zh-CN"/>
            </w:rPr>
            <w:t>条件</w:t>
          </w:r>
          <w:r>
            <w:rPr>
              <w:rFonts w:hint="eastAsia" w:ascii="华文仿宋" w:hAnsi="华文仿宋" w:eastAsia="华文仿宋" w:cs="华文仿宋"/>
              <w:color w:val="auto"/>
              <w:sz w:val="30"/>
              <w:szCs w:val="30"/>
              <w:highlight w:val="none"/>
            </w:rPr>
            <w:t>及人员要求</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_Toc4596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12</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4A090325">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_Toc28537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7 安全要求</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_Toc28537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14</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258ACCB7">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_Toc15722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8 双方职责</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_Toc15722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16</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43C4A3CA">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_Toc22276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 xml:space="preserve">9 </w:t>
          </w:r>
          <w:r>
            <w:rPr>
              <w:rFonts w:hint="eastAsia" w:ascii="华文仿宋" w:hAnsi="华文仿宋" w:eastAsia="华文仿宋" w:cs="华文仿宋"/>
              <w:color w:val="auto"/>
              <w:sz w:val="30"/>
              <w:szCs w:val="30"/>
              <w:highlight w:val="none"/>
            </w:rPr>
            <w:t>安健环及文明施工、危险源（环境因素）控制要求</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_Toc22276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19</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23E844E8">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_Toc6943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10 考核</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_Toc6943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21</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60219BAF">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_Toc2692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11 附则</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_Toc2692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21</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52CD5B0E">
          <w:pPr>
            <w:pStyle w:val="8"/>
            <w:keepNext w:val="0"/>
            <w:keepLines w:val="0"/>
            <w:pageBreakBefore w:val="0"/>
            <w:widowControl/>
            <w:tabs>
              <w:tab w:val="right" w:leader="dot" w:pos="9354"/>
            </w:tabs>
            <w:kinsoku w:val="0"/>
            <w:wordWrap/>
            <w:overflowPunct/>
            <w:topLinePunct w:val="0"/>
            <w:autoSpaceDE w:val="0"/>
            <w:autoSpaceDN w:val="0"/>
            <w:bidi w:val="0"/>
            <w:adjustRightInd w:val="0"/>
            <w:snapToGrid w:val="0"/>
            <w:spacing w:line="360" w:lineRule="auto"/>
            <w:textAlignment w:val="baseline"/>
            <w:rPr>
              <w:color w:val="auto"/>
              <w:highlight w:val="none"/>
            </w:rPr>
          </w:pP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begin"/>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instrText xml:space="preserve"> HYPERLINK \l _Toc32228 </w:instrText>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separate"/>
          </w:r>
          <w:r>
            <w:rPr>
              <w:rFonts w:hint="eastAsia" w:ascii="华文仿宋" w:hAnsi="华文仿宋" w:eastAsia="华文仿宋" w:cs="华文仿宋"/>
              <w:color w:val="auto"/>
              <w:sz w:val="30"/>
              <w:szCs w:val="30"/>
              <w:highlight w:val="none"/>
              <w:lang w:val="en-US" w:eastAsia="zh-CN"/>
            </w:rPr>
            <w:t>12 附录附表</w:t>
          </w:r>
          <w:r>
            <w:rPr>
              <w:rFonts w:hint="eastAsia" w:ascii="华文仿宋" w:hAnsi="华文仿宋" w:eastAsia="华文仿宋" w:cs="华文仿宋"/>
              <w:color w:val="auto"/>
              <w:sz w:val="30"/>
              <w:szCs w:val="30"/>
              <w:highlight w:val="none"/>
            </w:rPr>
            <w:tab/>
          </w: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PAGEREF _Toc32228 \h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 w:val="30"/>
              <w:szCs w:val="30"/>
              <w:highlight w:val="none"/>
            </w:rPr>
            <w:t>22</w:t>
          </w:r>
          <w:r>
            <w:rPr>
              <w:rFonts w:hint="eastAsia" w:ascii="华文仿宋" w:hAnsi="华文仿宋" w:eastAsia="华文仿宋" w:cs="华文仿宋"/>
              <w:color w:val="auto"/>
              <w:sz w:val="30"/>
              <w:szCs w:val="30"/>
              <w:highlight w:val="none"/>
            </w:rPr>
            <w:fldChar w:fldCharType="end"/>
          </w:r>
          <w:r>
            <w:rPr>
              <w:rFonts w:hint="eastAsia" w:ascii="华文仿宋" w:hAnsi="华文仿宋" w:eastAsia="华文仿宋" w:cs="华文仿宋"/>
              <w:color w:val="auto"/>
              <w:spacing w:val="-2"/>
              <w:sz w:val="30"/>
              <w:szCs w:val="30"/>
              <w:highlight w:val="none"/>
              <w14:textOutline w14:w="5105" w14:cap="sq" w14:cmpd="sng" w14:algn="ctr">
                <w14:solidFill>
                  <w14:srgbClr w14:val="000000"/>
                </w14:solidFill>
                <w14:prstDash w14:val="solid"/>
                <w14:bevel/>
              </w14:textOutline>
            </w:rPr>
            <w:fldChar w:fldCharType="end"/>
          </w:r>
        </w:p>
        <w:p w14:paraId="04A75604">
          <w:pPr>
            <w:pStyle w:val="3"/>
            <w:rPr>
              <w:rFonts w:ascii="宋体" w:hAnsi="宋体" w:eastAsia="宋体" w:cs="宋体"/>
              <w:bCs/>
              <w:snapToGrid/>
              <w:color w:val="auto"/>
              <w:spacing w:val="-2"/>
              <w:kern w:val="2"/>
              <w:sz w:val="24"/>
              <w:szCs w:val="28"/>
              <w:highlight w:val="none"/>
              <w:lang w:val="en-US" w:eastAsia="zh-CN" w:bidi="ar-SA"/>
              <w14:textOutline w14:w="5105" w14:cap="sq" w14:cmpd="sng" w14:algn="ctr">
                <w14:solidFill>
                  <w14:srgbClr w14:val="000000"/>
                </w14:solidFill>
                <w14:prstDash w14:val="solid"/>
                <w14:bevel/>
              </w14:textOutline>
            </w:rPr>
          </w:pPr>
          <w:r>
            <w:rPr>
              <w:rFonts w:ascii="宋体" w:hAnsi="宋体" w:eastAsia="宋体" w:cs="宋体"/>
              <w:color w:val="auto"/>
              <w:spacing w:val="-2"/>
              <w:szCs w:val="28"/>
              <w:highlight w:val="none"/>
              <w14:textOutline w14:w="5105" w14:cap="sq" w14:cmpd="sng" w14:algn="ctr">
                <w14:solidFill>
                  <w14:srgbClr w14:val="000000"/>
                </w14:solidFill>
                <w14:prstDash w14:val="solid"/>
                <w14:bevel/>
              </w14:textOutline>
            </w:rPr>
            <w:fldChar w:fldCharType="end"/>
          </w:r>
        </w:p>
      </w:sdtContent>
    </w:sdt>
    <w:p w14:paraId="197066FA">
      <w:pPr>
        <w:rPr>
          <w:color w:val="auto"/>
          <w:highlight w:val="none"/>
        </w:rPr>
      </w:pPr>
    </w:p>
    <w:p w14:paraId="0AC319E9">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18DED12C">
      <w:pPr>
        <w:pStyle w:val="3"/>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10BFFFAD">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0A147D5B">
      <w:pPr>
        <w:pStyle w:val="3"/>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55E2043A">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6207CB9E">
      <w:pPr>
        <w:pStyle w:val="3"/>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21753C86">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7C5A962E">
      <w:pPr>
        <w:pStyle w:val="3"/>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0B04C371">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3AFCE3F5">
      <w:pPr>
        <w:pStyle w:val="3"/>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0C8DD66E">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74E3CEA2">
      <w:pPr>
        <w:pStyle w:val="3"/>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5B9C0752">
      <w:pPr>
        <w:rPr>
          <w:rFonts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p>
    <w:p w14:paraId="5AE7A981">
      <w:pPr>
        <w:pStyle w:val="3"/>
        <w:rPr>
          <w:color w:val="auto"/>
          <w:highlight w:val="none"/>
        </w:rPr>
      </w:pPr>
    </w:p>
    <w:p w14:paraId="46B7C284">
      <w:pPr>
        <w:rPr>
          <w:color w:val="auto"/>
          <w:highlight w:val="none"/>
        </w:rPr>
      </w:pPr>
    </w:p>
    <w:p w14:paraId="31E6DA4C">
      <w:pPr>
        <w:pStyle w:val="2"/>
        <w:bidi w:val="0"/>
        <w:rPr>
          <w:rFonts w:hint="eastAsia" w:ascii="宋体" w:hAnsi="宋体" w:eastAsia="宋体" w:cs="宋体"/>
          <w:color w:val="auto"/>
          <w:sz w:val="28"/>
          <w:szCs w:val="28"/>
          <w:highlight w:val="none"/>
          <w:lang w:val="en-US" w:eastAsia="zh-CN"/>
        </w:rPr>
      </w:pPr>
      <w:bookmarkStart w:id="0" w:name="_Toc30064"/>
      <w:bookmarkStart w:id="1" w:name="_Toc141011851"/>
      <w:r>
        <w:rPr>
          <w:rFonts w:hint="eastAsia" w:ascii="宋体" w:hAnsi="宋体" w:eastAsia="宋体" w:cs="宋体"/>
          <w:color w:val="auto"/>
          <w:sz w:val="28"/>
          <w:szCs w:val="28"/>
          <w:highlight w:val="none"/>
        </w:rPr>
        <w:t>1 总则</w:t>
      </w:r>
      <w:bookmarkEnd w:id="0"/>
      <w:bookmarkEnd w:id="1"/>
    </w:p>
    <w:p w14:paraId="005FB3B4">
      <w:pPr>
        <w:keepNext w:val="0"/>
        <w:keepLines w:val="0"/>
        <w:pageBreakBefore w:val="0"/>
        <w:widowControl/>
        <w:kinsoku w:val="0"/>
        <w:wordWrap/>
        <w:overflowPunct/>
        <w:topLinePunct w:val="0"/>
        <w:autoSpaceDE w:val="0"/>
        <w:autoSpaceDN w:val="0"/>
        <w:bidi w:val="0"/>
        <w:adjustRightInd w:val="0"/>
        <w:snapToGrid w:val="0"/>
        <w:spacing w:line="344" w:lineRule="auto"/>
        <w:ind w:left="0" w:right="0" w:firstLine="0"/>
        <w:jc w:val="left"/>
        <w:textAlignment w:val="baseline"/>
        <w:rPr>
          <w:rFonts w:hint="eastAsia" w:ascii="宋体" w:hAnsi="宋体" w:eastAsia="宋体" w:cs="宋体"/>
          <w:color w:val="auto"/>
          <w:sz w:val="28"/>
          <w:szCs w:val="28"/>
          <w:highlight w:val="none"/>
        </w:rPr>
      </w:pPr>
      <w:r>
        <w:rPr>
          <w:rFonts w:hint="eastAsia" w:ascii="宋体" w:hAnsi="宋体" w:eastAsia="宋体" w:cs="宋体"/>
          <w:b w:val="0"/>
          <w:bCs/>
          <w:snapToGrid w:val="0"/>
          <w:color w:val="auto"/>
          <w:kern w:val="0"/>
          <w:sz w:val="28"/>
          <w:szCs w:val="28"/>
          <w:highlight w:val="none"/>
          <w:lang w:val="en-US" w:eastAsia="zh-CN" w:bidi="ar-SA"/>
        </w:rPr>
        <w:t>1.1本技术规范书适用于浙能伊犁新天煤化工有限责任公司煤气水分离双介质过滤器、最终油分离器更换滤料维保服务招标</w:t>
      </w:r>
      <w:r>
        <w:rPr>
          <w:rFonts w:hint="eastAsia" w:ascii="宋体" w:hAnsi="宋体" w:eastAsia="宋体" w:cs="宋体"/>
          <w:bCs/>
          <w:color w:val="auto"/>
          <w:sz w:val="28"/>
          <w:szCs w:val="28"/>
          <w:highlight w:val="none"/>
        </w:rPr>
        <w:t>工作。</w:t>
      </w:r>
    </w:p>
    <w:p w14:paraId="7D7CAD0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050F20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1.3如未对本技术规范书提出偏差，将认为投标方提供的服务符合规范和标准的要求。</w:t>
      </w:r>
    </w:p>
    <w:p w14:paraId="4D286D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1.4招标方不接受任何带有试验性质的服务工作。</w:t>
      </w:r>
    </w:p>
    <w:p w14:paraId="54D28D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1.5投标方在整个</w:t>
      </w:r>
      <w:r>
        <w:rPr>
          <w:rFonts w:hint="eastAsia" w:ascii="宋体" w:hAnsi="宋体" w:eastAsia="宋体" w:cs="宋体"/>
          <w:color w:val="auto"/>
          <w:sz w:val="28"/>
          <w:szCs w:val="28"/>
          <w:highlight w:val="none"/>
          <w:lang w:eastAsia="zh-CN"/>
        </w:rPr>
        <w:t>项目</w:t>
      </w:r>
      <w:r>
        <w:rPr>
          <w:rFonts w:hint="eastAsia" w:ascii="宋体" w:hAnsi="宋体" w:eastAsia="宋体" w:cs="宋体"/>
          <w:color w:val="auto"/>
          <w:sz w:val="28"/>
          <w:szCs w:val="28"/>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26BF9D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1.6在签订合同之后，招标方有权提出因规范标准和规程发生变化而产生的一些补充要求，具体项目由招标方和投标方共同商定。</w:t>
      </w:r>
    </w:p>
    <w:p w14:paraId="185F80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 投标人资质的要求，投标人提供的</w:t>
      </w:r>
      <w:r>
        <w:rPr>
          <w:rFonts w:hint="eastAsia" w:ascii="宋体" w:hAnsi="宋体" w:eastAsia="宋体" w:cs="宋体"/>
          <w:color w:val="auto"/>
          <w:sz w:val="28"/>
          <w:szCs w:val="28"/>
          <w:highlight w:val="none"/>
          <w:lang w:eastAsia="zh-CN"/>
        </w:rPr>
        <w:t>项目</w:t>
      </w:r>
      <w:r>
        <w:rPr>
          <w:rFonts w:hint="eastAsia" w:ascii="宋体" w:hAnsi="宋体" w:eastAsia="宋体" w:cs="宋体"/>
          <w:color w:val="auto"/>
          <w:sz w:val="28"/>
          <w:szCs w:val="28"/>
          <w:highlight w:val="none"/>
        </w:rPr>
        <w:t>服务应是成熟可靠、技术先进，类似行业有</w:t>
      </w:r>
      <w:r>
        <w:rPr>
          <w:rFonts w:hint="eastAsia" w:ascii="宋体" w:hAnsi="宋体" w:eastAsia="宋体" w:cs="宋体"/>
          <w:color w:val="auto"/>
          <w:sz w:val="28"/>
          <w:szCs w:val="28"/>
          <w:highlight w:val="none"/>
          <w:lang w:val="en-US" w:eastAsia="zh-CN"/>
        </w:rPr>
        <w:t>滤料更换</w:t>
      </w:r>
      <w:r>
        <w:rPr>
          <w:rFonts w:hint="eastAsia" w:ascii="宋体" w:hAnsi="宋体" w:eastAsia="宋体" w:cs="宋体"/>
          <w:color w:val="auto"/>
          <w:sz w:val="28"/>
          <w:szCs w:val="28"/>
          <w:highlight w:val="none"/>
        </w:rPr>
        <w:t>相关业绩。</w:t>
      </w:r>
    </w:p>
    <w:p w14:paraId="6E8ECD2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1.8本技术规范书将作为合同的附件，与合同正文具有同等效力。</w:t>
      </w:r>
    </w:p>
    <w:p w14:paraId="18F226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r>
        <w:rPr>
          <w:rFonts w:hint="eastAsia" w:ascii="宋体" w:hAnsi="宋体" w:eastAsia="宋体" w:cs="宋体"/>
          <w:color w:val="auto"/>
          <w:sz w:val="28"/>
          <w:szCs w:val="28"/>
          <w:highlight w:val="none"/>
        </w:rPr>
        <w:t>1.9未尽事宜，双方友好协商解决。</w:t>
      </w:r>
    </w:p>
    <w:p w14:paraId="5140F9AC">
      <w:pPr>
        <w:pStyle w:val="2"/>
        <w:bidi w:val="0"/>
        <w:rPr>
          <w:rFonts w:hint="eastAsia" w:ascii="宋体" w:hAnsi="宋体" w:eastAsia="宋体" w:cs="宋体"/>
          <w:color w:val="auto"/>
          <w:spacing w:val="-2"/>
          <w:sz w:val="28"/>
          <w:szCs w:val="28"/>
          <w:highlight w:val="none"/>
        </w:rPr>
      </w:pPr>
      <w:bookmarkStart w:id="2" w:name="_Toc30393"/>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 xml:space="preserve"> 工程概况</w:t>
      </w:r>
      <w:bookmarkEnd w:id="2"/>
    </w:p>
    <w:p w14:paraId="459C7C5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560" w:firstLineChars="200"/>
        <w:jc w:val="left"/>
        <w:textAlignment w:val="auto"/>
        <w:rPr>
          <w:rStyle w:val="20"/>
          <w:rFonts w:hint="eastAsia" w:ascii="宋体" w:hAnsi="宋体" w:eastAsia="宋体" w:cs="宋体"/>
          <w:color w:val="auto"/>
          <w:sz w:val="28"/>
          <w:szCs w:val="28"/>
          <w:highlight w:val="none"/>
        </w:rPr>
      </w:pPr>
      <w:r>
        <w:rPr>
          <w:rStyle w:val="20"/>
          <w:rFonts w:hint="eastAsia" w:ascii="宋体" w:hAnsi="宋体" w:eastAsia="宋体" w:cs="宋体"/>
          <w:color w:val="auto"/>
          <w:sz w:val="28"/>
          <w:szCs w:val="28"/>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54B298E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560" w:firstLineChars="200"/>
        <w:jc w:val="left"/>
        <w:textAlignment w:val="auto"/>
        <w:rPr>
          <w:rStyle w:val="20"/>
          <w:rFonts w:hint="eastAsia" w:ascii="宋体" w:hAnsi="宋体" w:eastAsia="宋体" w:cs="宋体"/>
          <w:color w:val="auto"/>
          <w:sz w:val="28"/>
          <w:szCs w:val="28"/>
          <w:highlight w:val="none"/>
          <w:lang w:val="en-US" w:eastAsia="zh-CN"/>
        </w:rPr>
      </w:pPr>
      <w:r>
        <w:rPr>
          <w:rStyle w:val="20"/>
          <w:rFonts w:hint="eastAsia" w:ascii="宋体" w:hAnsi="宋体" w:eastAsia="宋体" w:cs="宋体"/>
          <w:color w:val="auto"/>
          <w:sz w:val="28"/>
          <w:szCs w:val="28"/>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6509A657">
      <w:pPr>
        <w:pStyle w:val="2"/>
        <w:bidi w:val="0"/>
        <w:rPr>
          <w:rFonts w:hint="eastAsia" w:ascii="宋体" w:hAnsi="宋体" w:eastAsia="宋体" w:cs="宋体"/>
          <w:color w:val="auto"/>
          <w:sz w:val="28"/>
          <w:szCs w:val="28"/>
          <w:highlight w:val="none"/>
          <w:lang w:val="en-US" w:eastAsia="zh-CN"/>
        </w:rPr>
      </w:pPr>
      <w:bookmarkStart w:id="3" w:name="_Toc141011853"/>
      <w:bookmarkStart w:id="4" w:name="_Toc29232"/>
      <w:r>
        <w:rPr>
          <w:rFonts w:hint="eastAsia" w:ascii="宋体" w:hAnsi="宋体" w:eastAsia="宋体" w:cs="宋体"/>
          <w:color w:val="auto"/>
          <w:sz w:val="28"/>
          <w:szCs w:val="28"/>
          <w:highlight w:val="none"/>
          <w:lang w:val="en-US" w:eastAsia="zh-CN"/>
        </w:rPr>
        <w:t>3 项目范围及</w:t>
      </w:r>
      <w:bookmarkEnd w:id="3"/>
      <w:r>
        <w:rPr>
          <w:rFonts w:hint="eastAsia" w:ascii="宋体" w:hAnsi="宋体" w:eastAsia="宋体" w:cs="宋体"/>
          <w:color w:val="auto"/>
          <w:sz w:val="28"/>
          <w:szCs w:val="28"/>
          <w:highlight w:val="none"/>
          <w:lang w:val="en-US" w:eastAsia="zh-CN"/>
        </w:rPr>
        <w:t>工期</w:t>
      </w:r>
      <w:bookmarkEnd w:id="4"/>
      <w:bookmarkStart w:id="5" w:name="_Toc141011854"/>
    </w:p>
    <w:p w14:paraId="53319AF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 项目范围</w:t>
      </w:r>
    </w:p>
    <w:p w14:paraId="415E730E">
      <w:pPr>
        <w:keepNext w:val="0"/>
        <w:keepLines w:val="0"/>
        <w:pageBreakBefore w:val="0"/>
        <w:widowControl/>
        <w:kinsoku w:val="0"/>
        <w:wordWrap/>
        <w:overflowPunct/>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color w:val="auto"/>
          <w:spacing w:val="-90"/>
          <w:sz w:val="28"/>
          <w:szCs w:val="28"/>
          <w:highlight w:val="none"/>
        </w:rPr>
      </w:pPr>
      <w:r>
        <w:rPr>
          <w:rFonts w:hint="eastAsia" w:ascii="宋体" w:hAnsi="宋体" w:eastAsia="宋体" w:cs="宋体"/>
          <w:color w:val="auto"/>
          <w:spacing w:val="-2"/>
          <w:sz w:val="28"/>
          <w:szCs w:val="28"/>
          <w:highlight w:val="none"/>
        </w:rPr>
        <w:t>伊犁新</w:t>
      </w:r>
      <w:r>
        <w:rPr>
          <w:rFonts w:hint="eastAsia" w:ascii="宋体" w:hAnsi="宋体" w:eastAsia="宋体" w:cs="宋体"/>
          <w:color w:val="auto"/>
          <w:spacing w:val="-1"/>
          <w:sz w:val="28"/>
          <w:szCs w:val="28"/>
          <w:highlight w:val="none"/>
        </w:rPr>
        <w:t>天煤化工有限责任公司回收车间煤气水分离装置12台双介质过滤器</w:t>
      </w:r>
      <w:r>
        <w:rPr>
          <w:rFonts w:hint="eastAsia" w:ascii="宋体" w:hAnsi="宋体" w:eastAsia="宋体" w:cs="宋体"/>
          <w:color w:val="auto"/>
          <w:sz w:val="28"/>
          <w:szCs w:val="28"/>
          <w:highlight w:val="none"/>
        </w:rPr>
        <w:t>125S(1-6)06AB、12台最终油分离器125S(1-6)05AB自2023年更换滤料后至今已运行2年</w:t>
      </w:r>
      <w:r>
        <w:rPr>
          <w:rFonts w:hint="eastAsia" w:ascii="宋体" w:hAnsi="宋体" w:eastAsia="宋体" w:cs="宋体"/>
          <w:color w:val="auto"/>
          <w:spacing w:val="-90"/>
          <w:sz w:val="28"/>
          <w:szCs w:val="28"/>
          <w:highlight w:val="none"/>
        </w:rPr>
        <w:t>，</w:t>
      </w:r>
      <w:r>
        <w:rPr>
          <w:rFonts w:hint="eastAsia" w:ascii="宋体" w:hAnsi="宋体" w:eastAsia="宋体" w:cs="宋体"/>
          <w:color w:val="auto"/>
          <w:sz w:val="28"/>
          <w:szCs w:val="28"/>
          <w:highlight w:val="none"/>
          <w:lang w:val="en-US" w:eastAsia="zh-CN"/>
        </w:rPr>
        <w:t>需对24台</w:t>
      </w:r>
      <w:r>
        <w:rPr>
          <w:rFonts w:hint="eastAsia" w:ascii="宋体" w:hAnsi="宋体" w:eastAsia="宋体" w:cs="宋体"/>
          <w:color w:val="auto"/>
          <w:sz w:val="28"/>
          <w:szCs w:val="28"/>
          <w:highlight w:val="none"/>
        </w:rPr>
        <w:t>罐内滤料需要进行更换</w:t>
      </w:r>
      <w:r>
        <w:rPr>
          <w:rFonts w:hint="eastAsia" w:ascii="宋体" w:hAnsi="宋体" w:eastAsia="宋体" w:cs="宋体"/>
          <w:color w:val="auto"/>
          <w:spacing w:val="-90"/>
          <w:sz w:val="28"/>
          <w:szCs w:val="28"/>
          <w:highlight w:val="none"/>
        </w:rPr>
        <w:t>。</w:t>
      </w:r>
    </w:p>
    <w:p w14:paraId="276271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3.2 项目工期</w:t>
      </w:r>
    </w:p>
    <w:p w14:paraId="6885BFF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3.2.1 24台设备自运行隔离交出施工工期为</w:t>
      </w:r>
      <w:r>
        <w:rPr>
          <w:rFonts w:hint="eastAsia" w:ascii="宋体" w:hAnsi="宋体" w:eastAsia="宋体" w:cs="宋体"/>
          <w:color w:val="auto"/>
          <w:sz w:val="28"/>
          <w:szCs w:val="28"/>
          <w:highlight w:val="none"/>
          <w:lang w:val="en-US" w:eastAsia="zh-CN"/>
        </w:rPr>
        <w:t>120</w:t>
      </w:r>
      <w:r>
        <w:rPr>
          <w:rFonts w:hint="eastAsia" w:ascii="宋体" w:hAnsi="宋体" w:eastAsia="宋体" w:cs="宋体"/>
          <w:color w:val="auto"/>
          <w:sz w:val="28"/>
          <w:szCs w:val="28"/>
          <w:highlight w:val="none"/>
          <w:lang w:val="en-US" w:eastAsia="zh-CN"/>
        </w:rPr>
        <w:t>天（受施工所在系列进行开车操作，以及国家、地方、企业等的政策或要求等影响，所延误工期时，工期顺延）。</w:t>
      </w:r>
    </w:p>
    <w:p w14:paraId="4A7AE3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3.2.2 投标方不仅要保证自己承担工作的进度，同时和招标方一起协调与其它外包系统设备的连接项目等施工进度，确保整体进度。</w:t>
      </w:r>
    </w:p>
    <w:p w14:paraId="073E9A8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3.2.3 维保服务工期内，涉及各类检修作业时不仅须按时完成项目，同时各分项工期均须按投标方要求进度时间完成。</w:t>
      </w:r>
    </w:p>
    <w:p w14:paraId="4C6B31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3.2.4 维保服务工期内，以生产装置现场实际情况为指导，不仅要求按时按进度完成本职检修工作，同时应服从招标方协调指挥要求，主动配合完成现场其他施工作业工作。</w:t>
      </w:r>
    </w:p>
    <w:p w14:paraId="1D831688">
      <w:pPr>
        <w:pStyle w:val="2"/>
        <w:bidi w:val="0"/>
        <w:rPr>
          <w:rFonts w:hint="eastAsia" w:ascii="宋体" w:hAnsi="宋体" w:eastAsia="宋体" w:cs="宋体"/>
          <w:color w:val="auto"/>
          <w:sz w:val="28"/>
          <w:szCs w:val="28"/>
          <w:highlight w:val="none"/>
          <w:lang w:val="en-US" w:eastAsia="zh-CN"/>
        </w:rPr>
      </w:pPr>
      <w:bookmarkStart w:id="6" w:name="_Toc14915"/>
      <w:r>
        <w:rPr>
          <w:rFonts w:hint="eastAsia" w:ascii="宋体" w:hAnsi="宋体" w:eastAsia="宋体" w:cs="宋体"/>
          <w:color w:val="auto"/>
          <w:sz w:val="28"/>
          <w:szCs w:val="28"/>
          <w:highlight w:val="none"/>
          <w:lang w:val="en-US" w:eastAsia="zh-CN"/>
        </w:rPr>
        <w:t>4 项目内容及要求</w:t>
      </w:r>
      <w:bookmarkEnd w:id="5"/>
      <w:bookmarkEnd w:id="6"/>
    </w:p>
    <w:p w14:paraId="16F57BD8">
      <w:pPr>
        <w:spacing w:line="220" w:lineRule="auto"/>
        <w:rPr>
          <w:rFonts w:hint="eastAsia" w:ascii="宋体" w:hAnsi="宋体" w:eastAsia="宋体" w:cs="宋体"/>
          <w:color w:val="auto"/>
          <w:spacing w:val="-5"/>
          <w:sz w:val="28"/>
          <w:szCs w:val="28"/>
          <w:highlight w:val="none"/>
          <w14:textOutline w14:w="5105" w14:cap="sq" w14:cmpd="sng" w14:algn="ctr">
            <w14:solidFill>
              <w14:srgbClr w14:val="000000"/>
            </w14:solidFill>
            <w14:prstDash w14:val="solid"/>
            <w14:bevel/>
          </w14:textOutline>
        </w:rPr>
      </w:pPr>
      <w:r>
        <w:rPr>
          <w:rFonts w:hint="eastAsia" w:ascii="宋体" w:hAnsi="宋体" w:eastAsia="宋体" w:cs="宋体"/>
          <w:color w:val="auto"/>
          <w:sz w:val="28"/>
          <w:szCs w:val="28"/>
          <w:highlight w:val="none"/>
          <w:lang w:val="en-US" w:eastAsia="zh-CN"/>
        </w:rPr>
        <w:t>4.1</w:t>
      </w:r>
      <w:r>
        <w:rPr>
          <w:rFonts w:hint="eastAsia" w:ascii="宋体" w:hAnsi="宋体" w:eastAsia="宋体" w:cs="宋体"/>
          <w:color w:val="auto"/>
          <w:spacing w:val="-56"/>
          <w:sz w:val="28"/>
          <w:szCs w:val="28"/>
          <w:highlight w:val="none"/>
          <w:lang w:val="en-US" w:eastAsia="zh-CN"/>
        </w:rPr>
        <w:t xml:space="preserve"> </w:t>
      </w:r>
      <w:r>
        <w:rPr>
          <w:rStyle w:val="19"/>
          <w:rFonts w:hint="eastAsia"/>
          <w:color w:val="auto"/>
          <w:sz w:val="28"/>
          <w:szCs w:val="28"/>
          <w:highlight w:val="none"/>
        </w:rPr>
        <w:t xml:space="preserve"> </w:t>
      </w:r>
      <w:r>
        <w:rPr>
          <w:rStyle w:val="19"/>
          <w:rFonts w:hint="eastAsia"/>
          <w:color w:val="auto"/>
          <w:sz w:val="28"/>
          <w:szCs w:val="28"/>
          <w:highlight w:val="none"/>
          <w:lang w:val="en-US" w:eastAsia="zh-CN"/>
        </w:rPr>
        <w:t>项目</w:t>
      </w:r>
      <w:r>
        <w:rPr>
          <w:rStyle w:val="19"/>
          <w:rFonts w:hint="eastAsia"/>
          <w:color w:val="auto"/>
          <w:sz w:val="28"/>
          <w:szCs w:val="28"/>
          <w:highlight w:val="none"/>
        </w:rPr>
        <w:t>内容</w:t>
      </w:r>
    </w:p>
    <w:p w14:paraId="1383FB30">
      <w:pPr>
        <w:adjustRightInd/>
        <w:spacing w:line="360" w:lineRule="auto"/>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4.1.1</w:t>
      </w:r>
      <w:r>
        <w:rPr>
          <w:rStyle w:val="19"/>
          <w:rFonts w:hint="eastAsia"/>
          <w:color w:val="auto"/>
          <w:sz w:val="28"/>
          <w:szCs w:val="28"/>
          <w:highlight w:val="none"/>
        </w:rPr>
        <w:t>双介质过滤器：</w:t>
      </w:r>
    </w:p>
    <w:p w14:paraId="4F6D4EFA">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4.1.1.1 </w:t>
      </w:r>
      <w:r>
        <w:rPr>
          <w:rFonts w:hint="eastAsia" w:ascii="宋体" w:hAnsi="宋体" w:eastAsia="宋体" w:cs="宋体"/>
          <w:color w:val="auto"/>
          <w:sz w:val="28"/>
          <w:szCs w:val="28"/>
          <w:highlight w:val="none"/>
        </w:rPr>
        <w:t>罐内滤料的掏出</w:t>
      </w:r>
      <w:r>
        <w:rPr>
          <w:rFonts w:hint="eastAsia" w:ascii="宋体" w:hAnsi="宋体" w:eastAsia="宋体" w:cs="宋体"/>
          <w:color w:val="auto"/>
          <w:spacing w:val="-114"/>
          <w:sz w:val="28"/>
          <w:szCs w:val="28"/>
          <w:highlight w:val="none"/>
        </w:rPr>
        <w:t>、</w:t>
      </w:r>
      <w:r>
        <w:rPr>
          <w:rFonts w:hint="eastAsia" w:ascii="宋体" w:hAnsi="宋体" w:eastAsia="宋体" w:cs="宋体"/>
          <w:color w:val="auto"/>
          <w:sz w:val="28"/>
          <w:szCs w:val="28"/>
          <w:highlight w:val="none"/>
        </w:rPr>
        <w:t>转运</w:t>
      </w:r>
      <w:r>
        <w:rPr>
          <w:rFonts w:hint="eastAsia" w:ascii="宋体" w:hAnsi="宋体" w:eastAsia="宋体" w:cs="宋体"/>
          <w:color w:val="auto"/>
          <w:spacing w:val="-114"/>
          <w:sz w:val="28"/>
          <w:szCs w:val="28"/>
          <w:highlight w:val="none"/>
        </w:rPr>
        <w:t>、</w:t>
      </w:r>
      <w:r>
        <w:rPr>
          <w:rFonts w:hint="eastAsia" w:ascii="宋体" w:hAnsi="宋体" w:eastAsia="宋体" w:cs="宋体"/>
          <w:color w:val="auto"/>
          <w:sz w:val="28"/>
          <w:szCs w:val="28"/>
          <w:highlight w:val="none"/>
        </w:rPr>
        <w:t>吊装</w:t>
      </w:r>
      <w:r>
        <w:rPr>
          <w:rFonts w:hint="eastAsia" w:ascii="宋体" w:hAnsi="宋体" w:eastAsia="宋体" w:cs="宋体"/>
          <w:color w:val="auto"/>
          <w:spacing w:val="-114"/>
          <w:sz w:val="28"/>
          <w:szCs w:val="28"/>
          <w:highlight w:val="none"/>
        </w:rPr>
        <w:t>：</w:t>
      </w:r>
      <w:r>
        <w:rPr>
          <w:rFonts w:hint="eastAsia" w:ascii="宋体" w:hAnsi="宋体" w:eastAsia="宋体" w:cs="宋体"/>
          <w:color w:val="auto"/>
          <w:sz w:val="28"/>
          <w:szCs w:val="28"/>
          <w:highlight w:val="none"/>
        </w:rPr>
        <w:t>焦炭185吨</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石英砂100吨</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石子43吨</w:t>
      </w:r>
      <w:r>
        <w:rPr>
          <w:rFonts w:hint="eastAsia" w:ascii="宋体" w:hAnsi="宋体" w:eastAsia="宋体" w:cs="宋体"/>
          <w:color w:val="auto"/>
          <w:spacing w:val="-104"/>
          <w:sz w:val="28"/>
          <w:szCs w:val="28"/>
          <w:highlight w:val="none"/>
        </w:rPr>
        <w:t>，</w:t>
      </w:r>
      <w:r>
        <w:rPr>
          <w:rFonts w:hint="eastAsia" w:ascii="宋体" w:hAnsi="宋体" w:eastAsia="宋体" w:cs="宋体"/>
          <w:color w:val="auto"/>
          <w:sz w:val="28"/>
          <w:szCs w:val="28"/>
          <w:highlight w:val="none"/>
        </w:rPr>
        <w:t>需用人工从罐内由上至下陆续掏出用吊车吊至地面指定位置堆放，由于双介质过滤器运行时间较长内部滤料吸附油尘较多，故滤料掏出难度较大</w:t>
      </w:r>
      <w:r>
        <w:rPr>
          <w:rFonts w:hint="eastAsia" w:ascii="宋体" w:hAnsi="宋体" w:eastAsia="宋体" w:cs="宋体"/>
          <w:color w:val="auto"/>
          <w:spacing w:val="-34"/>
          <w:sz w:val="28"/>
          <w:szCs w:val="28"/>
          <w:highlight w:val="none"/>
        </w:rPr>
        <w:t>。</w:t>
      </w:r>
      <w:r>
        <w:rPr>
          <w:rFonts w:hint="eastAsia" w:ascii="宋体" w:hAnsi="宋体" w:eastAsia="宋体" w:cs="宋体"/>
          <w:color w:val="auto"/>
          <w:sz w:val="28"/>
          <w:szCs w:val="28"/>
          <w:highlight w:val="none"/>
        </w:rPr>
        <w:t>掏出的石英砂、石子、焦炭转运到公司指定地点处理</w:t>
      </w:r>
      <w:r>
        <w:rPr>
          <w:rFonts w:hint="eastAsia" w:ascii="宋体" w:hAnsi="宋体" w:eastAsia="宋体" w:cs="宋体"/>
          <w:color w:val="auto"/>
          <w:spacing w:val="-5"/>
          <w:sz w:val="28"/>
          <w:szCs w:val="28"/>
          <w:highlight w:val="none"/>
        </w:rPr>
        <w:t>。</w:t>
      </w:r>
    </w:p>
    <w:p w14:paraId="62591BD8">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4.1.1.2 </w:t>
      </w:r>
      <w:r>
        <w:rPr>
          <w:rFonts w:hint="eastAsia" w:ascii="宋体" w:hAnsi="宋体" w:eastAsia="宋体" w:cs="宋体"/>
          <w:color w:val="auto"/>
          <w:sz w:val="28"/>
          <w:szCs w:val="28"/>
          <w:highlight w:val="none"/>
        </w:rPr>
        <w:t>罐内滤料的装填</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转运</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吊装</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焦炭185吨</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石英砂100吨</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石子43吨</w:t>
      </w:r>
      <w:r>
        <w:rPr>
          <w:rFonts w:hint="eastAsia" w:ascii="宋体" w:hAnsi="宋体" w:eastAsia="宋体" w:cs="宋体"/>
          <w:color w:val="auto"/>
          <w:spacing w:val="-37"/>
          <w:sz w:val="28"/>
          <w:szCs w:val="28"/>
          <w:highlight w:val="none"/>
        </w:rPr>
        <w:t>，</w:t>
      </w:r>
      <w:r>
        <w:rPr>
          <w:rFonts w:hint="eastAsia" w:ascii="宋体" w:hAnsi="宋体" w:eastAsia="宋体" w:cs="宋体"/>
          <w:color w:val="auto"/>
          <w:sz w:val="28"/>
          <w:szCs w:val="28"/>
          <w:highlight w:val="none"/>
        </w:rPr>
        <w:t>需用人工从地面吊至罐内</w:t>
      </w:r>
      <w:r>
        <w:rPr>
          <w:rFonts w:hint="eastAsia" w:ascii="宋体" w:hAnsi="宋体" w:eastAsia="宋体" w:cs="宋体"/>
          <w:color w:val="auto"/>
          <w:spacing w:val="-37"/>
          <w:sz w:val="28"/>
          <w:szCs w:val="28"/>
          <w:highlight w:val="none"/>
        </w:rPr>
        <w:t>，</w:t>
      </w:r>
      <w:r>
        <w:rPr>
          <w:rFonts w:hint="eastAsia" w:ascii="宋体" w:hAnsi="宋体" w:eastAsia="宋体" w:cs="宋体"/>
          <w:color w:val="auto"/>
          <w:sz w:val="28"/>
          <w:szCs w:val="28"/>
          <w:highlight w:val="none"/>
        </w:rPr>
        <w:t>陆续铺平</w:t>
      </w:r>
      <w:r>
        <w:rPr>
          <w:rFonts w:hint="eastAsia" w:ascii="宋体" w:hAnsi="宋体" w:eastAsia="宋体" w:cs="宋体"/>
          <w:color w:val="auto"/>
          <w:spacing w:val="-37"/>
          <w:sz w:val="28"/>
          <w:szCs w:val="28"/>
          <w:highlight w:val="none"/>
        </w:rPr>
        <w:t>、</w:t>
      </w:r>
      <w:r>
        <w:rPr>
          <w:rFonts w:hint="eastAsia" w:ascii="宋体" w:hAnsi="宋体" w:eastAsia="宋体" w:cs="宋体"/>
          <w:color w:val="auto"/>
          <w:sz w:val="28"/>
          <w:szCs w:val="28"/>
          <w:highlight w:val="none"/>
        </w:rPr>
        <w:t>充填</w:t>
      </w:r>
      <w:r>
        <w:rPr>
          <w:rFonts w:hint="eastAsia" w:ascii="宋体" w:hAnsi="宋体" w:eastAsia="宋体" w:cs="宋体"/>
          <w:color w:val="auto"/>
          <w:spacing w:val="-37"/>
          <w:sz w:val="28"/>
          <w:szCs w:val="28"/>
          <w:highlight w:val="none"/>
        </w:rPr>
        <w:t>。</w:t>
      </w:r>
    </w:p>
    <w:p w14:paraId="77A24210">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4.1.1.3 </w:t>
      </w:r>
      <w:r>
        <w:rPr>
          <w:rFonts w:hint="eastAsia" w:ascii="宋体" w:hAnsi="宋体" w:eastAsia="宋体" w:cs="宋体"/>
          <w:color w:val="auto"/>
          <w:sz w:val="28"/>
          <w:szCs w:val="28"/>
          <w:highlight w:val="none"/>
        </w:rPr>
        <w:t>人孔装卸料口的拆装，需拆检顶部、侧部人孔，设置好警戒带，并对物料落点地面做好防护后，拆卸料口，确保落料安全及现场整洁。卸料完成后清理设备内部及底部支撑板滤帽，我方人员确认后回装卸料口法兰盖，按工艺要求装填滤料，施工结束后恢复地面卫生。</w:t>
      </w:r>
    </w:p>
    <w:p w14:paraId="4DE99109">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4.1.1.4 </w:t>
      </w:r>
      <w:r>
        <w:rPr>
          <w:rFonts w:hint="eastAsia" w:ascii="宋体" w:hAnsi="宋体" w:eastAsia="宋体" w:cs="宋体"/>
          <w:color w:val="auto"/>
          <w:sz w:val="28"/>
          <w:szCs w:val="28"/>
          <w:highlight w:val="none"/>
        </w:rPr>
        <w:t>装卸滤料所需运输车辆、拆卸安装工器具、装卸料工具、特殊作业检测工具等由投标方负责。装卸滤料所需使用的吊车，设备备件垫片、螺栓，补充的滤料由招标方负责提供。</w:t>
      </w:r>
    </w:p>
    <w:p w14:paraId="3EAE739B">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4.1.1.5 </w:t>
      </w:r>
      <w:r>
        <w:rPr>
          <w:rFonts w:hint="eastAsia" w:ascii="宋体" w:hAnsi="宋体" w:eastAsia="宋体" w:cs="宋体"/>
          <w:color w:val="auto"/>
          <w:sz w:val="28"/>
          <w:szCs w:val="28"/>
          <w:highlight w:val="none"/>
        </w:rPr>
        <w:t>双介质过滤器设备及基础高度为10米。</w:t>
      </w:r>
    </w:p>
    <w:p w14:paraId="0CE55EAC">
      <w:pPr>
        <w:adjustRightInd/>
        <w:spacing w:line="360" w:lineRule="auto"/>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 xml:space="preserve">4.1.2 </w:t>
      </w:r>
      <w:r>
        <w:rPr>
          <w:rStyle w:val="19"/>
          <w:rFonts w:hint="eastAsia"/>
          <w:color w:val="auto"/>
          <w:sz w:val="28"/>
          <w:szCs w:val="28"/>
          <w:highlight w:val="none"/>
        </w:rPr>
        <w:t>最终油分离器：</w:t>
      </w:r>
    </w:p>
    <w:p w14:paraId="13E1D9F4">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4.1.2.1</w:t>
      </w:r>
      <w:r>
        <w:rPr>
          <w:rFonts w:hint="eastAsia" w:ascii="宋体" w:hAnsi="宋体" w:eastAsia="宋体" w:cs="宋体"/>
          <w:color w:val="auto"/>
          <w:sz w:val="28"/>
          <w:szCs w:val="28"/>
          <w:highlight w:val="none"/>
        </w:rPr>
        <w:t xml:space="preserve"> 最终油分离器顶部方形大盖拆装：每台最终油分离器顶部有四个方形大盖，需用人工将228条M12*60的螺栓拆除，用吊车将最终油分离器顶部方形大盖吊装至地面指定位置；回装时需用吊车将最终油分离器顶部方形大盖吊装至设备顶部，需用人工将228条M12*60的螺栓固定好。</w:t>
      </w:r>
    </w:p>
    <w:p w14:paraId="20004C1B">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4.1.2.2</w:t>
      </w:r>
      <w:r>
        <w:rPr>
          <w:rFonts w:hint="eastAsia" w:ascii="宋体" w:hAnsi="宋体" w:eastAsia="宋体" w:cs="宋体"/>
          <w:color w:val="auto"/>
          <w:sz w:val="28"/>
          <w:szCs w:val="28"/>
          <w:highlight w:val="none"/>
        </w:rPr>
        <w:t xml:space="preserve"> 罐内焦炭的掏出、转运、吊装：罐内焦炭44吨，需用吊车将最终油分离器内部焦炭过滤框吊装至地面，由人工从焦炭过滤框内掏出至地面指定位置堆放，最终转运到公司指定地点处理。</w:t>
      </w:r>
    </w:p>
    <w:p w14:paraId="421E3EC4">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4.1.2.3</w:t>
      </w:r>
      <w:r>
        <w:rPr>
          <w:rFonts w:hint="eastAsia" w:ascii="宋体" w:hAnsi="宋体" w:eastAsia="宋体" w:cs="宋体"/>
          <w:color w:val="auto"/>
          <w:sz w:val="28"/>
          <w:szCs w:val="28"/>
          <w:highlight w:val="none"/>
        </w:rPr>
        <w:t xml:space="preserve"> </w:t>
      </w:r>
      <w:r>
        <w:rPr>
          <w:rFonts w:hint="eastAsia" w:ascii="宋体" w:hAnsi="宋体" w:eastAsia="宋体" w:cs="宋体"/>
          <w:color w:val="auto"/>
          <w:spacing w:val="-1"/>
          <w:sz w:val="28"/>
          <w:szCs w:val="28"/>
          <w:highlight w:val="none"/>
        </w:rPr>
        <w:t xml:space="preserve"> </w:t>
      </w:r>
      <w:r>
        <w:rPr>
          <w:rFonts w:hint="eastAsia" w:ascii="宋体" w:hAnsi="宋体" w:eastAsia="宋体" w:cs="宋体"/>
          <w:color w:val="auto"/>
          <w:sz w:val="28"/>
          <w:szCs w:val="28"/>
          <w:highlight w:val="none"/>
        </w:rPr>
        <w:t>罐内焦炭的装填</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转运</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吊装</w:t>
      </w:r>
      <w:r>
        <w:rPr>
          <w:rFonts w:hint="eastAsia" w:ascii="宋体" w:hAnsi="宋体" w:eastAsia="宋体" w:cs="宋体"/>
          <w:color w:val="auto"/>
          <w:spacing w:val="-77"/>
          <w:sz w:val="28"/>
          <w:szCs w:val="28"/>
          <w:highlight w:val="none"/>
        </w:rPr>
        <w:t>：</w:t>
      </w:r>
      <w:r>
        <w:rPr>
          <w:rFonts w:hint="eastAsia" w:ascii="宋体" w:hAnsi="宋体" w:eastAsia="宋体" w:cs="宋体"/>
          <w:color w:val="auto"/>
          <w:sz w:val="28"/>
          <w:szCs w:val="28"/>
          <w:highlight w:val="none"/>
        </w:rPr>
        <w:t>焦炭</w:t>
      </w:r>
      <w:r>
        <w:rPr>
          <w:rFonts w:hint="eastAsia" w:ascii="宋体" w:hAnsi="宋体" w:eastAsia="宋体" w:cs="宋体"/>
          <w:color w:val="auto"/>
          <w:spacing w:val="-1"/>
          <w:sz w:val="28"/>
          <w:szCs w:val="28"/>
          <w:highlight w:val="none"/>
        </w:rPr>
        <w:t xml:space="preserve"> </w:t>
      </w:r>
      <w:r>
        <w:rPr>
          <w:rFonts w:hint="eastAsia" w:ascii="宋体" w:hAnsi="宋体" w:eastAsia="宋体" w:cs="宋体"/>
          <w:color w:val="auto"/>
          <w:sz w:val="28"/>
          <w:szCs w:val="28"/>
          <w:highlight w:val="none"/>
        </w:rPr>
        <w:t>44吨</w:t>
      </w:r>
      <w:r>
        <w:rPr>
          <w:rFonts w:hint="eastAsia" w:ascii="宋体" w:hAnsi="宋体" w:eastAsia="宋体" w:cs="宋体"/>
          <w:color w:val="auto"/>
          <w:spacing w:val="-37"/>
          <w:sz w:val="28"/>
          <w:szCs w:val="28"/>
          <w:highlight w:val="none"/>
        </w:rPr>
        <w:t>，</w:t>
      </w:r>
      <w:r>
        <w:rPr>
          <w:rFonts w:hint="eastAsia" w:ascii="宋体" w:hAnsi="宋体" w:eastAsia="宋体" w:cs="宋体"/>
          <w:color w:val="auto"/>
          <w:sz w:val="28"/>
          <w:szCs w:val="28"/>
          <w:highlight w:val="none"/>
        </w:rPr>
        <w:t>需用人工装填至焦炭过滤框内，用吊车从地面吊至罐内</w:t>
      </w:r>
      <w:r>
        <w:rPr>
          <w:rFonts w:hint="eastAsia" w:ascii="宋体" w:hAnsi="宋体" w:eastAsia="宋体" w:cs="宋体"/>
          <w:color w:val="auto"/>
          <w:spacing w:val="-37"/>
          <w:sz w:val="28"/>
          <w:szCs w:val="28"/>
          <w:highlight w:val="none"/>
        </w:rPr>
        <w:t>。</w:t>
      </w:r>
    </w:p>
    <w:p w14:paraId="3D8C175A">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4.1.2.4</w:t>
      </w:r>
      <w:r>
        <w:rPr>
          <w:rFonts w:hint="eastAsia" w:ascii="宋体" w:hAnsi="宋体" w:eastAsia="宋体" w:cs="宋体"/>
          <w:color w:val="auto"/>
          <w:sz w:val="28"/>
          <w:szCs w:val="28"/>
          <w:highlight w:val="none"/>
        </w:rPr>
        <w:t xml:space="preserve"> 装卸滤料所需运输车辆、拆卸安装工器具、装卸料工具、特殊作业检测工具等由投标方负责。装卸滤料所需使用的吊车，设备备件垫片、螺栓，补充的滤料由招标方负责提供。</w:t>
      </w:r>
    </w:p>
    <w:p w14:paraId="08B0658E">
      <w:pPr>
        <w:adjustRightInd/>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4.1.2.5</w:t>
      </w:r>
      <w:r>
        <w:rPr>
          <w:rFonts w:hint="eastAsia" w:ascii="宋体" w:hAnsi="宋体" w:eastAsia="宋体" w:cs="宋体"/>
          <w:color w:val="auto"/>
          <w:sz w:val="28"/>
          <w:szCs w:val="28"/>
          <w:highlight w:val="none"/>
        </w:rPr>
        <w:t xml:space="preserve">  最终油分离器设备及基础高度为11米。</w:t>
      </w:r>
    </w:p>
    <w:p w14:paraId="68B5E26A">
      <w:pPr>
        <w:pStyle w:val="4"/>
        <w:bidi w:val="0"/>
        <w:rPr>
          <w:rFonts w:hint="eastAsia"/>
          <w:color w:val="auto"/>
          <w:sz w:val="28"/>
          <w:szCs w:val="28"/>
          <w:highlight w:val="none"/>
        </w:rPr>
      </w:pPr>
      <w:r>
        <w:rPr>
          <w:rFonts w:hint="eastAsia"/>
          <w:color w:val="auto"/>
          <w:sz w:val="28"/>
          <w:szCs w:val="28"/>
          <w:highlight w:val="none"/>
          <w:lang w:val="en-US" w:eastAsia="zh-CN"/>
        </w:rPr>
        <w:t>4.2</w:t>
      </w:r>
      <w:r>
        <w:rPr>
          <w:rFonts w:hint="eastAsia"/>
          <w:color w:val="auto"/>
          <w:sz w:val="28"/>
          <w:szCs w:val="28"/>
          <w:highlight w:val="none"/>
        </w:rPr>
        <w:t xml:space="preserve"> 施工工程量</w:t>
      </w:r>
    </w:p>
    <w:p w14:paraId="68E4C8FE">
      <w:pPr>
        <w:spacing w:before="1" w:line="185" w:lineRule="auto"/>
        <w:ind w:firstLine="229"/>
        <w:rPr>
          <w:rFonts w:hint="eastAsia" w:ascii="宋体" w:hAnsi="宋体" w:eastAsia="宋体" w:cs="宋体"/>
          <w:color w:val="auto"/>
          <w:sz w:val="28"/>
          <w:szCs w:val="28"/>
          <w:highlight w:val="none"/>
        </w:rPr>
      </w:pPr>
    </w:p>
    <w:p w14:paraId="6902CB05">
      <w:pPr>
        <w:spacing w:before="1" w:line="411" w:lineRule="auto"/>
        <w:ind w:right="97"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4.2.1</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工程量</w:t>
      </w:r>
      <w:r>
        <w:rPr>
          <w:rFonts w:hint="eastAsia" w:ascii="宋体" w:hAnsi="宋体" w:eastAsia="宋体" w:cs="宋体"/>
          <w:color w:val="auto"/>
          <w:sz w:val="28"/>
          <w:szCs w:val="28"/>
          <w:highlight w:val="none"/>
        </w:rPr>
        <w:t>统计</w:t>
      </w:r>
    </w:p>
    <w:p w14:paraId="449B0A2F">
      <w:pPr>
        <w:pStyle w:val="4"/>
        <w:bidi w:val="0"/>
        <w:rPr>
          <w:rFonts w:hint="eastAsia"/>
          <w:color w:val="auto"/>
          <w:sz w:val="28"/>
          <w:szCs w:val="28"/>
          <w:highlight w:val="none"/>
        </w:rPr>
      </w:pPr>
      <w:r>
        <w:rPr>
          <w:rFonts w:hint="eastAsia"/>
          <w:color w:val="auto"/>
          <w:sz w:val="28"/>
          <w:szCs w:val="28"/>
          <w:highlight w:val="none"/>
        </w:rPr>
        <w:t>双介质过滤器：</w:t>
      </w:r>
    </w:p>
    <w:p w14:paraId="6780B926">
      <w:pPr>
        <w:spacing w:line="115" w:lineRule="exact"/>
        <w:rPr>
          <w:rFonts w:hint="eastAsia" w:ascii="宋体" w:hAnsi="宋体" w:eastAsia="宋体" w:cs="宋体"/>
          <w:color w:val="auto"/>
          <w:sz w:val="28"/>
          <w:szCs w:val="28"/>
          <w:highlight w:val="none"/>
        </w:rPr>
      </w:pPr>
    </w:p>
    <w:tbl>
      <w:tblPr>
        <w:tblStyle w:val="10"/>
        <w:tblW w:w="8520" w:type="dxa"/>
        <w:jc w:val="center"/>
        <w:tblLayout w:type="autofit"/>
        <w:tblCellMar>
          <w:top w:w="0" w:type="dxa"/>
          <w:left w:w="108" w:type="dxa"/>
          <w:bottom w:w="0" w:type="dxa"/>
          <w:right w:w="108" w:type="dxa"/>
        </w:tblCellMar>
      </w:tblPr>
      <w:tblGrid>
        <w:gridCol w:w="724"/>
        <w:gridCol w:w="992"/>
        <w:gridCol w:w="1560"/>
        <w:gridCol w:w="850"/>
        <w:gridCol w:w="851"/>
        <w:gridCol w:w="1336"/>
        <w:gridCol w:w="2207"/>
      </w:tblGrid>
      <w:tr w14:paraId="20DDED61">
        <w:tblPrEx>
          <w:tblCellMar>
            <w:top w:w="0" w:type="dxa"/>
            <w:left w:w="108" w:type="dxa"/>
            <w:bottom w:w="0" w:type="dxa"/>
            <w:right w:w="108" w:type="dxa"/>
          </w:tblCellMar>
        </w:tblPrEx>
        <w:trPr>
          <w:trHeight w:val="270"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B69458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序号</w:t>
            </w:r>
          </w:p>
        </w:tc>
        <w:tc>
          <w:tcPr>
            <w:tcW w:w="2552" w:type="dxa"/>
            <w:gridSpan w:val="2"/>
            <w:tcBorders>
              <w:top w:val="single" w:color="auto" w:sz="4" w:space="0"/>
              <w:left w:val="nil"/>
              <w:bottom w:val="single" w:color="auto" w:sz="4" w:space="0"/>
              <w:right w:val="single" w:color="000000" w:sz="4" w:space="0"/>
            </w:tcBorders>
            <w:shd w:val="clear" w:color="auto" w:fill="auto"/>
            <w:noWrap/>
            <w:vAlign w:val="bottom"/>
          </w:tcPr>
          <w:p w14:paraId="0567218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项目</w:t>
            </w:r>
          </w:p>
        </w:tc>
        <w:tc>
          <w:tcPr>
            <w:tcW w:w="850" w:type="dxa"/>
            <w:tcBorders>
              <w:top w:val="single" w:color="auto" w:sz="4" w:space="0"/>
              <w:left w:val="nil"/>
              <w:bottom w:val="single" w:color="auto" w:sz="4" w:space="0"/>
              <w:right w:val="single" w:color="auto" w:sz="4" w:space="0"/>
            </w:tcBorders>
            <w:shd w:val="clear" w:color="auto" w:fill="auto"/>
            <w:noWrap/>
            <w:vAlign w:val="bottom"/>
          </w:tcPr>
          <w:p w14:paraId="006E8C0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单位</w:t>
            </w:r>
          </w:p>
        </w:tc>
        <w:tc>
          <w:tcPr>
            <w:tcW w:w="851" w:type="dxa"/>
            <w:tcBorders>
              <w:top w:val="single" w:color="auto" w:sz="4" w:space="0"/>
              <w:left w:val="nil"/>
              <w:bottom w:val="single" w:color="auto" w:sz="4" w:space="0"/>
              <w:right w:val="single" w:color="auto" w:sz="4" w:space="0"/>
            </w:tcBorders>
            <w:shd w:val="clear" w:color="auto" w:fill="auto"/>
            <w:noWrap/>
            <w:vAlign w:val="bottom"/>
          </w:tcPr>
          <w:p w14:paraId="3C1CCD2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数量</w:t>
            </w:r>
          </w:p>
        </w:tc>
        <w:tc>
          <w:tcPr>
            <w:tcW w:w="1275" w:type="dxa"/>
            <w:tcBorders>
              <w:top w:val="single" w:color="auto" w:sz="4" w:space="0"/>
              <w:left w:val="nil"/>
              <w:bottom w:val="single" w:color="auto" w:sz="4" w:space="0"/>
              <w:right w:val="single" w:color="auto" w:sz="4" w:space="0"/>
            </w:tcBorders>
            <w:shd w:val="clear" w:color="auto" w:fill="auto"/>
            <w:noWrap/>
            <w:vAlign w:val="bottom"/>
          </w:tcPr>
          <w:p w14:paraId="3EA59AB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规格</w:t>
            </w:r>
          </w:p>
        </w:tc>
        <w:tc>
          <w:tcPr>
            <w:tcW w:w="2268" w:type="dxa"/>
            <w:tcBorders>
              <w:top w:val="single" w:color="auto" w:sz="4" w:space="0"/>
              <w:left w:val="nil"/>
              <w:bottom w:val="single" w:color="auto" w:sz="4" w:space="0"/>
              <w:right w:val="single" w:color="auto" w:sz="4" w:space="0"/>
            </w:tcBorders>
          </w:tcPr>
          <w:p w14:paraId="00520F1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备注</w:t>
            </w:r>
          </w:p>
        </w:tc>
      </w:tr>
      <w:tr w14:paraId="38E4CD7D">
        <w:tblPrEx>
          <w:tblCellMar>
            <w:top w:w="0" w:type="dxa"/>
            <w:left w:w="108" w:type="dxa"/>
            <w:bottom w:w="0" w:type="dxa"/>
            <w:right w:w="108" w:type="dxa"/>
          </w:tblCellMar>
        </w:tblPrEx>
        <w:trPr>
          <w:trHeight w:val="28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599D686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w:t>
            </w:r>
          </w:p>
        </w:tc>
        <w:tc>
          <w:tcPr>
            <w:tcW w:w="2552" w:type="dxa"/>
            <w:gridSpan w:val="2"/>
            <w:tcBorders>
              <w:top w:val="nil"/>
              <w:left w:val="nil"/>
              <w:bottom w:val="single" w:color="auto" w:sz="4" w:space="0"/>
              <w:right w:val="single" w:color="auto" w:sz="4" w:space="0"/>
            </w:tcBorders>
            <w:shd w:val="clear" w:color="auto" w:fill="auto"/>
            <w:vAlign w:val="center"/>
          </w:tcPr>
          <w:p w14:paraId="567F1008">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bCs/>
                <w:snapToGrid/>
                <w:color w:val="auto"/>
                <w:sz w:val="28"/>
                <w:szCs w:val="28"/>
                <w:highlight w:val="none"/>
              </w:rPr>
              <w:t>顶部、底部人孔拆装</w:t>
            </w: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14F1A88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08E54F2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24</w:t>
            </w:r>
          </w:p>
        </w:tc>
        <w:tc>
          <w:tcPr>
            <w:tcW w:w="1275" w:type="dxa"/>
            <w:tcBorders>
              <w:top w:val="nil"/>
              <w:left w:val="nil"/>
              <w:bottom w:val="single" w:color="auto" w:sz="4" w:space="0"/>
              <w:right w:val="single" w:color="auto" w:sz="4" w:space="0"/>
            </w:tcBorders>
            <w:shd w:val="clear" w:color="auto" w:fill="auto"/>
            <w:noWrap/>
            <w:vAlign w:val="bottom"/>
          </w:tcPr>
          <w:p w14:paraId="35A66F9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DN500</w:t>
            </w:r>
          </w:p>
        </w:tc>
        <w:tc>
          <w:tcPr>
            <w:tcW w:w="2268" w:type="dxa"/>
            <w:tcBorders>
              <w:top w:val="nil"/>
              <w:left w:val="nil"/>
              <w:bottom w:val="single" w:color="auto" w:sz="4" w:space="0"/>
              <w:right w:val="single" w:color="auto" w:sz="4" w:space="0"/>
            </w:tcBorders>
          </w:tcPr>
          <w:p w14:paraId="5D09D6D9">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1E78D0D7">
        <w:tblPrEx>
          <w:tblCellMar>
            <w:top w:w="0" w:type="dxa"/>
            <w:left w:w="108" w:type="dxa"/>
            <w:bottom w:w="0" w:type="dxa"/>
            <w:right w:w="108" w:type="dxa"/>
          </w:tblCellMar>
        </w:tblPrEx>
        <w:trPr>
          <w:trHeight w:val="27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68B8653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w:t>
            </w:r>
          </w:p>
        </w:tc>
        <w:tc>
          <w:tcPr>
            <w:tcW w:w="2552" w:type="dxa"/>
            <w:gridSpan w:val="2"/>
            <w:vMerge w:val="restart"/>
            <w:tcBorders>
              <w:top w:val="nil"/>
              <w:left w:val="nil"/>
              <w:right w:val="single" w:color="auto" w:sz="4" w:space="0"/>
            </w:tcBorders>
            <w:shd w:val="clear" w:color="auto" w:fill="auto"/>
            <w:vAlign w:val="center"/>
          </w:tcPr>
          <w:p w14:paraId="080E367F">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bCs/>
                <w:snapToGrid/>
                <w:color w:val="auto"/>
                <w:sz w:val="28"/>
                <w:szCs w:val="28"/>
                <w:highlight w:val="none"/>
              </w:rPr>
              <w:t>隔离盲板抽堵</w:t>
            </w: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3ECBC95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67F5A57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275" w:type="dxa"/>
            <w:tcBorders>
              <w:top w:val="nil"/>
              <w:left w:val="nil"/>
              <w:bottom w:val="single" w:color="auto" w:sz="4" w:space="0"/>
              <w:right w:val="single" w:color="auto" w:sz="4" w:space="0"/>
            </w:tcBorders>
            <w:shd w:val="clear" w:color="auto" w:fill="auto"/>
            <w:noWrap/>
            <w:vAlign w:val="bottom"/>
          </w:tcPr>
          <w:p w14:paraId="1E65909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DN25</w:t>
            </w:r>
          </w:p>
        </w:tc>
        <w:tc>
          <w:tcPr>
            <w:tcW w:w="2268" w:type="dxa"/>
            <w:tcBorders>
              <w:top w:val="nil"/>
              <w:left w:val="nil"/>
              <w:bottom w:val="single" w:color="auto" w:sz="4" w:space="0"/>
              <w:right w:val="single" w:color="auto" w:sz="4" w:space="0"/>
            </w:tcBorders>
          </w:tcPr>
          <w:p w14:paraId="133837C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2*12*4条M14螺栓</w:t>
            </w:r>
          </w:p>
        </w:tc>
      </w:tr>
      <w:tr w14:paraId="673DDFA5">
        <w:tblPrEx>
          <w:tblCellMar>
            <w:top w:w="0" w:type="dxa"/>
            <w:left w:w="108" w:type="dxa"/>
            <w:bottom w:w="0" w:type="dxa"/>
            <w:right w:w="108" w:type="dxa"/>
          </w:tblCellMar>
        </w:tblPrEx>
        <w:trPr>
          <w:trHeight w:val="26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0051F50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3</w:t>
            </w:r>
          </w:p>
        </w:tc>
        <w:tc>
          <w:tcPr>
            <w:tcW w:w="2552" w:type="dxa"/>
            <w:gridSpan w:val="2"/>
            <w:vMerge w:val="continue"/>
            <w:tcBorders>
              <w:left w:val="nil"/>
              <w:right w:val="single" w:color="auto" w:sz="4" w:space="0"/>
            </w:tcBorders>
            <w:shd w:val="clear" w:color="auto" w:fill="auto"/>
            <w:vAlign w:val="center"/>
          </w:tcPr>
          <w:p w14:paraId="5FC5A2FB">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359520A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4EE6734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6*12</w:t>
            </w:r>
          </w:p>
        </w:tc>
        <w:tc>
          <w:tcPr>
            <w:tcW w:w="1275" w:type="dxa"/>
            <w:tcBorders>
              <w:top w:val="nil"/>
              <w:left w:val="nil"/>
              <w:bottom w:val="single" w:color="auto" w:sz="4" w:space="0"/>
              <w:right w:val="single" w:color="auto" w:sz="4" w:space="0"/>
            </w:tcBorders>
            <w:shd w:val="clear" w:color="auto" w:fill="auto"/>
            <w:noWrap/>
            <w:vAlign w:val="bottom"/>
          </w:tcPr>
          <w:p w14:paraId="6510A92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DN40</w:t>
            </w:r>
          </w:p>
        </w:tc>
        <w:tc>
          <w:tcPr>
            <w:tcW w:w="2268" w:type="dxa"/>
            <w:tcBorders>
              <w:top w:val="nil"/>
              <w:left w:val="nil"/>
              <w:bottom w:val="single" w:color="auto" w:sz="4" w:space="0"/>
              <w:right w:val="single" w:color="auto" w:sz="4" w:space="0"/>
            </w:tcBorders>
          </w:tcPr>
          <w:p w14:paraId="1EC8DFF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6*12*4条M14螺栓</w:t>
            </w:r>
          </w:p>
        </w:tc>
      </w:tr>
      <w:tr w14:paraId="28053226">
        <w:tblPrEx>
          <w:tblCellMar>
            <w:top w:w="0" w:type="dxa"/>
            <w:left w:w="108" w:type="dxa"/>
            <w:bottom w:w="0" w:type="dxa"/>
            <w:right w:w="108" w:type="dxa"/>
          </w:tblCellMar>
        </w:tblPrEx>
        <w:trPr>
          <w:trHeight w:val="245"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196C178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w:t>
            </w:r>
          </w:p>
        </w:tc>
        <w:tc>
          <w:tcPr>
            <w:tcW w:w="2552" w:type="dxa"/>
            <w:gridSpan w:val="2"/>
            <w:vMerge w:val="continue"/>
            <w:tcBorders>
              <w:left w:val="nil"/>
              <w:right w:val="single" w:color="auto" w:sz="4" w:space="0"/>
            </w:tcBorders>
            <w:shd w:val="clear" w:color="auto" w:fill="auto"/>
            <w:vAlign w:val="center"/>
          </w:tcPr>
          <w:p w14:paraId="527FC20D">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58E54E4F">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2A2B892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275" w:type="dxa"/>
            <w:tcBorders>
              <w:top w:val="nil"/>
              <w:left w:val="nil"/>
              <w:bottom w:val="single" w:color="auto" w:sz="4" w:space="0"/>
              <w:right w:val="single" w:color="auto" w:sz="4" w:space="0"/>
            </w:tcBorders>
            <w:shd w:val="clear" w:color="auto" w:fill="auto"/>
            <w:noWrap/>
            <w:vAlign w:val="bottom"/>
          </w:tcPr>
          <w:p w14:paraId="6EA7727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DN50</w:t>
            </w:r>
          </w:p>
        </w:tc>
        <w:tc>
          <w:tcPr>
            <w:tcW w:w="2268" w:type="dxa"/>
            <w:tcBorders>
              <w:top w:val="nil"/>
              <w:left w:val="nil"/>
              <w:bottom w:val="single" w:color="auto" w:sz="4" w:space="0"/>
              <w:right w:val="single" w:color="auto" w:sz="4" w:space="0"/>
            </w:tcBorders>
          </w:tcPr>
          <w:p w14:paraId="695D5C0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2*12*4条M16螺栓</w:t>
            </w:r>
          </w:p>
        </w:tc>
      </w:tr>
      <w:tr w14:paraId="153B37DC">
        <w:tblPrEx>
          <w:tblCellMar>
            <w:top w:w="0" w:type="dxa"/>
            <w:left w:w="108" w:type="dxa"/>
            <w:bottom w:w="0" w:type="dxa"/>
            <w:right w:w="108" w:type="dxa"/>
          </w:tblCellMar>
        </w:tblPrEx>
        <w:trPr>
          <w:trHeight w:val="235"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016C813F">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5</w:t>
            </w:r>
          </w:p>
        </w:tc>
        <w:tc>
          <w:tcPr>
            <w:tcW w:w="2552" w:type="dxa"/>
            <w:gridSpan w:val="2"/>
            <w:vMerge w:val="continue"/>
            <w:tcBorders>
              <w:left w:val="nil"/>
              <w:right w:val="single" w:color="auto" w:sz="4" w:space="0"/>
            </w:tcBorders>
            <w:shd w:val="clear" w:color="auto" w:fill="auto"/>
            <w:vAlign w:val="center"/>
          </w:tcPr>
          <w:p w14:paraId="2AA3A6AF">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03E374F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293E50E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275" w:type="dxa"/>
            <w:tcBorders>
              <w:top w:val="nil"/>
              <w:left w:val="nil"/>
              <w:bottom w:val="single" w:color="auto" w:sz="4" w:space="0"/>
              <w:right w:val="single" w:color="auto" w:sz="4" w:space="0"/>
            </w:tcBorders>
            <w:shd w:val="clear" w:color="auto" w:fill="auto"/>
            <w:noWrap/>
            <w:vAlign w:val="bottom"/>
          </w:tcPr>
          <w:p w14:paraId="145EC66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DN80</w:t>
            </w:r>
          </w:p>
        </w:tc>
        <w:tc>
          <w:tcPr>
            <w:tcW w:w="2268" w:type="dxa"/>
            <w:tcBorders>
              <w:top w:val="nil"/>
              <w:left w:val="nil"/>
              <w:bottom w:val="single" w:color="auto" w:sz="4" w:space="0"/>
              <w:right w:val="single" w:color="auto" w:sz="4" w:space="0"/>
            </w:tcBorders>
          </w:tcPr>
          <w:p w14:paraId="57D5A60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2*12*4条M16螺栓</w:t>
            </w:r>
          </w:p>
        </w:tc>
      </w:tr>
      <w:tr w14:paraId="09B3AD95">
        <w:tblPrEx>
          <w:tblCellMar>
            <w:top w:w="0" w:type="dxa"/>
            <w:left w:w="108" w:type="dxa"/>
            <w:bottom w:w="0" w:type="dxa"/>
            <w:right w:w="108" w:type="dxa"/>
          </w:tblCellMar>
        </w:tblPrEx>
        <w:trPr>
          <w:trHeight w:val="268"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55F8BF4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6</w:t>
            </w:r>
          </w:p>
        </w:tc>
        <w:tc>
          <w:tcPr>
            <w:tcW w:w="2552" w:type="dxa"/>
            <w:gridSpan w:val="2"/>
            <w:vMerge w:val="continue"/>
            <w:tcBorders>
              <w:left w:val="nil"/>
              <w:right w:val="single" w:color="auto" w:sz="4" w:space="0"/>
            </w:tcBorders>
            <w:shd w:val="clear" w:color="auto" w:fill="auto"/>
            <w:vAlign w:val="center"/>
          </w:tcPr>
          <w:p w14:paraId="71F0F175">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195931A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2DD547A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6*12</w:t>
            </w:r>
          </w:p>
        </w:tc>
        <w:tc>
          <w:tcPr>
            <w:tcW w:w="1275" w:type="dxa"/>
            <w:tcBorders>
              <w:top w:val="nil"/>
              <w:left w:val="nil"/>
              <w:bottom w:val="single" w:color="auto" w:sz="4" w:space="0"/>
              <w:right w:val="single" w:color="auto" w:sz="4" w:space="0"/>
            </w:tcBorders>
            <w:shd w:val="clear" w:color="auto" w:fill="auto"/>
            <w:noWrap/>
            <w:vAlign w:val="bottom"/>
          </w:tcPr>
          <w:p w14:paraId="60E389F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DN100</w:t>
            </w:r>
          </w:p>
        </w:tc>
        <w:tc>
          <w:tcPr>
            <w:tcW w:w="2268" w:type="dxa"/>
            <w:tcBorders>
              <w:top w:val="nil"/>
              <w:left w:val="nil"/>
              <w:bottom w:val="single" w:color="auto" w:sz="4" w:space="0"/>
              <w:right w:val="single" w:color="auto" w:sz="4" w:space="0"/>
            </w:tcBorders>
          </w:tcPr>
          <w:p w14:paraId="45E663F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6*12*8条M16螺栓</w:t>
            </w:r>
          </w:p>
        </w:tc>
      </w:tr>
      <w:tr w14:paraId="2837CDA4">
        <w:tblPrEx>
          <w:tblCellMar>
            <w:top w:w="0" w:type="dxa"/>
            <w:left w:w="108" w:type="dxa"/>
            <w:bottom w:w="0" w:type="dxa"/>
            <w:right w:w="108" w:type="dxa"/>
          </w:tblCellMar>
        </w:tblPrEx>
        <w:trPr>
          <w:trHeight w:val="215"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58FBD86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7</w:t>
            </w:r>
          </w:p>
        </w:tc>
        <w:tc>
          <w:tcPr>
            <w:tcW w:w="2552" w:type="dxa"/>
            <w:gridSpan w:val="2"/>
            <w:vMerge w:val="continue"/>
            <w:tcBorders>
              <w:left w:val="nil"/>
              <w:right w:val="single" w:color="auto" w:sz="4" w:space="0"/>
            </w:tcBorders>
            <w:shd w:val="clear" w:color="auto" w:fill="auto"/>
            <w:vAlign w:val="center"/>
          </w:tcPr>
          <w:p w14:paraId="5314901B">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2D5091DF">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0123DC5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1*12</w:t>
            </w:r>
          </w:p>
        </w:tc>
        <w:tc>
          <w:tcPr>
            <w:tcW w:w="1275" w:type="dxa"/>
            <w:tcBorders>
              <w:top w:val="nil"/>
              <w:left w:val="nil"/>
              <w:bottom w:val="single" w:color="auto" w:sz="4" w:space="0"/>
              <w:right w:val="single" w:color="auto" w:sz="4" w:space="0"/>
            </w:tcBorders>
            <w:shd w:val="clear" w:color="auto" w:fill="auto"/>
            <w:noWrap/>
            <w:vAlign w:val="bottom"/>
          </w:tcPr>
          <w:p w14:paraId="0E9D898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DN150</w:t>
            </w:r>
          </w:p>
        </w:tc>
        <w:tc>
          <w:tcPr>
            <w:tcW w:w="2268" w:type="dxa"/>
            <w:tcBorders>
              <w:top w:val="nil"/>
              <w:left w:val="nil"/>
              <w:bottom w:val="single" w:color="auto" w:sz="4" w:space="0"/>
              <w:right w:val="single" w:color="auto" w:sz="4" w:space="0"/>
            </w:tcBorders>
          </w:tcPr>
          <w:p w14:paraId="1D86DB7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1*12*8条M20螺栓</w:t>
            </w:r>
          </w:p>
        </w:tc>
      </w:tr>
      <w:tr w14:paraId="76BDB1C3">
        <w:tblPrEx>
          <w:tblCellMar>
            <w:top w:w="0" w:type="dxa"/>
            <w:left w:w="108" w:type="dxa"/>
            <w:bottom w:w="0" w:type="dxa"/>
            <w:right w:w="108" w:type="dxa"/>
          </w:tblCellMar>
        </w:tblPrEx>
        <w:trPr>
          <w:trHeight w:val="205"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741C90B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8</w:t>
            </w:r>
          </w:p>
        </w:tc>
        <w:tc>
          <w:tcPr>
            <w:tcW w:w="2552" w:type="dxa"/>
            <w:gridSpan w:val="2"/>
            <w:vMerge w:val="continue"/>
            <w:tcBorders>
              <w:left w:val="nil"/>
              <w:right w:val="single" w:color="auto" w:sz="4" w:space="0"/>
            </w:tcBorders>
            <w:shd w:val="clear" w:color="auto" w:fill="auto"/>
            <w:vAlign w:val="center"/>
          </w:tcPr>
          <w:p w14:paraId="4BCA738F">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331C46F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67CA753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1*12</w:t>
            </w:r>
          </w:p>
        </w:tc>
        <w:tc>
          <w:tcPr>
            <w:tcW w:w="1275" w:type="dxa"/>
            <w:tcBorders>
              <w:top w:val="nil"/>
              <w:left w:val="nil"/>
              <w:bottom w:val="single" w:color="auto" w:sz="4" w:space="0"/>
              <w:right w:val="single" w:color="auto" w:sz="4" w:space="0"/>
            </w:tcBorders>
            <w:shd w:val="clear" w:color="auto" w:fill="auto"/>
            <w:noWrap/>
            <w:vAlign w:val="bottom"/>
          </w:tcPr>
          <w:p w14:paraId="1AE379E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DN250</w:t>
            </w:r>
          </w:p>
        </w:tc>
        <w:tc>
          <w:tcPr>
            <w:tcW w:w="2268" w:type="dxa"/>
            <w:tcBorders>
              <w:top w:val="nil"/>
              <w:left w:val="nil"/>
              <w:bottom w:val="single" w:color="auto" w:sz="4" w:space="0"/>
              <w:right w:val="single" w:color="auto" w:sz="4" w:space="0"/>
            </w:tcBorders>
          </w:tcPr>
          <w:p w14:paraId="5D1F22C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1*12*12条M24螺栓</w:t>
            </w:r>
          </w:p>
        </w:tc>
      </w:tr>
      <w:tr w14:paraId="55EB2BC1">
        <w:tblPrEx>
          <w:tblCellMar>
            <w:top w:w="0" w:type="dxa"/>
            <w:left w:w="108" w:type="dxa"/>
            <w:bottom w:w="0" w:type="dxa"/>
            <w:right w:w="108" w:type="dxa"/>
          </w:tblCellMar>
        </w:tblPrEx>
        <w:trPr>
          <w:trHeight w:val="195"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152A48F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9</w:t>
            </w:r>
          </w:p>
        </w:tc>
        <w:tc>
          <w:tcPr>
            <w:tcW w:w="2552" w:type="dxa"/>
            <w:gridSpan w:val="2"/>
            <w:vMerge w:val="continue"/>
            <w:tcBorders>
              <w:left w:val="nil"/>
              <w:bottom w:val="single" w:color="auto" w:sz="4" w:space="0"/>
              <w:right w:val="single" w:color="auto" w:sz="4" w:space="0"/>
            </w:tcBorders>
            <w:shd w:val="clear" w:color="auto" w:fill="auto"/>
            <w:vAlign w:val="center"/>
          </w:tcPr>
          <w:p w14:paraId="58B3A7F5">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bottom"/>
          </w:tcPr>
          <w:p w14:paraId="03C4961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nil"/>
              <w:left w:val="nil"/>
              <w:bottom w:val="single" w:color="auto" w:sz="4" w:space="0"/>
              <w:right w:val="single" w:color="auto" w:sz="4" w:space="0"/>
            </w:tcBorders>
            <w:shd w:val="clear" w:color="auto" w:fill="auto"/>
            <w:noWrap/>
            <w:vAlign w:val="bottom"/>
          </w:tcPr>
          <w:p w14:paraId="2A7D157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275" w:type="dxa"/>
            <w:tcBorders>
              <w:top w:val="nil"/>
              <w:left w:val="nil"/>
              <w:bottom w:val="single" w:color="auto" w:sz="4" w:space="0"/>
              <w:right w:val="single" w:color="auto" w:sz="4" w:space="0"/>
            </w:tcBorders>
            <w:shd w:val="clear" w:color="auto" w:fill="auto"/>
            <w:noWrap/>
            <w:vAlign w:val="bottom"/>
          </w:tcPr>
          <w:p w14:paraId="79BFB17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DN350</w:t>
            </w:r>
          </w:p>
        </w:tc>
        <w:tc>
          <w:tcPr>
            <w:tcW w:w="2268" w:type="dxa"/>
            <w:tcBorders>
              <w:top w:val="nil"/>
              <w:left w:val="nil"/>
              <w:bottom w:val="single" w:color="auto" w:sz="4" w:space="0"/>
              <w:right w:val="single" w:color="auto" w:sz="4" w:space="0"/>
            </w:tcBorders>
          </w:tcPr>
          <w:p w14:paraId="1E5E3FD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2*12*12条M27螺栓</w:t>
            </w:r>
          </w:p>
        </w:tc>
      </w:tr>
      <w:tr w14:paraId="60CD9D04">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27C6330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10</w:t>
            </w:r>
          </w:p>
        </w:tc>
        <w:tc>
          <w:tcPr>
            <w:tcW w:w="992" w:type="dxa"/>
            <w:vMerge w:val="restart"/>
            <w:tcBorders>
              <w:top w:val="nil"/>
              <w:left w:val="single" w:color="auto" w:sz="4" w:space="0"/>
              <w:bottom w:val="single" w:color="000000" w:sz="4" w:space="0"/>
              <w:right w:val="single" w:color="auto" w:sz="4" w:space="0"/>
            </w:tcBorders>
            <w:shd w:val="clear" w:color="auto" w:fill="auto"/>
            <w:noWrap/>
            <w:vAlign w:val="center"/>
          </w:tcPr>
          <w:p w14:paraId="0D41729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旧填料掏出</w:t>
            </w:r>
          </w:p>
        </w:tc>
        <w:tc>
          <w:tcPr>
            <w:tcW w:w="1560" w:type="dxa"/>
            <w:tcBorders>
              <w:top w:val="single" w:color="auto" w:sz="4" w:space="0"/>
              <w:left w:val="nil"/>
              <w:bottom w:val="single" w:color="auto" w:sz="4" w:space="0"/>
              <w:right w:val="single" w:color="auto" w:sz="4" w:space="0"/>
            </w:tcBorders>
            <w:shd w:val="clear" w:color="auto" w:fill="auto"/>
            <w:noWrap/>
            <w:vAlign w:val="bottom"/>
          </w:tcPr>
          <w:p w14:paraId="080CAE9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焦炭掏出</w:t>
            </w:r>
          </w:p>
        </w:tc>
        <w:tc>
          <w:tcPr>
            <w:tcW w:w="850" w:type="dxa"/>
            <w:tcBorders>
              <w:top w:val="nil"/>
              <w:left w:val="nil"/>
              <w:bottom w:val="single" w:color="auto" w:sz="4" w:space="0"/>
              <w:right w:val="single" w:color="auto" w:sz="4" w:space="0"/>
            </w:tcBorders>
            <w:shd w:val="clear" w:color="auto" w:fill="auto"/>
            <w:noWrap/>
            <w:vAlign w:val="bottom"/>
          </w:tcPr>
          <w:p w14:paraId="0C2B1F7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0D8285B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185</w:t>
            </w:r>
          </w:p>
        </w:tc>
        <w:tc>
          <w:tcPr>
            <w:tcW w:w="1275" w:type="dxa"/>
            <w:tcBorders>
              <w:top w:val="nil"/>
              <w:left w:val="nil"/>
              <w:bottom w:val="single" w:color="auto" w:sz="4" w:space="0"/>
              <w:right w:val="single" w:color="auto" w:sz="4" w:space="0"/>
            </w:tcBorders>
            <w:shd w:val="clear" w:color="auto" w:fill="auto"/>
            <w:noWrap/>
            <w:vAlign w:val="bottom"/>
          </w:tcPr>
          <w:p w14:paraId="712133F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φ8-15mm</w:t>
            </w:r>
          </w:p>
        </w:tc>
        <w:tc>
          <w:tcPr>
            <w:tcW w:w="2268" w:type="dxa"/>
            <w:tcBorders>
              <w:top w:val="nil"/>
              <w:left w:val="nil"/>
              <w:bottom w:val="single" w:color="auto" w:sz="4" w:space="0"/>
              <w:right w:val="single" w:color="auto" w:sz="4" w:space="0"/>
            </w:tcBorders>
          </w:tcPr>
          <w:p w14:paraId="2C6D84D4">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0661110A">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161B3C5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11</w:t>
            </w:r>
          </w:p>
        </w:tc>
        <w:tc>
          <w:tcPr>
            <w:tcW w:w="992" w:type="dxa"/>
            <w:vMerge w:val="continue"/>
            <w:tcBorders>
              <w:top w:val="nil"/>
              <w:left w:val="single" w:color="auto" w:sz="4" w:space="0"/>
              <w:bottom w:val="single" w:color="000000" w:sz="4" w:space="0"/>
              <w:right w:val="single" w:color="auto" w:sz="4" w:space="0"/>
            </w:tcBorders>
            <w:vAlign w:val="center"/>
          </w:tcPr>
          <w:p w14:paraId="5A089569">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nil"/>
              <w:left w:val="nil"/>
              <w:bottom w:val="single" w:color="auto" w:sz="4" w:space="0"/>
              <w:right w:val="single" w:color="auto" w:sz="4" w:space="0"/>
            </w:tcBorders>
            <w:shd w:val="clear" w:color="auto" w:fill="auto"/>
            <w:noWrap/>
            <w:vAlign w:val="bottom"/>
          </w:tcPr>
          <w:p w14:paraId="1B1DCC8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石英沙掏出</w:t>
            </w:r>
          </w:p>
        </w:tc>
        <w:tc>
          <w:tcPr>
            <w:tcW w:w="850" w:type="dxa"/>
            <w:tcBorders>
              <w:top w:val="nil"/>
              <w:left w:val="nil"/>
              <w:bottom w:val="single" w:color="auto" w:sz="4" w:space="0"/>
              <w:right w:val="single" w:color="auto" w:sz="4" w:space="0"/>
            </w:tcBorders>
            <w:shd w:val="clear" w:color="auto" w:fill="auto"/>
            <w:noWrap/>
            <w:vAlign w:val="bottom"/>
          </w:tcPr>
          <w:p w14:paraId="551144C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1AAE623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100</w:t>
            </w:r>
          </w:p>
        </w:tc>
        <w:tc>
          <w:tcPr>
            <w:tcW w:w="1275" w:type="dxa"/>
            <w:tcBorders>
              <w:top w:val="nil"/>
              <w:left w:val="nil"/>
              <w:bottom w:val="single" w:color="auto" w:sz="4" w:space="0"/>
              <w:right w:val="single" w:color="auto" w:sz="4" w:space="0"/>
            </w:tcBorders>
            <w:shd w:val="clear" w:color="auto" w:fill="auto"/>
            <w:noWrap/>
            <w:vAlign w:val="bottom"/>
          </w:tcPr>
          <w:p w14:paraId="411941E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φ7-8mm</w:t>
            </w:r>
          </w:p>
        </w:tc>
        <w:tc>
          <w:tcPr>
            <w:tcW w:w="2268" w:type="dxa"/>
            <w:tcBorders>
              <w:top w:val="nil"/>
              <w:left w:val="nil"/>
              <w:bottom w:val="single" w:color="auto" w:sz="4" w:space="0"/>
              <w:right w:val="single" w:color="auto" w:sz="4" w:space="0"/>
            </w:tcBorders>
          </w:tcPr>
          <w:p w14:paraId="5F41709B">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5C69DFEC">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45BA558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12</w:t>
            </w:r>
          </w:p>
        </w:tc>
        <w:tc>
          <w:tcPr>
            <w:tcW w:w="992" w:type="dxa"/>
            <w:vMerge w:val="continue"/>
            <w:tcBorders>
              <w:top w:val="nil"/>
              <w:left w:val="single" w:color="auto" w:sz="4" w:space="0"/>
              <w:bottom w:val="single" w:color="000000" w:sz="4" w:space="0"/>
              <w:right w:val="single" w:color="auto" w:sz="4" w:space="0"/>
            </w:tcBorders>
            <w:vAlign w:val="center"/>
          </w:tcPr>
          <w:p w14:paraId="659CD17D">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nil"/>
              <w:left w:val="nil"/>
              <w:bottom w:val="single" w:color="auto" w:sz="4" w:space="0"/>
              <w:right w:val="single" w:color="auto" w:sz="4" w:space="0"/>
            </w:tcBorders>
            <w:shd w:val="clear" w:color="auto" w:fill="auto"/>
            <w:noWrap/>
            <w:vAlign w:val="bottom"/>
          </w:tcPr>
          <w:p w14:paraId="2373B65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支撑石子掏出</w:t>
            </w:r>
          </w:p>
        </w:tc>
        <w:tc>
          <w:tcPr>
            <w:tcW w:w="850" w:type="dxa"/>
            <w:tcBorders>
              <w:top w:val="nil"/>
              <w:left w:val="nil"/>
              <w:bottom w:val="single" w:color="auto" w:sz="4" w:space="0"/>
              <w:right w:val="single" w:color="auto" w:sz="4" w:space="0"/>
            </w:tcBorders>
            <w:shd w:val="clear" w:color="auto" w:fill="auto"/>
            <w:noWrap/>
            <w:vAlign w:val="bottom"/>
          </w:tcPr>
          <w:p w14:paraId="3EE4E1D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1E2B6AA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43</w:t>
            </w:r>
          </w:p>
        </w:tc>
        <w:tc>
          <w:tcPr>
            <w:tcW w:w="1275" w:type="dxa"/>
            <w:tcBorders>
              <w:top w:val="nil"/>
              <w:left w:val="nil"/>
              <w:bottom w:val="single" w:color="auto" w:sz="4" w:space="0"/>
              <w:right w:val="single" w:color="auto" w:sz="4" w:space="0"/>
            </w:tcBorders>
            <w:shd w:val="clear" w:color="auto" w:fill="auto"/>
            <w:noWrap/>
            <w:vAlign w:val="bottom"/>
          </w:tcPr>
          <w:p w14:paraId="27BB08F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φ5-40mm</w:t>
            </w:r>
          </w:p>
        </w:tc>
        <w:tc>
          <w:tcPr>
            <w:tcW w:w="2268" w:type="dxa"/>
            <w:tcBorders>
              <w:top w:val="nil"/>
              <w:left w:val="nil"/>
              <w:bottom w:val="single" w:color="auto" w:sz="4" w:space="0"/>
              <w:right w:val="single" w:color="auto" w:sz="4" w:space="0"/>
            </w:tcBorders>
          </w:tcPr>
          <w:p w14:paraId="79AD516A">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03891E57">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1E35370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13</w:t>
            </w:r>
          </w:p>
        </w:tc>
        <w:tc>
          <w:tcPr>
            <w:tcW w:w="992" w:type="dxa"/>
            <w:vMerge w:val="restart"/>
            <w:tcBorders>
              <w:top w:val="nil"/>
              <w:left w:val="single" w:color="auto" w:sz="4" w:space="0"/>
              <w:bottom w:val="single" w:color="000000" w:sz="4" w:space="0"/>
              <w:right w:val="single" w:color="auto" w:sz="4" w:space="0"/>
            </w:tcBorders>
            <w:shd w:val="clear" w:color="auto" w:fill="auto"/>
            <w:noWrap/>
            <w:vAlign w:val="center"/>
          </w:tcPr>
          <w:p w14:paraId="7502057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新填料装填</w:t>
            </w:r>
          </w:p>
        </w:tc>
        <w:tc>
          <w:tcPr>
            <w:tcW w:w="1560" w:type="dxa"/>
            <w:tcBorders>
              <w:top w:val="nil"/>
              <w:left w:val="nil"/>
              <w:bottom w:val="single" w:color="auto" w:sz="4" w:space="0"/>
              <w:right w:val="single" w:color="auto" w:sz="4" w:space="0"/>
            </w:tcBorders>
            <w:shd w:val="clear" w:color="auto" w:fill="auto"/>
            <w:noWrap/>
            <w:vAlign w:val="bottom"/>
          </w:tcPr>
          <w:p w14:paraId="13A685D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焦炭装填</w:t>
            </w:r>
          </w:p>
        </w:tc>
        <w:tc>
          <w:tcPr>
            <w:tcW w:w="850" w:type="dxa"/>
            <w:tcBorders>
              <w:top w:val="nil"/>
              <w:left w:val="nil"/>
              <w:bottom w:val="single" w:color="auto" w:sz="4" w:space="0"/>
              <w:right w:val="single" w:color="auto" w:sz="4" w:space="0"/>
            </w:tcBorders>
            <w:shd w:val="clear" w:color="auto" w:fill="auto"/>
            <w:noWrap/>
            <w:vAlign w:val="bottom"/>
          </w:tcPr>
          <w:p w14:paraId="2BCF871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2882BA6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185</w:t>
            </w:r>
          </w:p>
        </w:tc>
        <w:tc>
          <w:tcPr>
            <w:tcW w:w="1275" w:type="dxa"/>
            <w:tcBorders>
              <w:top w:val="nil"/>
              <w:left w:val="nil"/>
              <w:bottom w:val="single" w:color="auto" w:sz="4" w:space="0"/>
              <w:right w:val="single" w:color="auto" w:sz="4" w:space="0"/>
            </w:tcBorders>
            <w:shd w:val="clear" w:color="auto" w:fill="auto"/>
            <w:noWrap/>
            <w:vAlign w:val="bottom"/>
          </w:tcPr>
          <w:p w14:paraId="7232B8D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φ8-15mm</w:t>
            </w:r>
          </w:p>
        </w:tc>
        <w:tc>
          <w:tcPr>
            <w:tcW w:w="2268" w:type="dxa"/>
            <w:tcBorders>
              <w:top w:val="nil"/>
              <w:left w:val="nil"/>
              <w:bottom w:val="single" w:color="auto" w:sz="4" w:space="0"/>
              <w:right w:val="single" w:color="auto" w:sz="4" w:space="0"/>
            </w:tcBorders>
          </w:tcPr>
          <w:p w14:paraId="5D26E3A6">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70A0F3AA">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61D2FC4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14</w:t>
            </w:r>
          </w:p>
        </w:tc>
        <w:tc>
          <w:tcPr>
            <w:tcW w:w="992" w:type="dxa"/>
            <w:vMerge w:val="continue"/>
            <w:tcBorders>
              <w:top w:val="nil"/>
              <w:left w:val="single" w:color="auto" w:sz="4" w:space="0"/>
              <w:bottom w:val="single" w:color="000000" w:sz="4" w:space="0"/>
              <w:right w:val="single" w:color="auto" w:sz="4" w:space="0"/>
            </w:tcBorders>
            <w:vAlign w:val="center"/>
          </w:tcPr>
          <w:p w14:paraId="3BDEF16E">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nil"/>
              <w:left w:val="nil"/>
              <w:bottom w:val="single" w:color="auto" w:sz="4" w:space="0"/>
              <w:right w:val="single" w:color="auto" w:sz="4" w:space="0"/>
            </w:tcBorders>
            <w:shd w:val="clear" w:color="auto" w:fill="auto"/>
            <w:noWrap/>
            <w:vAlign w:val="bottom"/>
          </w:tcPr>
          <w:p w14:paraId="33410C1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石英沙装填</w:t>
            </w:r>
          </w:p>
        </w:tc>
        <w:tc>
          <w:tcPr>
            <w:tcW w:w="850" w:type="dxa"/>
            <w:tcBorders>
              <w:top w:val="nil"/>
              <w:left w:val="nil"/>
              <w:bottom w:val="single" w:color="auto" w:sz="4" w:space="0"/>
              <w:right w:val="single" w:color="auto" w:sz="4" w:space="0"/>
            </w:tcBorders>
            <w:shd w:val="clear" w:color="auto" w:fill="auto"/>
            <w:noWrap/>
            <w:vAlign w:val="bottom"/>
          </w:tcPr>
          <w:p w14:paraId="64E68AA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748681F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100</w:t>
            </w:r>
          </w:p>
        </w:tc>
        <w:tc>
          <w:tcPr>
            <w:tcW w:w="1275" w:type="dxa"/>
            <w:tcBorders>
              <w:top w:val="nil"/>
              <w:left w:val="nil"/>
              <w:bottom w:val="single" w:color="auto" w:sz="4" w:space="0"/>
              <w:right w:val="single" w:color="auto" w:sz="4" w:space="0"/>
            </w:tcBorders>
            <w:shd w:val="clear" w:color="auto" w:fill="auto"/>
            <w:noWrap/>
            <w:vAlign w:val="bottom"/>
          </w:tcPr>
          <w:p w14:paraId="44C24E6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φ7-8mm</w:t>
            </w:r>
          </w:p>
        </w:tc>
        <w:tc>
          <w:tcPr>
            <w:tcW w:w="2268" w:type="dxa"/>
            <w:tcBorders>
              <w:top w:val="nil"/>
              <w:left w:val="nil"/>
              <w:bottom w:val="single" w:color="auto" w:sz="4" w:space="0"/>
              <w:right w:val="single" w:color="auto" w:sz="4" w:space="0"/>
            </w:tcBorders>
          </w:tcPr>
          <w:p w14:paraId="348318F3">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158BACF2">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0E7ACB3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15</w:t>
            </w:r>
          </w:p>
        </w:tc>
        <w:tc>
          <w:tcPr>
            <w:tcW w:w="992" w:type="dxa"/>
            <w:vMerge w:val="continue"/>
            <w:tcBorders>
              <w:top w:val="nil"/>
              <w:left w:val="single" w:color="auto" w:sz="4" w:space="0"/>
              <w:bottom w:val="single" w:color="000000" w:sz="4" w:space="0"/>
              <w:right w:val="single" w:color="auto" w:sz="4" w:space="0"/>
            </w:tcBorders>
            <w:vAlign w:val="center"/>
          </w:tcPr>
          <w:p w14:paraId="52E6146E">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nil"/>
              <w:left w:val="nil"/>
              <w:bottom w:val="single" w:color="auto" w:sz="4" w:space="0"/>
              <w:right w:val="single" w:color="auto" w:sz="4" w:space="0"/>
            </w:tcBorders>
            <w:shd w:val="clear" w:color="auto" w:fill="auto"/>
            <w:noWrap/>
            <w:vAlign w:val="bottom"/>
          </w:tcPr>
          <w:p w14:paraId="2168777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支撑石子装填</w:t>
            </w:r>
          </w:p>
        </w:tc>
        <w:tc>
          <w:tcPr>
            <w:tcW w:w="850" w:type="dxa"/>
            <w:tcBorders>
              <w:top w:val="nil"/>
              <w:left w:val="nil"/>
              <w:bottom w:val="single" w:color="auto" w:sz="4" w:space="0"/>
              <w:right w:val="single" w:color="auto" w:sz="4" w:space="0"/>
            </w:tcBorders>
            <w:shd w:val="clear" w:color="auto" w:fill="auto"/>
            <w:noWrap/>
            <w:vAlign w:val="bottom"/>
          </w:tcPr>
          <w:p w14:paraId="572260B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2C8E09E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43</w:t>
            </w:r>
          </w:p>
        </w:tc>
        <w:tc>
          <w:tcPr>
            <w:tcW w:w="1275" w:type="dxa"/>
            <w:tcBorders>
              <w:top w:val="nil"/>
              <w:left w:val="nil"/>
              <w:bottom w:val="single" w:color="auto" w:sz="4" w:space="0"/>
              <w:right w:val="single" w:color="auto" w:sz="4" w:space="0"/>
            </w:tcBorders>
            <w:shd w:val="clear" w:color="auto" w:fill="auto"/>
            <w:noWrap/>
            <w:vAlign w:val="bottom"/>
          </w:tcPr>
          <w:p w14:paraId="4D7A46B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φ5-40mm</w:t>
            </w:r>
          </w:p>
        </w:tc>
        <w:tc>
          <w:tcPr>
            <w:tcW w:w="2268" w:type="dxa"/>
            <w:tcBorders>
              <w:top w:val="nil"/>
              <w:left w:val="nil"/>
              <w:bottom w:val="single" w:color="auto" w:sz="4" w:space="0"/>
              <w:right w:val="single" w:color="auto" w:sz="4" w:space="0"/>
            </w:tcBorders>
          </w:tcPr>
          <w:p w14:paraId="7C4824F8">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65E9A827">
        <w:tblPrEx>
          <w:tblCellMar>
            <w:top w:w="0" w:type="dxa"/>
            <w:left w:w="108" w:type="dxa"/>
            <w:bottom w:w="0" w:type="dxa"/>
            <w:right w:w="108" w:type="dxa"/>
          </w:tblCellMar>
        </w:tblPrEx>
        <w:trPr>
          <w:trHeight w:val="270"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3A41895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16</w:t>
            </w:r>
          </w:p>
        </w:tc>
        <w:tc>
          <w:tcPr>
            <w:tcW w:w="992" w:type="dxa"/>
            <w:vMerge w:val="restart"/>
            <w:tcBorders>
              <w:top w:val="nil"/>
              <w:left w:val="single" w:color="auto" w:sz="4" w:space="0"/>
              <w:right w:val="single" w:color="auto" w:sz="4" w:space="0"/>
            </w:tcBorders>
            <w:shd w:val="clear" w:color="auto" w:fill="auto"/>
            <w:noWrap/>
            <w:vAlign w:val="center"/>
          </w:tcPr>
          <w:p w14:paraId="11668EC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废旧填料转运</w:t>
            </w:r>
          </w:p>
        </w:tc>
        <w:tc>
          <w:tcPr>
            <w:tcW w:w="1560" w:type="dxa"/>
            <w:tcBorders>
              <w:top w:val="nil"/>
              <w:left w:val="nil"/>
              <w:bottom w:val="single" w:color="auto" w:sz="4" w:space="0"/>
              <w:right w:val="single" w:color="auto" w:sz="4" w:space="0"/>
            </w:tcBorders>
            <w:shd w:val="clear" w:color="auto" w:fill="auto"/>
            <w:noWrap/>
            <w:vAlign w:val="bottom"/>
          </w:tcPr>
          <w:p w14:paraId="1608839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焦炭转运</w:t>
            </w:r>
          </w:p>
        </w:tc>
        <w:tc>
          <w:tcPr>
            <w:tcW w:w="850" w:type="dxa"/>
            <w:tcBorders>
              <w:top w:val="nil"/>
              <w:left w:val="nil"/>
              <w:bottom w:val="single" w:color="auto" w:sz="4" w:space="0"/>
              <w:right w:val="single" w:color="auto" w:sz="4" w:space="0"/>
            </w:tcBorders>
            <w:shd w:val="clear" w:color="auto" w:fill="auto"/>
            <w:noWrap/>
            <w:vAlign w:val="bottom"/>
          </w:tcPr>
          <w:p w14:paraId="09166FA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18B8F5A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185</w:t>
            </w:r>
          </w:p>
        </w:tc>
        <w:tc>
          <w:tcPr>
            <w:tcW w:w="1275" w:type="dxa"/>
            <w:tcBorders>
              <w:top w:val="nil"/>
              <w:left w:val="nil"/>
              <w:bottom w:val="single" w:color="auto" w:sz="4" w:space="0"/>
              <w:right w:val="single" w:color="auto" w:sz="4" w:space="0"/>
            </w:tcBorders>
            <w:shd w:val="clear" w:color="auto" w:fill="auto"/>
            <w:noWrap/>
            <w:vAlign w:val="bottom"/>
          </w:tcPr>
          <w:p w14:paraId="483645A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φ8-15mm</w:t>
            </w:r>
          </w:p>
        </w:tc>
        <w:tc>
          <w:tcPr>
            <w:tcW w:w="2268" w:type="dxa"/>
            <w:tcBorders>
              <w:top w:val="nil"/>
              <w:left w:val="nil"/>
              <w:bottom w:val="single" w:color="auto" w:sz="4" w:space="0"/>
              <w:right w:val="single" w:color="auto" w:sz="4" w:space="0"/>
            </w:tcBorders>
          </w:tcPr>
          <w:p w14:paraId="1DA7FE62">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18B0515F">
        <w:tblPrEx>
          <w:tblCellMar>
            <w:top w:w="0" w:type="dxa"/>
            <w:left w:w="108" w:type="dxa"/>
            <w:bottom w:w="0" w:type="dxa"/>
            <w:right w:w="108" w:type="dxa"/>
          </w:tblCellMar>
        </w:tblPrEx>
        <w:trPr>
          <w:trHeight w:val="381"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bottom"/>
          </w:tcPr>
          <w:p w14:paraId="2F5BFDC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17</w:t>
            </w:r>
          </w:p>
        </w:tc>
        <w:tc>
          <w:tcPr>
            <w:tcW w:w="992" w:type="dxa"/>
            <w:vMerge w:val="continue"/>
            <w:tcBorders>
              <w:left w:val="single" w:color="auto" w:sz="4" w:space="0"/>
              <w:right w:val="single" w:color="auto" w:sz="4" w:space="0"/>
            </w:tcBorders>
            <w:vAlign w:val="center"/>
          </w:tcPr>
          <w:p w14:paraId="5D6E89E6">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nil"/>
              <w:left w:val="nil"/>
              <w:bottom w:val="single" w:color="auto" w:sz="4" w:space="0"/>
              <w:right w:val="single" w:color="auto" w:sz="4" w:space="0"/>
            </w:tcBorders>
            <w:shd w:val="clear" w:color="auto" w:fill="auto"/>
            <w:noWrap/>
            <w:vAlign w:val="bottom"/>
          </w:tcPr>
          <w:p w14:paraId="2978AB0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石英沙转运</w:t>
            </w:r>
          </w:p>
        </w:tc>
        <w:tc>
          <w:tcPr>
            <w:tcW w:w="850" w:type="dxa"/>
            <w:tcBorders>
              <w:top w:val="nil"/>
              <w:left w:val="nil"/>
              <w:bottom w:val="single" w:color="auto" w:sz="4" w:space="0"/>
              <w:right w:val="single" w:color="auto" w:sz="4" w:space="0"/>
            </w:tcBorders>
            <w:shd w:val="clear" w:color="auto" w:fill="auto"/>
            <w:noWrap/>
            <w:vAlign w:val="bottom"/>
          </w:tcPr>
          <w:p w14:paraId="6EC76EC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nil"/>
              <w:left w:val="nil"/>
              <w:bottom w:val="single" w:color="auto" w:sz="4" w:space="0"/>
              <w:right w:val="single" w:color="auto" w:sz="4" w:space="0"/>
            </w:tcBorders>
            <w:shd w:val="clear" w:color="auto" w:fill="auto"/>
            <w:noWrap/>
            <w:vAlign w:val="bottom"/>
          </w:tcPr>
          <w:p w14:paraId="0EE6AFA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100</w:t>
            </w:r>
          </w:p>
        </w:tc>
        <w:tc>
          <w:tcPr>
            <w:tcW w:w="1275" w:type="dxa"/>
            <w:tcBorders>
              <w:top w:val="nil"/>
              <w:left w:val="nil"/>
              <w:bottom w:val="single" w:color="auto" w:sz="4" w:space="0"/>
              <w:right w:val="single" w:color="auto" w:sz="4" w:space="0"/>
            </w:tcBorders>
            <w:shd w:val="clear" w:color="auto" w:fill="auto"/>
            <w:noWrap/>
            <w:vAlign w:val="bottom"/>
          </w:tcPr>
          <w:p w14:paraId="48A1762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φ7-8mm</w:t>
            </w:r>
          </w:p>
        </w:tc>
        <w:tc>
          <w:tcPr>
            <w:tcW w:w="2268" w:type="dxa"/>
            <w:tcBorders>
              <w:top w:val="nil"/>
              <w:left w:val="nil"/>
              <w:bottom w:val="single" w:color="auto" w:sz="4" w:space="0"/>
              <w:right w:val="single" w:color="auto" w:sz="4" w:space="0"/>
            </w:tcBorders>
          </w:tcPr>
          <w:p w14:paraId="289B71D9">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2C02F96B">
        <w:tblPrEx>
          <w:tblCellMar>
            <w:top w:w="0" w:type="dxa"/>
            <w:left w:w="108" w:type="dxa"/>
            <w:bottom w:w="0" w:type="dxa"/>
            <w:right w:w="108" w:type="dxa"/>
          </w:tblCellMar>
        </w:tblPrEx>
        <w:trPr>
          <w:trHeight w:val="240"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123B9E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18</w:t>
            </w:r>
          </w:p>
        </w:tc>
        <w:tc>
          <w:tcPr>
            <w:tcW w:w="992" w:type="dxa"/>
            <w:vMerge w:val="continue"/>
            <w:tcBorders>
              <w:left w:val="single" w:color="auto" w:sz="4" w:space="0"/>
              <w:bottom w:val="single" w:color="auto" w:sz="4" w:space="0"/>
              <w:right w:val="single" w:color="auto" w:sz="4" w:space="0"/>
            </w:tcBorders>
            <w:vAlign w:val="center"/>
          </w:tcPr>
          <w:p w14:paraId="3B8AB087">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single" w:color="auto" w:sz="4" w:space="0"/>
              <w:left w:val="nil"/>
              <w:bottom w:val="single" w:color="auto" w:sz="4" w:space="0"/>
              <w:right w:val="single" w:color="auto" w:sz="4" w:space="0"/>
            </w:tcBorders>
            <w:shd w:val="clear" w:color="auto" w:fill="auto"/>
            <w:noWrap/>
            <w:vAlign w:val="bottom"/>
          </w:tcPr>
          <w:p w14:paraId="50C7EA4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支撑石子转运</w:t>
            </w:r>
          </w:p>
        </w:tc>
        <w:tc>
          <w:tcPr>
            <w:tcW w:w="850" w:type="dxa"/>
            <w:tcBorders>
              <w:top w:val="single" w:color="auto" w:sz="4" w:space="0"/>
              <w:left w:val="nil"/>
              <w:bottom w:val="single" w:color="auto" w:sz="4" w:space="0"/>
              <w:right w:val="single" w:color="auto" w:sz="4" w:space="0"/>
            </w:tcBorders>
            <w:shd w:val="clear" w:color="auto" w:fill="auto"/>
            <w:noWrap/>
            <w:vAlign w:val="bottom"/>
          </w:tcPr>
          <w:p w14:paraId="15560DF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51" w:type="dxa"/>
            <w:tcBorders>
              <w:top w:val="single" w:color="auto" w:sz="4" w:space="0"/>
              <w:left w:val="nil"/>
              <w:bottom w:val="single" w:color="auto" w:sz="4" w:space="0"/>
              <w:right w:val="single" w:color="auto" w:sz="4" w:space="0"/>
            </w:tcBorders>
            <w:shd w:val="clear" w:color="auto" w:fill="auto"/>
            <w:noWrap/>
            <w:vAlign w:val="bottom"/>
          </w:tcPr>
          <w:p w14:paraId="3CCCE21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43</w:t>
            </w:r>
          </w:p>
        </w:tc>
        <w:tc>
          <w:tcPr>
            <w:tcW w:w="1275" w:type="dxa"/>
            <w:tcBorders>
              <w:top w:val="single" w:color="auto" w:sz="4" w:space="0"/>
              <w:left w:val="nil"/>
              <w:bottom w:val="single" w:color="auto" w:sz="4" w:space="0"/>
              <w:right w:val="single" w:color="auto" w:sz="4" w:space="0"/>
            </w:tcBorders>
            <w:shd w:val="clear" w:color="auto" w:fill="auto"/>
            <w:noWrap/>
            <w:vAlign w:val="bottom"/>
          </w:tcPr>
          <w:p w14:paraId="66506C7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φ5-40mm</w:t>
            </w:r>
          </w:p>
        </w:tc>
        <w:tc>
          <w:tcPr>
            <w:tcW w:w="2268" w:type="dxa"/>
            <w:tcBorders>
              <w:top w:val="single" w:color="auto" w:sz="4" w:space="0"/>
              <w:left w:val="nil"/>
              <w:bottom w:val="single" w:color="auto" w:sz="4" w:space="0"/>
              <w:right w:val="single" w:color="auto" w:sz="4" w:space="0"/>
            </w:tcBorders>
          </w:tcPr>
          <w:p w14:paraId="49423F70">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3A38841A">
        <w:tblPrEx>
          <w:tblCellMar>
            <w:top w:w="0" w:type="dxa"/>
            <w:left w:w="108" w:type="dxa"/>
            <w:bottom w:w="0" w:type="dxa"/>
            <w:right w:w="108" w:type="dxa"/>
          </w:tblCellMar>
        </w:tblPrEx>
        <w:trPr>
          <w:trHeight w:val="240"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28BC87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19</w:t>
            </w:r>
          </w:p>
        </w:tc>
        <w:tc>
          <w:tcPr>
            <w:tcW w:w="992" w:type="dxa"/>
            <w:tcBorders>
              <w:top w:val="single" w:color="auto" w:sz="4" w:space="0"/>
              <w:left w:val="single" w:color="auto" w:sz="4" w:space="0"/>
              <w:bottom w:val="single" w:color="auto" w:sz="4" w:space="0"/>
              <w:right w:val="single" w:color="auto" w:sz="4" w:space="0"/>
            </w:tcBorders>
            <w:vAlign w:val="center"/>
          </w:tcPr>
          <w:p w14:paraId="6AA4C33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滤帽清洗</w:t>
            </w:r>
          </w:p>
        </w:tc>
        <w:tc>
          <w:tcPr>
            <w:tcW w:w="1560" w:type="dxa"/>
            <w:tcBorders>
              <w:top w:val="single" w:color="auto" w:sz="4" w:space="0"/>
              <w:left w:val="nil"/>
              <w:bottom w:val="single" w:color="auto" w:sz="4" w:space="0"/>
              <w:right w:val="single" w:color="auto" w:sz="4" w:space="0"/>
            </w:tcBorders>
            <w:shd w:val="clear" w:color="auto" w:fill="auto"/>
            <w:noWrap/>
            <w:vAlign w:val="bottom"/>
          </w:tcPr>
          <w:p w14:paraId="05F29FD7">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14:paraId="5C922C1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51" w:type="dxa"/>
            <w:tcBorders>
              <w:top w:val="single" w:color="auto" w:sz="4" w:space="0"/>
              <w:left w:val="nil"/>
              <w:bottom w:val="single" w:color="auto" w:sz="4" w:space="0"/>
              <w:right w:val="single" w:color="auto" w:sz="4" w:space="0"/>
            </w:tcBorders>
            <w:shd w:val="clear" w:color="auto" w:fill="auto"/>
            <w:noWrap/>
            <w:vAlign w:val="bottom"/>
          </w:tcPr>
          <w:p w14:paraId="21C0A336">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4860</w:t>
            </w:r>
          </w:p>
        </w:tc>
        <w:tc>
          <w:tcPr>
            <w:tcW w:w="1275" w:type="dxa"/>
            <w:tcBorders>
              <w:top w:val="single" w:color="auto" w:sz="4" w:space="0"/>
              <w:left w:val="nil"/>
              <w:bottom w:val="single" w:color="auto" w:sz="4" w:space="0"/>
              <w:right w:val="single" w:color="auto" w:sz="4" w:space="0"/>
            </w:tcBorders>
            <w:shd w:val="clear" w:color="auto" w:fill="auto"/>
            <w:noWrap/>
            <w:vAlign w:val="bottom"/>
          </w:tcPr>
          <w:p w14:paraId="3024553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2.5*15mm</w:t>
            </w:r>
          </w:p>
        </w:tc>
        <w:tc>
          <w:tcPr>
            <w:tcW w:w="2268" w:type="dxa"/>
            <w:tcBorders>
              <w:top w:val="single" w:color="auto" w:sz="4" w:space="0"/>
              <w:left w:val="nil"/>
              <w:bottom w:val="single" w:color="auto" w:sz="4" w:space="0"/>
              <w:right w:val="single" w:color="auto" w:sz="4" w:space="0"/>
            </w:tcBorders>
          </w:tcPr>
          <w:p w14:paraId="5FDFCE4B">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r w14:paraId="16482DB7">
        <w:tblPrEx>
          <w:tblCellMar>
            <w:top w:w="0" w:type="dxa"/>
            <w:left w:w="108" w:type="dxa"/>
            <w:bottom w:w="0" w:type="dxa"/>
            <w:right w:w="108" w:type="dxa"/>
          </w:tblCellMar>
        </w:tblPrEx>
        <w:trPr>
          <w:trHeight w:val="240"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F92E586">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22078EE9">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560" w:type="dxa"/>
            <w:tcBorders>
              <w:top w:val="single" w:color="auto" w:sz="4" w:space="0"/>
              <w:left w:val="nil"/>
              <w:bottom w:val="single" w:color="auto" w:sz="4" w:space="0"/>
              <w:right w:val="single" w:color="auto" w:sz="4" w:space="0"/>
            </w:tcBorders>
            <w:shd w:val="clear" w:color="auto" w:fill="auto"/>
            <w:noWrap/>
            <w:vAlign w:val="bottom"/>
          </w:tcPr>
          <w:p w14:paraId="56847A10">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14:paraId="47B123C6">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851" w:type="dxa"/>
            <w:tcBorders>
              <w:top w:val="single" w:color="auto" w:sz="4" w:space="0"/>
              <w:left w:val="nil"/>
              <w:bottom w:val="single" w:color="auto" w:sz="4" w:space="0"/>
              <w:right w:val="single" w:color="auto" w:sz="4" w:space="0"/>
            </w:tcBorders>
            <w:shd w:val="clear" w:color="auto" w:fill="auto"/>
            <w:noWrap/>
            <w:vAlign w:val="bottom"/>
          </w:tcPr>
          <w:p w14:paraId="414D0D9E">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275" w:type="dxa"/>
            <w:tcBorders>
              <w:top w:val="single" w:color="auto" w:sz="4" w:space="0"/>
              <w:left w:val="nil"/>
              <w:bottom w:val="single" w:color="auto" w:sz="4" w:space="0"/>
              <w:right w:val="single" w:color="auto" w:sz="4" w:space="0"/>
            </w:tcBorders>
            <w:shd w:val="clear" w:color="auto" w:fill="auto"/>
            <w:noWrap/>
            <w:vAlign w:val="bottom"/>
          </w:tcPr>
          <w:p w14:paraId="7295B543">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2268" w:type="dxa"/>
            <w:tcBorders>
              <w:top w:val="single" w:color="auto" w:sz="4" w:space="0"/>
              <w:left w:val="nil"/>
              <w:bottom w:val="single" w:color="auto" w:sz="4" w:space="0"/>
              <w:right w:val="single" w:color="auto" w:sz="4" w:space="0"/>
            </w:tcBorders>
          </w:tcPr>
          <w:p w14:paraId="0B3DFB9C">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r>
    </w:tbl>
    <w:p w14:paraId="47E23630">
      <w:pPr>
        <w:spacing w:line="222" w:lineRule="auto"/>
        <w:rPr>
          <w:rFonts w:hint="eastAsia" w:ascii="宋体" w:hAnsi="宋体" w:eastAsia="宋体" w:cs="宋体"/>
          <w:bCs/>
          <w:snapToGrid/>
          <w:color w:val="auto"/>
          <w:sz w:val="28"/>
          <w:szCs w:val="28"/>
          <w:highlight w:val="none"/>
        </w:rPr>
      </w:pPr>
    </w:p>
    <w:p w14:paraId="6780C9C8">
      <w:pPr>
        <w:spacing w:line="222" w:lineRule="auto"/>
        <w:ind w:firstLine="225"/>
        <w:rPr>
          <w:rFonts w:hint="eastAsia" w:ascii="宋体" w:hAnsi="宋体" w:eastAsia="宋体" w:cs="宋体"/>
          <w:b w:val="0"/>
          <w:bCs/>
          <w:color w:val="auto"/>
          <w:sz w:val="28"/>
          <w:szCs w:val="28"/>
          <w:highlight w:val="none"/>
        </w:rPr>
      </w:pPr>
      <w:r>
        <w:rPr>
          <w:rFonts w:hint="eastAsia" w:ascii="宋体" w:hAnsi="宋体" w:eastAsia="宋体" w:cs="宋体"/>
          <w:b w:val="0"/>
          <w:bCs/>
          <w:color w:val="auto"/>
          <w:sz w:val="28"/>
          <w:szCs w:val="28"/>
          <w:highlight w:val="none"/>
        </w:rPr>
        <w:t>最终油分离器：</w:t>
      </w:r>
    </w:p>
    <w:tbl>
      <w:tblPr>
        <w:tblStyle w:val="10"/>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1361"/>
        <w:gridCol w:w="1008"/>
        <w:gridCol w:w="882"/>
        <w:gridCol w:w="1756"/>
        <w:gridCol w:w="1418"/>
        <w:gridCol w:w="1411"/>
      </w:tblGrid>
      <w:tr w14:paraId="1D43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22" w:type="dxa"/>
            <w:shd w:val="clear" w:color="auto" w:fill="auto"/>
            <w:noWrap/>
            <w:vAlign w:val="bottom"/>
          </w:tcPr>
          <w:p w14:paraId="35F6777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序号</w:t>
            </w:r>
          </w:p>
        </w:tc>
        <w:tc>
          <w:tcPr>
            <w:tcW w:w="1361" w:type="dxa"/>
            <w:shd w:val="clear" w:color="auto" w:fill="auto"/>
            <w:noWrap/>
            <w:vAlign w:val="bottom"/>
          </w:tcPr>
          <w:p w14:paraId="6F2DD51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项目</w:t>
            </w:r>
          </w:p>
        </w:tc>
        <w:tc>
          <w:tcPr>
            <w:tcW w:w="1008" w:type="dxa"/>
            <w:shd w:val="clear" w:color="auto" w:fill="auto"/>
            <w:noWrap/>
            <w:vAlign w:val="bottom"/>
          </w:tcPr>
          <w:p w14:paraId="7E5AF7B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单位</w:t>
            </w:r>
          </w:p>
        </w:tc>
        <w:tc>
          <w:tcPr>
            <w:tcW w:w="882" w:type="dxa"/>
            <w:shd w:val="clear" w:color="auto" w:fill="auto"/>
            <w:noWrap/>
            <w:vAlign w:val="bottom"/>
          </w:tcPr>
          <w:p w14:paraId="59109C1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数量</w:t>
            </w:r>
          </w:p>
        </w:tc>
        <w:tc>
          <w:tcPr>
            <w:tcW w:w="1654" w:type="dxa"/>
            <w:shd w:val="clear" w:color="auto" w:fill="auto"/>
            <w:noWrap/>
            <w:vAlign w:val="bottom"/>
          </w:tcPr>
          <w:p w14:paraId="613D950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规格</w:t>
            </w:r>
          </w:p>
        </w:tc>
        <w:tc>
          <w:tcPr>
            <w:tcW w:w="1418" w:type="dxa"/>
            <w:shd w:val="clear" w:color="auto" w:fill="auto"/>
            <w:noWrap/>
            <w:vAlign w:val="bottom"/>
          </w:tcPr>
          <w:p w14:paraId="544C965B">
            <w:pPr>
              <w:kinsoku/>
              <w:autoSpaceDE/>
              <w:autoSpaceDN/>
              <w:adjustRightInd/>
              <w:snapToGrid/>
              <w:textAlignment w:val="auto"/>
              <w:rPr>
                <w:rFonts w:hint="eastAsia" w:ascii="宋体" w:hAnsi="宋体" w:eastAsia="宋体" w:cs="宋体"/>
                <w:snapToGrid/>
                <w:color w:val="auto"/>
                <w:sz w:val="28"/>
                <w:szCs w:val="28"/>
                <w:highlight w:val="none"/>
              </w:rPr>
            </w:pPr>
            <w:r>
              <w:rPr>
                <w:rFonts w:hint="eastAsia" w:ascii="宋体" w:hAnsi="宋体" w:eastAsia="宋体" w:cs="宋体"/>
                <w:snapToGrid/>
                <w:color w:val="auto"/>
                <w:sz w:val="28"/>
                <w:szCs w:val="28"/>
                <w:highlight w:val="none"/>
              </w:rPr>
              <w:t>备注</w:t>
            </w:r>
          </w:p>
        </w:tc>
        <w:tc>
          <w:tcPr>
            <w:tcW w:w="1513" w:type="dxa"/>
          </w:tcPr>
          <w:p w14:paraId="5DE8CBB5">
            <w:pPr>
              <w:kinsoku/>
              <w:autoSpaceDE/>
              <w:autoSpaceDN/>
              <w:adjustRightInd/>
              <w:snapToGrid/>
              <w:textAlignment w:val="auto"/>
              <w:rPr>
                <w:rFonts w:hint="eastAsia" w:ascii="宋体" w:hAnsi="宋体" w:eastAsia="宋体" w:cs="宋体"/>
                <w:snapToGrid/>
                <w:color w:val="auto"/>
                <w:sz w:val="28"/>
                <w:szCs w:val="28"/>
                <w:highlight w:val="none"/>
              </w:rPr>
            </w:pPr>
            <w:r>
              <w:rPr>
                <w:rFonts w:hint="eastAsia" w:ascii="宋体" w:hAnsi="宋体" w:eastAsia="宋体" w:cs="宋体"/>
                <w:snapToGrid/>
                <w:color w:val="auto"/>
                <w:sz w:val="28"/>
                <w:szCs w:val="28"/>
                <w:highlight w:val="none"/>
              </w:rPr>
              <w:t>备注</w:t>
            </w:r>
          </w:p>
        </w:tc>
      </w:tr>
      <w:tr w14:paraId="5333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22" w:type="dxa"/>
            <w:shd w:val="clear" w:color="auto" w:fill="auto"/>
            <w:noWrap/>
            <w:vAlign w:val="bottom"/>
          </w:tcPr>
          <w:p w14:paraId="59FC14C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w:t>
            </w:r>
          </w:p>
        </w:tc>
        <w:tc>
          <w:tcPr>
            <w:tcW w:w="1361" w:type="dxa"/>
            <w:vMerge w:val="restart"/>
            <w:shd w:val="clear" w:color="auto" w:fill="auto"/>
            <w:vAlign w:val="center"/>
          </w:tcPr>
          <w:p w14:paraId="303817D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顶部方形大盖法兰拆装</w:t>
            </w:r>
          </w:p>
        </w:tc>
        <w:tc>
          <w:tcPr>
            <w:tcW w:w="1008" w:type="dxa"/>
            <w:vMerge w:val="restart"/>
            <w:shd w:val="clear" w:color="auto" w:fill="auto"/>
            <w:noWrap/>
            <w:vAlign w:val="center"/>
          </w:tcPr>
          <w:p w14:paraId="6839A89D">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82" w:type="dxa"/>
            <w:shd w:val="clear" w:color="auto" w:fill="auto"/>
            <w:noWrap/>
            <w:vAlign w:val="bottom"/>
          </w:tcPr>
          <w:p w14:paraId="2887AD5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24</w:t>
            </w:r>
          </w:p>
        </w:tc>
        <w:tc>
          <w:tcPr>
            <w:tcW w:w="1654" w:type="dxa"/>
            <w:shd w:val="clear" w:color="auto" w:fill="auto"/>
            <w:noWrap/>
            <w:vAlign w:val="bottom"/>
          </w:tcPr>
          <w:p w14:paraId="502C45F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2250*1200mm</w:t>
            </w:r>
          </w:p>
        </w:tc>
        <w:tc>
          <w:tcPr>
            <w:tcW w:w="1418" w:type="dxa"/>
            <w:shd w:val="clear" w:color="auto" w:fill="auto"/>
            <w:vAlign w:val="bottom"/>
          </w:tcPr>
          <w:p w14:paraId="7DDC777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108*12条M12螺栓</w:t>
            </w:r>
          </w:p>
        </w:tc>
        <w:tc>
          <w:tcPr>
            <w:tcW w:w="1513" w:type="dxa"/>
          </w:tcPr>
          <w:p w14:paraId="5820F55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其中12个大盖滤料更换完成后延迟3-5天回装</w:t>
            </w:r>
          </w:p>
        </w:tc>
      </w:tr>
      <w:tr w14:paraId="336A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22" w:type="dxa"/>
            <w:shd w:val="clear" w:color="auto" w:fill="auto"/>
            <w:noWrap/>
            <w:vAlign w:val="bottom"/>
          </w:tcPr>
          <w:p w14:paraId="3845C9B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w:t>
            </w:r>
          </w:p>
        </w:tc>
        <w:tc>
          <w:tcPr>
            <w:tcW w:w="1361" w:type="dxa"/>
            <w:vMerge w:val="continue"/>
            <w:vAlign w:val="center"/>
          </w:tcPr>
          <w:p w14:paraId="717B6586">
            <w:pPr>
              <w:kinsoku/>
              <w:autoSpaceDE/>
              <w:autoSpaceDN/>
              <w:adjustRightInd/>
              <w:snapToGrid/>
              <w:textAlignment w:val="auto"/>
              <w:rPr>
                <w:rFonts w:hint="eastAsia" w:ascii="宋体" w:hAnsi="宋体" w:eastAsia="宋体" w:cs="宋体"/>
                <w:bCs/>
                <w:snapToGrid/>
                <w:color w:val="auto"/>
                <w:sz w:val="28"/>
                <w:szCs w:val="28"/>
                <w:highlight w:val="none"/>
              </w:rPr>
            </w:pPr>
          </w:p>
        </w:tc>
        <w:tc>
          <w:tcPr>
            <w:tcW w:w="1008" w:type="dxa"/>
            <w:vMerge w:val="continue"/>
            <w:vAlign w:val="center"/>
          </w:tcPr>
          <w:p w14:paraId="7161CCF3">
            <w:pPr>
              <w:kinsoku/>
              <w:autoSpaceDE/>
              <w:autoSpaceDN/>
              <w:adjustRightInd/>
              <w:snapToGrid/>
              <w:textAlignment w:val="auto"/>
              <w:rPr>
                <w:rFonts w:hint="eastAsia" w:ascii="宋体" w:hAnsi="宋体" w:eastAsia="宋体" w:cs="宋体"/>
                <w:bCs/>
                <w:snapToGrid/>
                <w:color w:val="auto"/>
                <w:sz w:val="28"/>
                <w:szCs w:val="28"/>
                <w:highlight w:val="none"/>
              </w:rPr>
            </w:pPr>
          </w:p>
        </w:tc>
        <w:tc>
          <w:tcPr>
            <w:tcW w:w="882" w:type="dxa"/>
            <w:shd w:val="clear" w:color="auto" w:fill="auto"/>
            <w:noWrap/>
            <w:vAlign w:val="bottom"/>
          </w:tcPr>
          <w:p w14:paraId="04C8F09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24</w:t>
            </w:r>
          </w:p>
        </w:tc>
        <w:tc>
          <w:tcPr>
            <w:tcW w:w="1654" w:type="dxa"/>
            <w:shd w:val="clear" w:color="auto" w:fill="auto"/>
            <w:noWrap/>
            <w:vAlign w:val="bottom"/>
          </w:tcPr>
          <w:p w14:paraId="4773996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2492*1402mm</w:t>
            </w:r>
          </w:p>
        </w:tc>
        <w:tc>
          <w:tcPr>
            <w:tcW w:w="1418" w:type="dxa"/>
            <w:shd w:val="clear" w:color="auto" w:fill="auto"/>
            <w:vAlign w:val="bottom"/>
          </w:tcPr>
          <w:p w14:paraId="2D608E7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120*12条M12螺栓</w:t>
            </w:r>
          </w:p>
        </w:tc>
        <w:tc>
          <w:tcPr>
            <w:tcW w:w="1513" w:type="dxa"/>
          </w:tcPr>
          <w:p w14:paraId="0745A3A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其中12个大盖滤料更换完成后延迟3-5天回装</w:t>
            </w:r>
          </w:p>
        </w:tc>
      </w:tr>
      <w:tr w14:paraId="2666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2" w:type="dxa"/>
            <w:shd w:val="clear" w:color="auto" w:fill="auto"/>
            <w:noWrap/>
            <w:vAlign w:val="bottom"/>
          </w:tcPr>
          <w:p w14:paraId="6E23670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3</w:t>
            </w:r>
          </w:p>
        </w:tc>
        <w:tc>
          <w:tcPr>
            <w:tcW w:w="1361" w:type="dxa"/>
            <w:vMerge w:val="restart"/>
            <w:shd w:val="clear" w:color="auto" w:fill="auto"/>
            <w:noWrap/>
            <w:vAlign w:val="center"/>
          </w:tcPr>
          <w:p w14:paraId="26CCE90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隔离盲板抽堵</w:t>
            </w:r>
          </w:p>
        </w:tc>
        <w:tc>
          <w:tcPr>
            <w:tcW w:w="1008" w:type="dxa"/>
            <w:shd w:val="clear" w:color="auto" w:fill="auto"/>
            <w:noWrap/>
            <w:vAlign w:val="bottom"/>
          </w:tcPr>
          <w:p w14:paraId="0850C80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82" w:type="dxa"/>
            <w:shd w:val="clear" w:color="auto" w:fill="auto"/>
            <w:noWrap/>
            <w:vAlign w:val="bottom"/>
          </w:tcPr>
          <w:p w14:paraId="767D5FE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3*12</w:t>
            </w:r>
          </w:p>
        </w:tc>
        <w:tc>
          <w:tcPr>
            <w:tcW w:w="1654" w:type="dxa"/>
            <w:shd w:val="clear" w:color="auto" w:fill="auto"/>
            <w:noWrap/>
            <w:vAlign w:val="bottom"/>
          </w:tcPr>
          <w:p w14:paraId="4BB62E6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DN50</w:t>
            </w:r>
          </w:p>
        </w:tc>
        <w:tc>
          <w:tcPr>
            <w:tcW w:w="1418" w:type="dxa"/>
            <w:shd w:val="clear" w:color="auto" w:fill="auto"/>
            <w:noWrap/>
            <w:vAlign w:val="bottom"/>
          </w:tcPr>
          <w:p w14:paraId="1A3CA76E">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snapToGrid/>
                <w:color w:val="auto"/>
                <w:sz w:val="28"/>
                <w:szCs w:val="28"/>
                <w:highlight w:val="none"/>
              </w:rPr>
              <w:t>3*12*4</w:t>
            </w:r>
            <w:r>
              <w:rPr>
                <w:rFonts w:hint="eastAsia" w:ascii="宋体" w:hAnsi="宋体" w:eastAsia="宋体" w:cs="宋体"/>
                <w:bCs/>
                <w:snapToGrid/>
                <w:color w:val="auto"/>
                <w:sz w:val="28"/>
                <w:szCs w:val="28"/>
                <w:highlight w:val="none"/>
              </w:rPr>
              <w:t>条M16螺栓</w:t>
            </w:r>
          </w:p>
        </w:tc>
        <w:tc>
          <w:tcPr>
            <w:tcW w:w="1513" w:type="dxa"/>
          </w:tcPr>
          <w:p w14:paraId="6E179AFC">
            <w:pPr>
              <w:kinsoku/>
              <w:autoSpaceDE/>
              <w:autoSpaceDN/>
              <w:adjustRightInd/>
              <w:snapToGrid/>
              <w:textAlignment w:val="auto"/>
              <w:rPr>
                <w:rFonts w:hint="eastAsia" w:ascii="宋体" w:hAnsi="宋体" w:eastAsia="宋体" w:cs="宋体"/>
                <w:snapToGrid/>
                <w:color w:val="auto"/>
                <w:sz w:val="28"/>
                <w:szCs w:val="28"/>
                <w:highlight w:val="none"/>
              </w:rPr>
            </w:pPr>
          </w:p>
        </w:tc>
      </w:tr>
      <w:tr w14:paraId="2AE5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2" w:type="dxa"/>
            <w:shd w:val="clear" w:color="auto" w:fill="auto"/>
            <w:noWrap/>
            <w:vAlign w:val="bottom"/>
          </w:tcPr>
          <w:p w14:paraId="2A009AFA">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w:t>
            </w:r>
          </w:p>
        </w:tc>
        <w:tc>
          <w:tcPr>
            <w:tcW w:w="1361" w:type="dxa"/>
            <w:vMerge w:val="continue"/>
            <w:shd w:val="clear" w:color="auto" w:fill="auto"/>
            <w:noWrap/>
            <w:vAlign w:val="bottom"/>
          </w:tcPr>
          <w:p w14:paraId="710547BB">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008" w:type="dxa"/>
            <w:shd w:val="clear" w:color="auto" w:fill="auto"/>
            <w:noWrap/>
            <w:vAlign w:val="bottom"/>
          </w:tcPr>
          <w:p w14:paraId="0CAE80C7">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1442B525">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2EA7FD6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82" w:type="dxa"/>
            <w:shd w:val="clear" w:color="auto" w:fill="auto"/>
            <w:noWrap/>
            <w:vAlign w:val="bottom"/>
          </w:tcPr>
          <w:p w14:paraId="1B204088">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58A4DA61">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2C33FA0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654" w:type="dxa"/>
            <w:shd w:val="clear" w:color="auto" w:fill="auto"/>
            <w:noWrap/>
            <w:vAlign w:val="bottom"/>
          </w:tcPr>
          <w:p w14:paraId="1B994750">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26A622E9">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670EAB4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DN80</w:t>
            </w:r>
          </w:p>
        </w:tc>
        <w:tc>
          <w:tcPr>
            <w:tcW w:w="1418" w:type="dxa"/>
            <w:shd w:val="clear" w:color="auto" w:fill="auto"/>
            <w:noWrap/>
            <w:vAlign w:val="bottom"/>
          </w:tcPr>
          <w:p w14:paraId="766EFA39">
            <w:pPr>
              <w:kinsoku/>
              <w:autoSpaceDE/>
              <w:autoSpaceDN/>
              <w:adjustRightInd/>
              <w:snapToGrid/>
              <w:textAlignment w:val="auto"/>
              <w:rPr>
                <w:rFonts w:hint="eastAsia" w:ascii="宋体" w:hAnsi="宋体" w:eastAsia="宋体" w:cs="宋体"/>
                <w:snapToGrid/>
                <w:color w:val="auto"/>
                <w:sz w:val="28"/>
                <w:szCs w:val="28"/>
                <w:highlight w:val="none"/>
              </w:rPr>
            </w:pPr>
          </w:p>
          <w:p w14:paraId="0FEAF01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snapToGrid/>
                <w:color w:val="auto"/>
                <w:sz w:val="28"/>
                <w:szCs w:val="28"/>
                <w:highlight w:val="none"/>
              </w:rPr>
              <w:t>2*12*4</w:t>
            </w:r>
            <w:r>
              <w:rPr>
                <w:rFonts w:hint="eastAsia" w:ascii="宋体" w:hAnsi="宋体" w:eastAsia="宋体" w:cs="宋体"/>
                <w:bCs/>
                <w:snapToGrid/>
                <w:color w:val="auto"/>
                <w:sz w:val="28"/>
                <w:szCs w:val="28"/>
                <w:highlight w:val="none"/>
              </w:rPr>
              <w:t>条</w:t>
            </w:r>
          </w:p>
          <w:p w14:paraId="6C671EF3">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bCs/>
                <w:snapToGrid/>
                <w:color w:val="auto"/>
                <w:sz w:val="28"/>
                <w:szCs w:val="28"/>
                <w:highlight w:val="none"/>
              </w:rPr>
              <w:t>M16螺栓</w:t>
            </w:r>
          </w:p>
        </w:tc>
        <w:tc>
          <w:tcPr>
            <w:tcW w:w="1513" w:type="dxa"/>
          </w:tcPr>
          <w:p w14:paraId="18FBBBC7">
            <w:pPr>
              <w:kinsoku/>
              <w:autoSpaceDE/>
              <w:autoSpaceDN/>
              <w:adjustRightInd/>
              <w:snapToGrid/>
              <w:textAlignment w:val="auto"/>
              <w:rPr>
                <w:rFonts w:hint="eastAsia" w:ascii="宋体" w:hAnsi="宋体" w:eastAsia="宋体" w:cs="宋体"/>
                <w:snapToGrid/>
                <w:color w:val="auto"/>
                <w:sz w:val="28"/>
                <w:szCs w:val="28"/>
                <w:highlight w:val="none"/>
              </w:rPr>
            </w:pPr>
          </w:p>
        </w:tc>
      </w:tr>
      <w:tr w14:paraId="21D4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2" w:type="dxa"/>
            <w:shd w:val="clear" w:color="auto" w:fill="auto"/>
            <w:noWrap/>
            <w:vAlign w:val="bottom"/>
          </w:tcPr>
          <w:p w14:paraId="2239367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5</w:t>
            </w:r>
          </w:p>
        </w:tc>
        <w:tc>
          <w:tcPr>
            <w:tcW w:w="1361" w:type="dxa"/>
            <w:vMerge w:val="continue"/>
            <w:shd w:val="clear" w:color="auto" w:fill="auto"/>
            <w:noWrap/>
            <w:vAlign w:val="bottom"/>
          </w:tcPr>
          <w:p w14:paraId="7527C767">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008" w:type="dxa"/>
            <w:shd w:val="clear" w:color="auto" w:fill="auto"/>
            <w:noWrap/>
            <w:vAlign w:val="bottom"/>
          </w:tcPr>
          <w:p w14:paraId="69236A9A">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7F29E3A5">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82" w:type="dxa"/>
            <w:shd w:val="clear" w:color="auto" w:fill="auto"/>
            <w:noWrap/>
            <w:vAlign w:val="bottom"/>
          </w:tcPr>
          <w:p w14:paraId="2981A469">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4CEDE2A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654" w:type="dxa"/>
            <w:shd w:val="clear" w:color="auto" w:fill="auto"/>
            <w:noWrap/>
            <w:vAlign w:val="bottom"/>
          </w:tcPr>
          <w:p w14:paraId="517C36F8">
            <w:pPr>
              <w:kinsoku/>
              <w:autoSpaceDE/>
              <w:autoSpaceDN/>
              <w:adjustRightInd/>
              <w:snapToGrid/>
              <w:jc w:val="center"/>
              <w:textAlignment w:val="auto"/>
              <w:rPr>
                <w:rFonts w:hint="eastAsia" w:ascii="宋体" w:hAnsi="宋体" w:eastAsia="宋体" w:cs="宋体"/>
                <w:bCs/>
                <w:snapToGrid/>
                <w:color w:val="auto"/>
                <w:sz w:val="28"/>
                <w:szCs w:val="28"/>
                <w:highlight w:val="none"/>
              </w:rPr>
            </w:pPr>
          </w:p>
          <w:p w14:paraId="4CDEA99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DN100</w:t>
            </w:r>
          </w:p>
        </w:tc>
        <w:tc>
          <w:tcPr>
            <w:tcW w:w="1418" w:type="dxa"/>
            <w:shd w:val="clear" w:color="auto" w:fill="auto"/>
            <w:noWrap/>
            <w:vAlign w:val="bottom"/>
          </w:tcPr>
          <w:p w14:paraId="34BD01EB">
            <w:pPr>
              <w:kinsoku/>
              <w:autoSpaceDE/>
              <w:autoSpaceDN/>
              <w:adjustRightInd/>
              <w:snapToGrid/>
              <w:jc w:val="center"/>
              <w:textAlignment w:val="auto"/>
              <w:rPr>
                <w:rFonts w:hint="eastAsia" w:ascii="宋体" w:hAnsi="宋体" w:eastAsia="宋体" w:cs="宋体"/>
                <w:snapToGrid/>
                <w:color w:val="auto"/>
                <w:sz w:val="28"/>
                <w:szCs w:val="28"/>
                <w:highlight w:val="none"/>
              </w:rPr>
            </w:pPr>
          </w:p>
          <w:p w14:paraId="530DD6CB">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snapToGrid/>
                <w:color w:val="auto"/>
                <w:sz w:val="28"/>
                <w:szCs w:val="28"/>
                <w:highlight w:val="none"/>
              </w:rPr>
              <w:t>2*12*8</w:t>
            </w:r>
            <w:r>
              <w:rPr>
                <w:rFonts w:hint="eastAsia" w:ascii="宋体" w:hAnsi="宋体" w:eastAsia="宋体" w:cs="宋体"/>
                <w:bCs/>
                <w:snapToGrid/>
                <w:color w:val="auto"/>
                <w:sz w:val="28"/>
                <w:szCs w:val="28"/>
                <w:highlight w:val="none"/>
              </w:rPr>
              <w:t>条M16螺栓</w:t>
            </w:r>
          </w:p>
        </w:tc>
        <w:tc>
          <w:tcPr>
            <w:tcW w:w="1513" w:type="dxa"/>
          </w:tcPr>
          <w:p w14:paraId="0F75EE51">
            <w:pPr>
              <w:kinsoku/>
              <w:autoSpaceDE/>
              <w:autoSpaceDN/>
              <w:adjustRightInd/>
              <w:snapToGrid/>
              <w:textAlignment w:val="auto"/>
              <w:rPr>
                <w:rFonts w:hint="eastAsia" w:ascii="宋体" w:hAnsi="宋体" w:eastAsia="宋体" w:cs="宋体"/>
                <w:snapToGrid/>
                <w:color w:val="auto"/>
                <w:sz w:val="28"/>
                <w:szCs w:val="28"/>
                <w:highlight w:val="none"/>
              </w:rPr>
            </w:pPr>
          </w:p>
        </w:tc>
      </w:tr>
      <w:tr w14:paraId="4E34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2" w:type="dxa"/>
            <w:shd w:val="clear" w:color="auto" w:fill="auto"/>
            <w:noWrap/>
            <w:vAlign w:val="bottom"/>
          </w:tcPr>
          <w:p w14:paraId="0328778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6</w:t>
            </w:r>
          </w:p>
        </w:tc>
        <w:tc>
          <w:tcPr>
            <w:tcW w:w="1361" w:type="dxa"/>
            <w:vMerge w:val="continue"/>
            <w:shd w:val="clear" w:color="auto" w:fill="auto"/>
            <w:noWrap/>
            <w:vAlign w:val="bottom"/>
          </w:tcPr>
          <w:p w14:paraId="4B74A513">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008" w:type="dxa"/>
            <w:shd w:val="clear" w:color="auto" w:fill="auto"/>
            <w:noWrap/>
            <w:vAlign w:val="bottom"/>
          </w:tcPr>
          <w:p w14:paraId="5ECF7A7B">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82" w:type="dxa"/>
            <w:shd w:val="clear" w:color="auto" w:fill="auto"/>
            <w:noWrap/>
            <w:vAlign w:val="bottom"/>
          </w:tcPr>
          <w:p w14:paraId="6C3E859C">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3*12</w:t>
            </w:r>
          </w:p>
        </w:tc>
        <w:tc>
          <w:tcPr>
            <w:tcW w:w="1654" w:type="dxa"/>
            <w:shd w:val="clear" w:color="auto" w:fill="auto"/>
            <w:noWrap/>
            <w:vAlign w:val="bottom"/>
          </w:tcPr>
          <w:p w14:paraId="05D80D0E">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DN150</w:t>
            </w:r>
          </w:p>
        </w:tc>
        <w:tc>
          <w:tcPr>
            <w:tcW w:w="1418" w:type="dxa"/>
            <w:shd w:val="clear" w:color="auto" w:fill="auto"/>
            <w:noWrap/>
            <w:vAlign w:val="bottom"/>
          </w:tcPr>
          <w:p w14:paraId="46175EE3">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snapToGrid/>
                <w:color w:val="auto"/>
                <w:sz w:val="28"/>
                <w:szCs w:val="28"/>
                <w:highlight w:val="none"/>
              </w:rPr>
              <w:t>3*12*8</w:t>
            </w:r>
            <w:r>
              <w:rPr>
                <w:rFonts w:hint="eastAsia" w:ascii="宋体" w:hAnsi="宋体" w:eastAsia="宋体" w:cs="宋体"/>
                <w:bCs/>
                <w:snapToGrid/>
                <w:color w:val="auto"/>
                <w:sz w:val="28"/>
                <w:szCs w:val="28"/>
                <w:highlight w:val="none"/>
              </w:rPr>
              <w:t>条M20螺栓</w:t>
            </w:r>
          </w:p>
        </w:tc>
        <w:tc>
          <w:tcPr>
            <w:tcW w:w="1513" w:type="dxa"/>
          </w:tcPr>
          <w:p w14:paraId="055F0F76">
            <w:pPr>
              <w:kinsoku/>
              <w:autoSpaceDE/>
              <w:autoSpaceDN/>
              <w:adjustRightInd/>
              <w:snapToGrid/>
              <w:textAlignment w:val="auto"/>
              <w:rPr>
                <w:rFonts w:hint="eastAsia" w:ascii="宋体" w:hAnsi="宋体" w:eastAsia="宋体" w:cs="宋体"/>
                <w:snapToGrid/>
                <w:color w:val="auto"/>
                <w:sz w:val="28"/>
                <w:szCs w:val="28"/>
                <w:highlight w:val="none"/>
              </w:rPr>
            </w:pPr>
          </w:p>
        </w:tc>
      </w:tr>
      <w:tr w14:paraId="0871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2" w:type="dxa"/>
            <w:shd w:val="clear" w:color="auto" w:fill="auto"/>
            <w:noWrap/>
            <w:vAlign w:val="bottom"/>
          </w:tcPr>
          <w:p w14:paraId="6A3E17FF">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7</w:t>
            </w:r>
          </w:p>
        </w:tc>
        <w:tc>
          <w:tcPr>
            <w:tcW w:w="1361" w:type="dxa"/>
            <w:vMerge w:val="continue"/>
            <w:shd w:val="clear" w:color="auto" w:fill="auto"/>
            <w:noWrap/>
            <w:vAlign w:val="bottom"/>
          </w:tcPr>
          <w:p w14:paraId="14CC366C">
            <w:pPr>
              <w:kinsoku/>
              <w:autoSpaceDE/>
              <w:autoSpaceDN/>
              <w:adjustRightInd/>
              <w:snapToGrid/>
              <w:jc w:val="center"/>
              <w:textAlignment w:val="auto"/>
              <w:rPr>
                <w:rFonts w:hint="eastAsia" w:ascii="宋体" w:hAnsi="宋体" w:eastAsia="宋体" w:cs="宋体"/>
                <w:bCs/>
                <w:snapToGrid/>
                <w:color w:val="auto"/>
                <w:sz w:val="28"/>
                <w:szCs w:val="28"/>
                <w:highlight w:val="none"/>
              </w:rPr>
            </w:pPr>
          </w:p>
        </w:tc>
        <w:tc>
          <w:tcPr>
            <w:tcW w:w="1008" w:type="dxa"/>
            <w:shd w:val="clear" w:color="auto" w:fill="auto"/>
            <w:noWrap/>
            <w:vAlign w:val="bottom"/>
          </w:tcPr>
          <w:p w14:paraId="42B8303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个</w:t>
            </w:r>
          </w:p>
        </w:tc>
        <w:tc>
          <w:tcPr>
            <w:tcW w:w="882" w:type="dxa"/>
            <w:shd w:val="clear" w:color="auto" w:fill="auto"/>
            <w:noWrap/>
            <w:vAlign w:val="bottom"/>
          </w:tcPr>
          <w:p w14:paraId="106CC7C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2*12</w:t>
            </w:r>
          </w:p>
        </w:tc>
        <w:tc>
          <w:tcPr>
            <w:tcW w:w="1654" w:type="dxa"/>
            <w:shd w:val="clear" w:color="auto" w:fill="auto"/>
            <w:noWrap/>
            <w:vAlign w:val="bottom"/>
          </w:tcPr>
          <w:p w14:paraId="6942DC22">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DN400</w:t>
            </w:r>
          </w:p>
        </w:tc>
        <w:tc>
          <w:tcPr>
            <w:tcW w:w="1418" w:type="dxa"/>
            <w:shd w:val="clear" w:color="auto" w:fill="auto"/>
            <w:noWrap/>
            <w:vAlign w:val="bottom"/>
          </w:tcPr>
          <w:p w14:paraId="7913A421">
            <w:pPr>
              <w:kinsoku/>
              <w:autoSpaceDE/>
              <w:autoSpaceDN/>
              <w:adjustRightInd/>
              <w:snapToGrid/>
              <w:jc w:val="center"/>
              <w:textAlignment w:val="auto"/>
              <w:rPr>
                <w:rFonts w:hint="eastAsia" w:ascii="宋体" w:hAnsi="宋体" w:eastAsia="宋体" w:cs="宋体"/>
                <w:snapToGrid/>
                <w:color w:val="auto"/>
                <w:sz w:val="28"/>
                <w:szCs w:val="28"/>
                <w:highlight w:val="none"/>
              </w:rPr>
            </w:pPr>
            <w:r>
              <w:rPr>
                <w:rFonts w:hint="eastAsia" w:ascii="宋体" w:hAnsi="宋体" w:eastAsia="宋体" w:cs="宋体"/>
                <w:snapToGrid/>
                <w:color w:val="auto"/>
                <w:sz w:val="28"/>
                <w:szCs w:val="28"/>
                <w:highlight w:val="none"/>
              </w:rPr>
              <w:t>3*12*16</w:t>
            </w:r>
            <w:r>
              <w:rPr>
                <w:rFonts w:hint="eastAsia" w:ascii="宋体" w:hAnsi="宋体" w:eastAsia="宋体" w:cs="宋体"/>
                <w:bCs/>
                <w:snapToGrid/>
                <w:color w:val="auto"/>
                <w:sz w:val="28"/>
                <w:szCs w:val="28"/>
                <w:highlight w:val="none"/>
              </w:rPr>
              <w:t>条M27螺栓</w:t>
            </w:r>
          </w:p>
        </w:tc>
        <w:tc>
          <w:tcPr>
            <w:tcW w:w="1513" w:type="dxa"/>
          </w:tcPr>
          <w:p w14:paraId="13E29CBE">
            <w:pPr>
              <w:kinsoku/>
              <w:autoSpaceDE/>
              <w:autoSpaceDN/>
              <w:adjustRightInd/>
              <w:snapToGrid/>
              <w:textAlignment w:val="auto"/>
              <w:rPr>
                <w:rFonts w:hint="eastAsia" w:ascii="宋体" w:hAnsi="宋体" w:eastAsia="宋体" w:cs="宋体"/>
                <w:snapToGrid/>
                <w:color w:val="auto"/>
                <w:sz w:val="28"/>
                <w:szCs w:val="28"/>
                <w:highlight w:val="none"/>
              </w:rPr>
            </w:pPr>
          </w:p>
        </w:tc>
      </w:tr>
      <w:tr w14:paraId="18B1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2" w:type="dxa"/>
            <w:shd w:val="clear" w:color="auto" w:fill="auto"/>
            <w:noWrap/>
            <w:vAlign w:val="bottom"/>
          </w:tcPr>
          <w:p w14:paraId="4C5896B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8</w:t>
            </w:r>
          </w:p>
        </w:tc>
        <w:tc>
          <w:tcPr>
            <w:tcW w:w="1361" w:type="dxa"/>
            <w:shd w:val="clear" w:color="auto" w:fill="auto"/>
            <w:noWrap/>
            <w:vAlign w:val="bottom"/>
          </w:tcPr>
          <w:p w14:paraId="247E3468">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旧焦炭掏出</w:t>
            </w:r>
          </w:p>
        </w:tc>
        <w:tc>
          <w:tcPr>
            <w:tcW w:w="1008" w:type="dxa"/>
            <w:shd w:val="clear" w:color="auto" w:fill="auto"/>
            <w:noWrap/>
            <w:vAlign w:val="bottom"/>
          </w:tcPr>
          <w:p w14:paraId="19EEED0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82" w:type="dxa"/>
            <w:shd w:val="clear" w:color="auto" w:fill="auto"/>
            <w:noWrap/>
            <w:vAlign w:val="bottom"/>
          </w:tcPr>
          <w:p w14:paraId="16390510">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44</w:t>
            </w:r>
          </w:p>
        </w:tc>
        <w:tc>
          <w:tcPr>
            <w:tcW w:w="1654" w:type="dxa"/>
            <w:shd w:val="clear" w:color="auto" w:fill="auto"/>
            <w:noWrap/>
            <w:vAlign w:val="bottom"/>
          </w:tcPr>
          <w:p w14:paraId="0BE7588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φ15-40mm</w:t>
            </w:r>
          </w:p>
        </w:tc>
        <w:tc>
          <w:tcPr>
            <w:tcW w:w="1418" w:type="dxa"/>
            <w:shd w:val="clear" w:color="auto" w:fill="auto"/>
            <w:noWrap/>
            <w:vAlign w:val="bottom"/>
          </w:tcPr>
          <w:p w14:paraId="130C67ED">
            <w:pPr>
              <w:kinsoku/>
              <w:autoSpaceDE/>
              <w:autoSpaceDN/>
              <w:adjustRightInd/>
              <w:snapToGrid/>
              <w:textAlignment w:val="auto"/>
              <w:rPr>
                <w:rFonts w:hint="eastAsia" w:ascii="宋体" w:hAnsi="宋体" w:eastAsia="宋体" w:cs="宋体"/>
                <w:snapToGrid/>
                <w:color w:val="auto"/>
                <w:sz w:val="28"/>
                <w:szCs w:val="28"/>
                <w:highlight w:val="none"/>
              </w:rPr>
            </w:pPr>
          </w:p>
        </w:tc>
        <w:tc>
          <w:tcPr>
            <w:tcW w:w="1513" w:type="dxa"/>
          </w:tcPr>
          <w:p w14:paraId="3FE04F2C">
            <w:pPr>
              <w:kinsoku/>
              <w:autoSpaceDE/>
              <w:autoSpaceDN/>
              <w:adjustRightInd/>
              <w:snapToGrid/>
              <w:textAlignment w:val="auto"/>
              <w:rPr>
                <w:rFonts w:hint="eastAsia" w:ascii="宋体" w:hAnsi="宋体" w:eastAsia="宋体" w:cs="宋体"/>
                <w:snapToGrid/>
                <w:color w:val="auto"/>
                <w:sz w:val="28"/>
                <w:szCs w:val="28"/>
                <w:highlight w:val="none"/>
              </w:rPr>
            </w:pPr>
          </w:p>
        </w:tc>
      </w:tr>
      <w:tr w14:paraId="4313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22" w:type="dxa"/>
            <w:shd w:val="clear" w:color="auto" w:fill="auto"/>
            <w:noWrap/>
            <w:vAlign w:val="bottom"/>
          </w:tcPr>
          <w:p w14:paraId="6C05C80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9</w:t>
            </w:r>
          </w:p>
        </w:tc>
        <w:tc>
          <w:tcPr>
            <w:tcW w:w="1361" w:type="dxa"/>
            <w:shd w:val="clear" w:color="auto" w:fill="auto"/>
            <w:noWrap/>
            <w:vAlign w:val="bottom"/>
          </w:tcPr>
          <w:p w14:paraId="2BDDD0B9">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新焦炭装填</w:t>
            </w:r>
          </w:p>
        </w:tc>
        <w:tc>
          <w:tcPr>
            <w:tcW w:w="1008" w:type="dxa"/>
            <w:shd w:val="clear" w:color="auto" w:fill="auto"/>
            <w:noWrap/>
            <w:vAlign w:val="bottom"/>
          </w:tcPr>
          <w:p w14:paraId="32779F8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82" w:type="dxa"/>
            <w:shd w:val="clear" w:color="auto" w:fill="auto"/>
            <w:noWrap/>
            <w:vAlign w:val="bottom"/>
          </w:tcPr>
          <w:p w14:paraId="3F60BFE1">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44</w:t>
            </w:r>
          </w:p>
        </w:tc>
        <w:tc>
          <w:tcPr>
            <w:tcW w:w="1654" w:type="dxa"/>
            <w:shd w:val="clear" w:color="auto" w:fill="auto"/>
            <w:noWrap/>
            <w:vAlign w:val="bottom"/>
          </w:tcPr>
          <w:p w14:paraId="0E26A57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φ15-40mm</w:t>
            </w:r>
          </w:p>
        </w:tc>
        <w:tc>
          <w:tcPr>
            <w:tcW w:w="1418" w:type="dxa"/>
            <w:shd w:val="clear" w:color="auto" w:fill="auto"/>
            <w:noWrap/>
            <w:vAlign w:val="bottom"/>
          </w:tcPr>
          <w:p w14:paraId="113AB8E9">
            <w:pPr>
              <w:kinsoku/>
              <w:autoSpaceDE/>
              <w:autoSpaceDN/>
              <w:adjustRightInd/>
              <w:snapToGrid/>
              <w:textAlignment w:val="auto"/>
              <w:rPr>
                <w:rFonts w:hint="eastAsia" w:ascii="宋体" w:hAnsi="宋体" w:eastAsia="宋体" w:cs="宋体"/>
                <w:snapToGrid/>
                <w:color w:val="auto"/>
                <w:sz w:val="28"/>
                <w:szCs w:val="28"/>
                <w:highlight w:val="none"/>
              </w:rPr>
            </w:pPr>
          </w:p>
        </w:tc>
        <w:tc>
          <w:tcPr>
            <w:tcW w:w="1513" w:type="dxa"/>
          </w:tcPr>
          <w:p w14:paraId="66F93A26">
            <w:pPr>
              <w:kinsoku/>
              <w:autoSpaceDE/>
              <w:autoSpaceDN/>
              <w:adjustRightInd/>
              <w:snapToGrid/>
              <w:textAlignment w:val="auto"/>
              <w:rPr>
                <w:rFonts w:hint="eastAsia" w:ascii="宋体" w:hAnsi="宋体" w:eastAsia="宋体" w:cs="宋体"/>
                <w:snapToGrid/>
                <w:color w:val="auto"/>
                <w:sz w:val="28"/>
                <w:szCs w:val="28"/>
                <w:highlight w:val="none"/>
              </w:rPr>
            </w:pPr>
          </w:p>
        </w:tc>
      </w:tr>
      <w:tr w14:paraId="0A73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22" w:type="dxa"/>
            <w:shd w:val="clear" w:color="auto" w:fill="auto"/>
            <w:noWrap/>
            <w:vAlign w:val="bottom"/>
          </w:tcPr>
          <w:p w14:paraId="220D6F5F">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10</w:t>
            </w:r>
          </w:p>
        </w:tc>
        <w:tc>
          <w:tcPr>
            <w:tcW w:w="1361" w:type="dxa"/>
            <w:shd w:val="clear" w:color="auto" w:fill="auto"/>
            <w:noWrap/>
            <w:vAlign w:val="bottom"/>
          </w:tcPr>
          <w:p w14:paraId="1A9B74B4">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废旧焦炭转运</w:t>
            </w:r>
          </w:p>
        </w:tc>
        <w:tc>
          <w:tcPr>
            <w:tcW w:w="1008" w:type="dxa"/>
            <w:shd w:val="clear" w:color="auto" w:fill="auto"/>
            <w:noWrap/>
            <w:vAlign w:val="bottom"/>
          </w:tcPr>
          <w:p w14:paraId="602C6D7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吨</w:t>
            </w:r>
          </w:p>
        </w:tc>
        <w:tc>
          <w:tcPr>
            <w:tcW w:w="882" w:type="dxa"/>
            <w:shd w:val="clear" w:color="auto" w:fill="auto"/>
            <w:noWrap/>
            <w:vAlign w:val="bottom"/>
          </w:tcPr>
          <w:p w14:paraId="4B75D447">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44</w:t>
            </w:r>
          </w:p>
        </w:tc>
        <w:tc>
          <w:tcPr>
            <w:tcW w:w="1654" w:type="dxa"/>
            <w:shd w:val="clear" w:color="auto" w:fill="auto"/>
            <w:noWrap/>
            <w:vAlign w:val="bottom"/>
          </w:tcPr>
          <w:p w14:paraId="718773B3">
            <w:pPr>
              <w:kinsoku/>
              <w:autoSpaceDE/>
              <w:autoSpaceDN/>
              <w:adjustRightInd/>
              <w:snapToGrid/>
              <w:jc w:val="center"/>
              <w:textAlignment w:val="auto"/>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φ15-40mm</w:t>
            </w:r>
          </w:p>
        </w:tc>
        <w:tc>
          <w:tcPr>
            <w:tcW w:w="1418" w:type="dxa"/>
            <w:shd w:val="clear" w:color="auto" w:fill="auto"/>
            <w:noWrap/>
            <w:vAlign w:val="bottom"/>
          </w:tcPr>
          <w:p w14:paraId="22208BCA">
            <w:pPr>
              <w:kinsoku/>
              <w:autoSpaceDE/>
              <w:autoSpaceDN/>
              <w:adjustRightInd/>
              <w:snapToGrid/>
              <w:textAlignment w:val="auto"/>
              <w:rPr>
                <w:rFonts w:hint="eastAsia" w:ascii="宋体" w:hAnsi="宋体" w:eastAsia="宋体" w:cs="宋体"/>
                <w:snapToGrid/>
                <w:color w:val="auto"/>
                <w:sz w:val="28"/>
                <w:szCs w:val="28"/>
                <w:highlight w:val="none"/>
              </w:rPr>
            </w:pPr>
          </w:p>
        </w:tc>
        <w:tc>
          <w:tcPr>
            <w:tcW w:w="1513" w:type="dxa"/>
          </w:tcPr>
          <w:p w14:paraId="54A93534">
            <w:pPr>
              <w:kinsoku/>
              <w:autoSpaceDE/>
              <w:autoSpaceDN/>
              <w:adjustRightInd/>
              <w:snapToGrid/>
              <w:textAlignment w:val="auto"/>
              <w:rPr>
                <w:rFonts w:hint="eastAsia" w:ascii="宋体" w:hAnsi="宋体" w:eastAsia="宋体" w:cs="宋体"/>
                <w:snapToGrid/>
                <w:color w:val="auto"/>
                <w:sz w:val="28"/>
                <w:szCs w:val="28"/>
                <w:highlight w:val="none"/>
              </w:rPr>
            </w:pPr>
          </w:p>
        </w:tc>
      </w:tr>
    </w:tbl>
    <w:p w14:paraId="0D82B6EC">
      <w:pPr>
        <w:spacing w:before="1" w:line="411" w:lineRule="auto"/>
        <w:ind w:right="97"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4.2.2</w:t>
      </w:r>
      <w:r>
        <w:rPr>
          <w:rFonts w:hint="eastAsia" w:ascii="宋体" w:hAnsi="宋体" w:eastAsia="宋体" w:cs="宋体"/>
          <w:color w:val="auto"/>
          <w:sz w:val="28"/>
          <w:szCs w:val="28"/>
          <w:highlight w:val="none"/>
        </w:rPr>
        <w:t xml:space="preserve"> 工程车辆统计</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418"/>
        <w:gridCol w:w="3708"/>
        <w:gridCol w:w="2878"/>
      </w:tblGrid>
      <w:tr w14:paraId="601E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0F7B70FB">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序号</w:t>
            </w:r>
          </w:p>
        </w:tc>
        <w:tc>
          <w:tcPr>
            <w:tcW w:w="1418" w:type="dxa"/>
          </w:tcPr>
          <w:p w14:paraId="4E9A8055">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车辆名称</w:t>
            </w:r>
          </w:p>
        </w:tc>
        <w:tc>
          <w:tcPr>
            <w:tcW w:w="3708" w:type="dxa"/>
          </w:tcPr>
          <w:p w14:paraId="0C37C86C">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用途</w:t>
            </w:r>
          </w:p>
        </w:tc>
        <w:tc>
          <w:tcPr>
            <w:tcW w:w="2878" w:type="dxa"/>
          </w:tcPr>
          <w:p w14:paraId="7C97DE8E">
            <w:pPr>
              <w:spacing w:before="1" w:line="411" w:lineRule="auto"/>
              <w:ind w:right="97"/>
              <w:jc w:val="center"/>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备注</w:t>
            </w:r>
          </w:p>
        </w:tc>
      </w:tr>
      <w:tr w14:paraId="430C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17" w:type="dxa"/>
          </w:tcPr>
          <w:p w14:paraId="0A99E19A">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w:t>
            </w:r>
          </w:p>
        </w:tc>
        <w:tc>
          <w:tcPr>
            <w:tcW w:w="1418" w:type="dxa"/>
            <w:vMerge w:val="restart"/>
          </w:tcPr>
          <w:p w14:paraId="0C807D5B">
            <w:pPr>
              <w:spacing w:before="1" w:line="411" w:lineRule="auto"/>
              <w:ind w:right="97"/>
              <w:rPr>
                <w:rFonts w:hint="eastAsia" w:ascii="宋体" w:hAnsi="宋体" w:eastAsia="宋体" w:cs="宋体"/>
                <w:bCs/>
                <w:snapToGrid/>
                <w:color w:val="auto"/>
                <w:sz w:val="28"/>
                <w:szCs w:val="28"/>
                <w:highlight w:val="none"/>
              </w:rPr>
            </w:pPr>
          </w:p>
          <w:p w14:paraId="01DFCE11">
            <w:pPr>
              <w:spacing w:before="1" w:line="411" w:lineRule="auto"/>
              <w:ind w:right="97"/>
              <w:rPr>
                <w:rFonts w:hint="eastAsia" w:ascii="宋体" w:hAnsi="宋体" w:eastAsia="宋体" w:cs="宋体"/>
                <w:bCs/>
                <w:snapToGrid/>
                <w:color w:val="auto"/>
                <w:sz w:val="28"/>
                <w:szCs w:val="28"/>
                <w:highlight w:val="none"/>
              </w:rPr>
            </w:pPr>
          </w:p>
          <w:p w14:paraId="1F1EE994">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12T随车吊</w:t>
            </w:r>
          </w:p>
        </w:tc>
        <w:tc>
          <w:tcPr>
            <w:tcW w:w="3708" w:type="dxa"/>
          </w:tcPr>
          <w:p w14:paraId="64FE0000">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双介质过滤器废旧滤料转运</w:t>
            </w:r>
          </w:p>
        </w:tc>
        <w:tc>
          <w:tcPr>
            <w:tcW w:w="2878" w:type="dxa"/>
          </w:tcPr>
          <w:p w14:paraId="54B8B754">
            <w:pPr>
              <w:spacing w:before="1" w:line="411" w:lineRule="auto"/>
              <w:ind w:right="97"/>
              <w:rPr>
                <w:rFonts w:hint="eastAsia" w:ascii="宋体" w:hAnsi="宋体" w:eastAsia="宋体" w:cs="宋体"/>
                <w:color w:val="auto"/>
                <w:sz w:val="28"/>
                <w:szCs w:val="28"/>
                <w:highlight w:val="none"/>
              </w:rPr>
            </w:pPr>
          </w:p>
        </w:tc>
      </w:tr>
      <w:tr w14:paraId="29C9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7" w:type="dxa"/>
          </w:tcPr>
          <w:p w14:paraId="0007C75E">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2</w:t>
            </w:r>
          </w:p>
        </w:tc>
        <w:tc>
          <w:tcPr>
            <w:tcW w:w="1418" w:type="dxa"/>
            <w:vMerge w:val="continue"/>
          </w:tcPr>
          <w:p w14:paraId="173D37B3">
            <w:pPr>
              <w:spacing w:before="1" w:line="411" w:lineRule="auto"/>
              <w:ind w:right="97"/>
              <w:rPr>
                <w:rFonts w:hint="eastAsia" w:ascii="宋体" w:hAnsi="宋体" w:eastAsia="宋体" w:cs="宋体"/>
                <w:bCs/>
                <w:snapToGrid/>
                <w:color w:val="auto"/>
                <w:sz w:val="28"/>
                <w:szCs w:val="28"/>
                <w:highlight w:val="none"/>
              </w:rPr>
            </w:pPr>
          </w:p>
        </w:tc>
        <w:tc>
          <w:tcPr>
            <w:tcW w:w="3708" w:type="dxa"/>
          </w:tcPr>
          <w:p w14:paraId="7D6C61AA">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最终油分离器废旧滤料转运</w:t>
            </w:r>
          </w:p>
        </w:tc>
        <w:tc>
          <w:tcPr>
            <w:tcW w:w="2878" w:type="dxa"/>
          </w:tcPr>
          <w:p w14:paraId="6088B51B">
            <w:pPr>
              <w:spacing w:before="1" w:line="411" w:lineRule="auto"/>
              <w:ind w:right="97"/>
              <w:rPr>
                <w:rFonts w:hint="eastAsia" w:ascii="宋体" w:hAnsi="宋体" w:eastAsia="宋体" w:cs="宋体"/>
                <w:color w:val="auto"/>
                <w:sz w:val="28"/>
                <w:szCs w:val="28"/>
                <w:highlight w:val="none"/>
              </w:rPr>
            </w:pPr>
          </w:p>
        </w:tc>
      </w:tr>
      <w:tr w14:paraId="6BEC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817" w:type="dxa"/>
          </w:tcPr>
          <w:p w14:paraId="330DF298">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3</w:t>
            </w:r>
          </w:p>
        </w:tc>
        <w:tc>
          <w:tcPr>
            <w:tcW w:w="1418" w:type="dxa"/>
            <w:vMerge w:val="continue"/>
          </w:tcPr>
          <w:p w14:paraId="000BF81F">
            <w:pPr>
              <w:spacing w:before="1" w:line="411" w:lineRule="auto"/>
              <w:ind w:right="97"/>
              <w:rPr>
                <w:rFonts w:hint="eastAsia" w:ascii="宋体" w:hAnsi="宋体" w:eastAsia="宋体" w:cs="宋体"/>
                <w:bCs/>
                <w:snapToGrid/>
                <w:color w:val="auto"/>
                <w:sz w:val="28"/>
                <w:szCs w:val="28"/>
                <w:highlight w:val="none"/>
              </w:rPr>
            </w:pPr>
          </w:p>
        </w:tc>
        <w:tc>
          <w:tcPr>
            <w:tcW w:w="3708" w:type="dxa"/>
          </w:tcPr>
          <w:p w14:paraId="6805CF56">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双介质过滤器新滤料倒运</w:t>
            </w:r>
          </w:p>
        </w:tc>
        <w:tc>
          <w:tcPr>
            <w:tcW w:w="2878" w:type="dxa"/>
          </w:tcPr>
          <w:p w14:paraId="601242EB">
            <w:pPr>
              <w:spacing w:before="1" w:line="411" w:lineRule="auto"/>
              <w:ind w:right="97"/>
              <w:rPr>
                <w:rFonts w:hint="eastAsia" w:ascii="宋体" w:hAnsi="宋体" w:eastAsia="宋体" w:cs="宋体"/>
                <w:color w:val="auto"/>
                <w:sz w:val="28"/>
                <w:szCs w:val="28"/>
                <w:highlight w:val="none"/>
              </w:rPr>
            </w:pPr>
          </w:p>
        </w:tc>
      </w:tr>
      <w:tr w14:paraId="0CF1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817" w:type="dxa"/>
          </w:tcPr>
          <w:p w14:paraId="23EA8492">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4</w:t>
            </w:r>
          </w:p>
        </w:tc>
        <w:tc>
          <w:tcPr>
            <w:tcW w:w="1418" w:type="dxa"/>
            <w:vMerge w:val="continue"/>
          </w:tcPr>
          <w:p w14:paraId="059C8530">
            <w:pPr>
              <w:spacing w:before="1" w:line="411" w:lineRule="auto"/>
              <w:ind w:right="97"/>
              <w:rPr>
                <w:rFonts w:hint="eastAsia" w:ascii="宋体" w:hAnsi="宋体" w:eastAsia="宋体" w:cs="宋体"/>
                <w:bCs/>
                <w:snapToGrid/>
                <w:color w:val="auto"/>
                <w:sz w:val="28"/>
                <w:szCs w:val="28"/>
                <w:highlight w:val="none"/>
              </w:rPr>
            </w:pPr>
          </w:p>
        </w:tc>
        <w:tc>
          <w:tcPr>
            <w:tcW w:w="3708" w:type="dxa"/>
          </w:tcPr>
          <w:p w14:paraId="762FE3D3">
            <w:pPr>
              <w:spacing w:before="1" w:line="411" w:lineRule="auto"/>
              <w:ind w:right="97"/>
              <w:rPr>
                <w:rFonts w:hint="eastAsia" w:ascii="宋体" w:hAnsi="宋体" w:eastAsia="宋体" w:cs="宋体"/>
                <w:bCs/>
                <w:snapToGrid/>
                <w:color w:val="auto"/>
                <w:sz w:val="28"/>
                <w:szCs w:val="28"/>
                <w:highlight w:val="none"/>
              </w:rPr>
            </w:pPr>
            <w:r>
              <w:rPr>
                <w:rFonts w:hint="eastAsia" w:ascii="宋体" w:hAnsi="宋体" w:eastAsia="宋体" w:cs="宋体"/>
                <w:bCs/>
                <w:snapToGrid/>
                <w:color w:val="auto"/>
                <w:sz w:val="28"/>
                <w:szCs w:val="28"/>
                <w:highlight w:val="none"/>
              </w:rPr>
              <w:t>最终油分离器新滤料倒运</w:t>
            </w:r>
          </w:p>
        </w:tc>
        <w:tc>
          <w:tcPr>
            <w:tcW w:w="2878" w:type="dxa"/>
          </w:tcPr>
          <w:p w14:paraId="7875424C">
            <w:pPr>
              <w:spacing w:before="1" w:line="411" w:lineRule="auto"/>
              <w:ind w:right="97"/>
              <w:rPr>
                <w:rFonts w:hint="eastAsia" w:ascii="宋体" w:hAnsi="宋体" w:eastAsia="宋体" w:cs="宋体"/>
                <w:color w:val="auto"/>
                <w:sz w:val="28"/>
                <w:szCs w:val="28"/>
                <w:highlight w:val="none"/>
              </w:rPr>
            </w:pPr>
          </w:p>
        </w:tc>
      </w:tr>
    </w:tbl>
    <w:p w14:paraId="51D2BBF0">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4.3</w:t>
      </w:r>
      <w:r>
        <w:rPr>
          <w:rFonts w:hint="eastAsia" w:ascii="宋体" w:hAnsi="宋体" w:eastAsia="宋体" w:cs="宋体"/>
          <w:color w:val="auto"/>
          <w:sz w:val="28"/>
          <w:szCs w:val="28"/>
          <w:highlight w:val="none"/>
        </w:rPr>
        <w:t xml:space="preserve"> </w:t>
      </w:r>
      <w:r>
        <w:rPr>
          <w:rStyle w:val="19"/>
          <w:rFonts w:hint="eastAsia"/>
          <w:color w:val="auto"/>
          <w:sz w:val="28"/>
          <w:szCs w:val="28"/>
          <w:highlight w:val="none"/>
        </w:rPr>
        <w:t>施工方法</w:t>
      </w:r>
    </w:p>
    <w:p w14:paraId="131C6DE5">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4</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1"/>
          <w:sz w:val="28"/>
          <w:szCs w:val="28"/>
          <w:highlight w:val="none"/>
          <w:lang w:val="en-US" w:eastAsia="zh-CN"/>
        </w:rPr>
        <w:t>3</w:t>
      </w:r>
      <w:r>
        <w:rPr>
          <w:rFonts w:hint="eastAsia" w:ascii="宋体" w:hAnsi="宋体" w:eastAsia="宋体" w:cs="宋体"/>
          <w:color w:val="auto"/>
          <w:spacing w:val="-1"/>
          <w:sz w:val="28"/>
          <w:szCs w:val="28"/>
          <w:highlight w:val="none"/>
        </w:rPr>
        <w:t>.1</w:t>
      </w:r>
      <w:r>
        <w:rPr>
          <w:rFonts w:hint="eastAsia" w:ascii="宋体" w:hAnsi="宋体" w:eastAsia="宋体" w:cs="宋体"/>
          <w:color w:val="auto"/>
          <w:spacing w:val="-71"/>
          <w:sz w:val="28"/>
          <w:szCs w:val="28"/>
          <w:highlight w:val="none"/>
        </w:rPr>
        <w:t xml:space="preserve"> </w:t>
      </w:r>
      <w:r>
        <w:rPr>
          <w:rFonts w:hint="eastAsia" w:ascii="宋体" w:hAnsi="宋体" w:eastAsia="宋体" w:cs="宋体"/>
          <w:color w:val="auto"/>
          <w:spacing w:val="-1"/>
          <w:sz w:val="28"/>
          <w:szCs w:val="28"/>
          <w:highlight w:val="none"/>
        </w:rPr>
        <w:t>组织主要管理及施工人员解决吊装滤料过程中所需要的工器具</w:t>
      </w:r>
      <w:r>
        <w:rPr>
          <w:rFonts w:hint="eastAsia" w:ascii="宋体" w:hAnsi="宋体" w:eastAsia="宋体" w:cs="宋体"/>
          <w:color w:val="auto"/>
          <w:sz w:val="28"/>
          <w:szCs w:val="28"/>
          <w:highlight w:val="none"/>
        </w:rPr>
        <w:t>的问题</w:t>
      </w:r>
      <w:r>
        <w:rPr>
          <w:rFonts w:hint="eastAsia" w:ascii="宋体" w:hAnsi="宋体" w:eastAsia="宋体" w:cs="宋体"/>
          <w:color w:val="auto"/>
          <w:spacing w:val="-34"/>
          <w:sz w:val="28"/>
          <w:szCs w:val="28"/>
          <w:highlight w:val="none"/>
        </w:rPr>
        <w:t>；</w:t>
      </w:r>
    </w:p>
    <w:p w14:paraId="1B5142F8">
      <w:pPr>
        <w:spacing w:line="360" w:lineRule="auto"/>
        <w:rPr>
          <w:rFonts w:hint="eastAsia" w:ascii="宋体" w:hAnsi="宋体" w:eastAsia="宋体" w:cs="宋体"/>
          <w:color w:val="auto"/>
          <w:spacing w:val="-77"/>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.2</w:t>
      </w:r>
      <w:r>
        <w:rPr>
          <w:rFonts w:hint="eastAsia" w:ascii="宋体" w:hAnsi="宋体" w:eastAsia="宋体" w:cs="宋体"/>
          <w:color w:val="auto"/>
          <w:spacing w:val="-1"/>
          <w:sz w:val="28"/>
          <w:szCs w:val="28"/>
          <w:highlight w:val="none"/>
        </w:rPr>
        <w:t xml:space="preserve"> </w:t>
      </w:r>
      <w:r>
        <w:rPr>
          <w:rFonts w:hint="eastAsia" w:ascii="宋体" w:hAnsi="宋体" w:eastAsia="宋体" w:cs="宋体"/>
          <w:color w:val="auto"/>
          <w:sz w:val="28"/>
          <w:szCs w:val="28"/>
          <w:highlight w:val="none"/>
        </w:rPr>
        <w:t>对作业人员进行详细的技术交底</w:t>
      </w:r>
      <w:r>
        <w:rPr>
          <w:rFonts w:hint="eastAsia" w:ascii="宋体" w:hAnsi="宋体" w:eastAsia="宋体" w:cs="宋体"/>
          <w:color w:val="auto"/>
          <w:spacing w:val="-77"/>
          <w:sz w:val="28"/>
          <w:szCs w:val="28"/>
          <w:highlight w:val="none"/>
        </w:rPr>
        <w:t>；</w:t>
      </w:r>
    </w:p>
    <w:p w14:paraId="3F47EB9F">
      <w:pPr>
        <w:spacing w:line="360" w:lineRule="auto"/>
        <w:rPr>
          <w:rFonts w:hint="eastAsia" w:ascii="宋体" w:hAnsi="宋体" w:eastAsia="宋体" w:cs="宋体"/>
          <w:color w:val="auto"/>
          <w:spacing w:val="-39"/>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.3</w:t>
      </w:r>
      <w:r>
        <w:rPr>
          <w:rFonts w:hint="eastAsia" w:ascii="宋体" w:hAnsi="宋体" w:eastAsia="宋体" w:cs="宋体"/>
          <w:color w:val="auto"/>
          <w:spacing w:val="-1"/>
          <w:sz w:val="28"/>
          <w:szCs w:val="28"/>
          <w:highlight w:val="none"/>
        </w:rPr>
        <w:t xml:space="preserve"> </w:t>
      </w:r>
      <w:r>
        <w:rPr>
          <w:rFonts w:hint="eastAsia" w:ascii="宋体" w:hAnsi="宋体" w:eastAsia="宋体" w:cs="宋体"/>
          <w:color w:val="auto"/>
          <w:sz w:val="28"/>
          <w:szCs w:val="28"/>
          <w:highlight w:val="none"/>
        </w:rPr>
        <w:t>组织施工设备</w:t>
      </w:r>
      <w:r>
        <w:rPr>
          <w:rFonts w:hint="eastAsia" w:ascii="宋体" w:hAnsi="宋体" w:eastAsia="宋体" w:cs="宋体"/>
          <w:color w:val="auto"/>
          <w:spacing w:val="-39"/>
          <w:sz w:val="28"/>
          <w:szCs w:val="28"/>
          <w:highlight w:val="none"/>
        </w:rPr>
        <w:t>、</w:t>
      </w:r>
      <w:r>
        <w:rPr>
          <w:rFonts w:hint="eastAsia" w:ascii="宋体" w:hAnsi="宋体" w:eastAsia="宋体" w:cs="宋体"/>
          <w:color w:val="auto"/>
          <w:sz w:val="28"/>
          <w:szCs w:val="28"/>
          <w:highlight w:val="none"/>
        </w:rPr>
        <w:t>机具及施工人员按计划进场</w:t>
      </w:r>
      <w:r>
        <w:rPr>
          <w:rFonts w:hint="eastAsia" w:ascii="宋体" w:hAnsi="宋体" w:eastAsia="宋体" w:cs="宋体"/>
          <w:color w:val="auto"/>
          <w:spacing w:val="-39"/>
          <w:sz w:val="28"/>
          <w:szCs w:val="28"/>
          <w:highlight w:val="none"/>
        </w:rPr>
        <w:t>；</w:t>
      </w:r>
    </w:p>
    <w:p w14:paraId="6FD71244">
      <w:pPr>
        <w:spacing w:line="360" w:lineRule="auto"/>
        <w:rPr>
          <w:rFonts w:hint="eastAsia" w:ascii="宋体" w:hAnsi="宋体" w:eastAsia="宋体" w:cs="宋体"/>
          <w:color w:val="auto"/>
          <w:spacing w:val="-39"/>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.4 检查现场施工用电</w:t>
      </w:r>
      <w:r>
        <w:rPr>
          <w:rFonts w:hint="eastAsia" w:ascii="宋体" w:hAnsi="宋体" w:eastAsia="宋体" w:cs="宋体"/>
          <w:color w:val="auto"/>
          <w:spacing w:val="-39"/>
          <w:sz w:val="28"/>
          <w:szCs w:val="28"/>
          <w:highlight w:val="none"/>
        </w:rPr>
        <w:t>、</w:t>
      </w:r>
      <w:r>
        <w:rPr>
          <w:rFonts w:hint="eastAsia" w:ascii="宋体" w:hAnsi="宋体" w:eastAsia="宋体" w:cs="宋体"/>
          <w:color w:val="auto"/>
          <w:sz w:val="28"/>
          <w:szCs w:val="28"/>
          <w:highlight w:val="none"/>
        </w:rPr>
        <w:t>汽及施工场地的准备情况</w:t>
      </w:r>
      <w:r>
        <w:rPr>
          <w:rFonts w:hint="eastAsia" w:ascii="宋体" w:hAnsi="宋体" w:eastAsia="宋体" w:cs="宋体"/>
          <w:color w:val="auto"/>
          <w:spacing w:val="-39"/>
          <w:sz w:val="28"/>
          <w:szCs w:val="28"/>
          <w:highlight w:val="none"/>
        </w:rPr>
        <w:t>；</w:t>
      </w:r>
    </w:p>
    <w:p w14:paraId="5866B872">
      <w:pPr>
        <w:tabs>
          <w:tab w:val="left" w:pos="3570"/>
        </w:tabs>
        <w:spacing w:line="360" w:lineRule="auto"/>
        <w:outlineLvl w:val="0"/>
        <w:rPr>
          <w:rFonts w:hint="eastAsia" w:ascii="宋体" w:hAnsi="宋体" w:eastAsia="宋体" w:cs="宋体"/>
          <w:color w:val="auto"/>
          <w:spacing w:val="-2"/>
          <w:sz w:val="28"/>
          <w:szCs w:val="28"/>
          <w:highlight w:val="none"/>
          <w14:textOutline w14:w="5105" w14:cap="sq" w14:cmpd="sng" w14:algn="ctr">
            <w14:solidFill>
              <w14:srgbClr w14:val="000000"/>
            </w14:solidFill>
            <w14:prstDash w14:val="solid"/>
            <w14:bevel/>
          </w14:textOutline>
        </w:rPr>
      </w:pPr>
      <w:bookmarkStart w:id="7" w:name="_Toc18777"/>
      <w:bookmarkStart w:id="8" w:name="_Toc7759"/>
      <w:bookmarkStart w:id="9" w:name="_Toc1469"/>
      <w:bookmarkStart w:id="10" w:name="_Toc17091"/>
      <w:r>
        <w:rPr>
          <w:rFonts w:hint="eastAsia" w:ascii="宋体" w:hAnsi="宋体" w:eastAsia="宋体" w:cs="宋体"/>
          <w:color w:val="auto"/>
          <w:sz w:val="28"/>
          <w:szCs w:val="28"/>
          <w:highlight w:val="none"/>
          <w:lang w:val="en-US" w:eastAsia="zh-CN"/>
        </w:rPr>
        <w:t xml:space="preserve">4.4 </w:t>
      </w:r>
      <w:r>
        <w:rPr>
          <w:rStyle w:val="19"/>
          <w:rFonts w:hint="eastAsia"/>
          <w:color w:val="auto"/>
          <w:sz w:val="28"/>
          <w:szCs w:val="28"/>
          <w:highlight w:val="none"/>
          <w:lang w:val="en-US" w:eastAsia="zh-CN"/>
        </w:rPr>
        <w:t>施工</w:t>
      </w:r>
      <w:r>
        <w:rPr>
          <w:rStyle w:val="19"/>
          <w:rFonts w:hint="eastAsia"/>
          <w:color w:val="auto"/>
          <w:sz w:val="28"/>
          <w:szCs w:val="28"/>
          <w:highlight w:val="none"/>
        </w:rPr>
        <w:t>要求</w:t>
      </w:r>
      <w:bookmarkEnd w:id="7"/>
      <w:bookmarkEnd w:id="8"/>
      <w:bookmarkEnd w:id="9"/>
      <w:bookmarkEnd w:id="10"/>
    </w:p>
    <w:p w14:paraId="4B1058D4">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.1 投标方应具有承接业务相符合的经营许可证。</w:t>
      </w:r>
    </w:p>
    <w:p w14:paraId="5CCA95B3">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.2 投标方应配备充足的服务人员，满足整个维保工作的运行。其中管理人员至少2人（项目负责人1名兼职安全员、现场负责人1名），吊装指挥1名</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其他还应包括专业维保人员等。项目负责人应取得应急管理局主要负责人、安全管理人员证书。</w:t>
      </w:r>
    </w:p>
    <w:p w14:paraId="729E0506">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.3 投标方配备的特种作业和特种设备作业人员须取得相应资格证书。各工种涉及高处作业人员必须持有高处作业证，起重工必须持有起重证/指挥证，车辆驾驶员必须持有对应操作证、驾驶证。对不符合条件的人员，有权要求投标方更换。</w:t>
      </w:r>
    </w:p>
    <w:p w14:paraId="4B330402">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.4 投标方的营业执照和资格证书、法人资格证书或其委托代理人证书符合要求，承接的业务与其经营范围相符。</w:t>
      </w:r>
    </w:p>
    <w:p w14:paraId="21BB9F15">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.5 投标方应配备本工程的项目经理及其项目管理班子人员名单（包括项目负责人、施工员、安全员、质量检查员等）及其专业资格证书复印件，并作为合同附件。</w:t>
      </w:r>
    </w:p>
    <w:p w14:paraId="2CCEABAB">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.6 投标方承接本项目的安管管理机构，人员配置符合《安全生产法》、《建设工程安全生产管理条例》等法律法规的要求。</w:t>
      </w:r>
    </w:p>
    <w:p w14:paraId="1C9A41D0">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4.4.7</w:t>
      </w:r>
      <w:r>
        <w:rPr>
          <w:rFonts w:hint="eastAsia" w:ascii="宋体" w:hAnsi="宋体" w:eastAsia="宋体" w:cs="宋体"/>
          <w:color w:val="auto"/>
          <w:sz w:val="28"/>
          <w:szCs w:val="28"/>
          <w:highlight w:val="none"/>
        </w:rPr>
        <w:t>本工程要求项目负责人及项目管理班子成员、项目负责人每天至少8小时在本工程现场工作，且参加投标方组织的例会（有事须请假，并安排相应人员参加）。</w:t>
      </w:r>
    </w:p>
    <w:p w14:paraId="5989B278">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 xml:space="preserve"> 项目负责人需根据工程进度，合理安排施工现场工作人员，不得影响工程进度。</w:t>
      </w:r>
    </w:p>
    <w:p w14:paraId="637FAA60">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 xml:space="preserve"> 投标方安全生产管理制度齐全、完善，具有可操作性，满足工程安全生产要求。</w:t>
      </w:r>
    </w:p>
    <w:p w14:paraId="08E1CFBE">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投标方各工种安全操作规程齐全。</w:t>
      </w:r>
    </w:p>
    <w:p w14:paraId="0A68932C">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投标方事故应急救援预案完备，应急救援设备、设施配置满足要求。</w:t>
      </w:r>
    </w:p>
    <w:p w14:paraId="766DBC53">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rPr>
        <w:t xml:space="preserve"> 投标方作业人员具有所从事工作相应的特种作业证、特种设备操作、其他国家要求持证上岗作业的资格证。</w:t>
      </w:r>
    </w:p>
    <w:p w14:paraId="4487B36B">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rPr>
        <w:t xml:space="preserve"> 投标方安监人员、技术人员应经常深入现场，检查指导安全施工，对发现的违章现象或隐患应立即现场纠正。</w:t>
      </w:r>
    </w:p>
    <w:p w14:paraId="1E770137">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 xml:space="preserve">14 </w:t>
      </w:r>
      <w:r>
        <w:rPr>
          <w:rFonts w:hint="eastAsia" w:ascii="宋体" w:hAnsi="宋体" w:eastAsia="宋体" w:cs="宋体"/>
          <w:color w:val="auto"/>
          <w:sz w:val="28"/>
          <w:szCs w:val="28"/>
          <w:highlight w:val="none"/>
        </w:rPr>
        <w:t>投标方应保持现场安全，必须严格执行国家及行业有关的安全文明生产规定，文明施工达到当地政府有关部门的要求。</w:t>
      </w:r>
    </w:p>
    <w:p w14:paraId="78429E04">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投标方应采取切实可行的措施，保护施工现场内人员的安全。由于投标方措施不力造成安全事故，责任和费用由投标方承担。</w:t>
      </w:r>
    </w:p>
    <w:p w14:paraId="61AD9DB9">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 xml:space="preserve">16 </w:t>
      </w:r>
      <w:r>
        <w:rPr>
          <w:rFonts w:hint="eastAsia" w:ascii="宋体" w:hAnsi="宋体" w:eastAsia="宋体" w:cs="宋体"/>
          <w:color w:val="auto"/>
          <w:sz w:val="28"/>
          <w:szCs w:val="28"/>
          <w:highlight w:val="none"/>
        </w:rPr>
        <w:t>投标方应当在需要的时间和地点，根据有关规定要求，提供和维持所有灯光、护板、栅栏、警告信号和值班，以及对工程进行保护或为公众提供安全和方便。</w:t>
      </w:r>
    </w:p>
    <w:p w14:paraId="5B5777FC">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 xml:space="preserve">17 </w:t>
      </w:r>
      <w:r>
        <w:rPr>
          <w:rFonts w:hint="eastAsia" w:ascii="宋体" w:hAnsi="宋体" w:eastAsia="宋体" w:cs="宋体"/>
          <w:color w:val="auto"/>
          <w:sz w:val="28"/>
          <w:szCs w:val="28"/>
          <w:highlight w:val="none"/>
        </w:rPr>
        <w:t>投标方应文明施工，与其他单位友好相处，如发生野蛮施工以及打架斗殴等治安事件，损害投标方或其他人利益，以及造成不利影响的，投标方视为投标方违约，扣除投标方人民币0.5万元以上1万元以下的违约金，造成损失的应赔偿损失。</w:t>
      </w:r>
    </w:p>
    <w:p w14:paraId="1A7E1DBA">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18</w:t>
      </w:r>
      <w:r>
        <w:rPr>
          <w:rFonts w:hint="eastAsia" w:ascii="宋体" w:hAnsi="宋体" w:eastAsia="宋体" w:cs="宋体"/>
          <w:color w:val="auto"/>
          <w:sz w:val="28"/>
          <w:szCs w:val="28"/>
          <w:highlight w:val="none"/>
        </w:rPr>
        <w:t>投标方应严格执行伊犁新天煤化工有限责任公司外包项目安健环管理标准。</w:t>
      </w:r>
      <w:bookmarkStart w:id="11" w:name="_Toc25378"/>
      <w:bookmarkStart w:id="12" w:name="_Toc26945"/>
      <w:bookmarkStart w:id="13" w:name="_Toc19072"/>
    </w:p>
    <w:p w14:paraId="25EBA61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19</w:t>
      </w:r>
      <w:r>
        <w:rPr>
          <w:rFonts w:hint="eastAsia" w:ascii="宋体" w:hAnsi="宋体" w:eastAsia="宋体" w:cs="宋体"/>
          <w:color w:val="auto"/>
          <w:sz w:val="28"/>
          <w:szCs w:val="28"/>
          <w:highlight w:val="none"/>
        </w:rPr>
        <w:t>投标方应对本技术规范书提出的技术要求逐条进行响应，对技术规范书的偏差必须反应在差异表中。</w:t>
      </w:r>
    </w:p>
    <w:bookmarkEnd w:id="11"/>
    <w:bookmarkEnd w:id="12"/>
    <w:bookmarkEnd w:id="13"/>
    <w:p w14:paraId="36D7C0FB">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rPr>
      </w:pPr>
      <w:bookmarkStart w:id="14" w:name="_Toc25115"/>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val="en-US" w:eastAsia="zh-CN"/>
        </w:rPr>
        <w:t xml:space="preserve"> 投标方应达到的目标</w:t>
      </w:r>
      <w:bookmarkEnd w:id="14"/>
    </w:p>
    <w:p w14:paraId="6E7350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5.1安全性指标</w:t>
      </w:r>
    </w:p>
    <w:p w14:paraId="6FCFA2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（1）不发生本项目部员工轻伤以上、急性中毒等各类人身事故。</w:t>
      </w:r>
    </w:p>
    <w:p w14:paraId="21D39E4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（2）不发生外包人员轻伤以上、急性中毒等各类人身事故。</w:t>
      </w:r>
    </w:p>
    <w:p w14:paraId="5C65CD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（3）不发生负主责以上有人员受伤构成的交通事故。</w:t>
      </w:r>
    </w:p>
    <w:p w14:paraId="159E8E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（4）不发生本项目部责任造成的火险事件。</w:t>
      </w:r>
    </w:p>
    <w:p w14:paraId="2B22DB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（5）设备考核障碍及可靠性指标控制在以下范围（指非人为原因造成）：不发生考核障碍、一类障碍、二类障碍。</w:t>
      </w:r>
    </w:p>
    <w:p w14:paraId="2A5153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（6）不发生误操作事件。</w:t>
      </w:r>
    </w:p>
    <w:p w14:paraId="7F1849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5.2 环保指标：</w:t>
      </w:r>
    </w:p>
    <w:p w14:paraId="64FD351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（1）不发生一般以上环境污染事件。</w:t>
      </w:r>
    </w:p>
    <w:p w14:paraId="606325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（2）不发生本项目部责任造成的“三废”排放超标事件。</w:t>
      </w:r>
    </w:p>
    <w:p w14:paraId="0C0428C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（3）不发生本项目部责任造成的危废处置不合规、不合法事件。</w:t>
      </w:r>
    </w:p>
    <w:p w14:paraId="4FB9B70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（4）不发生本项目部责任造成的公司被上级单位、政府部门通报批评或罚款的环保事件。</w:t>
      </w:r>
    </w:p>
    <w:p w14:paraId="7A2EE3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5.3不发生造成后果的危险化学品泄漏事件。</w:t>
      </w:r>
    </w:p>
    <w:p w14:paraId="03A80DB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5.4 职业卫生：</w:t>
      </w:r>
    </w:p>
    <w:p w14:paraId="03E9266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（1）不发生新增职业病病例。</w:t>
      </w:r>
    </w:p>
    <w:p w14:paraId="53D9B4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（2）职业病危害年度体检率100%。</w:t>
      </w:r>
    </w:p>
    <w:p w14:paraId="2D18672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5.5 不发生本项目部责任造成的公司被上级单位及政府部门下发的安全环保挂牌督办通知书、安全生产督（稽）查通知书要求整改的问题未及时整改的情况和上级单位及政府部门通报批评的事件。</w:t>
      </w:r>
    </w:p>
    <w:p w14:paraId="410D5EB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5.6 治安保卫：</w:t>
      </w:r>
    </w:p>
    <w:p w14:paraId="066FA43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（1）不发生本项目部责任造成的生产物资被盗抢案件。</w:t>
      </w:r>
    </w:p>
    <w:p w14:paraId="129F15B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（2）不发生危险物品（包括易制毒、放射品）被盗、丢失或被非法转让案件。</w:t>
      </w:r>
    </w:p>
    <w:p w14:paraId="7E77C3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（3）公司区域内不发生有本项目部人员参与的群殴、群架事件。</w:t>
      </w:r>
    </w:p>
    <w:p w14:paraId="4E9CB7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5.7 其他指标：</w:t>
      </w:r>
    </w:p>
    <w:p w14:paraId="3F1A6D8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（1）隐患整改率不低于95%。</w:t>
      </w:r>
    </w:p>
    <w:p w14:paraId="449589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（2）不发生本项目部员工个人负主责的其他不安全事件。</w:t>
      </w:r>
    </w:p>
    <w:p w14:paraId="3B563F6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（3）员工三级安全培训率100%。</w:t>
      </w:r>
    </w:p>
    <w:p w14:paraId="5F6FCC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(4) 特种作业人员持证上岗率100%。</w:t>
      </w:r>
    </w:p>
    <w:p w14:paraId="161CBD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5.8 经济性指标</w:t>
      </w:r>
    </w:p>
    <w:p w14:paraId="40872244">
      <w:pPr>
        <w:snapToGrid w:val="0"/>
        <w:spacing w:line="360" w:lineRule="auto"/>
        <w:ind w:firstLine="560" w:firstLineChars="2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机组、设备达到铭牌出力；能耗、物耗达到招标方制定的当年计划指标。</w:t>
      </w:r>
    </w:p>
    <w:p w14:paraId="3FD9F6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5.9 可靠性指标</w:t>
      </w:r>
    </w:p>
    <w:p w14:paraId="38915814">
      <w:pPr>
        <w:snapToGrid w:val="0"/>
        <w:spacing w:line="360" w:lineRule="auto"/>
        <w:ind w:firstLine="280" w:firstLineChars="1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（1）非计划停运次数投标方责任0次/每年。</w:t>
      </w:r>
    </w:p>
    <w:p w14:paraId="3364F11A">
      <w:pPr>
        <w:snapToGrid w:val="0"/>
        <w:spacing w:line="360" w:lineRule="auto"/>
        <w:ind w:firstLine="280" w:firstLineChars="1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（2）不发生考核障碍、一类障碍和二类障碍。</w:t>
      </w:r>
    </w:p>
    <w:p w14:paraId="3058AF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5.10 环保指标</w:t>
      </w:r>
    </w:p>
    <w:p w14:paraId="22B6CCCC">
      <w:pPr>
        <w:snapToGrid w:val="0"/>
        <w:spacing w:line="360" w:lineRule="auto"/>
        <w:ind w:firstLine="560" w:firstLineChars="2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现场作业过程要符合国家有关环保管理标准、技术规范及公司环保管理制度。</w:t>
      </w:r>
    </w:p>
    <w:p w14:paraId="428D88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5.11 生产管理目标:</w:t>
      </w:r>
    </w:p>
    <w:p w14:paraId="61CFDE38">
      <w:pPr>
        <w:snapToGrid w:val="0"/>
        <w:spacing w:line="360" w:lineRule="auto"/>
        <w:ind w:firstLine="280" w:firstLineChars="1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（1）机组、设备要达到一流煤化工企业管理水平，设备管理达到无渗漏标准。</w:t>
      </w:r>
    </w:p>
    <w:p w14:paraId="7DE587A5">
      <w:pPr>
        <w:snapToGrid w:val="0"/>
        <w:spacing w:line="360" w:lineRule="auto"/>
        <w:ind w:firstLine="280" w:firstLineChars="1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（2）设备大修后，连续运行时间在200天以上。</w:t>
      </w:r>
    </w:p>
    <w:p w14:paraId="19F5237A">
      <w:pPr>
        <w:snapToGrid w:val="0"/>
        <w:spacing w:line="360" w:lineRule="auto"/>
        <w:ind w:firstLine="280" w:firstLineChars="1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（3）设备定修定检项目遗漏率为0%。</w:t>
      </w:r>
    </w:p>
    <w:p w14:paraId="68055779">
      <w:pPr>
        <w:snapToGrid w:val="0"/>
        <w:spacing w:line="360" w:lineRule="auto"/>
        <w:ind w:firstLine="280" w:firstLineChars="100"/>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（4）完成招标方制定的相关生产指标。</w:t>
      </w:r>
    </w:p>
    <w:p w14:paraId="6DE4F677">
      <w:pPr>
        <w:keepNext w:val="0"/>
        <w:keepLines w:val="0"/>
        <w:pageBreakBefore w:val="0"/>
        <w:widowControl w:val="0"/>
        <w:kinsoku w:val="0"/>
        <w:wordWrap/>
        <w:overflowPunct/>
        <w:topLinePunct w:val="0"/>
        <w:autoSpaceDE/>
        <w:autoSpaceDN/>
        <w:bidi w:val="0"/>
        <w:adjustRightInd w:val="0"/>
        <w:snapToGrid/>
        <w:spacing w:line="360" w:lineRule="auto"/>
        <w:ind w:firstLine="280" w:firstLineChars="100"/>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（5）票证合格率100%</w:t>
      </w:r>
      <w:r>
        <w:rPr>
          <w:rFonts w:hint="eastAsia" w:ascii="宋体" w:hAnsi="宋体" w:eastAsia="宋体" w:cs="宋体"/>
          <w:color w:val="auto"/>
          <w:sz w:val="28"/>
          <w:szCs w:val="28"/>
          <w:highlight w:val="none"/>
          <w:lang w:eastAsia="zh-CN"/>
        </w:rPr>
        <w:t>。</w:t>
      </w:r>
    </w:p>
    <w:p w14:paraId="28FE749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rPr>
      </w:pPr>
      <w:bookmarkStart w:id="15" w:name="_Toc4596"/>
      <w:r>
        <w:rPr>
          <w:rFonts w:hint="eastAsia" w:ascii="宋体" w:hAnsi="宋体" w:eastAsia="宋体" w:cs="宋体"/>
          <w:color w:val="auto"/>
          <w:sz w:val="28"/>
          <w:szCs w:val="28"/>
          <w:highlight w:val="none"/>
        </w:rPr>
        <w:t>6 资质</w:t>
      </w:r>
      <w:r>
        <w:rPr>
          <w:rFonts w:hint="eastAsia" w:ascii="宋体" w:hAnsi="宋体" w:eastAsia="宋体" w:cs="宋体"/>
          <w:color w:val="auto"/>
          <w:sz w:val="28"/>
          <w:szCs w:val="28"/>
          <w:highlight w:val="none"/>
          <w:lang w:val="en-US" w:eastAsia="zh-CN"/>
        </w:rPr>
        <w:t>条件</w:t>
      </w:r>
      <w:r>
        <w:rPr>
          <w:rFonts w:hint="eastAsia" w:ascii="宋体" w:hAnsi="宋体" w:eastAsia="宋体" w:cs="宋体"/>
          <w:color w:val="auto"/>
          <w:sz w:val="28"/>
          <w:szCs w:val="28"/>
          <w:highlight w:val="none"/>
        </w:rPr>
        <w:t>及人员要求</w:t>
      </w:r>
      <w:bookmarkEnd w:id="15"/>
    </w:p>
    <w:p w14:paraId="648D4A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投标方必须是在中华人民共和国境内依法注册、具有独立法人资格、具有履行合同所必需的财务、技术及相关服务等能力，且是浙能集团的合格供应商。</w:t>
      </w:r>
    </w:p>
    <w:p w14:paraId="41980D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val="en-US" w:eastAsia="zh-CN"/>
        </w:rPr>
        <w:t xml:space="preserve">2 </w:t>
      </w:r>
      <w:r>
        <w:rPr>
          <w:rFonts w:hint="eastAsia" w:ascii="宋体" w:hAnsi="宋体" w:eastAsia="宋体" w:cs="宋体"/>
          <w:color w:val="auto"/>
          <w:sz w:val="28"/>
          <w:szCs w:val="28"/>
          <w:highlight w:val="none"/>
        </w:rPr>
        <w:t>参与项目的人员必须身体健康，具有从事</w:t>
      </w:r>
      <w:r>
        <w:rPr>
          <w:rFonts w:hint="eastAsia" w:ascii="宋体" w:hAnsi="宋体" w:eastAsia="宋体" w:cs="宋体"/>
          <w:color w:val="auto"/>
          <w:sz w:val="28"/>
          <w:szCs w:val="28"/>
          <w:highlight w:val="none"/>
          <w:lang w:val="en-US" w:eastAsia="zh-CN"/>
        </w:rPr>
        <w:t>化工设备</w:t>
      </w:r>
      <w:r>
        <w:rPr>
          <w:rFonts w:hint="eastAsia" w:ascii="宋体" w:hAnsi="宋体" w:eastAsia="宋体" w:cs="宋体"/>
          <w:color w:val="auto"/>
          <w:sz w:val="28"/>
          <w:szCs w:val="28"/>
          <w:highlight w:val="none"/>
        </w:rPr>
        <w:t xml:space="preserve">检修或安装工作经验3年以上。 </w:t>
      </w:r>
    </w:p>
    <w:p w14:paraId="7E4772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val="en-US" w:eastAsia="zh-CN"/>
        </w:rPr>
        <w:t>3 参加项目的主要专业技术人员应不少于总人数的10%，其配备需经招标人认可，主要技术人员从事化工设备检修或安装工作至少5年以上，并具有石化或化工大修类似设备的检修或安装经验。本项目所有参修人员需经过招标面试，合格后方可上岗作业。</w:t>
      </w:r>
    </w:p>
    <w:p w14:paraId="3D582EF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val="en-US" w:eastAsia="zh-CN"/>
        </w:rPr>
        <w:t xml:space="preserve">4 </w:t>
      </w:r>
      <w:r>
        <w:rPr>
          <w:rFonts w:hint="eastAsia" w:ascii="宋体" w:hAnsi="宋体" w:eastAsia="宋体" w:cs="宋体"/>
          <w:color w:val="auto"/>
          <w:sz w:val="28"/>
          <w:szCs w:val="28"/>
          <w:highlight w:val="none"/>
        </w:rPr>
        <w:t>从事特种作业（特种设备作业）的人员至少应有该工种实际操作经验3年以上，并必须持有经相关部门核发的有效证书，且从事特种作业的人员技术数量必须达到能保证24小时连续作业的要求。</w:t>
      </w:r>
      <w:r>
        <w:rPr>
          <w:rFonts w:hint="eastAsia" w:ascii="宋体" w:hAnsi="宋体" w:eastAsia="宋体" w:cs="宋体"/>
          <w:color w:val="auto"/>
          <w:sz w:val="28"/>
          <w:szCs w:val="28"/>
          <w:highlight w:val="none"/>
          <w:lang w:val="en-US" w:eastAsia="zh-CN"/>
        </w:rPr>
        <w:t>特殊工种中起重工、叉车工需经招标方实操考核合格后方可上岗。</w:t>
      </w:r>
    </w:p>
    <w:p w14:paraId="60154CB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val="en-US" w:eastAsia="zh-CN"/>
        </w:rPr>
        <w:t xml:space="preserve">5 </w:t>
      </w:r>
      <w:r>
        <w:rPr>
          <w:rFonts w:hint="eastAsia" w:ascii="宋体" w:hAnsi="宋体" w:eastAsia="宋体" w:cs="宋体"/>
          <w:color w:val="auto"/>
          <w:sz w:val="28"/>
          <w:szCs w:val="28"/>
          <w:highlight w:val="none"/>
        </w:rPr>
        <w:t>投标人应具有完善的质量保证体系</w:t>
      </w:r>
      <w:r>
        <w:rPr>
          <w:rFonts w:hint="eastAsia" w:ascii="宋体" w:hAnsi="宋体" w:eastAsia="宋体" w:cs="宋体"/>
          <w:color w:val="auto"/>
          <w:sz w:val="28"/>
          <w:szCs w:val="28"/>
          <w:highlight w:val="none"/>
          <w:lang w:val="en-US" w:eastAsia="zh-CN"/>
        </w:rPr>
        <w:t>。</w:t>
      </w:r>
    </w:p>
    <w:p w14:paraId="5BCD1D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6.6 </w:t>
      </w:r>
      <w:r>
        <w:rPr>
          <w:rFonts w:hint="eastAsia" w:ascii="宋体" w:hAnsi="宋体" w:eastAsia="宋体" w:cs="宋体"/>
          <w:color w:val="auto"/>
          <w:sz w:val="28"/>
          <w:szCs w:val="28"/>
          <w:highlight w:val="none"/>
        </w:rPr>
        <w:t>需要进行高处作业的作业人员，需持有特种作业操作证（高处作业），且在有效期内。</w:t>
      </w:r>
    </w:p>
    <w:p w14:paraId="399192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 xml:space="preserve">严禁使用未成年人和不适应现场安全施工要求的老、弱、病、残人员。 </w:t>
      </w:r>
    </w:p>
    <w:p w14:paraId="00A9E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6.8</w:t>
      </w:r>
      <w:r>
        <w:rPr>
          <w:rFonts w:hint="eastAsia" w:ascii="宋体" w:hAnsi="宋体" w:eastAsia="宋体" w:cs="宋体"/>
          <w:color w:val="auto"/>
          <w:sz w:val="28"/>
          <w:szCs w:val="28"/>
          <w:highlight w:val="none"/>
        </w:rPr>
        <w:t xml:space="preserve"> 投标人应严格按照合同、设计文件（图纸等）、技术规范的要求进行试验和检验。</w:t>
      </w:r>
    </w:p>
    <w:p w14:paraId="289F22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6.10</w:t>
      </w:r>
      <w:r>
        <w:rPr>
          <w:rFonts w:hint="eastAsia" w:ascii="宋体" w:hAnsi="宋体" w:eastAsia="宋体" w:cs="宋体"/>
          <w:color w:val="auto"/>
          <w:sz w:val="28"/>
          <w:szCs w:val="28"/>
          <w:highlight w:val="none"/>
        </w:rPr>
        <w:t xml:space="preserve"> 投标人应制定详细的作业方案和计划，并在施工前发给招标人审核。</w:t>
      </w:r>
    </w:p>
    <w:p w14:paraId="660E89E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6.11</w:t>
      </w:r>
      <w:r>
        <w:rPr>
          <w:rFonts w:hint="eastAsia" w:ascii="宋体" w:hAnsi="宋体" w:eastAsia="宋体" w:cs="宋体"/>
          <w:color w:val="auto"/>
          <w:sz w:val="28"/>
          <w:szCs w:val="28"/>
          <w:highlight w:val="none"/>
        </w:rPr>
        <w:t xml:space="preserve"> 投标人有专人负责本合同的施工质量，由专人负责有关质量证明的签发和管理。</w:t>
      </w:r>
    </w:p>
    <w:p w14:paraId="063D57F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6.12</w:t>
      </w:r>
      <w:r>
        <w:rPr>
          <w:rFonts w:hint="eastAsia" w:ascii="宋体" w:hAnsi="宋体" w:eastAsia="宋体" w:cs="宋体"/>
          <w:color w:val="auto"/>
          <w:sz w:val="28"/>
          <w:szCs w:val="28"/>
          <w:highlight w:val="none"/>
        </w:rPr>
        <w:t xml:space="preserve"> 投标人应接受招标人以及招标人委托第三方检验机构的检验，任何因质量检验不合格而造成</w:t>
      </w:r>
      <w:r>
        <w:rPr>
          <w:rFonts w:hint="eastAsia" w:ascii="宋体" w:hAnsi="宋体" w:eastAsia="宋体" w:cs="宋体"/>
          <w:color w:val="auto"/>
          <w:sz w:val="28"/>
          <w:szCs w:val="28"/>
          <w:highlight w:val="none"/>
          <w:lang w:eastAsia="zh-CN"/>
        </w:rPr>
        <w:t>项目</w:t>
      </w:r>
      <w:r>
        <w:rPr>
          <w:rFonts w:hint="eastAsia" w:ascii="宋体" w:hAnsi="宋体" w:eastAsia="宋体" w:cs="宋体"/>
          <w:color w:val="auto"/>
          <w:sz w:val="28"/>
          <w:szCs w:val="28"/>
          <w:highlight w:val="none"/>
        </w:rPr>
        <w:t>进度的拖延，一切责任均由投标人负责。</w:t>
      </w:r>
    </w:p>
    <w:p w14:paraId="70B6CAD5">
      <w:pPr>
        <w:snapToGrid w:val="0"/>
        <w:spacing w:line="360" w:lineRule="auto"/>
        <w:jc w:val="left"/>
        <w:rPr>
          <w:rStyle w:val="20"/>
          <w:rFonts w:hint="eastAsia" w:ascii="宋体" w:hAnsi="宋体" w:eastAsia="宋体" w:cs="宋体"/>
          <w:bCs/>
          <w:color w:val="auto"/>
          <w:sz w:val="28"/>
          <w:szCs w:val="28"/>
          <w:highlight w:val="none"/>
          <w:lang w:val="en-US" w:eastAsia="zh-CN"/>
        </w:rPr>
      </w:pPr>
      <w:r>
        <w:rPr>
          <w:rStyle w:val="20"/>
          <w:rFonts w:hint="eastAsia" w:ascii="宋体" w:hAnsi="宋体" w:eastAsia="宋体" w:cs="宋体"/>
          <w:bCs/>
          <w:color w:val="auto"/>
          <w:sz w:val="28"/>
          <w:szCs w:val="28"/>
          <w:highlight w:val="none"/>
          <w:lang w:val="en-US" w:eastAsia="zh-CN"/>
        </w:rPr>
        <w:t>6.13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6803684B">
      <w:pPr>
        <w:snapToGrid w:val="0"/>
        <w:spacing w:line="360" w:lineRule="auto"/>
        <w:jc w:val="left"/>
        <w:rPr>
          <w:rStyle w:val="20"/>
          <w:rFonts w:hint="eastAsia" w:ascii="宋体" w:hAnsi="宋体" w:eastAsia="宋体" w:cs="宋体"/>
          <w:bCs/>
          <w:color w:val="auto"/>
          <w:sz w:val="28"/>
          <w:szCs w:val="28"/>
          <w:highlight w:val="none"/>
          <w:lang w:val="en-US" w:eastAsia="zh-CN"/>
        </w:rPr>
      </w:pPr>
      <w:r>
        <w:rPr>
          <w:rStyle w:val="20"/>
          <w:rFonts w:hint="eastAsia" w:ascii="宋体" w:hAnsi="宋体" w:eastAsia="宋体" w:cs="宋体"/>
          <w:bCs/>
          <w:color w:val="auto"/>
          <w:sz w:val="28"/>
          <w:szCs w:val="28"/>
          <w:highlight w:val="none"/>
          <w:lang w:val="en-US" w:eastAsia="zh-CN"/>
        </w:rPr>
        <w:t>6.14 投标方人员休假原则上由投标方自行安排，但投标方主要技术人员（班组长、安全员）离开招标方现场三天及以上的，必须到招标方归口管理部门办理书面请假手续。</w:t>
      </w:r>
    </w:p>
    <w:p w14:paraId="1717D6EB">
      <w:pPr>
        <w:snapToGrid w:val="0"/>
        <w:spacing w:line="360" w:lineRule="auto"/>
        <w:jc w:val="left"/>
        <w:rPr>
          <w:rStyle w:val="20"/>
          <w:rFonts w:hint="eastAsia" w:ascii="宋体" w:hAnsi="宋体" w:eastAsia="宋体" w:cs="宋体"/>
          <w:bCs/>
          <w:color w:val="auto"/>
          <w:sz w:val="28"/>
          <w:szCs w:val="28"/>
          <w:highlight w:val="none"/>
          <w:lang w:val="en-US" w:eastAsia="zh-CN"/>
        </w:rPr>
      </w:pPr>
      <w:r>
        <w:rPr>
          <w:rStyle w:val="20"/>
          <w:rFonts w:hint="eastAsia" w:ascii="宋体" w:hAnsi="宋体" w:eastAsia="宋体" w:cs="宋体"/>
          <w:bCs/>
          <w:color w:val="auto"/>
          <w:sz w:val="28"/>
          <w:szCs w:val="28"/>
          <w:highlight w:val="none"/>
          <w:lang w:val="en-US" w:eastAsia="zh-CN"/>
        </w:rPr>
        <w:t>6.15 最低</w:t>
      </w:r>
      <w:r>
        <w:rPr>
          <w:rStyle w:val="20"/>
          <w:rFonts w:hint="eastAsia" w:ascii="宋体" w:hAnsi="宋体" w:eastAsia="宋体" w:cs="宋体"/>
          <w:bCs/>
          <w:color w:val="auto"/>
          <w:sz w:val="28"/>
          <w:szCs w:val="28"/>
          <w:highlight w:val="none"/>
        </w:rPr>
        <w:t>人员配置</w:t>
      </w:r>
      <w:r>
        <w:rPr>
          <w:rStyle w:val="20"/>
          <w:rFonts w:hint="eastAsia" w:ascii="宋体" w:hAnsi="宋体" w:eastAsia="宋体" w:cs="宋体"/>
          <w:bCs/>
          <w:color w:val="auto"/>
          <w:sz w:val="28"/>
          <w:szCs w:val="28"/>
          <w:highlight w:val="none"/>
          <w:lang w:eastAsia="zh-CN"/>
        </w:rPr>
        <w:t>：</w:t>
      </w:r>
      <w:r>
        <w:rPr>
          <w:rStyle w:val="20"/>
          <w:rFonts w:hint="eastAsia" w:ascii="宋体" w:hAnsi="宋体" w:eastAsia="宋体" w:cs="宋体"/>
          <w:bCs/>
          <w:color w:val="auto"/>
          <w:sz w:val="28"/>
          <w:szCs w:val="28"/>
          <w:highlight w:val="none"/>
        </w:rPr>
        <w:t>本次投标方人员配置为：</w:t>
      </w:r>
      <w:r>
        <w:rPr>
          <w:rStyle w:val="20"/>
          <w:rFonts w:hint="eastAsia" w:ascii="宋体" w:hAnsi="宋体" w:eastAsia="宋体" w:cs="宋体"/>
          <w:bCs/>
          <w:color w:val="auto"/>
          <w:sz w:val="28"/>
          <w:szCs w:val="28"/>
          <w:highlight w:val="none"/>
          <w:lang w:val="en-US" w:eastAsia="zh-CN"/>
        </w:rPr>
        <w:t>不少于12</w:t>
      </w:r>
      <w:r>
        <w:rPr>
          <w:rStyle w:val="20"/>
          <w:rFonts w:hint="eastAsia" w:ascii="宋体" w:hAnsi="宋体" w:eastAsia="宋体" w:cs="宋体"/>
          <w:bCs/>
          <w:color w:val="auto"/>
          <w:sz w:val="28"/>
          <w:szCs w:val="28"/>
          <w:highlight w:val="none"/>
        </w:rPr>
        <w:t>人。具体配置及人员要求</w:t>
      </w:r>
      <w:r>
        <w:rPr>
          <w:rStyle w:val="20"/>
          <w:rFonts w:hint="eastAsia" w:ascii="宋体" w:hAnsi="宋体" w:eastAsia="宋体" w:cs="宋体"/>
          <w:bCs/>
          <w:color w:val="auto"/>
          <w:sz w:val="28"/>
          <w:szCs w:val="28"/>
          <w:highlight w:val="none"/>
          <w:lang w:eastAsia="zh-CN"/>
        </w:rPr>
        <w:t>。</w:t>
      </w:r>
    </w:p>
    <w:tbl>
      <w:tblPr>
        <w:tblStyle w:val="10"/>
        <w:tblW w:w="9369" w:type="dxa"/>
        <w:tblInd w:w="96" w:type="dxa"/>
        <w:tblLayout w:type="fixed"/>
        <w:tblCellMar>
          <w:top w:w="0" w:type="dxa"/>
          <w:left w:w="108" w:type="dxa"/>
          <w:bottom w:w="0" w:type="dxa"/>
          <w:right w:w="108" w:type="dxa"/>
        </w:tblCellMar>
      </w:tblPr>
      <w:tblGrid>
        <w:gridCol w:w="941"/>
        <w:gridCol w:w="1265"/>
        <w:gridCol w:w="729"/>
        <w:gridCol w:w="5534"/>
        <w:gridCol w:w="900"/>
      </w:tblGrid>
      <w:tr w14:paraId="52755DEC">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E9281">
            <w:pPr>
              <w:jc w:val="center"/>
              <w:rPr>
                <w:rFonts w:hint="eastAsia" w:ascii="宋体" w:hAnsi="宋体" w:eastAsia="宋体" w:cs="宋体"/>
                <w:b/>
                <w:bCs/>
                <w:color w:val="auto"/>
                <w:kern w:val="0"/>
                <w:sz w:val="28"/>
                <w:szCs w:val="28"/>
                <w:highlight w:val="none"/>
                <w:lang w:bidi="ar"/>
              </w:rPr>
            </w:pPr>
            <w:r>
              <w:rPr>
                <w:rFonts w:hint="eastAsia" w:ascii="宋体" w:hAnsi="宋体" w:eastAsia="宋体" w:cs="宋体"/>
                <w:b/>
                <w:bCs/>
                <w:color w:val="auto"/>
                <w:kern w:val="0"/>
                <w:sz w:val="28"/>
                <w:szCs w:val="28"/>
                <w:highlight w:val="none"/>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003B0">
            <w:pPr>
              <w:jc w:val="center"/>
              <w:rPr>
                <w:rFonts w:hint="eastAsia" w:ascii="宋体" w:hAnsi="宋体" w:eastAsia="宋体" w:cs="宋体"/>
                <w:b/>
                <w:bCs/>
                <w:color w:val="auto"/>
                <w:kern w:val="0"/>
                <w:sz w:val="28"/>
                <w:szCs w:val="28"/>
                <w:highlight w:val="none"/>
                <w:lang w:bidi="ar"/>
              </w:rPr>
            </w:pPr>
            <w:r>
              <w:rPr>
                <w:rFonts w:hint="eastAsia" w:ascii="宋体" w:hAnsi="宋体" w:eastAsia="宋体" w:cs="宋体"/>
                <w:b/>
                <w:bCs/>
                <w:color w:val="auto"/>
                <w:kern w:val="0"/>
                <w:sz w:val="28"/>
                <w:szCs w:val="28"/>
                <w:highlight w:val="none"/>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C4A23">
            <w:pPr>
              <w:jc w:val="center"/>
              <w:rPr>
                <w:rFonts w:hint="eastAsia" w:ascii="宋体" w:hAnsi="宋体" w:eastAsia="宋体" w:cs="宋体"/>
                <w:b/>
                <w:bCs/>
                <w:color w:val="auto"/>
                <w:kern w:val="0"/>
                <w:sz w:val="28"/>
                <w:szCs w:val="28"/>
                <w:highlight w:val="none"/>
                <w:lang w:bidi="ar"/>
              </w:rPr>
            </w:pPr>
            <w:r>
              <w:rPr>
                <w:rFonts w:hint="eastAsia" w:ascii="宋体" w:hAnsi="宋体" w:eastAsia="宋体" w:cs="宋体"/>
                <w:b/>
                <w:bCs/>
                <w:color w:val="auto"/>
                <w:kern w:val="0"/>
                <w:sz w:val="28"/>
                <w:szCs w:val="28"/>
                <w:highlight w:val="none"/>
                <w:lang w:bidi="ar"/>
              </w:rPr>
              <w:t>人数</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096E4">
            <w:pPr>
              <w:jc w:val="center"/>
              <w:rPr>
                <w:rFonts w:hint="eastAsia" w:ascii="宋体" w:hAnsi="宋体" w:eastAsia="宋体" w:cs="宋体"/>
                <w:b/>
                <w:bCs/>
                <w:color w:val="auto"/>
                <w:kern w:val="0"/>
                <w:sz w:val="28"/>
                <w:szCs w:val="28"/>
                <w:highlight w:val="none"/>
                <w:lang w:bidi="ar"/>
              </w:rPr>
            </w:pPr>
            <w:r>
              <w:rPr>
                <w:rFonts w:hint="eastAsia" w:ascii="宋体" w:hAnsi="宋体" w:eastAsia="宋体" w:cs="宋体"/>
                <w:b/>
                <w:bCs/>
                <w:color w:val="auto"/>
                <w:kern w:val="0"/>
                <w:sz w:val="28"/>
                <w:szCs w:val="28"/>
                <w:highlight w:val="none"/>
                <w:lang w:bidi="ar"/>
              </w:rPr>
              <w:t>人员要求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B879D">
            <w:pPr>
              <w:jc w:val="center"/>
              <w:rPr>
                <w:rFonts w:hint="eastAsia" w:ascii="宋体" w:hAnsi="宋体" w:eastAsia="宋体" w:cs="宋体"/>
                <w:b/>
                <w:bCs/>
                <w:color w:val="auto"/>
                <w:kern w:val="0"/>
                <w:sz w:val="28"/>
                <w:szCs w:val="28"/>
                <w:highlight w:val="none"/>
                <w:lang w:bidi="ar"/>
              </w:rPr>
            </w:pPr>
            <w:r>
              <w:rPr>
                <w:rFonts w:hint="eastAsia" w:ascii="宋体" w:hAnsi="宋体" w:eastAsia="宋体" w:cs="宋体"/>
                <w:b/>
                <w:bCs/>
                <w:color w:val="auto"/>
                <w:kern w:val="0"/>
                <w:sz w:val="28"/>
                <w:szCs w:val="28"/>
                <w:highlight w:val="none"/>
                <w:lang w:bidi="ar"/>
              </w:rPr>
              <w:t>备注</w:t>
            </w:r>
          </w:p>
        </w:tc>
      </w:tr>
      <w:tr w14:paraId="47ED8EF0">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4D73FD4D">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大修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F2BD8">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项目负责人</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D5189">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CC6C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5年以上石化或化工设备维护管理经验；须持有危险化学品生产单位安全生产管理人员考核合格证；掌握</w:t>
            </w:r>
            <w:r>
              <w:rPr>
                <w:rFonts w:hint="eastAsia" w:ascii="宋体" w:hAnsi="宋体" w:eastAsia="宋体" w:cs="宋体"/>
                <w:color w:val="auto"/>
                <w:sz w:val="28"/>
                <w:szCs w:val="28"/>
                <w:highlight w:val="none"/>
                <w:lang w:val="en-US" w:eastAsia="zh-CN"/>
              </w:rPr>
              <w:t>设备检修</w:t>
            </w:r>
            <w:r>
              <w:rPr>
                <w:rFonts w:hint="eastAsia" w:ascii="宋体" w:hAnsi="宋体" w:eastAsia="宋体" w:cs="宋体"/>
                <w:color w:val="auto"/>
                <w:sz w:val="28"/>
                <w:szCs w:val="28"/>
                <w:highlight w:val="none"/>
              </w:rPr>
              <w:t>必备的业务知识和安全知识、安全环保规章制度，且熟练掌握汉语语言。</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2F4620">
            <w:pPr>
              <w:jc w:val="center"/>
              <w:rPr>
                <w:rFonts w:hint="eastAsia" w:ascii="宋体" w:hAnsi="宋体" w:eastAsia="宋体" w:cs="宋体"/>
                <w:color w:val="auto"/>
                <w:sz w:val="28"/>
                <w:szCs w:val="28"/>
                <w:highlight w:val="none"/>
              </w:rPr>
            </w:pPr>
          </w:p>
        </w:tc>
      </w:tr>
      <w:tr w14:paraId="3EDC33ED">
        <w:tblPrEx>
          <w:tblCellMar>
            <w:top w:w="0" w:type="dxa"/>
            <w:left w:w="108" w:type="dxa"/>
            <w:bottom w:w="0" w:type="dxa"/>
            <w:right w:w="108" w:type="dxa"/>
          </w:tblCellMar>
        </w:tblPrEx>
        <w:trPr>
          <w:cantSplit/>
          <w:trHeight w:val="1522" w:hRule="atLeast"/>
        </w:trPr>
        <w:tc>
          <w:tcPr>
            <w:tcW w:w="941" w:type="dxa"/>
            <w:vMerge w:val="continue"/>
            <w:tcBorders>
              <w:left w:val="single" w:color="000000" w:sz="4" w:space="0"/>
              <w:right w:val="single" w:color="000000" w:sz="4" w:space="0"/>
            </w:tcBorders>
            <w:shd w:val="clear" w:color="auto" w:fill="FFFFFF"/>
            <w:vAlign w:val="center"/>
          </w:tcPr>
          <w:p w14:paraId="2C0D094B">
            <w:pPr>
              <w:jc w:val="center"/>
              <w:rPr>
                <w:rFonts w:hint="eastAsia" w:ascii="宋体" w:hAnsi="宋体" w:eastAsia="宋体" w:cs="宋体"/>
                <w:color w:val="auto"/>
                <w:sz w:val="28"/>
                <w:szCs w:val="28"/>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DD568">
            <w:pPr>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7A375">
            <w:pPr>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9DF93">
            <w:pP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年以上石化或化工设备检修维护工作经验，有较好的组织管理能力，熟悉设备检修流程、检修经验丰富，能组织人员完成大修检修项目，保障检修工作安全有序进行。</w:t>
            </w:r>
          </w:p>
        </w:tc>
        <w:tc>
          <w:tcPr>
            <w:tcW w:w="900" w:type="dxa"/>
            <w:vMerge w:val="continue"/>
            <w:tcBorders>
              <w:left w:val="single" w:color="000000" w:sz="4" w:space="0"/>
              <w:right w:val="single" w:color="000000" w:sz="4" w:space="0"/>
            </w:tcBorders>
            <w:shd w:val="clear" w:color="auto" w:fill="FFFFFF"/>
            <w:vAlign w:val="center"/>
          </w:tcPr>
          <w:p w14:paraId="2F47EE60">
            <w:pPr>
              <w:jc w:val="center"/>
              <w:rPr>
                <w:rFonts w:hint="eastAsia" w:ascii="宋体" w:hAnsi="宋体" w:eastAsia="宋体" w:cs="宋体"/>
                <w:color w:val="auto"/>
                <w:sz w:val="28"/>
                <w:szCs w:val="28"/>
                <w:highlight w:val="none"/>
              </w:rPr>
            </w:pPr>
          </w:p>
        </w:tc>
      </w:tr>
      <w:tr w14:paraId="5FDE90BC">
        <w:tblPrEx>
          <w:tblCellMar>
            <w:top w:w="0" w:type="dxa"/>
            <w:left w:w="108" w:type="dxa"/>
            <w:bottom w:w="0" w:type="dxa"/>
            <w:right w:w="108" w:type="dxa"/>
          </w:tblCellMar>
        </w:tblPrEx>
        <w:trPr>
          <w:cantSplit/>
          <w:trHeight w:val="1085" w:hRule="atLeast"/>
        </w:trPr>
        <w:tc>
          <w:tcPr>
            <w:tcW w:w="941" w:type="dxa"/>
            <w:vMerge w:val="continue"/>
            <w:tcBorders>
              <w:left w:val="single" w:color="000000" w:sz="4" w:space="0"/>
              <w:right w:val="single" w:color="000000" w:sz="4" w:space="0"/>
            </w:tcBorders>
            <w:shd w:val="clear" w:color="auto" w:fill="FFFFFF"/>
            <w:vAlign w:val="center"/>
          </w:tcPr>
          <w:p w14:paraId="2F742A58">
            <w:pPr>
              <w:jc w:val="center"/>
              <w:rPr>
                <w:rFonts w:hint="eastAsia" w:ascii="宋体" w:hAnsi="宋体" w:eastAsia="宋体" w:cs="宋体"/>
                <w:color w:val="auto"/>
                <w:sz w:val="28"/>
                <w:szCs w:val="28"/>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68403">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技术人员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E195C">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AFD6D">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5年以上石化或化工设备管理经验，其中2年以上化工装置设备检修相关经验；熟悉设备的结构、原理、维护、检修</w:t>
            </w:r>
          </w:p>
        </w:tc>
        <w:tc>
          <w:tcPr>
            <w:tcW w:w="900" w:type="dxa"/>
            <w:vMerge w:val="continue"/>
            <w:tcBorders>
              <w:left w:val="single" w:color="000000" w:sz="4" w:space="0"/>
              <w:right w:val="single" w:color="000000" w:sz="4" w:space="0"/>
            </w:tcBorders>
            <w:shd w:val="clear" w:color="auto" w:fill="FFFFFF"/>
            <w:vAlign w:val="center"/>
          </w:tcPr>
          <w:p w14:paraId="5143932B">
            <w:pPr>
              <w:jc w:val="center"/>
              <w:rPr>
                <w:rFonts w:hint="eastAsia" w:ascii="宋体" w:hAnsi="宋体" w:eastAsia="宋体" w:cs="宋体"/>
                <w:color w:val="auto"/>
                <w:sz w:val="28"/>
                <w:szCs w:val="28"/>
                <w:highlight w:val="none"/>
              </w:rPr>
            </w:pPr>
          </w:p>
        </w:tc>
      </w:tr>
      <w:tr w14:paraId="19FDC5F3">
        <w:tblPrEx>
          <w:tblCellMar>
            <w:top w:w="0" w:type="dxa"/>
            <w:left w:w="108" w:type="dxa"/>
            <w:bottom w:w="0" w:type="dxa"/>
            <w:right w:w="108" w:type="dxa"/>
          </w:tblCellMar>
        </w:tblPrEx>
        <w:trPr>
          <w:cantSplit/>
          <w:trHeight w:val="1166" w:hRule="atLeast"/>
        </w:trPr>
        <w:tc>
          <w:tcPr>
            <w:tcW w:w="941" w:type="dxa"/>
            <w:vMerge w:val="continue"/>
            <w:tcBorders>
              <w:left w:val="single" w:color="000000" w:sz="4" w:space="0"/>
              <w:right w:val="single" w:color="000000" w:sz="4" w:space="0"/>
            </w:tcBorders>
            <w:shd w:val="clear" w:color="auto" w:fill="FFFFFF"/>
            <w:vAlign w:val="center"/>
          </w:tcPr>
          <w:p w14:paraId="1A762E6D">
            <w:pPr>
              <w:jc w:val="center"/>
              <w:rPr>
                <w:rFonts w:hint="eastAsia" w:ascii="宋体" w:hAnsi="宋体" w:eastAsia="宋体" w:cs="宋体"/>
                <w:color w:val="auto"/>
                <w:sz w:val="28"/>
                <w:szCs w:val="28"/>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C9A04">
            <w:pPr>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3B3C6">
            <w:pPr>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3694F">
            <w:pP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5年以上检修维护工作经验，有较好的组织管理能力，熟悉设备检修流程、检修经验丰富，能组织人员完成每日检修项目。</w:t>
            </w:r>
          </w:p>
        </w:tc>
        <w:tc>
          <w:tcPr>
            <w:tcW w:w="900" w:type="dxa"/>
            <w:vMerge w:val="continue"/>
            <w:tcBorders>
              <w:left w:val="single" w:color="000000" w:sz="4" w:space="0"/>
              <w:right w:val="single" w:color="000000" w:sz="4" w:space="0"/>
            </w:tcBorders>
            <w:shd w:val="clear" w:color="auto" w:fill="FFFFFF"/>
            <w:vAlign w:val="center"/>
          </w:tcPr>
          <w:p w14:paraId="7A829E90">
            <w:pPr>
              <w:jc w:val="center"/>
              <w:rPr>
                <w:rFonts w:hint="eastAsia" w:ascii="宋体" w:hAnsi="宋体" w:eastAsia="宋体" w:cs="宋体"/>
                <w:color w:val="auto"/>
                <w:sz w:val="28"/>
                <w:szCs w:val="28"/>
                <w:highlight w:val="none"/>
              </w:rPr>
            </w:pPr>
          </w:p>
        </w:tc>
      </w:tr>
      <w:tr w14:paraId="20FE1FA0">
        <w:tblPrEx>
          <w:tblCellMar>
            <w:top w:w="0" w:type="dxa"/>
            <w:left w:w="108" w:type="dxa"/>
            <w:bottom w:w="0" w:type="dxa"/>
            <w:right w:w="108" w:type="dxa"/>
          </w:tblCellMar>
        </w:tblPrEx>
        <w:trPr>
          <w:cantSplit/>
          <w:trHeight w:val="1486" w:hRule="atLeast"/>
        </w:trPr>
        <w:tc>
          <w:tcPr>
            <w:tcW w:w="941" w:type="dxa"/>
            <w:vMerge w:val="continue"/>
            <w:tcBorders>
              <w:left w:val="single" w:color="000000" w:sz="4" w:space="0"/>
              <w:right w:val="single" w:color="000000" w:sz="4" w:space="0"/>
            </w:tcBorders>
            <w:noWrap/>
            <w:vAlign w:val="center"/>
          </w:tcPr>
          <w:p w14:paraId="068E42DD">
            <w:pPr>
              <w:rPr>
                <w:rFonts w:hint="eastAsia" w:ascii="宋体" w:hAnsi="宋体" w:eastAsia="宋体" w:cs="宋体"/>
                <w:color w:val="auto"/>
                <w:sz w:val="28"/>
                <w:szCs w:val="28"/>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01BC8592">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起重指挥</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CF0AE25">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5534" w:type="dxa"/>
            <w:tcBorders>
              <w:top w:val="single" w:color="000000" w:sz="4" w:space="0"/>
              <w:left w:val="single" w:color="000000" w:sz="4" w:space="0"/>
              <w:bottom w:val="single" w:color="000000" w:sz="4" w:space="0"/>
              <w:right w:val="single" w:color="000000" w:sz="4" w:space="0"/>
            </w:tcBorders>
            <w:vAlign w:val="center"/>
          </w:tcPr>
          <w:p w14:paraId="6CDC98AA">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持市场监督管理局颁发的起重指挥证（Q1），3年以上起重工作经验，且熟练掌握汉语语言。平时需参与检修作业。</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1CAC8">
            <w:pPr>
              <w:jc w:val="center"/>
              <w:rPr>
                <w:rFonts w:hint="eastAsia" w:ascii="宋体" w:hAnsi="宋体" w:eastAsia="宋体" w:cs="宋体"/>
                <w:color w:val="auto"/>
                <w:kern w:val="0"/>
                <w:sz w:val="28"/>
                <w:szCs w:val="28"/>
                <w:highlight w:val="none"/>
                <w:lang w:bidi="ar"/>
              </w:rPr>
            </w:pPr>
          </w:p>
        </w:tc>
      </w:tr>
      <w:tr w14:paraId="672ADF24">
        <w:tblPrEx>
          <w:tblCellMar>
            <w:top w:w="0" w:type="dxa"/>
            <w:left w:w="108" w:type="dxa"/>
            <w:bottom w:w="0" w:type="dxa"/>
            <w:right w:w="108" w:type="dxa"/>
          </w:tblCellMar>
        </w:tblPrEx>
        <w:trPr>
          <w:cantSplit/>
          <w:trHeight w:val="1555" w:hRule="atLeast"/>
        </w:trPr>
        <w:tc>
          <w:tcPr>
            <w:tcW w:w="941" w:type="dxa"/>
            <w:vMerge w:val="continue"/>
            <w:tcBorders>
              <w:left w:val="single" w:color="000000" w:sz="4" w:space="0"/>
              <w:bottom w:val="single" w:color="000000" w:sz="4" w:space="0"/>
              <w:right w:val="single" w:color="000000" w:sz="4" w:space="0"/>
            </w:tcBorders>
            <w:noWrap/>
            <w:vAlign w:val="center"/>
          </w:tcPr>
          <w:p w14:paraId="15CEAF0C">
            <w:pPr>
              <w:rPr>
                <w:rFonts w:hint="eastAsia" w:ascii="宋体" w:hAnsi="宋体" w:eastAsia="宋体" w:cs="宋体"/>
                <w:color w:val="auto"/>
                <w:sz w:val="28"/>
                <w:szCs w:val="28"/>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43F00FA5">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58FD7CF">
            <w:pPr>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7</w:t>
            </w:r>
          </w:p>
        </w:tc>
        <w:tc>
          <w:tcPr>
            <w:tcW w:w="5534" w:type="dxa"/>
            <w:tcBorders>
              <w:top w:val="single" w:color="000000" w:sz="4" w:space="0"/>
              <w:left w:val="single" w:color="000000" w:sz="4" w:space="0"/>
              <w:bottom w:val="single" w:color="000000" w:sz="4" w:space="0"/>
              <w:right w:val="single" w:color="000000" w:sz="4" w:space="0"/>
            </w:tcBorders>
            <w:vAlign w:val="center"/>
          </w:tcPr>
          <w:p w14:paraId="10EF8F60">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年以上设备检修维护工作经验，不少于</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人持有中级钳工及以上技能，且全员熟练掌握汉语语言。作业人员中50%以上人员必须在石化或化工装置从业的经历</w:t>
            </w:r>
            <w:r>
              <w:rPr>
                <w:rFonts w:hint="eastAsia" w:ascii="宋体" w:hAnsi="宋体" w:eastAsia="宋体" w:cs="宋体"/>
                <w:color w:val="auto"/>
                <w:sz w:val="28"/>
                <w:szCs w:val="28"/>
                <w:highlight w:val="none"/>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E7EE1">
            <w:pPr>
              <w:jc w:val="center"/>
              <w:rPr>
                <w:rFonts w:hint="eastAsia" w:ascii="宋体" w:hAnsi="宋体" w:eastAsia="宋体" w:cs="宋体"/>
                <w:color w:val="auto"/>
                <w:kern w:val="0"/>
                <w:sz w:val="28"/>
                <w:szCs w:val="28"/>
                <w:highlight w:val="none"/>
                <w:lang w:bidi="ar"/>
              </w:rPr>
            </w:pPr>
          </w:p>
        </w:tc>
      </w:tr>
    </w:tbl>
    <w:p w14:paraId="347F4C9D">
      <w:pPr>
        <w:snapToGrid w:val="0"/>
        <w:spacing w:line="360" w:lineRule="auto"/>
        <w:jc w:val="left"/>
        <w:rPr>
          <w:rStyle w:val="20"/>
          <w:rFonts w:hint="eastAsia" w:ascii="宋体" w:hAnsi="宋体" w:eastAsia="宋体" w:cs="宋体"/>
          <w:b/>
          <w:color w:val="auto"/>
          <w:sz w:val="28"/>
          <w:szCs w:val="28"/>
          <w:highlight w:val="none"/>
        </w:rPr>
      </w:pPr>
    </w:p>
    <w:p w14:paraId="0DE62D8D">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lang w:val="en-US" w:eastAsia="zh-CN"/>
        </w:rPr>
      </w:pPr>
      <w:bookmarkStart w:id="16" w:name="_Toc28537"/>
      <w:r>
        <w:rPr>
          <w:rFonts w:hint="eastAsia" w:ascii="宋体" w:hAnsi="宋体" w:eastAsia="宋体" w:cs="宋体"/>
          <w:color w:val="auto"/>
          <w:sz w:val="28"/>
          <w:szCs w:val="28"/>
          <w:highlight w:val="none"/>
          <w:lang w:val="en-US" w:eastAsia="zh-CN"/>
        </w:rPr>
        <w:t>7 安全要求</w:t>
      </w:r>
      <w:bookmarkEnd w:id="16"/>
    </w:p>
    <w:p w14:paraId="2AE215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7.1入厂资料要求：</w:t>
      </w:r>
    </w:p>
    <w:p w14:paraId="49165F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 投标方应该建立归档资料如下：</w:t>
      </w:r>
    </w:p>
    <w:p w14:paraId="3064F48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7.1.2 投标方管理人员对作业人员的安全技术交底记录（全员覆盖，新入职人员及时进行安全技术交底，纸质版留档）。</w:t>
      </w:r>
    </w:p>
    <w:p w14:paraId="50DE2F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7.1.3 投标方组织员工培训学习公司相关制度、管理规定、事故案例的学习记录。（电子版备查，要求有清晰的照片能证明所学内容，有清晰的扫描签到表）</w:t>
      </w:r>
    </w:p>
    <w:p w14:paraId="164F4A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7.1.4 三级安全教育台账以及整套资料。</w:t>
      </w:r>
    </w:p>
    <w:p w14:paraId="03DBAA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7.1.5 项目主管单位对制度、管理规定、操作规程提供的确认表。（纸质版留档）</w:t>
      </w:r>
    </w:p>
    <w:p w14:paraId="77F9968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7.1.6 项目主管单位对投标方组织进行培训学习记录。（常年维保单位每月一次）。（电子版备查，要求有清晰的照片能证明所学内容，有清晰的扫描签到表）</w:t>
      </w:r>
    </w:p>
    <w:p w14:paraId="6671A47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7.1.7 安健环协议以及交叉协议。（纸质版留档）</w:t>
      </w:r>
    </w:p>
    <w:p w14:paraId="08901A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7.1.8 项目开工前条件确认表。（纸质版留档）</w:t>
      </w:r>
    </w:p>
    <w:p w14:paraId="6870CD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7.1.9 安全生产责任书（层层签订）（纸质版留档）</w:t>
      </w:r>
    </w:p>
    <w:p w14:paraId="603C28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7.1.10 合同以及附件。（纸质版留档）</w:t>
      </w:r>
    </w:p>
    <w:p w14:paraId="1C7DF8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7.1.11 企业资质、专业外包资质。（电子版备查）</w:t>
      </w:r>
    </w:p>
    <w:p w14:paraId="3AA8C8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7.1.12 管理人员授权书、任命书。（纸质版留档）</w:t>
      </w:r>
    </w:p>
    <w:p w14:paraId="575495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7.1.13 投标方全员安全生产责任制。（纸质版留档）</w:t>
      </w:r>
    </w:p>
    <w:p w14:paraId="62E18F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7.1.14 投标方应急预案。（纸质版留档）</w:t>
      </w:r>
    </w:p>
    <w:p w14:paraId="5A6C02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7.1.15 外包项目人员台账（及时更新）以及特种作业人员台账（电子版及时更新）。</w:t>
      </w:r>
    </w:p>
    <w:p w14:paraId="4F94FC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7.1.16 所有审核审批的方案存档。（纸质版留档）</w:t>
      </w:r>
    </w:p>
    <w:p w14:paraId="57AFC0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7.1.17 安全生产费用使用台账（电子版台账，必须提供相关佐证资料例如发票等）。</w:t>
      </w:r>
    </w:p>
    <w:p w14:paraId="4F9C75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7.1.18 外包项目所有人员的入厂健康体检、职业病体检报告（纸质版留档）,详细要求见附件22。</w:t>
      </w:r>
    </w:p>
    <w:p w14:paraId="4BBA7DF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7.2安全要求：</w:t>
      </w:r>
    </w:p>
    <w:p w14:paraId="2161CC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7.2.1 检修人员进行设备检修工作时，必须办理合格的工作票及各种特殊作业票。</w:t>
      </w:r>
    </w:p>
    <w:p w14:paraId="1B1C139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7.2.2 检修人员如需在脚手架上工作，必须系安全带方能上脚手架，并将安全带挂在固定牢固部件上，高挂低用。</w:t>
      </w:r>
    </w:p>
    <w:p w14:paraId="3B9983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7.2.3 设备所有零部件，应按要求摆放在指定的地点, 妥善保管。工作中轻起轻落,不准将设备或零部件直接放在地面上，在检修现场必须垫上橡胶垫，以防工具、零件等掉在地上。</w:t>
      </w:r>
    </w:p>
    <w:p w14:paraId="4044E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3371BE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7.2.5 现场工作人员应精神状态良好、无有碍工作的疾病，并不得酒后上班。</w:t>
      </w:r>
    </w:p>
    <w:p w14:paraId="1EE496C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7.2.6 进入生产场所的所有人员包括管理人员必须戴好安全帽，禁止在生产场所吸烟。</w:t>
      </w:r>
    </w:p>
    <w:p w14:paraId="1AA7489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7.2.7 动火作业按要求办理好动火作业工作票，注意火星的控制，以及动火操作的规范。</w:t>
      </w:r>
    </w:p>
    <w:p w14:paraId="287FE23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7.2.8 容器内作业注意通风，外部设专业监护，防止中毒窒息。</w:t>
      </w:r>
    </w:p>
    <w:p w14:paraId="1FA858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7.2.9 必须严格遵守安全监察部制定的八大特殊作业等安全管理制度要求。</w:t>
      </w:r>
    </w:p>
    <w:p w14:paraId="3161D8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 安全生产七大禁令</w:t>
      </w:r>
    </w:p>
    <w:p w14:paraId="2F6C98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20"/>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7.3.1 严禁在生产装置区内吸烟。</w:t>
      </w:r>
    </w:p>
    <w:p w14:paraId="2DAF0A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7.3.2 严禁高处作业不使用安全带。</w:t>
      </w:r>
    </w:p>
    <w:p w14:paraId="23D1E0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7.3.3 严禁违章指挥、强令他人违章冒险作业。</w:t>
      </w:r>
    </w:p>
    <w:p w14:paraId="13B42A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7.3.4 严禁未经许可进行受限空间作业、动火作业。</w:t>
      </w:r>
    </w:p>
    <w:p w14:paraId="7A81C4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7.3.5 严禁无证进行电气、架子、叉车、电气焊作业。</w:t>
      </w:r>
    </w:p>
    <w:p w14:paraId="0B2FF9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7.3.6 严禁未经审批或许可，取消或退出安全联锁。</w:t>
      </w:r>
    </w:p>
    <w:p w14:paraId="2C830C0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20"/>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7.3.7 严禁未经许可关闭、破坏直接关系生产安全的报警、防护、救生设备、设施，不得篡改、销毁其相关数据、信息。</w:t>
      </w:r>
    </w:p>
    <w:p w14:paraId="209FE9C6">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lang w:val="en-US" w:eastAsia="zh-CN"/>
        </w:rPr>
      </w:pPr>
      <w:bookmarkStart w:id="17" w:name="_Toc15722"/>
      <w:r>
        <w:rPr>
          <w:rFonts w:hint="eastAsia" w:ascii="宋体" w:hAnsi="宋体" w:eastAsia="宋体" w:cs="宋体"/>
          <w:color w:val="auto"/>
          <w:sz w:val="28"/>
          <w:szCs w:val="28"/>
          <w:highlight w:val="none"/>
          <w:lang w:val="en-US" w:eastAsia="zh-CN"/>
        </w:rPr>
        <w:t>8 双方职责</w:t>
      </w:r>
      <w:bookmarkEnd w:id="17"/>
    </w:p>
    <w:p w14:paraId="38ABCA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 招标方职责</w:t>
      </w:r>
    </w:p>
    <w:p w14:paraId="1E323A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8.1.1 对项目安全、质量及进度实施全过程管理，安全管理实行统一牵头、统一指挥、统一管理及考核，对存在的各类安全隐患及时督促整改。</w:t>
      </w:r>
    </w:p>
    <w:p w14:paraId="4F1AA1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8.1.2 对投标方提出的各种技术方案进行审核和批准。</w:t>
      </w:r>
    </w:p>
    <w:p w14:paraId="512542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8.1.3 负责</w:t>
      </w:r>
      <w:r>
        <w:rPr>
          <w:rFonts w:hint="eastAsia" w:ascii="宋体" w:hAnsi="宋体" w:eastAsia="宋体" w:cs="宋体"/>
          <w:color w:val="auto"/>
          <w:sz w:val="28"/>
          <w:szCs w:val="28"/>
          <w:highlight w:val="none"/>
        </w:rPr>
        <w:t>报废物资和退库物资手续办理，投标方运送至指定地点。</w:t>
      </w:r>
    </w:p>
    <w:p w14:paraId="39DAFD9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8.1.4 负责检修项目中涉及的光谱分析及焊缝探伤工作。</w:t>
      </w:r>
    </w:p>
    <w:p w14:paraId="50F0EA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8.1.5 负责检修项目涉及的水、电、脚手架搭设、保温的拆装、恢复等工作。</w:t>
      </w:r>
    </w:p>
    <w:p w14:paraId="09A797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8.1.6 根据招标方的相关事故调查规定，当发生不安全情况时,必要时组织投标方进行事故调查处理。</w:t>
      </w:r>
    </w:p>
    <w:p w14:paraId="63BDAC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8.1.7 向投标方提供有关设备资料及有关生产、管理需要的上级文件，并及时答复投标方提出的有关生产、管理中发生的问题。</w:t>
      </w:r>
    </w:p>
    <w:p w14:paraId="46F830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8.1.8 负责组织内部检修协调会议，并负责投标方与其它相关单位的工作协调。</w:t>
      </w:r>
    </w:p>
    <w:p w14:paraId="3BF6CB6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569042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8.1.10 按本承包合同规定，及时向投标方支付各种费用。</w:t>
      </w:r>
    </w:p>
    <w:p w14:paraId="66B51F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8.1.11 参加检修项目的验收工作。</w:t>
      </w:r>
    </w:p>
    <w:p w14:paraId="029164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8.1.12 检修所需的项目车辆由招标方统一负责协调。</w:t>
      </w:r>
    </w:p>
    <w:p w14:paraId="40F7AE59">
      <w:pPr>
        <w:snapToGrid w:val="0"/>
        <w:spacing w:line="360" w:lineRule="auto"/>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lang w:val="en-US" w:eastAsia="zh-CN"/>
        </w:rPr>
        <w:t>8</w:t>
      </w:r>
      <w:r>
        <w:rPr>
          <w:rStyle w:val="20"/>
          <w:rFonts w:hint="eastAsia" w:ascii="宋体" w:hAnsi="宋体" w:eastAsia="宋体" w:cs="宋体"/>
          <w:bCs/>
          <w:color w:val="auto"/>
          <w:sz w:val="28"/>
          <w:szCs w:val="28"/>
          <w:highlight w:val="none"/>
        </w:rPr>
        <w:t>.1.1</w:t>
      </w:r>
      <w:r>
        <w:rPr>
          <w:rStyle w:val="20"/>
          <w:rFonts w:hint="eastAsia" w:ascii="宋体" w:hAnsi="宋体" w:eastAsia="宋体" w:cs="宋体"/>
          <w:bCs/>
          <w:color w:val="auto"/>
          <w:sz w:val="28"/>
          <w:szCs w:val="28"/>
          <w:highlight w:val="none"/>
          <w:lang w:val="en-US" w:eastAsia="zh-CN"/>
        </w:rPr>
        <w:t xml:space="preserve">3 </w:t>
      </w:r>
      <w:r>
        <w:rPr>
          <w:rStyle w:val="20"/>
          <w:rFonts w:hint="eastAsia" w:ascii="宋体" w:hAnsi="宋体" w:eastAsia="宋体" w:cs="宋体"/>
          <w:bCs/>
          <w:color w:val="auto"/>
          <w:sz w:val="28"/>
          <w:szCs w:val="28"/>
          <w:highlight w:val="none"/>
        </w:rPr>
        <w:t>招标方有权收取提供给承包商生活使用的电费及食堂管理费。</w:t>
      </w:r>
    </w:p>
    <w:p w14:paraId="23B056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 投标方职责</w:t>
      </w:r>
    </w:p>
    <w:p w14:paraId="65965F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62BC736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8.2.2</w:t>
      </w:r>
      <w:r>
        <w:rPr>
          <w:rFonts w:hint="eastAsia" w:ascii="宋体" w:hAnsi="宋体" w:eastAsia="宋体" w:cs="宋体"/>
          <w:color w:val="auto"/>
          <w:sz w:val="28"/>
          <w:szCs w:val="28"/>
          <w:highlight w:val="none"/>
        </w:rPr>
        <w:t xml:space="preserve"> 本项目所需要的票证办理、施工准备由投标方负责。</w:t>
      </w:r>
    </w:p>
    <w:p w14:paraId="77DF46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8.2</w:t>
      </w:r>
      <w:r>
        <w:rPr>
          <w:rFonts w:hint="eastAsia" w:ascii="宋体" w:hAnsi="宋体" w:eastAsia="宋体" w:cs="宋体"/>
          <w:color w:val="auto"/>
          <w:sz w:val="28"/>
          <w:szCs w:val="28"/>
          <w:highlight w:val="none"/>
        </w:rPr>
        <w:t>.3 投标人必须在开工前十天将</w:t>
      </w:r>
      <w:r>
        <w:rPr>
          <w:rFonts w:hint="eastAsia" w:ascii="宋体" w:hAnsi="宋体" w:eastAsia="宋体" w:cs="宋体"/>
          <w:color w:val="auto"/>
          <w:sz w:val="28"/>
          <w:szCs w:val="28"/>
          <w:highlight w:val="none"/>
          <w:lang w:val="en-US" w:eastAsia="zh-CN"/>
        </w:rPr>
        <w:t>检修</w:t>
      </w:r>
      <w:r>
        <w:rPr>
          <w:rFonts w:hint="eastAsia" w:ascii="宋体" w:hAnsi="宋体" w:eastAsia="宋体" w:cs="宋体"/>
          <w:color w:val="auto"/>
          <w:sz w:val="28"/>
          <w:szCs w:val="28"/>
          <w:highlight w:val="none"/>
        </w:rPr>
        <w:t>用工器具、消耗性材料清单发给招标人审阅。且在开工前一周将</w:t>
      </w:r>
      <w:r>
        <w:rPr>
          <w:rFonts w:hint="eastAsia" w:ascii="宋体" w:hAnsi="宋体" w:eastAsia="宋体" w:cs="宋体"/>
          <w:color w:val="auto"/>
          <w:sz w:val="28"/>
          <w:szCs w:val="28"/>
          <w:highlight w:val="none"/>
          <w:lang w:val="en-US" w:eastAsia="zh-CN"/>
        </w:rPr>
        <w:t>检修</w:t>
      </w:r>
      <w:r>
        <w:rPr>
          <w:rFonts w:hint="eastAsia" w:ascii="宋体" w:hAnsi="宋体" w:eastAsia="宋体" w:cs="宋体"/>
          <w:color w:val="auto"/>
          <w:sz w:val="28"/>
          <w:szCs w:val="28"/>
          <w:highlight w:val="none"/>
        </w:rPr>
        <w:t>用工器具、消耗性材料运至招标人检修现场（由投标人自行保管）。</w:t>
      </w:r>
    </w:p>
    <w:p w14:paraId="21CD38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8.2</w:t>
      </w:r>
      <w:r>
        <w:rPr>
          <w:rFonts w:hint="eastAsia" w:ascii="宋体" w:hAnsi="宋体" w:eastAsia="宋体" w:cs="宋体"/>
          <w:color w:val="auto"/>
          <w:sz w:val="28"/>
          <w:szCs w:val="28"/>
          <w:highlight w:val="none"/>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64D0F6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8.2</w:t>
      </w:r>
      <w:r>
        <w:rPr>
          <w:rFonts w:hint="eastAsia" w:ascii="宋体" w:hAnsi="宋体" w:eastAsia="宋体" w:cs="宋体"/>
          <w:color w:val="auto"/>
          <w:sz w:val="28"/>
          <w:szCs w:val="28"/>
          <w:highlight w:val="none"/>
        </w:rPr>
        <w:t>.5 所有的耗材均需采购国内合格产品，凡是没有标签、生产日期的消耗性材料一律不得采用，杜绝伪劣产品使用在工作中。投标人提出新型材料的使用前必须报招标人批准后方可使用。</w:t>
      </w:r>
    </w:p>
    <w:p w14:paraId="6FB4BF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8.2</w:t>
      </w:r>
      <w:r>
        <w:rPr>
          <w:rFonts w:hint="eastAsia" w:ascii="宋体" w:hAnsi="宋体" w:eastAsia="宋体" w:cs="宋体"/>
          <w:color w:val="auto"/>
          <w:sz w:val="28"/>
          <w:szCs w:val="28"/>
          <w:highlight w:val="none"/>
        </w:rPr>
        <w:t>.6 投标方负责做好承包维护设备范围内的装置性设施（如平台、栏杆、现场专用检修平台等）的维护及保养等工作, 保持设备及生产场地的清洁卫生。</w:t>
      </w:r>
    </w:p>
    <w:p w14:paraId="19FF50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8.2.7 检修过程中产生的废料和垃圾的清理、转运由投标方负责（转运地点由招标方指定）。</w:t>
      </w:r>
    </w:p>
    <w:p w14:paraId="32CDBA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8.2.8 负责完成机务专业检修中和检修结束后需进行的各种试验和调试（含电气、仪控专业需机务配合完成的项目）。</w:t>
      </w:r>
    </w:p>
    <w:p w14:paraId="4704B7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8.2.9 投标方应尽其最大努力减少维护人员的流动和更换，同时招标方有权建议更换任何不合适的人员。投标方在招用员工时要审查核实是否与另外单位项目用工重合。</w:t>
      </w:r>
    </w:p>
    <w:p w14:paraId="0A411A0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8.2.10 投标人应根据项目内容、时间进度和招标方要求，配置足够人员。</w:t>
      </w:r>
    </w:p>
    <w:p w14:paraId="3A8EFA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8.2.11 投标人应及时将遇到的技术问题通知招标人，并积极处理和解决。</w:t>
      </w:r>
    </w:p>
    <w:p w14:paraId="61ECB8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8.2.12 投标人应制订堆焊施工方案、焊接工艺卡和项目进度表。</w:t>
      </w:r>
    </w:p>
    <w:p w14:paraId="44F9B0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8.2.13 项目服务工期内，以生产装置现场实际情况为指导，不仅要求按时按进度完成本职检修工作，同时应服从招标方协调指挥要求，主动配合完成现场其他施工作业工作。</w:t>
      </w:r>
    </w:p>
    <w:p w14:paraId="335AEF7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8.2.14 投标方做好设备主体部分进行解体检查和调整工作，必要时对达到规定磨损限度的零件加以更换。此外，还要对主要零部件的磨损情况进行测量、鉴定和记录。</w:t>
      </w:r>
    </w:p>
    <w:p w14:paraId="69468B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8.2.15 投标方检修所做的各项检修技术记录、检查试验（校验）报告、安装调试文件、设计说明、测绘图纸及相关计算书等必须齐全准确、符合招标方归档要求，并及时提供给招标方。</w:t>
      </w:r>
    </w:p>
    <w:p w14:paraId="012BEB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8.2.16 招标方对投标方项目部的日常考核，投标方接到招标方的通报后，投标方应在一个月内将考核执行情况反馈给招标方。</w:t>
      </w:r>
    </w:p>
    <w:p w14:paraId="2CA019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8.2.17 投标方所有人员薪金结算必须由第三方（银行）支付到员工。</w:t>
      </w:r>
    </w:p>
    <w:p w14:paraId="049504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8.2.18 安全生产费用专款专用，必须用于安全相关费用支出。</w:t>
      </w:r>
    </w:p>
    <w:p w14:paraId="49D009E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lang w:val="en-US" w:eastAsia="zh-CN"/>
        </w:rPr>
      </w:pPr>
      <w:bookmarkStart w:id="18" w:name="_Toc22276"/>
      <w:r>
        <w:rPr>
          <w:rFonts w:hint="eastAsia" w:ascii="宋体" w:hAnsi="宋体" w:eastAsia="宋体" w:cs="宋体"/>
          <w:color w:val="auto"/>
          <w:sz w:val="28"/>
          <w:szCs w:val="28"/>
          <w:highlight w:val="none"/>
          <w:lang w:val="en-US" w:eastAsia="zh-CN"/>
        </w:rPr>
        <w:t xml:space="preserve">9 </w:t>
      </w:r>
      <w:r>
        <w:rPr>
          <w:rFonts w:hint="eastAsia" w:hAnsi="宋体" w:eastAsia="宋体" w:cs="宋体"/>
          <w:color w:val="auto"/>
          <w:sz w:val="28"/>
          <w:szCs w:val="28"/>
          <w:highlight w:val="none"/>
        </w:rPr>
        <w:t>安健环及文明施工、危险源（环境因素）控制要求</w:t>
      </w:r>
      <w:bookmarkEnd w:id="18"/>
    </w:p>
    <w:p w14:paraId="76B6FF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9.1 贯彻“谁施工、谁负责安全”的管理原则。</w:t>
      </w:r>
    </w:p>
    <w:p w14:paraId="16C6B7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9.2 </w:t>
      </w:r>
      <w:r>
        <w:rPr>
          <w:rFonts w:hint="eastAsia" w:ascii="宋体" w:hAnsi="宋体" w:eastAsia="宋体" w:cs="宋体"/>
          <w:color w:val="auto"/>
          <w:sz w:val="28"/>
          <w:szCs w:val="28"/>
          <w:highlight w:val="none"/>
        </w:rPr>
        <w:t>所有作业人员必须经过安全培训方可上岗，作业时必须严格按照相关要求穿戴劳保用品；</w:t>
      </w:r>
    </w:p>
    <w:p w14:paraId="1AAFCE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9.3 </w:t>
      </w:r>
      <w:r>
        <w:rPr>
          <w:rFonts w:hint="eastAsia" w:ascii="宋体" w:hAnsi="宋体" w:eastAsia="宋体" w:cs="宋体"/>
          <w:color w:val="auto"/>
          <w:sz w:val="28"/>
          <w:szCs w:val="28"/>
          <w:highlight w:val="none"/>
        </w:rPr>
        <w:t>涉及到高风险作业时，必须由投标人及招标人双方共同监护的情况下方可作业；</w:t>
      </w:r>
    </w:p>
    <w:p w14:paraId="1A6A656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 xml:space="preserve">9.4 </w:t>
      </w:r>
      <w:r>
        <w:rPr>
          <w:rFonts w:hint="eastAsia" w:ascii="宋体" w:hAnsi="宋体" w:eastAsia="宋体" w:cs="宋体"/>
          <w:color w:val="auto"/>
          <w:sz w:val="28"/>
          <w:szCs w:val="28"/>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eastAsia="宋体" w:cs="宋体"/>
          <w:color w:val="auto"/>
          <w:sz w:val="28"/>
          <w:szCs w:val="28"/>
          <w:highlight w:val="none"/>
          <w:lang w:eastAsia="zh-CN"/>
        </w:rPr>
        <w:t>项目</w:t>
      </w:r>
      <w:r>
        <w:rPr>
          <w:rFonts w:hint="eastAsia" w:ascii="宋体" w:hAnsi="宋体" w:eastAsia="宋体" w:cs="宋体"/>
          <w:color w:val="auto"/>
          <w:sz w:val="28"/>
          <w:szCs w:val="28"/>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通行</w:t>
      </w:r>
      <w:r>
        <w:rPr>
          <w:rFonts w:hint="eastAsia" w:ascii="宋体" w:hAnsi="宋体" w:eastAsia="宋体" w:cs="宋体"/>
          <w:color w:val="auto"/>
          <w:sz w:val="28"/>
          <w:szCs w:val="28"/>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3622FF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9.5 </w:t>
      </w:r>
      <w:r>
        <w:rPr>
          <w:rFonts w:hint="eastAsia" w:ascii="宋体" w:hAnsi="宋体" w:eastAsia="宋体" w:cs="宋体"/>
          <w:color w:val="auto"/>
          <w:sz w:val="28"/>
          <w:szCs w:val="28"/>
          <w:highlight w:val="none"/>
        </w:rPr>
        <w:t>投标方</w:t>
      </w:r>
      <w:r>
        <w:rPr>
          <w:rFonts w:hint="eastAsia" w:ascii="宋体" w:hAnsi="宋体" w:eastAsia="宋体" w:cs="宋体"/>
          <w:color w:val="auto"/>
          <w:sz w:val="28"/>
          <w:szCs w:val="28"/>
          <w:highlight w:val="none"/>
          <w:lang w:eastAsia="zh-CN"/>
        </w:rPr>
        <w:t>项目负责人</w:t>
      </w:r>
      <w:r>
        <w:rPr>
          <w:rFonts w:hint="eastAsia" w:ascii="宋体" w:hAnsi="宋体" w:eastAsia="宋体" w:cs="宋体"/>
          <w:color w:val="auto"/>
          <w:sz w:val="28"/>
          <w:szCs w:val="28"/>
          <w:highlight w:val="none"/>
        </w:rPr>
        <w:t>是本</w:t>
      </w:r>
      <w:r>
        <w:rPr>
          <w:rFonts w:hint="eastAsia" w:ascii="宋体" w:hAnsi="宋体" w:eastAsia="宋体" w:cs="宋体"/>
          <w:color w:val="auto"/>
          <w:sz w:val="28"/>
          <w:szCs w:val="28"/>
          <w:highlight w:val="none"/>
          <w:lang w:val="en-US" w:eastAsia="zh-CN"/>
        </w:rPr>
        <w:t>项目</w:t>
      </w:r>
      <w:r>
        <w:rPr>
          <w:rFonts w:hint="eastAsia" w:ascii="宋体" w:hAnsi="宋体" w:eastAsia="宋体" w:cs="宋体"/>
          <w:color w:val="auto"/>
          <w:sz w:val="28"/>
          <w:szCs w:val="28"/>
          <w:highlight w:val="none"/>
        </w:rPr>
        <w:t>的安全工作的第一责任人，对本</w:t>
      </w:r>
      <w:r>
        <w:rPr>
          <w:rFonts w:hint="eastAsia" w:ascii="宋体" w:hAnsi="宋体" w:eastAsia="宋体" w:cs="宋体"/>
          <w:color w:val="auto"/>
          <w:sz w:val="28"/>
          <w:szCs w:val="28"/>
          <w:highlight w:val="none"/>
          <w:lang w:val="en-US" w:eastAsia="zh-CN"/>
        </w:rPr>
        <w:t>项目</w:t>
      </w:r>
      <w:r>
        <w:rPr>
          <w:rFonts w:hint="eastAsia" w:ascii="宋体" w:hAnsi="宋体" w:eastAsia="宋体" w:cs="宋体"/>
          <w:color w:val="auto"/>
          <w:sz w:val="28"/>
          <w:szCs w:val="28"/>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050A708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262FAF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0C89ED6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72A58A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9.9 </w:t>
      </w:r>
      <w:r>
        <w:rPr>
          <w:rFonts w:hint="eastAsia" w:ascii="宋体" w:hAnsi="宋体" w:eastAsia="宋体" w:cs="宋体"/>
          <w:color w:val="auto"/>
          <w:sz w:val="28"/>
          <w:szCs w:val="28"/>
          <w:highlight w:val="none"/>
        </w:rPr>
        <w:t>招标人已经将水、电源提供到检修区就近的地方，投标人必须按照国家有关规范、安全的要求自行连接到使用地点，并负责水、电线路及装置日常维护和管理。</w:t>
      </w:r>
    </w:p>
    <w:p w14:paraId="21AD945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9.10 </w:t>
      </w:r>
      <w:r>
        <w:rPr>
          <w:rFonts w:hint="eastAsia" w:ascii="宋体" w:hAnsi="宋体" w:eastAsia="宋体" w:cs="宋体"/>
          <w:color w:val="auto"/>
          <w:sz w:val="28"/>
          <w:szCs w:val="28"/>
          <w:highlight w:val="none"/>
        </w:rPr>
        <w:t>投标人必须按国家颁布的安全规范及要求进行施工。</w:t>
      </w:r>
    </w:p>
    <w:p w14:paraId="020473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9.11 </w:t>
      </w:r>
      <w:r>
        <w:rPr>
          <w:rFonts w:hint="eastAsia" w:ascii="宋体" w:hAnsi="宋体" w:eastAsia="宋体" w:cs="宋体"/>
          <w:color w:val="auto"/>
          <w:sz w:val="28"/>
          <w:szCs w:val="28"/>
          <w:highlight w:val="none"/>
        </w:rPr>
        <w:t>投标人在规定的施工场地内施工，不得随意占用厂内的主干道。施工的临时设施，各类加工场地及堆棚、用电、用水，要符合安全要求，要有管理制度。各类施工机具堆放整齐，要设有安全及文明安装的标牌。</w:t>
      </w:r>
    </w:p>
    <w:p w14:paraId="76E620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9.12 </w:t>
      </w:r>
      <w:r>
        <w:rPr>
          <w:rFonts w:hint="eastAsia" w:ascii="宋体" w:hAnsi="宋体" w:eastAsia="宋体" w:cs="宋体"/>
          <w:color w:val="auto"/>
          <w:sz w:val="28"/>
          <w:szCs w:val="28"/>
          <w:highlight w:val="none"/>
        </w:rPr>
        <w:t>保证安装现场清洁整齐，材料分类堆码整齐，施工剩余物资、边角余料、垃圾等均由投标人收集并运到招标人指定地点，并不得增加任何费用。</w:t>
      </w:r>
    </w:p>
    <w:p w14:paraId="6F39FDB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9.13 </w:t>
      </w:r>
      <w:r>
        <w:rPr>
          <w:rFonts w:hint="eastAsia" w:ascii="宋体" w:hAnsi="宋体" w:eastAsia="宋体" w:cs="宋体"/>
          <w:color w:val="auto"/>
          <w:sz w:val="28"/>
          <w:szCs w:val="28"/>
          <w:highlight w:val="none"/>
        </w:rPr>
        <w:t>投标人负责施工区域的安全、保卫工作及施工照明，采取有效措施确保施工安全，杜绝重大人身伤亡及设备事故。如因投标人安全措施不到位而发生责任事故，全部损失由投标人承担。</w:t>
      </w:r>
    </w:p>
    <w:p w14:paraId="7551C5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9.14 </w:t>
      </w:r>
      <w:r>
        <w:rPr>
          <w:rFonts w:hint="eastAsia" w:ascii="宋体" w:hAnsi="宋体" w:eastAsia="宋体" w:cs="宋体"/>
          <w:color w:val="auto"/>
          <w:sz w:val="28"/>
          <w:szCs w:val="28"/>
          <w:highlight w:val="none"/>
        </w:rPr>
        <w:t>投标人必须具备安装所需的各类规范、国家标准，各类有关的技术标准等技术资料，招标人认为有必要时，必须无条件提供。</w:t>
      </w:r>
    </w:p>
    <w:p w14:paraId="16A19D5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9.15 </w:t>
      </w:r>
      <w:r>
        <w:rPr>
          <w:rFonts w:hint="eastAsia" w:ascii="宋体" w:hAnsi="宋体" w:eastAsia="宋体" w:cs="宋体"/>
          <w:color w:val="auto"/>
          <w:sz w:val="28"/>
          <w:szCs w:val="28"/>
          <w:highlight w:val="none"/>
        </w:rPr>
        <w:t>投标人必须在合同意向确认后，立即组织有关施工人员进驻现场，向招标人提供开工报告、组织施工方案、安全承诺书、质量保证措施，及各项施工准备（机具和人员）。</w:t>
      </w:r>
    </w:p>
    <w:p w14:paraId="66DB56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9.16 项目</w:t>
      </w:r>
      <w:r>
        <w:rPr>
          <w:rFonts w:hint="eastAsia" w:ascii="宋体" w:hAnsi="宋体" w:eastAsia="宋体" w:cs="宋体"/>
          <w:color w:val="auto"/>
          <w:sz w:val="28"/>
          <w:szCs w:val="28"/>
          <w:highlight w:val="none"/>
        </w:rPr>
        <w:t>开工后，投标人要与招标人单位密切配合，为施工创造条件；施工交叉作业时，要服从招标人的统一协调安排。</w:t>
      </w:r>
    </w:p>
    <w:p w14:paraId="5844F62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9.17 </w:t>
      </w:r>
      <w:r>
        <w:rPr>
          <w:rFonts w:hint="eastAsia" w:ascii="宋体" w:hAnsi="宋体" w:eastAsia="宋体" w:cs="宋体"/>
          <w:color w:val="auto"/>
          <w:sz w:val="28"/>
          <w:szCs w:val="28"/>
          <w:highlight w:val="none"/>
        </w:rPr>
        <w:t>全体施工工作人员必须严格遵守施工</w:t>
      </w:r>
      <w:r>
        <w:rPr>
          <w:rFonts w:hint="eastAsia" w:ascii="宋体" w:hAnsi="宋体" w:eastAsia="宋体" w:cs="宋体"/>
          <w:color w:val="auto"/>
          <w:sz w:val="28"/>
          <w:szCs w:val="28"/>
          <w:highlight w:val="none"/>
          <w:lang w:eastAsia="zh-CN"/>
        </w:rPr>
        <w:t>项目</w:t>
      </w:r>
      <w:r>
        <w:rPr>
          <w:rFonts w:hint="eastAsia" w:ascii="宋体" w:hAnsi="宋体" w:eastAsia="宋体" w:cs="宋体"/>
          <w:color w:val="auto"/>
          <w:sz w:val="28"/>
          <w:szCs w:val="28"/>
          <w:highlight w:val="none"/>
        </w:rPr>
        <w:t>所在地的有关规定，由于违反规定而发生的一切后果由投标人自负。</w:t>
      </w:r>
    </w:p>
    <w:p w14:paraId="3D2A7E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9.18 </w:t>
      </w:r>
      <w:r>
        <w:rPr>
          <w:rFonts w:hint="eastAsia" w:ascii="宋体" w:hAnsi="宋体" w:eastAsia="宋体" w:cs="宋体"/>
          <w:color w:val="auto"/>
          <w:sz w:val="28"/>
          <w:szCs w:val="28"/>
          <w:highlight w:val="none"/>
        </w:rPr>
        <w:t>投标人在容器内施工应符合安全规范，并做好上下交叉作业的安全措施。</w:t>
      </w:r>
    </w:p>
    <w:p w14:paraId="098F861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en-US" w:eastAsia="zh-CN"/>
        </w:rPr>
        <w:t xml:space="preserve">9.19 </w:t>
      </w:r>
      <w:r>
        <w:rPr>
          <w:rFonts w:hint="eastAsia" w:ascii="宋体" w:hAnsi="宋体" w:eastAsia="宋体" w:cs="宋体"/>
          <w:color w:val="auto"/>
          <w:sz w:val="28"/>
          <w:szCs w:val="28"/>
          <w:highlight w:val="none"/>
          <w:lang w:val="zh-CN"/>
        </w:rPr>
        <w:t>由于招标方原因造成投标方人身或设备事故，投标方负责处理，招标方承担责任并配合处理。</w:t>
      </w:r>
    </w:p>
    <w:p w14:paraId="3AC88DA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9.20</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color w:val="auto"/>
          <w:sz w:val="28"/>
          <w:szCs w:val="28"/>
          <w:highlight w:val="none"/>
          <w:lang w:val="zh-CN" w:eastAsia="zh-CN"/>
        </w:rPr>
        <w:t>一次清理，并将其集中堆放在招标方同意的地点。</w:t>
      </w:r>
    </w:p>
    <w:p w14:paraId="5CF8136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lang w:val="en-US" w:eastAsia="zh-CN"/>
        </w:rPr>
      </w:pPr>
      <w:bookmarkStart w:id="19" w:name="_Toc6943"/>
      <w:bookmarkStart w:id="20" w:name="_Toc141011861"/>
      <w:r>
        <w:rPr>
          <w:rFonts w:hint="eastAsia" w:ascii="宋体" w:hAnsi="宋体" w:eastAsia="宋体" w:cs="宋体"/>
          <w:color w:val="auto"/>
          <w:sz w:val="28"/>
          <w:szCs w:val="28"/>
          <w:highlight w:val="none"/>
          <w:lang w:val="en-US" w:eastAsia="zh-CN"/>
        </w:rPr>
        <w:t>10 考核</w:t>
      </w:r>
      <w:bookmarkEnd w:id="19"/>
      <w:bookmarkEnd w:id="20"/>
    </w:p>
    <w:p w14:paraId="1689F9A1">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8"/>
          <w:szCs w:val="28"/>
          <w:highlight w:val="none"/>
          <w:lang w:val="en-US" w:eastAsia="zh-CN"/>
        </w:rPr>
      </w:pPr>
      <w:bookmarkStart w:id="21" w:name="_Toc141011862"/>
      <w:r>
        <w:rPr>
          <w:rFonts w:hint="eastAsia"/>
          <w:color w:val="auto"/>
          <w:sz w:val="28"/>
          <w:szCs w:val="28"/>
          <w:highlight w:val="none"/>
          <w:lang w:val="en-US" w:eastAsia="zh-CN"/>
        </w:rPr>
        <w:t>10.1 范 围</w:t>
      </w:r>
    </w:p>
    <w:p w14:paraId="239367C9">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本办法规定了对设备维保工程项目的管理考核、维修质量与可靠性、进度、文明生产等考核及奖励办法详见附件13：《考核标准及奖励标准》。</w:t>
      </w:r>
    </w:p>
    <w:p w14:paraId="2EC0ECA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lang w:val="en-US" w:eastAsia="zh-CN"/>
        </w:rPr>
      </w:pPr>
      <w:bookmarkStart w:id="22" w:name="_Toc2692"/>
      <w:r>
        <w:rPr>
          <w:rFonts w:hint="eastAsia" w:ascii="宋体" w:hAnsi="宋体" w:eastAsia="宋体" w:cs="宋体"/>
          <w:color w:val="auto"/>
          <w:sz w:val="28"/>
          <w:szCs w:val="28"/>
          <w:highlight w:val="none"/>
          <w:lang w:val="en-US" w:eastAsia="zh-CN"/>
        </w:rPr>
        <w:t>11 附则</w:t>
      </w:r>
      <w:bookmarkEnd w:id="22"/>
    </w:p>
    <w:p w14:paraId="4B18A851">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8"/>
          <w:szCs w:val="28"/>
          <w:highlight w:val="none"/>
          <w:lang w:val="en-US" w:eastAsia="zh-CN"/>
        </w:rPr>
      </w:pPr>
      <w:r>
        <w:rPr>
          <w:rFonts w:hint="eastAsia"/>
          <w:color w:val="auto"/>
          <w:sz w:val="28"/>
          <w:szCs w:val="28"/>
          <w:highlight w:val="none"/>
          <w:lang w:val="en-US" w:eastAsia="zh-CN"/>
        </w:rPr>
        <w:t>11.1 本办法是合同协议书的附件，作为合同的构成部分。附件中的维护质量与可靠性、维护作业安全考核项目中的相关工作，虽经（或未经）招标方管理人员的验收，均不能免除投标方的相关责任。</w:t>
      </w:r>
    </w:p>
    <w:p w14:paraId="6B883897">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8"/>
          <w:szCs w:val="28"/>
          <w:highlight w:val="none"/>
          <w:lang w:val="en-US" w:eastAsia="zh-CN"/>
        </w:rPr>
      </w:pPr>
      <w:r>
        <w:rPr>
          <w:rFonts w:hint="eastAsia"/>
          <w:color w:val="auto"/>
          <w:sz w:val="28"/>
          <w:szCs w:val="28"/>
          <w:highlight w:val="none"/>
          <w:lang w:val="en-US" w:eastAsia="zh-CN"/>
        </w:rPr>
        <w:t>13.2 投标方应在投标之前就本办法的内容进行研究并考虑相关风险，在招标澄清时提请解释或提出相关的协商意见。一旦投标，将被认为已熟悉了本办法并双方同意，在执行时有关条款的度量权为招标方。</w:t>
      </w:r>
    </w:p>
    <w:p w14:paraId="12AC49D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8"/>
          <w:szCs w:val="28"/>
          <w:highlight w:val="none"/>
          <w:lang w:val="en-US" w:eastAsia="zh-CN"/>
        </w:rPr>
      </w:pPr>
      <w:bookmarkStart w:id="23" w:name="_Toc32228"/>
      <w:r>
        <w:rPr>
          <w:rFonts w:hint="eastAsia" w:ascii="宋体" w:hAnsi="宋体" w:eastAsia="宋体" w:cs="宋体"/>
          <w:color w:val="auto"/>
          <w:sz w:val="28"/>
          <w:szCs w:val="28"/>
          <w:highlight w:val="none"/>
          <w:lang w:val="en-US" w:eastAsia="zh-CN"/>
        </w:rPr>
        <w:t>12 附录附表</w:t>
      </w:r>
      <w:bookmarkEnd w:id="21"/>
      <w:bookmarkEnd w:id="23"/>
    </w:p>
    <w:p w14:paraId="6F90669F">
      <w:pPr>
        <w:snapToGrid w:val="0"/>
        <w:spacing w:line="360" w:lineRule="auto"/>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附录A  差异表</w:t>
      </w:r>
    </w:p>
    <w:p w14:paraId="499FDB25">
      <w:pPr>
        <w:snapToGrid w:val="0"/>
        <w:spacing w:line="360" w:lineRule="auto"/>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附录B  主要技术、管理人员情况表</w:t>
      </w:r>
    </w:p>
    <w:p w14:paraId="1882F52F">
      <w:pPr>
        <w:snapToGrid w:val="0"/>
        <w:spacing w:line="360" w:lineRule="auto"/>
        <w:jc w:val="left"/>
        <w:rPr>
          <w:rStyle w:val="20"/>
          <w:rFonts w:hint="eastAsia" w:ascii="宋体" w:hAnsi="宋体" w:eastAsia="宋体" w:cs="宋体"/>
          <w:bCs/>
          <w:color w:val="auto"/>
          <w:sz w:val="28"/>
          <w:szCs w:val="28"/>
          <w:highlight w:val="none"/>
        </w:rPr>
        <w:sectPr>
          <w:endnotePr>
            <w:numFmt w:val="decimal"/>
          </w:endnotePr>
          <w:pgSz w:w="11906" w:h="16838"/>
          <w:pgMar w:top="1418" w:right="1134" w:bottom="1134" w:left="1418" w:header="851" w:footer="641" w:gutter="0"/>
          <w:cols w:space="720" w:num="1"/>
          <w:docGrid w:linePitch="312" w:charSpace="0"/>
        </w:sectPr>
      </w:pPr>
    </w:p>
    <w:p w14:paraId="6A21A436">
      <w:pPr>
        <w:snapToGrid w:val="0"/>
        <w:spacing w:line="360" w:lineRule="auto"/>
        <w:jc w:val="left"/>
        <w:rPr>
          <w:rStyle w:val="20"/>
          <w:rFonts w:hint="eastAsia" w:ascii="宋体" w:hAnsi="宋体" w:eastAsia="宋体" w:cs="宋体"/>
          <w:bCs/>
          <w:color w:val="auto"/>
          <w:sz w:val="28"/>
          <w:szCs w:val="28"/>
          <w:highlight w:val="none"/>
        </w:rPr>
      </w:pPr>
      <w:r>
        <w:rPr>
          <w:rStyle w:val="20"/>
          <w:rFonts w:hint="eastAsia" w:ascii="宋体" w:hAnsi="宋体" w:eastAsia="宋体" w:cs="宋体"/>
          <w:bCs/>
          <w:color w:val="auto"/>
          <w:sz w:val="28"/>
          <w:szCs w:val="28"/>
          <w:highlight w:val="none"/>
        </w:rPr>
        <w:t>附录A  差异表</w:t>
      </w:r>
    </w:p>
    <w:tbl>
      <w:tblPr>
        <w:tblStyle w:val="10"/>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46969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B02894D">
            <w:pPr>
              <w:rPr>
                <w:rFonts w:hint="eastAsia" w:ascii="宋体" w:hAnsi="宋体" w:eastAsia="宋体" w:cs="宋体"/>
                <w:color w:val="auto"/>
                <w:sz w:val="28"/>
                <w:szCs w:val="28"/>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17178C55">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0410B4F3">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投标技术文件</w:t>
            </w:r>
          </w:p>
        </w:tc>
      </w:tr>
      <w:tr w14:paraId="5560B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EABCBD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621ECB33">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AA6D3F7">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14346268">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5E6A5D2A">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简要内容</w:t>
            </w:r>
          </w:p>
        </w:tc>
      </w:tr>
      <w:tr w14:paraId="6FD97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84D128A">
            <w:pPr>
              <w:snapToGrid w:val="0"/>
              <w:spacing w:line="360" w:lineRule="auto"/>
              <w:jc w:val="left"/>
              <w:rPr>
                <w:rStyle w:val="20"/>
                <w:rFonts w:hint="eastAsia" w:ascii="宋体" w:hAnsi="宋体" w:eastAsia="宋体" w:cs="宋体"/>
                <w:color w:val="auto"/>
                <w:sz w:val="28"/>
                <w:szCs w:val="28"/>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0457E0F">
            <w:pPr>
              <w:snapToGrid w:val="0"/>
              <w:spacing w:line="360" w:lineRule="auto"/>
              <w:jc w:val="left"/>
              <w:rPr>
                <w:rStyle w:val="20"/>
                <w:rFonts w:hint="eastAsia" w:ascii="宋体" w:hAnsi="宋体" w:eastAsia="宋体" w:cs="宋体"/>
                <w:color w:val="auto"/>
                <w:sz w:val="28"/>
                <w:szCs w:val="28"/>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1E2F4532">
            <w:pPr>
              <w:snapToGrid w:val="0"/>
              <w:spacing w:line="360" w:lineRule="auto"/>
              <w:jc w:val="left"/>
              <w:rPr>
                <w:rStyle w:val="20"/>
                <w:rFonts w:hint="eastAsia" w:ascii="宋体" w:hAnsi="宋体" w:eastAsia="宋体" w:cs="宋体"/>
                <w:color w:val="auto"/>
                <w:sz w:val="28"/>
                <w:szCs w:val="28"/>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E7A3BD7">
            <w:pPr>
              <w:snapToGrid w:val="0"/>
              <w:spacing w:line="360" w:lineRule="auto"/>
              <w:jc w:val="left"/>
              <w:rPr>
                <w:rStyle w:val="20"/>
                <w:rFonts w:hint="eastAsia" w:ascii="宋体" w:hAnsi="宋体" w:eastAsia="宋体" w:cs="宋体"/>
                <w:color w:val="auto"/>
                <w:sz w:val="28"/>
                <w:szCs w:val="28"/>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9EB443C">
            <w:pPr>
              <w:snapToGrid w:val="0"/>
              <w:spacing w:line="360" w:lineRule="auto"/>
              <w:jc w:val="left"/>
              <w:rPr>
                <w:rStyle w:val="20"/>
                <w:rFonts w:hint="eastAsia" w:ascii="宋体" w:hAnsi="宋体" w:eastAsia="宋体" w:cs="宋体"/>
                <w:color w:val="auto"/>
                <w:sz w:val="28"/>
                <w:szCs w:val="28"/>
                <w:highlight w:val="none"/>
              </w:rPr>
            </w:pPr>
          </w:p>
        </w:tc>
      </w:tr>
      <w:tr w14:paraId="76BCA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5CE094F">
            <w:pPr>
              <w:snapToGrid w:val="0"/>
              <w:spacing w:line="360" w:lineRule="auto"/>
              <w:jc w:val="left"/>
              <w:rPr>
                <w:rStyle w:val="20"/>
                <w:rFonts w:hint="eastAsia" w:ascii="宋体" w:hAnsi="宋体" w:eastAsia="宋体" w:cs="宋体"/>
                <w:color w:val="auto"/>
                <w:sz w:val="28"/>
                <w:szCs w:val="28"/>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C7A7693">
            <w:pPr>
              <w:snapToGrid w:val="0"/>
              <w:spacing w:line="360" w:lineRule="auto"/>
              <w:jc w:val="left"/>
              <w:rPr>
                <w:rStyle w:val="20"/>
                <w:rFonts w:hint="eastAsia" w:ascii="宋体" w:hAnsi="宋体" w:eastAsia="宋体" w:cs="宋体"/>
                <w:color w:val="auto"/>
                <w:sz w:val="28"/>
                <w:szCs w:val="28"/>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6192560">
            <w:pPr>
              <w:snapToGrid w:val="0"/>
              <w:spacing w:line="360" w:lineRule="auto"/>
              <w:jc w:val="left"/>
              <w:rPr>
                <w:rStyle w:val="20"/>
                <w:rFonts w:hint="eastAsia" w:ascii="宋体" w:hAnsi="宋体" w:eastAsia="宋体" w:cs="宋体"/>
                <w:color w:val="auto"/>
                <w:sz w:val="28"/>
                <w:szCs w:val="28"/>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8B88D12">
            <w:pPr>
              <w:snapToGrid w:val="0"/>
              <w:spacing w:line="360" w:lineRule="auto"/>
              <w:jc w:val="left"/>
              <w:rPr>
                <w:rStyle w:val="20"/>
                <w:rFonts w:hint="eastAsia" w:ascii="宋体" w:hAnsi="宋体" w:eastAsia="宋体" w:cs="宋体"/>
                <w:color w:val="auto"/>
                <w:sz w:val="28"/>
                <w:szCs w:val="28"/>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4795DE3">
            <w:pPr>
              <w:snapToGrid w:val="0"/>
              <w:spacing w:line="360" w:lineRule="auto"/>
              <w:jc w:val="left"/>
              <w:rPr>
                <w:rStyle w:val="20"/>
                <w:rFonts w:hint="eastAsia" w:ascii="宋体" w:hAnsi="宋体" w:eastAsia="宋体" w:cs="宋体"/>
                <w:color w:val="auto"/>
                <w:sz w:val="28"/>
                <w:szCs w:val="28"/>
                <w:highlight w:val="none"/>
              </w:rPr>
            </w:pPr>
          </w:p>
        </w:tc>
      </w:tr>
      <w:tr w14:paraId="0D494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72999EA">
            <w:pPr>
              <w:snapToGrid w:val="0"/>
              <w:spacing w:line="360" w:lineRule="auto"/>
              <w:jc w:val="left"/>
              <w:rPr>
                <w:rStyle w:val="20"/>
                <w:rFonts w:hint="eastAsia" w:ascii="宋体" w:hAnsi="宋体" w:eastAsia="宋体" w:cs="宋体"/>
                <w:color w:val="auto"/>
                <w:sz w:val="28"/>
                <w:szCs w:val="28"/>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3CF50F8">
            <w:pPr>
              <w:snapToGrid w:val="0"/>
              <w:spacing w:line="360" w:lineRule="auto"/>
              <w:jc w:val="left"/>
              <w:rPr>
                <w:rStyle w:val="20"/>
                <w:rFonts w:hint="eastAsia" w:ascii="宋体" w:hAnsi="宋体" w:eastAsia="宋体" w:cs="宋体"/>
                <w:color w:val="auto"/>
                <w:sz w:val="28"/>
                <w:szCs w:val="28"/>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D138619">
            <w:pPr>
              <w:snapToGrid w:val="0"/>
              <w:spacing w:line="360" w:lineRule="auto"/>
              <w:jc w:val="left"/>
              <w:rPr>
                <w:rStyle w:val="20"/>
                <w:rFonts w:hint="eastAsia" w:ascii="宋体" w:hAnsi="宋体" w:eastAsia="宋体" w:cs="宋体"/>
                <w:color w:val="auto"/>
                <w:sz w:val="28"/>
                <w:szCs w:val="28"/>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0E67302B">
            <w:pPr>
              <w:snapToGrid w:val="0"/>
              <w:spacing w:line="360" w:lineRule="auto"/>
              <w:jc w:val="left"/>
              <w:rPr>
                <w:rStyle w:val="20"/>
                <w:rFonts w:hint="eastAsia" w:ascii="宋体" w:hAnsi="宋体" w:eastAsia="宋体" w:cs="宋体"/>
                <w:color w:val="auto"/>
                <w:sz w:val="28"/>
                <w:szCs w:val="28"/>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33E9719">
            <w:pPr>
              <w:snapToGrid w:val="0"/>
              <w:spacing w:line="360" w:lineRule="auto"/>
              <w:jc w:val="left"/>
              <w:rPr>
                <w:rStyle w:val="20"/>
                <w:rFonts w:hint="eastAsia" w:ascii="宋体" w:hAnsi="宋体" w:eastAsia="宋体" w:cs="宋体"/>
                <w:color w:val="auto"/>
                <w:sz w:val="28"/>
                <w:szCs w:val="28"/>
                <w:highlight w:val="none"/>
              </w:rPr>
            </w:pPr>
          </w:p>
        </w:tc>
      </w:tr>
      <w:tr w14:paraId="4E9FC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F00C8FD">
            <w:pPr>
              <w:snapToGrid w:val="0"/>
              <w:spacing w:line="360" w:lineRule="auto"/>
              <w:jc w:val="left"/>
              <w:rPr>
                <w:rStyle w:val="20"/>
                <w:rFonts w:hint="eastAsia" w:ascii="宋体" w:hAnsi="宋体" w:eastAsia="宋体" w:cs="宋体"/>
                <w:color w:val="auto"/>
                <w:sz w:val="28"/>
                <w:szCs w:val="28"/>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09428222">
            <w:pPr>
              <w:snapToGrid w:val="0"/>
              <w:spacing w:line="360" w:lineRule="auto"/>
              <w:jc w:val="left"/>
              <w:rPr>
                <w:rStyle w:val="20"/>
                <w:rFonts w:hint="eastAsia" w:ascii="宋体" w:hAnsi="宋体" w:eastAsia="宋体" w:cs="宋体"/>
                <w:color w:val="auto"/>
                <w:sz w:val="28"/>
                <w:szCs w:val="28"/>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BD09943">
            <w:pPr>
              <w:snapToGrid w:val="0"/>
              <w:spacing w:line="360" w:lineRule="auto"/>
              <w:jc w:val="left"/>
              <w:rPr>
                <w:rStyle w:val="20"/>
                <w:rFonts w:hint="eastAsia" w:ascii="宋体" w:hAnsi="宋体" w:eastAsia="宋体" w:cs="宋体"/>
                <w:caps/>
                <w:color w:val="auto"/>
                <w:sz w:val="28"/>
                <w:szCs w:val="28"/>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566CA70">
            <w:pPr>
              <w:snapToGrid w:val="0"/>
              <w:spacing w:line="360" w:lineRule="auto"/>
              <w:jc w:val="left"/>
              <w:rPr>
                <w:rStyle w:val="20"/>
                <w:rFonts w:hint="eastAsia" w:ascii="宋体" w:hAnsi="宋体" w:eastAsia="宋体" w:cs="宋体"/>
                <w:color w:val="auto"/>
                <w:sz w:val="28"/>
                <w:szCs w:val="28"/>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698C324">
            <w:pPr>
              <w:snapToGrid w:val="0"/>
              <w:spacing w:line="360" w:lineRule="auto"/>
              <w:jc w:val="left"/>
              <w:rPr>
                <w:rStyle w:val="20"/>
                <w:rFonts w:hint="eastAsia" w:ascii="宋体" w:hAnsi="宋体" w:eastAsia="宋体" w:cs="宋体"/>
                <w:color w:val="auto"/>
                <w:sz w:val="28"/>
                <w:szCs w:val="28"/>
                <w:highlight w:val="none"/>
              </w:rPr>
            </w:pPr>
          </w:p>
        </w:tc>
      </w:tr>
    </w:tbl>
    <w:p w14:paraId="0C889EED">
      <w:pPr>
        <w:snapToGrid w:val="0"/>
        <w:spacing w:line="360" w:lineRule="auto"/>
        <w:jc w:val="left"/>
        <w:rPr>
          <w:rStyle w:val="20"/>
          <w:rFonts w:hint="eastAsia" w:ascii="宋体" w:hAnsi="宋体" w:eastAsia="宋体" w:cs="宋体"/>
          <w:b/>
          <w:color w:val="auto"/>
          <w:sz w:val="28"/>
          <w:szCs w:val="28"/>
          <w:highlight w:val="none"/>
        </w:rPr>
      </w:pPr>
    </w:p>
    <w:p w14:paraId="4B7ED0A4">
      <w:pPr>
        <w:snapToGrid w:val="0"/>
        <w:spacing w:line="360" w:lineRule="auto"/>
        <w:jc w:val="left"/>
        <w:rPr>
          <w:rStyle w:val="20"/>
          <w:rFonts w:hint="eastAsia" w:ascii="宋体" w:hAnsi="宋体" w:eastAsia="宋体" w:cs="宋体"/>
          <w:b/>
          <w:color w:val="auto"/>
          <w:sz w:val="28"/>
          <w:szCs w:val="28"/>
          <w:highlight w:val="none"/>
        </w:rPr>
      </w:pPr>
    </w:p>
    <w:p w14:paraId="1E0F6BAD">
      <w:pPr>
        <w:pStyle w:val="22"/>
        <w:snapToGrid w:val="0"/>
        <w:spacing w:line="360" w:lineRule="auto"/>
        <w:ind w:firstLine="0"/>
        <w:jc w:val="left"/>
        <w:rPr>
          <w:rStyle w:val="20"/>
          <w:rFonts w:hint="eastAsia" w:ascii="宋体" w:hAnsi="宋体" w:eastAsia="宋体" w:cs="宋体"/>
          <w:b w:val="0"/>
          <w:color w:val="auto"/>
          <w:sz w:val="28"/>
          <w:szCs w:val="28"/>
          <w:highlight w:val="none"/>
        </w:rPr>
      </w:pPr>
      <w:r>
        <w:rPr>
          <w:rStyle w:val="20"/>
          <w:rFonts w:hint="eastAsia" w:ascii="宋体" w:hAnsi="宋体" w:eastAsia="宋体" w:cs="宋体"/>
          <w:b w:val="0"/>
          <w:color w:val="auto"/>
          <w:sz w:val="28"/>
          <w:szCs w:val="28"/>
          <w:highlight w:val="none"/>
        </w:rPr>
        <w:t>附录B  主要技术、管理人员情况表</w:t>
      </w:r>
    </w:p>
    <w:tbl>
      <w:tblPr>
        <w:tblStyle w:val="10"/>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103D2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6906A35E">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2BA4B0EF">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0B30F6E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4176418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28B0803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49C5E9EE">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17658DFE">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 业</w:t>
            </w:r>
          </w:p>
        </w:tc>
      </w:tr>
      <w:tr w14:paraId="569C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9050E6A">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21D696A4">
            <w:pPr>
              <w:rPr>
                <w:rFonts w:hint="eastAsia" w:ascii="宋体" w:hAnsi="宋体" w:eastAsia="宋体" w:cs="宋体"/>
                <w:color w:val="auto"/>
                <w:sz w:val="28"/>
                <w:szCs w:val="28"/>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475DF6E9">
            <w:pPr>
              <w:rPr>
                <w:rFonts w:hint="eastAsia" w:ascii="宋体" w:hAnsi="宋体" w:eastAsia="宋体" w:cs="宋体"/>
                <w:color w:val="auto"/>
                <w:sz w:val="28"/>
                <w:szCs w:val="28"/>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75FAE94B">
            <w:pPr>
              <w:rPr>
                <w:rFonts w:hint="eastAsia" w:ascii="宋体" w:hAnsi="宋体" w:eastAsia="宋体" w:cs="宋体"/>
                <w:color w:val="auto"/>
                <w:sz w:val="28"/>
                <w:szCs w:val="28"/>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4553FC28">
            <w:pPr>
              <w:rPr>
                <w:rFonts w:hint="eastAsia" w:ascii="宋体" w:hAnsi="宋体" w:eastAsia="宋体" w:cs="宋体"/>
                <w:color w:val="auto"/>
                <w:sz w:val="28"/>
                <w:szCs w:val="28"/>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63689C3C">
            <w:pPr>
              <w:rPr>
                <w:rFonts w:hint="eastAsia" w:ascii="宋体" w:hAnsi="宋体" w:eastAsia="宋体" w:cs="宋体"/>
                <w:color w:val="auto"/>
                <w:sz w:val="28"/>
                <w:szCs w:val="28"/>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70720EF3">
            <w:pPr>
              <w:rPr>
                <w:rFonts w:hint="eastAsia" w:ascii="宋体" w:hAnsi="宋体" w:eastAsia="宋体" w:cs="宋体"/>
                <w:color w:val="auto"/>
                <w:sz w:val="28"/>
                <w:szCs w:val="28"/>
                <w:highlight w:val="none"/>
              </w:rPr>
            </w:pPr>
          </w:p>
        </w:tc>
      </w:tr>
      <w:tr w14:paraId="1136C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7A9BEE35">
            <w:pPr>
              <w:jc w:val="center"/>
              <w:rPr>
                <w:rFonts w:hint="eastAsia" w:ascii="宋体" w:hAnsi="宋体" w:eastAsia="宋体" w:cs="宋体"/>
                <w:color w:val="auto"/>
                <w:sz w:val="28"/>
                <w:szCs w:val="28"/>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25B89DD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62A0E97C">
            <w:pPr>
              <w:rPr>
                <w:rFonts w:hint="eastAsia" w:ascii="宋体" w:hAnsi="宋体" w:eastAsia="宋体" w:cs="宋体"/>
                <w:color w:val="auto"/>
                <w:sz w:val="28"/>
                <w:szCs w:val="28"/>
                <w:highlight w:val="none"/>
              </w:rPr>
            </w:pPr>
          </w:p>
        </w:tc>
      </w:tr>
      <w:tr w14:paraId="7E3F7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F1D4A4B">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09D42A34">
            <w:pPr>
              <w:rPr>
                <w:rFonts w:hint="eastAsia" w:ascii="宋体" w:hAnsi="宋体" w:eastAsia="宋体" w:cs="宋体"/>
                <w:color w:val="auto"/>
                <w:sz w:val="28"/>
                <w:szCs w:val="28"/>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7930E07C">
            <w:pPr>
              <w:rPr>
                <w:rFonts w:hint="eastAsia" w:ascii="宋体" w:hAnsi="宋体" w:eastAsia="宋体" w:cs="宋体"/>
                <w:color w:val="auto"/>
                <w:sz w:val="28"/>
                <w:szCs w:val="28"/>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5E184D44">
            <w:pPr>
              <w:rPr>
                <w:rFonts w:hint="eastAsia" w:ascii="宋体" w:hAnsi="宋体" w:eastAsia="宋体" w:cs="宋体"/>
                <w:color w:val="auto"/>
                <w:sz w:val="28"/>
                <w:szCs w:val="28"/>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217B61FC">
            <w:pPr>
              <w:rPr>
                <w:rFonts w:hint="eastAsia" w:ascii="宋体" w:hAnsi="宋体" w:eastAsia="宋体" w:cs="宋体"/>
                <w:color w:val="auto"/>
                <w:sz w:val="28"/>
                <w:szCs w:val="28"/>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461A8053">
            <w:pPr>
              <w:rPr>
                <w:rFonts w:hint="eastAsia" w:ascii="宋体" w:hAnsi="宋体" w:eastAsia="宋体" w:cs="宋体"/>
                <w:color w:val="auto"/>
                <w:sz w:val="28"/>
                <w:szCs w:val="28"/>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54E7C1C6">
            <w:pPr>
              <w:rPr>
                <w:rFonts w:hint="eastAsia" w:ascii="宋体" w:hAnsi="宋体" w:eastAsia="宋体" w:cs="宋体"/>
                <w:color w:val="auto"/>
                <w:sz w:val="28"/>
                <w:szCs w:val="28"/>
                <w:highlight w:val="none"/>
              </w:rPr>
            </w:pPr>
          </w:p>
        </w:tc>
      </w:tr>
      <w:tr w14:paraId="3FB8F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4D8162EB">
            <w:pPr>
              <w:rPr>
                <w:rFonts w:hint="eastAsia" w:ascii="宋体" w:hAnsi="宋体" w:eastAsia="宋体" w:cs="宋体"/>
                <w:color w:val="auto"/>
                <w:sz w:val="28"/>
                <w:szCs w:val="28"/>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952C550">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47D59CE4">
            <w:pPr>
              <w:rPr>
                <w:rFonts w:hint="eastAsia" w:ascii="宋体" w:hAnsi="宋体" w:eastAsia="宋体" w:cs="宋体"/>
                <w:color w:val="auto"/>
                <w:sz w:val="28"/>
                <w:szCs w:val="28"/>
                <w:highlight w:val="none"/>
              </w:rPr>
            </w:pPr>
          </w:p>
        </w:tc>
      </w:tr>
    </w:tbl>
    <w:p w14:paraId="07160EB9">
      <w:pPr>
        <w:rPr>
          <w:rFonts w:ascii="宋体" w:hAnsi="宋体" w:eastAsia="宋体" w:cs="宋体"/>
          <w:color w:val="auto"/>
          <w:spacing w:val="-1"/>
          <w:sz w:val="28"/>
          <w:szCs w:val="28"/>
          <w:highlight w:val="none"/>
          <w14:textOutline w14:w="5105" w14:cap="sq" w14:cmpd="sng" w14:algn="ctr">
            <w14:solidFill>
              <w14:srgbClr w14:val="000000"/>
            </w14:solidFill>
            <w14:prstDash w14:val="solid"/>
            <w14:bevel/>
          </w14:textOutline>
        </w:rPr>
      </w:pPr>
    </w:p>
    <w:bookmarkEnd w:id="24"/>
    <w:sectPr>
      <w:headerReference r:id="rId3" w:type="default"/>
      <w:pgSz w:w="11906" w:h="16839"/>
      <w:pgMar w:top="1440" w:right="1080" w:bottom="1440" w:left="1080" w:header="0" w:footer="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A089B">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bordersDoNotSurroundHeader w:val="1"/>
  <w:bordersDoNotSurroundFooter w:val="1"/>
  <w:documentProtection w:enforcement="0"/>
  <w:defaultTabStop w:val="420"/>
  <w:characterSpacingControl w:val="doNotCompress"/>
  <w:endnotePr>
    <w:numFmt w:val="decimal"/>
  </w:endnotePr>
  <w:compat>
    <w:spaceForUL/>
    <w:ulTrailSpace/>
    <w:useFELayout/>
    <w:compatSetting w:name="compatibilityMode" w:uri="http://schemas.microsoft.com/office/word" w:val="14"/>
  </w:compat>
  <w:rsids>
    <w:rsidRoot w:val="004B5B80"/>
    <w:rsid w:val="00034C03"/>
    <w:rsid w:val="000676B0"/>
    <w:rsid w:val="00082D41"/>
    <w:rsid w:val="000A0B19"/>
    <w:rsid w:val="000A3F2F"/>
    <w:rsid w:val="00111668"/>
    <w:rsid w:val="00126401"/>
    <w:rsid w:val="00131329"/>
    <w:rsid w:val="00131ABF"/>
    <w:rsid w:val="00163D41"/>
    <w:rsid w:val="001879F0"/>
    <w:rsid w:val="00197856"/>
    <w:rsid w:val="001B34D0"/>
    <w:rsid w:val="0020385C"/>
    <w:rsid w:val="00207F8E"/>
    <w:rsid w:val="0021446D"/>
    <w:rsid w:val="00271F03"/>
    <w:rsid w:val="002778A9"/>
    <w:rsid w:val="0037628A"/>
    <w:rsid w:val="00387049"/>
    <w:rsid w:val="003A58A6"/>
    <w:rsid w:val="0041128E"/>
    <w:rsid w:val="00420E35"/>
    <w:rsid w:val="00426A8D"/>
    <w:rsid w:val="00482566"/>
    <w:rsid w:val="004830D3"/>
    <w:rsid w:val="004A26BF"/>
    <w:rsid w:val="004B140D"/>
    <w:rsid w:val="004B26B7"/>
    <w:rsid w:val="004B5B80"/>
    <w:rsid w:val="004C1994"/>
    <w:rsid w:val="004E1084"/>
    <w:rsid w:val="004F4C8D"/>
    <w:rsid w:val="00511CED"/>
    <w:rsid w:val="0053244B"/>
    <w:rsid w:val="00565A08"/>
    <w:rsid w:val="00580856"/>
    <w:rsid w:val="005959CB"/>
    <w:rsid w:val="005D4603"/>
    <w:rsid w:val="005E5ABE"/>
    <w:rsid w:val="005F7FA8"/>
    <w:rsid w:val="0061014C"/>
    <w:rsid w:val="00611218"/>
    <w:rsid w:val="00676D59"/>
    <w:rsid w:val="00693654"/>
    <w:rsid w:val="006B045B"/>
    <w:rsid w:val="006C58EE"/>
    <w:rsid w:val="006D504C"/>
    <w:rsid w:val="006F170B"/>
    <w:rsid w:val="006F2464"/>
    <w:rsid w:val="00712C68"/>
    <w:rsid w:val="0072469B"/>
    <w:rsid w:val="007C76ED"/>
    <w:rsid w:val="008000E4"/>
    <w:rsid w:val="0081026B"/>
    <w:rsid w:val="00825196"/>
    <w:rsid w:val="008A39DF"/>
    <w:rsid w:val="008D5C0B"/>
    <w:rsid w:val="008E5C6A"/>
    <w:rsid w:val="008E709B"/>
    <w:rsid w:val="008F74E6"/>
    <w:rsid w:val="009212C7"/>
    <w:rsid w:val="0093555F"/>
    <w:rsid w:val="00952D10"/>
    <w:rsid w:val="00960F6C"/>
    <w:rsid w:val="009701E8"/>
    <w:rsid w:val="00976810"/>
    <w:rsid w:val="009C6486"/>
    <w:rsid w:val="009D3CE5"/>
    <w:rsid w:val="009E2551"/>
    <w:rsid w:val="009E6676"/>
    <w:rsid w:val="009F1C7D"/>
    <w:rsid w:val="00A07390"/>
    <w:rsid w:val="00A1236B"/>
    <w:rsid w:val="00A16444"/>
    <w:rsid w:val="00A252F1"/>
    <w:rsid w:val="00A479DF"/>
    <w:rsid w:val="00A569C9"/>
    <w:rsid w:val="00A648D7"/>
    <w:rsid w:val="00A6633D"/>
    <w:rsid w:val="00A74BB7"/>
    <w:rsid w:val="00A80605"/>
    <w:rsid w:val="00AC1FAA"/>
    <w:rsid w:val="00AE5470"/>
    <w:rsid w:val="00B00267"/>
    <w:rsid w:val="00B3692C"/>
    <w:rsid w:val="00B5747A"/>
    <w:rsid w:val="00B77D57"/>
    <w:rsid w:val="00B9405F"/>
    <w:rsid w:val="00B94A89"/>
    <w:rsid w:val="00BB6592"/>
    <w:rsid w:val="00BD0E1A"/>
    <w:rsid w:val="00C26E9C"/>
    <w:rsid w:val="00C87BD3"/>
    <w:rsid w:val="00C9412E"/>
    <w:rsid w:val="00CC4CA8"/>
    <w:rsid w:val="00CD2B05"/>
    <w:rsid w:val="00CE5BE8"/>
    <w:rsid w:val="00D251F9"/>
    <w:rsid w:val="00D46515"/>
    <w:rsid w:val="00D75C62"/>
    <w:rsid w:val="00D77A23"/>
    <w:rsid w:val="00DF26D9"/>
    <w:rsid w:val="00E52476"/>
    <w:rsid w:val="00E644AA"/>
    <w:rsid w:val="00E70242"/>
    <w:rsid w:val="00EA0494"/>
    <w:rsid w:val="00EA127D"/>
    <w:rsid w:val="00EC5AC0"/>
    <w:rsid w:val="00EE308C"/>
    <w:rsid w:val="00EF6EC3"/>
    <w:rsid w:val="00F14341"/>
    <w:rsid w:val="00F2217B"/>
    <w:rsid w:val="00F2749C"/>
    <w:rsid w:val="00F648EF"/>
    <w:rsid w:val="00FA0474"/>
    <w:rsid w:val="00FD10F8"/>
    <w:rsid w:val="00FE375C"/>
    <w:rsid w:val="031676A0"/>
    <w:rsid w:val="07BE036B"/>
    <w:rsid w:val="0DAB0386"/>
    <w:rsid w:val="17B96958"/>
    <w:rsid w:val="17FB28F4"/>
    <w:rsid w:val="18394BEF"/>
    <w:rsid w:val="18D3430A"/>
    <w:rsid w:val="1CDE2A58"/>
    <w:rsid w:val="22007F90"/>
    <w:rsid w:val="26496B74"/>
    <w:rsid w:val="2CBB70BA"/>
    <w:rsid w:val="2F7F65C3"/>
    <w:rsid w:val="40503261"/>
    <w:rsid w:val="479A28A4"/>
    <w:rsid w:val="48367BDF"/>
    <w:rsid w:val="517D163D"/>
    <w:rsid w:val="54E81862"/>
    <w:rsid w:val="56657132"/>
    <w:rsid w:val="6A175BDB"/>
    <w:rsid w:val="6B3531BB"/>
    <w:rsid w:val="6CE12132"/>
    <w:rsid w:val="6D9D5488"/>
    <w:rsid w:val="6E9553F8"/>
    <w:rsid w:val="724F0D1A"/>
    <w:rsid w:val="730F18F3"/>
    <w:rsid w:val="74894208"/>
    <w:rsid w:val="762E7D1F"/>
    <w:rsid w:val="79E31C1F"/>
    <w:rsid w:val="7D947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2">
    <w:name w:val="heading 1"/>
    <w:basedOn w:val="1"/>
    <w:qFormat/>
    <w:uiPriority w:val="9"/>
    <w:pPr>
      <w:keepNext/>
      <w:keepLines/>
      <w:spacing w:line="360" w:lineRule="auto"/>
      <w:outlineLvl w:val="0"/>
    </w:pPr>
    <w:rPr>
      <w:rFonts w:ascii="宋体"/>
      <w:b/>
      <w:kern w:val="44"/>
      <w:sz w:val="44"/>
      <w:szCs w:val="20"/>
    </w:rPr>
  </w:style>
  <w:style w:type="paragraph" w:styleId="3">
    <w:name w:val="heading 2"/>
    <w:basedOn w:val="1"/>
    <w:next w:val="1"/>
    <w:link w:val="18"/>
    <w:semiHidden/>
    <w:unhideWhenUsed/>
    <w:qFormat/>
    <w:uiPriority w:val="0"/>
    <w:pPr>
      <w:keepNext/>
      <w:keepLines/>
      <w:widowControl w:val="0"/>
      <w:kinsoku/>
      <w:autoSpaceDE/>
      <w:autoSpaceDN/>
      <w:adjustRightInd/>
      <w:snapToGrid/>
      <w:spacing w:line="360" w:lineRule="auto"/>
      <w:textAlignment w:val="auto"/>
      <w:outlineLvl w:val="1"/>
    </w:pPr>
    <w:rPr>
      <w:rFonts w:ascii="黑体" w:eastAsia="黑体" w:cs="宋体"/>
      <w:bCs/>
      <w:snapToGrid/>
      <w:color w:val="auto"/>
      <w:kern w:val="2"/>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9"/>
    <w:unhideWhenUsed/>
    <w:qFormat/>
    <w:uiPriority w:val="0"/>
    <w:pPr>
      <w:widowControl w:val="0"/>
      <w:kinsoku/>
      <w:autoSpaceDE/>
      <w:autoSpaceDN/>
      <w:adjustRightInd/>
      <w:snapToGrid/>
      <w:jc w:val="both"/>
      <w:textAlignment w:val="auto"/>
    </w:pPr>
    <w:rPr>
      <w:rFonts w:ascii="宋体" w:hAnsi="Courier New" w:eastAsia="宋体" w:cs="Times New Roman"/>
      <w:snapToGrid/>
      <w:color w:val="auto"/>
      <w:kern w:val="2"/>
      <w:szCs w:val="20"/>
    </w:rPr>
  </w:style>
  <w:style w:type="paragraph" w:styleId="5">
    <w:name w:val="Balloon Text"/>
    <w:basedOn w:val="1"/>
    <w:link w:val="14"/>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8">
    <w:name w:val="toc 1"/>
    <w:basedOn w:val="1"/>
    <w:next w:val="1"/>
    <w:semiHidden/>
    <w:unhideWhenUsed/>
    <w:qFormat/>
    <w:uiPriority w:val="39"/>
  </w:style>
  <w:style w:type="paragraph" w:styleId="9">
    <w:name w:val="Body Text 2"/>
    <w:basedOn w:val="1"/>
    <w:link w:val="17"/>
    <w:unhideWhenUsed/>
    <w:qFormat/>
    <w:uiPriority w:val="99"/>
    <w:pPr>
      <w:widowControl w:val="0"/>
      <w:kinsoku/>
      <w:autoSpaceDE/>
      <w:autoSpaceDN/>
      <w:adjustRightInd/>
      <w:snapToGrid/>
      <w:spacing w:after="120" w:line="480" w:lineRule="auto"/>
      <w:jc w:val="both"/>
      <w:textAlignment w:val="auto"/>
    </w:pPr>
    <w:rPr>
      <w:rFonts w:ascii="Times New Roman" w:hAnsi="Times New Roman" w:eastAsia="宋体" w:cs="Times New Roman"/>
      <w:snapToGrid/>
      <w:color w:val="auto"/>
      <w:kern w:val="2"/>
      <w:szCs w:val="2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批注框文本 Char"/>
    <w:basedOn w:val="12"/>
    <w:link w:val="5"/>
    <w:semiHidden/>
    <w:qFormat/>
    <w:uiPriority w:val="99"/>
    <w:rPr>
      <w:sz w:val="18"/>
      <w:szCs w:val="18"/>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正文文本 2 Char"/>
    <w:basedOn w:val="12"/>
    <w:link w:val="9"/>
    <w:qFormat/>
    <w:uiPriority w:val="99"/>
    <w:rPr>
      <w:rFonts w:ascii="Times New Roman" w:hAnsi="Times New Roman" w:eastAsia="宋体" w:cs="Times New Roman"/>
      <w:snapToGrid/>
      <w:color w:val="auto"/>
      <w:kern w:val="2"/>
      <w:szCs w:val="22"/>
    </w:rPr>
  </w:style>
  <w:style w:type="character" w:customStyle="1" w:styleId="18">
    <w:name w:val="标题 2 Char"/>
    <w:basedOn w:val="12"/>
    <w:link w:val="3"/>
    <w:semiHidden/>
    <w:qFormat/>
    <w:uiPriority w:val="0"/>
    <w:rPr>
      <w:rFonts w:ascii="黑体" w:eastAsia="黑体" w:cs="宋体"/>
      <w:bCs/>
      <w:kern w:val="2"/>
      <w:sz w:val="24"/>
      <w:szCs w:val="32"/>
    </w:rPr>
  </w:style>
  <w:style w:type="character" w:customStyle="1" w:styleId="19">
    <w:name w:val="纯文本 Char"/>
    <w:basedOn w:val="12"/>
    <w:link w:val="4"/>
    <w:semiHidden/>
    <w:qFormat/>
    <w:uiPriority w:val="0"/>
    <w:rPr>
      <w:rFonts w:ascii="宋体" w:hAnsi="Courier New" w:eastAsia="宋体" w:cs="Times New Roman"/>
      <w:kern w:val="2"/>
      <w:sz w:val="21"/>
    </w:rPr>
  </w:style>
  <w:style w:type="character" w:customStyle="1" w:styleId="20">
    <w:name w:val="NormalCharacter"/>
    <w:semiHidden/>
    <w:qFormat/>
    <w:uiPriority w:val="0"/>
  </w:style>
  <w:style w:type="paragraph" w:customStyle="1" w:styleId="21">
    <w:name w:val="Heading3"/>
    <w:basedOn w:val="1"/>
    <w:next w:val="1"/>
    <w:qFormat/>
    <w:uiPriority w:val="0"/>
    <w:pPr>
      <w:keepNext/>
      <w:keepLines/>
      <w:widowControl/>
      <w:spacing w:before="260" w:after="260" w:line="416" w:lineRule="atLeast"/>
    </w:pPr>
    <w:rPr>
      <w:b/>
      <w:sz w:val="32"/>
    </w:rPr>
  </w:style>
  <w:style w:type="paragraph" w:customStyle="1" w:styleId="22">
    <w:name w:val="Heading8"/>
    <w:basedOn w:val="1"/>
    <w:next w:val="23"/>
    <w:qFormat/>
    <w:uiPriority w:val="0"/>
    <w:pPr>
      <w:keepNext/>
      <w:keepLines/>
      <w:widowControl/>
      <w:spacing w:before="240" w:after="64" w:line="319" w:lineRule="auto"/>
      <w:ind w:firstLine="400"/>
    </w:pPr>
    <w:rPr>
      <w:rFonts w:ascii="Arial" w:hAnsi="Arial" w:eastAsia="黑体"/>
      <w:b/>
      <w:szCs w:val="20"/>
    </w:rPr>
  </w:style>
  <w:style w:type="paragraph" w:customStyle="1" w:styleId="23">
    <w:name w:val="NormalIndent"/>
    <w:basedOn w:val="1"/>
    <w:qFormat/>
    <w:uiPriority w:val="0"/>
    <w:pPr>
      <w:widowControl/>
      <w:spacing w:line="360" w:lineRule="atLeast"/>
      <w:ind w:firstLine="420"/>
      <w:jc w:val="left"/>
    </w:pPr>
    <w:rPr>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364F8-5180-4346-9F5F-3A5378BCDA1B}">
  <ds:schemaRefs/>
</ds:datastoreItem>
</file>

<file path=docProps/app.xml><?xml version="1.0" encoding="utf-8"?>
<Properties xmlns="http://schemas.openxmlformats.org/officeDocument/2006/extended-properties" xmlns:vt="http://schemas.openxmlformats.org/officeDocument/2006/docPropsVTypes">
  <Template>Normal</Template>
  <Pages>23</Pages>
  <Words>10739</Words>
  <Characters>11873</Characters>
  <Lines>50</Lines>
  <Paragraphs>14</Paragraphs>
  <TotalTime>0</TotalTime>
  <ScaleCrop>false</ScaleCrop>
  <LinksUpToDate>false</LinksUpToDate>
  <CharactersWithSpaces>12127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2021-11-25T12:34:00Z</dcterms:created>
  <dc:creator>Administrator</dc:creator>
  <cp:lastModifiedBy>李鹏程</cp:lastModifiedBy>
  <cp:lastPrinted>2025-01-10T04:19:00Z</cp:lastPrinted>
  <dcterms:modified xsi:type="dcterms:W3CDTF">2026-04-08T07:21:27Z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wqlLaW5nc29mdCBQREYgdG8gV1BTIDc1</vt:lpwstr>
  </property>
  <property fmtid="{D5CDD505-2E9C-101B-9397-08002B2CF9AE}" pid="3" name="Created">
    <vt:filetime>2021-12-25T23:26:38Z</vt:filetime>
  </property>
  <property fmtid="{D5CDD505-2E9C-101B-9397-08002B2CF9AE}" pid="4" name="KSOProductBuildVer">
    <vt:lpwstr>2052-12.1.0.25225</vt:lpwstr>
  </property>
  <property fmtid="{D5CDD505-2E9C-101B-9397-08002B2CF9AE}" pid="5" name="ICV">
    <vt:lpwstr>CE98DD4179C140ABBCFB8807E3072AA5</vt:lpwstr>
  </property>
  <property fmtid="{D5CDD505-2E9C-101B-9397-08002B2CF9AE}" pid="6" name="KSOTemplateDocerSaveRecord">
    <vt:lpwstr>eyJoZGlkIjoiZGE2Mjg2YTZkZTMyMTYwY2M1OTQ5YzJlN2MyYmRjOGEiLCJ1c2VySWQiOiIxNTY5NDgyOTM2In0=</vt:lpwstr>
  </property>
</Properties>
</file>