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C1DB61">
      <w:pPr>
        <w:spacing w:line="440" w:lineRule="exact"/>
        <w:rPr>
          <w:rFonts w:ascii="宋体" w:hAnsi="宋体"/>
          <w:b/>
          <w:color w:val="auto"/>
          <w:sz w:val="32"/>
          <w:szCs w:val="32"/>
          <w:highlight w:val="none"/>
        </w:rPr>
      </w:pPr>
      <w:bookmarkStart w:id="18" w:name="_GoBack"/>
      <w:r>
        <w:rPr>
          <w:color w:val="auto"/>
          <w:highlight w:val="none"/>
        </w:rPr>
        <w:pict>
          <v:shape id="_x0000_s2050" o:spid="_x0000_s2050" o:spt="75" type="#_x0000_t75" style="position:absolute;left:0pt;margin-left:-20.75pt;margin-top:3.25pt;height:43.8pt;width:52.75pt;z-index:251659264;mso-width-relative:page;mso-height-relative:page;" filled="f" o:preferrelative="t" stroked="f" coordsize="21600,21600">
            <v:path/>
            <v:fill on="f" focussize="0,0"/>
            <v:stroke on="f" joinstyle="miter"/>
            <v:imagedata r:id="rId8" o:title=""/>
            <o:lock v:ext="edit" aspectratio="t"/>
          </v:shape>
        </w:pict>
      </w:r>
      <w:r>
        <w:rPr>
          <w:rFonts w:hint="eastAsia"/>
          <w:color w:val="auto"/>
          <w:highlight w:val="none"/>
          <w:lang w:val="en-US" w:eastAsia="zh-CN"/>
        </w:rPr>
        <w:t xml:space="preserve">      </w:t>
      </w:r>
      <w:r>
        <w:rPr>
          <w:rFonts w:hint="eastAsia" w:ascii="宋体" w:hAnsi="宋体"/>
          <w:b/>
          <w:color w:val="auto"/>
          <w:sz w:val="32"/>
          <w:szCs w:val="32"/>
          <w:highlight w:val="none"/>
        </w:rPr>
        <w:t>浙能伊犁新天煤化工有限责任公司</w:t>
      </w:r>
    </w:p>
    <w:p w14:paraId="146D39B4">
      <w:pPr>
        <w:tabs>
          <w:tab w:val="left" w:pos="4839"/>
        </w:tabs>
        <w:spacing w:line="1000" w:lineRule="exact"/>
        <w:jc w:val="left"/>
        <w:rPr>
          <w:color w:val="auto"/>
          <w:highlight w:val="none"/>
        </w:rPr>
      </w:pPr>
      <w:r>
        <w:rPr>
          <w:color w:val="auto"/>
          <w:highlight w:val="none"/>
        </w:rPr>
        <w:tab/>
      </w:r>
    </w:p>
    <w:p w14:paraId="1B364F25">
      <w:pPr>
        <w:spacing w:line="1000" w:lineRule="exact"/>
        <w:jc w:val="center"/>
        <w:rPr>
          <w:rFonts w:hint="eastAsia" w:ascii="宋体" w:hAnsi="宋体"/>
          <w:b/>
          <w:color w:val="auto"/>
          <w:sz w:val="44"/>
          <w:szCs w:val="44"/>
          <w:highlight w:val="none"/>
        </w:rPr>
      </w:pPr>
      <w:r>
        <w:rPr>
          <w:rFonts w:hint="eastAsia" w:ascii="宋体" w:hAnsi="宋体"/>
          <w:b/>
          <w:color w:val="auto"/>
          <w:sz w:val="44"/>
          <w:szCs w:val="44"/>
          <w:highlight w:val="none"/>
        </w:rPr>
        <w:t>煤气水装置125BF系列排污管线</w:t>
      </w:r>
    </w:p>
    <w:p w14:paraId="483B85D6">
      <w:pPr>
        <w:spacing w:line="1000" w:lineRule="exact"/>
        <w:jc w:val="center"/>
        <w:rPr>
          <w:rFonts w:ascii="宋体" w:hAnsi="宋体"/>
          <w:b/>
          <w:color w:val="auto"/>
          <w:sz w:val="44"/>
          <w:szCs w:val="44"/>
          <w:highlight w:val="none"/>
        </w:rPr>
      </w:pPr>
      <w:r>
        <w:rPr>
          <w:rFonts w:hint="eastAsia" w:ascii="宋体" w:hAnsi="宋体"/>
          <w:b/>
          <w:color w:val="auto"/>
          <w:sz w:val="44"/>
          <w:szCs w:val="44"/>
          <w:highlight w:val="none"/>
        </w:rPr>
        <w:t>更换服务</w:t>
      </w:r>
    </w:p>
    <w:p w14:paraId="49EC2779">
      <w:pPr>
        <w:spacing w:line="440" w:lineRule="exact"/>
        <w:ind w:firstLine="2168" w:firstLineChars="600"/>
        <w:rPr>
          <w:rFonts w:ascii="宋体" w:hAnsi="宋体"/>
          <w:b/>
          <w:bCs/>
          <w:color w:val="auto"/>
          <w:sz w:val="36"/>
          <w:szCs w:val="36"/>
          <w:highlight w:val="none"/>
        </w:rPr>
      </w:pPr>
    </w:p>
    <w:p w14:paraId="717C75E8">
      <w:pPr>
        <w:spacing w:line="440" w:lineRule="exact"/>
        <w:ind w:firstLine="2168" w:firstLineChars="600"/>
        <w:rPr>
          <w:rFonts w:ascii="宋体" w:hAnsi="宋体"/>
          <w:b/>
          <w:bCs/>
          <w:color w:val="auto"/>
          <w:sz w:val="36"/>
          <w:szCs w:val="36"/>
          <w:highlight w:val="none"/>
        </w:rPr>
      </w:pPr>
    </w:p>
    <w:p w14:paraId="05F27D64">
      <w:pPr>
        <w:rPr>
          <w:rFonts w:ascii="宋体" w:hAnsi="宋体"/>
          <w:b/>
          <w:bCs/>
          <w:color w:val="auto"/>
          <w:sz w:val="36"/>
          <w:szCs w:val="36"/>
          <w:highlight w:val="none"/>
        </w:rPr>
      </w:pPr>
    </w:p>
    <w:p w14:paraId="70449487">
      <w:pPr>
        <w:pStyle w:val="3"/>
        <w:rPr>
          <w:color w:val="auto"/>
          <w:highlight w:val="none"/>
        </w:rPr>
      </w:pPr>
    </w:p>
    <w:p w14:paraId="26EE8D64">
      <w:pPr>
        <w:keepNext w:val="0"/>
        <w:keepLines w:val="0"/>
        <w:pageBreakBefore w:val="0"/>
        <w:widowControl w:val="0"/>
        <w:kinsoku/>
        <w:wordWrap/>
        <w:overflowPunct/>
        <w:topLinePunct w:val="0"/>
        <w:autoSpaceDE/>
        <w:autoSpaceDN/>
        <w:bidi w:val="0"/>
        <w:adjustRightInd/>
        <w:snapToGrid/>
        <w:spacing w:line="500" w:lineRule="exact"/>
        <w:ind w:firstLine="2168" w:firstLineChars="600"/>
        <w:jc w:val="left"/>
        <w:textAlignment w:val="auto"/>
        <w:rPr>
          <w:rFonts w:hint="eastAsia" w:ascii="宋体" w:hAnsi="宋体"/>
          <w:b/>
          <w:bCs/>
          <w:color w:val="auto"/>
          <w:sz w:val="36"/>
          <w:szCs w:val="36"/>
          <w:highlight w:val="none"/>
        </w:rPr>
      </w:pPr>
      <w:r>
        <w:rPr>
          <w:rFonts w:hint="eastAsia" w:ascii="宋体" w:hAnsi="宋体"/>
          <w:b/>
          <w:bCs/>
          <w:color w:val="auto"/>
          <w:sz w:val="36"/>
          <w:szCs w:val="36"/>
          <w:highlight w:val="none"/>
        </w:rPr>
        <w:t>编制：</w:t>
      </w:r>
    </w:p>
    <w:p w14:paraId="490E0F97">
      <w:pPr>
        <w:keepNext w:val="0"/>
        <w:keepLines w:val="0"/>
        <w:pageBreakBefore w:val="0"/>
        <w:widowControl w:val="0"/>
        <w:kinsoku/>
        <w:wordWrap/>
        <w:overflowPunct/>
        <w:topLinePunct w:val="0"/>
        <w:autoSpaceDE/>
        <w:autoSpaceDN/>
        <w:bidi w:val="0"/>
        <w:adjustRightInd/>
        <w:snapToGrid/>
        <w:spacing w:line="500" w:lineRule="exact"/>
        <w:ind w:firstLine="2168" w:firstLineChars="600"/>
        <w:jc w:val="left"/>
        <w:textAlignment w:val="auto"/>
        <w:rPr>
          <w:rFonts w:hint="eastAsia" w:ascii="宋体" w:hAnsi="宋体"/>
          <w:b/>
          <w:bCs/>
          <w:color w:val="auto"/>
          <w:sz w:val="36"/>
          <w:szCs w:val="36"/>
          <w:highlight w:val="none"/>
        </w:rPr>
      </w:pPr>
    </w:p>
    <w:p w14:paraId="57BF32E6">
      <w:pPr>
        <w:keepNext w:val="0"/>
        <w:keepLines w:val="0"/>
        <w:pageBreakBefore w:val="0"/>
        <w:widowControl w:val="0"/>
        <w:kinsoku/>
        <w:wordWrap/>
        <w:overflowPunct/>
        <w:topLinePunct w:val="0"/>
        <w:autoSpaceDE/>
        <w:autoSpaceDN/>
        <w:bidi w:val="0"/>
        <w:adjustRightInd/>
        <w:snapToGrid/>
        <w:spacing w:line="500" w:lineRule="exact"/>
        <w:ind w:firstLine="2168" w:firstLineChars="600"/>
        <w:jc w:val="left"/>
        <w:textAlignment w:val="auto"/>
        <w:rPr>
          <w:rFonts w:hint="eastAsia" w:ascii="宋体" w:hAnsi="宋体"/>
          <w:b/>
          <w:bCs/>
          <w:color w:val="auto"/>
          <w:sz w:val="36"/>
          <w:szCs w:val="36"/>
          <w:highlight w:val="none"/>
        </w:rPr>
      </w:pPr>
      <w:r>
        <w:rPr>
          <w:rFonts w:hint="eastAsia" w:ascii="宋体" w:hAnsi="宋体"/>
          <w:b/>
          <w:bCs/>
          <w:color w:val="auto"/>
          <w:sz w:val="36"/>
          <w:szCs w:val="36"/>
          <w:highlight w:val="none"/>
        </w:rPr>
        <w:t xml:space="preserve">会签： </w:t>
      </w:r>
    </w:p>
    <w:p w14:paraId="70766394">
      <w:pPr>
        <w:keepNext w:val="0"/>
        <w:keepLines w:val="0"/>
        <w:pageBreakBefore w:val="0"/>
        <w:widowControl w:val="0"/>
        <w:kinsoku/>
        <w:wordWrap/>
        <w:overflowPunct/>
        <w:topLinePunct w:val="0"/>
        <w:autoSpaceDE/>
        <w:autoSpaceDN/>
        <w:bidi w:val="0"/>
        <w:adjustRightInd/>
        <w:snapToGrid/>
        <w:spacing w:line="500" w:lineRule="exact"/>
        <w:ind w:firstLine="2168" w:firstLineChars="600"/>
        <w:jc w:val="left"/>
        <w:textAlignment w:val="auto"/>
        <w:rPr>
          <w:rFonts w:hint="eastAsia" w:ascii="宋体" w:hAnsi="宋体"/>
          <w:b/>
          <w:bCs/>
          <w:color w:val="auto"/>
          <w:sz w:val="36"/>
          <w:szCs w:val="36"/>
          <w:highlight w:val="none"/>
        </w:rPr>
      </w:pPr>
    </w:p>
    <w:p w14:paraId="792226BE">
      <w:pPr>
        <w:keepNext w:val="0"/>
        <w:keepLines w:val="0"/>
        <w:pageBreakBefore w:val="0"/>
        <w:widowControl w:val="0"/>
        <w:kinsoku/>
        <w:wordWrap/>
        <w:overflowPunct/>
        <w:topLinePunct w:val="0"/>
        <w:autoSpaceDE/>
        <w:autoSpaceDN/>
        <w:bidi w:val="0"/>
        <w:adjustRightInd/>
        <w:snapToGrid/>
        <w:spacing w:line="500" w:lineRule="exact"/>
        <w:ind w:firstLine="2168" w:firstLineChars="600"/>
        <w:jc w:val="left"/>
        <w:textAlignment w:val="auto"/>
        <w:rPr>
          <w:rFonts w:hint="eastAsia" w:ascii="宋体" w:hAnsi="宋体"/>
          <w:b/>
          <w:bCs/>
          <w:color w:val="auto"/>
          <w:sz w:val="36"/>
          <w:szCs w:val="36"/>
          <w:highlight w:val="none"/>
        </w:rPr>
      </w:pPr>
      <w:r>
        <w:rPr>
          <w:rFonts w:hint="eastAsia" w:ascii="宋体" w:hAnsi="宋体"/>
          <w:b/>
          <w:bCs/>
          <w:color w:val="auto"/>
          <w:sz w:val="36"/>
          <w:szCs w:val="36"/>
          <w:highlight w:val="none"/>
        </w:rPr>
        <w:t>审核：</w:t>
      </w:r>
    </w:p>
    <w:p w14:paraId="2E37F414">
      <w:pPr>
        <w:keepNext w:val="0"/>
        <w:keepLines w:val="0"/>
        <w:pageBreakBefore w:val="0"/>
        <w:widowControl w:val="0"/>
        <w:kinsoku/>
        <w:wordWrap/>
        <w:overflowPunct/>
        <w:topLinePunct w:val="0"/>
        <w:autoSpaceDE/>
        <w:autoSpaceDN/>
        <w:bidi w:val="0"/>
        <w:adjustRightInd/>
        <w:snapToGrid/>
        <w:spacing w:line="500" w:lineRule="exact"/>
        <w:ind w:firstLine="2168" w:firstLineChars="600"/>
        <w:jc w:val="left"/>
        <w:textAlignment w:val="auto"/>
        <w:rPr>
          <w:rFonts w:hint="eastAsia" w:ascii="宋体" w:hAnsi="宋体"/>
          <w:b/>
          <w:bCs/>
          <w:color w:val="auto"/>
          <w:sz w:val="36"/>
          <w:szCs w:val="36"/>
          <w:highlight w:val="none"/>
        </w:rPr>
      </w:pPr>
    </w:p>
    <w:p w14:paraId="50213741">
      <w:pPr>
        <w:keepNext w:val="0"/>
        <w:keepLines w:val="0"/>
        <w:pageBreakBefore w:val="0"/>
        <w:widowControl w:val="0"/>
        <w:kinsoku/>
        <w:wordWrap/>
        <w:overflowPunct/>
        <w:topLinePunct w:val="0"/>
        <w:autoSpaceDE/>
        <w:autoSpaceDN/>
        <w:bidi w:val="0"/>
        <w:adjustRightInd/>
        <w:snapToGrid/>
        <w:spacing w:line="500" w:lineRule="exact"/>
        <w:ind w:firstLine="2168" w:firstLineChars="600"/>
        <w:jc w:val="left"/>
        <w:textAlignment w:val="auto"/>
        <w:rPr>
          <w:rFonts w:hint="eastAsia" w:ascii="宋体" w:hAnsi="宋体"/>
          <w:b/>
          <w:bCs/>
          <w:color w:val="auto"/>
          <w:sz w:val="36"/>
          <w:szCs w:val="36"/>
          <w:highlight w:val="none"/>
        </w:rPr>
      </w:pPr>
      <w:r>
        <w:rPr>
          <w:rFonts w:hint="eastAsia" w:ascii="宋体" w:hAnsi="宋体"/>
          <w:b/>
          <w:bCs/>
          <w:color w:val="auto"/>
          <w:sz w:val="36"/>
          <w:szCs w:val="36"/>
          <w:highlight w:val="none"/>
        </w:rPr>
        <w:t>审定：</w:t>
      </w:r>
    </w:p>
    <w:p w14:paraId="148DE216">
      <w:pPr>
        <w:keepNext w:val="0"/>
        <w:keepLines w:val="0"/>
        <w:pageBreakBefore w:val="0"/>
        <w:widowControl w:val="0"/>
        <w:kinsoku/>
        <w:wordWrap/>
        <w:overflowPunct/>
        <w:topLinePunct w:val="0"/>
        <w:autoSpaceDE/>
        <w:autoSpaceDN/>
        <w:bidi w:val="0"/>
        <w:adjustRightInd/>
        <w:snapToGrid/>
        <w:spacing w:line="500" w:lineRule="exact"/>
        <w:ind w:firstLine="2168" w:firstLineChars="600"/>
        <w:jc w:val="left"/>
        <w:textAlignment w:val="auto"/>
        <w:rPr>
          <w:rFonts w:hint="eastAsia" w:ascii="宋体" w:hAnsi="宋体"/>
          <w:b/>
          <w:bCs/>
          <w:color w:val="auto"/>
          <w:sz w:val="36"/>
          <w:szCs w:val="36"/>
          <w:highlight w:val="none"/>
        </w:rPr>
      </w:pPr>
    </w:p>
    <w:p w14:paraId="5818DCB3">
      <w:pPr>
        <w:keepNext w:val="0"/>
        <w:keepLines w:val="0"/>
        <w:pageBreakBefore w:val="0"/>
        <w:widowControl w:val="0"/>
        <w:kinsoku/>
        <w:wordWrap/>
        <w:overflowPunct/>
        <w:topLinePunct w:val="0"/>
        <w:autoSpaceDE/>
        <w:autoSpaceDN/>
        <w:bidi w:val="0"/>
        <w:adjustRightInd/>
        <w:snapToGrid/>
        <w:spacing w:line="500" w:lineRule="exact"/>
        <w:ind w:firstLine="2168" w:firstLineChars="600"/>
        <w:jc w:val="left"/>
        <w:textAlignment w:val="auto"/>
        <w:rPr>
          <w:rFonts w:ascii="宋体" w:hAnsi="宋体"/>
          <w:b/>
          <w:bCs/>
          <w:color w:val="auto"/>
          <w:sz w:val="36"/>
          <w:szCs w:val="36"/>
          <w:highlight w:val="none"/>
        </w:rPr>
      </w:pPr>
      <w:r>
        <w:rPr>
          <w:rFonts w:hint="eastAsia" w:ascii="宋体" w:hAnsi="宋体"/>
          <w:b/>
          <w:bCs/>
          <w:color w:val="auto"/>
          <w:sz w:val="36"/>
          <w:szCs w:val="36"/>
          <w:highlight w:val="none"/>
        </w:rPr>
        <w:t>批准：</w:t>
      </w:r>
    </w:p>
    <w:p w14:paraId="1FE68473">
      <w:pPr>
        <w:tabs>
          <w:tab w:val="left" w:pos="2479"/>
        </w:tabs>
        <w:spacing w:line="440" w:lineRule="exact"/>
        <w:rPr>
          <w:rFonts w:ascii="宋体" w:hAnsi="宋体"/>
          <w:color w:val="auto"/>
          <w:sz w:val="32"/>
          <w:szCs w:val="32"/>
          <w:highlight w:val="none"/>
        </w:rPr>
      </w:pPr>
    </w:p>
    <w:p w14:paraId="35D20138">
      <w:pPr>
        <w:pStyle w:val="3"/>
        <w:rPr>
          <w:rFonts w:ascii="宋体" w:hAnsi="宋体"/>
          <w:color w:val="auto"/>
          <w:sz w:val="32"/>
          <w:szCs w:val="32"/>
          <w:highlight w:val="none"/>
        </w:rPr>
      </w:pPr>
    </w:p>
    <w:p w14:paraId="55678DB6">
      <w:pPr>
        <w:rPr>
          <w:color w:val="auto"/>
          <w:highlight w:val="none"/>
        </w:rPr>
      </w:pPr>
    </w:p>
    <w:p w14:paraId="144AE93F">
      <w:pPr>
        <w:spacing w:line="1000" w:lineRule="exact"/>
        <w:jc w:val="center"/>
        <w:rPr>
          <w:rFonts w:ascii="宋体" w:hAnsi="宋体"/>
          <w:b/>
          <w:color w:val="auto"/>
          <w:sz w:val="32"/>
          <w:szCs w:val="32"/>
          <w:highlight w:val="none"/>
        </w:rPr>
      </w:pPr>
      <w:r>
        <w:rPr>
          <w:rFonts w:hint="eastAsia" w:ascii="宋体" w:hAnsi="宋体"/>
          <w:b/>
          <w:color w:val="auto"/>
          <w:sz w:val="32"/>
          <w:szCs w:val="32"/>
          <w:highlight w:val="none"/>
        </w:rPr>
        <w:t>伊犁新天煤化工有限责任公司</w:t>
      </w:r>
    </w:p>
    <w:p w14:paraId="3318C529">
      <w:pPr>
        <w:tabs>
          <w:tab w:val="left" w:pos="2479"/>
        </w:tabs>
        <w:spacing w:line="440" w:lineRule="exact"/>
        <w:jc w:val="center"/>
        <w:rPr>
          <w:rFonts w:ascii="宋体" w:hAnsi="宋体"/>
          <w:b/>
          <w:bCs/>
          <w:color w:val="auto"/>
          <w:sz w:val="32"/>
          <w:szCs w:val="32"/>
          <w:highlight w:val="none"/>
        </w:rPr>
      </w:pPr>
      <w:r>
        <w:rPr>
          <w:rFonts w:hint="eastAsia" w:ascii="宋体" w:hAnsi="宋体"/>
          <w:b/>
          <w:bCs/>
          <w:color w:val="auto"/>
          <w:sz w:val="32"/>
          <w:szCs w:val="32"/>
          <w:highlight w:val="none"/>
        </w:rPr>
        <w:t>202</w:t>
      </w:r>
      <w:r>
        <w:rPr>
          <w:rFonts w:hint="eastAsia" w:ascii="宋体" w:hAnsi="宋体"/>
          <w:b/>
          <w:bCs/>
          <w:color w:val="auto"/>
          <w:sz w:val="32"/>
          <w:szCs w:val="32"/>
          <w:highlight w:val="none"/>
          <w:lang w:val="en-US" w:eastAsia="zh-CN"/>
        </w:rPr>
        <w:t>6</w:t>
      </w:r>
      <w:r>
        <w:rPr>
          <w:rFonts w:hint="eastAsia" w:ascii="宋体" w:hAnsi="宋体"/>
          <w:b/>
          <w:bCs/>
          <w:color w:val="auto"/>
          <w:sz w:val="32"/>
          <w:szCs w:val="32"/>
          <w:highlight w:val="none"/>
        </w:rPr>
        <w:t>年</w:t>
      </w:r>
      <w:r>
        <w:rPr>
          <w:rFonts w:ascii="宋体" w:hAnsi="宋体"/>
          <w:b/>
          <w:bCs/>
          <w:color w:val="auto"/>
          <w:sz w:val="32"/>
          <w:szCs w:val="32"/>
          <w:highlight w:val="none"/>
        </w:rPr>
        <w:t>1</w:t>
      </w:r>
      <w:r>
        <w:rPr>
          <w:rFonts w:hint="eastAsia" w:ascii="宋体" w:hAnsi="宋体"/>
          <w:b/>
          <w:bCs/>
          <w:color w:val="auto"/>
          <w:sz w:val="32"/>
          <w:szCs w:val="32"/>
          <w:highlight w:val="none"/>
        </w:rPr>
        <w:t>月</w:t>
      </w:r>
    </w:p>
    <w:p w14:paraId="79172769">
      <w:pPr>
        <w:rPr>
          <w:color w:val="auto"/>
          <w:highlight w:val="none"/>
        </w:rPr>
      </w:pPr>
    </w:p>
    <w:p w14:paraId="492E89C7">
      <w:pPr>
        <w:rPr>
          <w:color w:val="auto"/>
          <w:highlight w:val="none"/>
        </w:rPr>
        <w:sectPr>
          <w:headerReference r:id="rId3" w:type="default"/>
          <w:footerReference r:id="rId4" w:type="default"/>
          <w:pgSz w:w="11907" w:h="16840"/>
          <w:pgMar w:top="1474" w:right="1474" w:bottom="1474" w:left="1814" w:header="851" w:footer="851" w:gutter="0"/>
          <w:cols w:space="720" w:num="1"/>
          <w:docGrid w:linePitch="326" w:charSpace="0"/>
        </w:sectPr>
      </w:pPr>
    </w:p>
    <w:p w14:paraId="189F51FE">
      <w:pPr>
        <w:rPr>
          <w:color w:val="auto"/>
          <w:highlight w:val="none"/>
        </w:rPr>
      </w:pPr>
    </w:p>
    <w:p w14:paraId="63BD8F95">
      <w:pPr>
        <w:tabs>
          <w:tab w:val="left" w:pos="3360"/>
          <w:tab w:val="left" w:pos="4320"/>
        </w:tabs>
        <w:spacing w:line="800" w:lineRule="exact"/>
        <w:jc w:val="center"/>
        <w:rPr>
          <w:rFonts w:ascii="宋体" w:hAnsi="宋体"/>
          <w:b/>
          <w:bCs/>
          <w:color w:val="auto"/>
          <w:sz w:val="32"/>
          <w:szCs w:val="32"/>
          <w:highlight w:val="none"/>
        </w:rPr>
      </w:pPr>
      <w:r>
        <w:rPr>
          <w:rFonts w:hint="eastAsia" w:ascii="宋体" w:hAnsi="宋体"/>
          <w:b/>
          <w:bCs/>
          <w:color w:val="auto"/>
          <w:sz w:val="32"/>
          <w:szCs w:val="32"/>
          <w:highlight w:val="none"/>
        </w:rPr>
        <w:t>目   录</w:t>
      </w:r>
    </w:p>
    <w:p w14:paraId="1D448A5F">
      <w:pPr>
        <w:tabs>
          <w:tab w:val="left" w:pos="3360"/>
          <w:tab w:val="left" w:pos="4320"/>
        </w:tabs>
        <w:spacing w:line="800" w:lineRule="exact"/>
        <w:jc w:val="center"/>
        <w:rPr>
          <w:rFonts w:ascii="宋体" w:hAnsi="宋体"/>
          <w:color w:val="auto"/>
          <w:sz w:val="28"/>
          <w:szCs w:val="28"/>
          <w:highlight w:val="none"/>
        </w:rPr>
      </w:pPr>
    </w:p>
    <w:p w14:paraId="5BD85CB5">
      <w:pPr>
        <w:pStyle w:val="23"/>
        <w:tabs>
          <w:tab w:val="right" w:leader="dot" w:pos="8609"/>
        </w:tabs>
        <w:spacing w:line="480" w:lineRule="auto"/>
        <w:rPr>
          <w:rFonts w:ascii="仿宋" w:hAnsi="仿宋" w:eastAsia="仿宋"/>
          <w:b/>
          <w:bCs/>
          <w:color w:val="auto"/>
          <w:szCs w:val="28"/>
          <w:highlight w:val="none"/>
        </w:rPr>
      </w:pPr>
      <w:r>
        <w:rPr>
          <w:rFonts w:ascii="宋体" w:hAnsi="宋体"/>
          <w:b/>
          <w:color w:val="auto"/>
          <w:kern w:val="0"/>
          <w:sz w:val="30"/>
          <w:szCs w:val="30"/>
          <w:highlight w:val="none"/>
        </w:rPr>
        <w:fldChar w:fldCharType="begin"/>
      </w:r>
      <w:r>
        <w:rPr>
          <w:rFonts w:ascii="宋体" w:hAnsi="宋体"/>
          <w:b/>
          <w:color w:val="auto"/>
          <w:highlight w:val="none"/>
        </w:rPr>
        <w:instrText xml:space="preserve"> TOC \o "1-3" \h \z \u </w:instrText>
      </w:r>
      <w:r>
        <w:rPr>
          <w:rFonts w:ascii="宋体" w:hAnsi="宋体"/>
          <w:b/>
          <w:color w:val="auto"/>
          <w:kern w:val="0"/>
          <w:sz w:val="30"/>
          <w:szCs w:val="30"/>
          <w:highlight w:val="none"/>
        </w:rPr>
        <w:fldChar w:fldCharType="separate"/>
      </w:r>
      <w:r>
        <w:rPr>
          <w:color w:val="auto"/>
          <w:highlight w:val="none"/>
        </w:rPr>
        <w:fldChar w:fldCharType="begin"/>
      </w:r>
      <w:r>
        <w:rPr>
          <w:color w:val="auto"/>
          <w:highlight w:val="none"/>
        </w:rPr>
        <w:instrText xml:space="preserve"> HYPERLINK \l "_Toc141011851" </w:instrText>
      </w:r>
      <w:r>
        <w:rPr>
          <w:color w:val="auto"/>
          <w:highlight w:val="none"/>
        </w:rPr>
        <w:fldChar w:fldCharType="separate"/>
      </w:r>
      <w:r>
        <w:rPr>
          <w:rStyle w:val="36"/>
          <w:rFonts w:ascii="仿宋" w:hAnsi="仿宋" w:eastAsia="仿宋"/>
          <w:b/>
          <w:bCs/>
          <w:color w:val="auto"/>
          <w:sz w:val="32"/>
          <w:szCs w:val="32"/>
          <w:highlight w:val="none"/>
        </w:rPr>
        <w:t>1 总则</w:t>
      </w:r>
      <w:r>
        <w:rPr>
          <w:rFonts w:ascii="仿宋" w:hAnsi="仿宋" w:eastAsia="仿宋"/>
          <w:b/>
          <w:bCs/>
          <w:color w:val="auto"/>
          <w:sz w:val="32"/>
          <w:szCs w:val="32"/>
          <w:highlight w:val="none"/>
        </w:rPr>
        <w:tab/>
      </w:r>
      <w:r>
        <w:rPr>
          <w:rFonts w:ascii="仿宋" w:hAnsi="仿宋" w:eastAsia="仿宋"/>
          <w:b/>
          <w:bCs/>
          <w:color w:val="auto"/>
          <w:sz w:val="32"/>
          <w:szCs w:val="32"/>
          <w:highlight w:val="none"/>
        </w:rPr>
        <w:fldChar w:fldCharType="begin"/>
      </w:r>
      <w:r>
        <w:rPr>
          <w:rFonts w:ascii="仿宋" w:hAnsi="仿宋" w:eastAsia="仿宋"/>
          <w:b/>
          <w:bCs/>
          <w:color w:val="auto"/>
          <w:sz w:val="32"/>
          <w:szCs w:val="32"/>
          <w:highlight w:val="none"/>
        </w:rPr>
        <w:instrText xml:space="preserve"> PAGEREF _Toc141011851 \h </w:instrText>
      </w:r>
      <w:r>
        <w:rPr>
          <w:rFonts w:ascii="仿宋" w:hAnsi="仿宋" w:eastAsia="仿宋"/>
          <w:b/>
          <w:bCs/>
          <w:color w:val="auto"/>
          <w:sz w:val="32"/>
          <w:szCs w:val="32"/>
          <w:highlight w:val="none"/>
        </w:rPr>
        <w:fldChar w:fldCharType="separate"/>
      </w:r>
      <w:r>
        <w:rPr>
          <w:rFonts w:ascii="仿宋" w:hAnsi="仿宋" w:eastAsia="仿宋"/>
          <w:b/>
          <w:bCs/>
          <w:color w:val="auto"/>
          <w:sz w:val="32"/>
          <w:szCs w:val="32"/>
          <w:highlight w:val="none"/>
        </w:rPr>
        <w:t>3</w:t>
      </w:r>
      <w:r>
        <w:rPr>
          <w:rFonts w:ascii="仿宋" w:hAnsi="仿宋" w:eastAsia="仿宋"/>
          <w:b/>
          <w:bCs/>
          <w:color w:val="auto"/>
          <w:sz w:val="32"/>
          <w:szCs w:val="32"/>
          <w:highlight w:val="none"/>
        </w:rPr>
        <w:fldChar w:fldCharType="end"/>
      </w:r>
      <w:r>
        <w:rPr>
          <w:rFonts w:ascii="仿宋" w:hAnsi="仿宋" w:eastAsia="仿宋"/>
          <w:b/>
          <w:bCs/>
          <w:color w:val="auto"/>
          <w:sz w:val="32"/>
          <w:szCs w:val="32"/>
          <w:highlight w:val="none"/>
        </w:rPr>
        <w:fldChar w:fldCharType="end"/>
      </w:r>
    </w:p>
    <w:p w14:paraId="0080D79B">
      <w:pPr>
        <w:pStyle w:val="23"/>
        <w:tabs>
          <w:tab w:val="right" w:leader="dot" w:pos="8609"/>
        </w:tabs>
        <w:spacing w:line="480" w:lineRule="auto"/>
        <w:rPr>
          <w:rFonts w:ascii="仿宋" w:hAnsi="仿宋" w:eastAsia="仿宋"/>
          <w:b/>
          <w:bCs/>
          <w:color w:val="auto"/>
          <w:szCs w:val="28"/>
          <w:highlight w:val="none"/>
        </w:rPr>
      </w:pPr>
      <w:r>
        <w:rPr>
          <w:color w:val="auto"/>
          <w:highlight w:val="none"/>
        </w:rPr>
        <w:fldChar w:fldCharType="begin"/>
      </w:r>
      <w:r>
        <w:rPr>
          <w:color w:val="auto"/>
          <w:highlight w:val="none"/>
        </w:rPr>
        <w:instrText xml:space="preserve"> HYPERLINK \l "_Toc141011852" </w:instrText>
      </w:r>
      <w:r>
        <w:rPr>
          <w:color w:val="auto"/>
          <w:highlight w:val="none"/>
        </w:rPr>
        <w:fldChar w:fldCharType="separate"/>
      </w:r>
      <w:r>
        <w:rPr>
          <w:rStyle w:val="36"/>
          <w:rFonts w:ascii="仿宋" w:hAnsi="仿宋" w:eastAsia="仿宋"/>
          <w:b/>
          <w:bCs/>
          <w:color w:val="auto"/>
          <w:sz w:val="32"/>
          <w:szCs w:val="32"/>
          <w:highlight w:val="none"/>
        </w:rPr>
        <w:t>2 项目概况</w:t>
      </w:r>
      <w:r>
        <w:rPr>
          <w:rFonts w:ascii="仿宋" w:hAnsi="仿宋" w:eastAsia="仿宋"/>
          <w:b/>
          <w:bCs/>
          <w:color w:val="auto"/>
          <w:sz w:val="32"/>
          <w:szCs w:val="32"/>
          <w:highlight w:val="none"/>
        </w:rPr>
        <w:tab/>
      </w:r>
      <w:r>
        <w:rPr>
          <w:rFonts w:ascii="仿宋" w:hAnsi="仿宋" w:eastAsia="仿宋"/>
          <w:b/>
          <w:bCs/>
          <w:color w:val="auto"/>
          <w:sz w:val="32"/>
          <w:szCs w:val="32"/>
          <w:highlight w:val="none"/>
        </w:rPr>
        <w:fldChar w:fldCharType="begin"/>
      </w:r>
      <w:r>
        <w:rPr>
          <w:rFonts w:ascii="仿宋" w:hAnsi="仿宋" w:eastAsia="仿宋"/>
          <w:b/>
          <w:bCs/>
          <w:color w:val="auto"/>
          <w:sz w:val="32"/>
          <w:szCs w:val="32"/>
          <w:highlight w:val="none"/>
        </w:rPr>
        <w:instrText xml:space="preserve"> PAGEREF _Toc141011852 \h </w:instrText>
      </w:r>
      <w:r>
        <w:rPr>
          <w:rFonts w:ascii="仿宋" w:hAnsi="仿宋" w:eastAsia="仿宋"/>
          <w:b/>
          <w:bCs/>
          <w:color w:val="auto"/>
          <w:sz w:val="32"/>
          <w:szCs w:val="32"/>
          <w:highlight w:val="none"/>
        </w:rPr>
        <w:fldChar w:fldCharType="separate"/>
      </w:r>
      <w:r>
        <w:rPr>
          <w:rFonts w:ascii="仿宋" w:hAnsi="仿宋" w:eastAsia="仿宋"/>
          <w:b/>
          <w:bCs/>
          <w:color w:val="auto"/>
          <w:sz w:val="32"/>
          <w:szCs w:val="32"/>
          <w:highlight w:val="none"/>
        </w:rPr>
        <w:t>3</w:t>
      </w:r>
      <w:r>
        <w:rPr>
          <w:rFonts w:ascii="仿宋" w:hAnsi="仿宋" w:eastAsia="仿宋"/>
          <w:b/>
          <w:bCs/>
          <w:color w:val="auto"/>
          <w:sz w:val="32"/>
          <w:szCs w:val="32"/>
          <w:highlight w:val="none"/>
        </w:rPr>
        <w:fldChar w:fldCharType="end"/>
      </w:r>
      <w:r>
        <w:rPr>
          <w:rFonts w:ascii="仿宋" w:hAnsi="仿宋" w:eastAsia="仿宋"/>
          <w:b/>
          <w:bCs/>
          <w:color w:val="auto"/>
          <w:sz w:val="32"/>
          <w:szCs w:val="32"/>
          <w:highlight w:val="none"/>
        </w:rPr>
        <w:fldChar w:fldCharType="end"/>
      </w:r>
    </w:p>
    <w:p w14:paraId="745B2FCE">
      <w:pPr>
        <w:pStyle w:val="23"/>
        <w:tabs>
          <w:tab w:val="right" w:leader="dot" w:pos="8609"/>
        </w:tabs>
        <w:spacing w:line="480" w:lineRule="auto"/>
        <w:rPr>
          <w:rFonts w:ascii="仿宋" w:hAnsi="仿宋" w:eastAsia="仿宋"/>
          <w:b/>
          <w:bCs/>
          <w:color w:val="auto"/>
          <w:szCs w:val="28"/>
          <w:highlight w:val="none"/>
        </w:rPr>
      </w:pPr>
      <w:r>
        <w:rPr>
          <w:color w:val="auto"/>
          <w:highlight w:val="none"/>
        </w:rPr>
        <w:fldChar w:fldCharType="begin"/>
      </w:r>
      <w:r>
        <w:rPr>
          <w:color w:val="auto"/>
          <w:highlight w:val="none"/>
        </w:rPr>
        <w:instrText xml:space="preserve"> HYPERLINK \l "_Toc141011853" </w:instrText>
      </w:r>
      <w:r>
        <w:rPr>
          <w:color w:val="auto"/>
          <w:highlight w:val="none"/>
        </w:rPr>
        <w:fldChar w:fldCharType="separate"/>
      </w:r>
      <w:r>
        <w:rPr>
          <w:rStyle w:val="36"/>
          <w:rFonts w:ascii="仿宋" w:hAnsi="仿宋" w:eastAsia="仿宋"/>
          <w:b/>
          <w:bCs/>
          <w:color w:val="auto"/>
          <w:sz w:val="32"/>
          <w:szCs w:val="32"/>
          <w:highlight w:val="none"/>
        </w:rPr>
        <w:t>3维保工作范围及界面划分</w:t>
      </w:r>
      <w:r>
        <w:rPr>
          <w:rFonts w:ascii="仿宋" w:hAnsi="仿宋" w:eastAsia="仿宋"/>
          <w:b/>
          <w:bCs/>
          <w:color w:val="auto"/>
          <w:sz w:val="32"/>
          <w:szCs w:val="32"/>
          <w:highlight w:val="none"/>
        </w:rPr>
        <w:tab/>
      </w:r>
      <w:r>
        <w:rPr>
          <w:rFonts w:ascii="仿宋" w:hAnsi="仿宋" w:eastAsia="仿宋"/>
          <w:b/>
          <w:bCs/>
          <w:color w:val="auto"/>
          <w:sz w:val="32"/>
          <w:szCs w:val="32"/>
          <w:highlight w:val="none"/>
        </w:rPr>
        <w:fldChar w:fldCharType="begin"/>
      </w:r>
      <w:r>
        <w:rPr>
          <w:rFonts w:ascii="仿宋" w:hAnsi="仿宋" w:eastAsia="仿宋"/>
          <w:b/>
          <w:bCs/>
          <w:color w:val="auto"/>
          <w:sz w:val="32"/>
          <w:szCs w:val="32"/>
          <w:highlight w:val="none"/>
        </w:rPr>
        <w:instrText xml:space="preserve"> PAGEREF _Toc141011853 \h </w:instrText>
      </w:r>
      <w:r>
        <w:rPr>
          <w:rFonts w:ascii="仿宋" w:hAnsi="仿宋" w:eastAsia="仿宋"/>
          <w:b/>
          <w:bCs/>
          <w:color w:val="auto"/>
          <w:sz w:val="32"/>
          <w:szCs w:val="32"/>
          <w:highlight w:val="none"/>
        </w:rPr>
        <w:fldChar w:fldCharType="separate"/>
      </w:r>
      <w:r>
        <w:rPr>
          <w:rFonts w:ascii="仿宋" w:hAnsi="仿宋" w:eastAsia="仿宋"/>
          <w:b/>
          <w:bCs/>
          <w:color w:val="auto"/>
          <w:sz w:val="32"/>
          <w:szCs w:val="32"/>
          <w:highlight w:val="none"/>
        </w:rPr>
        <w:t>4</w:t>
      </w:r>
      <w:r>
        <w:rPr>
          <w:rFonts w:ascii="仿宋" w:hAnsi="仿宋" w:eastAsia="仿宋"/>
          <w:b/>
          <w:bCs/>
          <w:color w:val="auto"/>
          <w:sz w:val="32"/>
          <w:szCs w:val="32"/>
          <w:highlight w:val="none"/>
        </w:rPr>
        <w:fldChar w:fldCharType="end"/>
      </w:r>
      <w:r>
        <w:rPr>
          <w:rFonts w:ascii="仿宋" w:hAnsi="仿宋" w:eastAsia="仿宋"/>
          <w:b/>
          <w:bCs/>
          <w:color w:val="auto"/>
          <w:sz w:val="32"/>
          <w:szCs w:val="32"/>
          <w:highlight w:val="none"/>
        </w:rPr>
        <w:fldChar w:fldCharType="end"/>
      </w:r>
    </w:p>
    <w:p w14:paraId="7A26538E">
      <w:pPr>
        <w:pStyle w:val="23"/>
        <w:tabs>
          <w:tab w:val="right" w:leader="dot" w:pos="8609"/>
        </w:tabs>
        <w:spacing w:line="480" w:lineRule="auto"/>
        <w:rPr>
          <w:rFonts w:ascii="仿宋" w:hAnsi="仿宋" w:eastAsia="仿宋"/>
          <w:b/>
          <w:bCs/>
          <w:color w:val="auto"/>
          <w:szCs w:val="28"/>
          <w:highlight w:val="none"/>
        </w:rPr>
      </w:pPr>
      <w:r>
        <w:rPr>
          <w:color w:val="auto"/>
          <w:highlight w:val="none"/>
        </w:rPr>
        <w:fldChar w:fldCharType="begin"/>
      </w:r>
      <w:r>
        <w:rPr>
          <w:color w:val="auto"/>
          <w:highlight w:val="none"/>
        </w:rPr>
        <w:instrText xml:space="preserve"> HYPERLINK \l "_Toc141011854" </w:instrText>
      </w:r>
      <w:r>
        <w:rPr>
          <w:color w:val="auto"/>
          <w:highlight w:val="none"/>
        </w:rPr>
        <w:fldChar w:fldCharType="separate"/>
      </w:r>
      <w:r>
        <w:rPr>
          <w:rStyle w:val="36"/>
          <w:rFonts w:ascii="仿宋" w:hAnsi="仿宋" w:eastAsia="仿宋" w:cs="黑体"/>
          <w:b/>
          <w:bCs/>
          <w:color w:val="auto"/>
          <w:sz w:val="32"/>
          <w:szCs w:val="32"/>
          <w:highlight w:val="none"/>
        </w:rPr>
        <w:t>4 维保范围与要求</w:t>
      </w:r>
      <w:r>
        <w:rPr>
          <w:rFonts w:ascii="仿宋" w:hAnsi="仿宋" w:eastAsia="仿宋"/>
          <w:b/>
          <w:bCs/>
          <w:color w:val="auto"/>
          <w:sz w:val="32"/>
          <w:szCs w:val="32"/>
          <w:highlight w:val="none"/>
        </w:rPr>
        <w:tab/>
      </w:r>
      <w:r>
        <w:rPr>
          <w:rFonts w:ascii="仿宋" w:hAnsi="仿宋" w:eastAsia="仿宋"/>
          <w:b/>
          <w:bCs/>
          <w:color w:val="auto"/>
          <w:sz w:val="32"/>
          <w:szCs w:val="32"/>
          <w:highlight w:val="none"/>
        </w:rPr>
        <w:fldChar w:fldCharType="begin"/>
      </w:r>
      <w:r>
        <w:rPr>
          <w:rFonts w:ascii="仿宋" w:hAnsi="仿宋" w:eastAsia="仿宋"/>
          <w:b/>
          <w:bCs/>
          <w:color w:val="auto"/>
          <w:sz w:val="32"/>
          <w:szCs w:val="32"/>
          <w:highlight w:val="none"/>
        </w:rPr>
        <w:instrText xml:space="preserve"> PAGEREF _Toc141011854 \h </w:instrText>
      </w:r>
      <w:r>
        <w:rPr>
          <w:rFonts w:ascii="仿宋" w:hAnsi="仿宋" w:eastAsia="仿宋"/>
          <w:b/>
          <w:bCs/>
          <w:color w:val="auto"/>
          <w:sz w:val="32"/>
          <w:szCs w:val="32"/>
          <w:highlight w:val="none"/>
        </w:rPr>
        <w:fldChar w:fldCharType="separate"/>
      </w:r>
      <w:r>
        <w:rPr>
          <w:rFonts w:ascii="仿宋" w:hAnsi="仿宋" w:eastAsia="仿宋"/>
          <w:b/>
          <w:bCs/>
          <w:color w:val="auto"/>
          <w:sz w:val="32"/>
          <w:szCs w:val="32"/>
          <w:highlight w:val="none"/>
        </w:rPr>
        <w:t>7</w:t>
      </w:r>
      <w:r>
        <w:rPr>
          <w:rFonts w:ascii="仿宋" w:hAnsi="仿宋" w:eastAsia="仿宋"/>
          <w:b/>
          <w:bCs/>
          <w:color w:val="auto"/>
          <w:sz w:val="32"/>
          <w:szCs w:val="32"/>
          <w:highlight w:val="none"/>
        </w:rPr>
        <w:fldChar w:fldCharType="end"/>
      </w:r>
      <w:r>
        <w:rPr>
          <w:rFonts w:ascii="仿宋" w:hAnsi="仿宋" w:eastAsia="仿宋"/>
          <w:b/>
          <w:bCs/>
          <w:color w:val="auto"/>
          <w:sz w:val="32"/>
          <w:szCs w:val="32"/>
          <w:highlight w:val="none"/>
        </w:rPr>
        <w:fldChar w:fldCharType="end"/>
      </w:r>
    </w:p>
    <w:p w14:paraId="48A8FAC1">
      <w:pPr>
        <w:pStyle w:val="23"/>
        <w:tabs>
          <w:tab w:val="right" w:leader="dot" w:pos="8609"/>
        </w:tabs>
        <w:spacing w:line="480" w:lineRule="auto"/>
        <w:rPr>
          <w:rFonts w:ascii="仿宋" w:hAnsi="仿宋" w:eastAsia="仿宋"/>
          <w:b/>
          <w:bCs/>
          <w:color w:val="auto"/>
          <w:szCs w:val="28"/>
          <w:highlight w:val="none"/>
        </w:rPr>
      </w:pPr>
      <w:r>
        <w:rPr>
          <w:color w:val="auto"/>
          <w:highlight w:val="none"/>
        </w:rPr>
        <w:fldChar w:fldCharType="begin"/>
      </w:r>
      <w:r>
        <w:rPr>
          <w:color w:val="auto"/>
          <w:highlight w:val="none"/>
        </w:rPr>
        <w:instrText xml:space="preserve"> HYPERLINK \l "_Toc141011855" </w:instrText>
      </w:r>
      <w:r>
        <w:rPr>
          <w:color w:val="auto"/>
          <w:highlight w:val="none"/>
        </w:rPr>
        <w:fldChar w:fldCharType="separate"/>
      </w:r>
      <w:r>
        <w:rPr>
          <w:rStyle w:val="36"/>
          <w:rFonts w:ascii="仿宋" w:hAnsi="仿宋" w:eastAsia="仿宋" w:cs="黑体"/>
          <w:b/>
          <w:bCs/>
          <w:color w:val="auto"/>
          <w:sz w:val="32"/>
          <w:szCs w:val="32"/>
          <w:highlight w:val="none"/>
        </w:rPr>
        <w:t>5 技术要求及维保工作清单</w:t>
      </w:r>
      <w:r>
        <w:rPr>
          <w:rFonts w:ascii="仿宋" w:hAnsi="仿宋" w:eastAsia="仿宋"/>
          <w:b/>
          <w:bCs/>
          <w:color w:val="auto"/>
          <w:sz w:val="32"/>
          <w:szCs w:val="32"/>
          <w:highlight w:val="none"/>
        </w:rPr>
        <w:tab/>
      </w:r>
      <w:r>
        <w:rPr>
          <w:rFonts w:ascii="仿宋" w:hAnsi="仿宋" w:eastAsia="仿宋"/>
          <w:b/>
          <w:bCs/>
          <w:color w:val="auto"/>
          <w:sz w:val="32"/>
          <w:szCs w:val="32"/>
          <w:highlight w:val="none"/>
        </w:rPr>
        <w:fldChar w:fldCharType="begin"/>
      </w:r>
      <w:r>
        <w:rPr>
          <w:rFonts w:ascii="仿宋" w:hAnsi="仿宋" w:eastAsia="仿宋"/>
          <w:b/>
          <w:bCs/>
          <w:color w:val="auto"/>
          <w:sz w:val="32"/>
          <w:szCs w:val="32"/>
          <w:highlight w:val="none"/>
        </w:rPr>
        <w:instrText xml:space="preserve"> PAGEREF _Toc141011855 \h </w:instrText>
      </w:r>
      <w:r>
        <w:rPr>
          <w:rFonts w:ascii="仿宋" w:hAnsi="仿宋" w:eastAsia="仿宋"/>
          <w:b/>
          <w:bCs/>
          <w:color w:val="auto"/>
          <w:sz w:val="32"/>
          <w:szCs w:val="32"/>
          <w:highlight w:val="none"/>
        </w:rPr>
        <w:fldChar w:fldCharType="separate"/>
      </w:r>
      <w:r>
        <w:rPr>
          <w:rFonts w:ascii="仿宋" w:hAnsi="仿宋" w:eastAsia="仿宋"/>
          <w:b/>
          <w:bCs/>
          <w:color w:val="auto"/>
          <w:sz w:val="32"/>
          <w:szCs w:val="32"/>
          <w:highlight w:val="none"/>
        </w:rPr>
        <w:t>8</w:t>
      </w:r>
      <w:r>
        <w:rPr>
          <w:rFonts w:ascii="仿宋" w:hAnsi="仿宋" w:eastAsia="仿宋"/>
          <w:b/>
          <w:bCs/>
          <w:color w:val="auto"/>
          <w:sz w:val="32"/>
          <w:szCs w:val="32"/>
          <w:highlight w:val="none"/>
        </w:rPr>
        <w:fldChar w:fldCharType="end"/>
      </w:r>
      <w:r>
        <w:rPr>
          <w:rFonts w:ascii="仿宋" w:hAnsi="仿宋" w:eastAsia="仿宋"/>
          <w:b/>
          <w:bCs/>
          <w:color w:val="auto"/>
          <w:sz w:val="32"/>
          <w:szCs w:val="32"/>
          <w:highlight w:val="none"/>
        </w:rPr>
        <w:fldChar w:fldCharType="end"/>
      </w:r>
    </w:p>
    <w:p w14:paraId="40058D1F">
      <w:pPr>
        <w:pStyle w:val="23"/>
        <w:tabs>
          <w:tab w:val="right" w:leader="dot" w:pos="8609"/>
        </w:tabs>
        <w:spacing w:line="480" w:lineRule="auto"/>
        <w:rPr>
          <w:rFonts w:ascii="仿宋" w:hAnsi="仿宋" w:eastAsia="仿宋"/>
          <w:b/>
          <w:bCs/>
          <w:color w:val="auto"/>
          <w:szCs w:val="28"/>
          <w:highlight w:val="none"/>
        </w:rPr>
      </w:pPr>
      <w:r>
        <w:rPr>
          <w:color w:val="auto"/>
          <w:highlight w:val="none"/>
        </w:rPr>
        <w:fldChar w:fldCharType="begin"/>
      </w:r>
      <w:r>
        <w:rPr>
          <w:color w:val="auto"/>
          <w:highlight w:val="none"/>
        </w:rPr>
        <w:instrText xml:space="preserve"> HYPERLINK \l "_Toc141011856" </w:instrText>
      </w:r>
      <w:r>
        <w:rPr>
          <w:color w:val="auto"/>
          <w:highlight w:val="none"/>
        </w:rPr>
        <w:fldChar w:fldCharType="separate"/>
      </w:r>
      <w:r>
        <w:rPr>
          <w:rStyle w:val="36"/>
          <w:rFonts w:ascii="仿宋" w:hAnsi="仿宋" w:eastAsia="仿宋" w:cs="黑体"/>
          <w:b/>
          <w:bCs/>
          <w:color w:val="auto"/>
          <w:sz w:val="32"/>
          <w:szCs w:val="32"/>
          <w:highlight w:val="none"/>
        </w:rPr>
        <w:t>6投标方应达到的目标</w:t>
      </w:r>
      <w:r>
        <w:rPr>
          <w:rFonts w:ascii="仿宋" w:hAnsi="仿宋" w:eastAsia="仿宋"/>
          <w:b/>
          <w:bCs/>
          <w:color w:val="auto"/>
          <w:sz w:val="32"/>
          <w:szCs w:val="32"/>
          <w:highlight w:val="none"/>
        </w:rPr>
        <w:tab/>
      </w:r>
      <w:r>
        <w:rPr>
          <w:rFonts w:ascii="仿宋" w:hAnsi="仿宋" w:eastAsia="仿宋"/>
          <w:b/>
          <w:bCs/>
          <w:color w:val="auto"/>
          <w:sz w:val="32"/>
          <w:szCs w:val="32"/>
          <w:highlight w:val="none"/>
        </w:rPr>
        <w:fldChar w:fldCharType="begin"/>
      </w:r>
      <w:r>
        <w:rPr>
          <w:rFonts w:ascii="仿宋" w:hAnsi="仿宋" w:eastAsia="仿宋"/>
          <w:b/>
          <w:bCs/>
          <w:color w:val="auto"/>
          <w:sz w:val="32"/>
          <w:szCs w:val="32"/>
          <w:highlight w:val="none"/>
        </w:rPr>
        <w:instrText xml:space="preserve"> PAGEREF _Toc141011856 \h </w:instrText>
      </w:r>
      <w:r>
        <w:rPr>
          <w:rFonts w:ascii="仿宋" w:hAnsi="仿宋" w:eastAsia="仿宋"/>
          <w:b/>
          <w:bCs/>
          <w:color w:val="auto"/>
          <w:sz w:val="32"/>
          <w:szCs w:val="32"/>
          <w:highlight w:val="none"/>
        </w:rPr>
        <w:fldChar w:fldCharType="separate"/>
      </w:r>
      <w:r>
        <w:rPr>
          <w:rFonts w:ascii="仿宋" w:hAnsi="仿宋" w:eastAsia="仿宋"/>
          <w:b/>
          <w:bCs/>
          <w:color w:val="auto"/>
          <w:sz w:val="32"/>
          <w:szCs w:val="32"/>
          <w:highlight w:val="none"/>
        </w:rPr>
        <w:t>19</w:t>
      </w:r>
      <w:r>
        <w:rPr>
          <w:rFonts w:ascii="仿宋" w:hAnsi="仿宋" w:eastAsia="仿宋"/>
          <w:b/>
          <w:bCs/>
          <w:color w:val="auto"/>
          <w:sz w:val="32"/>
          <w:szCs w:val="32"/>
          <w:highlight w:val="none"/>
        </w:rPr>
        <w:fldChar w:fldCharType="end"/>
      </w:r>
      <w:r>
        <w:rPr>
          <w:rFonts w:ascii="仿宋" w:hAnsi="仿宋" w:eastAsia="仿宋"/>
          <w:b/>
          <w:bCs/>
          <w:color w:val="auto"/>
          <w:sz w:val="32"/>
          <w:szCs w:val="32"/>
          <w:highlight w:val="none"/>
        </w:rPr>
        <w:fldChar w:fldCharType="end"/>
      </w:r>
    </w:p>
    <w:p w14:paraId="6378F6AC">
      <w:pPr>
        <w:pStyle w:val="23"/>
        <w:tabs>
          <w:tab w:val="right" w:leader="dot" w:pos="8609"/>
        </w:tabs>
        <w:spacing w:line="480" w:lineRule="auto"/>
        <w:rPr>
          <w:rFonts w:ascii="仿宋" w:hAnsi="仿宋" w:eastAsia="仿宋"/>
          <w:b/>
          <w:bCs/>
          <w:color w:val="auto"/>
          <w:szCs w:val="28"/>
          <w:highlight w:val="none"/>
        </w:rPr>
      </w:pPr>
      <w:r>
        <w:rPr>
          <w:color w:val="auto"/>
          <w:highlight w:val="none"/>
        </w:rPr>
        <w:fldChar w:fldCharType="begin"/>
      </w:r>
      <w:r>
        <w:rPr>
          <w:color w:val="auto"/>
          <w:highlight w:val="none"/>
        </w:rPr>
        <w:instrText xml:space="preserve"> HYPERLINK \l "_Toc141011857" </w:instrText>
      </w:r>
      <w:r>
        <w:rPr>
          <w:color w:val="auto"/>
          <w:highlight w:val="none"/>
        </w:rPr>
        <w:fldChar w:fldCharType="separate"/>
      </w:r>
      <w:r>
        <w:rPr>
          <w:rStyle w:val="36"/>
          <w:rFonts w:ascii="仿宋" w:hAnsi="仿宋" w:eastAsia="仿宋"/>
          <w:b/>
          <w:bCs/>
          <w:color w:val="auto"/>
          <w:sz w:val="32"/>
          <w:szCs w:val="32"/>
          <w:highlight w:val="none"/>
        </w:rPr>
        <w:t>7 维保服务工期及人员配置</w:t>
      </w:r>
      <w:r>
        <w:rPr>
          <w:rFonts w:ascii="仿宋" w:hAnsi="仿宋" w:eastAsia="仿宋"/>
          <w:b/>
          <w:bCs/>
          <w:color w:val="auto"/>
          <w:sz w:val="32"/>
          <w:szCs w:val="32"/>
          <w:highlight w:val="none"/>
        </w:rPr>
        <w:tab/>
      </w:r>
      <w:r>
        <w:rPr>
          <w:rFonts w:ascii="仿宋" w:hAnsi="仿宋" w:eastAsia="仿宋"/>
          <w:b/>
          <w:bCs/>
          <w:color w:val="auto"/>
          <w:sz w:val="32"/>
          <w:szCs w:val="32"/>
          <w:highlight w:val="none"/>
        </w:rPr>
        <w:fldChar w:fldCharType="begin"/>
      </w:r>
      <w:r>
        <w:rPr>
          <w:rFonts w:ascii="仿宋" w:hAnsi="仿宋" w:eastAsia="仿宋"/>
          <w:b/>
          <w:bCs/>
          <w:color w:val="auto"/>
          <w:sz w:val="32"/>
          <w:szCs w:val="32"/>
          <w:highlight w:val="none"/>
        </w:rPr>
        <w:instrText xml:space="preserve"> PAGEREF _Toc141011857 \h </w:instrText>
      </w:r>
      <w:r>
        <w:rPr>
          <w:rFonts w:ascii="仿宋" w:hAnsi="仿宋" w:eastAsia="仿宋"/>
          <w:b/>
          <w:bCs/>
          <w:color w:val="auto"/>
          <w:sz w:val="32"/>
          <w:szCs w:val="32"/>
          <w:highlight w:val="none"/>
        </w:rPr>
        <w:fldChar w:fldCharType="separate"/>
      </w:r>
      <w:r>
        <w:rPr>
          <w:rFonts w:ascii="仿宋" w:hAnsi="仿宋" w:eastAsia="仿宋"/>
          <w:b/>
          <w:bCs/>
          <w:color w:val="auto"/>
          <w:sz w:val="32"/>
          <w:szCs w:val="32"/>
          <w:highlight w:val="none"/>
        </w:rPr>
        <w:t>20</w:t>
      </w:r>
      <w:r>
        <w:rPr>
          <w:rFonts w:ascii="仿宋" w:hAnsi="仿宋" w:eastAsia="仿宋"/>
          <w:b/>
          <w:bCs/>
          <w:color w:val="auto"/>
          <w:sz w:val="32"/>
          <w:szCs w:val="32"/>
          <w:highlight w:val="none"/>
        </w:rPr>
        <w:fldChar w:fldCharType="end"/>
      </w:r>
      <w:r>
        <w:rPr>
          <w:rFonts w:ascii="仿宋" w:hAnsi="仿宋" w:eastAsia="仿宋"/>
          <w:b/>
          <w:bCs/>
          <w:color w:val="auto"/>
          <w:sz w:val="32"/>
          <w:szCs w:val="32"/>
          <w:highlight w:val="none"/>
        </w:rPr>
        <w:fldChar w:fldCharType="end"/>
      </w:r>
    </w:p>
    <w:p w14:paraId="5BEFF664">
      <w:pPr>
        <w:pStyle w:val="23"/>
        <w:tabs>
          <w:tab w:val="right" w:leader="dot" w:pos="8609"/>
        </w:tabs>
        <w:spacing w:line="480" w:lineRule="auto"/>
        <w:rPr>
          <w:rFonts w:ascii="仿宋" w:hAnsi="仿宋" w:eastAsia="仿宋"/>
          <w:b/>
          <w:bCs/>
          <w:color w:val="auto"/>
          <w:szCs w:val="28"/>
          <w:highlight w:val="none"/>
        </w:rPr>
      </w:pPr>
      <w:r>
        <w:rPr>
          <w:color w:val="auto"/>
          <w:highlight w:val="none"/>
        </w:rPr>
        <w:fldChar w:fldCharType="begin"/>
      </w:r>
      <w:r>
        <w:rPr>
          <w:color w:val="auto"/>
          <w:highlight w:val="none"/>
        </w:rPr>
        <w:instrText xml:space="preserve"> HYPERLINK \l "_Toc141011858" </w:instrText>
      </w:r>
      <w:r>
        <w:rPr>
          <w:color w:val="auto"/>
          <w:highlight w:val="none"/>
        </w:rPr>
        <w:fldChar w:fldCharType="separate"/>
      </w:r>
      <w:r>
        <w:rPr>
          <w:rStyle w:val="36"/>
          <w:rFonts w:ascii="仿宋" w:hAnsi="仿宋" w:eastAsia="仿宋" w:cs="黑体"/>
          <w:b/>
          <w:bCs/>
          <w:color w:val="auto"/>
          <w:sz w:val="32"/>
          <w:szCs w:val="32"/>
          <w:highlight w:val="none"/>
        </w:rPr>
        <w:t>8 双方职责</w:t>
      </w:r>
      <w:r>
        <w:rPr>
          <w:rFonts w:ascii="仿宋" w:hAnsi="仿宋" w:eastAsia="仿宋"/>
          <w:b/>
          <w:bCs/>
          <w:color w:val="auto"/>
          <w:sz w:val="32"/>
          <w:szCs w:val="32"/>
          <w:highlight w:val="none"/>
        </w:rPr>
        <w:tab/>
      </w:r>
      <w:r>
        <w:rPr>
          <w:rFonts w:ascii="仿宋" w:hAnsi="仿宋" w:eastAsia="仿宋"/>
          <w:b/>
          <w:bCs/>
          <w:color w:val="auto"/>
          <w:sz w:val="32"/>
          <w:szCs w:val="32"/>
          <w:highlight w:val="none"/>
        </w:rPr>
        <w:fldChar w:fldCharType="begin"/>
      </w:r>
      <w:r>
        <w:rPr>
          <w:rFonts w:ascii="仿宋" w:hAnsi="仿宋" w:eastAsia="仿宋"/>
          <w:b/>
          <w:bCs/>
          <w:color w:val="auto"/>
          <w:sz w:val="32"/>
          <w:szCs w:val="32"/>
          <w:highlight w:val="none"/>
        </w:rPr>
        <w:instrText xml:space="preserve"> PAGEREF _Toc141011858 \h </w:instrText>
      </w:r>
      <w:r>
        <w:rPr>
          <w:rFonts w:ascii="仿宋" w:hAnsi="仿宋" w:eastAsia="仿宋"/>
          <w:b/>
          <w:bCs/>
          <w:color w:val="auto"/>
          <w:sz w:val="32"/>
          <w:szCs w:val="32"/>
          <w:highlight w:val="none"/>
        </w:rPr>
        <w:fldChar w:fldCharType="separate"/>
      </w:r>
      <w:r>
        <w:rPr>
          <w:rFonts w:ascii="仿宋" w:hAnsi="仿宋" w:eastAsia="仿宋"/>
          <w:b/>
          <w:bCs/>
          <w:color w:val="auto"/>
          <w:sz w:val="32"/>
          <w:szCs w:val="32"/>
          <w:highlight w:val="none"/>
        </w:rPr>
        <w:t>22</w:t>
      </w:r>
      <w:r>
        <w:rPr>
          <w:rFonts w:ascii="仿宋" w:hAnsi="仿宋" w:eastAsia="仿宋"/>
          <w:b/>
          <w:bCs/>
          <w:color w:val="auto"/>
          <w:sz w:val="32"/>
          <w:szCs w:val="32"/>
          <w:highlight w:val="none"/>
        </w:rPr>
        <w:fldChar w:fldCharType="end"/>
      </w:r>
      <w:r>
        <w:rPr>
          <w:rFonts w:ascii="仿宋" w:hAnsi="仿宋" w:eastAsia="仿宋"/>
          <w:b/>
          <w:bCs/>
          <w:color w:val="auto"/>
          <w:sz w:val="32"/>
          <w:szCs w:val="32"/>
          <w:highlight w:val="none"/>
        </w:rPr>
        <w:fldChar w:fldCharType="end"/>
      </w:r>
    </w:p>
    <w:p w14:paraId="41BB02ED">
      <w:pPr>
        <w:pStyle w:val="23"/>
        <w:tabs>
          <w:tab w:val="right" w:leader="dot" w:pos="8609"/>
        </w:tabs>
        <w:spacing w:line="480" w:lineRule="auto"/>
        <w:rPr>
          <w:rFonts w:ascii="仿宋" w:hAnsi="仿宋" w:eastAsia="仿宋"/>
          <w:b/>
          <w:bCs/>
          <w:color w:val="auto"/>
          <w:szCs w:val="28"/>
          <w:highlight w:val="none"/>
        </w:rPr>
      </w:pPr>
      <w:r>
        <w:rPr>
          <w:color w:val="auto"/>
          <w:highlight w:val="none"/>
        </w:rPr>
        <w:fldChar w:fldCharType="begin"/>
      </w:r>
      <w:r>
        <w:rPr>
          <w:color w:val="auto"/>
          <w:highlight w:val="none"/>
        </w:rPr>
        <w:instrText xml:space="preserve"> HYPERLINK \l "_Toc141011859" </w:instrText>
      </w:r>
      <w:r>
        <w:rPr>
          <w:color w:val="auto"/>
          <w:highlight w:val="none"/>
        </w:rPr>
        <w:fldChar w:fldCharType="separate"/>
      </w:r>
      <w:r>
        <w:rPr>
          <w:rStyle w:val="36"/>
          <w:rFonts w:ascii="仿宋" w:hAnsi="仿宋" w:eastAsia="仿宋" w:cs="黑体"/>
          <w:b/>
          <w:bCs/>
          <w:color w:val="auto"/>
          <w:sz w:val="32"/>
          <w:szCs w:val="32"/>
          <w:highlight w:val="none"/>
        </w:rPr>
        <w:t>9 材料、备件及工器具管理</w:t>
      </w:r>
      <w:r>
        <w:rPr>
          <w:rFonts w:ascii="仿宋" w:hAnsi="仿宋" w:eastAsia="仿宋"/>
          <w:b/>
          <w:bCs/>
          <w:color w:val="auto"/>
          <w:sz w:val="32"/>
          <w:szCs w:val="32"/>
          <w:highlight w:val="none"/>
        </w:rPr>
        <w:tab/>
      </w:r>
      <w:r>
        <w:rPr>
          <w:rFonts w:ascii="仿宋" w:hAnsi="仿宋" w:eastAsia="仿宋"/>
          <w:b/>
          <w:bCs/>
          <w:color w:val="auto"/>
          <w:sz w:val="32"/>
          <w:szCs w:val="32"/>
          <w:highlight w:val="none"/>
        </w:rPr>
        <w:fldChar w:fldCharType="begin"/>
      </w:r>
      <w:r>
        <w:rPr>
          <w:rFonts w:ascii="仿宋" w:hAnsi="仿宋" w:eastAsia="仿宋"/>
          <w:b/>
          <w:bCs/>
          <w:color w:val="auto"/>
          <w:sz w:val="32"/>
          <w:szCs w:val="32"/>
          <w:highlight w:val="none"/>
        </w:rPr>
        <w:instrText xml:space="preserve"> PAGEREF _Toc141011859 \h </w:instrText>
      </w:r>
      <w:r>
        <w:rPr>
          <w:rFonts w:ascii="仿宋" w:hAnsi="仿宋" w:eastAsia="仿宋"/>
          <w:b/>
          <w:bCs/>
          <w:color w:val="auto"/>
          <w:sz w:val="32"/>
          <w:szCs w:val="32"/>
          <w:highlight w:val="none"/>
        </w:rPr>
        <w:fldChar w:fldCharType="separate"/>
      </w:r>
      <w:r>
        <w:rPr>
          <w:rFonts w:ascii="仿宋" w:hAnsi="仿宋" w:eastAsia="仿宋"/>
          <w:b/>
          <w:bCs/>
          <w:color w:val="auto"/>
          <w:sz w:val="32"/>
          <w:szCs w:val="32"/>
          <w:highlight w:val="none"/>
        </w:rPr>
        <w:t>25</w:t>
      </w:r>
      <w:r>
        <w:rPr>
          <w:rFonts w:ascii="仿宋" w:hAnsi="仿宋" w:eastAsia="仿宋"/>
          <w:b/>
          <w:bCs/>
          <w:color w:val="auto"/>
          <w:sz w:val="32"/>
          <w:szCs w:val="32"/>
          <w:highlight w:val="none"/>
        </w:rPr>
        <w:fldChar w:fldCharType="end"/>
      </w:r>
      <w:r>
        <w:rPr>
          <w:rFonts w:ascii="仿宋" w:hAnsi="仿宋" w:eastAsia="仿宋"/>
          <w:b/>
          <w:bCs/>
          <w:color w:val="auto"/>
          <w:sz w:val="32"/>
          <w:szCs w:val="32"/>
          <w:highlight w:val="none"/>
        </w:rPr>
        <w:fldChar w:fldCharType="end"/>
      </w:r>
    </w:p>
    <w:p w14:paraId="17C1461A">
      <w:pPr>
        <w:pStyle w:val="23"/>
        <w:tabs>
          <w:tab w:val="right" w:leader="dot" w:pos="8609"/>
        </w:tabs>
        <w:spacing w:line="480" w:lineRule="auto"/>
        <w:rPr>
          <w:rFonts w:ascii="仿宋" w:hAnsi="仿宋" w:eastAsia="仿宋"/>
          <w:b/>
          <w:bCs/>
          <w:color w:val="auto"/>
          <w:szCs w:val="28"/>
          <w:highlight w:val="none"/>
        </w:rPr>
      </w:pPr>
      <w:r>
        <w:rPr>
          <w:color w:val="auto"/>
          <w:highlight w:val="none"/>
        </w:rPr>
        <w:fldChar w:fldCharType="begin"/>
      </w:r>
      <w:r>
        <w:rPr>
          <w:color w:val="auto"/>
          <w:highlight w:val="none"/>
        </w:rPr>
        <w:instrText xml:space="preserve"> HYPERLINK \l "_Toc141011860" </w:instrText>
      </w:r>
      <w:r>
        <w:rPr>
          <w:color w:val="auto"/>
          <w:highlight w:val="none"/>
        </w:rPr>
        <w:fldChar w:fldCharType="separate"/>
      </w:r>
      <w:r>
        <w:rPr>
          <w:rStyle w:val="36"/>
          <w:rFonts w:ascii="仿宋" w:hAnsi="仿宋" w:eastAsia="仿宋" w:cs="黑体"/>
          <w:b/>
          <w:bCs/>
          <w:color w:val="auto"/>
          <w:sz w:val="32"/>
          <w:szCs w:val="32"/>
          <w:highlight w:val="none"/>
        </w:rPr>
        <w:t>10安健环及文明施工、危险源（环境因素）控制要求</w:t>
      </w:r>
      <w:r>
        <w:rPr>
          <w:rFonts w:ascii="仿宋" w:hAnsi="仿宋" w:eastAsia="仿宋"/>
          <w:b/>
          <w:bCs/>
          <w:color w:val="auto"/>
          <w:sz w:val="32"/>
          <w:szCs w:val="32"/>
          <w:highlight w:val="none"/>
        </w:rPr>
        <w:tab/>
      </w:r>
      <w:r>
        <w:rPr>
          <w:rFonts w:ascii="仿宋" w:hAnsi="仿宋" w:eastAsia="仿宋"/>
          <w:b/>
          <w:bCs/>
          <w:color w:val="auto"/>
          <w:sz w:val="32"/>
          <w:szCs w:val="32"/>
          <w:highlight w:val="none"/>
        </w:rPr>
        <w:fldChar w:fldCharType="begin"/>
      </w:r>
      <w:r>
        <w:rPr>
          <w:rFonts w:ascii="仿宋" w:hAnsi="仿宋" w:eastAsia="仿宋"/>
          <w:b/>
          <w:bCs/>
          <w:color w:val="auto"/>
          <w:sz w:val="32"/>
          <w:szCs w:val="32"/>
          <w:highlight w:val="none"/>
        </w:rPr>
        <w:instrText xml:space="preserve"> PAGEREF _Toc141011860 \h </w:instrText>
      </w:r>
      <w:r>
        <w:rPr>
          <w:rFonts w:ascii="仿宋" w:hAnsi="仿宋" w:eastAsia="仿宋"/>
          <w:b/>
          <w:bCs/>
          <w:color w:val="auto"/>
          <w:sz w:val="32"/>
          <w:szCs w:val="32"/>
          <w:highlight w:val="none"/>
        </w:rPr>
        <w:fldChar w:fldCharType="separate"/>
      </w:r>
      <w:r>
        <w:rPr>
          <w:rFonts w:ascii="仿宋" w:hAnsi="仿宋" w:eastAsia="仿宋"/>
          <w:b/>
          <w:bCs/>
          <w:color w:val="auto"/>
          <w:sz w:val="32"/>
          <w:szCs w:val="32"/>
          <w:highlight w:val="none"/>
        </w:rPr>
        <w:t>26</w:t>
      </w:r>
      <w:r>
        <w:rPr>
          <w:rFonts w:ascii="仿宋" w:hAnsi="仿宋" w:eastAsia="仿宋"/>
          <w:b/>
          <w:bCs/>
          <w:color w:val="auto"/>
          <w:sz w:val="32"/>
          <w:szCs w:val="32"/>
          <w:highlight w:val="none"/>
        </w:rPr>
        <w:fldChar w:fldCharType="end"/>
      </w:r>
      <w:r>
        <w:rPr>
          <w:rFonts w:ascii="仿宋" w:hAnsi="仿宋" w:eastAsia="仿宋"/>
          <w:b/>
          <w:bCs/>
          <w:color w:val="auto"/>
          <w:sz w:val="32"/>
          <w:szCs w:val="32"/>
          <w:highlight w:val="none"/>
        </w:rPr>
        <w:fldChar w:fldCharType="end"/>
      </w:r>
    </w:p>
    <w:p w14:paraId="6B15C7BB">
      <w:pPr>
        <w:pStyle w:val="23"/>
        <w:tabs>
          <w:tab w:val="right" w:leader="dot" w:pos="8609"/>
        </w:tabs>
        <w:spacing w:line="480" w:lineRule="auto"/>
        <w:rPr>
          <w:rFonts w:ascii="仿宋" w:hAnsi="仿宋" w:eastAsia="仿宋"/>
          <w:b/>
          <w:bCs/>
          <w:color w:val="auto"/>
          <w:szCs w:val="28"/>
          <w:highlight w:val="none"/>
        </w:rPr>
      </w:pPr>
      <w:r>
        <w:rPr>
          <w:color w:val="auto"/>
          <w:highlight w:val="none"/>
        </w:rPr>
        <w:fldChar w:fldCharType="begin"/>
      </w:r>
      <w:r>
        <w:rPr>
          <w:color w:val="auto"/>
          <w:highlight w:val="none"/>
        </w:rPr>
        <w:instrText xml:space="preserve"> HYPERLINK \l "_Toc141011861" </w:instrText>
      </w:r>
      <w:r>
        <w:rPr>
          <w:color w:val="auto"/>
          <w:highlight w:val="none"/>
        </w:rPr>
        <w:fldChar w:fldCharType="separate"/>
      </w:r>
      <w:r>
        <w:rPr>
          <w:rStyle w:val="36"/>
          <w:rFonts w:ascii="仿宋" w:hAnsi="仿宋" w:eastAsia="仿宋" w:cs="黑体"/>
          <w:b/>
          <w:bCs/>
          <w:color w:val="auto"/>
          <w:sz w:val="32"/>
          <w:szCs w:val="32"/>
          <w:highlight w:val="none"/>
        </w:rPr>
        <w:t>11 考核</w:t>
      </w:r>
      <w:r>
        <w:rPr>
          <w:rFonts w:ascii="仿宋" w:hAnsi="仿宋" w:eastAsia="仿宋"/>
          <w:b/>
          <w:bCs/>
          <w:color w:val="auto"/>
          <w:sz w:val="32"/>
          <w:szCs w:val="32"/>
          <w:highlight w:val="none"/>
        </w:rPr>
        <w:tab/>
      </w:r>
      <w:r>
        <w:rPr>
          <w:rFonts w:ascii="仿宋" w:hAnsi="仿宋" w:eastAsia="仿宋"/>
          <w:b/>
          <w:bCs/>
          <w:color w:val="auto"/>
          <w:sz w:val="32"/>
          <w:szCs w:val="32"/>
          <w:highlight w:val="none"/>
        </w:rPr>
        <w:fldChar w:fldCharType="begin"/>
      </w:r>
      <w:r>
        <w:rPr>
          <w:rFonts w:ascii="仿宋" w:hAnsi="仿宋" w:eastAsia="仿宋"/>
          <w:b/>
          <w:bCs/>
          <w:color w:val="auto"/>
          <w:sz w:val="32"/>
          <w:szCs w:val="32"/>
          <w:highlight w:val="none"/>
        </w:rPr>
        <w:instrText xml:space="preserve"> PAGEREF _Toc141011861 \h </w:instrText>
      </w:r>
      <w:r>
        <w:rPr>
          <w:rFonts w:ascii="仿宋" w:hAnsi="仿宋" w:eastAsia="仿宋"/>
          <w:b/>
          <w:bCs/>
          <w:color w:val="auto"/>
          <w:sz w:val="32"/>
          <w:szCs w:val="32"/>
          <w:highlight w:val="none"/>
        </w:rPr>
        <w:fldChar w:fldCharType="separate"/>
      </w:r>
      <w:r>
        <w:rPr>
          <w:rFonts w:ascii="仿宋" w:hAnsi="仿宋" w:eastAsia="仿宋"/>
          <w:b/>
          <w:bCs/>
          <w:color w:val="auto"/>
          <w:sz w:val="32"/>
          <w:szCs w:val="32"/>
          <w:highlight w:val="none"/>
        </w:rPr>
        <w:t>28</w:t>
      </w:r>
      <w:r>
        <w:rPr>
          <w:rFonts w:ascii="仿宋" w:hAnsi="仿宋" w:eastAsia="仿宋"/>
          <w:b/>
          <w:bCs/>
          <w:color w:val="auto"/>
          <w:sz w:val="32"/>
          <w:szCs w:val="32"/>
          <w:highlight w:val="none"/>
        </w:rPr>
        <w:fldChar w:fldCharType="end"/>
      </w:r>
      <w:r>
        <w:rPr>
          <w:rFonts w:ascii="仿宋" w:hAnsi="仿宋" w:eastAsia="仿宋"/>
          <w:b/>
          <w:bCs/>
          <w:color w:val="auto"/>
          <w:sz w:val="32"/>
          <w:szCs w:val="32"/>
          <w:highlight w:val="none"/>
        </w:rPr>
        <w:fldChar w:fldCharType="end"/>
      </w:r>
    </w:p>
    <w:p w14:paraId="4402B1F2">
      <w:pPr>
        <w:pStyle w:val="23"/>
        <w:tabs>
          <w:tab w:val="right" w:leader="dot" w:pos="8609"/>
        </w:tabs>
        <w:spacing w:line="480" w:lineRule="auto"/>
        <w:rPr>
          <w:rFonts w:ascii="等线" w:hAnsi="等线" w:eastAsia="等线"/>
          <w:color w:val="auto"/>
          <w:szCs w:val="28"/>
          <w:highlight w:val="none"/>
        </w:rPr>
      </w:pPr>
      <w:r>
        <w:rPr>
          <w:color w:val="auto"/>
          <w:highlight w:val="none"/>
        </w:rPr>
        <w:fldChar w:fldCharType="begin"/>
      </w:r>
      <w:r>
        <w:rPr>
          <w:color w:val="auto"/>
          <w:highlight w:val="none"/>
        </w:rPr>
        <w:instrText xml:space="preserve"> HYPERLINK \l "_Toc141011862" </w:instrText>
      </w:r>
      <w:r>
        <w:rPr>
          <w:color w:val="auto"/>
          <w:highlight w:val="none"/>
        </w:rPr>
        <w:fldChar w:fldCharType="separate"/>
      </w:r>
      <w:r>
        <w:rPr>
          <w:rStyle w:val="36"/>
          <w:rFonts w:ascii="仿宋" w:hAnsi="仿宋" w:eastAsia="仿宋" w:cs="黑体"/>
          <w:b/>
          <w:bCs/>
          <w:color w:val="auto"/>
          <w:sz w:val="32"/>
          <w:szCs w:val="32"/>
          <w:highlight w:val="none"/>
        </w:rPr>
        <w:t>12 附录附表</w:t>
      </w:r>
      <w:r>
        <w:rPr>
          <w:rFonts w:ascii="仿宋" w:hAnsi="仿宋" w:eastAsia="仿宋"/>
          <w:b/>
          <w:bCs/>
          <w:color w:val="auto"/>
          <w:sz w:val="32"/>
          <w:szCs w:val="32"/>
          <w:highlight w:val="none"/>
        </w:rPr>
        <w:tab/>
      </w:r>
      <w:r>
        <w:rPr>
          <w:rFonts w:ascii="仿宋" w:hAnsi="仿宋" w:eastAsia="仿宋"/>
          <w:b/>
          <w:bCs/>
          <w:color w:val="auto"/>
          <w:sz w:val="32"/>
          <w:szCs w:val="32"/>
          <w:highlight w:val="none"/>
        </w:rPr>
        <w:fldChar w:fldCharType="begin"/>
      </w:r>
      <w:r>
        <w:rPr>
          <w:rFonts w:ascii="仿宋" w:hAnsi="仿宋" w:eastAsia="仿宋"/>
          <w:b/>
          <w:bCs/>
          <w:color w:val="auto"/>
          <w:sz w:val="32"/>
          <w:szCs w:val="32"/>
          <w:highlight w:val="none"/>
        </w:rPr>
        <w:instrText xml:space="preserve"> PAGEREF _Toc141011862 \h </w:instrText>
      </w:r>
      <w:r>
        <w:rPr>
          <w:rFonts w:ascii="仿宋" w:hAnsi="仿宋" w:eastAsia="仿宋"/>
          <w:b/>
          <w:bCs/>
          <w:color w:val="auto"/>
          <w:sz w:val="32"/>
          <w:szCs w:val="32"/>
          <w:highlight w:val="none"/>
        </w:rPr>
        <w:fldChar w:fldCharType="separate"/>
      </w:r>
      <w:r>
        <w:rPr>
          <w:rFonts w:ascii="仿宋" w:hAnsi="仿宋" w:eastAsia="仿宋"/>
          <w:b/>
          <w:bCs/>
          <w:color w:val="auto"/>
          <w:sz w:val="32"/>
          <w:szCs w:val="32"/>
          <w:highlight w:val="none"/>
        </w:rPr>
        <w:t>28</w:t>
      </w:r>
      <w:r>
        <w:rPr>
          <w:rFonts w:ascii="仿宋" w:hAnsi="仿宋" w:eastAsia="仿宋"/>
          <w:b/>
          <w:bCs/>
          <w:color w:val="auto"/>
          <w:sz w:val="32"/>
          <w:szCs w:val="32"/>
          <w:highlight w:val="none"/>
        </w:rPr>
        <w:fldChar w:fldCharType="end"/>
      </w:r>
      <w:r>
        <w:rPr>
          <w:rFonts w:ascii="仿宋" w:hAnsi="仿宋" w:eastAsia="仿宋"/>
          <w:b/>
          <w:bCs/>
          <w:color w:val="auto"/>
          <w:sz w:val="32"/>
          <w:szCs w:val="32"/>
          <w:highlight w:val="none"/>
        </w:rPr>
        <w:fldChar w:fldCharType="end"/>
      </w:r>
    </w:p>
    <w:p w14:paraId="537E2062">
      <w:pPr>
        <w:spacing w:line="480" w:lineRule="auto"/>
        <w:rPr>
          <w:rFonts w:ascii="宋体" w:hAnsi="宋体"/>
          <w:b/>
          <w:color w:val="auto"/>
          <w:highlight w:val="none"/>
        </w:rPr>
      </w:pPr>
      <w:r>
        <w:rPr>
          <w:rFonts w:ascii="宋体" w:hAnsi="宋体"/>
          <w:b/>
          <w:color w:val="auto"/>
          <w:highlight w:val="none"/>
        </w:rPr>
        <w:fldChar w:fldCharType="end"/>
      </w:r>
    </w:p>
    <w:p w14:paraId="12228415">
      <w:pPr>
        <w:rPr>
          <w:color w:val="auto"/>
          <w:highlight w:val="none"/>
        </w:rPr>
      </w:pPr>
    </w:p>
    <w:p w14:paraId="67CF6ECA">
      <w:pPr>
        <w:tabs>
          <w:tab w:val="left" w:pos="2479"/>
        </w:tabs>
        <w:spacing w:line="800" w:lineRule="exact"/>
        <w:rPr>
          <w:rFonts w:ascii="宋体" w:hAnsi="宋体"/>
          <w:color w:val="auto"/>
          <w:highlight w:val="none"/>
        </w:rPr>
        <w:sectPr>
          <w:pgSz w:w="11907" w:h="16840"/>
          <w:pgMar w:top="1474" w:right="1474" w:bottom="1474" w:left="1814" w:header="851" w:footer="851" w:gutter="0"/>
          <w:cols w:space="720" w:num="1"/>
          <w:docGrid w:linePitch="326" w:charSpace="0"/>
        </w:sectPr>
      </w:pPr>
    </w:p>
    <w:p w14:paraId="31E6DA4C">
      <w:pPr>
        <w:pStyle w:val="2"/>
        <w:keepNext/>
        <w:keepLines/>
        <w:pageBreakBefore w:val="0"/>
        <w:widowControl w:val="0"/>
        <w:kinsoku w:val="0"/>
        <w:wordWrap/>
        <w:overflowPunct/>
        <w:topLinePunct w:val="0"/>
        <w:autoSpaceDE/>
        <w:autoSpaceDN/>
        <w:bidi w:val="0"/>
        <w:adjustRightInd w:val="0"/>
        <w:snapToGrid w:val="0"/>
        <w:ind w:firstLine="562" w:firstLineChars="200"/>
        <w:jc w:val="left"/>
        <w:textAlignment w:val="auto"/>
        <w:rPr>
          <w:color w:val="auto"/>
          <w:sz w:val="28"/>
          <w:szCs w:val="13"/>
          <w:highlight w:val="none"/>
        </w:rPr>
      </w:pPr>
      <w:bookmarkStart w:id="0" w:name="_Toc170270571"/>
      <w:bookmarkEnd w:id="0"/>
      <w:bookmarkStart w:id="1" w:name="_Toc170462597"/>
      <w:bookmarkEnd w:id="1"/>
      <w:bookmarkStart w:id="2" w:name="_Toc96238072"/>
      <w:bookmarkEnd w:id="2"/>
      <w:bookmarkStart w:id="3" w:name="_Toc80271043"/>
      <w:bookmarkEnd w:id="3"/>
      <w:bookmarkStart w:id="4" w:name="_Toc141011851"/>
      <w:r>
        <w:rPr>
          <w:rFonts w:hint="eastAsia"/>
          <w:color w:val="auto"/>
          <w:sz w:val="28"/>
          <w:szCs w:val="13"/>
          <w:highlight w:val="none"/>
        </w:rPr>
        <w:t>1 总则</w:t>
      </w:r>
      <w:bookmarkEnd w:id="4"/>
    </w:p>
    <w:p w14:paraId="005FB3B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ascii="宋体" w:hAnsi="宋体"/>
          <w:color w:val="auto"/>
          <w:sz w:val="24"/>
          <w:szCs w:val="24"/>
          <w:highlight w:val="none"/>
        </w:rPr>
      </w:pPr>
      <w:r>
        <w:rPr>
          <w:rFonts w:hint="eastAsia" w:ascii="宋体" w:hAnsi="宋体"/>
          <w:color w:val="auto"/>
          <w:sz w:val="24"/>
          <w:szCs w:val="24"/>
          <w:highlight w:val="none"/>
        </w:rPr>
        <w:t>1.1</w:t>
      </w:r>
      <w:r>
        <w:rPr>
          <w:rFonts w:hint="eastAsia" w:ascii="宋体" w:hAnsi="宋体"/>
          <w:bCs/>
          <w:color w:val="auto"/>
          <w:sz w:val="24"/>
          <w:szCs w:val="24"/>
          <w:highlight w:val="none"/>
        </w:rPr>
        <w:t>本技术规范书适用于浙能伊犁新天煤化工有限责任公司煤气水装置125BF系列排污管线更换服务招标工作。</w:t>
      </w:r>
    </w:p>
    <w:p w14:paraId="7D7CAD0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ascii="宋体" w:hAnsi="宋体"/>
          <w:color w:val="auto"/>
          <w:sz w:val="24"/>
          <w:szCs w:val="24"/>
          <w:highlight w:val="none"/>
        </w:rPr>
      </w:pPr>
      <w:r>
        <w:rPr>
          <w:rFonts w:hint="eastAsia" w:ascii="宋体" w:hAnsi="宋体"/>
          <w:color w:val="auto"/>
          <w:sz w:val="24"/>
          <w:szCs w:val="24"/>
          <w:highlight w:val="none"/>
        </w:rPr>
        <w:t>1.2本技术规范书提出的是最低限度的技术要求，并未对一切技术细节作出规定，也未充分引述有关标准和规范。投标方必须保证提供符合本技术规范书和相关国家标准要求的优质服务。对国家有关安全、环保等强制性标准，必须满足要求。</w:t>
      </w:r>
    </w:p>
    <w:p w14:paraId="050F206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ascii="宋体" w:hAnsi="宋体"/>
          <w:color w:val="auto"/>
          <w:sz w:val="24"/>
          <w:szCs w:val="24"/>
          <w:highlight w:val="none"/>
        </w:rPr>
      </w:pPr>
      <w:r>
        <w:rPr>
          <w:rFonts w:hint="eastAsia" w:ascii="宋体" w:hAnsi="宋体"/>
          <w:color w:val="auto"/>
          <w:sz w:val="24"/>
          <w:szCs w:val="24"/>
          <w:highlight w:val="none"/>
        </w:rPr>
        <w:t>1.3如未对本技术规范书提出偏差，将认为投标方提供的服务符合规范和标准的要求。</w:t>
      </w:r>
    </w:p>
    <w:p w14:paraId="4D286DF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ascii="宋体" w:hAnsi="宋体"/>
          <w:color w:val="auto"/>
          <w:sz w:val="24"/>
          <w:szCs w:val="24"/>
          <w:highlight w:val="none"/>
        </w:rPr>
      </w:pPr>
      <w:r>
        <w:rPr>
          <w:rFonts w:hint="eastAsia" w:ascii="宋体" w:hAnsi="宋体"/>
          <w:color w:val="auto"/>
          <w:sz w:val="24"/>
          <w:szCs w:val="24"/>
          <w:highlight w:val="none"/>
        </w:rPr>
        <w:t>1.4招标方不接受任何带有试验性质的服务工作。</w:t>
      </w:r>
    </w:p>
    <w:p w14:paraId="54D28DA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ascii="宋体" w:hAnsi="宋体"/>
          <w:color w:val="auto"/>
          <w:sz w:val="24"/>
          <w:szCs w:val="24"/>
          <w:highlight w:val="none"/>
        </w:rPr>
      </w:pPr>
      <w:r>
        <w:rPr>
          <w:rFonts w:hint="eastAsia" w:ascii="宋体" w:hAnsi="宋体"/>
          <w:color w:val="auto"/>
          <w:sz w:val="24"/>
          <w:szCs w:val="24"/>
          <w:highlight w:val="none"/>
        </w:rPr>
        <w:t>1.5投标方在整个</w:t>
      </w:r>
      <w:r>
        <w:rPr>
          <w:rFonts w:hint="eastAsia" w:ascii="宋体" w:hAnsi="宋体"/>
          <w:color w:val="auto"/>
          <w:sz w:val="24"/>
          <w:szCs w:val="24"/>
          <w:highlight w:val="none"/>
          <w:lang w:eastAsia="zh-CN"/>
        </w:rPr>
        <w:t>项目</w:t>
      </w:r>
      <w:r>
        <w:rPr>
          <w:rFonts w:hint="eastAsia" w:ascii="宋体" w:hAnsi="宋体"/>
          <w:color w:val="auto"/>
          <w:sz w:val="24"/>
          <w:szCs w:val="24"/>
          <w:highlight w:val="none"/>
        </w:rPr>
        <w:t>项目中所使用规范和标准必须遵循现行最新版本的国家标准。投标方应提供所使用的规范和标准。本技术规范书所使用的规范标准如遇与投标方所执行的规范标准发生矛盾时，应按较高标准执行。</w:t>
      </w:r>
    </w:p>
    <w:p w14:paraId="26BF9D3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ascii="宋体" w:hAnsi="宋体"/>
          <w:color w:val="auto"/>
          <w:sz w:val="24"/>
          <w:szCs w:val="24"/>
          <w:highlight w:val="none"/>
        </w:rPr>
      </w:pPr>
      <w:r>
        <w:rPr>
          <w:rFonts w:hint="eastAsia" w:ascii="宋体" w:hAnsi="宋体"/>
          <w:color w:val="auto"/>
          <w:sz w:val="24"/>
          <w:szCs w:val="24"/>
          <w:highlight w:val="none"/>
        </w:rPr>
        <w:t>1.6在签订合同之后，招标方有权提出因规范标准和规程发生变化而产生的一些补充要求，具体项目由招标方和投标方共同商定。</w:t>
      </w:r>
    </w:p>
    <w:p w14:paraId="185F802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ascii="宋体" w:hAnsi="宋体"/>
          <w:color w:val="auto"/>
          <w:sz w:val="24"/>
          <w:szCs w:val="24"/>
          <w:highlight w:val="none"/>
        </w:rPr>
      </w:pPr>
      <w:r>
        <w:rPr>
          <w:rFonts w:hint="eastAsia" w:ascii="宋体" w:hAnsi="宋体"/>
          <w:color w:val="auto"/>
          <w:sz w:val="24"/>
          <w:szCs w:val="24"/>
          <w:highlight w:val="none"/>
        </w:rPr>
        <w:t xml:space="preserve">1.7 </w:t>
      </w:r>
      <w:r>
        <w:rPr>
          <w:rFonts w:hint="eastAsia" w:ascii="宋体" w:hAnsi="宋体"/>
          <w:color w:val="auto"/>
          <w:sz w:val="24"/>
          <w:szCs w:val="24"/>
          <w:highlight w:val="none"/>
          <w:lang w:eastAsia="zh-CN"/>
        </w:rPr>
        <w:t>投标方</w:t>
      </w:r>
      <w:r>
        <w:rPr>
          <w:rFonts w:hint="eastAsia" w:ascii="宋体" w:hAnsi="宋体"/>
          <w:color w:val="auto"/>
          <w:sz w:val="24"/>
          <w:szCs w:val="24"/>
          <w:highlight w:val="none"/>
        </w:rPr>
        <w:t>资质的要求，</w:t>
      </w:r>
      <w:r>
        <w:rPr>
          <w:rFonts w:hint="eastAsia" w:ascii="宋体" w:hAnsi="宋体"/>
          <w:color w:val="auto"/>
          <w:sz w:val="24"/>
          <w:szCs w:val="24"/>
          <w:highlight w:val="none"/>
          <w:lang w:eastAsia="zh-CN"/>
        </w:rPr>
        <w:t>投标方</w:t>
      </w:r>
      <w:r>
        <w:rPr>
          <w:rFonts w:hint="eastAsia" w:ascii="宋体" w:hAnsi="宋体"/>
          <w:color w:val="auto"/>
          <w:sz w:val="24"/>
          <w:szCs w:val="24"/>
          <w:highlight w:val="none"/>
        </w:rPr>
        <w:t>提供的</w:t>
      </w:r>
      <w:r>
        <w:rPr>
          <w:rFonts w:hint="eastAsia" w:ascii="宋体" w:hAnsi="宋体"/>
          <w:color w:val="auto"/>
          <w:sz w:val="24"/>
          <w:szCs w:val="24"/>
          <w:highlight w:val="none"/>
          <w:lang w:eastAsia="zh-CN"/>
        </w:rPr>
        <w:t>项目</w:t>
      </w:r>
      <w:r>
        <w:rPr>
          <w:rFonts w:hint="eastAsia" w:ascii="宋体" w:hAnsi="宋体"/>
          <w:color w:val="auto"/>
          <w:sz w:val="24"/>
          <w:szCs w:val="24"/>
          <w:highlight w:val="none"/>
        </w:rPr>
        <w:t>服务应是成熟可靠、技术先进，类似行业</w:t>
      </w:r>
      <w:r>
        <w:rPr>
          <w:rFonts w:hint="eastAsia" w:ascii="宋体" w:hAnsi="宋体"/>
          <w:color w:val="auto"/>
          <w:sz w:val="24"/>
          <w:szCs w:val="24"/>
          <w:highlight w:val="none"/>
          <w:lang w:val="en-US" w:eastAsia="zh-CN"/>
        </w:rPr>
        <w:t>检修的</w:t>
      </w:r>
      <w:r>
        <w:rPr>
          <w:rFonts w:hint="eastAsia" w:ascii="宋体" w:hAnsi="宋体"/>
          <w:color w:val="auto"/>
          <w:sz w:val="24"/>
          <w:szCs w:val="24"/>
          <w:highlight w:val="none"/>
        </w:rPr>
        <w:t>相关业绩。</w:t>
      </w:r>
    </w:p>
    <w:p w14:paraId="6E8ECD2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ascii="宋体" w:hAnsi="宋体"/>
          <w:color w:val="auto"/>
          <w:sz w:val="24"/>
          <w:szCs w:val="24"/>
          <w:highlight w:val="none"/>
        </w:rPr>
      </w:pPr>
      <w:r>
        <w:rPr>
          <w:rFonts w:hint="eastAsia" w:ascii="宋体" w:hAnsi="宋体"/>
          <w:color w:val="auto"/>
          <w:sz w:val="24"/>
          <w:szCs w:val="24"/>
          <w:highlight w:val="none"/>
        </w:rPr>
        <w:t>1.8本技术规范书将作为合同的附件，与合同正文具有同等效力。</w:t>
      </w:r>
    </w:p>
    <w:p w14:paraId="6E84DA1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ascii="宋体" w:hAnsi="宋体"/>
          <w:color w:val="auto"/>
          <w:sz w:val="24"/>
          <w:szCs w:val="24"/>
          <w:highlight w:val="none"/>
        </w:rPr>
      </w:pPr>
      <w:r>
        <w:rPr>
          <w:rFonts w:hint="eastAsia" w:ascii="宋体" w:hAnsi="宋体"/>
          <w:color w:val="auto"/>
          <w:sz w:val="24"/>
          <w:szCs w:val="24"/>
          <w:highlight w:val="none"/>
        </w:rPr>
        <w:t>1.9未尽事宜，双方友好协商解决。</w:t>
      </w:r>
    </w:p>
    <w:p w14:paraId="4139A2A6">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color w:val="auto"/>
          <w:sz w:val="28"/>
          <w:szCs w:val="13"/>
          <w:highlight w:val="none"/>
        </w:rPr>
      </w:pPr>
      <w:bookmarkStart w:id="5" w:name="_Toc80271044"/>
      <w:bookmarkEnd w:id="5"/>
      <w:bookmarkStart w:id="6" w:name="_Toc141011852"/>
      <w:r>
        <w:rPr>
          <w:rFonts w:hint="eastAsia"/>
          <w:color w:val="auto"/>
          <w:sz w:val="28"/>
          <w:szCs w:val="13"/>
          <w:highlight w:val="none"/>
        </w:rPr>
        <w:t>2 项目概况</w:t>
      </w:r>
      <w:bookmarkEnd w:id="6"/>
    </w:p>
    <w:p w14:paraId="459C7C59">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87"/>
          <w:rFonts w:hint="eastAsia" w:ascii="宋体" w:hAnsi="宋体"/>
          <w:color w:val="auto"/>
          <w:sz w:val="24"/>
          <w:szCs w:val="24"/>
          <w:highlight w:val="none"/>
        </w:rPr>
      </w:pPr>
      <w:r>
        <w:rPr>
          <w:rStyle w:val="87"/>
          <w:rFonts w:hint="eastAsia" w:ascii="宋体" w:hAnsi="宋体"/>
          <w:color w:val="auto"/>
          <w:sz w:val="24"/>
          <w:szCs w:val="24"/>
          <w:highlight w:val="none"/>
        </w:rPr>
        <w:t xml:space="preserve">公司建于新疆维吾尔自治区伊宁市巴彦岱镇火龙洞以北，北靠天山支脉科古琴山，南临伊犁河，厂址地形高差较大，北高南低，海拔标高约1000-1080m 之间，东西向中部大部分地段较为平缓。土地属于半荒漠草场。 </w:t>
      </w:r>
    </w:p>
    <w:p w14:paraId="54B298EC">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87"/>
          <w:rFonts w:hint="eastAsia" w:ascii="宋体" w:hAnsi="宋体" w:eastAsia="宋体"/>
          <w:color w:val="auto"/>
          <w:sz w:val="24"/>
          <w:szCs w:val="24"/>
          <w:highlight w:val="none"/>
          <w:lang w:val="en-US" w:eastAsia="zh-CN"/>
        </w:rPr>
      </w:pPr>
      <w:r>
        <w:rPr>
          <w:rStyle w:val="87"/>
          <w:rFonts w:hint="eastAsia" w:ascii="宋体" w:hAnsi="宋体"/>
          <w:color w:val="auto"/>
          <w:sz w:val="24"/>
          <w:szCs w:val="24"/>
          <w:highlight w:val="none"/>
        </w:rPr>
        <w:t>该地区属大陆性气候，因地形关系，经常形成多雨雪的天气。冬季寒冷，夏季炎热，7 月份极端最高气温为 39.2℃；1 月份最低气温为-30.9℃，极端最低气温为-36℃，全年平均气温9℃；年平均降水量269mm；年平均蒸发量为1604.3mm；空气平均相对湿度65%；50年一遇基本雪压1.0kPa，最大积雪厚度79cm。最大冻结深度120cm。常年主导风向为东风和偏西风，50年一遇基本风压0.6kPa。</w:t>
      </w:r>
    </w:p>
    <w:p w14:paraId="6049CE1F">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color w:val="auto"/>
          <w:sz w:val="28"/>
          <w:szCs w:val="13"/>
          <w:highlight w:val="none"/>
          <w:lang w:eastAsia="zh-CN"/>
        </w:rPr>
      </w:pPr>
      <w:bookmarkStart w:id="7" w:name="_Toc141011853"/>
      <w:r>
        <w:rPr>
          <w:rFonts w:hint="eastAsia"/>
          <w:color w:val="auto"/>
          <w:sz w:val="28"/>
          <w:szCs w:val="13"/>
          <w:highlight w:val="none"/>
        </w:rPr>
        <w:t>3</w:t>
      </w:r>
      <w:r>
        <w:rPr>
          <w:rFonts w:hint="eastAsia"/>
          <w:color w:val="auto"/>
          <w:sz w:val="28"/>
          <w:szCs w:val="13"/>
          <w:highlight w:val="none"/>
          <w:lang w:val="en-US" w:eastAsia="zh-CN"/>
        </w:rPr>
        <w:t xml:space="preserve"> 项目</w:t>
      </w:r>
      <w:r>
        <w:rPr>
          <w:rFonts w:hint="eastAsia"/>
          <w:color w:val="auto"/>
          <w:sz w:val="28"/>
          <w:szCs w:val="13"/>
          <w:highlight w:val="none"/>
        </w:rPr>
        <w:t>范围及</w:t>
      </w:r>
      <w:bookmarkEnd w:id="7"/>
      <w:r>
        <w:rPr>
          <w:rFonts w:hint="eastAsia"/>
          <w:color w:val="auto"/>
          <w:sz w:val="28"/>
          <w:szCs w:val="13"/>
          <w:highlight w:val="none"/>
          <w:lang w:val="en-US" w:eastAsia="zh-CN"/>
        </w:rPr>
        <w:t>工期</w:t>
      </w:r>
    </w:p>
    <w:p w14:paraId="31BDC1D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3.1</w:t>
      </w:r>
      <w:r>
        <w:rPr>
          <w:rFonts w:hint="eastAsia" w:ascii="宋体" w:hAnsi="宋体" w:cs="Times New Roman"/>
          <w:color w:val="auto"/>
          <w:sz w:val="24"/>
          <w:szCs w:val="24"/>
          <w:highlight w:val="none"/>
          <w:lang w:val="en-US" w:eastAsia="zh-CN"/>
        </w:rPr>
        <w:t>项目</w:t>
      </w:r>
      <w:r>
        <w:rPr>
          <w:rFonts w:hint="eastAsia" w:ascii="宋体" w:hAnsi="宋体" w:eastAsia="宋体" w:cs="Times New Roman"/>
          <w:color w:val="auto"/>
          <w:sz w:val="24"/>
          <w:szCs w:val="24"/>
          <w:highlight w:val="none"/>
          <w:lang w:val="en-US" w:eastAsia="zh-CN"/>
        </w:rPr>
        <w:t>范围</w:t>
      </w:r>
    </w:p>
    <w:p w14:paraId="0BC9546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3.1.1 本</w:t>
      </w:r>
      <w:r>
        <w:rPr>
          <w:rFonts w:hint="eastAsia" w:ascii="宋体" w:hAnsi="宋体" w:cs="Times New Roman"/>
          <w:color w:val="auto"/>
          <w:sz w:val="24"/>
          <w:szCs w:val="24"/>
          <w:highlight w:val="none"/>
          <w:lang w:val="en-US" w:eastAsia="zh-CN"/>
        </w:rPr>
        <w:t>项目</w:t>
      </w:r>
      <w:r>
        <w:rPr>
          <w:rFonts w:hint="eastAsia" w:ascii="宋体" w:hAnsi="宋体" w:eastAsia="宋体" w:cs="Times New Roman"/>
          <w:color w:val="auto"/>
          <w:sz w:val="24"/>
          <w:szCs w:val="24"/>
          <w:highlight w:val="none"/>
          <w:lang w:val="en-US" w:eastAsia="zh-CN"/>
        </w:rPr>
        <w:t>施工范围为：管道、管件拆除的所有工程量，阀门、管道、管件安装的所有工程量，相关管线隔离盲板施工的工程量。</w:t>
      </w:r>
    </w:p>
    <w:p w14:paraId="4F2C999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3.1.2 投标方应充分进行现场勘探和评估，因施工区域缺陷和施工难度而引起的施工方案的调整，均由投标方无条件完成，招标方不再另行增加费用。</w:t>
      </w:r>
    </w:p>
    <w:p w14:paraId="562DCA59">
      <w:pPr>
        <w:widowControl/>
        <w:jc w:val="left"/>
        <w:rPr>
          <w:rFonts w:ascii="宋体" w:hAnsi="宋体"/>
          <w:color w:val="auto"/>
          <w:kern w:val="0"/>
          <w:highlight w:val="none"/>
        </w:rPr>
      </w:pPr>
      <w:r>
        <w:rPr>
          <w:rFonts w:hint="eastAsia" w:ascii="宋体" w:hAnsi="宋体"/>
          <w:color w:val="auto"/>
          <w:sz w:val="24"/>
          <w:szCs w:val="24"/>
          <w:highlight w:val="none"/>
          <w:lang w:val="en-US" w:eastAsia="zh-CN"/>
        </w:rPr>
        <w:t>3.1.3 本项目检修工作量为暂估量，检修过程中如有变化，以实际完成工作量进行统计、核算。</w:t>
      </w:r>
    </w:p>
    <w:p w14:paraId="1AAD834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3.1.4 在上述服务范围内，投标方在履行合同义务时应遵守下列标准：</w:t>
      </w:r>
    </w:p>
    <w:p w14:paraId="00D7C53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3.1.4.1标准规范：投标方在合同期内所做工作，规范和标准必须遵循现行最新版本的标准。招标方最终以有利于自己的标准规范对投标方进行考核。</w:t>
      </w:r>
    </w:p>
    <w:p w14:paraId="53D9D20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3.1.4.2投标方必须执行原电力工业部、化工部及其承继机构颁发并继续有效的有关电厂、化工企业运行维护的规定。有矛盾时，按较高标准执行。</w:t>
      </w:r>
    </w:p>
    <w:p w14:paraId="289F011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3.1.4.3运行手册、检修手册、操作手册及企业标准。</w:t>
      </w:r>
    </w:p>
    <w:p w14:paraId="4E6A596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3.1.4.4设备供应商提供的技术规范。</w:t>
      </w:r>
    </w:p>
    <w:p w14:paraId="4434DFD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3.1.4.5任何适用的环保限制和国家、省政府及地方政府颁发的有关环保规定。</w:t>
      </w:r>
    </w:p>
    <w:p w14:paraId="6732DD5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3.1.4.6 除上述标准外，投标方亦应遵守招标方的下列手册和管理制度的要求：</w:t>
      </w:r>
    </w:p>
    <w:p w14:paraId="16D3DA7B">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a职业健康和安全培训手册。</w:t>
      </w:r>
    </w:p>
    <w:p w14:paraId="3F6026DC">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b质量培训手册。</w:t>
      </w:r>
    </w:p>
    <w:p w14:paraId="0232F930">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c环保培训手册。</w:t>
      </w:r>
    </w:p>
    <w:p w14:paraId="4F0E9B20">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color w:val="auto"/>
          <w:sz w:val="24"/>
          <w:szCs w:val="24"/>
          <w:highlight w:val="none"/>
          <w:lang w:val="en-US" w:eastAsia="zh-CN"/>
        </w:rPr>
      </w:pPr>
      <w:r>
        <w:rPr>
          <w:rFonts w:hint="eastAsia" w:ascii="宋体" w:hAnsi="宋体"/>
          <w:color w:val="auto"/>
          <w:sz w:val="24"/>
          <w:szCs w:val="24"/>
          <w:highlight w:val="none"/>
          <w:lang w:val="en-US" w:eastAsia="zh-CN"/>
        </w:rPr>
        <w:t>d招标方合理希望实施的任何其他培训手册。</w:t>
      </w:r>
    </w:p>
    <w:p w14:paraId="276271D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olor w:val="auto"/>
          <w:sz w:val="24"/>
          <w:szCs w:val="24"/>
          <w:highlight w:val="none"/>
          <w:lang w:val="en-US" w:eastAsia="zh-CN"/>
        </w:rPr>
      </w:pPr>
      <w:r>
        <w:rPr>
          <w:rFonts w:hint="default" w:ascii="宋体" w:hAnsi="宋体"/>
          <w:color w:val="auto"/>
          <w:sz w:val="24"/>
          <w:szCs w:val="24"/>
          <w:highlight w:val="none"/>
          <w:lang w:val="en-US" w:eastAsia="zh-CN"/>
        </w:rPr>
        <w:t>3.</w:t>
      </w:r>
      <w:r>
        <w:rPr>
          <w:rFonts w:hint="eastAsia" w:ascii="宋体" w:hAnsi="宋体"/>
          <w:color w:val="auto"/>
          <w:sz w:val="24"/>
          <w:szCs w:val="24"/>
          <w:highlight w:val="none"/>
          <w:lang w:val="en-US" w:eastAsia="zh-CN"/>
        </w:rPr>
        <w:t>2 项目工期</w:t>
      </w:r>
    </w:p>
    <w:p w14:paraId="4A7AE31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3.2.1 本项目施工计划工期为35个日历天（提前可以安排预制管线、盲板，原管线拆除、新管线安装、阀门安装在大修期间完成），具体开工日期以招标方开工通知书为准。3.2.2 投标方不仅要保证自己承担工作的进度，同时和招标方一起协调与其它外包系统设备的连接项目等施工进度，确保整体进度。</w:t>
      </w:r>
    </w:p>
    <w:p w14:paraId="073E9A8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3.2.3 维保服务工期内，涉及各类检修作业时不仅须按时完成项目，同时各分项工期均须按投标方要求进度时间完成。</w:t>
      </w:r>
    </w:p>
    <w:p w14:paraId="4C6B311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3.2.4 维保服务工期内，以生产装置现场实际情况为指导，不仅要求按时按进度完成本职检修工作，同时应服从招标方协调指挥要求，主动配合完成现场其他施工作业工作。</w:t>
      </w:r>
    </w:p>
    <w:p w14:paraId="1D831688">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color w:val="auto"/>
          <w:sz w:val="28"/>
          <w:szCs w:val="13"/>
          <w:highlight w:val="none"/>
        </w:rPr>
      </w:pPr>
      <w:bookmarkStart w:id="8" w:name="_Toc141011854"/>
      <w:r>
        <w:rPr>
          <w:rFonts w:hint="eastAsia"/>
          <w:color w:val="auto"/>
          <w:sz w:val="28"/>
          <w:szCs w:val="13"/>
          <w:highlight w:val="none"/>
        </w:rPr>
        <w:t xml:space="preserve">4 </w:t>
      </w:r>
      <w:r>
        <w:rPr>
          <w:rFonts w:hint="eastAsia"/>
          <w:color w:val="auto"/>
          <w:sz w:val="28"/>
          <w:szCs w:val="13"/>
          <w:highlight w:val="none"/>
          <w:lang w:val="en-US" w:eastAsia="zh-CN"/>
        </w:rPr>
        <w:t>项目内容及</w:t>
      </w:r>
      <w:r>
        <w:rPr>
          <w:rFonts w:hint="eastAsia"/>
          <w:color w:val="auto"/>
          <w:sz w:val="28"/>
          <w:szCs w:val="13"/>
          <w:highlight w:val="none"/>
        </w:rPr>
        <w:t>要求</w:t>
      </w:r>
      <w:bookmarkEnd w:id="8"/>
    </w:p>
    <w:p w14:paraId="1562D184">
      <w:pPr>
        <w:pStyle w:val="67"/>
        <w:numPr>
          <w:ilvl w:val="4"/>
          <w:numId w:val="0"/>
        </w:numPr>
        <w:spacing w:line="360" w:lineRule="auto"/>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4.1项目施工内容：</w:t>
      </w:r>
      <w:r>
        <w:rPr>
          <w:rFonts w:hint="default" w:ascii="宋体" w:hAnsi="宋体" w:eastAsia="宋体"/>
          <w:color w:val="auto"/>
          <w:sz w:val="24"/>
          <w:szCs w:val="24"/>
          <w:highlight w:val="none"/>
          <w:lang w:val="en-US" w:eastAsia="zh-CN"/>
        </w:rPr>
        <w:t>要严格按照招标文件中内容执行，包含：阀门、管道、管件拆除的所有工程量，阀门、管道、管件（包括管线静电跨接线）安装的所有工程量，相关管线隔离盲板施工的工程量。</w:t>
      </w:r>
    </w:p>
    <w:p w14:paraId="4BE8042D">
      <w:pPr>
        <w:pStyle w:val="67"/>
        <w:numPr>
          <w:ilvl w:val="4"/>
          <w:numId w:val="0"/>
        </w:numPr>
        <w:spacing w:line="360" w:lineRule="auto"/>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4.2</w:t>
      </w:r>
      <w:r>
        <w:rPr>
          <w:rFonts w:hint="default" w:ascii="宋体" w:hAnsi="宋体" w:eastAsia="宋体"/>
          <w:color w:val="auto"/>
          <w:sz w:val="24"/>
          <w:szCs w:val="24"/>
          <w:highlight w:val="none"/>
          <w:lang w:val="en-US" w:eastAsia="zh-CN"/>
        </w:rPr>
        <w:t xml:space="preserve"> 阀门、管道、管件等主材由</w:t>
      </w:r>
      <w:r>
        <w:rPr>
          <w:rFonts w:hint="eastAsia" w:ascii="宋体" w:hAnsi="宋体" w:eastAsia="宋体"/>
          <w:color w:val="auto"/>
          <w:sz w:val="24"/>
          <w:szCs w:val="24"/>
          <w:highlight w:val="none"/>
          <w:lang w:val="en-US" w:eastAsia="zh-CN"/>
        </w:rPr>
        <w:t>招标方</w:t>
      </w:r>
      <w:r>
        <w:rPr>
          <w:rFonts w:hint="default" w:ascii="宋体" w:hAnsi="宋体" w:eastAsia="宋体"/>
          <w:color w:val="auto"/>
          <w:sz w:val="24"/>
          <w:szCs w:val="24"/>
          <w:highlight w:val="none"/>
          <w:lang w:val="en-US" w:eastAsia="zh-CN"/>
        </w:rPr>
        <w:t>提供，脚手架、保温（拆装）、铁皮（拆装）、工程车辆等由</w:t>
      </w:r>
      <w:r>
        <w:rPr>
          <w:rFonts w:hint="eastAsia" w:ascii="宋体" w:hAnsi="宋体" w:eastAsia="宋体"/>
          <w:color w:val="auto"/>
          <w:sz w:val="24"/>
          <w:szCs w:val="24"/>
          <w:highlight w:val="none"/>
          <w:lang w:val="en-US" w:eastAsia="zh-CN"/>
        </w:rPr>
        <w:t>招标方</w:t>
      </w:r>
      <w:r>
        <w:rPr>
          <w:rFonts w:hint="default" w:ascii="宋体" w:hAnsi="宋体" w:eastAsia="宋体"/>
          <w:color w:val="auto"/>
          <w:sz w:val="24"/>
          <w:szCs w:val="24"/>
          <w:highlight w:val="none"/>
          <w:lang w:val="en-US" w:eastAsia="zh-CN"/>
        </w:rPr>
        <w:t>负责。材料运输由</w:t>
      </w:r>
      <w:r>
        <w:rPr>
          <w:rFonts w:hint="eastAsia" w:ascii="宋体" w:hAnsi="宋体" w:eastAsia="宋体"/>
          <w:color w:val="auto"/>
          <w:sz w:val="24"/>
          <w:szCs w:val="24"/>
          <w:highlight w:val="none"/>
          <w:lang w:val="en-US" w:eastAsia="zh-CN"/>
        </w:rPr>
        <w:t>投标方</w:t>
      </w:r>
      <w:r>
        <w:rPr>
          <w:rFonts w:hint="default" w:ascii="宋体" w:hAnsi="宋体" w:eastAsia="宋体"/>
          <w:color w:val="auto"/>
          <w:sz w:val="24"/>
          <w:szCs w:val="24"/>
          <w:highlight w:val="none"/>
          <w:lang w:val="en-US" w:eastAsia="zh-CN"/>
        </w:rPr>
        <w:t>负责。</w:t>
      </w:r>
    </w:p>
    <w:p w14:paraId="1BB5ABD8">
      <w:pPr>
        <w:pStyle w:val="67"/>
        <w:numPr>
          <w:ilvl w:val="4"/>
          <w:numId w:val="0"/>
        </w:numPr>
        <w:spacing w:line="360" w:lineRule="auto"/>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4.3</w:t>
      </w:r>
      <w:r>
        <w:rPr>
          <w:rFonts w:hint="default" w:ascii="宋体" w:hAnsi="宋体" w:eastAsia="宋体"/>
          <w:color w:val="auto"/>
          <w:sz w:val="24"/>
          <w:szCs w:val="24"/>
          <w:highlight w:val="none"/>
          <w:lang w:val="en-US" w:eastAsia="zh-CN"/>
        </w:rPr>
        <w:t xml:space="preserve"> 焊材、工器具等由</w:t>
      </w:r>
      <w:r>
        <w:rPr>
          <w:rFonts w:hint="eastAsia" w:ascii="宋体" w:hAnsi="宋体" w:eastAsia="宋体"/>
          <w:color w:val="auto"/>
          <w:sz w:val="24"/>
          <w:szCs w:val="24"/>
          <w:highlight w:val="none"/>
          <w:lang w:val="en-US" w:eastAsia="zh-CN"/>
        </w:rPr>
        <w:t>投标方</w:t>
      </w:r>
      <w:r>
        <w:rPr>
          <w:rFonts w:hint="default" w:ascii="宋体" w:hAnsi="宋体" w:eastAsia="宋体"/>
          <w:color w:val="auto"/>
          <w:sz w:val="24"/>
          <w:szCs w:val="24"/>
          <w:highlight w:val="none"/>
          <w:lang w:val="en-US" w:eastAsia="zh-CN"/>
        </w:rPr>
        <w:t>提供，</w:t>
      </w:r>
      <w:r>
        <w:rPr>
          <w:rFonts w:hint="eastAsia" w:ascii="宋体" w:hAnsi="宋体" w:eastAsia="宋体"/>
          <w:color w:val="auto"/>
          <w:sz w:val="24"/>
          <w:szCs w:val="24"/>
          <w:highlight w:val="none"/>
          <w:lang w:val="en-US" w:eastAsia="zh-CN"/>
        </w:rPr>
        <w:t>投标方</w:t>
      </w:r>
      <w:r>
        <w:rPr>
          <w:rFonts w:hint="default" w:ascii="宋体" w:hAnsi="宋体" w:eastAsia="宋体"/>
          <w:color w:val="auto"/>
          <w:sz w:val="24"/>
          <w:szCs w:val="24"/>
          <w:highlight w:val="none"/>
          <w:lang w:val="en-US" w:eastAsia="zh-CN"/>
        </w:rPr>
        <w:t>需提供焊接工艺评定，氧气、乙炔、氩气等耗材由</w:t>
      </w:r>
      <w:r>
        <w:rPr>
          <w:rFonts w:hint="eastAsia" w:ascii="宋体" w:hAnsi="宋体" w:eastAsia="宋体"/>
          <w:color w:val="auto"/>
          <w:sz w:val="24"/>
          <w:szCs w:val="24"/>
          <w:highlight w:val="none"/>
          <w:lang w:val="en-US" w:eastAsia="zh-CN"/>
        </w:rPr>
        <w:t>投标方</w:t>
      </w:r>
      <w:r>
        <w:rPr>
          <w:rFonts w:hint="default" w:ascii="宋体" w:hAnsi="宋体" w:eastAsia="宋体"/>
          <w:color w:val="auto"/>
          <w:sz w:val="24"/>
          <w:szCs w:val="24"/>
          <w:highlight w:val="none"/>
          <w:lang w:val="en-US" w:eastAsia="zh-CN"/>
        </w:rPr>
        <w:t>提供。</w:t>
      </w:r>
    </w:p>
    <w:p w14:paraId="2E8DEF56">
      <w:pPr>
        <w:pStyle w:val="67"/>
        <w:numPr>
          <w:ilvl w:val="4"/>
          <w:numId w:val="0"/>
        </w:numPr>
        <w:spacing w:line="360" w:lineRule="auto"/>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4.4</w:t>
      </w:r>
      <w:r>
        <w:rPr>
          <w:rFonts w:hint="default" w:ascii="宋体" w:hAnsi="宋体" w:eastAsia="宋体"/>
          <w:color w:val="auto"/>
          <w:sz w:val="24"/>
          <w:szCs w:val="24"/>
          <w:highlight w:val="none"/>
          <w:lang w:val="en-US" w:eastAsia="zh-CN"/>
        </w:rPr>
        <w:t>现场施工中必须做好防火、接火措施、临时用电和个人防护措施以及高处作业防护措施。</w:t>
      </w:r>
    </w:p>
    <w:p w14:paraId="0C769DD5">
      <w:pPr>
        <w:pStyle w:val="67"/>
        <w:numPr>
          <w:ilvl w:val="4"/>
          <w:numId w:val="0"/>
        </w:numPr>
        <w:spacing w:line="360" w:lineRule="auto"/>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4.5</w:t>
      </w:r>
      <w:r>
        <w:rPr>
          <w:rFonts w:hint="default" w:ascii="宋体" w:hAnsi="宋体" w:eastAsia="宋体"/>
          <w:color w:val="auto"/>
          <w:sz w:val="24"/>
          <w:szCs w:val="24"/>
          <w:highlight w:val="none"/>
          <w:lang w:val="en-US" w:eastAsia="zh-CN"/>
        </w:rPr>
        <w:t>管道焊缝检测按照规范要求及设计说明进行。</w:t>
      </w:r>
    </w:p>
    <w:p w14:paraId="7B4454B2">
      <w:pPr>
        <w:pStyle w:val="67"/>
        <w:numPr>
          <w:ilvl w:val="4"/>
          <w:numId w:val="0"/>
        </w:numPr>
        <w:spacing w:line="360" w:lineRule="auto"/>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4.6</w:t>
      </w:r>
      <w:r>
        <w:rPr>
          <w:rFonts w:hint="default" w:ascii="宋体" w:hAnsi="宋体" w:eastAsia="宋体"/>
          <w:color w:val="auto"/>
          <w:sz w:val="24"/>
          <w:szCs w:val="24"/>
          <w:highlight w:val="none"/>
          <w:lang w:val="en-US" w:eastAsia="zh-CN"/>
        </w:rPr>
        <w:t>除</w:t>
      </w:r>
      <w:r>
        <w:rPr>
          <w:rFonts w:hint="eastAsia" w:ascii="宋体" w:hAnsi="宋体" w:eastAsia="宋体"/>
          <w:color w:val="auto"/>
          <w:sz w:val="24"/>
          <w:szCs w:val="24"/>
          <w:highlight w:val="none"/>
          <w:lang w:val="en-US" w:eastAsia="zh-CN"/>
        </w:rPr>
        <w:t>招标方</w:t>
      </w:r>
      <w:r>
        <w:rPr>
          <w:rFonts w:hint="default" w:ascii="宋体" w:hAnsi="宋体" w:eastAsia="宋体"/>
          <w:color w:val="auto"/>
          <w:sz w:val="24"/>
          <w:szCs w:val="24"/>
          <w:highlight w:val="none"/>
          <w:lang w:val="en-US" w:eastAsia="zh-CN"/>
        </w:rPr>
        <w:t>特别明确之外，未明确部分又是施工所必须的材料均由</w:t>
      </w:r>
      <w:r>
        <w:rPr>
          <w:rFonts w:hint="eastAsia" w:ascii="宋体" w:hAnsi="宋体" w:eastAsia="宋体"/>
          <w:color w:val="auto"/>
          <w:sz w:val="24"/>
          <w:szCs w:val="24"/>
          <w:highlight w:val="none"/>
          <w:lang w:val="en-US" w:eastAsia="zh-CN"/>
        </w:rPr>
        <w:t>投标方</w:t>
      </w:r>
      <w:r>
        <w:rPr>
          <w:rFonts w:hint="default" w:ascii="宋体" w:hAnsi="宋体" w:eastAsia="宋体"/>
          <w:color w:val="auto"/>
          <w:sz w:val="24"/>
          <w:szCs w:val="24"/>
          <w:highlight w:val="none"/>
          <w:lang w:val="en-US" w:eastAsia="zh-CN"/>
        </w:rPr>
        <w:t>负责。</w:t>
      </w:r>
    </w:p>
    <w:p w14:paraId="26BDDA21">
      <w:pPr>
        <w:pStyle w:val="67"/>
        <w:numPr>
          <w:ilvl w:val="4"/>
          <w:numId w:val="0"/>
        </w:numPr>
        <w:spacing w:line="360" w:lineRule="auto"/>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4.7</w:t>
      </w:r>
      <w:r>
        <w:rPr>
          <w:rFonts w:hint="default" w:ascii="宋体" w:hAnsi="宋体" w:eastAsia="宋体"/>
          <w:color w:val="auto"/>
          <w:sz w:val="24"/>
          <w:szCs w:val="24"/>
          <w:highlight w:val="none"/>
          <w:lang w:val="en-US" w:eastAsia="zh-CN"/>
        </w:rPr>
        <w:t xml:space="preserve"> </w:t>
      </w:r>
      <w:r>
        <w:rPr>
          <w:rFonts w:hint="eastAsia" w:ascii="宋体" w:hAnsi="宋体" w:eastAsia="宋体"/>
          <w:color w:val="auto"/>
          <w:sz w:val="24"/>
          <w:szCs w:val="24"/>
          <w:highlight w:val="none"/>
          <w:lang w:val="en-US" w:eastAsia="zh-CN"/>
        </w:rPr>
        <w:t>投标方</w:t>
      </w:r>
      <w:r>
        <w:rPr>
          <w:rFonts w:hint="default" w:ascii="宋体" w:hAnsi="宋体" w:eastAsia="宋体"/>
          <w:color w:val="auto"/>
          <w:sz w:val="24"/>
          <w:szCs w:val="24"/>
          <w:highlight w:val="none"/>
          <w:lang w:val="en-US" w:eastAsia="zh-CN"/>
        </w:rPr>
        <w:t>投标前应仔细阅读伊犁新天煤化工有限责任公司外包项目安健环管理标准，并按照管理标准严格执行。</w:t>
      </w:r>
    </w:p>
    <w:p w14:paraId="242C55A9">
      <w:pPr>
        <w:pStyle w:val="67"/>
        <w:numPr>
          <w:ilvl w:val="4"/>
          <w:numId w:val="0"/>
        </w:numPr>
        <w:spacing w:line="360" w:lineRule="auto"/>
        <w:jc w:val="left"/>
        <w:rPr>
          <w:rFonts w:hint="eastAsia" w:ascii="宋体" w:hAnsi="宋体" w:eastAsia="宋体"/>
          <w:color w:val="auto"/>
          <w:sz w:val="24"/>
          <w:szCs w:val="24"/>
          <w:highlight w:val="none"/>
          <w:lang w:val="en-US" w:eastAsia="zh-CN"/>
        </w:rPr>
      </w:pPr>
      <w:r>
        <w:rPr>
          <w:rFonts w:hint="default" w:ascii="宋体" w:hAnsi="宋体" w:eastAsia="宋体"/>
          <w:color w:val="auto"/>
          <w:sz w:val="24"/>
          <w:szCs w:val="24"/>
          <w:highlight w:val="none"/>
          <w:lang w:val="en-US" w:eastAsia="zh-CN"/>
        </w:rPr>
        <w:t>4.</w:t>
      </w:r>
      <w:r>
        <w:rPr>
          <w:rFonts w:hint="eastAsia" w:ascii="宋体" w:hAnsi="宋体" w:eastAsia="宋体"/>
          <w:color w:val="auto"/>
          <w:sz w:val="24"/>
          <w:szCs w:val="24"/>
          <w:highlight w:val="none"/>
          <w:lang w:val="en-US" w:eastAsia="zh-CN"/>
        </w:rPr>
        <w:t>8</w:t>
      </w:r>
      <w:r>
        <w:rPr>
          <w:rFonts w:hint="default" w:ascii="宋体" w:hAnsi="宋体" w:eastAsia="宋体"/>
          <w:color w:val="auto"/>
          <w:sz w:val="24"/>
          <w:szCs w:val="24"/>
          <w:highlight w:val="none"/>
          <w:lang w:val="en-US" w:eastAsia="zh-CN"/>
        </w:rPr>
        <w:t xml:space="preserve"> </w:t>
      </w:r>
      <w:r>
        <w:rPr>
          <w:rFonts w:hint="eastAsia" w:ascii="宋体" w:hAnsi="宋体" w:eastAsia="宋体"/>
          <w:color w:val="auto"/>
          <w:sz w:val="24"/>
          <w:szCs w:val="24"/>
          <w:highlight w:val="none"/>
          <w:lang w:val="en-US" w:eastAsia="zh-CN"/>
        </w:rPr>
        <w:t>检修项目及工日</w:t>
      </w:r>
    </w:p>
    <w:p w14:paraId="4ABD8317">
      <w:pPr>
        <w:pStyle w:val="159"/>
        <w:rPr>
          <w:rFonts w:hint="eastAsia" w:ascii="宋体" w:hAnsi="宋体" w:cs="宋体"/>
          <w:bCs/>
          <w:color w:val="auto"/>
          <w:kern w:val="0"/>
          <w:sz w:val="24"/>
          <w:szCs w:val="24"/>
          <w:highlight w:val="none"/>
        </w:rPr>
      </w:pPr>
      <w:bookmarkStart w:id="9" w:name="_Toc80271046"/>
      <w:bookmarkEnd w:id="9"/>
      <w:bookmarkStart w:id="10" w:name="_Toc80271047"/>
      <w:bookmarkEnd w:id="10"/>
      <w:bookmarkStart w:id="11" w:name="_Toc141011855"/>
      <w:r>
        <w:rPr>
          <w:rFonts w:hint="eastAsia" w:ascii="宋体" w:hAnsi="宋体" w:cs="Times New Roman"/>
          <w:color w:val="auto"/>
          <w:sz w:val="24"/>
          <w:szCs w:val="24"/>
          <w:highlight w:val="none"/>
          <w:lang w:val="en-US" w:eastAsia="zh-CN"/>
        </w:rPr>
        <w:t>4.8.1</w:t>
      </w:r>
      <w:r>
        <w:rPr>
          <w:rFonts w:hint="eastAsia" w:ascii="宋体" w:hAnsi="宋体" w:cs="宋体"/>
          <w:bCs/>
          <w:color w:val="auto"/>
          <w:kern w:val="0"/>
          <w:sz w:val="24"/>
          <w:szCs w:val="24"/>
          <w:highlight w:val="none"/>
        </w:rPr>
        <w:t>煤气水125</w:t>
      </w:r>
      <w:r>
        <w:rPr>
          <w:rFonts w:hint="eastAsia" w:ascii="宋体" w:hAnsi="宋体" w:cs="宋体"/>
          <w:bCs/>
          <w:color w:val="auto"/>
          <w:kern w:val="0"/>
          <w:sz w:val="24"/>
          <w:szCs w:val="24"/>
          <w:highlight w:val="none"/>
          <w:lang w:val="en-US" w:eastAsia="zh-CN"/>
        </w:rPr>
        <w:t>BF</w:t>
      </w:r>
      <w:r>
        <w:rPr>
          <w:rFonts w:hint="eastAsia" w:ascii="宋体" w:hAnsi="宋体" w:cs="宋体"/>
          <w:bCs/>
          <w:color w:val="auto"/>
          <w:kern w:val="0"/>
          <w:sz w:val="24"/>
          <w:szCs w:val="24"/>
          <w:highlight w:val="none"/>
        </w:rPr>
        <w:t>系列</w:t>
      </w:r>
      <w:r>
        <w:rPr>
          <w:rFonts w:hint="eastAsia" w:ascii="宋体" w:hAnsi="宋体" w:cs="宋体"/>
          <w:bCs/>
          <w:color w:val="auto"/>
          <w:kern w:val="0"/>
          <w:sz w:val="24"/>
          <w:szCs w:val="24"/>
          <w:highlight w:val="none"/>
          <w:lang w:val="en-US" w:eastAsia="zh-CN"/>
        </w:rPr>
        <w:t>排污</w:t>
      </w:r>
      <w:r>
        <w:rPr>
          <w:rFonts w:hint="eastAsia" w:ascii="宋体" w:hAnsi="宋体" w:cs="宋体"/>
          <w:bCs/>
          <w:color w:val="auto"/>
          <w:kern w:val="0"/>
          <w:sz w:val="24"/>
          <w:szCs w:val="24"/>
          <w:highlight w:val="none"/>
        </w:rPr>
        <w:t>管线拆除工程量：</w:t>
      </w:r>
    </w:p>
    <w:tbl>
      <w:tblPr>
        <w:tblStyle w:val="29"/>
        <w:tblW w:w="91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3150"/>
        <w:gridCol w:w="1605"/>
        <w:gridCol w:w="1515"/>
        <w:gridCol w:w="2130"/>
      </w:tblGrid>
      <w:tr w14:paraId="04DF1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729" w:type="dxa"/>
          </w:tcPr>
          <w:p w14:paraId="6BBD2118">
            <w:pPr>
              <w:pStyle w:val="159"/>
              <w:rPr>
                <w:rFonts w:ascii="宋体" w:hAnsi="宋体" w:cs="宋体"/>
                <w:color w:val="auto"/>
                <w:sz w:val="24"/>
                <w:szCs w:val="24"/>
                <w:highlight w:val="none"/>
              </w:rPr>
            </w:pPr>
            <w:r>
              <w:rPr>
                <w:rFonts w:hint="eastAsia" w:ascii="宋体" w:hAnsi="宋体" w:cs="宋体"/>
                <w:color w:val="auto"/>
                <w:sz w:val="24"/>
                <w:szCs w:val="24"/>
                <w:highlight w:val="none"/>
              </w:rPr>
              <w:t>序号</w:t>
            </w:r>
          </w:p>
        </w:tc>
        <w:tc>
          <w:tcPr>
            <w:tcW w:w="3150" w:type="dxa"/>
          </w:tcPr>
          <w:p w14:paraId="39D59E25">
            <w:pPr>
              <w:pStyle w:val="159"/>
              <w:rPr>
                <w:rFonts w:ascii="宋体" w:hAnsi="宋体" w:cs="宋体"/>
                <w:color w:val="auto"/>
                <w:sz w:val="24"/>
                <w:szCs w:val="24"/>
                <w:highlight w:val="none"/>
              </w:rPr>
            </w:pPr>
            <w:r>
              <w:rPr>
                <w:rFonts w:hint="eastAsia" w:ascii="宋体" w:hAnsi="宋体" w:cs="宋体"/>
                <w:color w:val="auto"/>
                <w:sz w:val="24"/>
                <w:szCs w:val="24"/>
                <w:highlight w:val="none"/>
              </w:rPr>
              <w:t>内容</w:t>
            </w:r>
          </w:p>
        </w:tc>
        <w:tc>
          <w:tcPr>
            <w:tcW w:w="1605" w:type="dxa"/>
          </w:tcPr>
          <w:p w14:paraId="121874B9">
            <w:pPr>
              <w:pStyle w:val="159"/>
              <w:jc w:val="left"/>
              <w:rPr>
                <w:rFonts w:ascii="宋体" w:hAnsi="宋体" w:cs="宋体"/>
                <w:color w:val="auto"/>
                <w:sz w:val="24"/>
                <w:szCs w:val="24"/>
                <w:highlight w:val="none"/>
              </w:rPr>
            </w:pPr>
            <w:r>
              <w:rPr>
                <w:rFonts w:hint="eastAsia" w:ascii="宋体" w:hAnsi="宋体" w:cs="宋体"/>
                <w:color w:val="auto"/>
                <w:sz w:val="24"/>
                <w:szCs w:val="24"/>
                <w:highlight w:val="none"/>
              </w:rPr>
              <w:t>拆除</w:t>
            </w:r>
            <w:r>
              <w:rPr>
                <w:rFonts w:hint="eastAsia" w:ascii="宋体" w:hAnsi="宋体" w:cs="宋体"/>
                <w:color w:val="auto"/>
                <w:sz w:val="24"/>
                <w:szCs w:val="24"/>
                <w:highlight w:val="none"/>
              </w:rPr>
              <w:t>数量</w:t>
            </w:r>
          </w:p>
        </w:tc>
        <w:tc>
          <w:tcPr>
            <w:tcW w:w="1515" w:type="dxa"/>
          </w:tcPr>
          <w:p w14:paraId="6A018F6F">
            <w:pPr>
              <w:jc w:val="left"/>
              <w:rPr>
                <w:color w:val="auto"/>
                <w:highlight w:val="none"/>
              </w:rPr>
            </w:pPr>
            <w:r>
              <w:rPr>
                <w:rFonts w:hint="eastAsia" w:ascii="宋体" w:hAnsi="宋体"/>
                <w:color w:val="auto"/>
                <w:sz w:val="24"/>
                <w:szCs w:val="24"/>
                <w:highlight w:val="none"/>
              </w:rPr>
              <w:t>拆除位置</w:t>
            </w:r>
          </w:p>
        </w:tc>
        <w:tc>
          <w:tcPr>
            <w:tcW w:w="2130" w:type="dxa"/>
          </w:tcPr>
          <w:p w14:paraId="4AD2612E">
            <w:pPr>
              <w:pStyle w:val="159"/>
              <w:ind w:firstLine="480" w:firstLineChars="20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备注</w:t>
            </w:r>
          </w:p>
        </w:tc>
      </w:tr>
      <w:tr w14:paraId="6804D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729" w:type="dxa"/>
          </w:tcPr>
          <w:p w14:paraId="5B7EE908">
            <w:pPr>
              <w:pStyle w:val="159"/>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3150" w:type="dxa"/>
          </w:tcPr>
          <w:p w14:paraId="7E305888">
            <w:pPr>
              <w:pStyle w:val="15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无缝管Φ610*10mm    20#</w:t>
            </w:r>
          </w:p>
        </w:tc>
        <w:tc>
          <w:tcPr>
            <w:tcW w:w="1605" w:type="dxa"/>
          </w:tcPr>
          <w:p w14:paraId="6F983E35">
            <w:pPr>
              <w:pStyle w:val="15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6米</w:t>
            </w:r>
          </w:p>
        </w:tc>
        <w:tc>
          <w:tcPr>
            <w:tcW w:w="1515" w:type="dxa"/>
          </w:tcPr>
          <w:p w14:paraId="192ABDAB">
            <w:pPr>
              <w:pStyle w:val="15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1#框架1层</w:t>
            </w:r>
          </w:p>
        </w:tc>
        <w:tc>
          <w:tcPr>
            <w:tcW w:w="2130" w:type="dxa"/>
          </w:tcPr>
          <w:p w14:paraId="58AD61E0">
            <w:pPr>
              <w:pStyle w:val="159"/>
              <w:rPr>
                <w:rFonts w:ascii="宋体" w:hAnsi="宋体" w:cs="宋体"/>
                <w:color w:val="auto"/>
                <w:sz w:val="24"/>
                <w:szCs w:val="24"/>
                <w:highlight w:val="none"/>
              </w:rPr>
            </w:pPr>
          </w:p>
        </w:tc>
      </w:tr>
      <w:tr w14:paraId="2184F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29" w:type="dxa"/>
          </w:tcPr>
          <w:p w14:paraId="2D4788AD">
            <w:pPr>
              <w:pStyle w:val="159"/>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3150" w:type="dxa"/>
          </w:tcPr>
          <w:p w14:paraId="2F1C2725">
            <w:pPr>
              <w:pStyle w:val="15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无缝管Φ114.3*6.3mm  20#</w:t>
            </w:r>
          </w:p>
        </w:tc>
        <w:tc>
          <w:tcPr>
            <w:tcW w:w="1605" w:type="dxa"/>
          </w:tcPr>
          <w:p w14:paraId="791F6645">
            <w:pPr>
              <w:pStyle w:val="15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3米</w:t>
            </w:r>
          </w:p>
        </w:tc>
        <w:tc>
          <w:tcPr>
            <w:tcW w:w="1515" w:type="dxa"/>
          </w:tcPr>
          <w:p w14:paraId="4BA5EC81">
            <w:pPr>
              <w:pStyle w:val="159"/>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1#框架1层</w:t>
            </w:r>
          </w:p>
        </w:tc>
        <w:tc>
          <w:tcPr>
            <w:tcW w:w="2130" w:type="dxa"/>
          </w:tcPr>
          <w:p w14:paraId="323F2D33">
            <w:pPr>
              <w:pStyle w:val="159"/>
              <w:rPr>
                <w:rFonts w:ascii="宋体" w:hAnsi="宋体" w:cs="宋体"/>
                <w:color w:val="auto"/>
                <w:sz w:val="24"/>
                <w:szCs w:val="24"/>
                <w:highlight w:val="none"/>
              </w:rPr>
            </w:pPr>
          </w:p>
        </w:tc>
      </w:tr>
      <w:tr w14:paraId="22F9C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29" w:type="dxa"/>
          </w:tcPr>
          <w:p w14:paraId="2C45BF78">
            <w:pPr>
              <w:pStyle w:val="15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p>
        </w:tc>
        <w:tc>
          <w:tcPr>
            <w:tcW w:w="3150" w:type="dxa"/>
          </w:tcPr>
          <w:p w14:paraId="45908ACC">
            <w:pPr>
              <w:pStyle w:val="159"/>
              <w:rPr>
                <w:rFonts w:hint="default" w:ascii="宋体" w:hAnsi="宋体" w:cs="宋体"/>
                <w:color w:val="auto"/>
                <w:sz w:val="24"/>
                <w:szCs w:val="24"/>
                <w:highlight w:val="none"/>
                <w:lang w:val="en-US"/>
              </w:rPr>
            </w:pPr>
            <w:r>
              <w:rPr>
                <w:rFonts w:hint="eastAsia" w:ascii="宋体" w:hAnsi="宋体" w:cs="宋体"/>
                <w:color w:val="auto"/>
                <w:sz w:val="24"/>
                <w:szCs w:val="24"/>
                <w:highlight w:val="none"/>
                <w:lang w:val="en-US" w:eastAsia="zh-CN"/>
              </w:rPr>
              <w:t>无缝管Φ219.1*7.1mm  20#</w:t>
            </w:r>
          </w:p>
        </w:tc>
        <w:tc>
          <w:tcPr>
            <w:tcW w:w="1605" w:type="dxa"/>
          </w:tcPr>
          <w:p w14:paraId="08A11EC0">
            <w:pPr>
              <w:pStyle w:val="15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3米</w:t>
            </w:r>
          </w:p>
        </w:tc>
        <w:tc>
          <w:tcPr>
            <w:tcW w:w="1515" w:type="dxa"/>
          </w:tcPr>
          <w:p w14:paraId="56D13F46">
            <w:pPr>
              <w:pStyle w:val="15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地面</w:t>
            </w:r>
          </w:p>
        </w:tc>
        <w:tc>
          <w:tcPr>
            <w:tcW w:w="2130" w:type="dxa"/>
          </w:tcPr>
          <w:p w14:paraId="25FF40B4">
            <w:pPr>
              <w:pStyle w:val="159"/>
              <w:rPr>
                <w:rFonts w:ascii="宋体" w:hAnsi="宋体" w:cs="宋体"/>
                <w:color w:val="auto"/>
                <w:sz w:val="24"/>
                <w:szCs w:val="24"/>
                <w:highlight w:val="none"/>
              </w:rPr>
            </w:pPr>
          </w:p>
        </w:tc>
      </w:tr>
      <w:tr w14:paraId="36C34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29" w:type="dxa"/>
          </w:tcPr>
          <w:p w14:paraId="0A5BC596">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p>
        </w:tc>
        <w:tc>
          <w:tcPr>
            <w:tcW w:w="3150" w:type="dxa"/>
          </w:tcPr>
          <w:p w14:paraId="205049C2">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三通DN600\DN100 20#</w:t>
            </w:r>
          </w:p>
        </w:tc>
        <w:tc>
          <w:tcPr>
            <w:tcW w:w="1605" w:type="dxa"/>
          </w:tcPr>
          <w:p w14:paraId="053CC182">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1件</w:t>
            </w:r>
          </w:p>
        </w:tc>
        <w:tc>
          <w:tcPr>
            <w:tcW w:w="1515" w:type="dxa"/>
          </w:tcPr>
          <w:p w14:paraId="32582317">
            <w:pPr>
              <w:pStyle w:val="15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1#框架1层</w:t>
            </w:r>
          </w:p>
        </w:tc>
        <w:tc>
          <w:tcPr>
            <w:tcW w:w="2130" w:type="dxa"/>
          </w:tcPr>
          <w:p w14:paraId="12B6D1C1">
            <w:pPr>
              <w:pStyle w:val="159"/>
              <w:rPr>
                <w:rFonts w:ascii="宋体" w:hAnsi="宋体" w:cs="宋体"/>
                <w:color w:val="auto"/>
                <w:sz w:val="24"/>
                <w:szCs w:val="24"/>
                <w:highlight w:val="none"/>
              </w:rPr>
            </w:pPr>
          </w:p>
        </w:tc>
      </w:tr>
      <w:tr w14:paraId="0F726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29" w:type="dxa"/>
          </w:tcPr>
          <w:p w14:paraId="5E6D4652">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p>
        </w:tc>
        <w:tc>
          <w:tcPr>
            <w:tcW w:w="3150" w:type="dxa"/>
          </w:tcPr>
          <w:p w14:paraId="693039C9">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无缝管 φ21.3*3.6mm  304</w:t>
            </w:r>
          </w:p>
        </w:tc>
        <w:tc>
          <w:tcPr>
            <w:tcW w:w="1605" w:type="dxa"/>
          </w:tcPr>
          <w:p w14:paraId="3DE3E84D">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20米</w:t>
            </w:r>
          </w:p>
        </w:tc>
        <w:tc>
          <w:tcPr>
            <w:tcW w:w="1515" w:type="dxa"/>
          </w:tcPr>
          <w:p w14:paraId="0122F4D6">
            <w:pPr>
              <w:pStyle w:val="15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1#框架1层</w:t>
            </w:r>
          </w:p>
        </w:tc>
        <w:tc>
          <w:tcPr>
            <w:tcW w:w="2130" w:type="dxa"/>
          </w:tcPr>
          <w:p w14:paraId="2CB39812">
            <w:pPr>
              <w:pStyle w:val="159"/>
              <w:rPr>
                <w:rFonts w:ascii="宋体" w:hAnsi="宋体" w:cs="宋体"/>
                <w:color w:val="auto"/>
                <w:sz w:val="24"/>
                <w:szCs w:val="24"/>
                <w:highlight w:val="none"/>
              </w:rPr>
            </w:pPr>
          </w:p>
        </w:tc>
      </w:tr>
    </w:tbl>
    <w:p w14:paraId="4F5D9E78">
      <w:pPr>
        <w:pStyle w:val="159"/>
        <w:rPr>
          <w:rFonts w:hint="eastAsia" w:ascii="宋体" w:hAnsi="宋体" w:cs="宋体"/>
          <w:bCs/>
          <w:color w:val="auto"/>
          <w:kern w:val="0"/>
          <w:sz w:val="24"/>
          <w:szCs w:val="24"/>
          <w:highlight w:val="none"/>
        </w:rPr>
      </w:pPr>
    </w:p>
    <w:p w14:paraId="6B2062A6">
      <w:pPr>
        <w:pStyle w:val="159"/>
        <w:rPr>
          <w:rFonts w:hint="eastAsia" w:ascii="宋体" w:hAnsi="宋体"/>
          <w:bCs/>
          <w:color w:val="auto"/>
          <w:kern w:val="0"/>
          <w:sz w:val="24"/>
          <w:szCs w:val="24"/>
          <w:highlight w:val="none"/>
        </w:rPr>
      </w:pPr>
      <w:r>
        <w:rPr>
          <w:rFonts w:ascii="宋体" w:hAnsi="宋体" w:cs="宋体"/>
          <w:bCs/>
          <w:color w:val="auto"/>
          <w:kern w:val="0"/>
          <w:sz w:val="24"/>
          <w:szCs w:val="24"/>
          <w:highlight w:val="none"/>
        </w:rPr>
        <w:t xml:space="preserve"> </w:t>
      </w:r>
      <w:r>
        <w:rPr>
          <w:rFonts w:hint="eastAsia" w:ascii="宋体" w:hAnsi="宋体" w:cs="宋体"/>
          <w:bCs/>
          <w:color w:val="auto"/>
          <w:kern w:val="0"/>
          <w:sz w:val="24"/>
          <w:szCs w:val="24"/>
          <w:highlight w:val="none"/>
          <w:lang w:val="en-US" w:eastAsia="zh-CN"/>
        </w:rPr>
        <w:t>4.8.2</w:t>
      </w:r>
      <w:r>
        <w:rPr>
          <w:rFonts w:hint="eastAsia" w:ascii="宋体" w:hAnsi="宋体" w:cs="宋体"/>
          <w:bCs/>
          <w:color w:val="auto"/>
          <w:kern w:val="0"/>
          <w:sz w:val="24"/>
          <w:szCs w:val="24"/>
          <w:highlight w:val="none"/>
        </w:rPr>
        <w:t>煤气水125</w:t>
      </w:r>
      <w:r>
        <w:rPr>
          <w:rFonts w:hint="eastAsia" w:ascii="宋体" w:hAnsi="宋体" w:cs="宋体"/>
          <w:bCs/>
          <w:color w:val="auto"/>
          <w:kern w:val="0"/>
          <w:sz w:val="24"/>
          <w:szCs w:val="24"/>
          <w:highlight w:val="none"/>
          <w:lang w:val="en-US" w:eastAsia="zh-CN"/>
        </w:rPr>
        <w:t>BF</w:t>
      </w:r>
      <w:r>
        <w:rPr>
          <w:rFonts w:hint="eastAsia" w:ascii="宋体" w:hAnsi="宋体" w:cs="宋体"/>
          <w:bCs/>
          <w:color w:val="auto"/>
          <w:kern w:val="0"/>
          <w:sz w:val="24"/>
          <w:szCs w:val="24"/>
          <w:highlight w:val="none"/>
        </w:rPr>
        <w:t>系列</w:t>
      </w:r>
      <w:r>
        <w:rPr>
          <w:rFonts w:hint="eastAsia" w:ascii="宋体" w:hAnsi="宋体" w:cs="宋体"/>
          <w:bCs/>
          <w:color w:val="auto"/>
          <w:kern w:val="0"/>
          <w:sz w:val="24"/>
          <w:szCs w:val="24"/>
          <w:highlight w:val="none"/>
          <w:lang w:val="en-US" w:eastAsia="zh-CN"/>
        </w:rPr>
        <w:t>排污</w:t>
      </w:r>
      <w:r>
        <w:rPr>
          <w:rFonts w:hint="eastAsia" w:ascii="宋体" w:hAnsi="宋体" w:cs="宋体"/>
          <w:bCs/>
          <w:color w:val="auto"/>
          <w:kern w:val="0"/>
          <w:sz w:val="24"/>
          <w:szCs w:val="24"/>
          <w:highlight w:val="none"/>
        </w:rPr>
        <w:t>管线</w:t>
      </w:r>
      <w:r>
        <w:rPr>
          <w:rFonts w:hint="eastAsia" w:ascii="宋体" w:hAnsi="宋体"/>
          <w:bCs/>
          <w:color w:val="auto"/>
          <w:kern w:val="0"/>
          <w:sz w:val="24"/>
          <w:szCs w:val="24"/>
          <w:highlight w:val="none"/>
        </w:rPr>
        <w:t>安装工程量：</w:t>
      </w:r>
    </w:p>
    <w:tbl>
      <w:tblPr>
        <w:tblStyle w:val="29"/>
        <w:tblW w:w="91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3135"/>
        <w:gridCol w:w="1605"/>
        <w:gridCol w:w="1485"/>
        <w:gridCol w:w="2160"/>
      </w:tblGrid>
      <w:tr w14:paraId="3D87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759" w:type="dxa"/>
          </w:tcPr>
          <w:p w14:paraId="69B0F432">
            <w:pPr>
              <w:pStyle w:val="159"/>
              <w:rPr>
                <w:rFonts w:ascii="宋体" w:hAnsi="宋体" w:cs="宋体"/>
                <w:color w:val="auto"/>
                <w:sz w:val="24"/>
                <w:szCs w:val="24"/>
                <w:highlight w:val="none"/>
              </w:rPr>
            </w:pPr>
            <w:r>
              <w:rPr>
                <w:rFonts w:hint="eastAsia" w:ascii="宋体" w:hAnsi="宋体" w:cs="宋体"/>
                <w:color w:val="auto"/>
                <w:sz w:val="24"/>
                <w:szCs w:val="24"/>
                <w:highlight w:val="none"/>
              </w:rPr>
              <w:t>序号</w:t>
            </w:r>
          </w:p>
        </w:tc>
        <w:tc>
          <w:tcPr>
            <w:tcW w:w="3135" w:type="dxa"/>
          </w:tcPr>
          <w:p w14:paraId="1B1DB23A">
            <w:pPr>
              <w:pStyle w:val="159"/>
              <w:rPr>
                <w:rFonts w:ascii="宋体" w:hAnsi="宋体" w:cs="宋体"/>
                <w:color w:val="auto"/>
                <w:sz w:val="24"/>
                <w:szCs w:val="24"/>
                <w:highlight w:val="none"/>
              </w:rPr>
            </w:pPr>
            <w:r>
              <w:rPr>
                <w:rFonts w:hint="eastAsia" w:ascii="宋体" w:hAnsi="宋体" w:cs="宋体"/>
                <w:color w:val="auto"/>
                <w:sz w:val="24"/>
                <w:szCs w:val="24"/>
                <w:highlight w:val="none"/>
              </w:rPr>
              <w:t>内容</w:t>
            </w:r>
          </w:p>
        </w:tc>
        <w:tc>
          <w:tcPr>
            <w:tcW w:w="1605" w:type="dxa"/>
          </w:tcPr>
          <w:p w14:paraId="23E055F4">
            <w:pPr>
              <w:pStyle w:val="159"/>
              <w:rPr>
                <w:rFonts w:ascii="宋体" w:hAnsi="宋体" w:cs="宋体"/>
                <w:color w:val="auto"/>
                <w:sz w:val="24"/>
                <w:szCs w:val="24"/>
                <w:highlight w:val="none"/>
              </w:rPr>
            </w:pPr>
            <w:r>
              <w:rPr>
                <w:rFonts w:hint="eastAsia" w:ascii="宋体" w:hAnsi="宋体" w:cs="宋体"/>
                <w:color w:val="auto"/>
                <w:sz w:val="24"/>
                <w:szCs w:val="24"/>
                <w:highlight w:val="none"/>
              </w:rPr>
              <w:t>安装</w:t>
            </w:r>
            <w:r>
              <w:rPr>
                <w:rFonts w:hint="eastAsia" w:ascii="宋体" w:hAnsi="宋体" w:cs="宋体"/>
                <w:color w:val="auto"/>
                <w:sz w:val="24"/>
                <w:szCs w:val="24"/>
                <w:highlight w:val="none"/>
              </w:rPr>
              <w:t>数量</w:t>
            </w:r>
          </w:p>
        </w:tc>
        <w:tc>
          <w:tcPr>
            <w:tcW w:w="1485" w:type="dxa"/>
          </w:tcPr>
          <w:p w14:paraId="779C22CD">
            <w:pPr>
              <w:pStyle w:val="159"/>
              <w:rPr>
                <w:rFonts w:ascii="宋体" w:hAnsi="宋体" w:cs="宋体"/>
                <w:color w:val="auto"/>
                <w:sz w:val="24"/>
                <w:szCs w:val="24"/>
                <w:highlight w:val="none"/>
              </w:rPr>
            </w:pPr>
            <w:r>
              <w:rPr>
                <w:rFonts w:hint="eastAsia" w:ascii="宋体" w:hAnsi="宋体" w:cs="宋体"/>
                <w:color w:val="auto"/>
                <w:sz w:val="24"/>
                <w:szCs w:val="24"/>
                <w:highlight w:val="none"/>
              </w:rPr>
              <w:t xml:space="preserve">  安装位置</w:t>
            </w:r>
          </w:p>
        </w:tc>
        <w:tc>
          <w:tcPr>
            <w:tcW w:w="2160" w:type="dxa"/>
          </w:tcPr>
          <w:p w14:paraId="19076343">
            <w:pPr>
              <w:pStyle w:val="159"/>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备注</w:t>
            </w:r>
          </w:p>
        </w:tc>
      </w:tr>
      <w:tr w14:paraId="00B85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759" w:type="dxa"/>
          </w:tcPr>
          <w:p w14:paraId="404B687F">
            <w:pPr>
              <w:pStyle w:val="159"/>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3135" w:type="dxa"/>
          </w:tcPr>
          <w:p w14:paraId="1F05711E">
            <w:pPr>
              <w:pStyle w:val="159"/>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闸板</w:t>
            </w:r>
            <w:r>
              <w:rPr>
                <w:rFonts w:hint="eastAsia" w:ascii="宋体" w:hAnsi="宋体" w:cs="宋体"/>
                <w:color w:val="auto"/>
                <w:sz w:val="24"/>
                <w:szCs w:val="24"/>
                <w:highlight w:val="none"/>
              </w:rPr>
              <w:t>阀 DN</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 xml:space="preserve">00-150LB    </w:t>
            </w:r>
          </w:p>
        </w:tc>
        <w:tc>
          <w:tcPr>
            <w:tcW w:w="1605" w:type="dxa"/>
          </w:tcPr>
          <w:p w14:paraId="2E4F03D8">
            <w:pPr>
              <w:pStyle w:val="159"/>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台</w:t>
            </w:r>
          </w:p>
        </w:tc>
        <w:tc>
          <w:tcPr>
            <w:tcW w:w="1485" w:type="dxa"/>
          </w:tcPr>
          <w:p w14:paraId="22418671">
            <w:pPr>
              <w:pStyle w:val="159"/>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1#框架1层</w:t>
            </w:r>
          </w:p>
        </w:tc>
        <w:tc>
          <w:tcPr>
            <w:tcW w:w="2160" w:type="dxa"/>
          </w:tcPr>
          <w:p w14:paraId="5857BBAD">
            <w:pPr>
              <w:pStyle w:val="159"/>
              <w:ind w:firstLine="480" w:firstLineChars="200"/>
              <w:rPr>
                <w:rFonts w:ascii="宋体" w:hAnsi="宋体" w:cs="宋体"/>
                <w:color w:val="auto"/>
                <w:sz w:val="24"/>
                <w:szCs w:val="24"/>
                <w:highlight w:val="none"/>
              </w:rPr>
            </w:pPr>
          </w:p>
        </w:tc>
      </w:tr>
      <w:tr w14:paraId="7327A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759" w:type="dxa"/>
          </w:tcPr>
          <w:p w14:paraId="32B0EC56">
            <w:pPr>
              <w:pStyle w:val="15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p>
        </w:tc>
        <w:tc>
          <w:tcPr>
            <w:tcW w:w="3135" w:type="dxa"/>
          </w:tcPr>
          <w:p w14:paraId="7F1CFAFB">
            <w:pPr>
              <w:pStyle w:val="15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无缝管Φ610*10mm    20#</w:t>
            </w:r>
          </w:p>
        </w:tc>
        <w:tc>
          <w:tcPr>
            <w:tcW w:w="1605" w:type="dxa"/>
          </w:tcPr>
          <w:p w14:paraId="4C681073">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6米</w:t>
            </w:r>
          </w:p>
        </w:tc>
        <w:tc>
          <w:tcPr>
            <w:tcW w:w="1485" w:type="dxa"/>
          </w:tcPr>
          <w:p w14:paraId="41C82E60">
            <w:pPr>
              <w:pStyle w:val="159"/>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1#框架1层</w:t>
            </w:r>
          </w:p>
        </w:tc>
        <w:tc>
          <w:tcPr>
            <w:tcW w:w="2160" w:type="dxa"/>
          </w:tcPr>
          <w:p w14:paraId="77FA388B">
            <w:pPr>
              <w:pStyle w:val="159"/>
              <w:ind w:firstLine="480" w:firstLineChars="200"/>
              <w:rPr>
                <w:rFonts w:hint="eastAsia" w:ascii="宋体" w:hAnsi="宋体" w:cs="宋体"/>
                <w:color w:val="auto"/>
                <w:sz w:val="24"/>
                <w:szCs w:val="24"/>
                <w:highlight w:val="none"/>
              </w:rPr>
            </w:pPr>
          </w:p>
        </w:tc>
      </w:tr>
      <w:tr w14:paraId="76F27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759" w:type="dxa"/>
          </w:tcPr>
          <w:p w14:paraId="050A6503">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p>
        </w:tc>
        <w:tc>
          <w:tcPr>
            <w:tcW w:w="3135" w:type="dxa"/>
          </w:tcPr>
          <w:p w14:paraId="664E1259">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无缝管Φ219.1*7.1mm  20#</w:t>
            </w:r>
          </w:p>
        </w:tc>
        <w:tc>
          <w:tcPr>
            <w:tcW w:w="1605" w:type="dxa"/>
          </w:tcPr>
          <w:p w14:paraId="05140136">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3米</w:t>
            </w:r>
          </w:p>
        </w:tc>
        <w:tc>
          <w:tcPr>
            <w:tcW w:w="1485" w:type="dxa"/>
          </w:tcPr>
          <w:p w14:paraId="0831A1A4">
            <w:pPr>
              <w:pStyle w:val="159"/>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地面</w:t>
            </w:r>
          </w:p>
        </w:tc>
        <w:tc>
          <w:tcPr>
            <w:tcW w:w="2160" w:type="dxa"/>
          </w:tcPr>
          <w:p w14:paraId="7539CCAA">
            <w:pPr>
              <w:pStyle w:val="159"/>
              <w:ind w:firstLine="480" w:firstLineChars="200"/>
              <w:rPr>
                <w:rFonts w:hint="eastAsia" w:ascii="宋体" w:hAnsi="宋体" w:cs="宋体"/>
                <w:color w:val="auto"/>
                <w:sz w:val="24"/>
                <w:szCs w:val="24"/>
                <w:highlight w:val="none"/>
              </w:rPr>
            </w:pPr>
          </w:p>
        </w:tc>
      </w:tr>
      <w:tr w14:paraId="4C3D2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759" w:type="dxa"/>
          </w:tcPr>
          <w:p w14:paraId="0F4587A3">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p>
        </w:tc>
        <w:tc>
          <w:tcPr>
            <w:tcW w:w="3135" w:type="dxa"/>
          </w:tcPr>
          <w:p w14:paraId="2ECA3ADC">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无缝管Φ114.3*6.3mm  20#</w:t>
            </w:r>
          </w:p>
        </w:tc>
        <w:tc>
          <w:tcPr>
            <w:tcW w:w="1605" w:type="dxa"/>
          </w:tcPr>
          <w:p w14:paraId="1ABB4401">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3米</w:t>
            </w:r>
          </w:p>
        </w:tc>
        <w:tc>
          <w:tcPr>
            <w:tcW w:w="1485" w:type="dxa"/>
          </w:tcPr>
          <w:p w14:paraId="2C1A341E">
            <w:pPr>
              <w:pStyle w:val="159"/>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1#框架1层</w:t>
            </w:r>
          </w:p>
        </w:tc>
        <w:tc>
          <w:tcPr>
            <w:tcW w:w="2160" w:type="dxa"/>
          </w:tcPr>
          <w:p w14:paraId="5AAE8AFA">
            <w:pPr>
              <w:pStyle w:val="159"/>
              <w:ind w:firstLine="480" w:firstLineChars="200"/>
              <w:rPr>
                <w:rFonts w:hint="eastAsia" w:ascii="宋体" w:hAnsi="宋体" w:cs="宋体"/>
                <w:color w:val="auto"/>
                <w:sz w:val="24"/>
                <w:szCs w:val="24"/>
                <w:highlight w:val="none"/>
              </w:rPr>
            </w:pPr>
          </w:p>
        </w:tc>
      </w:tr>
      <w:tr w14:paraId="0E156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759" w:type="dxa"/>
          </w:tcPr>
          <w:p w14:paraId="7D16F4DF">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p>
        </w:tc>
        <w:tc>
          <w:tcPr>
            <w:tcW w:w="3135" w:type="dxa"/>
          </w:tcPr>
          <w:p w14:paraId="01917CF4">
            <w:pPr>
              <w:pStyle w:val="15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无缝管 φ21.3*3.6mm  304</w:t>
            </w:r>
          </w:p>
        </w:tc>
        <w:tc>
          <w:tcPr>
            <w:tcW w:w="1605" w:type="dxa"/>
          </w:tcPr>
          <w:p w14:paraId="2B715F20">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20米</w:t>
            </w:r>
          </w:p>
        </w:tc>
        <w:tc>
          <w:tcPr>
            <w:tcW w:w="1485" w:type="dxa"/>
          </w:tcPr>
          <w:p w14:paraId="54792FCD">
            <w:pPr>
              <w:pStyle w:val="15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1#框架1层</w:t>
            </w:r>
          </w:p>
        </w:tc>
        <w:tc>
          <w:tcPr>
            <w:tcW w:w="2160" w:type="dxa"/>
          </w:tcPr>
          <w:p w14:paraId="45B0DB9B">
            <w:pPr>
              <w:pStyle w:val="159"/>
              <w:ind w:firstLine="480" w:firstLineChars="200"/>
              <w:rPr>
                <w:rFonts w:hint="eastAsia" w:ascii="宋体" w:hAnsi="宋体" w:cs="宋体"/>
                <w:color w:val="auto"/>
                <w:sz w:val="24"/>
                <w:szCs w:val="24"/>
                <w:highlight w:val="none"/>
              </w:rPr>
            </w:pPr>
          </w:p>
        </w:tc>
      </w:tr>
      <w:tr w14:paraId="36C8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759" w:type="dxa"/>
          </w:tcPr>
          <w:p w14:paraId="70F5EEC6">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p>
        </w:tc>
        <w:tc>
          <w:tcPr>
            <w:tcW w:w="3135" w:type="dxa"/>
          </w:tcPr>
          <w:p w14:paraId="5D3C3F16">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 xml:space="preserve">对焊法兰 DN600-150LB </w:t>
            </w:r>
          </w:p>
        </w:tc>
        <w:tc>
          <w:tcPr>
            <w:tcW w:w="1605" w:type="dxa"/>
          </w:tcPr>
          <w:p w14:paraId="1F31CD9B">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4件</w:t>
            </w:r>
          </w:p>
        </w:tc>
        <w:tc>
          <w:tcPr>
            <w:tcW w:w="1485" w:type="dxa"/>
          </w:tcPr>
          <w:p w14:paraId="26F87096">
            <w:pPr>
              <w:pStyle w:val="159"/>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1#框架1层</w:t>
            </w:r>
          </w:p>
        </w:tc>
        <w:tc>
          <w:tcPr>
            <w:tcW w:w="2160" w:type="dxa"/>
          </w:tcPr>
          <w:p w14:paraId="5952B0A0">
            <w:pPr>
              <w:pStyle w:val="159"/>
              <w:ind w:firstLine="480" w:firstLineChars="200"/>
              <w:rPr>
                <w:rFonts w:hint="eastAsia" w:ascii="宋体" w:hAnsi="宋体" w:cs="宋体"/>
                <w:color w:val="auto"/>
                <w:sz w:val="24"/>
                <w:szCs w:val="24"/>
                <w:highlight w:val="none"/>
              </w:rPr>
            </w:pPr>
          </w:p>
        </w:tc>
      </w:tr>
      <w:tr w14:paraId="57CC7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759" w:type="dxa"/>
          </w:tcPr>
          <w:p w14:paraId="6E9A06A9">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p>
        </w:tc>
        <w:tc>
          <w:tcPr>
            <w:tcW w:w="3135" w:type="dxa"/>
          </w:tcPr>
          <w:p w14:paraId="2753702E">
            <w:pPr>
              <w:pStyle w:val="15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三通DN600\DN100 20#</w:t>
            </w:r>
          </w:p>
        </w:tc>
        <w:tc>
          <w:tcPr>
            <w:tcW w:w="1605" w:type="dxa"/>
          </w:tcPr>
          <w:p w14:paraId="77CA531C">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1件</w:t>
            </w:r>
          </w:p>
        </w:tc>
        <w:tc>
          <w:tcPr>
            <w:tcW w:w="1485" w:type="dxa"/>
          </w:tcPr>
          <w:p w14:paraId="7C32B4F2">
            <w:pPr>
              <w:pStyle w:val="159"/>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1#框架1层</w:t>
            </w:r>
          </w:p>
        </w:tc>
        <w:tc>
          <w:tcPr>
            <w:tcW w:w="2160" w:type="dxa"/>
          </w:tcPr>
          <w:p w14:paraId="15CEF6D4">
            <w:pPr>
              <w:pStyle w:val="159"/>
              <w:ind w:firstLine="480" w:firstLineChars="200"/>
              <w:rPr>
                <w:rFonts w:hint="eastAsia" w:ascii="宋体" w:hAnsi="宋体" w:cs="宋体"/>
                <w:color w:val="auto"/>
                <w:sz w:val="24"/>
                <w:szCs w:val="24"/>
                <w:highlight w:val="none"/>
              </w:rPr>
            </w:pPr>
          </w:p>
        </w:tc>
      </w:tr>
      <w:tr w14:paraId="2C59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759" w:type="dxa"/>
          </w:tcPr>
          <w:p w14:paraId="3D092951">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p>
        </w:tc>
        <w:tc>
          <w:tcPr>
            <w:tcW w:w="3135" w:type="dxa"/>
          </w:tcPr>
          <w:p w14:paraId="33F70E02">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垫片D600-150</w:t>
            </w:r>
          </w:p>
        </w:tc>
        <w:tc>
          <w:tcPr>
            <w:tcW w:w="1605" w:type="dxa"/>
          </w:tcPr>
          <w:p w14:paraId="5A04E8B7">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4片</w:t>
            </w:r>
          </w:p>
        </w:tc>
        <w:tc>
          <w:tcPr>
            <w:tcW w:w="1485" w:type="dxa"/>
          </w:tcPr>
          <w:p w14:paraId="3D300744">
            <w:pPr>
              <w:pStyle w:val="159"/>
              <w:rPr>
                <w:rFonts w:hint="eastAsia" w:ascii="宋体" w:hAnsi="宋体" w:cs="宋体"/>
                <w:b/>
                <w:bCs/>
                <w:color w:val="auto"/>
                <w:sz w:val="24"/>
                <w:szCs w:val="24"/>
                <w:highlight w:val="none"/>
              </w:rPr>
            </w:pPr>
            <w:r>
              <w:rPr>
                <w:rFonts w:hint="eastAsia" w:ascii="宋体" w:hAnsi="宋体" w:cs="宋体"/>
                <w:color w:val="auto"/>
                <w:sz w:val="24"/>
                <w:szCs w:val="24"/>
                <w:highlight w:val="none"/>
                <w:lang w:val="en-US" w:eastAsia="zh-CN"/>
              </w:rPr>
              <w:t>1#框架1层</w:t>
            </w:r>
          </w:p>
        </w:tc>
        <w:tc>
          <w:tcPr>
            <w:tcW w:w="2160" w:type="dxa"/>
          </w:tcPr>
          <w:p w14:paraId="028290A0">
            <w:pPr>
              <w:pStyle w:val="159"/>
              <w:ind w:firstLine="480" w:firstLineChars="200"/>
              <w:rPr>
                <w:rFonts w:hint="eastAsia" w:ascii="宋体" w:hAnsi="宋体" w:cs="宋体"/>
                <w:color w:val="auto"/>
                <w:sz w:val="24"/>
                <w:szCs w:val="24"/>
                <w:highlight w:val="none"/>
              </w:rPr>
            </w:pPr>
          </w:p>
        </w:tc>
      </w:tr>
      <w:tr w14:paraId="383D3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759" w:type="dxa"/>
          </w:tcPr>
          <w:p w14:paraId="35B33C0A">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3135" w:type="dxa"/>
          </w:tcPr>
          <w:p w14:paraId="702504F7">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螺栓 M33*190</w:t>
            </w:r>
          </w:p>
        </w:tc>
        <w:tc>
          <w:tcPr>
            <w:tcW w:w="1605" w:type="dxa"/>
          </w:tcPr>
          <w:p w14:paraId="218459DC">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96套</w:t>
            </w:r>
          </w:p>
        </w:tc>
        <w:tc>
          <w:tcPr>
            <w:tcW w:w="1485" w:type="dxa"/>
          </w:tcPr>
          <w:p w14:paraId="0F70D2E2">
            <w:pPr>
              <w:pStyle w:val="159"/>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1#框架1层</w:t>
            </w:r>
          </w:p>
        </w:tc>
        <w:tc>
          <w:tcPr>
            <w:tcW w:w="2160" w:type="dxa"/>
          </w:tcPr>
          <w:p w14:paraId="61E28204">
            <w:pPr>
              <w:pStyle w:val="159"/>
              <w:ind w:firstLine="480" w:firstLineChars="200"/>
              <w:rPr>
                <w:rFonts w:hint="eastAsia" w:ascii="宋体" w:hAnsi="宋体" w:cs="宋体"/>
                <w:color w:val="auto"/>
                <w:sz w:val="24"/>
                <w:szCs w:val="24"/>
                <w:highlight w:val="none"/>
              </w:rPr>
            </w:pPr>
          </w:p>
        </w:tc>
      </w:tr>
      <w:tr w14:paraId="4C7ED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59" w:type="dxa"/>
          </w:tcPr>
          <w:p w14:paraId="07C3F2CF">
            <w:pPr>
              <w:pStyle w:val="15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p>
        </w:tc>
        <w:tc>
          <w:tcPr>
            <w:tcW w:w="3135" w:type="dxa"/>
          </w:tcPr>
          <w:p w14:paraId="5C4A3B31">
            <w:pPr>
              <w:pStyle w:val="159"/>
              <w:rPr>
                <w:rFonts w:ascii="宋体" w:hAnsi="宋体" w:cs="宋体"/>
                <w:color w:val="auto"/>
                <w:sz w:val="24"/>
                <w:szCs w:val="24"/>
                <w:highlight w:val="none"/>
              </w:rPr>
            </w:pPr>
            <w:r>
              <w:rPr>
                <w:rFonts w:hint="eastAsia" w:ascii="宋体" w:hAnsi="宋体" w:cs="宋体"/>
                <w:color w:val="auto"/>
                <w:sz w:val="24"/>
                <w:szCs w:val="24"/>
                <w:highlight w:val="none"/>
              </w:rPr>
              <w:t>盲板 DN</w:t>
            </w:r>
            <w:r>
              <w:rPr>
                <w:rFonts w:hint="eastAsia" w:ascii="宋体" w:hAnsi="宋体" w:cs="宋体"/>
                <w:color w:val="auto"/>
                <w:sz w:val="24"/>
                <w:szCs w:val="24"/>
                <w:highlight w:val="none"/>
                <w:lang w:val="en-US" w:eastAsia="zh-CN"/>
              </w:rPr>
              <w:t>15</w:t>
            </w:r>
            <w:r>
              <w:rPr>
                <w:rFonts w:hint="eastAsia" w:ascii="宋体" w:hAnsi="宋体" w:cs="宋体"/>
                <w:color w:val="auto"/>
                <w:sz w:val="24"/>
                <w:szCs w:val="24"/>
                <w:highlight w:val="none"/>
              </w:rPr>
              <w:t>-150LB</w:t>
            </w:r>
          </w:p>
        </w:tc>
        <w:tc>
          <w:tcPr>
            <w:tcW w:w="1605" w:type="dxa"/>
            <w:vAlign w:val="center"/>
          </w:tcPr>
          <w:p w14:paraId="3AEF2D21">
            <w:pPr>
              <w:widowControl/>
              <w:rPr>
                <w:rFonts w:ascii="宋体" w:hAnsi="宋体"/>
                <w:color w:val="auto"/>
                <w:kern w:val="0"/>
                <w:sz w:val="22"/>
                <w:highlight w:val="none"/>
                <w:lang w:bidi="ar"/>
              </w:rPr>
            </w:pPr>
            <w:r>
              <w:rPr>
                <w:rFonts w:hint="eastAsia" w:ascii="宋体" w:hAnsi="宋体"/>
                <w:color w:val="auto"/>
                <w:kern w:val="0"/>
                <w:sz w:val="22"/>
                <w:highlight w:val="none"/>
                <w:lang w:val="en-US" w:eastAsia="zh-CN" w:bidi="ar"/>
              </w:rPr>
              <w:t>8</w:t>
            </w:r>
            <w:r>
              <w:rPr>
                <w:rFonts w:hint="eastAsia" w:ascii="宋体" w:hAnsi="宋体"/>
                <w:color w:val="auto"/>
                <w:kern w:val="0"/>
                <w:sz w:val="22"/>
                <w:highlight w:val="none"/>
                <w:lang w:bidi="ar"/>
              </w:rPr>
              <w:t>件</w:t>
            </w:r>
          </w:p>
        </w:tc>
        <w:tc>
          <w:tcPr>
            <w:tcW w:w="1485" w:type="dxa"/>
          </w:tcPr>
          <w:p w14:paraId="258C3302">
            <w:pPr>
              <w:pStyle w:val="15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设备底部</w:t>
            </w:r>
          </w:p>
        </w:tc>
        <w:tc>
          <w:tcPr>
            <w:tcW w:w="2160" w:type="dxa"/>
          </w:tcPr>
          <w:p w14:paraId="472FC5C6">
            <w:pPr>
              <w:pStyle w:val="159"/>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预制、拆、装</w:t>
            </w:r>
          </w:p>
        </w:tc>
      </w:tr>
      <w:tr w14:paraId="6D310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59" w:type="dxa"/>
          </w:tcPr>
          <w:p w14:paraId="45ED5770">
            <w:pPr>
              <w:pStyle w:val="15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11</w:t>
            </w:r>
          </w:p>
        </w:tc>
        <w:tc>
          <w:tcPr>
            <w:tcW w:w="3135" w:type="dxa"/>
          </w:tcPr>
          <w:p w14:paraId="310D6F5C">
            <w:pPr>
              <w:pStyle w:val="159"/>
              <w:rPr>
                <w:rFonts w:ascii="宋体" w:hAnsi="宋体" w:cs="宋体"/>
                <w:color w:val="auto"/>
                <w:sz w:val="24"/>
                <w:szCs w:val="24"/>
                <w:highlight w:val="none"/>
              </w:rPr>
            </w:pPr>
            <w:r>
              <w:rPr>
                <w:rFonts w:hint="eastAsia" w:ascii="宋体" w:hAnsi="宋体" w:cs="宋体"/>
                <w:color w:val="auto"/>
                <w:sz w:val="24"/>
                <w:szCs w:val="24"/>
                <w:highlight w:val="none"/>
              </w:rPr>
              <w:t>盲板 DN</w:t>
            </w:r>
            <w:r>
              <w:rPr>
                <w:rFonts w:hint="eastAsia" w:ascii="宋体" w:hAnsi="宋体" w:cs="宋体"/>
                <w:color w:val="auto"/>
                <w:sz w:val="24"/>
                <w:szCs w:val="24"/>
                <w:highlight w:val="none"/>
                <w:lang w:val="en-US" w:eastAsia="zh-CN"/>
              </w:rPr>
              <w:t>25</w:t>
            </w:r>
            <w:r>
              <w:rPr>
                <w:rFonts w:hint="eastAsia" w:ascii="宋体" w:hAnsi="宋体" w:cs="宋体"/>
                <w:color w:val="auto"/>
                <w:sz w:val="24"/>
                <w:szCs w:val="24"/>
                <w:highlight w:val="none"/>
              </w:rPr>
              <w:t>-150LB</w:t>
            </w:r>
          </w:p>
        </w:tc>
        <w:tc>
          <w:tcPr>
            <w:tcW w:w="1605" w:type="dxa"/>
            <w:vAlign w:val="center"/>
          </w:tcPr>
          <w:p w14:paraId="4387881E">
            <w:pPr>
              <w:widowControl/>
              <w:rPr>
                <w:rFonts w:ascii="宋体" w:hAnsi="宋体"/>
                <w:color w:val="auto"/>
                <w:kern w:val="0"/>
                <w:sz w:val="22"/>
                <w:highlight w:val="none"/>
                <w:lang w:bidi="ar"/>
              </w:rPr>
            </w:pPr>
            <w:r>
              <w:rPr>
                <w:rFonts w:hint="eastAsia" w:ascii="宋体" w:hAnsi="宋体"/>
                <w:color w:val="auto"/>
                <w:kern w:val="0"/>
                <w:sz w:val="22"/>
                <w:highlight w:val="none"/>
                <w:lang w:val="en-US" w:eastAsia="zh-CN" w:bidi="ar"/>
              </w:rPr>
              <w:t>34</w:t>
            </w:r>
            <w:r>
              <w:rPr>
                <w:rFonts w:hint="eastAsia" w:ascii="宋体" w:hAnsi="宋体"/>
                <w:color w:val="auto"/>
                <w:kern w:val="0"/>
                <w:sz w:val="22"/>
                <w:highlight w:val="none"/>
                <w:lang w:bidi="ar"/>
              </w:rPr>
              <w:t>件</w:t>
            </w:r>
          </w:p>
        </w:tc>
        <w:tc>
          <w:tcPr>
            <w:tcW w:w="1485" w:type="dxa"/>
          </w:tcPr>
          <w:p w14:paraId="3A239E20">
            <w:pPr>
              <w:pStyle w:val="159"/>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设备底部</w:t>
            </w:r>
          </w:p>
        </w:tc>
        <w:tc>
          <w:tcPr>
            <w:tcW w:w="2160" w:type="dxa"/>
          </w:tcPr>
          <w:p w14:paraId="0D58FC2A">
            <w:pPr>
              <w:pStyle w:val="159"/>
              <w:jc w:val="center"/>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预制、拆、装</w:t>
            </w:r>
          </w:p>
        </w:tc>
      </w:tr>
      <w:tr w14:paraId="2C0BF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759" w:type="dxa"/>
          </w:tcPr>
          <w:p w14:paraId="3B94789F">
            <w:pPr>
              <w:pStyle w:val="15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12</w:t>
            </w:r>
          </w:p>
        </w:tc>
        <w:tc>
          <w:tcPr>
            <w:tcW w:w="3135" w:type="dxa"/>
          </w:tcPr>
          <w:p w14:paraId="7679A6BC">
            <w:pPr>
              <w:pStyle w:val="159"/>
              <w:rPr>
                <w:rFonts w:ascii="宋体" w:hAnsi="宋体" w:cs="宋体"/>
                <w:color w:val="auto"/>
                <w:sz w:val="24"/>
                <w:szCs w:val="24"/>
                <w:highlight w:val="none"/>
              </w:rPr>
            </w:pPr>
            <w:r>
              <w:rPr>
                <w:rFonts w:hint="eastAsia" w:ascii="宋体" w:hAnsi="宋体" w:cs="宋体"/>
                <w:color w:val="auto"/>
                <w:sz w:val="24"/>
                <w:szCs w:val="24"/>
                <w:highlight w:val="none"/>
              </w:rPr>
              <w:t>盲板 DN</w:t>
            </w:r>
            <w:r>
              <w:rPr>
                <w:rFonts w:hint="eastAsia" w:ascii="宋体" w:hAnsi="宋体" w:cs="宋体"/>
                <w:color w:val="auto"/>
                <w:sz w:val="24"/>
                <w:szCs w:val="24"/>
                <w:highlight w:val="none"/>
                <w:lang w:val="en-US" w:eastAsia="zh-CN"/>
              </w:rPr>
              <w:t>40</w:t>
            </w:r>
            <w:r>
              <w:rPr>
                <w:rFonts w:hint="eastAsia" w:ascii="宋体" w:hAnsi="宋体" w:cs="宋体"/>
                <w:color w:val="auto"/>
                <w:sz w:val="24"/>
                <w:szCs w:val="24"/>
                <w:highlight w:val="none"/>
              </w:rPr>
              <w:t>-150LB</w:t>
            </w:r>
          </w:p>
        </w:tc>
        <w:tc>
          <w:tcPr>
            <w:tcW w:w="1605" w:type="dxa"/>
            <w:vAlign w:val="center"/>
          </w:tcPr>
          <w:p w14:paraId="5781202B">
            <w:pPr>
              <w:widowControl/>
              <w:rPr>
                <w:rFonts w:ascii="宋体" w:hAnsi="宋体"/>
                <w:color w:val="auto"/>
                <w:kern w:val="0"/>
                <w:sz w:val="22"/>
                <w:highlight w:val="none"/>
                <w:lang w:bidi="ar"/>
              </w:rPr>
            </w:pPr>
            <w:r>
              <w:rPr>
                <w:rFonts w:hint="eastAsia" w:ascii="宋体" w:hAnsi="宋体"/>
                <w:color w:val="auto"/>
                <w:kern w:val="0"/>
                <w:sz w:val="22"/>
                <w:highlight w:val="none"/>
                <w:lang w:val="en-US" w:eastAsia="zh-CN" w:bidi="ar"/>
              </w:rPr>
              <w:t>164</w:t>
            </w:r>
            <w:r>
              <w:rPr>
                <w:rFonts w:hint="eastAsia" w:ascii="宋体" w:hAnsi="宋体"/>
                <w:color w:val="auto"/>
                <w:kern w:val="0"/>
                <w:sz w:val="22"/>
                <w:highlight w:val="none"/>
                <w:lang w:bidi="ar"/>
              </w:rPr>
              <w:t>件</w:t>
            </w:r>
          </w:p>
        </w:tc>
        <w:tc>
          <w:tcPr>
            <w:tcW w:w="1485" w:type="dxa"/>
          </w:tcPr>
          <w:p w14:paraId="37EB807D">
            <w:pPr>
              <w:pStyle w:val="159"/>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设备底部</w:t>
            </w:r>
          </w:p>
        </w:tc>
        <w:tc>
          <w:tcPr>
            <w:tcW w:w="2160" w:type="dxa"/>
          </w:tcPr>
          <w:p w14:paraId="0238DA4A">
            <w:pPr>
              <w:pStyle w:val="159"/>
              <w:jc w:val="center"/>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预制、拆、装</w:t>
            </w:r>
          </w:p>
        </w:tc>
      </w:tr>
      <w:tr w14:paraId="7A3AF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59" w:type="dxa"/>
          </w:tcPr>
          <w:p w14:paraId="68F6D1A8">
            <w:pPr>
              <w:pStyle w:val="15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13</w:t>
            </w:r>
          </w:p>
        </w:tc>
        <w:tc>
          <w:tcPr>
            <w:tcW w:w="3135" w:type="dxa"/>
          </w:tcPr>
          <w:p w14:paraId="1A7EECED">
            <w:pPr>
              <w:pStyle w:val="159"/>
              <w:rPr>
                <w:rFonts w:ascii="宋体" w:hAnsi="宋体" w:cs="宋体"/>
                <w:color w:val="auto"/>
                <w:sz w:val="24"/>
                <w:szCs w:val="24"/>
                <w:highlight w:val="none"/>
              </w:rPr>
            </w:pPr>
            <w:r>
              <w:rPr>
                <w:rFonts w:hint="eastAsia" w:ascii="宋体" w:hAnsi="宋体" w:cs="宋体"/>
                <w:color w:val="auto"/>
                <w:sz w:val="24"/>
                <w:szCs w:val="24"/>
                <w:highlight w:val="none"/>
              </w:rPr>
              <w:t>盲板 DN</w:t>
            </w:r>
            <w:r>
              <w:rPr>
                <w:rFonts w:hint="eastAsia" w:ascii="宋体" w:hAnsi="宋体" w:cs="宋体"/>
                <w:color w:val="auto"/>
                <w:sz w:val="24"/>
                <w:szCs w:val="24"/>
                <w:highlight w:val="none"/>
                <w:lang w:val="en-US" w:eastAsia="zh-CN"/>
              </w:rPr>
              <w:t>50</w:t>
            </w:r>
            <w:r>
              <w:rPr>
                <w:rFonts w:hint="eastAsia" w:ascii="宋体" w:hAnsi="宋体" w:cs="宋体"/>
                <w:color w:val="auto"/>
                <w:sz w:val="24"/>
                <w:szCs w:val="24"/>
                <w:highlight w:val="none"/>
              </w:rPr>
              <w:t>-150LB</w:t>
            </w:r>
          </w:p>
        </w:tc>
        <w:tc>
          <w:tcPr>
            <w:tcW w:w="1605" w:type="dxa"/>
            <w:vAlign w:val="center"/>
          </w:tcPr>
          <w:p w14:paraId="63A97996">
            <w:pPr>
              <w:widowControl/>
              <w:rPr>
                <w:rFonts w:ascii="宋体" w:hAnsi="宋体"/>
                <w:color w:val="auto"/>
                <w:kern w:val="0"/>
                <w:sz w:val="22"/>
                <w:highlight w:val="none"/>
                <w:lang w:bidi="ar"/>
              </w:rPr>
            </w:pPr>
            <w:r>
              <w:rPr>
                <w:rFonts w:hint="eastAsia" w:ascii="宋体" w:hAnsi="宋体"/>
                <w:color w:val="auto"/>
                <w:kern w:val="0"/>
                <w:sz w:val="22"/>
                <w:highlight w:val="none"/>
                <w:lang w:val="en-US" w:eastAsia="zh-CN" w:bidi="ar"/>
              </w:rPr>
              <w:t>140</w:t>
            </w:r>
            <w:r>
              <w:rPr>
                <w:rFonts w:hint="eastAsia" w:ascii="宋体" w:hAnsi="宋体"/>
                <w:color w:val="auto"/>
                <w:kern w:val="0"/>
                <w:sz w:val="22"/>
                <w:highlight w:val="none"/>
                <w:lang w:bidi="ar"/>
              </w:rPr>
              <w:t>件</w:t>
            </w:r>
          </w:p>
        </w:tc>
        <w:tc>
          <w:tcPr>
            <w:tcW w:w="1485" w:type="dxa"/>
          </w:tcPr>
          <w:p w14:paraId="366FE9F0">
            <w:pPr>
              <w:pStyle w:val="159"/>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设备底部</w:t>
            </w:r>
          </w:p>
        </w:tc>
        <w:tc>
          <w:tcPr>
            <w:tcW w:w="2160" w:type="dxa"/>
          </w:tcPr>
          <w:p w14:paraId="28DF533F">
            <w:pPr>
              <w:pStyle w:val="159"/>
              <w:jc w:val="center"/>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预制、拆、装</w:t>
            </w:r>
          </w:p>
        </w:tc>
      </w:tr>
      <w:tr w14:paraId="76A70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59" w:type="dxa"/>
          </w:tcPr>
          <w:p w14:paraId="46D5DFB9">
            <w:pPr>
              <w:pStyle w:val="15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14</w:t>
            </w:r>
          </w:p>
        </w:tc>
        <w:tc>
          <w:tcPr>
            <w:tcW w:w="3135" w:type="dxa"/>
          </w:tcPr>
          <w:p w14:paraId="23F9AE3A">
            <w:pPr>
              <w:pStyle w:val="159"/>
              <w:rPr>
                <w:rFonts w:ascii="宋体" w:hAnsi="宋体" w:cs="宋体"/>
                <w:color w:val="auto"/>
                <w:sz w:val="24"/>
                <w:szCs w:val="24"/>
                <w:highlight w:val="none"/>
              </w:rPr>
            </w:pPr>
            <w:r>
              <w:rPr>
                <w:rFonts w:hint="eastAsia" w:ascii="宋体" w:hAnsi="宋体" w:cs="宋体"/>
                <w:color w:val="auto"/>
                <w:sz w:val="24"/>
                <w:szCs w:val="24"/>
                <w:highlight w:val="none"/>
              </w:rPr>
              <w:t>盲板 DN</w:t>
            </w:r>
            <w:r>
              <w:rPr>
                <w:rFonts w:hint="eastAsia" w:ascii="宋体" w:hAnsi="宋体" w:cs="宋体"/>
                <w:color w:val="auto"/>
                <w:sz w:val="24"/>
                <w:szCs w:val="24"/>
                <w:highlight w:val="none"/>
                <w:lang w:val="en-US" w:eastAsia="zh-CN"/>
              </w:rPr>
              <w:t>80</w:t>
            </w:r>
            <w:r>
              <w:rPr>
                <w:rFonts w:hint="eastAsia" w:ascii="宋体" w:hAnsi="宋体" w:cs="宋体"/>
                <w:color w:val="auto"/>
                <w:sz w:val="24"/>
                <w:szCs w:val="24"/>
                <w:highlight w:val="none"/>
              </w:rPr>
              <w:t>-150LB</w:t>
            </w:r>
          </w:p>
        </w:tc>
        <w:tc>
          <w:tcPr>
            <w:tcW w:w="1605" w:type="dxa"/>
            <w:vAlign w:val="center"/>
          </w:tcPr>
          <w:p w14:paraId="5F7EF5E4">
            <w:pPr>
              <w:widowControl/>
              <w:rPr>
                <w:rFonts w:ascii="宋体" w:hAnsi="宋体"/>
                <w:color w:val="auto"/>
                <w:kern w:val="0"/>
                <w:sz w:val="22"/>
                <w:highlight w:val="none"/>
                <w:lang w:bidi="ar"/>
              </w:rPr>
            </w:pPr>
            <w:r>
              <w:rPr>
                <w:rFonts w:hint="eastAsia" w:ascii="宋体" w:hAnsi="宋体"/>
                <w:color w:val="auto"/>
                <w:kern w:val="0"/>
                <w:sz w:val="22"/>
                <w:highlight w:val="none"/>
                <w:lang w:bidi="ar"/>
              </w:rPr>
              <w:t>5</w:t>
            </w:r>
            <w:r>
              <w:rPr>
                <w:rFonts w:hint="eastAsia" w:ascii="宋体" w:hAnsi="宋体"/>
                <w:color w:val="auto"/>
                <w:kern w:val="0"/>
                <w:sz w:val="22"/>
                <w:highlight w:val="none"/>
                <w:lang w:val="en-US" w:eastAsia="zh-CN" w:bidi="ar"/>
              </w:rPr>
              <w:t>0</w:t>
            </w:r>
            <w:r>
              <w:rPr>
                <w:rFonts w:hint="eastAsia" w:ascii="宋体" w:hAnsi="宋体"/>
                <w:color w:val="auto"/>
                <w:kern w:val="0"/>
                <w:sz w:val="22"/>
                <w:highlight w:val="none"/>
                <w:lang w:bidi="ar"/>
              </w:rPr>
              <w:t>件</w:t>
            </w:r>
          </w:p>
        </w:tc>
        <w:tc>
          <w:tcPr>
            <w:tcW w:w="1485" w:type="dxa"/>
          </w:tcPr>
          <w:p w14:paraId="643B3753">
            <w:pPr>
              <w:pStyle w:val="159"/>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设备底部</w:t>
            </w:r>
          </w:p>
        </w:tc>
        <w:tc>
          <w:tcPr>
            <w:tcW w:w="2160" w:type="dxa"/>
          </w:tcPr>
          <w:p w14:paraId="3FB28D3D">
            <w:pPr>
              <w:pStyle w:val="159"/>
              <w:jc w:val="center"/>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预制、拆、装</w:t>
            </w:r>
          </w:p>
        </w:tc>
      </w:tr>
      <w:tr w14:paraId="3641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59" w:type="dxa"/>
          </w:tcPr>
          <w:p w14:paraId="66AB749C">
            <w:pPr>
              <w:pStyle w:val="15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15</w:t>
            </w:r>
          </w:p>
        </w:tc>
        <w:tc>
          <w:tcPr>
            <w:tcW w:w="3135" w:type="dxa"/>
          </w:tcPr>
          <w:p w14:paraId="157B384E">
            <w:pPr>
              <w:pStyle w:val="159"/>
              <w:rPr>
                <w:rFonts w:ascii="宋体" w:hAnsi="宋体" w:cs="宋体"/>
                <w:color w:val="auto"/>
                <w:sz w:val="24"/>
                <w:szCs w:val="24"/>
                <w:highlight w:val="none"/>
              </w:rPr>
            </w:pPr>
            <w:r>
              <w:rPr>
                <w:rFonts w:hint="eastAsia" w:ascii="宋体" w:hAnsi="宋体" w:cs="宋体"/>
                <w:color w:val="auto"/>
                <w:sz w:val="24"/>
                <w:szCs w:val="24"/>
                <w:highlight w:val="none"/>
              </w:rPr>
              <w:t>盲板 DN</w:t>
            </w:r>
            <w:r>
              <w:rPr>
                <w:rFonts w:hint="eastAsia" w:ascii="宋体" w:hAnsi="宋体" w:cs="宋体"/>
                <w:color w:val="auto"/>
                <w:sz w:val="24"/>
                <w:szCs w:val="24"/>
                <w:highlight w:val="none"/>
                <w:lang w:val="en-US" w:eastAsia="zh-CN"/>
              </w:rPr>
              <w:t>100</w:t>
            </w:r>
            <w:r>
              <w:rPr>
                <w:rFonts w:hint="eastAsia" w:ascii="宋体" w:hAnsi="宋体" w:cs="宋体"/>
                <w:color w:val="auto"/>
                <w:sz w:val="24"/>
                <w:szCs w:val="24"/>
                <w:highlight w:val="none"/>
              </w:rPr>
              <w:t>-150LB</w:t>
            </w:r>
          </w:p>
        </w:tc>
        <w:tc>
          <w:tcPr>
            <w:tcW w:w="1605" w:type="dxa"/>
            <w:vAlign w:val="center"/>
          </w:tcPr>
          <w:p w14:paraId="1E1C5ACB">
            <w:pPr>
              <w:widowControl/>
              <w:rPr>
                <w:rFonts w:ascii="宋体" w:hAnsi="宋体"/>
                <w:color w:val="auto"/>
                <w:kern w:val="0"/>
                <w:sz w:val="22"/>
                <w:highlight w:val="none"/>
                <w:lang w:bidi="ar"/>
              </w:rPr>
            </w:pPr>
            <w:r>
              <w:rPr>
                <w:rFonts w:hint="eastAsia" w:ascii="宋体" w:hAnsi="宋体"/>
                <w:color w:val="auto"/>
                <w:kern w:val="0"/>
                <w:sz w:val="22"/>
                <w:highlight w:val="none"/>
                <w:lang w:val="en-US" w:eastAsia="zh-CN" w:bidi="ar"/>
              </w:rPr>
              <w:t>56</w:t>
            </w:r>
            <w:r>
              <w:rPr>
                <w:rFonts w:hint="eastAsia" w:ascii="宋体" w:hAnsi="宋体"/>
                <w:color w:val="auto"/>
                <w:kern w:val="0"/>
                <w:sz w:val="22"/>
                <w:highlight w:val="none"/>
                <w:lang w:bidi="ar"/>
              </w:rPr>
              <w:t>件</w:t>
            </w:r>
          </w:p>
        </w:tc>
        <w:tc>
          <w:tcPr>
            <w:tcW w:w="1485" w:type="dxa"/>
          </w:tcPr>
          <w:p w14:paraId="7A56A6F1">
            <w:pPr>
              <w:pStyle w:val="159"/>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设备底部</w:t>
            </w:r>
          </w:p>
        </w:tc>
        <w:tc>
          <w:tcPr>
            <w:tcW w:w="2160" w:type="dxa"/>
          </w:tcPr>
          <w:p w14:paraId="7A73BCD8">
            <w:pPr>
              <w:pStyle w:val="159"/>
              <w:jc w:val="center"/>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预制、拆、装</w:t>
            </w:r>
          </w:p>
        </w:tc>
      </w:tr>
      <w:tr w14:paraId="0ED74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59" w:type="dxa"/>
          </w:tcPr>
          <w:p w14:paraId="7D5136D5">
            <w:pPr>
              <w:pStyle w:val="15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16</w:t>
            </w:r>
          </w:p>
        </w:tc>
        <w:tc>
          <w:tcPr>
            <w:tcW w:w="3135" w:type="dxa"/>
          </w:tcPr>
          <w:p w14:paraId="5C3D8CE7">
            <w:pPr>
              <w:pStyle w:val="159"/>
              <w:rPr>
                <w:rFonts w:hint="eastAsia" w:ascii="宋体" w:hAnsi="宋体" w:cs="宋体"/>
                <w:color w:val="auto"/>
                <w:sz w:val="24"/>
                <w:szCs w:val="24"/>
                <w:highlight w:val="none"/>
              </w:rPr>
            </w:pPr>
            <w:r>
              <w:rPr>
                <w:rFonts w:hint="eastAsia" w:ascii="宋体" w:hAnsi="宋体" w:cs="宋体"/>
                <w:color w:val="auto"/>
                <w:sz w:val="24"/>
                <w:szCs w:val="24"/>
                <w:highlight w:val="none"/>
              </w:rPr>
              <w:t>盲板 DN</w:t>
            </w:r>
            <w:r>
              <w:rPr>
                <w:rFonts w:hint="eastAsia" w:ascii="宋体" w:hAnsi="宋体" w:cs="宋体"/>
                <w:color w:val="auto"/>
                <w:sz w:val="24"/>
                <w:szCs w:val="24"/>
                <w:highlight w:val="none"/>
                <w:lang w:val="en-US" w:eastAsia="zh-CN"/>
              </w:rPr>
              <w:t>150</w:t>
            </w:r>
            <w:r>
              <w:rPr>
                <w:rFonts w:hint="eastAsia" w:ascii="宋体" w:hAnsi="宋体" w:cs="宋体"/>
                <w:color w:val="auto"/>
                <w:sz w:val="24"/>
                <w:szCs w:val="24"/>
                <w:highlight w:val="none"/>
              </w:rPr>
              <w:t>-150LB</w:t>
            </w:r>
          </w:p>
        </w:tc>
        <w:tc>
          <w:tcPr>
            <w:tcW w:w="1605" w:type="dxa"/>
            <w:vAlign w:val="center"/>
          </w:tcPr>
          <w:p w14:paraId="22B03607">
            <w:pPr>
              <w:widowControl/>
              <w:rPr>
                <w:rFonts w:hint="default" w:ascii="宋体" w:hAnsi="宋体"/>
                <w:color w:val="auto"/>
                <w:kern w:val="0"/>
                <w:sz w:val="22"/>
                <w:highlight w:val="none"/>
                <w:lang w:val="en-US" w:eastAsia="zh-CN" w:bidi="ar"/>
              </w:rPr>
            </w:pPr>
            <w:r>
              <w:rPr>
                <w:rFonts w:hint="eastAsia" w:ascii="宋体" w:hAnsi="宋体"/>
                <w:color w:val="auto"/>
                <w:kern w:val="0"/>
                <w:sz w:val="22"/>
                <w:highlight w:val="none"/>
                <w:lang w:val="en-US" w:eastAsia="zh-CN" w:bidi="ar"/>
              </w:rPr>
              <w:t>18件</w:t>
            </w:r>
          </w:p>
        </w:tc>
        <w:tc>
          <w:tcPr>
            <w:tcW w:w="1485" w:type="dxa"/>
          </w:tcPr>
          <w:p w14:paraId="3C454647">
            <w:pPr>
              <w:pStyle w:val="159"/>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设备底部</w:t>
            </w:r>
          </w:p>
        </w:tc>
        <w:tc>
          <w:tcPr>
            <w:tcW w:w="2160" w:type="dxa"/>
          </w:tcPr>
          <w:p w14:paraId="2893E941">
            <w:pPr>
              <w:pStyle w:val="159"/>
              <w:jc w:val="center"/>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预制、拆、装</w:t>
            </w:r>
          </w:p>
        </w:tc>
      </w:tr>
      <w:tr w14:paraId="03429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59" w:type="dxa"/>
          </w:tcPr>
          <w:p w14:paraId="54870FB2">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17</w:t>
            </w:r>
          </w:p>
        </w:tc>
        <w:tc>
          <w:tcPr>
            <w:tcW w:w="3135" w:type="dxa"/>
          </w:tcPr>
          <w:p w14:paraId="6176F382">
            <w:pPr>
              <w:pStyle w:val="159"/>
              <w:rPr>
                <w:rFonts w:hint="eastAsia" w:ascii="宋体" w:hAnsi="宋体" w:cs="宋体"/>
                <w:color w:val="auto"/>
                <w:sz w:val="24"/>
                <w:szCs w:val="24"/>
                <w:highlight w:val="none"/>
              </w:rPr>
            </w:pPr>
            <w:r>
              <w:rPr>
                <w:rFonts w:hint="eastAsia" w:ascii="宋体" w:hAnsi="宋体" w:cs="宋体"/>
                <w:color w:val="auto"/>
                <w:sz w:val="24"/>
                <w:szCs w:val="24"/>
                <w:highlight w:val="none"/>
              </w:rPr>
              <w:t>盲板 DN</w:t>
            </w:r>
            <w:r>
              <w:rPr>
                <w:rFonts w:hint="eastAsia" w:ascii="宋体" w:hAnsi="宋体" w:cs="宋体"/>
                <w:color w:val="auto"/>
                <w:sz w:val="24"/>
                <w:szCs w:val="24"/>
                <w:highlight w:val="none"/>
                <w:lang w:val="en-US" w:eastAsia="zh-CN"/>
              </w:rPr>
              <w:t>250</w:t>
            </w:r>
            <w:r>
              <w:rPr>
                <w:rFonts w:hint="eastAsia" w:ascii="宋体" w:hAnsi="宋体" w:cs="宋体"/>
                <w:color w:val="auto"/>
                <w:sz w:val="24"/>
                <w:szCs w:val="24"/>
                <w:highlight w:val="none"/>
              </w:rPr>
              <w:t>-150LB</w:t>
            </w:r>
          </w:p>
        </w:tc>
        <w:tc>
          <w:tcPr>
            <w:tcW w:w="1605" w:type="dxa"/>
            <w:vAlign w:val="center"/>
          </w:tcPr>
          <w:p w14:paraId="7962D987">
            <w:pPr>
              <w:widowControl/>
              <w:rPr>
                <w:rFonts w:hint="default" w:ascii="宋体" w:hAnsi="宋体"/>
                <w:color w:val="auto"/>
                <w:kern w:val="0"/>
                <w:sz w:val="22"/>
                <w:highlight w:val="none"/>
                <w:lang w:val="en-US" w:eastAsia="zh-CN" w:bidi="ar"/>
              </w:rPr>
            </w:pPr>
            <w:r>
              <w:rPr>
                <w:rFonts w:hint="eastAsia" w:ascii="宋体" w:hAnsi="宋体"/>
                <w:color w:val="auto"/>
                <w:kern w:val="0"/>
                <w:sz w:val="22"/>
                <w:highlight w:val="none"/>
                <w:lang w:val="en-US" w:eastAsia="zh-CN" w:bidi="ar"/>
              </w:rPr>
              <w:t>22件</w:t>
            </w:r>
          </w:p>
        </w:tc>
        <w:tc>
          <w:tcPr>
            <w:tcW w:w="1485" w:type="dxa"/>
          </w:tcPr>
          <w:p w14:paraId="6948546E">
            <w:pPr>
              <w:pStyle w:val="159"/>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设备底部</w:t>
            </w:r>
          </w:p>
        </w:tc>
        <w:tc>
          <w:tcPr>
            <w:tcW w:w="2160" w:type="dxa"/>
          </w:tcPr>
          <w:p w14:paraId="6DD7B361">
            <w:pPr>
              <w:pStyle w:val="159"/>
              <w:jc w:val="center"/>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预制、拆、装</w:t>
            </w:r>
          </w:p>
        </w:tc>
      </w:tr>
      <w:tr w14:paraId="0AB87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59" w:type="dxa"/>
          </w:tcPr>
          <w:p w14:paraId="27213AA4">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18</w:t>
            </w:r>
          </w:p>
        </w:tc>
        <w:tc>
          <w:tcPr>
            <w:tcW w:w="3135" w:type="dxa"/>
          </w:tcPr>
          <w:p w14:paraId="5F3C841A">
            <w:pPr>
              <w:pStyle w:val="159"/>
              <w:rPr>
                <w:rFonts w:hint="eastAsia" w:ascii="宋体" w:hAnsi="宋体" w:cs="宋体"/>
                <w:color w:val="auto"/>
                <w:sz w:val="24"/>
                <w:szCs w:val="24"/>
                <w:highlight w:val="none"/>
              </w:rPr>
            </w:pPr>
            <w:r>
              <w:rPr>
                <w:rFonts w:hint="eastAsia" w:ascii="宋体" w:hAnsi="宋体" w:cs="宋体"/>
                <w:color w:val="auto"/>
                <w:sz w:val="24"/>
                <w:szCs w:val="24"/>
                <w:highlight w:val="none"/>
              </w:rPr>
              <w:t>盲板 DN</w:t>
            </w:r>
            <w:r>
              <w:rPr>
                <w:rFonts w:hint="eastAsia" w:ascii="宋体" w:hAnsi="宋体" w:cs="宋体"/>
                <w:color w:val="auto"/>
                <w:sz w:val="24"/>
                <w:szCs w:val="24"/>
                <w:highlight w:val="none"/>
                <w:lang w:val="en-US" w:eastAsia="zh-CN"/>
              </w:rPr>
              <w:t>500</w:t>
            </w:r>
            <w:r>
              <w:rPr>
                <w:rFonts w:hint="eastAsia" w:ascii="宋体" w:hAnsi="宋体" w:cs="宋体"/>
                <w:color w:val="auto"/>
                <w:sz w:val="24"/>
                <w:szCs w:val="24"/>
                <w:highlight w:val="none"/>
              </w:rPr>
              <w:t>-150LB</w:t>
            </w:r>
          </w:p>
        </w:tc>
        <w:tc>
          <w:tcPr>
            <w:tcW w:w="1605" w:type="dxa"/>
            <w:vAlign w:val="center"/>
          </w:tcPr>
          <w:p w14:paraId="6DE28526">
            <w:pPr>
              <w:widowControl/>
              <w:rPr>
                <w:rFonts w:hint="default" w:ascii="宋体" w:hAnsi="宋体"/>
                <w:color w:val="auto"/>
                <w:kern w:val="0"/>
                <w:sz w:val="22"/>
                <w:highlight w:val="none"/>
                <w:lang w:val="en-US" w:eastAsia="zh-CN" w:bidi="ar"/>
              </w:rPr>
            </w:pPr>
            <w:r>
              <w:rPr>
                <w:rFonts w:hint="eastAsia" w:ascii="宋体" w:hAnsi="宋体"/>
                <w:color w:val="auto"/>
                <w:kern w:val="0"/>
                <w:sz w:val="22"/>
                <w:highlight w:val="none"/>
                <w:lang w:val="en-US" w:eastAsia="zh-CN" w:bidi="ar"/>
              </w:rPr>
              <w:t>2件</w:t>
            </w:r>
          </w:p>
        </w:tc>
        <w:tc>
          <w:tcPr>
            <w:tcW w:w="1485" w:type="dxa"/>
          </w:tcPr>
          <w:p w14:paraId="5596E2EE">
            <w:pPr>
              <w:pStyle w:val="159"/>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设备底部</w:t>
            </w:r>
          </w:p>
        </w:tc>
        <w:tc>
          <w:tcPr>
            <w:tcW w:w="2160" w:type="dxa"/>
          </w:tcPr>
          <w:p w14:paraId="499798BD">
            <w:pPr>
              <w:pStyle w:val="159"/>
              <w:jc w:val="center"/>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预制、拆、装</w:t>
            </w:r>
          </w:p>
        </w:tc>
      </w:tr>
      <w:tr w14:paraId="7F121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59" w:type="dxa"/>
          </w:tcPr>
          <w:p w14:paraId="68F176E0">
            <w:pPr>
              <w:pStyle w:val="159"/>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19</w:t>
            </w:r>
          </w:p>
        </w:tc>
        <w:tc>
          <w:tcPr>
            <w:tcW w:w="3135" w:type="dxa"/>
          </w:tcPr>
          <w:p w14:paraId="547B80BB">
            <w:pPr>
              <w:pStyle w:val="159"/>
              <w:rPr>
                <w:rFonts w:hint="eastAsia" w:ascii="宋体" w:hAnsi="宋体" w:cs="宋体"/>
                <w:color w:val="auto"/>
                <w:sz w:val="24"/>
                <w:szCs w:val="24"/>
                <w:highlight w:val="none"/>
              </w:rPr>
            </w:pPr>
            <w:r>
              <w:rPr>
                <w:rFonts w:hint="eastAsia" w:ascii="宋体" w:hAnsi="宋体" w:cs="宋体"/>
                <w:color w:val="auto"/>
                <w:sz w:val="24"/>
                <w:szCs w:val="24"/>
                <w:highlight w:val="none"/>
              </w:rPr>
              <w:t>盲板 DN</w:t>
            </w:r>
            <w:r>
              <w:rPr>
                <w:rFonts w:hint="eastAsia" w:ascii="宋体" w:hAnsi="宋体" w:cs="宋体"/>
                <w:color w:val="auto"/>
                <w:sz w:val="24"/>
                <w:szCs w:val="24"/>
                <w:highlight w:val="none"/>
                <w:lang w:val="en-US" w:eastAsia="zh-CN"/>
              </w:rPr>
              <w:t>600</w:t>
            </w:r>
            <w:r>
              <w:rPr>
                <w:rFonts w:hint="eastAsia" w:ascii="宋体" w:hAnsi="宋体" w:cs="宋体"/>
                <w:color w:val="auto"/>
                <w:sz w:val="24"/>
                <w:szCs w:val="24"/>
                <w:highlight w:val="none"/>
              </w:rPr>
              <w:t>-150LB</w:t>
            </w:r>
          </w:p>
        </w:tc>
        <w:tc>
          <w:tcPr>
            <w:tcW w:w="1605" w:type="dxa"/>
            <w:vAlign w:val="center"/>
          </w:tcPr>
          <w:p w14:paraId="4113D28A">
            <w:pPr>
              <w:widowControl/>
              <w:rPr>
                <w:rFonts w:hint="eastAsia" w:ascii="宋体" w:hAnsi="宋体"/>
                <w:color w:val="auto"/>
                <w:kern w:val="0"/>
                <w:sz w:val="22"/>
                <w:highlight w:val="none"/>
                <w:lang w:val="en-US" w:eastAsia="zh-CN" w:bidi="ar"/>
              </w:rPr>
            </w:pPr>
            <w:r>
              <w:rPr>
                <w:rFonts w:hint="eastAsia" w:ascii="宋体" w:hAnsi="宋体"/>
                <w:color w:val="auto"/>
                <w:kern w:val="0"/>
                <w:sz w:val="22"/>
                <w:highlight w:val="none"/>
                <w:lang w:val="en-US" w:eastAsia="zh-CN" w:bidi="ar"/>
              </w:rPr>
              <w:t>2件</w:t>
            </w:r>
          </w:p>
        </w:tc>
        <w:tc>
          <w:tcPr>
            <w:tcW w:w="1485" w:type="dxa"/>
          </w:tcPr>
          <w:p w14:paraId="0A47B0C0">
            <w:pPr>
              <w:pStyle w:val="159"/>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设备底部</w:t>
            </w:r>
          </w:p>
        </w:tc>
        <w:tc>
          <w:tcPr>
            <w:tcW w:w="2160" w:type="dxa"/>
          </w:tcPr>
          <w:p w14:paraId="25EC4696">
            <w:pPr>
              <w:pStyle w:val="159"/>
              <w:jc w:val="center"/>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预制、拆、装</w:t>
            </w:r>
          </w:p>
        </w:tc>
      </w:tr>
    </w:tbl>
    <w:p w14:paraId="4890A958">
      <w:pPr>
        <w:pStyle w:val="159"/>
        <w:rPr>
          <w:rFonts w:hint="default" w:ascii="宋体" w:hAnsi="宋体"/>
          <w:bCs/>
          <w:color w:val="auto"/>
          <w:kern w:val="0"/>
          <w:sz w:val="24"/>
          <w:szCs w:val="24"/>
          <w:highlight w:val="none"/>
          <w:lang w:val="en-US" w:eastAsia="zh-CN"/>
        </w:rPr>
      </w:pPr>
    </w:p>
    <w:p w14:paraId="6E4F657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4.9项目技术要求</w:t>
      </w:r>
    </w:p>
    <w:p w14:paraId="6D2F21D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4.9</w:t>
      </w:r>
      <w:r>
        <w:rPr>
          <w:rFonts w:hint="default" w:ascii="宋体" w:hAnsi="宋体" w:cs="Times New Roman"/>
          <w:color w:val="auto"/>
          <w:sz w:val="24"/>
          <w:szCs w:val="24"/>
          <w:highlight w:val="none"/>
          <w:lang w:val="en-US" w:eastAsia="zh-CN"/>
        </w:rPr>
        <w:t>.1 施工准备：</w:t>
      </w:r>
    </w:p>
    <w:p w14:paraId="5C4E175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（1） 开工前办理相关票证，并已施工方案通过审批。</w:t>
      </w:r>
    </w:p>
    <w:p w14:paraId="30E020E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（2）现场施工平台无杂物，通畅。</w:t>
      </w:r>
    </w:p>
    <w:p w14:paraId="3435C80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（3）施工人员已经充分熟悉了解施工内容。</w:t>
      </w:r>
    </w:p>
    <w:p w14:paraId="694ECDD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（4） 施工人员已经熟悉了相应的技术规范和施工验收标准。</w:t>
      </w:r>
    </w:p>
    <w:p w14:paraId="7E7EB9E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（5） 施工人员已经熟悉了施工现场及设备并已经过“施工技术安全交底”。</w:t>
      </w:r>
    </w:p>
    <w:p w14:paraId="1237C43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（6） 现场施工电源已全部布置完成并具备开工条件。</w:t>
      </w:r>
    </w:p>
    <w:p w14:paraId="3B2DD72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（7） 安全、消防设施已配备或布置，安全质检人员已配备。</w:t>
      </w:r>
    </w:p>
    <w:p w14:paraId="1F0750E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（8） 施工主材已基本到货，辅材应能满足连续施工的需要，消耗性材料等已开列并经批准；施工人员配备到位，机工具配置到位。</w:t>
      </w:r>
    </w:p>
    <w:p w14:paraId="5DB3F18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4.9</w:t>
      </w:r>
      <w:r>
        <w:rPr>
          <w:rFonts w:hint="default" w:ascii="宋体" w:hAnsi="宋体" w:cs="Times New Roman"/>
          <w:color w:val="auto"/>
          <w:sz w:val="24"/>
          <w:szCs w:val="24"/>
          <w:highlight w:val="none"/>
          <w:lang w:val="en-US" w:eastAsia="zh-CN"/>
        </w:rPr>
        <w:t>.2  管道施工要求：</w:t>
      </w:r>
    </w:p>
    <w:p w14:paraId="7F1D5A8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（1）管道预制：</w:t>
      </w:r>
    </w:p>
    <w:p w14:paraId="424C32C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1）管道预制应按图纸规定的数量、规格、材质选配管道组成件，预制过程中的每一道工序均应核对管子的标记，并做好标记的移植，做到用料正确、尺寸准确。</w:t>
      </w:r>
    </w:p>
    <w:p w14:paraId="5277041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2) 管子切割时，可采用机械方法加工或氧乙炔焰切割。管子切口表面应平整、无裂纹、重皮、毛刺、凸凹、缩口、熔渣、氧化物、铁屑等,切口端面倾斜偏差不应大于管子外径的1%，且不超过3mm。</w:t>
      </w:r>
    </w:p>
    <w:p w14:paraId="4E3C90C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（2）管道焊接： </w:t>
      </w:r>
    </w:p>
    <w:p w14:paraId="775425C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1）直管段上两对接焊口中心面间的距离，当公称尺寸大于或等于150mm时，不应小于150mm；当公称尺寸小于150mm时，不应小于管子外径，且不小于100mm；</w:t>
      </w:r>
    </w:p>
    <w:p w14:paraId="36296BD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 xml:space="preserve">2）管道焊缝与支管或管接头的开孔边缘不应小于50mm；  </w:t>
      </w:r>
    </w:p>
    <w:p w14:paraId="42A0478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3）管道环焊缝距支吊架净距不得小于50mm；</w:t>
      </w:r>
    </w:p>
    <w:p w14:paraId="1636EA7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4）焊接碳钢材质可以采用手工焊。不锈钢材质管线DN50以下全部采用氩弧焊，DN50以上管线采用氩电联焊。</w:t>
      </w:r>
    </w:p>
    <w:p w14:paraId="40DFB05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5）焊接过程中监测电压与电流状况，并填写记录。发现异常时，应根据实际情况及时采取合理措施处理，并做详细记录。</w:t>
      </w:r>
    </w:p>
    <w:p w14:paraId="04C6BA1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6)三相焊机接线应注意相序正确；单项焊机应注意电压合乎要求。电源引线超过50米时，应加粗导线或换用发电机。</w:t>
      </w:r>
    </w:p>
    <w:p w14:paraId="5C2BB6F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7)焊接完毕后应使焊件自然冷却。强制冷却将导致焊接质量严重下降。冷却过程中不得移动或振动焊接部位。当焊件冷却至环境温度，或者扶正器螺母松动后方可小心将扶正器拆除。</w:t>
      </w:r>
    </w:p>
    <w:p w14:paraId="4E30363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8)当环境温度低于零下5℃，或者高于45℃时，必须考虑采取保温或降温措施，否则不得焊接。</w:t>
      </w:r>
    </w:p>
    <w:p w14:paraId="37B71F4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4.9</w:t>
      </w:r>
      <w:r>
        <w:rPr>
          <w:rFonts w:hint="default" w:ascii="宋体" w:hAnsi="宋体" w:cs="Times New Roman"/>
          <w:color w:val="auto"/>
          <w:sz w:val="24"/>
          <w:szCs w:val="24"/>
          <w:highlight w:val="none"/>
          <w:lang w:val="en-US" w:eastAsia="zh-CN"/>
        </w:rPr>
        <w:t>.3 坡口加工：</w:t>
      </w:r>
    </w:p>
    <w:p w14:paraId="1C49DA4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   碳钢管坡口可采用机械方法或氧乙炔焰切割，但必须用磨光机磨去影响焊接质量的表面层，并将凹凸不平处打磨平整。坡口加工完毕,要检查坡口表面质量,以保证焊接质量。</w:t>
      </w:r>
    </w:p>
    <w:tbl>
      <w:tblPr>
        <w:tblStyle w:val="28"/>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6"/>
        <w:gridCol w:w="3319"/>
        <w:gridCol w:w="1062"/>
        <w:gridCol w:w="929"/>
        <w:gridCol w:w="1327"/>
        <w:gridCol w:w="1078"/>
      </w:tblGrid>
      <w:tr w14:paraId="0A3E2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216" w:type="dxa"/>
            <w:vMerge w:val="restart"/>
            <w:vAlign w:val="center"/>
          </w:tcPr>
          <w:p w14:paraId="40A8B1B2">
            <w:pPr>
              <w:rPr>
                <w:rFonts w:ascii="宋体" w:hAnsi="宋体"/>
                <w:color w:val="auto"/>
                <w:sz w:val="18"/>
                <w:szCs w:val="18"/>
                <w:highlight w:val="none"/>
              </w:rPr>
            </w:pPr>
            <w:r>
              <w:rPr>
                <w:rFonts w:hint="eastAsia" w:ascii="宋体" w:hAnsi="宋体"/>
                <w:color w:val="auto"/>
                <w:sz w:val="18"/>
                <w:szCs w:val="18"/>
                <w:highlight w:val="none"/>
              </w:rPr>
              <w:t>厚度T（mm）</w:t>
            </w:r>
          </w:p>
        </w:tc>
        <w:tc>
          <w:tcPr>
            <w:tcW w:w="3319" w:type="dxa"/>
            <w:vMerge w:val="restart"/>
            <w:vAlign w:val="center"/>
          </w:tcPr>
          <w:p w14:paraId="3D857D38">
            <w:pPr>
              <w:jc w:val="center"/>
              <w:rPr>
                <w:rFonts w:ascii="宋体" w:hAnsi="宋体"/>
                <w:color w:val="auto"/>
                <w:sz w:val="18"/>
                <w:szCs w:val="18"/>
                <w:highlight w:val="none"/>
              </w:rPr>
            </w:pPr>
            <w:r>
              <w:rPr>
                <w:rFonts w:hint="eastAsia" w:ascii="宋体" w:hAnsi="宋体"/>
                <w:color w:val="auto"/>
                <w:sz w:val="18"/>
                <w:szCs w:val="18"/>
                <w:highlight w:val="none"/>
              </w:rPr>
              <w:t>坡口形式</w:t>
            </w:r>
          </w:p>
        </w:tc>
        <w:tc>
          <w:tcPr>
            <w:tcW w:w="3318" w:type="dxa"/>
            <w:gridSpan w:val="3"/>
            <w:vAlign w:val="center"/>
          </w:tcPr>
          <w:p w14:paraId="753C4B8D">
            <w:pPr>
              <w:jc w:val="center"/>
              <w:rPr>
                <w:rFonts w:ascii="宋体" w:hAnsi="宋体"/>
                <w:color w:val="auto"/>
                <w:sz w:val="18"/>
                <w:szCs w:val="18"/>
                <w:highlight w:val="none"/>
              </w:rPr>
            </w:pPr>
            <w:r>
              <w:rPr>
                <w:rFonts w:hint="eastAsia" w:ascii="宋体" w:hAnsi="宋体"/>
                <w:color w:val="auto"/>
                <w:sz w:val="18"/>
                <w:szCs w:val="18"/>
                <w:highlight w:val="none"/>
              </w:rPr>
              <w:t>坡口尺寸</w:t>
            </w:r>
          </w:p>
        </w:tc>
        <w:tc>
          <w:tcPr>
            <w:tcW w:w="1078" w:type="dxa"/>
            <w:vMerge w:val="restart"/>
            <w:vAlign w:val="center"/>
          </w:tcPr>
          <w:p w14:paraId="1E4497B3">
            <w:pPr>
              <w:rPr>
                <w:rFonts w:ascii="宋体" w:hAnsi="宋体"/>
                <w:color w:val="auto"/>
                <w:sz w:val="18"/>
                <w:szCs w:val="18"/>
                <w:highlight w:val="none"/>
              </w:rPr>
            </w:pPr>
            <w:r>
              <w:rPr>
                <w:rFonts w:hint="eastAsia" w:ascii="宋体" w:hAnsi="宋体"/>
                <w:color w:val="auto"/>
                <w:sz w:val="18"/>
                <w:szCs w:val="18"/>
                <w:highlight w:val="none"/>
              </w:rPr>
              <w:t>备注</w:t>
            </w:r>
          </w:p>
        </w:tc>
      </w:tr>
      <w:tr w14:paraId="55DB2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1216" w:type="dxa"/>
            <w:vMerge w:val="continue"/>
          </w:tcPr>
          <w:p w14:paraId="739AEF99">
            <w:pPr>
              <w:rPr>
                <w:rFonts w:ascii="宋体" w:hAnsi="宋体"/>
                <w:color w:val="auto"/>
                <w:sz w:val="18"/>
                <w:szCs w:val="18"/>
                <w:highlight w:val="none"/>
              </w:rPr>
            </w:pPr>
          </w:p>
        </w:tc>
        <w:tc>
          <w:tcPr>
            <w:tcW w:w="3319" w:type="dxa"/>
            <w:vMerge w:val="continue"/>
          </w:tcPr>
          <w:p w14:paraId="720A15A7">
            <w:pPr>
              <w:rPr>
                <w:rFonts w:ascii="宋体" w:hAnsi="宋体"/>
                <w:color w:val="auto"/>
                <w:sz w:val="18"/>
                <w:szCs w:val="18"/>
                <w:highlight w:val="none"/>
              </w:rPr>
            </w:pPr>
          </w:p>
        </w:tc>
        <w:tc>
          <w:tcPr>
            <w:tcW w:w="1062" w:type="dxa"/>
          </w:tcPr>
          <w:p w14:paraId="726C57CA">
            <w:pPr>
              <w:rPr>
                <w:rFonts w:ascii="宋体" w:hAnsi="宋体"/>
                <w:color w:val="auto"/>
                <w:sz w:val="18"/>
                <w:szCs w:val="18"/>
                <w:highlight w:val="none"/>
              </w:rPr>
            </w:pPr>
            <w:r>
              <w:rPr>
                <w:rFonts w:hint="eastAsia" w:ascii="宋体" w:hAnsi="宋体"/>
                <w:color w:val="auto"/>
                <w:sz w:val="18"/>
                <w:szCs w:val="18"/>
                <w:highlight w:val="none"/>
              </w:rPr>
              <w:t>间隙C（mm）</w:t>
            </w:r>
          </w:p>
        </w:tc>
        <w:tc>
          <w:tcPr>
            <w:tcW w:w="929" w:type="dxa"/>
          </w:tcPr>
          <w:p w14:paraId="738B096C">
            <w:pPr>
              <w:rPr>
                <w:rFonts w:ascii="宋体" w:hAnsi="宋体"/>
                <w:color w:val="auto"/>
                <w:sz w:val="18"/>
                <w:szCs w:val="18"/>
                <w:highlight w:val="none"/>
              </w:rPr>
            </w:pPr>
            <w:r>
              <w:rPr>
                <w:rFonts w:hint="eastAsia" w:ascii="宋体" w:hAnsi="宋体"/>
                <w:color w:val="auto"/>
                <w:sz w:val="18"/>
                <w:szCs w:val="18"/>
                <w:highlight w:val="none"/>
              </w:rPr>
              <w:t>钝边P（mm）</w:t>
            </w:r>
          </w:p>
        </w:tc>
        <w:tc>
          <w:tcPr>
            <w:tcW w:w="1327" w:type="dxa"/>
          </w:tcPr>
          <w:p w14:paraId="33B2D774">
            <w:pPr>
              <w:rPr>
                <w:rFonts w:ascii="宋体" w:hAnsi="宋体"/>
                <w:color w:val="auto"/>
                <w:sz w:val="18"/>
                <w:szCs w:val="18"/>
                <w:highlight w:val="none"/>
              </w:rPr>
            </w:pPr>
            <w:r>
              <w:rPr>
                <w:rFonts w:hint="eastAsia" w:ascii="宋体" w:hAnsi="宋体"/>
                <w:color w:val="auto"/>
                <w:sz w:val="18"/>
                <w:szCs w:val="18"/>
                <w:highlight w:val="none"/>
              </w:rPr>
              <w:t>坡口角度a（°）</w:t>
            </w:r>
          </w:p>
        </w:tc>
        <w:tc>
          <w:tcPr>
            <w:tcW w:w="1078" w:type="dxa"/>
            <w:vMerge w:val="continue"/>
          </w:tcPr>
          <w:p w14:paraId="14E3F1C0">
            <w:pPr>
              <w:rPr>
                <w:rFonts w:ascii="宋体" w:hAnsi="宋体"/>
                <w:color w:val="auto"/>
                <w:sz w:val="18"/>
                <w:szCs w:val="18"/>
                <w:highlight w:val="none"/>
              </w:rPr>
            </w:pPr>
          </w:p>
        </w:tc>
      </w:tr>
      <w:tr w14:paraId="6DB3B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1216" w:type="dxa"/>
            <w:vAlign w:val="center"/>
          </w:tcPr>
          <w:p w14:paraId="381F25F4">
            <w:pPr>
              <w:jc w:val="center"/>
              <w:rPr>
                <w:rFonts w:ascii="宋体" w:hAnsi="宋体"/>
                <w:color w:val="auto"/>
                <w:sz w:val="18"/>
                <w:szCs w:val="18"/>
                <w:highlight w:val="none"/>
              </w:rPr>
            </w:pPr>
            <w:r>
              <w:rPr>
                <w:rFonts w:hint="eastAsia" w:ascii="宋体" w:hAnsi="宋体"/>
                <w:color w:val="auto"/>
                <w:sz w:val="18"/>
                <w:szCs w:val="18"/>
                <w:highlight w:val="none"/>
              </w:rPr>
              <w:t>3-9</w:t>
            </w:r>
          </w:p>
        </w:tc>
        <w:tc>
          <w:tcPr>
            <w:tcW w:w="3319" w:type="dxa"/>
            <w:vMerge w:val="restart"/>
            <w:vAlign w:val="center"/>
          </w:tcPr>
          <w:p w14:paraId="19307170">
            <w:pPr>
              <w:jc w:val="center"/>
              <w:rPr>
                <w:rFonts w:ascii="宋体" w:hAnsi="宋体"/>
                <w:color w:val="auto"/>
                <w:sz w:val="18"/>
                <w:szCs w:val="18"/>
                <w:highlight w:val="none"/>
              </w:rPr>
            </w:pPr>
            <w:r>
              <w:rPr>
                <w:rFonts w:hint="eastAsia" w:ascii="宋体" w:hAnsi="宋体"/>
                <w:color w:val="auto"/>
                <w:sz w:val="18"/>
                <w:szCs w:val="18"/>
                <w:highlight w:val="none"/>
              </w:rPr>
              <w:pict>
                <v:shape id="_x0000_i1025" o:spt="75" type="#_x0000_t75" style="height:81pt;width:163.5pt;" filled="f" o:preferrelative="t" stroked="f" coordsize="21600,21600">
                  <v:path/>
                  <v:fill on="f" focussize="0,0"/>
                  <v:stroke on="f" weight="1pt"/>
                  <v:imagedata r:id="rId9" o:title=""/>
                  <o:lock v:ext="edit" aspectratio="t"/>
                  <w10:wrap type="none"/>
                  <w10:anchorlock/>
                </v:shape>
              </w:pict>
            </w:r>
          </w:p>
        </w:tc>
        <w:tc>
          <w:tcPr>
            <w:tcW w:w="1062" w:type="dxa"/>
            <w:vAlign w:val="center"/>
          </w:tcPr>
          <w:p w14:paraId="4A2B2029">
            <w:pPr>
              <w:jc w:val="center"/>
              <w:rPr>
                <w:rFonts w:ascii="宋体" w:hAnsi="宋体"/>
                <w:color w:val="auto"/>
                <w:sz w:val="18"/>
                <w:szCs w:val="18"/>
                <w:highlight w:val="none"/>
              </w:rPr>
            </w:pPr>
            <w:r>
              <w:rPr>
                <w:rFonts w:hint="eastAsia" w:ascii="宋体" w:hAnsi="宋体"/>
                <w:color w:val="auto"/>
                <w:sz w:val="18"/>
                <w:szCs w:val="18"/>
                <w:highlight w:val="none"/>
              </w:rPr>
              <w:t>0~2</w:t>
            </w:r>
          </w:p>
        </w:tc>
        <w:tc>
          <w:tcPr>
            <w:tcW w:w="929" w:type="dxa"/>
            <w:vAlign w:val="center"/>
          </w:tcPr>
          <w:p w14:paraId="1ECEC8A1">
            <w:pPr>
              <w:jc w:val="center"/>
              <w:rPr>
                <w:rFonts w:ascii="宋体" w:hAnsi="宋体"/>
                <w:color w:val="auto"/>
                <w:sz w:val="18"/>
                <w:szCs w:val="18"/>
                <w:highlight w:val="none"/>
              </w:rPr>
            </w:pPr>
            <w:r>
              <w:rPr>
                <w:rFonts w:hint="eastAsia" w:ascii="宋体" w:hAnsi="宋体"/>
                <w:color w:val="auto"/>
                <w:sz w:val="18"/>
                <w:szCs w:val="18"/>
                <w:highlight w:val="none"/>
              </w:rPr>
              <w:t>0~2</w:t>
            </w:r>
          </w:p>
        </w:tc>
        <w:tc>
          <w:tcPr>
            <w:tcW w:w="1327" w:type="dxa"/>
            <w:vAlign w:val="center"/>
          </w:tcPr>
          <w:p w14:paraId="7CDCC12E">
            <w:pPr>
              <w:jc w:val="center"/>
              <w:rPr>
                <w:rFonts w:ascii="宋体" w:hAnsi="宋体"/>
                <w:color w:val="auto"/>
                <w:sz w:val="18"/>
                <w:szCs w:val="18"/>
                <w:highlight w:val="none"/>
              </w:rPr>
            </w:pPr>
            <w:r>
              <w:rPr>
                <w:rFonts w:hint="eastAsia" w:ascii="宋体" w:hAnsi="宋体"/>
                <w:color w:val="auto"/>
                <w:sz w:val="18"/>
                <w:szCs w:val="18"/>
                <w:highlight w:val="none"/>
              </w:rPr>
              <w:t>65~75</w:t>
            </w:r>
          </w:p>
        </w:tc>
        <w:tc>
          <w:tcPr>
            <w:tcW w:w="1078" w:type="dxa"/>
          </w:tcPr>
          <w:p w14:paraId="4B66340D">
            <w:pPr>
              <w:rPr>
                <w:rFonts w:ascii="宋体" w:hAnsi="宋体"/>
                <w:color w:val="auto"/>
                <w:sz w:val="18"/>
                <w:szCs w:val="18"/>
                <w:highlight w:val="none"/>
              </w:rPr>
            </w:pPr>
          </w:p>
        </w:tc>
      </w:tr>
      <w:tr w14:paraId="34F82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16" w:type="dxa"/>
            <w:vAlign w:val="center"/>
          </w:tcPr>
          <w:p w14:paraId="33BE8266">
            <w:pPr>
              <w:jc w:val="center"/>
              <w:rPr>
                <w:rFonts w:ascii="宋体" w:hAnsi="宋体"/>
                <w:color w:val="auto"/>
                <w:sz w:val="18"/>
                <w:szCs w:val="18"/>
                <w:highlight w:val="none"/>
              </w:rPr>
            </w:pPr>
            <w:r>
              <w:rPr>
                <w:rFonts w:hint="eastAsia" w:ascii="宋体" w:hAnsi="宋体"/>
                <w:color w:val="auto"/>
                <w:sz w:val="18"/>
                <w:szCs w:val="18"/>
                <w:highlight w:val="none"/>
              </w:rPr>
              <w:t>9-26</w:t>
            </w:r>
          </w:p>
        </w:tc>
        <w:tc>
          <w:tcPr>
            <w:tcW w:w="3319" w:type="dxa"/>
            <w:vMerge w:val="continue"/>
            <w:vAlign w:val="center"/>
          </w:tcPr>
          <w:p w14:paraId="2CF89CF9">
            <w:pPr>
              <w:jc w:val="center"/>
              <w:rPr>
                <w:rFonts w:ascii="宋体" w:hAnsi="宋体"/>
                <w:color w:val="auto"/>
                <w:sz w:val="18"/>
                <w:szCs w:val="18"/>
                <w:highlight w:val="none"/>
              </w:rPr>
            </w:pPr>
          </w:p>
        </w:tc>
        <w:tc>
          <w:tcPr>
            <w:tcW w:w="1062" w:type="dxa"/>
            <w:vAlign w:val="center"/>
          </w:tcPr>
          <w:p w14:paraId="68794C75">
            <w:pPr>
              <w:jc w:val="center"/>
              <w:rPr>
                <w:rFonts w:ascii="宋体" w:hAnsi="宋体"/>
                <w:color w:val="auto"/>
                <w:sz w:val="18"/>
                <w:szCs w:val="18"/>
                <w:highlight w:val="none"/>
              </w:rPr>
            </w:pPr>
            <w:r>
              <w:rPr>
                <w:rFonts w:hint="eastAsia" w:ascii="宋体" w:hAnsi="宋体"/>
                <w:color w:val="auto"/>
                <w:sz w:val="18"/>
                <w:szCs w:val="18"/>
                <w:highlight w:val="none"/>
              </w:rPr>
              <w:t>0~3</w:t>
            </w:r>
          </w:p>
        </w:tc>
        <w:tc>
          <w:tcPr>
            <w:tcW w:w="929" w:type="dxa"/>
            <w:vAlign w:val="center"/>
          </w:tcPr>
          <w:p w14:paraId="5FF5C05B">
            <w:pPr>
              <w:jc w:val="center"/>
              <w:rPr>
                <w:rFonts w:ascii="宋体" w:hAnsi="宋体"/>
                <w:color w:val="auto"/>
                <w:sz w:val="18"/>
                <w:szCs w:val="18"/>
                <w:highlight w:val="none"/>
              </w:rPr>
            </w:pPr>
            <w:r>
              <w:rPr>
                <w:rFonts w:hint="eastAsia" w:ascii="宋体" w:hAnsi="宋体"/>
                <w:color w:val="auto"/>
                <w:sz w:val="18"/>
                <w:szCs w:val="18"/>
                <w:highlight w:val="none"/>
              </w:rPr>
              <w:t>0~3</w:t>
            </w:r>
          </w:p>
        </w:tc>
        <w:tc>
          <w:tcPr>
            <w:tcW w:w="1327" w:type="dxa"/>
            <w:vAlign w:val="center"/>
          </w:tcPr>
          <w:p w14:paraId="3636A725">
            <w:pPr>
              <w:jc w:val="center"/>
              <w:rPr>
                <w:rFonts w:ascii="宋体" w:hAnsi="宋体"/>
                <w:color w:val="auto"/>
                <w:sz w:val="18"/>
                <w:szCs w:val="18"/>
                <w:highlight w:val="none"/>
              </w:rPr>
            </w:pPr>
            <w:r>
              <w:rPr>
                <w:rFonts w:hint="eastAsia" w:ascii="宋体" w:hAnsi="宋体"/>
                <w:color w:val="auto"/>
                <w:sz w:val="18"/>
                <w:szCs w:val="18"/>
                <w:highlight w:val="none"/>
              </w:rPr>
              <w:t>55~65</w:t>
            </w:r>
          </w:p>
        </w:tc>
        <w:tc>
          <w:tcPr>
            <w:tcW w:w="1078" w:type="dxa"/>
          </w:tcPr>
          <w:p w14:paraId="006D17D3">
            <w:pPr>
              <w:rPr>
                <w:rFonts w:ascii="宋体" w:hAnsi="宋体"/>
                <w:color w:val="auto"/>
                <w:sz w:val="18"/>
                <w:szCs w:val="18"/>
                <w:highlight w:val="none"/>
              </w:rPr>
            </w:pPr>
          </w:p>
        </w:tc>
      </w:tr>
    </w:tbl>
    <w:p w14:paraId="386F584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p>
    <w:p w14:paraId="1168C3C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4.9</w:t>
      </w:r>
      <w:r>
        <w:rPr>
          <w:rFonts w:hint="default" w:ascii="宋体" w:hAnsi="宋体" w:cs="Times New Roman"/>
          <w:color w:val="auto"/>
          <w:sz w:val="24"/>
          <w:szCs w:val="24"/>
          <w:highlight w:val="none"/>
          <w:lang w:val="en-US" w:eastAsia="zh-CN"/>
        </w:rPr>
        <w:t xml:space="preserve">.4 管道安装： </w:t>
      </w:r>
    </w:p>
    <w:p w14:paraId="183192A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（1）管道预制完毕宜在地面将其装配成组合件，整体安装，以减少高处作业。</w:t>
      </w:r>
    </w:p>
    <w:p w14:paraId="7E678BE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（2）管子、管件、阀门等，内部已清理干净，无杂物。</w:t>
      </w:r>
    </w:p>
    <w:p w14:paraId="5B5BA70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（3） 管道组成件及管道支承件等已检验合格。</w:t>
      </w:r>
    </w:p>
    <w:p w14:paraId="6A5D088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（4）法兰、焊缝及其他连接件的设置应便于检修，并不得紧贴墙壁、楼板或管架。</w:t>
      </w:r>
    </w:p>
    <w:p w14:paraId="5C4E3CF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（5）工业金属管道连接时，不得采用强力对口，端面的间隙、偏差、错口或不同心等缺陷不得采用加热管子、加偏垫等方法消除。</w:t>
      </w:r>
    </w:p>
    <w:p w14:paraId="67B0D2E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（6）管道安装按管道平面布置图进行，重点注意标高、介质流向、支架型式及位置、坡度值、管道材质、阀门的安装方向。</w:t>
      </w:r>
    </w:p>
    <w:p w14:paraId="3935E1D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7）管道安装时，不宜采用临时支吊架,更不得用铁丝、麻绳、石块等作为临时支架，须安装正式支吊架。管架制作安装，严格按图纸进行，支架焊接同正式焊接施工工艺，焊肉要饱满，焊接完毕须经检查人员检查合格后，方可安装。</w:t>
      </w:r>
    </w:p>
    <w:p w14:paraId="2CB7975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4.9</w:t>
      </w:r>
      <w:r>
        <w:rPr>
          <w:rFonts w:hint="default" w:ascii="宋体" w:hAnsi="宋体" w:cs="Times New Roman"/>
          <w:color w:val="auto"/>
          <w:sz w:val="24"/>
          <w:szCs w:val="24"/>
          <w:highlight w:val="none"/>
          <w:lang w:val="en-US" w:eastAsia="zh-CN"/>
        </w:rPr>
        <w:t>.5 阀门安装：</w:t>
      </w:r>
    </w:p>
    <w:p w14:paraId="58E7911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（1）阀门安装前，应按照设计文件核对其型号，并应按介质流向确定其安装方向。</w:t>
      </w:r>
    </w:p>
    <w:p w14:paraId="29358B4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（2）阀门安装位置应易于操作、检查和维修。水平管道上的阀门，其阀杆及传动装置应按照设计规定进行安装，动作应灵活。</w:t>
      </w:r>
    </w:p>
    <w:p w14:paraId="520978C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4.9</w:t>
      </w:r>
      <w:r>
        <w:rPr>
          <w:rFonts w:hint="default" w:ascii="宋体" w:hAnsi="宋体" w:cs="Times New Roman"/>
          <w:color w:val="auto"/>
          <w:sz w:val="24"/>
          <w:szCs w:val="24"/>
          <w:highlight w:val="none"/>
          <w:lang w:val="en-US" w:eastAsia="zh-CN"/>
        </w:rPr>
        <w:t>.6支架安装：</w:t>
      </w:r>
    </w:p>
    <w:p w14:paraId="56813B1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（1）当安装管道时，应及时固定和调整支架。支架安装位置应准确，安装应平整牢固，与管子接触应紧密。</w:t>
      </w:r>
    </w:p>
    <w:p w14:paraId="566D275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（2）固定支架整体抬高，应按照相关规范要求安装，并应在补偿装置预拉伸或预压缩之前固定。</w:t>
      </w:r>
    </w:p>
    <w:p w14:paraId="4FD7FD1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4.9</w:t>
      </w:r>
      <w:r>
        <w:rPr>
          <w:rFonts w:hint="default" w:ascii="宋体" w:hAnsi="宋体" w:cs="Times New Roman"/>
          <w:color w:val="auto"/>
          <w:sz w:val="24"/>
          <w:szCs w:val="24"/>
          <w:highlight w:val="none"/>
          <w:lang w:val="en-US" w:eastAsia="zh-CN"/>
        </w:rPr>
        <w:t>.</w:t>
      </w:r>
      <w:r>
        <w:rPr>
          <w:rFonts w:hint="eastAsia" w:ascii="宋体" w:hAnsi="宋体" w:cs="Times New Roman"/>
          <w:color w:val="auto"/>
          <w:sz w:val="24"/>
          <w:szCs w:val="24"/>
          <w:highlight w:val="none"/>
          <w:lang w:val="en-US" w:eastAsia="zh-CN"/>
        </w:rPr>
        <w:t>7</w:t>
      </w:r>
      <w:r>
        <w:rPr>
          <w:rFonts w:hint="default" w:ascii="宋体" w:hAnsi="宋体" w:cs="Times New Roman"/>
          <w:color w:val="auto"/>
          <w:sz w:val="24"/>
          <w:szCs w:val="24"/>
          <w:highlight w:val="none"/>
          <w:lang w:val="en-US" w:eastAsia="zh-CN"/>
        </w:rPr>
        <w:t xml:space="preserve"> 管道的吹扫与冲洗：</w:t>
      </w:r>
    </w:p>
    <w:p w14:paraId="190472D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（1）吹扫工作应在管道安装完、开车前、压力试验合格后进行，并编制吹扫方案。</w:t>
      </w:r>
    </w:p>
    <w:p w14:paraId="1ECA825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default" w:ascii="宋体" w:hAnsi="宋体" w:cs="Times New Roman"/>
          <w:color w:val="auto"/>
          <w:sz w:val="24"/>
          <w:szCs w:val="24"/>
          <w:highlight w:val="none"/>
          <w:lang w:val="en-US" w:eastAsia="zh-CN"/>
        </w:rPr>
        <w:t>（2）管道采用空气吹扫。</w:t>
      </w:r>
    </w:p>
    <w:bookmarkEnd w:id="11"/>
    <w:p w14:paraId="36D7C0FB">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color w:val="auto"/>
          <w:sz w:val="28"/>
          <w:szCs w:val="13"/>
          <w:highlight w:val="none"/>
        </w:rPr>
      </w:pPr>
      <w:r>
        <w:rPr>
          <w:rFonts w:hint="eastAsia"/>
          <w:color w:val="auto"/>
          <w:sz w:val="28"/>
          <w:szCs w:val="13"/>
          <w:highlight w:val="none"/>
        </w:rPr>
        <w:t>5</w:t>
      </w:r>
      <w:r>
        <w:rPr>
          <w:rFonts w:hint="eastAsia"/>
          <w:color w:val="auto"/>
          <w:sz w:val="28"/>
          <w:szCs w:val="13"/>
          <w:highlight w:val="none"/>
          <w:lang w:val="en-US" w:eastAsia="zh-CN"/>
        </w:rPr>
        <w:t xml:space="preserve"> 投标方应达到的目标</w:t>
      </w:r>
    </w:p>
    <w:p w14:paraId="6E73504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5.1安全性指标</w:t>
      </w:r>
    </w:p>
    <w:p w14:paraId="6FCFA23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（1）不发生本项目部员工轻伤以上、急性中毒等各类人身事故。</w:t>
      </w:r>
    </w:p>
    <w:p w14:paraId="21D39E4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（2）不发生外包人员轻伤以上、急性中毒等各类人身事故。</w:t>
      </w:r>
    </w:p>
    <w:p w14:paraId="5C65CD1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（3）不发生负主责以上有人员受伤构成的交通事故。</w:t>
      </w:r>
    </w:p>
    <w:p w14:paraId="159E8ED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（4）不发生本项目部责任造成的火险事件。</w:t>
      </w:r>
    </w:p>
    <w:p w14:paraId="2B22DB2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（5）设备考核障碍及可靠性指标控制在以下范围（指非人为原因造成）：不发生考核障碍、一类障碍、二类障碍。</w:t>
      </w:r>
    </w:p>
    <w:p w14:paraId="2A5153E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（6）不发生误操作事件。</w:t>
      </w:r>
    </w:p>
    <w:p w14:paraId="7F18491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5.2 环保指标：</w:t>
      </w:r>
    </w:p>
    <w:p w14:paraId="64FD351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（1）不发生一般以上环境污染事件。</w:t>
      </w:r>
    </w:p>
    <w:p w14:paraId="6063255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（2）不发生本项目部责任造成的“三废”排放超标事件。</w:t>
      </w:r>
    </w:p>
    <w:p w14:paraId="0C0428C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（3）不发生本项目部责任造成的危废处置不合规、不合法事件。</w:t>
      </w:r>
    </w:p>
    <w:p w14:paraId="4FB9B70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（4）不发生本项目部责任造成的公司被上级单位、政府部门通报批评或罚款的环保事件。</w:t>
      </w:r>
    </w:p>
    <w:p w14:paraId="7A2EE3F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5.3不发生造成后果的危险化学品泄漏事件。</w:t>
      </w:r>
    </w:p>
    <w:p w14:paraId="03A80DB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5.4 职业卫生：</w:t>
      </w:r>
    </w:p>
    <w:p w14:paraId="03E9266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（1）不发生新增职业病病例。</w:t>
      </w:r>
    </w:p>
    <w:p w14:paraId="53D9B44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（2）职业病危害年度体检率100%。</w:t>
      </w:r>
    </w:p>
    <w:p w14:paraId="2D18672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5.5 不发生本项目部责任造成的公司被上级单位及政府部门下发的安全环保挂牌督办通知书、安全生产督（稽）查通知书要求整改的问题未及时整改的情况和上级单位及政府部门通报批评的事件。</w:t>
      </w:r>
    </w:p>
    <w:p w14:paraId="410D5EB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5.6 治安保卫：</w:t>
      </w:r>
    </w:p>
    <w:p w14:paraId="066FA43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（1）不发生本项目部责任造成的生产物资被盗抢案件。</w:t>
      </w:r>
    </w:p>
    <w:p w14:paraId="129F15B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（2）不发生危险物品（包括易制毒、放射品）被盗、丢失或被非法转让案件。</w:t>
      </w:r>
    </w:p>
    <w:p w14:paraId="7E77C3E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（3）公司区域内不发生有本项目部人员参与的群殴、群架事件。</w:t>
      </w:r>
    </w:p>
    <w:p w14:paraId="4E9CB7D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5.7 其他指标：</w:t>
      </w:r>
    </w:p>
    <w:p w14:paraId="3F1A6D8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（1）隐患整改率不低于95%。</w:t>
      </w:r>
    </w:p>
    <w:p w14:paraId="4495896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（2）不发生本项目部员工个人负主责的其他不安全事件。</w:t>
      </w:r>
    </w:p>
    <w:p w14:paraId="3B563F6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（3）员工三级安全培训率100%。</w:t>
      </w:r>
    </w:p>
    <w:p w14:paraId="5F6FCCD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 xml:space="preserve"> (4) 特种作业人员持证上岗率100%。</w:t>
      </w:r>
    </w:p>
    <w:p w14:paraId="161CBD7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5.8 经济性指标</w:t>
      </w:r>
    </w:p>
    <w:p w14:paraId="40872244">
      <w:pPr>
        <w:snapToGrid w:val="0"/>
        <w:spacing w:line="360" w:lineRule="auto"/>
        <w:ind w:firstLine="480" w:firstLineChars="200"/>
        <w:jc w:val="left"/>
        <w:rPr>
          <w:rStyle w:val="87"/>
          <w:rFonts w:ascii="宋体" w:hAnsi="宋体" w:cs="宋体"/>
          <w:bCs/>
          <w:color w:val="auto"/>
          <w:highlight w:val="none"/>
        </w:rPr>
      </w:pPr>
      <w:r>
        <w:rPr>
          <w:rStyle w:val="87"/>
          <w:rFonts w:hint="eastAsia" w:ascii="宋体" w:hAnsi="宋体" w:cs="宋体"/>
          <w:bCs/>
          <w:color w:val="auto"/>
          <w:highlight w:val="none"/>
        </w:rPr>
        <w:t>机组、设备达到铭牌出力；能耗、物耗达到招标方制定的当年计划指标。</w:t>
      </w:r>
    </w:p>
    <w:p w14:paraId="3FD9F6C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5.9 可靠性指标</w:t>
      </w:r>
    </w:p>
    <w:p w14:paraId="38915814">
      <w:pPr>
        <w:snapToGrid w:val="0"/>
        <w:spacing w:line="360" w:lineRule="auto"/>
        <w:ind w:firstLine="240" w:firstLineChars="100"/>
        <w:jc w:val="left"/>
        <w:rPr>
          <w:rStyle w:val="87"/>
          <w:rFonts w:ascii="宋体" w:hAnsi="宋体" w:cs="宋体"/>
          <w:bCs/>
          <w:color w:val="auto"/>
          <w:highlight w:val="none"/>
        </w:rPr>
      </w:pPr>
      <w:r>
        <w:rPr>
          <w:rStyle w:val="87"/>
          <w:rFonts w:hint="eastAsia" w:ascii="宋体" w:hAnsi="宋体" w:cs="宋体"/>
          <w:bCs/>
          <w:color w:val="auto"/>
          <w:highlight w:val="none"/>
        </w:rPr>
        <w:t>（1）非计划停运次数投标方责任0次/每年。</w:t>
      </w:r>
    </w:p>
    <w:p w14:paraId="3364F11A">
      <w:pPr>
        <w:snapToGrid w:val="0"/>
        <w:spacing w:line="360" w:lineRule="auto"/>
        <w:ind w:firstLine="240" w:firstLineChars="100"/>
        <w:jc w:val="left"/>
        <w:rPr>
          <w:rStyle w:val="87"/>
          <w:rFonts w:ascii="宋体" w:hAnsi="宋体" w:cs="宋体"/>
          <w:bCs/>
          <w:color w:val="auto"/>
          <w:highlight w:val="none"/>
        </w:rPr>
      </w:pPr>
      <w:r>
        <w:rPr>
          <w:rStyle w:val="87"/>
          <w:rFonts w:hint="eastAsia" w:ascii="宋体" w:hAnsi="宋体" w:cs="宋体"/>
          <w:bCs/>
          <w:color w:val="auto"/>
          <w:highlight w:val="none"/>
        </w:rPr>
        <w:t>（2）不发生考核障碍、一类障碍和二类障碍。</w:t>
      </w:r>
    </w:p>
    <w:p w14:paraId="3058AF0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5.10 环保指标</w:t>
      </w:r>
    </w:p>
    <w:p w14:paraId="22B6CCCC">
      <w:pPr>
        <w:snapToGrid w:val="0"/>
        <w:spacing w:line="360" w:lineRule="auto"/>
        <w:ind w:firstLine="480" w:firstLineChars="200"/>
        <w:jc w:val="left"/>
        <w:rPr>
          <w:rStyle w:val="87"/>
          <w:rFonts w:ascii="宋体" w:hAnsi="宋体" w:cs="宋体"/>
          <w:bCs/>
          <w:color w:val="auto"/>
          <w:highlight w:val="none"/>
        </w:rPr>
      </w:pPr>
      <w:r>
        <w:rPr>
          <w:rStyle w:val="87"/>
          <w:rFonts w:hint="eastAsia" w:ascii="宋体" w:hAnsi="宋体" w:cs="宋体"/>
          <w:bCs/>
          <w:color w:val="auto"/>
          <w:highlight w:val="none"/>
        </w:rPr>
        <w:t>现场作业过程要符合国家有关环保管理标准、技术规范及公司环保管理制度。</w:t>
      </w:r>
    </w:p>
    <w:p w14:paraId="428D881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5.11 生产管理目标:</w:t>
      </w:r>
    </w:p>
    <w:p w14:paraId="61CFDE38">
      <w:pPr>
        <w:snapToGrid w:val="0"/>
        <w:spacing w:line="360" w:lineRule="auto"/>
        <w:ind w:firstLine="240" w:firstLineChars="100"/>
        <w:jc w:val="left"/>
        <w:rPr>
          <w:rStyle w:val="87"/>
          <w:rFonts w:ascii="宋体" w:hAnsi="宋体" w:cs="宋体"/>
          <w:bCs/>
          <w:color w:val="auto"/>
          <w:highlight w:val="none"/>
        </w:rPr>
      </w:pPr>
      <w:r>
        <w:rPr>
          <w:rStyle w:val="87"/>
          <w:rFonts w:hint="eastAsia" w:ascii="宋体" w:hAnsi="宋体" w:cs="宋体"/>
          <w:bCs/>
          <w:color w:val="auto"/>
          <w:highlight w:val="none"/>
        </w:rPr>
        <w:t>（1）机组、设备要达到一流煤化工企业管理水平，设备管理达到无渗漏标准。</w:t>
      </w:r>
    </w:p>
    <w:p w14:paraId="7DE587A5">
      <w:pPr>
        <w:snapToGrid w:val="0"/>
        <w:spacing w:line="360" w:lineRule="auto"/>
        <w:ind w:firstLine="240" w:firstLineChars="100"/>
        <w:jc w:val="left"/>
        <w:rPr>
          <w:rStyle w:val="87"/>
          <w:rFonts w:ascii="宋体" w:hAnsi="宋体" w:cs="宋体"/>
          <w:bCs/>
          <w:color w:val="auto"/>
          <w:highlight w:val="none"/>
        </w:rPr>
      </w:pPr>
      <w:r>
        <w:rPr>
          <w:rStyle w:val="87"/>
          <w:rFonts w:hint="eastAsia" w:ascii="宋体" w:hAnsi="宋体" w:cs="宋体"/>
          <w:bCs/>
          <w:color w:val="auto"/>
          <w:highlight w:val="none"/>
        </w:rPr>
        <w:t>（2）设备大修后，连续运行时间在2</w:t>
      </w:r>
      <w:r>
        <w:rPr>
          <w:rStyle w:val="87"/>
          <w:rFonts w:ascii="宋体" w:hAnsi="宋体" w:cs="宋体"/>
          <w:bCs/>
          <w:color w:val="auto"/>
          <w:highlight w:val="none"/>
        </w:rPr>
        <w:t>00</w:t>
      </w:r>
      <w:r>
        <w:rPr>
          <w:rStyle w:val="87"/>
          <w:rFonts w:hint="eastAsia" w:ascii="宋体" w:hAnsi="宋体" w:cs="宋体"/>
          <w:bCs/>
          <w:color w:val="auto"/>
          <w:highlight w:val="none"/>
        </w:rPr>
        <w:t>天以上。</w:t>
      </w:r>
    </w:p>
    <w:p w14:paraId="19F5237A">
      <w:pPr>
        <w:snapToGrid w:val="0"/>
        <w:spacing w:line="360" w:lineRule="auto"/>
        <w:ind w:firstLine="240" w:firstLineChars="100"/>
        <w:jc w:val="left"/>
        <w:rPr>
          <w:rStyle w:val="87"/>
          <w:rFonts w:ascii="宋体" w:hAnsi="宋体" w:cs="宋体"/>
          <w:bCs/>
          <w:color w:val="auto"/>
          <w:highlight w:val="none"/>
        </w:rPr>
      </w:pPr>
      <w:r>
        <w:rPr>
          <w:rStyle w:val="87"/>
          <w:rFonts w:hint="eastAsia" w:ascii="宋体" w:hAnsi="宋体" w:cs="宋体"/>
          <w:bCs/>
          <w:color w:val="auto"/>
          <w:highlight w:val="none"/>
        </w:rPr>
        <w:t>（3）设备定修定检项目遗漏率为0%。</w:t>
      </w:r>
    </w:p>
    <w:p w14:paraId="68055779">
      <w:pPr>
        <w:snapToGrid w:val="0"/>
        <w:spacing w:line="360" w:lineRule="auto"/>
        <w:ind w:firstLine="240" w:firstLineChars="100"/>
        <w:jc w:val="left"/>
        <w:rPr>
          <w:rStyle w:val="87"/>
          <w:rFonts w:ascii="宋体" w:hAnsi="宋体" w:cs="宋体"/>
          <w:bCs/>
          <w:color w:val="auto"/>
          <w:highlight w:val="none"/>
        </w:rPr>
      </w:pPr>
      <w:r>
        <w:rPr>
          <w:rStyle w:val="87"/>
          <w:rFonts w:hint="eastAsia" w:ascii="宋体" w:hAnsi="宋体" w:cs="宋体"/>
          <w:bCs/>
          <w:color w:val="auto"/>
          <w:highlight w:val="none"/>
        </w:rPr>
        <w:t>（4）完成招标方制定的相关生产指标。</w:t>
      </w:r>
    </w:p>
    <w:p w14:paraId="6DE4F677">
      <w:pPr>
        <w:keepNext w:val="0"/>
        <w:keepLines w:val="0"/>
        <w:pageBreakBefore w:val="0"/>
        <w:widowControl w:val="0"/>
        <w:kinsoku w:val="0"/>
        <w:wordWrap/>
        <w:overflowPunct/>
        <w:topLinePunct w:val="0"/>
        <w:autoSpaceDE/>
        <w:autoSpaceDN/>
        <w:bidi w:val="0"/>
        <w:adjustRightInd w:val="0"/>
        <w:snapToGrid/>
        <w:spacing w:line="360" w:lineRule="auto"/>
        <w:ind w:firstLine="240" w:firstLineChars="100"/>
        <w:jc w:val="left"/>
        <w:textAlignment w:val="auto"/>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rPr>
        <w:t>（5）票证合格率100%</w:t>
      </w:r>
      <w:r>
        <w:rPr>
          <w:rFonts w:hint="eastAsia" w:ascii="宋体" w:hAnsi="宋体" w:cs="Times New Roman"/>
          <w:color w:val="auto"/>
          <w:sz w:val="24"/>
          <w:szCs w:val="24"/>
          <w:highlight w:val="none"/>
          <w:lang w:eastAsia="zh-CN"/>
        </w:rPr>
        <w:t>。</w:t>
      </w:r>
    </w:p>
    <w:p w14:paraId="28FE7494">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color w:val="auto"/>
          <w:sz w:val="28"/>
          <w:szCs w:val="13"/>
          <w:highlight w:val="none"/>
        </w:rPr>
      </w:pPr>
      <w:r>
        <w:rPr>
          <w:rFonts w:hint="eastAsia"/>
          <w:color w:val="auto"/>
          <w:sz w:val="28"/>
          <w:szCs w:val="13"/>
          <w:highlight w:val="none"/>
        </w:rPr>
        <w:t>6 资质</w:t>
      </w:r>
      <w:r>
        <w:rPr>
          <w:rFonts w:hint="eastAsia"/>
          <w:color w:val="auto"/>
          <w:sz w:val="28"/>
          <w:szCs w:val="13"/>
          <w:highlight w:val="none"/>
          <w:lang w:val="en-US" w:eastAsia="zh-CN"/>
        </w:rPr>
        <w:t>条件</w:t>
      </w:r>
      <w:r>
        <w:rPr>
          <w:rFonts w:hint="eastAsia"/>
          <w:color w:val="auto"/>
          <w:sz w:val="28"/>
          <w:szCs w:val="13"/>
          <w:highlight w:val="none"/>
        </w:rPr>
        <w:t>及人员要求</w:t>
      </w:r>
    </w:p>
    <w:p w14:paraId="648D4A5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6.1</w:t>
      </w:r>
      <w:r>
        <w:rPr>
          <w:rFonts w:hint="eastAsia" w:ascii="宋体" w:hAnsi="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投标方必须是在中华人民共和国境内依法注册、具有独立法人资格、具有履行合同所必需的财务、技术及相关服务等能力，且是浙能集团的合格供应商。</w:t>
      </w:r>
    </w:p>
    <w:p w14:paraId="119ACEE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6.2</w:t>
      </w:r>
      <w:r>
        <w:rPr>
          <w:rFonts w:hint="eastAsia" w:ascii="宋体" w:hAnsi="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投标方必须具有GC</w:t>
      </w:r>
      <w:r>
        <w:rPr>
          <w:rFonts w:hint="eastAsia" w:ascii="宋体" w:hAnsi="宋体" w:cs="Times New Roman"/>
          <w:color w:val="auto"/>
          <w:sz w:val="24"/>
          <w:szCs w:val="24"/>
          <w:highlight w:val="none"/>
          <w:lang w:val="en-US" w:eastAsia="zh-CN"/>
        </w:rPr>
        <w:t>2</w:t>
      </w:r>
      <w:r>
        <w:rPr>
          <w:rFonts w:hint="eastAsia" w:ascii="宋体" w:hAnsi="宋体" w:eastAsia="宋体" w:cs="Times New Roman"/>
          <w:color w:val="auto"/>
          <w:sz w:val="24"/>
          <w:szCs w:val="24"/>
          <w:highlight w:val="none"/>
        </w:rPr>
        <w:t>工业管道安装及以上资质，化工行业或发电厂类似项目的维修业绩。</w:t>
      </w:r>
    </w:p>
    <w:p w14:paraId="41980DD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6.3</w:t>
      </w:r>
      <w:r>
        <w:rPr>
          <w:rFonts w:hint="eastAsia" w:ascii="宋体" w:hAnsi="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参与项目的人员必须身体健康，具有从事</w:t>
      </w:r>
      <w:r>
        <w:rPr>
          <w:rFonts w:hint="eastAsia" w:ascii="宋体" w:hAnsi="宋体"/>
          <w:color w:val="auto"/>
          <w:sz w:val="24"/>
          <w:szCs w:val="24"/>
          <w:highlight w:val="none"/>
          <w:lang w:val="en-US" w:eastAsia="zh-CN"/>
        </w:rPr>
        <w:t>化工设备</w:t>
      </w:r>
      <w:r>
        <w:rPr>
          <w:rFonts w:hint="eastAsia" w:ascii="宋体" w:hAnsi="宋体" w:eastAsia="宋体" w:cs="Times New Roman"/>
          <w:color w:val="auto"/>
          <w:sz w:val="24"/>
          <w:szCs w:val="24"/>
          <w:highlight w:val="none"/>
        </w:rPr>
        <w:t xml:space="preserve">检修或安装工作经验3年以上。 </w:t>
      </w:r>
    </w:p>
    <w:p w14:paraId="7E4772B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6.</w:t>
      </w:r>
      <w:r>
        <w:rPr>
          <w:rFonts w:hint="eastAsia" w:ascii="宋体" w:hAnsi="宋体" w:cs="Times New Roman"/>
          <w:color w:val="auto"/>
          <w:sz w:val="24"/>
          <w:szCs w:val="24"/>
          <w:highlight w:val="none"/>
          <w:lang w:val="en-US" w:eastAsia="zh-CN"/>
        </w:rPr>
        <w:t>4 参加项目的主要专业技术人员应不少于总人数的10%，其配备需经招标方认可，主要技术人员从事化工设备检修或安装工作至少5年以上，并具有石化或化工大修类似设备的检修或安装经验。</w:t>
      </w:r>
    </w:p>
    <w:p w14:paraId="3D582EF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6.</w:t>
      </w:r>
      <w:r>
        <w:rPr>
          <w:rFonts w:hint="eastAsia" w:ascii="宋体" w:hAnsi="宋体" w:cs="Times New Roman"/>
          <w:color w:val="auto"/>
          <w:sz w:val="24"/>
          <w:szCs w:val="24"/>
          <w:highlight w:val="none"/>
          <w:lang w:val="en-US" w:eastAsia="zh-CN"/>
        </w:rPr>
        <w:t xml:space="preserve">5 </w:t>
      </w:r>
      <w:r>
        <w:rPr>
          <w:rFonts w:hint="eastAsia" w:ascii="宋体" w:hAnsi="宋体" w:eastAsia="宋体" w:cs="Times New Roman"/>
          <w:color w:val="auto"/>
          <w:sz w:val="24"/>
          <w:szCs w:val="24"/>
          <w:highlight w:val="none"/>
        </w:rPr>
        <w:t>从事特种作业（特种设备作业）的人员至少应有该工种实际操作经验3年以上，并必须持有经相关部门核发的有效证书，且从事特种作业的人员技术数量必须达到能保证24小时连续作业的要求。</w:t>
      </w:r>
    </w:p>
    <w:p w14:paraId="60154CB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6.</w:t>
      </w:r>
      <w:r>
        <w:rPr>
          <w:rFonts w:hint="eastAsia" w:ascii="宋体" w:hAnsi="宋体" w:cs="Times New Roman"/>
          <w:color w:val="auto"/>
          <w:sz w:val="24"/>
          <w:szCs w:val="24"/>
          <w:highlight w:val="none"/>
          <w:lang w:val="en-US" w:eastAsia="zh-CN"/>
        </w:rPr>
        <w:t xml:space="preserve">6 </w:t>
      </w:r>
      <w:r>
        <w:rPr>
          <w:rFonts w:hint="eastAsia" w:ascii="宋体" w:hAnsi="宋体"/>
          <w:color w:val="auto"/>
          <w:sz w:val="24"/>
          <w:szCs w:val="24"/>
          <w:highlight w:val="none"/>
          <w:lang w:eastAsia="zh-CN"/>
        </w:rPr>
        <w:t>投标方</w:t>
      </w:r>
      <w:r>
        <w:rPr>
          <w:rFonts w:hint="eastAsia" w:ascii="宋体" w:hAnsi="宋体"/>
          <w:color w:val="auto"/>
          <w:sz w:val="24"/>
          <w:szCs w:val="24"/>
          <w:highlight w:val="none"/>
        </w:rPr>
        <w:t>应具有完善的质量保证体系，</w:t>
      </w:r>
      <w:r>
        <w:rPr>
          <w:rFonts w:hint="eastAsia" w:ascii="宋体" w:hAnsi="宋体"/>
          <w:color w:val="auto"/>
          <w:sz w:val="24"/>
          <w:szCs w:val="24"/>
          <w:highlight w:val="none"/>
          <w:lang w:eastAsia="zh-CN"/>
        </w:rPr>
        <w:t>投标方</w:t>
      </w:r>
      <w:r>
        <w:rPr>
          <w:rFonts w:hint="eastAsia" w:ascii="宋体" w:hAnsi="宋体"/>
          <w:color w:val="auto"/>
          <w:sz w:val="24"/>
          <w:szCs w:val="24"/>
          <w:highlight w:val="none"/>
        </w:rPr>
        <w:t>的焊工必须持有质监局发的《特种设备作业人员证》和安监局的《特种作业操作证》。</w:t>
      </w:r>
      <w:r>
        <w:rPr>
          <w:rFonts w:hint="eastAsia" w:ascii="宋体" w:hAnsi="宋体"/>
          <w:color w:val="auto"/>
          <w:sz w:val="24"/>
          <w:szCs w:val="24"/>
          <w:highlight w:val="none"/>
          <w:lang w:val="en-US" w:eastAsia="zh-CN"/>
        </w:rPr>
        <w:t>焊工需接受招标方的入厂测试并合格后方可进入该项目进行焊接作业，未经招标方入厂测试的焊接严禁施工焊接。</w:t>
      </w:r>
    </w:p>
    <w:p w14:paraId="5BCD1D5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 xml:space="preserve">6.7 </w:t>
      </w:r>
      <w:r>
        <w:rPr>
          <w:rFonts w:hint="eastAsia" w:ascii="宋体" w:hAnsi="宋体" w:eastAsia="宋体" w:cs="Times New Roman"/>
          <w:color w:val="auto"/>
          <w:sz w:val="24"/>
          <w:szCs w:val="24"/>
          <w:highlight w:val="none"/>
        </w:rPr>
        <w:t>需要进行高处作业的作业人员，需持有特种作业操作证（高处作业），且在有效期内。</w:t>
      </w:r>
    </w:p>
    <w:p w14:paraId="399192C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eastAsia="宋体"/>
          <w:color w:val="auto"/>
          <w:sz w:val="24"/>
          <w:szCs w:val="24"/>
          <w:highlight w:val="none"/>
          <w:lang w:val="en-US" w:eastAsia="zh-CN"/>
        </w:rPr>
      </w:pPr>
      <w:r>
        <w:rPr>
          <w:rFonts w:hint="eastAsia" w:ascii="宋体" w:hAnsi="宋体" w:eastAsia="宋体" w:cs="Times New Roman"/>
          <w:color w:val="auto"/>
          <w:sz w:val="24"/>
          <w:szCs w:val="24"/>
          <w:highlight w:val="none"/>
        </w:rPr>
        <w:t>6.8严禁使用未成年人和不适应现场安全施工要求的老、弱、病、残人员。</w:t>
      </w:r>
      <w:r>
        <w:rPr>
          <w:rFonts w:hint="eastAsia" w:ascii="宋体" w:hAnsi="宋体"/>
          <w:color w:val="auto"/>
          <w:sz w:val="24"/>
          <w:szCs w:val="24"/>
          <w:highlight w:val="none"/>
        </w:rPr>
        <w:t xml:space="preserve"> </w:t>
      </w:r>
    </w:p>
    <w:p w14:paraId="00A9E1D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rPr>
      </w:pPr>
      <w:r>
        <w:rPr>
          <w:rFonts w:hint="eastAsia" w:ascii="宋体" w:hAnsi="宋体"/>
          <w:color w:val="auto"/>
          <w:sz w:val="24"/>
          <w:szCs w:val="24"/>
          <w:highlight w:val="none"/>
          <w:lang w:val="en-US" w:eastAsia="zh-CN"/>
        </w:rPr>
        <w:t>6.9</w:t>
      </w:r>
      <w:r>
        <w:rPr>
          <w:rFonts w:hint="eastAsia" w:ascii="宋体" w:hAnsi="宋体"/>
          <w:color w:val="auto"/>
          <w:sz w:val="24"/>
          <w:szCs w:val="24"/>
          <w:highlight w:val="none"/>
        </w:rPr>
        <w:t xml:space="preserve"> </w:t>
      </w:r>
      <w:r>
        <w:rPr>
          <w:rFonts w:hint="eastAsia" w:ascii="宋体" w:hAnsi="宋体"/>
          <w:color w:val="auto"/>
          <w:sz w:val="24"/>
          <w:szCs w:val="24"/>
          <w:highlight w:val="none"/>
          <w:lang w:eastAsia="zh-CN"/>
        </w:rPr>
        <w:t>投标方</w:t>
      </w:r>
      <w:r>
        <w:rPr>
          <w:rFonts w:hint="eastAsia" w:ascii="宋体" w:hAnsi="宋体"/>
          <w:color w:val="auto"/>
          <w:sz w:val="24"/>
          <w:szCs w:val="24"/>
          <w:highlight w:val="none"/>
        </w:rPr>
        <w:t>应严格按照合同、设计文件（图纸等）、技术规范的要求进行试验和检验。技术规范和图纸中的焊接结构及有关说明仅为原则性的，</w:t>
      </w:r>
      <w:r>
        <w:rPr>
          <w:rFonts w:hint="eastAsia" w:ascii="宋体" w:hAnsi="宋体"/>
          <w:color w:val="auto"/>
          <w:sz w:val="24"/>
          <w:szCs w:val="24"/>
          <w:highlight w:val="none"/>
          <w:lang w:eastAsia="zh-CN"/>
        </w:rPr>
        <w:t>投标方</w:t>
      </w:r>
      <w:r>
        <w:rPr>
          <w:rFonts w:hint="eastAsia" w:ascii="宋体" w:hAnsi="宋体"/>
          <w:color w:val="auto"/>
          <w:sz w:val="24"/>
          <w:szCs w:val="24"/>
          <w:highlight w:val="none"/>
        </w:rPr>
        <w:t>应根据技术协议和图纸，制定焊接工艺评定、详细的焊接工艺、焊接结构选择，并取得</w:t>
      </w:r>
      <w:r>
        <w:rPr>
          <w:rFonts w:hint="eastAsia" w:ascii="宋体" w:hAnsi="宋体"/>
          <w:color w:val="auto"/>
          <w:sz w:val="24"/>
          <w:szCs w:val="24"/>
          <w:highlight w:val="none"/>
          <w:lang w:eastAsia="zh-CN"/>
        </w:rPr>
        <w:t>招标方</w:t>
      </w:r>
      <w:r>
        <w:rPr>
          <w:rFonts w:hint="eastAsia" w:ascii="宋体" w:hAnsi="宋体"/>
          <w:color w:val="auto"/>
          <w:sz w:val="24"/>
          <w:szCs w:val="24"/>
          <w:highlight w:val="none"/>
        </w:rPr>
        <w:t>的同意。</w:t>
      </w:r>
    </w:p>
    <w:p w14:paraId="289F220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rPr>
      </w:pPr>
      <w:r>
        <w:rPr>
          <w:rFonts w:hint="eastAsia" w:ascii="宋体" w:hAnsi="宋体"/>
          <w:color w:val="auto"/>
          <w:sz w:val="24"/>
          <w:szCs w:val="24"/>
          <w:highlight w:val="none"/>
          <w:lang w:val="en-US" w:eastAsia="zh-CN"/>
        </w:rPr>
        <w:t>6.10</w:t>
      </w:r>
      <w:r>
        <w:rPr>
          <w:rFonts w:hint="eastAsia" w:ascii="宋体" w:hAnsi="宋体"/>
          <w:color w:val="auto"/>
          <w:sz w:val="24"/>
          <w:szCs w:val="24"/>
          <w:highlight w:val="none"/>
        </w:rPr>
        <w:t xml:space="preserve"> </w:t>
      </w:r>
      <w:r>
        <w:rPr>
          <w:rFonts w:hint="eastAsia" w:ascii="宋体" w:hAnsi="宋体"/>
          <w:color w:val="auto"/>
          <w:sz w:val="24"/>
          <w:szCs w:val="24"/>
          <w:highlight w:val="none"/>
          <w:lang w:eastAsia="zh-CN"/>
        </w:rPr>
        <w:t>投标方</w:t>
      </w:r>
      <w:r>
        <w:rPr>
          <w:rFonts w:hint="eastAsia" w:ascii="宋体" w:hAnsi="宋体"/>
          <w:color w:val="auto"/>
          <w:sz w:val="24"/>
          <w:szCs w:val="24"/>
          <w:highlight w:val="none"/>
        </w:rPr>
        <w:t>应制定详细的作业方案和计划，并在施工前发给</w:t>
      </w:r>
      <w:r>
        <w:rPr>
          <w:rFonts w:hint="eastAsia" w:ascii="宋体" w:hAnsi="宋体"/>
          <w:color w:val="auto"/>
          <w:sz w:val="24"/>
          <w:szCs w:val="24"/>
          <w:highlight w:val="none"/>
          <w:lang w:eastAsia="zh-CN"/>
        </w:rPr>
        <w:t>招标方</w:t>
      </w:r>
      <w:r>
        <w:rPr>
          <w:rFonts w:hint="eastAsia" w:ascii="宋体" w:hAnsi="宋体"/>
          <w:color w:val="auto"/>
          <w:sz w:val="24"/>
          <w:szCs w:val="24"/>
          <w:highlight w:val="none"/>
        </w:rPr>
        <w:t>审核。</w:t>
      </w:r>
    </w:p>
    <w:p w14:paraId="660E89E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rPr>
      </w:pPr>
      <w:r>
        <w:rPr>
          <w:rFonts w:hint="eastAsia" w:ascii="宋体" w:hAnsi="宋体"/>
          <w:color w:val="auto"/>
          <w:sz w:val="24"/>
          <w:szCs w:val="24"/>
          <w:highlight w:val="none"/>
          <w:lang w:val="en-US" w:eastAsia="zh-CN"/>
        </w:rPr>
        <w:t>6.11</w:t>
      </w:r>
      <w:r>
        <w:rPr>
          <w:rFonts w:hint="eastAsia" w:ascii="宋体" w:hAnsi="宋体"/>
          <w:color w:val="auto"/>
          <w:sz w:val="24"/>
          <w:szCs w:val="24"/>
          <w:highlight w:val="none"/>
        </w:rPr>
        <w:t xml:space="preserve"> </w:t>
      </w:r>
      <w:r>
        <w:rPr>
          <w:rFonts w:hint="eastAsia" w:ascii="宋体" w:hAnsi="宋体"/>
          <w:color w:val="auto"/>
          <w:sz w:val="24"/>
          <w:szCs w:val="24"/>
          <w:highlight w:val="none"/>
          <w:lang w:eastAsia="zh-CN"/>
        </w:rPr>
        <w:t>投标方</w:t>
      </w:r>
      <w:r>
        <w:rPr>
          <w:rFonts w:hint="eastAsia" w:ascii="宋体" w:hAnsi="宋体"/>
          <w:color w:val="auto"/>
          <w:sz w:val="24"/>
          <w:szCs w:val="24"/>
          <w:highlight w:val="none"/>
        </w:rPr>
        <w:t>有专人负责本合同的施工质量，由专人负责有关质量证明的签发和管理。</w:t>
      </w:r>
    </w:p>
    <w:p w14:paraId="063D57F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rPr>
      </w:pPr>
      <w:r>
        <w:rPr>
          <w:rFonts w:hint="eastAsia" w:ascii="宋体" w:hAnsi="宋体"/>
          <w:color w:val="auto"/>
          <w:sz w:val="24"/>
          <w:szCs w:val="24"/>
          <w:highlight w:val="none"/>
          <w:lang w:val="en-US" w:eastAsia="zh-CN"/>
        </w:rPr>
        <w:t>6.12</w:t>
      </w:r>
      <w:r>
        <w:rPr>
          <w:rFonts w:hint="eastAsia" w:ascii="宋体" w:hAnsi="宋体"/>
          <w:color w:val="auto"/>
          <w:sz w:val="24"/>
          <w:szCs w:val="24"/>
          <w:highlight w:val="none"/>
        </w:rPr>
        <w:t xml:space="preserve"> </w:t>
      </w:r>
      <w:r>
        <w:rPr>
          <w:rFonts w:hint="eastAsia" w:ascii="宋体" w:hAnsi="宋体"/>
          <w:color w:val="auto"/>
          <w:sz w:val="24"/>
          <w:szCs w:val="24"/>
          <w:highlight w:val="none"/>
          <w:lang w:eastAsia="zh-CN"/>
        </w:rPr>
        <w:t>投标方</w:t>
      </w:r>
      <w:r>
        <w:rPr>
          <w:rFonts w:hint="eastAsia" w:ascii="宋体" w:hAnsi="宋体"/>
          <w:color w:val="auto"/>
          <w:sz w:val="24"/>
          <w:szCs w:val="24"/>
          <w:highlight w:val="none"/>
        </w:rPr>
        <w:t>应接受</w:t>
      </w:r>
      <w:r>
        <w:rPr>
          <w:rFonts w:hint="eastAsia" w:ascii="宋体" w:hAnsi="宋体"/>
          <w:color w:val="auto"/>
          <w:sz w:val="24"/>
          <w:szCs w:val="24"/>
          <w:highlight w:val="none"/>
          <w:lang w:eastAsia="zh-CN"/>
        </w:rPr>
        <w:t>招标方</w:t>
      </w:r>
      <w:r>
        <w:rPr>
          <w:rFonts w:hint="eastAsia" w:ascii="宋体" w:hAnsi="宋体"/>
          <w:color w:val="auto"/>
          <w:sz w:val="24"/>
          <w:szCs w:val="24"/>
          <w:highlight w:val="none"/>
        </w:rPr>
        <w:t>以及</w:t>
      </w:r>
      <w:r>
        <w:rPr>
          <w:rFonts w:hint="eastAsia" w:ascii="宋体" w:hAnsi="宋体"/>
          <w:color w:val="auto"/>
          <w:sz w:val="24"/>
          <w:szCs w:val="24"/>
          <w:highlight w:val="none"/>
          <w:lang w:eastAsia="zh-CN"/>
        </w:rPr>
        <w:t>招标方</w:t>
      </w:r>
      <w:r>
        <w:rPr>
          <w:rFonts w:hint="eastAsia" w:ascii="宋体" w:hAnsi="宋体"/>
          <w:color w:val="auto"/>
          <w:sz w:val="24"/>
          <w:szCs w:val="24"/>
          <w:highlight w:val="none"/>
        </w:rPr>
        <w:t>委托第三方检验机构的检验，任何因质量检验不合格而造成</w:t>
      </w:r>
      <w:r>
        <w:rPr>
          <w:rFonts w:hint="eastAsia" w:ascii="宋体" w:hAnsi="宋体"/>
          <w:color w:val="auto"/>
          <w:sz w:val="24"/>
          <w:szCs w:val="24"/>
          <w:highlight w:val="none"/>
          <w:lang w:eastAsia="zh-CN"/>
        </w:rPr>
        <w:t>项目</w:t>
      </w:r>
      <w:r>
        <w:rPr>
          <w:rFonts w:hint="eastAsia" w:ascii="宋体" w:hAnsi="宋体"/>
          <w:color w:val="auto"/>
          <w:sz w:val="24"/>
          <w:szCs w:val="24"/>
          <w:highlight w:val="none"/>
        </w:rPr>
        <w:t>进度的拖延，一切责任均由</w:t>
      </w:r>
      <w:r>
        <w:rPr>
          <w:rFonts w:hint="eastAsia" w:ascii="宋体" w:hAnsi="宋体"/>
          <w:color w:val="auto"/>
          <w:sz w:val="24"/>
          <w:szCs w:val="24"/>
          <w:highlight w:val="none"/>
          <w:lang w:eastAsia="zh-CN"/>
        </w:rPr>
        <w:t>投标方</w:t>
      </w:r>
      <w:r>
        <w:rPr>
          <w:rFonts w:hint="eastAsia" w:ascii="宋体" w:hAnsi="宋体"/>
          <w:color w:val="auto"/>
          <w:sz w:val="24"/>
          <w:szCs w:val="24"/>
          <w:highlight w:val="none"/>
        </w:rPr>
        <w:t>负责。</w:t>
      </w:r>
    </w:p>
    <w:p w14:paraId="70B6CAD5">
      <w:pPr>
        <w:snapToGrid w:val="0"/>
        <w:spacing w:line="360" w:lineRule="auto"/>
        <w:jc w:val="left"/>
        <w:rPr>
          <w:rStyle w:val="87"/>
          <w:rFonts w:hint="eastAsia" w:ascii="宋体" w:hAnsi="宋体"/>
          <w:bCs/>
          <w:color w:val="auto"/>
          <w:highlight w:val="none"/>
          <w:lang w:val="en-US" w:eastAsia="zh-CN"/>
        </w:rPr>
      </w:pPr>
      <w:r>
        <w:rPr>
          <w:rStyle w:val="87"/>
          <w:rFonts w:hint="eastAsia" w:ascii="宋体" w:hAnsi="宋体"/>
          <w:bCs/>
          <w:color w:val="auto"/>
          <w:highlight w:val="none"/>
          <w:lang w:val="en-US" w:eastAsia="zh-CN"/>
        </w:rPr>
        <w:t>6.13 投标方检修人员的配备应在经招标方考核（笔试、面试）合格后方能上岗，且投标方的人员必须固定，并能长期住在现场，投标方在现场的维护管理和技术人员名单应与合同确定的名单相符，任何情况下的人员变动都应提前通知招标方，并需征得招标方的同意。并将人员变动情况书面抄报招标方项目责任部门、现场监管部门。</w:t>
      </w:r>
    </w:p>
    <w:p w14:paraId="6803684B">
      <w:pPr>
        <w:snapToGrid w:val="0"/>
        <w:spacing w:line="360" w:lineRule="auto"/>
        <w:jc w:val="left"/>
        <w:rPr>
          <w:rStyle w:val="87"/>
          <w:rFonts w:hint="eastAsia" w:ascii="宋体" w:hAnsi="宋体"/>
          <w:bCs/>
          <w:color w:val="auto"/>
          <w:highlight w:val="none"/>
          <w:lang w:val="en-US" w:eastAsia="zh-CN"/>
        </w:rPr>
      </w:pPr>
      <w:r>
        <w:rPr>
          <w:rStyle w:val="87"/>
          <w:rFonts w:hint="eastAsia" w:ascii="宋体" w:hAnsi="宋体"/>
          <w:bCs/>
          <w:color w:val="auto"/>
          <w:highlight w:val="none"/>
          <w:lang w:val="en-US" w:eastAsia="zh-CN"/>
        </w:rPr>
        <w:t>6.14 投标方人员休假原则上由投标方自行安排，但投标方主要技术人员（班组长、安全员、焊工人员）离开招标方现场三天及以上的，必须到招标方归口管理部门办理书面请假手续。</w:t>
      </w:r>
    </w:p>
    <w:p w14:paraId="1717D6EB">
      <w:pPr>
        <w:snapToGrid w:val="0"/>
        <w:spacing w:line="360" w:lineRule="auto"/>
        <w:jc w:val="left"/>
        <w:rPr>
          <w:rStyle w:val="87"/>
          <w:rFonts w:hint="eastAsia" w:ascii="宋体" w:hAnsi="宋体" w:eastAsia="宋体"/>
          <w:bCs/>
          <w:color w:val="auto"/>
          <w:highlight w:val="none"/>
          <w:lang w:val="en-US" w:eastAsia="zh-CN"/>
        </w:rPr>
      </w:pPr>
      <w:r>
        <w:rPr>
          <w:rStyle w:val="87"/>
          <w:rFonts w:hint="eastAsia" w:ascii="宋体" w:hAnsi="宋体"/>
          <w:bCs/>
          <w:color w:val="auto"/>
          <w:highlight w:val="none"/>
          <w:lang w:val="en-US" w:eastAsia="zh-CN"/>
        </w:rPr>
        <w:t>6.15 最低</w:t>
      </w:r>
      <w:r>
        <w:rPr>
          <w:rStyle w:val="87"/>
          <w:rFonts w:hint="eastAsia" w:ascii="宋体" w:hAnsi="宋体"/>
          <w:bCs/>
          <w:color w:val="auto"/>
          <w:highlight w:val="none"/>
        </w:rPr>
        <w:t>人员配置</w:t>
      </w:r>
      <w:r>
        <w:rPr>
          <w:rStyle w:val="87"/>
          <w:rFonts w:hint="eastAsia" w:ascii="宋体" w:hAnsi="宋体"/>
          <w:bCs/>
          <w:color w:val="auto"/>
          <w:highlight w:val="none"/>
          <w:lang w:eastAsia="zh-CN"/>
        </w:rPr>
        <w:t>：</w:t>
      </w:r>
      <w:r>
        <w:rPr>
          <w:rStyle w:val="87"/>
          <w:rFonts w:hint="eastAsia" w:ascii="宋体" w:hAnsi="宋体"/>
          <w:bCs/>
          <w:color w:val="auto"/>
          <w:highlight w:val="none"/>
        </w:rPr>
        <w:t>本次投标方人员配置为：</w:t>
      </w:r>
      <w:r>
        <w:rPr>
          <w:rStyle w:val="87"/>
          <w:rFonts w:hint="eastAsia" w:ascii="宋体" w:hAnsi="宋体"/>
          <w:bCs/>
          <w:color w:val="auto"/>
          <w:highlight w:val="none"/>
          <w:lang w:val="en-US" w:eastAsia="zh-CN"/>
        </w:rPr>
        <w:t>不少于34</w:t>
      </w:r>
      <w:r>
        <w:rPr>
          <w:rStyle w:val="87"/>
          <w:rFonts w:hint="eastAsia" w:ascii="宋体" w:hAnsi="宋体"/>
          <w:bCs/>
          <w:color w:val="auto"/>
          <w:highlight w:val="none"/>
        </w:rPr>
        <w:t>人。具体配置及人员要求</w:t>
      </w:r>
      <w:r>
        <w:rPr>
          <w:rStyle w:val="87"/>
          <w:rFonts w:hint="eastAsia" w:ascii="宋体" w:hAnsi="宋体"/>
          <w:bCs/>
          <w:color w:val="auto"/>
          <w:highlight w:val="none"/>
          <w:lang w:eastAsia="zh-CN"/>
        </w:rPr>
        <w:t>。</w:t>
      </w:r>
    </w:p>
    <w:tbl>
      <w:tblPr>
        <w:tblStyle w:val="28"/>
        <w:tblW w:w="9369" w:type="dxa"/>
        <w:tblInd w:w="96" w:type="dxa"/>
        <w:tblLayout w:type="fixed"/>
        <w:tblCellMar>
          <w:top w:w="0" w:type="dxa"/>
          <w:left w:w="108" w:type="dxa"/>
          <w:bottom w:w="0" w:type="dxa"/>
          <w:right w:w="108" w:type="dxa"/>
        </w:tblCellMar>
      </w:tblPr>
      <w:tblGrid>
        <w:gridCol w:w="941"/>
        <w:gridCol w:w="1265"/>
        <w:gridCol w:w="729"/>
        <w:gridCol w:w="5534"/>
        <w:gridCol w:w="900"/>
      </w:tblGrid>
      <w:tr w14:paraId="52755DEC">
        <w:tblPrEx>
          <w:tblCellMar>
            <w:top w:w="0" w:type="dxa"/>
            <w:left w:w="108" w:type="dxa"/>
            <w:bottom w:w="0" w:type="dxa"/>
            <w:right w:w="108" w:type="dxa"/>
          </w:tblCellMar>
        </w:tblPrEx>
        <w:trPr>
          <w:trHeight w:val="780" w:hRule="atLeast"/>
        </w:trPr>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5E9281">
            <w:pPr>
              <w:jc w:val="center"/>
              <w:rPr>
                <w:rFonts w:ascii="宋体" w:hAnsi="宋体"/>
                <w:b/>
                <w:bCs/>
                <w:color w:val="auto"/>
                <w:kern w:val="0"/>
                <w:highlight w:val="none"/>
                <w:lang w:bidi="ar"/>
              </w:rPr>
            </w:pPr>
            <w:r>
              <w:rPr>
                <w:rFonts w:hint="eastAsia" w:ascii="宋体" w:hAnsi="宋体"/>
                <w:b/>
                <w:bCs/>
                <w:color w:val="auto"/>
                <w:kern w:val="0"/>
                <w:highlight w:val="none"/>
                <w:lang w:bidi="ar"/>
              </w:rPr>
              <w:t>班组</w:t>
            </w: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5003B0">
            <w:pPr>
              <w:jc w:val="center"/>
              <w:rPr>
                <w:rFonts w:ascii="宋体" w:hAnsi="宋体"/>
                <w:b/>
                <w:bCs/>
                <w:color w:val="auto"/>
                <w:kern w:val="0"/>
                <w:highlight w:val="none"/>
                <w:lang w:bidi="ar"/>
              </w:rPr>
            </w:pPr>
            <w:r>
              <w:rPr>
                <w:rFonts w:hint="eastAsia" w:ascii="宋体" w:hAnsi="宋体"/>
                <w:b/>
                <w:bCs/>
                <w:color w:val="auto"/>
                <w:kern w:val="0"/>
                <w:highlight w:val="none"/>
                <w:lang w:bidi="ar"/>
              </w:rPr>
              <w:t>岗位/工种</w:t>
            </w:r>
          </w:p>
        </w:tc>
        <w:tc>
          <w:tcPr>
            <w:tcW w:w="7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C4A23">
            <w:pPr>
              <w:jc w:val="center"/>
              <w:rPr>
                <w:rFonts w:ascii="宋体" w:hAnsi="宋体"/>
                <w:b/>
                <w:bCs/>
                <w:color w:val="auto"/>
                <w:kern w:val="0"/>
                <w:highlight w:val="none"/>
                <w:lang w:bidi="ar"/>
              </w:rPr>
            </w:pPr>
            <w:r>
              <w:rPr>
                <w:rFonts w:hint="eastAsia" w:ascii="宋体" w:hAnsi="宋体"/>
                <w:b/>
                <w:bCs/>
                <w:color w:val="auto"/>
                <w:kern w:val="0"/>
                <w:highlight w:val="none"/>
                <w:lang w:bidi="ar"/>
              </w:rPr>
              <w:t>人数</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096E4">
            <w:pPr>
              <w:jc w:val="center"/>
              <w:rPr>
                <w:rFonts w:ascii="宋体" w:hAnsi="宋体"/>
                <w:b/>
                <w:bCs/>
                <w:color w:val="auto"/>
                <w:kern w:val="0"/>
                <w:highlight w:val="none"/>
                <w:lang w:bidi="ar"/>
              </w:rPr>
            </w:pPr>
            <w:r>
              <w:rPr>
                <w:rFonts w:hint="eastAsia" w:ascii="宋体" w:hAnsi="宋体"/>
                <w:b/>
                <w:bCs/>
                <w:color w:val="auto"/>
                <w:kern w:val="0"/>
                <w:highlight w:val="none"/>
                <w:lang w:bidi="ar"/>
              </w:rPr>
              <w:t>人员要求</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AB879D">
            <w:pPr>
              <w:jc w:val="center"/>
              <w:rPr>
                <w:rFonts w:ascii="宋体" w:hAnsi="宋体"/>
                <w:b/>
                <w:bCs/>
                <w:color w:val="auto"/>
                <w:kern w:val="0"/>
                <w:highlight w:val="none"/>
                <w:lang w:bidi="ar"/>
              </w:rPr>
            </w:pPr>
            <w:r>
              <w:rPr>
                <w:rFonts w:hint="eastAsia" w:ascii="宋体" w:hAnsi="宋体"/>
                <w:b/>
                <w:bCs/>
                <w:color w:val="auto"/>
                <w:kern w:val="0"/>
                <w:highlight w:val="none"/>
                <w:lang w:bidi="ar"/>
              </w:rPr>
              <w:t>备注</w:t>
            </w:r>
          </w:p>
        </w:tc>
      </w:tr>
      <w:tr w14:paraId="47ED8EF0">
        <w:tblPrEx>
          <w:tblCellMar>
            <w:top w:w="0" w:type="dxa"/>
            <w:left w:w="108" w:type="dxa"/>
            <w:bottom w:w="0" w:type="dxa"/>
            <w:right w:w="108" w:type="dxa"/>
          </w:tblCellMar>
        </w:tblPrEx>
        <w:trPr>
          <w:cantSplit/>
          <w:trHeight w:val="850" w:hRule="atLeast"/>
        </w:trPr>
        <w:tc>
          <w:tcPr>
            <w:tcW w:w="941" w:type="dxa"/>
            <w:vMerge w:val="restart"/>
            <w:tcBorders>
              <w:top w:val="single" w:color="000000" w:sz="4" w:space="0"/>
              <w:left w:val="single" w:color="000000" w:sz="4" w:space="0"/>
              <w:right w:val="single" w:color="000000" w:sz="4" w:space="0"/>
            </w:tcBorders>
            <w:shd w:val="clear" w:color="auto" w:fill="FFFFFF"/>
            <w:vAlign w:val="center"/>
          </w:tcPr>
          <w:p w14:paraId="4D73FD4D">
            <w:pPr>
              <w:jc w:val="center"/>
              <w:rPr>
                <w:rFonts w:hint="eastAsia" w:ascii="宋体" w:hAnsi="宋体" w:eastAsia="宋体" w:cs="宋体"/>
                <w:color w:val="auto"/>
                <w:highlight w:val="none"/>
              </w:rPr>
            </w:pPr>
            <w:r>
              <w:rPr>
                <w:rFonts w:hint="eastAsia" w:ascii="宋体" w:hAnsi="宋体" w:eastAsia="宋体" w:cs="宋体"/>
                <w:color w:val="auto"/>
                <w:highlight w:val="none"/>
              </w:rPr>
              <w:t>大修  班组</w:t>
            </w: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5F2BD8">
            <w:pPr>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项目负责人</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0D5189">
            <w:pPr>
              <w:jc w:val="center"/>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1</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FCC6C0">
            <w:pPr>
              <w:rPr>
                <w:rFonts w:hint="eastAsia" w:ascii="宋体" w:hAnsi="宋体" w:eastAsia="宋体" w:cs="宋体"/>
                <w:color w:val="auto"/>
                <w:highlight w:val="none"/>
              </w:rPr>
            </w:pPr>
            <w:r>
              <w:rPr>
                <w:rFonts w:hint="eastAsia" w:ascii="宋体" w:hAnsi="宋体" w:eastAsia="宋体" w:cs="宋体"/>
                <w:color w:val="auto"/>
                <w:highlight w:val="none"/>
              </w:rPr>
              <w:t>5年以上石化或化工设备维护管理经验；须持有危险化学品生产单位安全生产管理人员考核合格证；掌握</w:t>
            </w:r>
            <w:r>
              <w:rPr>
                <w:rFonts w:hint="eastAsia" w:ascii="宋体" w:hAnsi="宋体" w:cs="宋体"/>
                <w:color w:val="auto"/>
                <w:highlight w:val="none"/>
                <w:lang w:val="en-US" w:eastAsia="zh-CN"/>
              </w:rPr>
              <w:t>设备检修</w:t>
            </w:r>
            <w:r>
              <w:rPr>
                <w:rFonts w:hint="eastAsia" w:ascii="宋体" w:hAnsi="宋体" w:eastAsia="宋体" w:cs="宋体"/>
                <w:color w:val="auto"/>
                <w:highlight w:val="none"/>
              </w:rPr>
              <w:t>必备的业务知识和安全知识、安全环保规章制度，且熟练掌握汉语语言。</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82F4620">
            <w:pPr>
              <w:jc w:val="center"/>
              <w:rPr>
                <w:rFonts w:ascii="宋体" w:hAnsi="宋体"/>
                <w:color w:val="auto"/>
                <w:highlight w:val="none"/>
              </w:rPr>
            </w:pPr>
          </w:p>
        </w:tc>
      </w:tr>
      <w:tr w14:paraId="3EDC33ED">
        <w:tblPrEx>
          <w:tblCellMar>
            <w:top w:w="0" w:type="dxa"/>
            <w:left w:w="108" w:type="dxa"/>
            <w:bottom w:w="0" w:type="dxa"/>
            <w:right w:w="108" w:type="dxa"/>
          </w:tblCellMar>
        </w:tblPrEx>
        <w:trPr>
          <w:cantSplit/>
          <w:trHeight w:val="1522" w:hRule="atLeast"/>
        </w:trPr>
        <w:tc>
          <w:tcPr>
            <w:tcW w:w="941" w:type="dxa"/>
            <w:vMerge w:val="continue"/>
            <w:tcBorders>
              <w:left w:val="single" w:color="000000" w:sz="4" w:space="0"/>
              <w:right w:val="single" w:color="000000" w:sz="4" w:space="0"/>
            </w:tcBorders>
            <w:shd w:val="clear" w:color="auto" w:fill="FFFFFF"/>
            <w:vAlign w:val="center"/>
          </w:tcPr>
          <w:p w14:paraId="2C0D094B">
            <w:pPr>
              <w:jc w:val="center"/>
              <w:rPr>
                <w:rFonts w:hint="eastAsia" w:ascii="宋体" w:hAnsi="宋体" w:eastAsia="宋体" w:cs="宋体"/>
                <w:color w:val="auto"/>
                <w:highlight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1DD568">
            <w:pPr>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highlight w:val="none"/>
              </w:rPr>
              <w:t>安全员</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07A375">
            <w:pPr>
              <w:jc w:val="center"/>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1</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D9DF93">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年以上石化或化工设备检修维护工作经验，有较好的组织管理能力，熟悉设备检修流程、检修经验丰富，能组织人员完成大修检修项目，保障检修工作安全有序进行。</w:t>
            </w:r>
          </w:p>
        </w:tc>
        <w:tc>
          <w:tcPr>
            <w:tcW w:w="900" w:type="dxa"/>
            <w:vMerge w:val="continue"/>
            <w:tcBorders>
              <w:left w:val="single" w:color="000000" w:sz="4" w:space="0"/>
              <w:right w:val="single" w:color="000000" w:sz="4" w:space="0"/>
            </w:tcBorders>
            <w:shd w:val="clear" w:color="auto" w:fill="FFFFFF"/>
            <w:vAlign w:val="center"/>
          </w:tcPr>
          <w:p w14:paraId="2F47EE60">
            <w:pPr>
              <w:jc w:val="center"/>
              <w:rPr>
                <w:rFonts w:ascii="宋体" w:hAnsi="宋体"/>
                <w:color w:val="auto"/>
                <w:highlight w:val="none"/>
              </w:rPr>
            </w:pPr>
          </w:p>
        </w:tc>
      </w:tr>
      <w:tr w14:paraId="5FDE90BC">
        <w:tblPrEx>
          <w:tblCellMar>
            <w:top w:w="0" w:type="dxa"/>
            <w:left w:w="108" w:type="dxa"/>
            <w:bottom w:w="0" w:type="dxa"/>
            <w:right w:w="108" w:type="dxa"/>
          </w:tblCellMar>
        </w:tblPrEx>
        <w:trPr>
          <w:cantSplit/>
          <w:trHeight w:val="1085" w:hRule="atLeast"/>
        </w:trPr>
        <w:tc>
          <w:tcPr>
            <w:tcW w:w="941" w:type="dxa"/>
            <w:vMerge w:val="continue"/>
            <w:tcBorders>
              <w:left w:val="single" w:color="000000" w:sz="4" w:space="0"/>
              <w:right w:val="single" w:color="000000" w:sz="4" w:space="0"/>
            </w:tcBorders>
            <w:shd w:val="clear" w:color="auto" w:fill="FFFFFF"/>
            <w:vAlign w:val="center"/>
          </w:tcPr>
          <w:p w14:paraId="2F742A58">
            <w:pPr>
              <w:jc w:val="center"/>
              <w:rPr>
                <w:rFonts w:hint="eastAsia" w:ascii="宋体" w:hAnsi="宋体" w:eastAsia="宋体" w:cs="宋体"/>
                <w:color w:val="auto"/>
                <w:highlight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368403">
            <w:pPr>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技术人员</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6E195C">
            <w:pPr>
              <w:jc w:val="center"/>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1</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0AFD6D">
            <w:pP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5年以上石化或化工设备管理经验，其中2年以上设备检修相关经验</w:t>
            </w:r>
          </w:p>
        </w:tc>
        <w:tc>
          <w:tcPr>
            <w:tcW w:w="900" w:type="dxa"/>
            <w:vMerge w:val="continue"/>
            <w:tcBorders>
              <w:left w:val="single" w:color="000000" w:sz="4" w:space="0"/>
              <w:right w:val="single" w:color="000000" w:sz="4" w:space="0"/>
            </w:tcBorders>
            <w:shd w:val="clear" w:color="auto" w:fill="FFFFFF"/>
            <w:vAlign w:val="center"/>
          </w:tcPr>
          <w:p w14:paraId="5143932B">
            <w:pPr>
              <w:jc w:val="center"/>
              <w:rPr>
                <w:rFonts w:ascii="宋体" w:hAnsi="宋体"/>
                <w:color w:val="auto"/>
                <w:highlight w:val="none"/>
              </w:rPr>
            </w:pPr>
          </w:p>
        </w:tc>
      </w:tr>
      <w:tr w14:paraId="19FDC5F3">
        <w:tblPrEx>
          <w:tblCellMar>
            <w:top w:w="0" w:type="dxa"/>
            <w:left w:w="108" w:type="dxa"/>
            <w:bottom w:w="0" w:type="dxa"/>
            <w:right w:w="108" w:type="dxa"/>
          </w:tblCellMar>
        </w:tblPrEx>
        <w:trPr>
          <w:cantSplit/>
          <w:trHeight w:val="1166" w:hRule="atLeast"/>
        </w:trPr>
        <w:tc>
          <w:tcPr>
            <w:tcW w:w="941" w:type="dxa"/>
            <w:vMerge w:val="continue"/>
            <w:tcBorders>
              <w:left w:val="single" w:color="000000" w:sz="4" w:space="0"/>
              <w:right w:val="single" w:color="000000" w:sz="4" w:space="0"/>
            </w:tcBorders>
            <w:shd w:val="clear" w:color="auto" w:fill="FFFFFF"/>
            <w:vAlign w:val="center"/>
          </w:tcPr>
          <w:p w14:paraId="1A762E6D">
            <w:pPr>
              <w:jc w:val="center"/>
              <w:rPr>
                <w:rFonts w:hint="eastAsia" w:ascii="宋体" w:hAnsi="宋体" w:eastAsia="宋体" w:cs="宋体"/>
                <w:color w:val="auto"/>
                <w:highlight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9C9A04">
            <w:pPr>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highlight w:val="none"/>
              </w:rPr>
              <w:t>班长</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13B3C6">
            <w:pPr>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highlight w:val="none"/>
              </w:rPr>
              <w:t>1</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23694F">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highlight w:val="none"/>
              </w:rPr>
              <w:t>5年以上检修维护工作经验，有较好的组织管理能力，熟悉设备检修流程、检修经验丰富，能组织人员完成每日检修项目。</w:t>
            </w:r>
          </w:p>
        </w:tc>
        <w:tc>
          <w:tcPr>
            <w:tcW w:w="900" w:type="dxa"/>
            <w:vMerge w:val="continue"/>
            <w:tcBorders>
              <w:left w:val="single" w:color="000000" w:sz="4" w:space="0"/>
              <w:right w:val="single" w:color="000000" w:sz="4" w:space="0"/>
            </w:tcBorders>
            <w:shd w:val="clear" w:color="auto" w:fill="FFFFFF"/>
            <w:vAlign w:val="center"/>
          </w:tcPr>
          <w:p w14:paraId="7A829E90">
            <w:pPr>
              <w:jc w:val="center"/>
              <w:rPr>
                <w:rFonts w:ascii="宋体" w:hAnsi="宋体"/>
                <w:color w:val="auto"/>
                <w:highlight w:val="none"/>
              </w:rPr>
            </w:pPr>
          </w:p>
        </w:tc>
      </w:tr>
      <w:tr w14:paraId="1D95334E">
        <w:tblPrEx>
          <w:tblCellMar>
            <w:top w:w="0" w:type="dxa"/>
            <w:left w:w="108" w:type="dxa"/>
            <w:bottom w:w="0" w:type="dxa"/>
            <w:right w:w="108" w:type="dxa"/>
          </w:tblCellMar>
        </w:tblPrEx>
        <w:trPr>
          <w:cantSplit/>
          <w:trHeight w:val="1226" w:hRule="atLeast"/>
        </w:trPr>
        <w:tc>
          <w:tcPr>
            <w:tcW w:w="941" w:type="dxa"/>
            <w:vMerge w:val="continue"/>
            <w:tcBorders>
              <w:left w:val="single" w:color="000000" w:sz="4" w:space="0"/>
              <w:right w:val="single" w:color="000000" w:sz="4" w:space="0"/>
            </w:tcBorders>
            <w:vAlign w:val="center"/>
          </w:tcPr>
          <w:p w14:paraId="3B9D7107">
            <w:pPr>
              <w:rPr>
                <w:rFonts w:hint="eastAsia" w:ascii="宋体" w:hAnsi="宋体" w:eastAsia="宋体" w:cs="宋体"/>
                <w:color w:val="auto"/>
                <w:highlight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EADB4D">
            <w:pPr>
              <w:jc w:val="center"/>
              <w:rPr>
                <w:rFonts w:hint="eastAsia" w:ascii="宋体" w:hAnsi="宋体" w:eastAsia="宋体" w:cs="宋体"/>
                <w:color w:val="auto"/>
                <w:highlight w:val="none"/>
              </w:rPr>
            </w:pPr>
            <w:r>
              <w:rPr>
                <w:rFonts w:hint="eastAsia" w:ascii="宋体" w:hAnsi="宋体" w:eastAsia="宋体" w:cs="宋体"/>
                <w:color w:val="auto"/>
                <w:highlight w:val="none"/>
              </w:rPr>
              <w:t>焊工</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EF19A5">
            <w:pPr>
              <w:jc w:val="center"/>
              <w:rPr>
                <w:rFonts w:hint="eastAsia" w:ascii="宋体" w:hAnsi="宋体" w:eastAsia="宋体" w:cs="宋体"/>
                <w:color w:val="auto"/>
                <w:highlight w:val="none"/>
              </w:rPr>
            </w:pPr>
            <w:r>
              <w:rPr>
                <w:rFonts w:hint="eastAsia" w:ascii="宋体" w:hAnsi="宋体" w:eastAsia="宋体" w:cs="宋体"/>
                <w:color w:val="auto"/>
                <w:highlight w:val="none"/>
              </w:rPr>
              <w:t>8</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04C7D7">
            <w:pPr>
              <w:rPr>
                <w:rFonts w:hint="eastAsia" w:ascii="宋体" w:hAnsi="宋体" w:eastAsia="宋体" w:cs="宋体"/>
                <w:color w:val="auto"/>
                <w:highlight w:val="none"/>
              </w:rPr>
            </w:pPr>
            <w:r>
              <w:rPr>
                <w:rFonts w:hint="eastAsia" w:ascii="宋体" w:hAnsi="宋体" w:eastAsia="宋体" w:cs="宋体"/>
                <w:color w:val="auto"/>
                <w:highlight w:val="none"/>
              </w:rPr>
              <w:t>持应急管理局颁发的焊接与热切割作业证及市场监督管理局颁发的特种设备焊接操作证，5年以上焊接工作经验，且熟练掌握汉语语言。</w:t>
            </w:r>
          </w:p>
        </w:tc>
        <w:tc>
          <w:tcPr>
            <w:tcW w:w="900" w:type="dxa"/>
            <w:vMerge w:val="continue"/>
            <w:tcBorders>
              <w:top w:val="single" w:color="000000" w:sz="4" w:space="0"/>
              <w:left w:val="single" w:color="000000" w:sz="4" w:space="0"/>
              <w:bottom w:val="single" w:color="000000" w:sz="4" w:space="0"/>
              <w:right w:val="single" w:color="000000" w:sz="4" w:space="0"/>
            </w:tcBorders>
            <w:vAlign w:val="center"/>
          </w:tcPr>
          <w:p w14:paraId="0203805B">
            <w:pPr>
              <w:jc w:val="left"/>
              <w:rPr>
                <w:rFonts w:ascii="宋体" w:hAnsi="宋体"/>
                <w:color w:val="auto"/>
                <w:highlight w:val="none"/>
              </w:rPr>
            </w:pPr>
          </w:p>
        </w:tc>
      </w:tr>
      <w:tr w14:paraId="528DBE60">
        <w:tblPrEx>
          <w:tblCellMar>
            <w:top w:w="0" w:type="dxa"/>
            <w:left w:w="108" w:type="dxa"/>
            <w:bottom w:w="0" w:type="dxa"/>
            <w:right w:w="108" w:type="dxa"/>
          </w:tblCellMar>
        </w:tblPrEx>
        <w:trPr>
          <w:cantSplit/>
          <w:trHeight w:val="1286" w:hRule="atLeast"/>
        </w:trPr>
        <w:tc>
          <w:tcPr>
            <w:tcW w:w="941" w:type="dxa"/>
            <w:vMerge w:val="continue"/>
            <w:tcBorders>
              <w:left w:val="single" w:color="000000" w:sz="4" w:space="0"/>
              <w:right w:val="single" w:color="000000" w:sz="4" w:space="0"/>
            </w:tcBorders>
            <w:noWrap/>
            <w:vAlign w:val="center"/>
          </w:tcPr>
          <w:p w14:paraId="4603EB8D">
            <w:pPr>
              <w:rPr>
                <w:rFonts w:hint="eastAsia" w:ascii="宋体" w:hAnsi="宋体" w:eastAsia="宋体" w:cs="宋体"/>
                <w:color w:val="auto"/>
                <w:highlight w:val="none"/>
              </w:rPr>
            </w:pPr>
          </w:p>
        </w:tc>
        <w:tc>
          <w:tcPr>
            <w:tcW w:w="1265" w:type="dxa"/>
            <w:tcBorders>
              <w:top w:val="single" w:color="000000" w:sz="4" w:space="0"/>
              <w:left w:val="single" w:color="000000" w:sz="4" w:space="0"/>
              <w:bottom w:val="single" w:color="000000" w:sz="4" w:space="0"/>
              <w:right w:val="single" w:color="000000" w:sz="4" w:space="0"/>
            </w:tcBorders>
            <w:noWrap/>
            <w:vAlign w:val="center"/>
          </w:tcPr>
          <w:p w14:paraId="5052FAB5">
            <w:pPr>
              <w:jc w:val="center"/>
              <w:rPr>
                <w:rFonts w:hint="eastAsia" w:ascii="宋体" w:hAnsi="宋体" w:eastAsia="宋体" w:cs="宋体"/>
                <w:color w:val="auto"/>
                <w:highlight w:val="none"/>
              </w:rPr>
            </w:pPr>
            <w:r>
              <w:rPr>
                <w:rFonts w:hint="eastAsia" w:ascii="宋体" w:hAnsi="宋体" w:eastAsia="宋体" w:cs="宋体"/>
                <w:color w:val="auto"/>
                <w:highlight w:val="none"/>
              </w:rPr>
              <w:t>起重司机</w:t>
            </w:r>
          </w:p>
        </w:tc>
        <w:tc>
          <w:tcPr>
            <w:tcW w:w="729" w:type="dxa"/>
            <w:tcBorders>
              <w:top w:val="single" w:color="000000" w:sz="4" w:space="0"/>
              <w:left w:val="single" w:color="000000" w:sz="4" w:space="0"/>
              <w:bottom w:val="single" w:color="000000" w:sz="4" w:space="0"/>
              <w:right w:val="single" w:color="000000" w:sz="4" w:space="0"/>
            </w:tcBorders>
            <w:noWrap/>
            <w:vAlign w:val="center"/>
          </w:tcPr>
          <w:p w14:paraId="7905B5CD">
            <w:pPr>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5534" w:type="dxa"/>
            <w:tcBorders>
              <w:top w:val="single" w:color="000000" w:sz="4" w:space="0"/>
              <w:left w:val="single" w:color="000000" w:sz="4" w:space="0"/>
              <w:bottom w:val="single" w:color="000000" w:sz="4" w:space="0"/>
              <w:right w:val="single" w:color="000000" w:sz="4" w:space="0"/>
            </w:tcBorders>
            <w:vAlign w:val="center"/>
          </w:tcPr>
          <w:p w14:paraId="48A4EFA0">
            <w:pPr>
              <w:rPr>
                <w:rFonts w:hint="eastAsia" w:ascii="宋体" w:hAnsi="宋体" w:eastAsia="宋体" w:cs="宋体"/>
                <w:color w:val="auto"/>
                <w:highlight w:val="none"/>
              </w:rPr>
            </w:pPr>
            <w:r>
              <w:rPr>
                <w:rFonts w:hint="eastAsia" w:ascii="宋体" w:hAnsi="宋体" w:eastAsia="宋体" w:cs="宋体"/>
                <w:color w:val="auto"/>
                <w:highlight w:val="none"/>
              </w:rPr>
              <w:t>持市场监督管理局颁发的起重指挥证（Q</w:t>
            </w:r>
            <w:r>
              <w:rPr>
                <w:rFonts w:hint="eastAsia" w:ascii="宋体" w:hAnsi="宋体" w:cs="宋体"/>
                <w:color w:val="auto"/>
                <w:highlight w:val="none"/>
                <w:lang w:val="en-US" w:eastAsia="zh-CN"/>
              </w:rPr>
              <w:t>2</w:t>
            </w:r>
            <w:r>
              <w:rPr>
                <w:rFonts w:hint="eastAsia" w:ascii="宋体" w:hAnsi="宋体" w:eastAsia="宋体" w:cs="宋体"/>
                <w:color w:val="auto"/>
                <w:highlight w:val="none"/>
              </w:rPr>
              <w:t>），5年以上起重工作经验，熟悉设备吊装检修流程，起重经验丰富。且熟练掌握汉语语言。</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D15246">
            <w:pPr>
              <w:jc w:val="center"/>
              <w:rPr>
                <w:rFonts w:ascii="宋体" w:hAnsi="宋体"/>
                <w:color w:val="auto"/>
                <w:kern w:val="0"/>
                <w:highlight w:val="none"/>
                <w:lang w:bidi="ar"/>
              </w:rPr>
            </w:pPr>
          </w:p>
        </w:tc>
      </w:tr>
      <w:tr w14:paraId="20FE1FA0">
        <w:tblPrEx>
          <w:tblCellMar>
            <w:top w:w="0" w:type="dxa"/>
            <w:left w:w="108" w:type="dxa"/>
            <w:bottom w:w="0" w:type="dxa"/>
            <w:right w:w="108" w:type="dxa"/>
          </w:tblCellMar>
        </w:tblPrEx>
        <w:trPr>
          <w:cantSplit/>
          <w:trHeight w:val="1486" w:hRule="atLeast"/>
        </w:trPr>
        <w:tc>
          <w:tcPr>
            <w:tcW w:w="941" w:type="dxa"/>
            <w:vMerge w:val="continue"/>
            <w:tcBorders>
              <w:left w:val="single" w:color="000000" w:sz="4" w:space="0"/>
              <w:right w:val="single" w:color="000000" w:sz="4" w:space="0"/>
            </w:tcBorders>
            <w:noWrap/>
            <w:vAlign w:val="center"/>
          </w:tcPr>
          <w:p w14:paraId="068E42DD">
            <w:pPr>
              <w:rPr>
                <w:rFonts w:hint="eastAsia" w:ascii="宋体" w:hAnsi="宋体" w:eastAsia="宋体" w:cs="宋体"/>
                <w:color w:val="auto"/>
                <w:highlight w:val="none"/>
              </w:rPr>
            </w:pPr>
          </w:p>
        </w:tc>
        <w:tc>
          <w:tcPr>
            <w:tcW w:w="1265" w:type="dxa"/>
            <w:tcBorders>
              <w:top w:val="single" w:color="000000" w:sz="4" w:space="0"/>
              <w:left w:val="single" w:color="000000" w:sz="4" w:space="0"/>
              <w:bottom w:val="single" w:color="000000" w:sz="4" w:space="0"/>
              <w:right w:val="single" w:color="000000" w:sz="4" w:space="0"/>
            </w:tcBorders>
            <w:noWrap/>
            <w:vAlign w:val="center"/>
          </w:tcPr>
          <w:p w14:paraId="01BC8592">
            <w:pPr>
              <w:jc w:val="center"/>
              <w:rPr>
                <w:rFonts w:hint="eastAsia" w:ascii="宋体" w:hAnsi="宋体" w:eastAsia="宋体" w:cs="宋体"/>
                <w:color w:val="auto"/>
                <w:highlight w:val="none"/>
              </w:rPr>
            </w:pPr>
            <w:r>
              <w:rPr>
                <w:rFonts w:hint="eastAsia" w:ascii="宋体" w:hAnsi="宋体" w:eastAsia="宋体" w:cs="宋体"/>
                <w:color w:val="auto"/>
                <w:highlight w:val="none"/>
              </w:rPr>
              <w:t>起重指挥</w:t>
            </w:r>
          </w:p>
        </w:tc>
        <w:tc>
          <w:tcPr>
            <w:tcW w:w="729" w:type="dxa"/>
            <w:tcBorders>
              <w:top w:val="single" w:color="000000" w:sz="4" w:space="0"/>
              <w:left w:val="single" w:color="000000" w:sz="4" w:space="0"/>
              <w:bottom w:val="single" w:color="000000" w:sz="4" w:space="0"/>
              <w:right w:val="single" w:color="000000" w:sz="4" w:space="0"/>
            </w:tcBorders>
            <w:noWrap/>
            <w:vAlign w:val="center"/>
          </w:tcPr>
          <w:p w14:paraId="3CF0AE25">
            <w:pPr>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5534" w:type="dxa"/>
            <w:tcBorders>
              <w:top w:val="single" w:color="000000" w:sz="4" w:space="0"/>
              <w:left w:val="single" w:color="000000" w:sz="4" w:space="0"/>
              <w:bottom w:val="single" w:color="000000" w:sz="4" w:space="0"/>
              <w:right w:val="single" w:color="000000" w:sz="4" w:space="0"/>
            </w:tcBorders>
            <w:vAlign w:val="center"/>
          </w:tcPr>
          <w:p w14:paraId="6CDC98AA">
            <w:pPr>
              <w:rPr>
                <w:rFonts w:hint="eastAsia" w:ascii="宋体" w:hAnsi="宋体" w:eastAsia="宋体" w:cs="宋体"/>
                <w:color w:val="auto"/>
                <w:highlight w:val="none"/>
              </w:rPr>
            </w:pPr>
            <w:r>
              <w:rPr>
                <w:rFonts w:hint="eastAsia" w:ascii="宋体" w:hAnsi="宋体" w:eastAsia="宋体" w:cs="宋体"/>
                <w:color w:val="auto"/>
                <w:highlight w:val="none"/>
              </w:rPr>
              <w:t>持市场监督管理局颁发的起重指挥证（Q1），3年以上起重工作经验，且熟练掌握汉语语言。平时需参与检修作业。</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A1CAC8">
            <w:pPr>
              <w:jc w:val="center"/>
              <w:rPr>
                <w:rFonts w:ascii="宋体" w:hAnsi="宋体"/>
                <w:color w:val="auto"/>
                <w:kern w:val="0"/>
                <w:highlight w:val="none"/>
                <w:lang w:bidi="ar"/>
              </w:rPr>
            </w:pPr>
          </w:p>
        </w:tc>
      </w:tr>
      <w:tr w14:paraId="672ADF24">
        <w:tblPrEx>
          <w:tblCellMar>
            <w:top w:w="0" w:type="dxa"/>
            <w:left w:w="108" w:type="dxa"/>
            <w:bottom w:w="0" w:type="dxa"/>
            <w:right w:w="108" w:type="dxa"/>
          </w:tblCellMar>
        </w:tblPrEx>
        <w:trPr>
          <w:cantSplit/>
          <w:trHeight w:val="1555" w:hRule="atLeast"/>
        </w:trPr>
        <w:tc>
          <w:tcPr>
            <w:tcW w:w="941" w:type="dxa"/>
            <w:vMerge w:val="continue"/>
            <w:tcBorders>
              <w:left w:val="single" w:color="000000" w:sz="4" w:space="0"/>
              <w:bottom w:val="single" w:color="000000" w:sz="4" w:space="0"/>
              <w:right w:val="single" w:color="000000" w:sz="4" w:space="0"/>
            </w:tcBorders>
            <w:noWrap/>
            <w:vAlign w:val="center"/>
          </w:tcPr>
          <w:p w14:paraId="15CEAF0C">
            <w:pPr>
              <w:rPr>
                <w:rFonts w:hint="eastAsia" w:ascii="宋体" w:hAnsi="宋体" w:eastAsia="宋体" w:cs="宋体"/>
                <w:color w:val="auto"/>
                <w:highlight w:val="none"/>
              </w:rPr>
            </w:pPr>
          </w:p>
        </w:tc>
        <w:tc>
          <w:tcPr>
            <w:tcW w:w="1265" w:type="dxa"/>
            <w:tcBorders>
              <w:top w:val="single" w:color="000000" w:sz="4" w:space="0"/>
              <w:left w:val="single" w:color="000000" w:sz="4" w:space="0"/>
              <w:bottom w:val="single" w:color="000000" w:sz="4" w:space="0"/>
              <w:right w:val="single" w:color="000000" w:sz="4" w:space="0"/>
            </w:tcBorders>
            <w:noWrap/>
            <w:vAlign w:val="center"/>
          </w:tcPr>
          <w:p w14:paraId="43F00FA5">
            <w:pPr>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作业人员</w:t>
            </w:r>
          </w:p>
        </w:tc>
        <w:tc>
          <w:tcPr>
            <w:tcW w:w="729" w:type="dxa"/>
            <w:tcBorders>
              <w:top w:val="single" w:color="000000" w:sz="4" w:space="0"/>
              <w:left w:val="single" w:color="000000" w:sz="4" w:space="0"/>
              <w:bottom w:val="single" w:color="000000" w:sz="4" w:space="0"/>
              <w:right w:val="single" w:color="000000" w:sz="4" w:space="0"/>
            </w:tcBorders>
            <w:noWrap/>
            <w:vAlign w:val="center"/>
          </w:tcPr>
          <w:p w14:paraId="358FD7CF">
            <w:pPr>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20</w:t>
            </w:r>
          </w:p>
        </w:tc>
        <w:tc>
          <w:tcPr>
            <w:tcW w:w="5534" w:type="dxa"/>
            <w:tcBorders>
              <w:top w:val="single" w:color="000000" w:sz="4" w:space="0"/>
              <w:left w:val="single" w:color="000000" w:sz="4" w:space="0"/>
              <w:bottom w:val="single" w:color="000000" w:sz="4" w:space="0"/>
              <w:right w:val="single" w:color="000000" w:sz="4" w:space="0"/>
            </w:tcBorders>
            <w:vAlign w:val="center"/>
          </w:tcPr>
          <w:p w14:paraId="10EF8F60">
            <w:pPr>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3</w:t>
            </w:r>
            <w:r>
              <w:rPr>
                <w:rFonts w:hint="eastAsia" w:ascii="宋体" w:hAnsi="宋体" w:eastAsia="宋体" w:cs="宋体"/>
                <w:color w:val="auto"/>
                <w:highlight w:val="none"/>
              </w:rPr>
              <w:t>年以上设备检修维护工作经验，不少于</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人持有中级钳工及以上技能，且全员熟练掌握汉语语言。作业人员中50%以上人员必须在石化或化工装置从业的经历</w:t>
            </w:r>
            <w:r>
              <w:rPr>
                <w:rFonts w:hint="eastAsia" w:ascii="宋体" w:hAnsi="宋体" w:eastAsia="宋体" w:cs="宋体"/>
                <w:color w:val="auto"/>
                <w:highlight w:val="none"/>
                <w:lang w:eastAsia="zh-CN"/>
              </w:rPr>
              <w:t>。</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DE7EE1">
            <w:pPr>
              <w:jc w:val="center"/>
              <w:rPr>
                <w:rFonts w:ascii="宋体" w:hAnsi="宋体"/>
                <w:color w:val="auto"/>
                <w:kern w:val="0"/>
                <w:highlight w:val="none"/>
                <w:lang w:bidi="ar"/>
              </w:rPr>
            </w:pPr>
          </w:p>
        </w:tc>
      </w:tr>
    </w:tbl>
    <w:p w14:paraId="00AB2742">
      <w:pPr>
        <w:snapToGrid w:val="0"/>
        <w:spacing w:line="360" w:lineRule="auto"/>
        <w:jc w:val="left"/>
        <w:rPr>
          <w:rStyle w:val="87"/>
          <w:b/>
          <w:color w:val="auto"/>
          <w:highlight w:val="none"/>
        </w:rPr>
      </w:pPr>
    </w:p>
    <w:p w14:paraId="0DE62D8D">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color w:val="auto"/>
          <w:sz w:val="28"/>
          <w:szCs w:val="13"/>
          <w:highlight w:val="none"/>
          <w:lang w:val="en-US" w:eastAsia="zh-CN"/>
        </w:rPr>
      </w:pPr>
      <w:r>
        <w:rPr>
          <w:rFonts w:hint="eastAsia"/>
          <w:color w:val="auto"/>
          <w:sz w:val="28"/>
          <w:szCs w:val="13"/>
          <w:highlight w:val="none"/>
          <w:lang w:val="en-US" w:eastAsia="zh-CN"/>
        </w:rPr>
        <w:t>7 安全要求</w:t>
      </w:r>
    </w:p>
    <w:p w14:paraId="2AE215B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7.1入厂资料要求：</w:t>
      </w:r>
    </w:p>
    <w:p w14:paraId="49165FE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7.1.1 投标方应该建立归档资料如下：</w:t>
      </w:r>
    </w:p>
    <w:p w14:paraId="3064F48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7.1.2 投标方管理人员对作业人员的安全技术交底记录（全员覆盖，新入职人员及时进行安全技术交底，纸质版留档）。</w:t>
      </w:r>
    </w:p>
    <w:p w14:paraId="50DE2F1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7.1.3 投标方组织员工培训学习公司相关制度、管理规定、事故案例的学习记录。（电子版备查，要求有清晰的照片能证明所学内容，有清晰的扫描签到表）</w:t>
      </w:r>
    </w:p>
    <w:p w14:paraId="164F4A4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7.1.4 三级安全教育台账以及整套资料。</w:t>
      </w:r>
    </w:p>
    <w:p w14:paraId="03DBAA5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7.1.5 项目主管单位对制度、管理规定、操作规程提供的确认表。（纸质版留档）</w:t>
      </w:r>
    </w:p>
    <w:p w14:paraId="77F9968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7.1.6 项目主管单位对投标方组织进行培训学习记录。（常年维保单位每月一次）。（电子版备查，要求有清晰的照片能证明所学内容，有清晰的扫描签到表）</w:t>
      </w:r>
    </w:p>
    <w:p w14:paraId="6671A47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7.1.7 安健环协议以及交叉协议。（纸质版留档）</w:t>
      </w:r>
    </w:p>
    <w:p w14:paraId="08901AE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7.1.8 项目开工前条件确认表。（纸质版留档）</w:t>
      </w:r>
    </w:p>
    <w:p w14:paraId="6870CD1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7.1.9 安全生产责任书（层层签订）（纸质版留档）</w:t>
      </w:r>
    </w:p>
    <w:p w14:paraId="603C28C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7.1.10 合同以及附件。（纸质版留档）</w:t>
      </w:r>
    </w:p>
    <w:p w14:paraId="1C7DF8E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7.1.11 企业资质、专业外包资质。（电子版备查）</w:t>
      </w:r>
    </w:p>
    <w:p w14:paraId="3AA8C8A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7.1.12 管理人员授权书、任命书。（纸质版留档）</w:t>
      </w:r>
    </w:p>
    <w:p w14:paraId="575495C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7.1.13 投标方全员安全生产责任制。（纸质版留档）</w:t>
      </w:r>
    </w:p>
    <w:p w14:paraId="62E18F5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7.1.14 投标方应急预案。（纸质版留档）</w:t>
      </w:r>
    </w:p>
    <w:p w14:paraId="5A6C020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7.1.15 外包项目人员台账（及时更新）以及特种作业人员台账（电子版及时更新）。</w:t>
      </w:r>
    </w:p>
    <w:p w14:paraId="4F94FC4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7.1.16 所有审核审批的方案存档。（纸质版留档）</w:t>
      </w:r>
    </w:p>
    <w:p w14:paraId="57AFC08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7.1.17 安全生产费用使用台账（电子版台账，必须提供相关佐证资料例如发票等）。</w:t>
      </w:r>
    </w:p>
    <w:p w14:paraId="4F9C75D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7.1.18 外包项目所有人员的入厂健康体检、职业病体检报告（纸质版留档）,详细要求见附件22。</w:t>
      </w:r>
    </w:p>
    <w:p w14:paraId="4BBA7DF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7.2安全要求：</w:t>
      </w:r>
    </w:p>
    <w:p w14:paraId="2161CC1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7.2.1 检修人员进行设备检修工作时，必须办理合格的工作票及各种特殊作业票。</w:t>
      </w:r>
    </w:p>
    <w:p w14:paraId="1B1C139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7.2.2 检修人员如需在脚手架上工作，必须系安全带方能上脚手架，并将安全带挂在固定牢固部件上，高挂低用。</w:t>
      </w:r>
    </w:p>
    <w:p w14:paraId="3B99839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7.2.3 设备所有零部件，应按要求摆放在指定的地点, 妥善保管。工作中轻起轻落,不准将设备或零部件直接放在地面上，在检修现场必须垫上橡胶垫，以防工具、零件等掉在地上。</w:t>
      </w:r>
    </w:p>
    <w:p w14:paraId="4044E63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7.2.4 检修现场应尽量避免上下交叉作业，如无法避免，应在监护人的监督下，由工作负责人统一指挥，上方检修人员应系好安全带、所用工器具系好安全绳并确保防坠落安全措施已执行到位；下方检修人员，应在工作负责人确认安全措施已执行到位后，方可进入现场工作，并做好事故预想，工作时做到注意力集中，保持上下通信畅通。</w:t>
      </w:r>
    </w:p>
    <w:p w14:paraId="3371BEE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7.2.5 现场工作人员应精神状态良好、无有碍工作的疾病，并不得酒后上班。</w:t>
      </w:r>
    </w:p>
    <w:p w14:paraId="1EE496C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7.2.6 进入生产场所的所有人员包括管理人员必须戴好安全帽，禁止在生产场所吸烟。</w:t>
      </w:r>
    </w:p>
    <w:p w14:paraId="1AA7489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7.2.7 动火作业按要求办理好动火作业工作票，注意火星的控制，以及动火操作的规范。</w:t>
      </w:r>
    </w:p>
    <w:p w14:paraId="1FA858B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7.2.8 必须严格遵守安全监察部制定的八大特殊作业等安全管理制度要求。</w:t>
      </w:r>
    </w:p>
    <w:p w14:paraId="3161D87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7.3 安全生产七大禁令</w:t>
      </w:r>
    </w:p>
    <w:p w14:paraId="2F6C98C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Style w:val="87"/>
          <w:rFonts w:hint="eastAsia"/>
          <w:b/>
          <w:color w:val="auto"/>
          <w:highlight w:val="none"/>
        </w:rPr>
      </w:pPr>
      <w:r>
        <w:rPr>
          <w:rFonts w:hint="eastAsia" w:ascii="宋体" w:hAnsi="宋体"/>
          <w:color w:val="auto"/>
          <w:sz w:val="24"/>
          <w:szCs w:val="24"/>
          <w:highlight w:val="none"/>
          <w:lang w:val="en-US" w:eastAsia="zh-CN"/>
        </w:rPr>
        <w:t>7.3.1 严禁在生产装置区内吸烟。</w:t>
      </w:r>
    </w:p>
    <w:p w14:paraId="2DAF0A1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7.3.2 严禁高处作业不使用安全带。</w:t>
      </w:r>
    </w:p>
    <w:p w14:paraId="23D1E00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7.3.3 严禁违章指挥、强令他人违章冒险作业。</w:t>
      </w:r>
    </w:p>
    <w:p w14:paraId="13B42A9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7.3.4 严禁未经许可进行受限空间作业、动火作业。</w:t>
      </w:r>
    </w:p>
    <w:p w14:paraId="7A81C47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7.3.5 严禁无证进行电气、架子、叉车、电气焊作业。</w:t>
      </w:r>
    </w:p>
    <w:p w14:paraId="0B2FF94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7.3.6 严禁未经审批或许可，取消或退出安全联锁。</w:t>
      </w:r>
    </w:p>
    <w:p w14:paraId="2C830C0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Style w:val="87"/>
          <w:b/>
          <w:color w:val="auto"/>
          <w:highlight w:val="none"/>
        </w:rPr>
      </w:pPr>
      <w:r>
        <w:rPr>
          <w:rFonts w:hint="eastAsia" w:ascii="宋体" w:hAnsi="宋体"/>
          <w:color w:val="auto"/>
          <w:sz w:val="24"/>
          <w:szCs w:val="24"/>
          <w:highlight w:val="none"/>
          <w:lang w:val="en-US" w:eastAsia="zh-CN"/>
        </w:rPr>
        <w:t>7.3.7 严禁未经许可关闭、破坏直接关系生产安全的报警、防护、救生设备、设施，不得篡改、销毁其相关数据、信息。</w:t>
      </w:r>
    </w:p>
    <w:p w14:paraId="209FE9C6">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color w:val="auto"/>
          <w:sz w:val="28"/>
          <w:szCs w:val="13"/>
          <w:highlight w:val="none"/>
          <w:lang w:val="en-US" w:eastAsia="zh-CN"/>
        </w:rPr>
      </w:pPr>
      <w:r>
        <w:rPr>
          <w:rFonts w:hint="eastAsia"/>
          <w:color w:val="auto"/>
          <w:sz w:val="28"/>
          <w:szCs w:val="13"/>
          <w:highlight w:val="none"/>
          <w:lang w:val="en-US" w:eastAsia="zh-CN"/>
        </w:rPr>
        <w:t>8 双方职责</w:t>
      </w:r>
    </w:p>
    <w:p w14:paraId="38ABCAB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olor w:val="auto"/>
          <w:sz w:val="24"/>
          <w:szCs w:val="24"/>
          <w:highlight w:val="none"/>
          <w:lang w:val="en-US" w:eastAsia="zh-CN"/>
        </w:rPr>
      </w:pPr>
      <w:r>
        <w:rPr>
          <w:rFonts w:hint="eastAsia" w:ascii="宋体" w:hAnsi="宋体"/>
          <w:color w:val="auto"/>
          <w:sz w:val="24"/>
          <w:szCs w:val="24"/>
          <w:highlight w:val="none"/>
          <w:lang w:val="en-US" w:eastAsia="zh-CN"/>
        </w:rPr>
        <w:t>8.1 招标方职责</w:t>
      </w:r>
    </w:p>
    <w:p w14:paraId="1E323AF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8.1.1 对项目安全、质量及进度实施全过程管理，安全管理实行统一牵头、统一指挥、统一管理及考核，对存在的各类安全隐患及时督促整改。</w:t>
      </w:r>
    </w:p>
    <w:p w14:paraId="4F1AA1C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8.1.2 对投标方提出的各种技术方案进行审核和批准。</w:t>
      </w:r>
    </w:p>
    <w:p w14:paraId="5125423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olor w:val="auto"/>
          <w:sz w:val="24"/>
          <w:szCs w:val="24"/>
          <w:highlight w:val="none"/>
          <w:lang w:val="en-US" w:eastAsia="zh-CN"/>
        </w:rPr>
      </w:pPr>
      <w:r>
        <w:rPr>
          <w:rFonts w:hint="eastAsia" w:ascii="宋体" w:hAnsi="宋体"/>
          <w:color w:val="auto"/>
          <w:sz w:val="24"/>
          <w:szCs w:val="24"/>
          <w:highlight w:val="none"/>
          <w:lang w:val="en-US" w:eastAsia="zh-CN"/>
        </w:rPr>
        <w:t>8.1.3 负责</w:t>
      </w:r>
      <w:r>
        <w:rPr>
          <w:rFonts w:hint="eastAsia" w:ascii="宋体" w:hAnsi="宋体" w:eastAsia="宋体" w:cs="Times New Roman"/>
          <w:color w:val="auto"/>
          <w:sz w:val="24"/>
          <w:szCs w:val="24"/>
          <w:highlight w:val="none"/>
        </w:rPr>
        <w:t>报废物资和退库物资手续办理，投标方运送至指定地点。</w:t>
      </w:r>
    </w:p>
    <w:p w14:paraId="39DAFD9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8.1.4 负责检修项目中涉及的光谱分析及焊缝探伤工作。</w:t>
      </w:r>
    </w:p>
    <w:p w14:paraId="50F0EAE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eastAsia="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8.1.5 负责</w:t>
      </w:r>
      <w:r>
        <w:rPr>
          <w:rFonts w:hint="default" w:ascii="宋体" w:hAnsi="宋体" w:eastAsia="宋体" w:cs="Times New Roman"/>
          <w:color w:val="auto"/>
          <w:sz w:val="24"/>
          <w:szCs w:val="24"/>
          <w:highlight w:val="none"/>
          <w:lang w:val="en-US" w:eastAsia="zh-CN"/>
        </w:rPr>
        <w:t>检修项目涉及的水、电、脚手架搭设、保温的拆装、恢复等工作。</w:t>
      </w:r>
    </w:p>
    <w:p w14:paraId="09A797D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8.1.6 根据招标方的相关事故调查规定，当发生不安全情况时,必要时组织投标方进行事故调查处理。</w:t>
      </w:r>
    </w:p>
    <w:p w14:paraId="63BDAC0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8.1.7 向投标方提供有关设备资料及有关生产、管理需要的上级文件，并及时答复投标方提出的有关生产、管理中发生的问题。</w:t>
      </w:r>
    </w:p>
    <w:p w14:paraId="46F8300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8.1.8 负责组织内部检修协调会议，并负责投标方与其它相关单位的工作协调。</w:t>
      </w:r>
    </w:p>
    <w:p w14:paraId="3BF6CB6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8.1.9 为投标方提供本承包范围范围系统设备设计、制造、安装、调试、运行、维护的图纸资料（包括设备的技术规范、竣工图纸、运行及维护手册或说明书等投标方履行本合同所需的资料）的收集和管理便利，避免影响检修进度和质量。</w:t>
      </w:r>
    </w:p>
    <w:p w14:paraId="5690424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8.1.10 按本承包合同规定，及时向投标方支付各种费用。</w:t>
      </w:r>
    </w:p>
    <w:p w14:paraId="66B51F4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8.1.11 参加检修项目的验收工作。</w:t>
      </w:r>
    </w:p>
    <w:p w14:paraId="0291649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8.1.12 检修所需的项目车辆由招标方统一负责协调。</w:t>
      </w:r>
    </w:p>
    <w:p w14:paraId="40F7AE59">
      <w:pPr>
        <w:snapToGrid w:val="0"/>
        <w:spacing w:line="360" w:lineRule="auto"/>
        <w:jc w:val="left"/>
        <w:rPr>
          <w:rStyle w:val="87"/>
          <w:rFonts w:ascii="宋体" w:hAnsi="宋体" w:cs="宋体"/>
          <w:bCs/>
          <w:color w:val="auto"/>
          <w:highlight w:val="none"/>
        </w:rPr>
      </w:pPr>
      <w:r>
        <w:rPr>
          <w:rStyle w:val="87"/>
          <w:rFonts w:hint="eastAsia" w:ascii="宋体" w:hAnsi="宋体" w:cs="宋体"/>
          <w:bCs/>
          <w:color w:val="auto"/>
          <w:highlight w:val="none"/>
          <w:lang w:val="en-US" w:eastAsia="zh-CN"/>
        </w:rPr>
        <w:t>8</w:t>
      </w:r>
      <w:r>
        <w:rPr>
          <w:rStyle w:val="87"/>
          <w:rFonts w:hint="eastAsia" w:ascii="宋体" w:hAnsi="宋体" w:cs="宋体"/>
          <w:bCs/>
          <w:color w:val="auto"/>
          <w:highlight w:val="none"/>
        </w:rPr>
        <w:t>.1.1</w:t>
      </w:r>
      <w:r>
        <w:rPr>
          <w:rStyle w:val="87"/>
          <w:rFonts w:hint="eastAsia" w:ascii="宋体" w:hAnsi="宋体" w:cs="宋体"/>
          <w:bCs/>
          <w:color w:val="auto"/>
          <w:highlight w:val="none"/>
          <w:lang w:val="en-US" w:eastAsia="zh-CN"/>
        </w:rPr>
        <w:t xml:space="preserve">3 </w:t>
      </w:r>
      <w:r>
        <w:rPr>
          <w:rStyle w:val="87"/>
          <w:rFonts w:hint="eastAsia" w:ascii="宋体" w:hAnsi="宋体" w:cs="宋体"/>
          <w:bCs/>
          <w:color w:val="auto"/>
          <w:highlight w:val="none"/>
        </w:rPr>
        <w:t>招标方有权收取提供给承包商生活使用的电费及食堂管理费。</w:t>
      </w:r>
    </w:p>
    <w:p w14:paraId="23B056D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olor w:val="auto"/>
          <w:sz w:val="24"/>
          <w:szCs w:val="24"/>
          <w:highlight w:val="none"/>
          <w:lang w:val="en-US" w:eastAsia="zh-CN"/>
        </w:rPr>
      </w:pPr>
      <w:r>
        <w:rPr>
          <w:rFonts w:hint="eastAsia" w:ascii="宋体" w:hAnsi="宋体"/>
          <w:color w:val="auto"/>
          <w:sz w:val="24"/>
          <w:szCs w:val="24"/>
          <w:highlight w:val="none"/>
          <w:lang w:val="en-US" w:eastAsia="zh-CN"/>
        </w:rPr>
        <w:t>8.2 投标方职责</w:t>
      </w:r>
    </w:p>
    <w:p w14:paraId="65965F5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8.2.1投标方在接到中标通知书后1个月内，将本项目组织机构、质量措施、安全措施、组织措施等文件（不限上列内容）报招标方审核。在检修开始一周前将工作负责人及工作票签发人名单、工作人员名单、特殊工种人员名单及资质材料报招标方审核。</w:t>
      </w:r>
    </w:p>
    <w:p w14:paraId="62BC736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8.2.2</w:t>
      </w:r>
      <w:r>
        <w:rPr>
          <w:rFonts w:hint="eastAsia" w:ascii="宋体" w:hAnsi="宋体" w:eastAsia="宋体" w:cs="Times New Roman"/>
          <w:color w:val="auto"/>
          <w:sz w:val="24"/>
          <w:szCs w:val="24"/>
          <w:highlight w:val="none"/>
        </w:rPr>
        <w:t xml:space="preserve"> 本项目所需要的票证办理、施工准备由投标方负责。</w:t>
      </w:r>
    </w:p>
    <w:p w14:paraId="77DF465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8.2</w:t>
      </w:r>
      <w:r>
        <w:rPr>
          <w:rFonts w:hint="eastAsia" w:ascii="宋体" w:hAnsi="宋体" w:eastAsia="宋体" w:cs="Times New Roman"/>
          <w:color w:val="auto"/>
          <w:sz w:val="24"/>
          <w:szCs w:val="24"/>
          <w:highlight w:val="none"/>
        </w:rPr>
        <w:t xml:space="preserve">.3 </w:t>
      </w:r>
      <w:r>
        <w:rPr>
          <w:rFonts w:hint="eastAsia" w:ascii="宋体" w:hAnsi="宋体" w:cs="Times New Roman"/>
          <w:color w:val="auto"/>
          <w:sz w:val="24"/>
          <w:szCs w:val="24"/>
          <w:highlight w:val="none"/>
          <w:lang w:eastAsia="zh-CN"/>
        </w:rPr>
        <w:t>投标方</w:t>
      </w:r>
      <w:r>
        <w:rPr>
          <w:rFonts w:hint="eastAsia" w:ascii="宋体" w:hAnsi="宋体" w:eastAsia="宋体" w:cs="Times New Roman"/>
          <w:color w:val="auto"/>
          <w:sz w:val="24"/>
          <w:szCs w:val="24"/>
          <w:highlight w:val="none"/>
        </w:rPr>
        <w:t>必须在开工前十天将</w:t>
      </w:r>
      <w:r>
        <w:rPr>
          <w:rFonts w:hint="eastAsia" w:ascii="宋体" w:hAnsi="宋体" w:cs="Times New Roman"/>
          <w:color w:val="auto"/>
          <w:sz w:val="24"/>
          <w:szCs w:val="24"/>
          <w:highlight w:val="none"/>
          <w:lang w:val="en-US" w:eastAsia="zh-CN"/>
        </w:rPr>
        <w:t>施工方案</w:t>
      </w:r>
      <w:r>
        <w:rPr>
          <w:rFonts w:hint="eastAsia" w:ascii="宋体" w:hAnsi="宋体" w:eastAsia="宋体" w:cs="Times New Roman"/>
          <w:color w:val="auto"/>
          <w:sz w:val="24"/>
          <w:szCs w:val="24"/>
          <w:highlight w:val="none"/>
        </w:rPr>
        <w:t>发给</w:t>
      </w:r>
      <w:r>
        <w:rPr>
          <w:rFonts w:hint="eastAsia" w:ascii="宋体" w:hAnsi="宋体" w:cs="Times New Roman"/>
          <w:color w:val="auto"/>
          <w:sz w:val="24"/>
          <w:szCs w:val="24"/>
          <w:highlight w:val="none"/>
          <w:lang w:eastAsia="zh-CN"/>
        </w:rPr>
        <w:t>招标方</w:t>
      </w:r>
      <w:r>
        <w:rPr>
          <w:rFonts w:hint="eastAsia" w:ascii="宋体" w:hAnsi="宋体" w:eastAsia="宋体" w:cs="Times New Roman"/>
          <w:color w:val="auto"/>
          <w:sz w:val="24"/>
          <w:szCs w:val="24"/>
          <w:highlight w:val="none"/>
        </w:rPr>
        <w:t>审阅。且在开工前一周将</w:t>
      </w:r>
      <w:r>
        <w:rPr>
          <w:rFonts w:hint="eastAsia" w:ascii="宋体" w:hAnsi="宋体" w:cs="Times New Roman"/>
          <w:color w:val="auto"/>
          <w:sz w:val="24"/>
          <w:szCs w:val="24"/>
          <w:highlight w:val="none"/>
          <w:lang w:val="en-US" w:eastAsia="zh-CN"/>
        </w:rPr>
        <w:t>施工所</w:t>
      </w:r>
      <w:r>
        <w:rPr>
          <w:rFonts w:hint="eastAsia" w:ascii="宋体" w:hAnsi="宋体" w:eastAsia="宋体" w:cs="Times New Roman"/>
          <w:color w:val="auto"/>
          <w:sz w:val="24"/>
          <w:szCs w:val="24"/>
          <w:highlight w:val="none"/>
        </w:rPr>
        <w:t>用工器具、消耗性材料运至</w:t>
      </w:r>
      <w:r>
        <w:rPr>
          <w:rFonts w:hint="eastAsia" w:ascii="宋体" w:hAnsi="宋体" w:cs="Times New Roman"/>
          <w:color w:val="auto"/>
          <w:sz w:val="24"/>
          <w:szCs w:val="24"/>
          <w:highlight w:val="none"/>
          <w:lang w:eastAsia="zh-CN"/>
        </w:rPr>
        <w:t>招标方</w:t>
      </w:r>
      <w:r>
        <w:rPr>
          <w:rFonts w:hint="eastAsia" w:ascii="宋体" w:hAnsi="宋体" w:eastAsia="宋体" w:cs="Times New Roman"/>
          <w:color w:val="auto"/>
          <w:sz w:val="24"/>
          <w:szCs w:val="24"/>
          <w:highlight w:val="none"/>
        </w:rPr>
        <w:t>检修现场（由</w:t>
      </w:r>
      <w:r>
        <w:rPr>
          <w:rFonts w:hint="eastAsia" w:ascii="宋体" w:hAnsi="宋体" w:cs="Times New Roman"/>
          <w:color w:val="auto"/>
          <w:sz w:val="24"/>
          <w:szCs w:val="24"/>
          <w:highlight w:val="none"/>
          <w:lang w:eastAsia="zh-CN"/>
        </w:rPr>
        <w:t>投标方</w:t>
      </w:r>
      <w:r>
        <w:rPr>
          <w:rFonts w:hint="eastAsia" w:ascii="宋体" w:hAnsi="宋体" w:eastAsia="宋体" w:cs="Times New Roman"/>
          <w:color w:val="auto"/>
          <w:sz w:val="24"/>
          <w:szCs w:val="24"/>
          <w:highlight w:val="none"/>
        </w:rPr>
        <w:t>自行保管）。</w:t>
      </w:r>
    </w:p>
    <w:p w14:paraId="21CD381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8.2</w:t>
      </w:r>
      <w:r>
        <w:rPr>
          <w:rFonts w:hint="eastAsia" w:ascii="宋体" w:hAnsi="宋体" w:eastAsia="宋体" w:cs="Times New Roman"/>
          <w:color w:val="auto"/>
          <w:sz w:val="24"/>
          <w:szCs w:val="24"/>
          <w:highlight w:val="none"/>
        </w:rPr>
        <w:t>.4 本项目检修所用的工器具必须保证完好，且校验合格（现场使用的计量工器具，须有检验合格证及检验时间，过期未检验计量工器具严禁带入现场使用），</w:t>
      </w:r>
      <w:r>
        <w:rPr>
          <w:rFonts w:hint="eastAsia" w:ascii="宋体" w:hAnsi="宋体" w:cs="Times New Roman"/>
          <w:color w:val="auto"/>
          <w:sz w:val="24"/>
          <w:szCs w:val="24"/>
          <w:highlight w:val="none"/>
          <w:lang w:eastAsia="zh-CN"/>
        </w:rPr>
        <w:t>投标方</w:t>
      </w:r>
      <w:r>
        <w:rPr>
          <w:rFonts w:hint="eastAsia" w:ascii="宋体" w:hAnsi="宋体" w:eastAsia="宋体" w:cs="Times New Roman"/>
          <w:color w:val="auto"/>
          <w:sz w:val="24"/>
          <w:szCs w:val="24"/>
          <w:highlight w:val="none"/>
        </w:rPr>
        <w:t>保证在施工过程中使用的工器具是安全和可靠的，不会造成事故，否则，</w:t>
      </w:r>
      <w:r>
        <w:rPr>
          <w:rFonts w:hint="eastAsia" w:ascii="宋体" w:hAnsi="宋体" w:cs="Times New Roman"/>
          <w:color w:val="auto"/>
          <w:sz w:val="24"/>
          <w:szCs w:val="24"/>
          <w:highlight w:val="none"/>
          <w:lang w:eastAsia="zh-CN"/>
        </w:rPr>
        <w:t>投标方</w:t>
      </w:r>
      <w:r>
        <w:rPr>
          <w:rFonts w:hint="eastAsia" w:ascii="宋体" w:hAnsi="宋体" w:eastAsia="宋体" w:cs="Times New Roman"/>
          <w:color w:val="auto"/>
          <w:sz w:val="24"/>
          <w:szCs w:val="24"/>
          <w:highlight w:val="none"/>
        </w:rPr>
        <w:t>承担由此引起的相应责任。出厂前要按照清单进行清点，并由</w:t>
      </w:r>
      <w:r>
        <w:rPr>
          <w:rFonts w:hint="eastAsia" w:ascii="宋体" w:hAnsi="宋体" w:cs="Times New Roman"/>
          <w:color w:val="auto"/>
          <w:sz w:val="24"/>
          <w:szCs w:val="24"/>
          <w:highlight w:val="none"/>
          <w:lang w:eastAsia="zh-CN"/>
        </w:rPr>
        <w:t>招标方</w:t>
      </w:r>
      <w:r>
        <w:rPr>
          <w:rFonts w:hint="eastAsia" w:ascii="宋体" w:hAnsi="宋体" w:eastAsia="宋体" w:cs="Times New Roman"/>
          <w:color w:val="auto"/>
          <w:sz w:val="24"/>
          <w:szCs w:val="24"/>
          <w:highlight w:val="none"/>
        </w:rPr>
        <w:t>签字认可，确保现场无施工遗留工具。</w:t>
      </w:r>
    </w:p>
    <w:p w14:paraId="64D0F65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8.2</w:t>
      </w:r>
      <w:r>
        <w:rPr>
          <w:rFonts w:hint="eastAsia" w:ascii="宋体" w:hAnsi="宋体" w:eastAsia="宋体" w:cs="Times New Roman"/>
          <w:color w:val="auto"/>
          <w:sz w:val="24"/>
          <w:szCs w:val="24"/>
          <w:highlight w:val="none"/>
        </w:rPr>
        <w:t>.5 所有的耗材均需采购国内合格产品，凡是没有标签、生产日期的消耗性材料一律不得采用，杜绝伪劣产品使用在工作中。</w:t>
      </w:r>
      <w:r>
        <w:rPr>
          <w:rFonts w:hint="eastAsia" w:ascii="宋体" w:hAnsi="宋体" w:cs="Times New Roman"/>
          <w:color w:val="auto"/>
          <w:sz w:val="24"/>
          <w:szCs w:val="24"/>
          <w:highlight w:val="none"/>
          <w:lang w:eastAsia="zh-CN"/>
        </w:rPr>
        <w:t>投标方</w:t>
      </w:r>
      <w:r>
        <w:rPr>
          <w:rFonts w:hint="eastAsia" w:ascii="宋体" w:hAnsi="宋体" w:eastAsia="宋体" w:cs="Times New Roman"/>
          <w:color w:val="auto"/>
          <w:sz w:val="24"/>
          <w:szCs w:val="24"/>
          <w:highlight w:val="none"/>
        </w:rPr>
        <w:t>提出新型材料的使用前必须报</w:t>
      </w:r>
      <w:r>
        <w:rPr>
          <w:rFonts w:hint="eastAsia" w:ascii="宋体" w:hAnsi="宋体" w:cs="Times New Roman"/>
          <w:color w:val="auto"/>
          <w:sz w:val="24"/>
          <w:szCs w:val="24"/>
          <w:highlight w:val="none"/>
          <w:lang w:eastAsia="zh-CN"/>
        </w:rPr>
        <w:t>招标方</w:t>
      </w:r>
      <w:r>
        <w:rPr>
          <w:rFonts w:hint="eastAsia" w:ascii="宋体" w:hAnsi="宋体" w:eastAsia="宋体" w:cs="Times New Roman"/>
          <w:color w:val="auto"/>
          <w:sz w:val="24"/>
          <w:szCs w:val="24"/>
          <w:highlight w:val="none"/>
        </w:rPr>
        <w:t>批准后方可使用。</w:t>
      </w:r>
    </w:p>
    <w:p w14:paraId="6FB4BFD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8.2</w:t>
      </w:r>
      <w:r>
        <w:rPr>
          <w:rFonts w:hint="eastAsia" w:ascii="宋体" w:hAnsi="宋体" w:eastAsia="宋体" w:cs="Times New Roman"/>
          <w:color w:val="auto"/>
          <w:sz w:val="24"/>
          <w:szCs w:val="24"/>
          <w:highlight w:val="none"/>
        </w:rPr>
        <w:t>.6 投标方负责做好承包维护设备范围内的装置性设施（如平台、栏杆、现场专用检修平台等）的维护及保养等工作, 保持设备及生产场地的清洁卫生。</w:t>
      </w:r>
    </w:p>
    <w:p w14:paraId="19FF50D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8.2.7 检修过程中产生的废料和垃圾的清理、转运由投标方负责（转运地点由招标方指定）。</w:t>
      </w:r>
    </w:p>
    <w:p w14:paraId="32CDBA5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8.2.8 负责完成机务专业检修中和检修结束后需进行的各种试验和调试（含电气、仪控专业需机务配合完成的项目）。</w:t>
      </w:r>
    </w:p>
    <w:p w14:paraId="4704B7F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8.2.9 投标方应尽其最大努力减少维护人员的流动和更换，同时招标方有权建议更换任何不合适的人员。投标方在招用员工时要审查核实是否与另外单位项目用工重合。</w:t>
      </w:r>
    </w:p>
    <w:p w14:paraId="0A411A0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8.2.10 投标方应根据项目内容、时间进度和招标方要求，配置足够人员，参加施工人员数量和资格必须在开工一周前报招标方。</w:t>
      </w:r>
    </w:p>
    <w:p w14:paraId="3A8EFA6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8.2.11 投标方应及时将遇到的技术问题通知招标方，并积极处理和解决。</w:t>
      </w:r>
    </w:p>
    <w:p w14:paraId="61ECB8D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8.2.12 投标方应制订施工方案、焊接工艺卡和项目进度表。</w:t>
      </w:r>
    </w:p>
    <w:p w14:paraId="44F9B07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8.2.13 项目服务工期内，以生产装置现场实际情况为指导，不仅要求按时按进度完成本职检修工作，同时应服从招标方协调指挥要求，主动配合完成现场其他施工作业工作。</w:t>
      </w:r>
    </w:p>
    <w:p w14:paraId="335AEF7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8.2.14 投标方做好设备主体部分进行解体检查和调整工作，必要时对达到规定磨损限度的零件加以更换。此外，还要对主要零部件的磨损情况进行测量、鉴定和记录。</w:t>
      </w:r>
    </w:p>
    <w:p w14:paraId="69468B8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8.2.15 投标方检修所做的各项检修技术记录、检查试验（校验）报告、安装调试文件、设计说明、测绘图纸及相关计算书等必须齐全准确、符合招标方归档要求，并及时提供给招标方。</w:t>
      </w:r>
    </w:p>
    <w:p w14:paraId="012BEBD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8.2.16 招标方对投标方项目部的日常考核，投标方接到招标方的通报后，投标方应在一个月内将考核执行情况反馈给招标方。</w:t>
      </w:r>
    </w:p>
    <w:p w14:paraId="2CA019D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8.2.17 投标方所有人员薪金结算必须由第三方（银行）支付到员工。</w:t>
      </w:r>
    </w:p>
    <w:p w14:paraId="049504C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8.2.18 安全生产费用专款专用，必须用于安全相关费用支出。</w:t>
      </w:r>
    </w:p>
    <w:p w14:paraId="49D009E4">
      <w:pPr>
        <w:pStyle w:val="2"/>
        <w:keepNext/>
        <w:keepLines/>
        <w:pageBreakBefore w:val="0"/>
        <w:widowControl w:val="0"/>
        <w:kinsoku w:val="0"/>
        <w:wordWrap/>
        <w:overflowPunct/>
        <w:topLinePunct w:val="0"/>
        <w:autoSpaceDE/>
        <w:autoSpaceDN/>
        <w:bidi w:val="0"/>
        <w:adjustRightInd w:val="0"/>
        <w:snapToGrid w:val="0"/>
        <w:jc w:val="left"/>
        <w:textAlignment w:val="auto"/>
        <w:rPr>
          <w:rFonts w:hint="default"/>
          <w:color w:val="auto"/>
          <w:sz w:val="28"/>
          <w:szCs w:val="13"/>
          <w:highlight w:val="none"/>
          <w:lang w:val="en-US" w:eastAsia="zh-CN"/>
        </w:rPr>
      </w:pPr>
      <w:r>
        <w:rPr>
          <w:rFonts w:hint="eastAsia"/>
          <w:color w:val="auto"/>
          <w:sz w:val="28"/>
          <w:szCs w:val="13"/>
          <w:highlight w:val="none"/>
          <w:lang w:val="en-US" w:eastAsia="zh-CN"/>
        </w:rPr>
        <w:t xml:space="preserve">9 </w:t>
      </w:r>
      <w:r>
        <w:rPr>
          <w:rFonts w:hint="eastAsia"/>
          <w:color w:val="auto"/>
          <w:sz w:val="28"/>
          <w:szCs w:val="13"/>
          <w:highlight w:val="none"/>
        </w:rPr>
        <w:t>安健环及文明施工、危险源（环境因素）控制要求</w:t>
      </w:r>
    </w:p>
    <w:p w14:paraId="76B6FF1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9.1 贯彻“谁施工、谁负责安全”的管理原则。</w:t>
      </w:r>
    </w:p>
    <w:p w14:paraId="16C6B77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 xml:space="preserve">9.2 </w:t>
      </w:r>
      <w:r>
        <w:rPr>
          <w:rFonts w:hint="eastAsia" w:ascii="宋体" w:hAnsi="宋体" w:eastAsia="宋体" w:cs="Times New Roman"/>
          <w:color w:val="auto"/>
          <w:sz w:val="24"/>
          <w:szCs w:val="24"/>
          <w:highlight w:val="none"/>
        </w:rPr>
        <w:t>所有作业人员必须经过安全培训方可上岗，作业时必须严格按照相关要求穿戴劳保用品；</w:t>
      </w:r>
    </w:p>
    <w:p w14:paraId="1AAFCEB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 xml:space="preserve">9.3 </w:t>
      </w:r>
      <w:r>
        <w:rPr>
          <w:rFonts w:hint="eastAsia" w:ascii="宋体" w:hAnsi="宋体" w:eastAsia="宋体" w:cs="Times New Roman"/>
          <w:color w:val="auto"/>
          <w:sz w:val="24"/>
          <w:szCs w:val="24"/>
          <w:highlight w:val="none"/>
        </w:rPr>
        <w:t>涉及到高风险作业时，必须由</w:t>
      </w:r>
      <w:r>
        <w:rPr>
          <w:rFonts w:hint="eastAsia" w:ascii="宋体" w:hAnsi="宋体" w:cs="Times New Roman"/>
          <w:color w:val="auto"/>
          <w:sz w:val="24"/>
          <w:szCs w:val="24"/>
          <w:highlight w:val="none"/>
          <w:lang w:eastAsia="zh-CN"/>
        </w:rPr>
        <w:t>投标方</w:t>
      </w:r>
      <w:r>
        <w:rPr>
          <w:rFonts w:hint="eastAsia" w:ascii="宋体" w:hAnsi="宋体" w:eastAsia="宋体" w:cs="Times New Roman"/>
          <w:color w:val="auto"/>
          <w:sz w:val="24"/>
          <w:szCs w:val="24"/>
          <w:highlight w:val="none"/>
        </w:rPr>
        <w:t>及</w:t>
      </w:r>
      <w:r>
        <w:rPr>
          <w:rFonts w:hint="eastAsia" w:ascii="宋体" w:hAnsi="宋体" w:cs="Times New Roman"/>
          <w:color w:val="auto"/>
          <w:sz w:val="24"/>
          <w:szCs w:val="24"/>
          <w:highlight w:val="none"/>
          <w:lang w:eastAsia="zh-CN"/>
        </w:rPr>
        <w:t>招标方</w:t>
      </w:r>
      <w:r>
        <w:rPr>
          <w:rFonts w:hint="eastAsia" w:ascii="宋体" w:hAnsi="宋体" w:eastAsia="宋体" w:cs="Times New Roman"/>
          <w:color w:val="auto"/>
          <w:sz w:val="24"/>
          <w:szCs w:val="24"/>
          <w:highlight w:val="none"/>
        </w:rPr>
        <w:t>双方共同监护的情况下方可作业；</w:t>
      </w:r>
    </w:p>
    <w:p w14:paraId="1A6A656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lang w:eastAsia="zh-CN"/>
        </w:rPr>
      </w:pPr>
      <w:r>
        <w:rPr>
          <w:rFonts w:hint="eastAsia" w:ascii="宋体" w:hAnsi="宋体" w:cs="Times New Roman"/>
          <w:color w:val="auto"/>
          <w:sz w:val="24"/>
          <w:szCs w:val="24"/>
          <w:highlight w:val="none"/>
          <w:lang w:val="en-US" w:eastAsia="zh-CN"/>
        </w:rPr>
        <w:t xml:space="preserve">9.4 </w:t>
      </w:r>
      <w:r>
        <w:rPr>
          <w:rFonts w:hint="eastAsia" w:ascii="宋体" w:hAnsi="宋体" w:eastAsia="宋体" w:cs="Times New Roman"/>
          <w:color w:val="auto"/>
          <w:sz w:val="24"/>
          <w:szCs w:val="24"/>
          <w:highlight w:val="none"/>
        </w:rPr>
        <w:t>投标方的工作人员必须严格遵守招标方的管理要求，严格按安全规程文明施工，服从招标方生产调度，接受招标方文明生产考核。投标方必须有安全员，制定与本</w:t>
      </w:r>
      <w:r>
        <w:rPr>
          <w:rFonts w:hint="eastAsia" w:ascii="宋体" w:hAnsi="宋体" w:cs="Times New Roman"/>
          <w:color w:val="auto"/>
          <w:sz w:val="24"/>
          <w:szCs w:val="24"/>
          <w:highlight w:val="none"/>
          <w:lang w:eastAsia="zh-CN"/>
        </w:rPr>
        <w:t>项目</w:t>
      </w:r>
      <w:r>
        <w:rPr>
          <w:rFonts w:hint="eastAsia" w:ascii="宋体" w:hAnsi="宋体" w:eastAsia="宋体" w:cs="Times New Roman"/>
          <w:color w:val="auto"/>
          <w:sz w:val="24"/>
          <w:szCs w:val="24"/>
          <w:highlight w:val="none"/>
        </w:rPr>
        <w:t>有关的安全措施。针对有可能发生火灾、爆炸、触电、高空坠落、中毒、窒息、机械伤害、烧烫伤等危险或引起严重设备事故的施工，投标方应事先向招标方详细了解情况，并制定施工安全技术措施，经招标方确认后实施。针对高空作业、交叉、动火等特殊作业，必须制定并落实针对性的安全防范保护措施，确保人身、设备、施工机械的安全。投标方还应落实好保证消防安全的措施，施工时注意留出安全消防通道，不得妨碍交通</w:t>
      </w:r>
      <w:r>
        <w:rPr>
          <w:rFonts w:hint="eastAsia" w:ascii="宋体" w:hAnsi="宋体" w:cs="Times New Roman"/>
          <w:color w:val="auto"/>
          <w:sz w:val="24"/>
          <w:szCs w:val="24"/>
          <w:highlight w:val="none"/>
          <w:lang w:eastAsia="zh-CN"/>
        </w:rPr>
        <w:t>、</w:t>
      </w:r>
      <w:r>
        <w:rPr>
          <w:rFonts w:hint="eastAsia" w:ascii="宋体" w:hAnsi="宋体" w:cs="Times New Roman"/>
          <w:color w:val="auto"/>
          <w:sz w:val="24"/>
          <w:szCs w:val="24"/>
          <w:highlight w:val="none"/>
          <w:lang w:val="en-US" w:eastAsia="zh-CN"/>
        </w:rPr>
        <w:t>通行</w:t>
      </w:r>
      <w:r>
        <w:rPr>
          <w:rFonts w:hint="eastAsia" w:ascii="宋体" w:hAnsi="宋体" w:eastAsia="宋体" w:cs="Times New Roman"/>
          <w:color w:val="auto"/>
          <w:sz w:val="24"/>
          <w:szCs w:val="24"/>
          <w:highlight w:val="none"/>
        </w:rPr>
        <w:t>。作业人员在作业区域内必须遵守招标方安全管理的有关规定和制度，佩好胸卡，戴好安全帽等个人安全器具，不准进入与作业无关的区域，并随时接受招标方的项目负责人的工作指导和安监人员现场的安全监督。</w:t>
      </w:r>
    </w:p>
    <w:p w14:paraId="3622FFB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 xml:space="preserve">9.5 </w:t>
      </w:r>
      <w:r>
        <w:rPr>
          <w:rFonts w:hint="eastAsia" w:ascii="宋体" w:hAnsi="宋体" w:eastAsia="宋体" w:cs="Times New Roman"/>
          <w:color w:val="auto"/>
          <w:sz w:val="24"/>
          <w:szCs w:val="24"/>
          <w:highlight w:val="none"/>
        </w:rPr>
        <w:t>投标方</w:t>
      </w:r>
      <w:r>
        <w:rPr>
          <w:rFonts w:hint="eastAsia" w:ascii="宋体" w:hAnsi="宋体" w:cs="Times New Roman"/>
          <w:color w:val="auto"/>
          <w:sz w:val="24"/>
          <w:szCs w:val="24"/>
          <w:highlight w:val="none"/>
          <w:lang w:eastAsia="zh-CN"/>
        </w:rPr>
        <w:t>项目负责人</w:t>
      </w:r>
      <w:r>
        <w:rPr>
          <w:rFonts w:hint="eastAsia" w:ascii="宋体" w:hAnsi="宋体" w:eastAsia="宋体" w:cs="Times New Roman"/>
          <w:color w:val="auto"/>
          <w:sz w:val="24"/>
          <w:szCs w:val="24"/>
          <w:highlight w:val="none"/>
        </w:rPr>
        <w:t>是本</w:t>
      </w:r>
      <w:r>
        <w:rPr>
          <w:rFonts w:hint="eastAsia" w:ascii="宋体" w:hAnsi="宋体" w:cs="Times New Roman"/>
          <w:color w:val="auto"/>
          <w:sz w:val="24"/>
          <w:szCs w:val="24"/>
          <w:highlight w:val="none"/>
          <w:lang w:val="en-US" w:eastAsia="zh-CN"/>
        </w:rPr>
        <w:t>项目</w:t>
      </w:r>
      <w:r>
        <w:rPr>
          <w:rFonts w:hint="eastAsia" w:ascii="宋体" w:hAnsi="宋体" w:eastAsia="宋体" w:cs="Times New Roman"/>
          <w:color w:val="auto"/>
          <w:sz w:val="24"/>
          <w:szCs w:val="24"/>
          <w:highlight w:val="none"/>
        </w:rPr>
        <w:t>的安全工作的第一责任人，对本</w:t>
      </w:r>
      <w:r>
        <w:rPr>
          <w:rFonts w:hint="eastAsia" w:ascii="宋体" w:hAnsi="宋体" w:cs="Times New Roman"/>
          <w:color w:val="auto"/>
          <w:sz w:val="24"/>
          <w:szCs w:val="24"/>
          <w:highlight w:val="none"/>
          <w:lang w:val="en-US" w:eastAsia="zh-CN"/>
        </w:rPr>
        <w:t>项目</w:t>
      </w:r>
      <w:r>
        <w:rPr>
          <w:rFonts w:hint="eastAsia" w:ascii="宋体" w:hAnsi="宋体" w:eastAsia="宋体" w:cs="Times New Roman"/>
          <w:color w:val="auto"/>
          <w:sz w:val="24"/>
          <w:szCs w:val="24"/>
          <w:highlight w:val="none"/>
        </w:rPr>
        <w:t>工作期间所有施工项目的实施过程中涉及的安全负责，以及施工现场、施工过程中的安全负责。投标方参加施工的特种作业人员和特种设备作业人员必须具备政府主管部门（车间）颁发的有效证书或证明，提交招标方审核、备案。</w:t>
      </w:r>
    </w:p>
    <w:p w14:paraId="050A708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9.6 投标方负责对本单位施工人员进行安全生产教育和安全考试，考试合格后方可参与项目相关工作。安全教育培训应形成书面记录，并由本人签名确认。未经安全生产教育以及培训考核不合格的工作人员，不得上岗作业。受教育人员的名单和考试成绩必须报招标方安全环保部备案，凡增补或调换人员，更换工种，必须及时进行安全教育和考试，考试成绩报招标方安全环保部备案。未接受安全教育和安全考试不合格者不得进入现场施工。</w:t>
      </w:r>
    </w:p>
    <w:p w14:paraId="262FAF7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9.7 投标方应接受招标方的监督、检查和指导。对于招标方查出的隐患及问题，投标方必须限期整改。当招标方认为确实有必要暂停施工，并提出要求投标方暂停施工意见后，投标方应当按招标方要求停止施工。投标方实施处理意见后，以书面形式向招标方提出复工要求。在招标方组织验收并签字同意后，投标方重新施工。对招标方违反安全生产规定、制度的要求，投标方有权拒绝执行，有权要求招标方改进。</w:t>
      </w:r>
    </w:p>
    <w:p w14:paraId="0C89ED6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default"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9.8 各种安全防护设施如：遮栏、安全标志牌、警告牌、接地线、脚手架结构等不得擅自拆除、变更。如确实需要拆除、变更的，必须经招标方项目主管部门负责人和上述安全设施、标志设置单位（人员）同意，采取必要、可靠的安全措施后，方能拆除、变更现场安全防护设施。投标方因施工需要设置的安全防护设施、安全标志牌，其他人员不得擅自拆除，投方在项目完成后应及时拆除，不得无故延误。</w:t>
      </w:r>
    </w:p>
    <w:p w14:paraId="72A58A3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 xml:space="preserve">9.9 </w:t>
      </w:r>
      <w:r>
        <w:rPr>
          <w:rFonts w:hint="eastAsia" w:ascii="宋体" w:hAnsi="宋体" w:cs="Times New Roman"/>
          <w:color w:val="auto"/>
          <w:sz w:val="24"/>
          <w:szCs w:val="24"/>
          <w:highlight w:val="none"/>
          <w:lang w:eastAsia="zh-CN"/>
        </w:rPr>
        <w:t>招标方</w:t>
      </w:r>
      <w:r>
        <w:rPr>
          <w:rFonts w:hint="eastAsia" w:ascii="宋体" w:hAnsi="宋体" w:eastAsia="宋体" w:cs="Times New Roman"/>
          <w:color w:val="auto"/>
          <w:sz w:val="24"/>
          <w:szCs w:val="24"/>
          <w:highlight w:val="none"/>
        </w:rPr>
        <w:t>已经将水、电源提供到检修区就近的地方，</w:t>
      </w:r>
      <w:r>
        <w:rPr>
          <w:rFonts w:hint="eastAsia" w:ascii="宋体" w:hAnsi="宋体" w:cs="Times New Roman"/>
          <w:color w:val="auto"/>
          <w:sz w:val="24"/>
          <w:szCs w:val="24"/>
          <w:highlight w:val="none"/>
          <w:lang w:eastAsia="zh-CN"/>
        </w:rPr>
        <w:t>投标方</w:t>
      </w:r>
      <w:r>
        <w:rPr>
          <w:rFonts w:hint="eastAsia" w:ascii="宋体" w:hAnsi="宋体" w:eastAsia="宋体" w:cs="Times New Roman"/>
          <w:color w:val="auto"/>
          <w:sz w:val="24"/>
          <w:szCs w:val="24"/>
          <w:highlight w:val="none"/>
        </w:rPr>
        <w:t>必须按照国家有关规范、安全的要求自行连接到使用地点，并负责水、电线路及装置日常维护和管理。</w:t>
      </w:r>
    </w:p>
    <w:p w14:paraId="21AD945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 xml:space="preserve">9.10 </w:t>
      </w:r>
      <w:r>
        <w:rPr>
          <w:rFonts w:hint="eastAsia" w:ascii="宋体" w:hAnsi="宋体" w:cs="Times New Roman"/>
          <w:color w:val="auto"/>
          <w:sz w:val="24"/>
          <w:szCs w:val="24"/>
          <w:highlight w:val="none"/>
          <w:lang w:eastAsia="zh-CN"/>
        </w:rPr>
        <w:t>投标方</w:t>
      </w:r>
      <w:r>
        <w:rPr>
          <w:rFonts w:hint="eastAsia" w:ascii="宋体" w:hAnsi="宋体" w:eastAsia="宋体" w:cs="Times New Roman"/>
          <w:color w:val="auto"/>
          <w:sz w:val="24"/>
          <w:szCs w:val="24"/>
          <w:highlight w:val="none"/>
        </w:rPr>
        <w:t>必须按国家颁布的安全规范及要求进行施工。</w:t>
      </w:r>
    </w:p>
    <w:p w14:paraId="02047318">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 xml:space="preserve">9.11 </w:t>
      </w:r>
      <w:r>
        <w:rPr>
          <w:rFonts w:hint="eastAsia" w:ascii="宋体" w:hAnsi="宋体" w:cs="Times New Roman"/>
          <w:color w:val="auto"/>
          <w:sz w:val="24"/>
          <w:szCs w:val="24"/>
          <w:highlight w:val="none"/>
          <w:lang w:eastAsia="zh-CN"/>
        </w:rPr>
        <w:t>投标方</w:t>
      </w:r>
      <w:r>
        <w:rPr>
          <w:rFonts w:hint="eastAsia" w:ascii="宋体" w:hAnsi="宋体" w:eastAsia="宋体" w:cs="Times New Roman"/>
          <w:color w:val="auto"/>
          <w:sz w:val="24"/>
          <w:szCs w:val="24"/>
          <w:highlight w:val="none"/>
        </w:rPr>
        <w:t>在规定的施工场地内施工，不得随意占用厂内的主干道。施工的临时设施，各类加工场地及堆棚、用电、用水，要符合安全要求，要有管理制度。各类施工机具堆放整齐，要设有安全及文明安装的标牌。</w:t>
      </w:r>
    </w:p>
    <w:p w14:paraId="76E6201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 xml:space="preserve">9.12 </w:t>
      </w:r>
      <w:r>
        <w:rPr>
          <w:rFonts w:hint="eastAsia" w:ascii="宋体" w:hAnsi="宋体" w:eastAsia="宋体" w:cs="Times New Roman"/>
          <w:color w:val="auto"/>
          <w:sz w:val="24"/>
          <w:szCs w:val="24"/>
          <w:highlight w:val="none"/>
        </w:rPr>
        <w:t>保证安装现场清洁整齐，材料分类堆码整齐，施工剩余物资、边角余料、垃圾等均由</w:t>
      </w:r>
      <w:r>
        <w:rPr>
          <w:rFonts w:hint="eastAsia" w:ascii="宋体" w:hAnsi="宋体" w:cs="Times New Roman"/>
          <w:color w:val="auto"/>
          <w:sz w:val="24"/>
          <w:szCs w:val="24"/>
          <w:highlight w:val="none"/>
          <w:lang w:eastAsia="zh-CN"/>
        </w:rPr>
        <w:t>投标方</w:t>
      </w:r>
      <w:r>
        <w:rPr>
          <w:rFonts w:hint="eastAsia" w:ascii="宋体" w:hAnsi="宋体" w:eastAsia="宋体" w:cs="Times New Roman"/>
          <w:color w:val="auto"/>
          <w:sz w:val="24"/>
          <w:szCs w:val="24"/>
          <w:highlight w:val="none"/>
        </w:rPr>
        <w:t>收集并运到</w:t>
      </w:r>
      <w:r>
        <w:rPr>
          <w:rFonts w:hint="eastAsia" w:ascii="宋体" w:hAnsi="宋体" w:cs="Times New Roman"/>
          <w:color w:val="auto"/>
          <w:sz w:val="24"/>
          <w:szCs w:val="24"/>
          <w:highlight w:val="none"/>
          <w:lang w:eastAsia="zh-CN"/>
        </w:rPr>
        <w:t>招标方</w:t>
      </w:r>
      <w:r>
        <w:rPr>
          <w:rFonts w:hint="eastAsia" w:ascii="宋体" w:hAnsi="宋体" w:eastAsia="宋体" w:cs="Times New Roman"/>
          <w:color w:val="auto"/>
          <w:sz w:val="24"/>
          <w:szCs w:val="24"/>
          <w:highlight w:val="none"/>
        </w:rPr>
        <w:t>指定地点，并不得增加任何费用。</w:t>
      </w:r>
    </w:p>
    <w:p w14:paraId="6F39FDB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 xml:space="preserve">9.13 </w:t>
      </w:r>
      <w:r>
        <w:rPr>
          <w:rFonts w:hint="eastAsia" w:ascii="宋体" w:hAnsi="宋体" w:cs="Times New Roman"/>
          <w:color w:val="auto"/>
          <w:sz w:val="24"/>
          <w:szCs w:val="24"/>
          <w:highlight w:val="none"/>
          <w:lang w:eastAsia="zh-CN"/>
        </w:rPr>
        <w:t>投标方</w:t>
      </w:r>
      <w:r>
        <w:rPr>
          <w:rFonts w:hint="eastAsia" w:ascii="宋体" w:hAnsi="宋体" w:eastAsia="宋体" w:cs="Times New Roman"/>
          <w:color w:val="auto"/>
          <w:sz w:val="24"/>
          <w:szCs w:val="24"/>
          <w:highlight w:val="none"/>
        </w:rPr>
        <w:t>负责施工区域的安全、保卫工作及施工照明，采取有效措施确保施工安全，杜绝重大人身伤亡及设备事故。如因</w:t>
      </w:r>
      <w:r>
        <w:rPr>
          <w:rFonts w:hint="eastAsia" w:ascii="宋体" w:hAnsi="宋体" w:cs="Times New Roman"/>
          <w:color w:val="auto"/>
          <w:sz w:val="24"/>
          <w:szCs w:val="24"/>
          <w:highlight w:val="none"/>
          <w:lang w:eastAsia="zh-CN"/>
        </w:rPr>
        <w:t>投标方</w:t>
      </w:r>
      <w:r>
        <w:rPr>
          <w:rFonts w:hint="eastAsia" w:ascii="宋体" w:hAnsi="宋体" w:eastAsia="宋体" w:cs="Times New Roman"/>
          <w:color w:val="auto"/>
          <w:sz w:val="24"/>
          <w:szCs w:val="24"/>
          <w:highlight w:val="none"/>
        </w:rPr>
        <w:t>安全措施不到位而发生责任事故，全部损失由</w:t>
      </w:r>
      <w:r>
        <w:rPr>
          <w:rFonts w:hint="eastAsia" w:ascii="宋体" w:hAnsi="宋体" w:cs="Times New Roman"/>
          <w:color w:val="auto"/>
          <w:sz w:val="24"/>
          <w:szCs w:val="24"/>
          <w:highlight w:val="none"/>
          <w:lang w:eastAsia="zh-CN"/>
        </w:rPr>
        <w:t>投标方</w:t>
      </w:r>
      <w:r>
        <w:rPr>
          <w:rFonts w:hint="eastAsia" w:ascii="宋体" w:hAnsi="宋体" w:eastAsia="宋体" w:cs="Times New Roman"/>
          <w:color w:val="auto"/>
          <w:sz w:val="24"/>
          <w:szCs w:val="24"/>
          <w:highlight w:val="none"/>
        </w:rPr>
        <w:t>承担。</w:t>
      </w:r>
    </w:p>
    <w:p w14:paraId="7551C5B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 xml:space="preserve">9.14 </w:t>
      </w:r>
      <w:r>
        <w:rPr>
          <w:rFonts w:hint="eastAsia" w:ascii="宋体" w:hAnsi="宋体" w:cs="Times New Roman"/>
          <w:color w:val="auto"/>
          <w:sz w:val="24"/>
          <w:szCs w:val="24"/>
          <w:highlight w:val="none"/>
          <w:lang w:eastAsia="zh-CN"/>
        </w:rPr>
        <w:t>投标方</w:t>
      </w:r>
      <w:r>
        <w:rPr>
          <w:rFonts w:hint="eastAsia" w:ascii="宋体" w:hAnsi="宋体" w:eastAsia="宋体" w:cs="Times New Roman"/>
          <w:color w:val="auto"/>
          <w:sz w:val="24"/>
          <w:szCs w:val="24"/>
          <w:highlight w:val="none"/>
        </w:rPr>
        <w:t>必须具备安装所需的各类规范、国家标准，各类有关的技术标准等技术资料，</w:t>
      </w:r>
      <w:r>
        <w:rPr>
          <w:rFonts w:hint="eastAsia" w:ascii="宋体" w:hAnsi="宋体" w:cs="Times New Roman"/>
          <w:color w:val="auto"/>
          <w:sz w:val="24"/>
          <w:szCs w:val="24"/>
          <w:highlight w:val="none"/>
          <w:lang w:eastAsia="zh-CN"/>
        </w:rPr>
        <w:t>招标方</w:t>
      </w:r>
      <w:r>
        <w:rPr>
          <w:rFonts w:hint="eastAsia" w:ascii="宋体" w:hAnsi="宋体" w:eastAsia="宋体" w:cs="Times New Roman"/>
          <w:color w:val="auto"/>
          <w:sz w:val="24"/>
          <w:szCs w:val="24"/>
          <w:highlight w:val="none"/>
        </w:rPr>
        <w:t>认为有必要时，必须无条件提供。</w:t>
      </w:r>
    </w:p>
    <w:p w14:paraId="16A19D5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Times New Roman"/>
          <w:color w:val="auto"/>
          <w:sz w:val="24"/>
          <w:szCs w:val="24"/>
          <w:highlight w:val="none"/>
        </w:rPr>
      </w:pPr>
      <w:r>
        <w:rPr>
          <w:rFonts w:hint="eastAsia" w:ascii="宋体" w:hAnsi="宋体" w:cs="Times New Roman"/>
          <w:color w:val="auto"/>
          <w:sz w:val="24"/>
          <w:szCs w:val="24"/>
          <w:highlight w:val="none"/>
          <w:lang w:val="en-US" w:eastAsia="zh-CN"/>
        </w:rPr>
        <w:t xml:space="preserve">9.15 </w:t>
      </w:r>
      <w:r>
        <w:rPr>
          <w:rFonts w:hint="eastAsia" w:ascii="宋体" w:hAnsi="宋体" w:cs="Times New Roman"/>
          <w:color w:val="auto"/>
          <w:sz w:val="24"/>
          <w:szCs w:val="24"/>
          <w:highlight w:val="none"/>
          <w:lang w:eastAsia="zh-CN"/>
        </w:rPr>
        <w:t>投标方</w:t>
      </w:r>
      <w:r>
        <w:rPr>
          <w:rFonts w:hint="eastAsia" w:ascii="宋体" w:hAnsi="宋体" w:eastAsia="宋体" w:cs="Times New Roman"/>
          <w:color w:val="auto"/>
          <w:sz w:val="24"/>
          <w:szCs w:val="24"/>
          <w:highlight w:val="none"/>
        </w:rPr>
        <w:t>必须在合同意向确认后，立即组织有关施工人员进驻现场，向</w:t>
      </w:r>
      <w:r>
        <w:rPr>
          <w:rFonts w:hint="eastAsia" w:ascii="宋体" w:hAnsi="宋体" w:cs="Times New Roman"/>
          <w:color w:val="auto"/>
          <w:sz w:val="24"/>
          <w:szCs w:val="24"/>
          <w:highlight w:val="none"/>
          <w:lang w:eastAsia="zh-CN"/>
        </w:rPr>
        <w:t>招标方</w:t>
      </w:r>
      <w:r>
        <w:rPr>
          <w:rFonts w:hint="eastAsia" w:ascii="宋体" w:hAnsi="宋体" w:eastAsia="宋体" w:cs="Times New Roman"/>
          <w:color w:val="auto"/>
          <w:sz w:val="24"/>
          <w:szCs w:val="24"/>
          <w:highlight w:val="none"/>
        </w:rPr>
        <w:t>提供开工报告、组织施工方案、安全承诺书、质量保证措施，及各项施工准备（机具和人员）。</w:t>
      </w:r>
    </w:p>
    <w:p w14:paraId="66DB560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9.16 项目</w:t>
      </w:r>
      <w:r>
        <w:rPr>
          <w:rFonts w:hint="eastAsia" w:ascii="宋体" w:hAnsi="宋体" w:eastAsia="宋体" w:cs="宋体"/>
          <w:color w:val="auto"/>
          <w:sz w:val="24"/>
          <w:szCs w:val="24"/>
          <w:highlight w:val="none"/>
        </w:rPr>
        <w:t>开工后，</w:t>
      </w:r>
      <w:r>
        <w:rPr>
          <w:rFonts w:hint="eastAsia" w:ascii="宋体" w:hAnsi="宋体" w:cs="宋体"/>
          <w:color w:val="auto"/>
          <w:sz w:val="24"/>
          <w:szCs w:val="24"/>
          <w:highlight w:val="none"/>
          <w:lang w:eastAsia="zh-CN"/>
        </w:rPr>
        <w:t>投标方</w:t>
      </w:r>
      <w:r>
        <w:rPr>
          <w:rFonts w:hint="eastAsia" w:ascii="宋体" w:hAnsi="宋体" w:eastAsia="宋体" w:cs="宋体"/>
          <w:color w:val="auto"/>
          <w:sz w:val="24"/>
          <w:szCs w:val="24"/>
          <w:highlight w:val="none"/>
        </w:rPr>
        <w:t>要与</w:t>
      </w:r>
      <w:r>
        <w:rPr>
          <w:rFonts w:hint="eastAsia" w:ascii="宋体" w:hAnsi="宋体" w:cs="宋体"/>
          <w:color w:val="auto"/>
          <w:sz w:val="24"/>
          <w:szCs w:val="24"/>
          <w:highlight w:val="none"/>
          <w:lang w:eastAsia="zh-CN"/>
        </w:rPr>
        <w:t>招标方</w:t>
      </w:r>
      <w:r>
        <w:rPr>
          <w:rFonts w:hint="eastAsia" w:ascii="宋体" w:hAnsi="宋体" w:eastAsia="宋体" w:cs="宋体"/>
          <w:color w:val="auto"/>
          <w:sz w:val="24"/>
          <w:szCs w:val="24"/>
          <w:highlight w:val="none"/>
        </w:rPr>
        <w:t>单位密切配合，为施工创造条件；施工交叉作业时，要服从</w:t>
      </w:r>
      <w:r>
        <w:rPr>
          <w:rFonts w:hint="eastAsia" w:ascii="宋体" w:hAnsi="宋体" w:cs="宋体"/>
          <w:color w:val="auto"/>
          <w:sz w:val="24"/>
          <w:szCs w:val="24"/>
          <w:highlight w:val="none"/>
          <w:lang w:eastAsia="zh-CN"/>
        </w:rPr>
        <w:t>招标方</w:t>
      </w:r>
      <w:r>
        <w:rPr>
          <w:rFonts w:hint="eastAsia" w:ascii="宋体" w:hAnsi="宋体" w:eastAsia="宋体" w:cs="宋体"/>
          <w:color w:val="auto"/>
          <w:sz w:val="24"/>
          <w:szCs w:val="24"/>
          <w:highlight w:val="none"/>
        </w:rPr>
        <w:t>的统一协调安排。</w:t>
      </w:r>
    </w:p>
    <w:p w14:paraId="5844F62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 xml:space="preserve">9.17 </w:t>
      </w:r>
      <w:r>
        <w:rPr>
          <w:rFonts w:hint="eastAsia" w:ascii="宋体" w:hAnsi="宋体" w:eastAsia="宋体" w:cs="宋体"/>
          <w:color w:val="auto"/>
          <w:sz w:val="24"/>
          <w:szCs w:val="24"/>
          <w:highlight w:val="none"/>
        </w:rPr>
        <w:t>全体施工工作人员必须严格遵守施工</w:t>
      </w:r>
      <w:r>
        <w:rPr>
          <w:rFonts w:hint="eastAsia" w:ascii="宋体" w:hAnsi="宋体" w:cs="宋体"/>
          <w:color w:val="auto"/>
          <w:sz w:val="24"/>
          <w:szCs w:val="24"/>
          <w:highlight w:val="none"/>
          <w:lang w:eastAsia="zh-CN"/>
        </w:rPr>
        <w:t>项目</w:t>
      </w:r>
      <w:r>
        <w:rPr>
          <w:rFonts w:hint="eastAsia" w:ascii="宋体" w:hAnsi="宋体" w:eastAsia="宋体" w:cs="宋体"/>
          <w:color w:val="auto"/>
          <w:sz w:val="24"/>
          <w:szCs w:val="24"/>
          <w:highlight w:val="none"/>
        </w:rPr>
        <w:t>所在地的有关规定，由于违反规定而发生的一切后果由</w:t>
      </w:r>
      <w:r>
        <w:rPr>
          <w:rFonts w:hint="eastAsia" w:ascii="宋体" w:hAnsi="宋体" w:cs="宋体"/>
          <w:color w:val="auto"/>
          <w:sz w:val="24"/>
          <w:szCs w:val="24"/>
          <w:highlight w:val="none"/>
          <w:lang w:eastAsia="zh-CN"/>
        </w:rPr>
        <w:t>投标方</w:t>
      </w:r>
      <w:r>
        <w:rPr>
          <w:rFonts w:hint="eastAsia" w:ascii="宋体" w:hAnsi="宋体" w:eastAsia="宋体" w:cs="宋体"/>
          <w:color w:val="auto"/>
          <w:sz w:val="24"/>
          <w:szCs w:val="24"/>
          <w:highlight w:val="none"/>
        </w:rPr>
        <w:t>自负。</w:t>
      </w:r>
    </w:p>
    <w:p w14:paraId="098F861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zh-CN"/>
        </w:rPr>
      </w:pPr>
      <w:bookmarkStart w:id="12" w:name="_Toc80271054"/>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由于招标方原因造成投标方人身或设备事故，投标方负责处理，招标方承担责任并配合处理。</w:t>
      </w:r>
    </w:p>
    <w:p w14:paraId="3AC88DA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19</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在检修过程中出现的被更换下来的任何废旧设备、配件和装置性材料均为招标方所有，应妥善保护并及时向招标方移交被更换下来的设备或材料。应每天对施工现场的废物、垃圾进行</w:t>
      </w:r>
      <w:r>
        <w:rPr>
          <w:rFonts w:hint="eastAsia" w:ascii="宋体" w:hAnsi="宋体" w:eastAsia="宋体" w:cs="宋体"/>
          <w:color w:val="auto"/>
          <w:sz w:val="24"/>
          <w:szCs w:val="24"/>
          <w:highlight w:val="none"/>
          <w:lang w:val="zh-CN" w:eastAsia="zh-CN"/>
        </w:rPr>
        <w:t>一次清理，并将其集中堆放在招标方同意的地点。</w:t>
      </w:r>
    </w:p>
    <w:p w14:paraId="5CF8136C">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color w:val="auto"/>
          <w:sz w:val="28"/>
          <w:szCs w:val="13"/>
          <w:highlight w:val="none"/>
          <w:lang w:val="en-US" w:eastAsia="zh-CN"/>
        </w:rPr>
      </w:pPr>
      <w:bookmarkStart w:id="13" w:name="_Toc141011861"/>
      <w:r>
        <w:rPr>
          <w:rFonts w:hint="eastAsia"/>
          <w:color w:val="auto"/>
          <w:sz w:val="28"/>
          <w:szCs w:val="13"/>
          <w:highlight w:val="none"/>
          <w:lang w:val="en-US" w:eastAsia="zh-CN"/>
        </w:rPr>
        <w:t>10 考核</w:t>
      </w:r>
      <w:bookmarkEnd w:id="13"/>
    </w:p>
    <w:p w14:paraId="1689F9A1">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b w:val="0"/>
          <w:bCs/>
          <w:color w:val="auto"/>
          <w:sz w:val="28"/>
          <w:szCs w:val="13"/>
          <w:highlight w:val="none"/>
          <w:lang w:val="en-US" w:eastAsia="zh-CN"/>
        </w:rPr>
      </w:pPr>
      <w:bookmarkStart w:id="14" w:name="_Toc141011862"/>
      <w:r>
        <w:rPr>
          <w:rFonts w:hint="eastAsia"/>
          <w:b w:val="0"/>
          <w:bCs/>
          <w:color w:val="auto"/>
          <w:sz w:val="28"/>
          <w:szCs w:val="13"/>
          <w:highlight w:val="none"/>
          <w:lang w:val="en-US" w:eastAsia="zh-CN"/>
        </w:rPr>
        <w:t>10.1 范 围</w:t>
      </w:r>
    </w:p>
    <w:p w14:paraId="239367C9">
      <w:pPr>
        <w:pStyle w:val="2"/>
        <w:keepNext/>
        <w:keepLines/>
        <w:pageBreakBefore w:val="0"/>
        <w:widowControl w:val="0"/>
        <w:kinsoku w:val="0"/>
        <w:wordWrap/>
        <w:overflowPunct/>
        <w:topLinePunct w:val="0"/>
        <w:autoSpaceDE/>
        <w:autoSpaceDN/>
        <w:bidi w:val="0"/>
        <w:adjustRightInd w:val="0"/>
        <w:snapToGrid w:val="0"/>
        <w:ind w:firstLine="560" w:firstLineChars="200"/>
        <w:jc w:val="left"/>
        <w:textAlignment w:val="auto"/>
        <w:rPr>
          <w:rFonts w:hint="eastAsia"/>
          <w:b w:val="0"/>
          <w:bCs/>
          <w:color w:val="auto"/>
          <w:sz w:val="28"/>
          <w:szCs w:val="13"/>
          <w:highlight w:val="none"/>
          <w:lang w:val="en-US" w:eastAsia="zh-CN"/>
        </w:rPr>
      </w:pPr>
      <w:r>
        <w:rPr>
          <w:rFonts w:hint="eastAsia"/>
          <w:b w:val="0"/>
          <w:bCs/>
          <w:color w:val="auto"/>
          <w:sz w:val="28"/>
          <w:szCs w:val="13"/>
          <w:highlight w:val="none"/>
          <w:lang w:val="en-US" w:eastAsia="zh-CN"/>
        </w:rPr>
        <w:t>本办法规定了对设备维保工程项目的管理考核、维修质量与可靠性、进度、文明生产等考核及奖励办法详见附件13：《考核标准及奖励标准》。</w:t>
      </w:r>
    </w:p>
    <w:p w14:paraId="2EC0ECAC">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color w:val="auto"/>
          <w:sz w:val="28"/>
          <w:szCs w:val="13"/>
          <w:highlight w:val="none"/>
          <w:lang w:val="en-US" w:eastAsia="zh-CN"/>
        </w:rPr>
      </w:pPr>
      <w:r>
        <w:rPr>
          <w:rFonts w:hint="eastAsia"/>
          <w:color w:val="auto"/>
          <w:sz w:val="28"/>
          <w:szCs w:val="13"/>
          <w:highlight w:val="none"/>
          <w:lang w:val="en-US" w:eastAsia="zh-CN"/>
        </w:rPr>
        <w:t>11 附则</w:t>
      </w:r>
    </w:p>
    <w:p w14:paraId="4B18A851">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b w:val="0"/>
          <w:bCs/>
          <w:color w:val="auto"/>
          <w:sz w:val="28"/>
          <w:szCs w:val="13"/>
          <w:highlight w:val="none"/>
          <w:lang w:val="en-US" w:eastAsia="zh-CN"/>
        </w:rPr>
      </w:pPr>
      <w:r>
        <w:rPr>
          <w:rFonts w:hint="eastAsia"/>
          <w:b w:val="0"/>
          <w:bCs/>
          <w:color w:val="auto"/>
          <w:sz w:val="28"/>
          <w:szCs w:val="13"/>
          <w:highlight w:val="none"/>
          <w:lang w:val="en-US" w:eastAsia="zh-CN"/>
        </w:rPr>
        <w:t>11.1 本办法是合同协议书的附件，作为合同的构成部分。附件中的维护质量与可靠性、维护作业安全考核项目中的相关工作，虽经（或未经）招标方管理人员的验收，均不能免除投标方的相关责任。</w:t>
      </w:r>
    </w:p>
    <w:p w14:paraId="6B883897">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b w:val="0"/>
          <w:bCs/>
          <w:color w:val="auto"/>
          <w:sz w:val="28"/>
          <w:szCs w:val="13"/>
          <w:highlight w:val="none"/>
          <w:lang w:val="en-US" w:eastAsia="zh-CN"/>
        </w:rPr>
      </w:pPr>
      <w:r>
        <w:rPr>
          <w:rFonts w:hint="eastAsia"/>
          <w:b w:val="0"/>
          <w:bCs/>
          <w:color w:val="auto"/>
          <w:sz w:val="28"/>
          <w:szCs w:val="13"/>
          <w:highlight w:val="none"/>
          <w:lang w:val="en-US" w:eastAsia="zh-CN"/>
        </w:rPr>
        <w:t>13.2 投标方应在投标之前就本办法的内容进行研究并考虑相关风险，在招标澄清时提请解释或提出相关的协商意见。一旦投标，将被认为已熟悉了本办法并双方同意，在执行时有关条款的度量权为招标方。</w:t>
      </w:r>
    </w:p>
    <w:p w14:paraId="12AC49D2">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color w:val="auto"/>
          <w:sz w:val="28"/>
          <w:szCs w:val="13"/>
          <w:highlight w:val="none"/>
          <w:lang w:val="en-US" w:eastAsia="zh-CN"/>
        </w:rPr>
      </w:pPr>
      <w:r>
        <w:rPr>
          <w:rFonts w:hint="eastAsia"/>
          <w:color w:val="auto"/>
          <w:sz w:val="28"/>
          <w:szCs w:val="13"/>
          <w:highlight w:val="none"/>
          <w:lang w:val="en-US" w:eastAsia="zh-CN"/>
        </w:rPr>
        <w:t>12 附录附表</w:t>
      </w:r>
      <w:bookmarkEnd w:id="14"/>
    </w:p>
    <w:p w14:paraId="6F90669F">
      <w:pPr>
        <w:snapToGrid w:val="0"/>
        <w:spacing w:line="360" w:lineRule="auto"/>
        <w:jc w:val="left"/>
        <w:rPr>
          <w:rStyle w:val="87"/>
          <w:rFonts w:ascii="黑体" w:hAnsi="黑体" w:eastAsia="黑体" w:cs="黑体"/>
          <w:bCs/>
          <w:color w:val="auto"/>
          <w:highlight w:val="none"/>
        </w:rPr>
      </w:pPr>
      <w:r>
        <w:rPr>
          <w:rStyle w:val="87"/>
          <w:rFonts w:hint="eastAsia" w:ascii="黑体" w:hAnsi="黑体" w:eastAsia="黑体" w:cs="黑体"/>
          <w:bCs/>
          <w:color w:val="auto"/>
          <w:highlight w:val="none"/>
        </w:rPr>
        <w:t>附录A  差异表</w:t>
      </w:r>
    </w:p>
    <w:p w14:paraId="42F7007C">
      <w:pPr>
        <w:snapToGrid w:val="0"/>
        <w:spacing w:line="360" w:lineRule="auto"/>
        <w:jc w:val="left"/>
        <w:rPr>
          <w:rStyle w:val="87"/>
          <w:rFonts w:ascii="黑体" w:hAnsi="黑体" w:eastAsia="黑体" w:cs="黑体"/>
          <w:bCs/>
          <w:color w:val="auto"/>
          <w:highlight w:val="none"/>
        </w:rPr>
      </w:pPr>
      <w:r>
        <w:rPr>
          <w:rStyle w:val="87"/>
          <w:rFonts w:hint="eastAsia" w:ascii="黑体" w:hAnsi="黑体" w:eastAsia="黑体" w:cs="黑体"/>
          <w:bCs/>
          <w:color w:val="auto"/>
          <w:highlight w:val="none"/>
        </w:rPr>
        <w:t>附录B  主要技术、管理人员情况表</w:t>
      </w:r>
    </w:p>
    <w:p w14:paraId="0F12FE6E">
      <w:pPr>
        <w:pStyle w:val="101"/>
        <w:snapToGrid w:val="0"/>
        <w:spacing w:before="0" w:after="0" w:line="360" w:lineRule="auto"/>
        <w:jc w:val="left"/>
        <w:rPr>
          <w:rStyle w:val="87"/>
          <w:rFonts w:ascii="黑体" w:hAnsi="黑体" w:eastAsia="黑体" w:cs="黑体"/>
          <w:b w:val="0"/>
          <w:bCs/>
          <w:color w:val="auto"/>
          <w:sz w:val="24"/>
          <w:highlight w:val="none"/>
        </w:rPr>
      </w:pPr>
      <w:r>
        <w:rPr>
          <w:rStyle w:val="87"/>
          <w:rFonts w:hint="eastAsia" w:ascii="黑体" w:hAnsi="黑体" w:eastAsia="黑体" w:cs="黑体"/>
          <w:b w:val="0"/>
          <w:bCs/>
          <w:color w:val="auto"/>
          <w:sz w:val="24"/>
          <w:highlight w:val="none"/>
        </w:rPr>
        <w:t>附表</w:t>
      </w:r>
      <w:r>
        <w:rPr>
          <w:rStyle w:val="87"/>
          <w:rFonts w:hint="eastAsia" w:ascii="黑体" w:hAnsi="黑体" w:eastAsia="黑体" w:cs="黑体"/>
          <w:b w:val="0"/>
          <w:bCs/>
          <w:color w:val="auto"/>
          <w:sz w:val="24"/>
          <w:highlight w:val="none"/>
          <w:lang w:val="en-US" w:eastAsia="zh-CN"/>
        </w:rPr>
        <w:t>1：</w:t>
      </w:r>
      <w:r>
        <w:rPr>
          <w:rStyle w:val="87"/>
          <w:rFonts w:hint="eastAsia" w:ascii="黑体" w:hAnsi="黑体" w:eastAsia="黑体" w:cs="黑体"/>
          <w:b w:val="0"/>
          <w:bCs/>
          <w:color w:val="auto"/>
          <w:sz w:val="24"/>
          <w:highlight w:val="none"/>
        </w:rPr>
        <w:t>测厚记录</w:t>
      </w:r>
    </w:p>
    <w:p w14:paraId="307A9D94">
      <w:pPr>
        <w:snapToGrid w:val="0"/>
        <w:spacing w:line="360" w:lineRule="auto"/>
        <w:jc w:val="left"/>
        <w:rPr>
          <w:rStyle w:val="87"/>
          <w:rFonts w:ascii="黑体" w:hAnsi="黑体" w:eastAsia="黑体" w:cs="黑体"/>
          <w:bCs/>
          <w:color w:val="auto"/>
          <w:highlight w:val="none"/>
        </w:rPr>
        <w:sectPr>
          <w:headerReference r:id="rId5" w:type="default"/>
          <w:footerReference r:id="rId6" w:type="default"/>
          <w:endnotePr>
            <w:numFmt w:val="decimal"/>
          </w:endnotePr>
          <w:pgSz w:w="11906" w:h="16838"/>
          <w:pgMar w:top="1418" w:right="1134" w:bottom="1134" w:left="1418" w:header="851" w:footer="641" w:gutter="0"/>
          <w:cols w:space="720" w:num="1"/>
          <w:docGrid w:linePitch="312" w:charSpace="0"/>
        </w:sectPr>
      </w:pPr>
    </w:p>
    <w:p w14:paraId="6A21A436">
      <w:pPr>
        <w:snapToGrid w:val="0"/>
        <w:spacing w:line="360" w:lineRule="auto"/>
        <w:jc w:val="left"/>
        <w:rPr>
          <w:rStyle w:val="87"/>
          <w:rFonts w:ascii="黑体" w:hAnsi="黑体" w:eastAsia="黑体" w:cs="黑体"/>
          <w:bCs/>
          <w:color w:val="auto"/>
          <w:highlight w:val="none"/>
        </w:rPr>
      </w:pPr>
      <w:r>
        <w:rPr>
          <w:rStyle w:val="87"/>
          <w:rFonts w:hint="eastAsia" w:ascii="黑体" w:hAnsi="黑体" w:eastAsia="黑体" w:cs="黑体"/>
          <w:bCs/>
          <w:color w:val="auto"/>
          <w:highlight w:val="none"/>
        </w:rPr>
        <w:t>附录A  差异表</w:t>
      </w:r>
    </w:p>
    <w:tbl>
      <w:tblPr>
        <w:tblStyle w:val="28"/>
        <w:tblW w:w="93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68"/>
        <w:gridCol w:w="1566"/>
        <w:gridCol w:w="2145"/>
        <w:gridCol w:w="1377"/>
        <w:gridCol w:w="3079"/>
      </w:tblGrid>
      <w:tr w14:paraId="469698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6B02894D">
            <w:pPr>
              <w:rPr>
                <w:color w:val="auto"/>
                <w:highlight w:val="none"/>
              </w:rPr>
            </w:pPr>
          </w:p>
        </w:tc>
        <w:tc>
          <w:tcPr>
            <w:tcW w:w="3711" w:type="dxa"/>
            <w:gridSpan w:val="2"/>
            <w:tcBorders>
              <w:top w:val="single" w:color="000000" w:sz="6" w:space="0"/>
              <w:left w:val="single" w:color="000000" w:sz="6" w:space="0"/>
              <w:bottom w:val="single" w:color="000000" w:sz="6" w:space="0"/>
              <w:right w:val="single" w:color="000000" w:sz="6" w:space="0"/>
            </w:tcBorders>
            <w:vAlign w:val="center"/>
          </w:tcPr>
          <w:p w14:paraId="17178C55">
            <w:pPr>
              <w:jc w:val="center"/>
              <w:rPr>
                <w:color w:val="auto"/>
                <w:highlight w:val="none"/>
              </w:rPr>
            </w:pPr>
            <w:r>
              <w:rPr>
                <w:rFonts w:hint="eastAsia"/>
                <w:color w:val="auto"/>
                <w:highlight w:val="none"/>
              </w:rPr>
              <w:t>技术规范书</w:t>
            </w:r>
          </w:p>
        </w:tc>
        <w:tc>
          <w:tcPr>
            <w:tcW w:w="4456" w:type="dxa"/>
            <w:gridSpan w:val="2"/>
            <w:tcBorders>
              <w:top w:val="single" w:color="000000" w:sz="6" w:space="0"/>
              <w:left w:val="single" w:color="000000" w:sz="6" w:space="0"/>
              <w:bottom w:val="single" w:color="000000" w:sz="6" w:space="0"/>
              <w:right w:val="single" w:color="000000" w:sz="6" w:space="0"/>
            </w:tcBorders>
            <w:vAlign w:val="center"/>
          </w:tcPr>
          <w:p w14:paraId="0410B4F3">
            <w:pPr>
              <w:jc w:val="center"/>
              <w:rPr>
                <w:color w:val="auto"/>
                <w:highlight w:val="none"/>
              </w:rPr>
            </w:pPr>
            <w:r>
              <w:rPr>
                <w:rFonts w:hint="eastAsia"/>
                <w:color w:val="auto"/>
                <w:highlight w:val="none"/>
              </w:rPr>
              <w:t>投标技术文件</w:t>
            </w:r>
          </w:p>
        </w:tc>
      </w:tr>
      <w:tr w14:paraId="5560B9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3EABCBD6">
            <w:pPr>
              <w:jc w:val="center"/>
              <w:rPr>
                <w:color w:val="auto"/>
                <w:highlight w:val="none"/>
              </w:rPr>
            </w:pPr>
            <w:r>
              <w:rPr>
                <w:rFonts w:hint="eastAsia"/>
                <w:color w:val="auto"/>
                <w:highlight w:val="none"/>
              </w:rPr>
              <w:t>序号</w:t>
            </w:r>
          </w:p>
        </w:tc>
        <w:tc>
          <w:tcPr>
            <w:tcW w:w="1566" w:type="dxa"/>
            <w:tcBorders>
              <w:top w:val="single" w:color="000000" w:sz="6" w:space="0"/>
              <w:left w:val="single" w:color="000000" w:sz="6" w:space="0"/>
              <w:bottom w:val="single" w:color="000000" w:sz="6" w:space="0"/>
              <w:right w:val="single" w:color="000000" w:sz="6" w:space="0"/>
            </w:tcBorders>
            <w:vAlign w:val="center"/>
          </w:tcPr>
          <w:p w14:paraId="621ECB33">
            <w:pPr>
              <w:jc w:val="center"/>
              <w:rPr>
                <w:color w:val="auto"/>
                <w:highlight w:val="none"/>
              </w:rPr>
            </w:pPr>
            <w:r>
              <w:rPr>
                <w:rFonts w:hint="eastAsia"/>
                <w:color w:val="auto"/>
                <w:highlight w:val="none"/>
              </w:rPr>
              <w:t>条目</w:t>
            </w:r>
          </w:p>
        </w:tc>
        <w:tc>
          <w:tcPr>
            <w:tcW w:w="2145" w:type="dxa"/>
            <w:tcBorders>
              <w:top w:val="single" w:color="000000" w:sz="6" w:space="0"/>
              <w:left w:val="single" w:color="000000" w:sz="6" w:space="0"/>
              <w:bottom w:val="single" w:color="000000" w:sz="6" w:space="0"/>
              <w:right w:val="single" w:color="000000" w:sz="6" w:space="0"/>
            </w:tcBorders>
            <w:vAlign w:val="center"/>
          </w:tcPr>
          <w:p w14:paraId="6AA6D3F7">
            <w:pPr>
              <w:jc w:val="center"/>
              <w:rPr>
                <w:color w:val="auto"/>
                <w:highlight w:val="none"/>
              </w:rPr>
            </w:pPr>
            <w:r>
              <w:rPr>
                <w:rFonts w:hint="eastAsia"/>
                <w:color w:val="auto"/>
                <w:highlight w:val="none"/>
              </w:rPr>
              <w:t>简要内容</w:t>
            </w:r>
          </w:p>
        </w:tc>
        <w:tc>
          <w:tcPr>
            <w:tcW w:w="1377" w:type="dxa"/>
            <w:tcBorders>
              <w:top w:val="single" w:color="000000" w:sz="6" w:space="0"/>
              <w:left w:val="single" w:color="000000" w:sz="6" w:space="0"/>
              <w:bottom w:val="single" w:color="000000" w:sz="6" w:space="0"/>
              <w:right w:val="single" w:color="000000" w:sz="6" w:space="0"/>
            </w:tcBorders>
            <w:vAlign w:val="center"/>
          </w:tcPr>
          <w:p w14:paraId="14346268">
            <w:pPr>
              <w:jc w:val="center"/>
              <w:rPr>
                <w:color w:val="auto"/>
                <w:highlight w:val="none"/>
              </w:rPr>
            </w:pPr>
            <w:r>
              <w:rPr>
                <w:rFonts w:hint="eastAsia"/>
                <w:color w:val="auto"/>
                <w:highlight w:val="none"/>
              </w:rPr>
              <w:t>条目</w:t>
            </w:r>
          </w:p>
        </w:tc>
        <w:tc>
          <w:tcPr>
            <w:tcW w:w="3079" w:type="dxa"/>
            <w:tcBorders>
              <w:top w:val="single" w:color="000000" w:sz="6" w:space="0"/>
              <w:left w:val="single" w:color="000000" w:sz="6" w:space="0"/>
              <w:bottom w:val="single" w:color="000000" w:sz="6" w:space="0"/>
              <w:right w:val="single" w:color="000000" w:sz="6" w:space="0"/>
            </w:tcBorders>
            <w:vAlign w:val="center"/>
          </w:tcPr>
          <w:p w14:paraId="5E6A5D2A">
            <w:pPr>
              <w:jc w:val="center"/>
              <w:rPr>
                <w:color w:val="auto"/>
                <w:highlight w:val="none"/>
              </w:rPr>
            </w:pPr>
            <w:r>
              <w:rPr>
                <w:rFonts w:hint="eastAsia"/>
                <w:color w:val="auto"/>
                <w:highlight w:val="none"/>
              </w:rPr>
              <w:t>简要内容</w:t>
            </w:r>
          </w:p>
        </w:tc>
      </w:tr>
      <w:tr w14:paraId="6FD97B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084D128A">
            <w:pPr>
              <w:snapToGrid w:val="0"/>
              <w:spacing w:line="360" w:lineRule="auto"/>
              <w:jc w:val="left"/>
              <w:rPr>
                <w:rStyle w:val="87"/>
                <w:rFonts w:ascii="宋体" w:hAnsi="宋体"/>
                <w:color w:val="auto"/>
                <w:sz w:val="21"/>
                <w:szCs w:val="21"/>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60457E0F">
            <w:pPr>
              <w:snapToGrid w:val="0"/>
              <w:spacing w:line="360" w:lineRule="auto"/>
              <w:jc w:val="left"/>
              <w:rPr>
                <w:rStyle w:val="87"/>
                <w:rFonts w:ascii="宋体" w:hAnsi="宋体"/>
                <w:color w:val="auto"/>
                <w:sz w:val="21"/>
                <w:szCs w:val="21"/>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1E2F4532">
            <w:pPr>
              <w:snapToGrid w:val="0"/>
              <w:spacing w:line="360" w:lineRule="auto"/>
              <w:jc w:val="left"/>
              <w:rPr>
                <w:rStyle w:val="87"/>
                <w:rFonts w:ascii="宋体" w:hAnsi="宋体"/>
                <w:color w:val="auto"/>
                <w:sz w:val="21"/>
                <w:szCs w:val="21"/>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3E7A3BD7">
            <w:pPr>
              <w:snapToGrid w:val="0"/>
              <w:spacing w:line="360" w:lineRule="auto"/>
              <w:jc w:val="left"/>
              <w:rPr>
                <w:rStyle w:val="87"/>
                <w:rFonts w:ascii="宋体" w:hAnsi="宋体"/>
                <w:color w:val="auto"/>
                <w:sz w:val="21"/>
                <w:szCs w:val="21"/>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09EB443C">
            <w:pPr>
              <w:snapToGrid w:val="0"/>
              <w:spacing w:line="360" w:lineRule="auto"/>
              <w:jc w:val="left"/>
              <w:rPr>
                <w:rStyle w:val="87"/>
                <w:rFonts w:ascii="宋体" w:hAnsi="宋体"/>
                <w:color w:val="auto"/>
                <w:sz w:val="21"/>
                <w:szCs w:val="21"/>
                <w:highlight w:val="none"/>
              </w:rPr>
            </w:pPr>
          </w:p>
        </w:tc>
      </w:tr>
      <w:tr w14:paraId="76BCA6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05CE094F">
            <w:pPr>
              <w:snapToGrid w:val="0"/>
              <w:spacing w:line="360" w:lineRule="auto"/>
              <w:jc w:val="left"/>
              <w:rPr>
                <w:rStyle w:val="87"/>
                <w:rFonts w:ascii="宋体" w:hAnsi="宋体"/>
                <w:color w:val="auto"/>
                <w:sz w:val="21"/>
                <w:szCs w:val="21"/>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7C7A7693">
            <w:pPr>
              <w:snapToGrid w:val="0"/>
              <w:spacing w:line="360" w:lineRule="auto"/>
              <w:jc w:val="left"/>
              <w:rPr>
                <w:rStyle w:val="87"/>
                <w:rFonts w:ascii="宋体" w:hAnsi="宋体"/>
                <w:color w:val="auto"/>
                <w:sz w:val="21"/>
                <w:szCs w:val="21"/>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76192560">
            <w:pPr>
              <w:snapToGrid w:val="0"/>
              <w:spacing w:line="360" w:lineRule="auto"/>
              <w:jc w:val="left"/>
              <w:rPr>
                <w:rStyle w:val="87"/>
                <w:rFonts w:ascii="宋体" w:hAnsi="宋体"/>
                <w:color w:val="auto"/>
                <w:sz w:val="21"/>
                <w:szCs w:val="21"/>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48B88D12">
            <w:pPr>
              <w:snapToGrid w:val="0"/>
              <w:spacing w:line="360" w:lineRule="auto"/>
              <w:jc w:val="left"/>
              <w:rPr>
                <w:rStyle w:val="87"/>
                <w:rFonts w:ascii="宋体" w:hAnsi="宋体"/>
                <w:color w:val="auto"/>
                <w:sz w:val="21"/>
                <w:szCs w:val="21"/>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24795DE3">
            <w:pPr>
              <w:snapToGrid w:val="0"/>
              <w:spacing w:line="360" w:lineRule="auto"/>
              <w:jc w:val="left"/>
              <w:rPr>
                <w:rStyle w:val="87"/>
                <w:rFonts w:ascii="宋体" w:hAnsi="宋体"/>
                <w:color w:val="auto"/>
                <w:sz w:val="21"/>
                <w:szCs w:val="21"/>
                <w:highlight w:val="none"/>
              </w:rPr>
            </w:pPr>
          </w:p>
        </w:tc>
      </w:tr>
      <w:tr w14:paraId="0D4942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572999EA">
            <w:pPr>
              <w:snapToGrid w:val="0"/>
              <w:spacing w:line="360" w:lineRule="auto"/>
              <w:jc w:val="left"/>
              <w:rPr>
                <w:rStyle w:val="87"/>
                <w:rFonts w:ascii="宋体" w:hAnsi="宋体"/>
                <w:color w:val="auto"/>
                <w:sz w:val="21"/>
                <w:szCs w:val="21"/>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73CF50F8">
            <w:pPr>
              <w:snapToGrid w:val="0"/>
              <w:spacing w:line="360" w:lineRule="auto"/>
              <w:jc w:val="left"/>
              <w:rPr>
                <w:rStyle w:val="87"/>
                <w:rFonts w:ascii="宋体" w:hAnsi="宋体"/>
                <w:color w:val="auto"/>
                <w:sz w:val="21"/>
                <w:szCs w:val="21"/>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3D138619">
            <w:pPr>
              <w:snapToGrid w:val="0"/>
              <w:spacing w:line="360" w:lineRule="auto"/>
              <w:jc w:val="left"/>
              <w:rPr>
                <w:rStyle w:val="87"/>
                <w:rFonts w:ascii="宋体" w:hAnsi="宋体"/>
                <w:color w:val="auto"/>
                <w:sz w:val="21"/>
                <w:szCs w:val="21"/>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0E67302B">
            <w:pPr>
              <w:snapToGrid w:val="0"/>
              <w:spacing w:line="360" w:lineRule="auto"/>
              <w:jc w:val="left"/>
              <w:rPr>
                <w:rStyle w:val="87"/>
                <w:rFonts w:ascii="宋体" w:hAnsi="宋体"/>
                <w:color w:val="auto"/>
                <w:sz w:val="21"/>
                <w:szCs w:val="21"/>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433E9719">
            <w:pPr>
              <w:snapToGrid w:val="0"/>
              <w:spacing w:line="360" w:lineRule="auto"/>
              <w:jc w:val="left"/>
              <w:rPr>
                <w:rStyle w:val="87"/>
                <w:rFonts w:ascii="宋体" w:hAnsi="宋体"/>
                <w:color w:val="auto"/>
                <w:sz w:val="21"/>
                <w:szCs w:val="21"/>
                <w:highlight w:val="none"/>
              </w:rPr>
            </w:pPr>
          </w:p>
        </w:tc>
      </w:tr>
      <w:tr w14:paraId="4E9FCB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2F00C8FD">
            <w:pPr>
              <w:snapToGrid w:val="0"/>
              <w:spacing w:line="360" w:lineRule="auto"/>
              <w:jc w:val="left"/>
              <w:rPr>
                <w:rStyle w:val="87"/>
                <w:rFonts w:ascii="宋体" w:hAnsi="宋体"/>
                <w:color w:val="auto"/>
                <w:sz w:val="21"/>
                <w:szCs w:val="21"/>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09428222">
            <w:pPr>
              <w:snapToGrid w:val="0"/>
              <w:spacing w:line="360" w:lineRule="auto"/>
              <w:jc w:val="left"/>
              <w:rPr>
                <w:rStyle w:val="87"/>
                <w:rFonts w:ascii="宋体" w:hAnsi="宋体"/>
                <w:color w:val="auto"/>
                <w:sz w:val="21"/>
                <w:szCs w:val="21"/>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3BD09943">
            <w:pPr>
              <w:snapToGrid w:val="0"/>
              <w:spacing w:line="360" w:lineRule="auto"/>
              <w:jc w:val="left"/>
              <w:rPr>
                <w:rStyle w:val="87"/>
                <w:rFonts w:ascii="宋体" w:hAnsi="宋体"/>
                <w:caps/>
                <w:color w:val="auto"/>
                <w:sz w:val="21"/>
                <w:szCs w:val="21"/>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3566CA70">
            <w:pPr>
              <w:snapToGrid w:val="0"/>
              <w:spacing w:line="360" w:lineRule="auto"/>
              <w:jc w:val="left"/>
              <w:rPr>
                <w:rStyle w:val="87"/>
                <w:rFonts w:ascii="宋体" w:hAnsi="宋体"/>
                <w:color w:val="auto"/>
                <w:sz w:val="21"/>
                <w:szCs w:val="21"/>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0698C324">
            <w:pPr>
              <w:snapToGrid w:val="0"/>
              <w:spacing w:line="360" w:lineRule="auto"/>
              <w:jc w:val="left"/>
              <w:rPr>
                <w:rStyle w:val="87"/>
                <w:rFonts w:ascii="宋体" w:hAnsi="宋体"/>
                <w:color w:val="auto"/>
                <w:sz w:val="21"/>
                <w:szCs w:val="21"/>
                <w:highlight w:val="none"/>
              </w:rPr>
            </w:pPr>
          </w:p>
        </w:tc>
      </w:tr>
    </w:tbl>
    <w:p w14:paraId="0C889EED">
      <w:pPr>
        <w:snapToGrid w:val="0"/>
        <w:spacing w:line="360" w:lineRule="auto"/>
        <w:jc w:val="left"/>
        <w:rPr>
          <w:rStyle w:val="87"/>
          <w:rFonts w:ascii="宋体" w:hAnsi="宋体"/>
          <w:b/>
          <w:color w:val="auto"/>
          <w:highlight w:val="none"/>
        </w:rPr>
      </w:pPr>
    </w:p>
    <w:p w14:paraId="4B7ED0A4">
      <w:pPr>
        <w:snapToGrid w:val="0"/>
        <w:spacing w:line="360" w:lineRule="auto"/>
        <w:jc w:val="left"/>
        <w:rPr>
          <w:rStyle w:val="87"/>
          <w:rFonts w:ascii="宋体" w:hAnsi="宋体"/>
          <w:b/>
          <w:color w:val="auto"/>
          <w:highlight w:val="none"/>
        </w:rPr>
      </w:pPr>
    </w:p>
    <w:p w14:paraId="1E0F6BAD">
      <w:pPr>
        <w:pStyle w:val="107"/>
        <w:snapToGrid w:val="0"/>
        <w:spacing w:line="360" w:lineRule="auto"/>
        <w:ind w:firstLine="0"/>
        <w:jc w:val="left"/>
        <w:rPr>
          <w:rStyle w:val="87"/>
          <w:rFonts w:ascii="黑体" w:hAnsi="黑体"/>
          <w:b w:val="0"/>
          <w:color w:val="auto"/>
          <w:szCs w:val="24"/>
          <w:highlight w:val="none"/>
        </w:rPr>
      </w:pPr>
      <w:r>
        <w:rPr>
          <w:rStyle w:val="87"/>
          <w:rFonts w:hint="eastAsia" w:ascii="黑体" w:hAnsi="黑体"/>
          <w:b w:val="0"/>
          <w:color w:val="auto"/>
          <w:szCs w:val="24"/>
          <w:highlight w:val="none"/>
        </w:rPr>
        <w:t>附录B  主要技术、管理人员情况表</w:t>
      </w:r>
    </w:p>
    <w:tbl>
      <w:tblPr>
        <w:tblStyle w:val="28"/>
        <w:tblW w:w="93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7"/>
        <w:gridCol w:w="1445"/>
        <w:gridCol w:w="1890"/>
        <w:gridCol w:w="1112"/>
        <w:gridCol w:w="1400"/>
        <w:gridCol w:w="1269"/>
        <w:gridCol w:w="1567"/>
      </w:tblGrid>
      <w:tr w14:paraId="103D20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6" w:hRule="atLeast"/>
          <w:jc w:val="center"/>
        </w:trPr>
        <w:tc>
          <w:tcPr>
            <w:tcW w:w="677" w:type="dxa"/>
            <w:tcBorders>
              <w:top w:val="single" w:color="000000" w:sz="4" w:space="0"/>
              <w:left w:val="single" w:color="000000" w:sz="4" w:space="0"/>
              <w:bottom w:val="single" w:color="000000" w:sz="4" w:space="0"/>
              <w:right w:val="single" w:color="000000" w:sz="4" w:space="0"/>
            </w:tcBorders>
            <w:vAlign w:val="center"/>
          </w:tcPr>
          <w:p w14:paraId="6906A35E">
            <w:pPr>
              <w:jc w:val="center"/>
              <w:rPr>
                <w:color w:val="auto"/>
                <w:highlight w:val="none"/>
              </w:rPr>
            </w:pPr>
            <w:r>
              <w:rPr>
                <w:rFonts w:hint="eastAsia"/>
                <w:color w:val="auto"/>
                <w:highlight w:val="none"/>
              </w:rPr>
              <w:t>序号</w:t>
            </w:r>
          </w:p>
        </w:tc>
        <w:tc>
          <w:tcPr>
            <w:tcW w:w="1445" w:type="dxa"/>
            <w:tcBorders>
              <w:top w:val="single" w:color="000000" w:sz="4" w:space="0"/>
              <w:left w:val="single" w:color="000000" w:sz="4" w:space="0"/>
              <w:bottom w:val="single" w:color="000000" w:sz="4" w:space="0"/>
              <w:right w:val="single" w:color="000000" w:sz="4" w:space="0"/>
            </w:tcBorders>
            <w:vAlign w:val="center"/>
          </w:tcPr>
          <w:p w14:paraId="2BA4B0EF">
            <w:pPr>
              <w:jc w:val="center"/>
              <w:rPr>
                <w:color w:val="auto"/>
                <w:highlight w:val="none"/>
              </w:rPr>
            </w:pPr>
            <w:r>
              <w:rPr>
                <w:rFonts w:hint="eastAsia"/>
                <w:color w:val="auto"/>
                <w:highlight w:val="none"/>
              </w:rPr>
              <w:t>姓 名</w:t>
            </w:r>
          </w:p>
        </w:tc>
        <w:tc>
          <w:tcPr>
            <w:tcW w:w="1890" w:type="dxa"/>
            <w:tcBorders>
              <w:top w:val="single" w:color="000000" w:sz="4" w:space="0"/>
              <w:left w:val="single" w:color="000000" w:sz="4" w:space="0"/>
              <w:bottom w:val="single" w:color="000000" w:sz="4" w:space="0"/>
              <w:right w:val="single" w:color="000000" w:sz="4" w:space="0"/>
            </w:tcBorders>
            <w:vAlign w:val="center"/>
          </w:tcPr>
          <w:p w14:paraId="0B30F6EC">
            <w:pPr>
              <w:jc w:val="center"/>
              <w:rPr>
                <w:color w:val="auto"/>
                <w:highlight w:val="none"/>
              </w:rPr>
            </w:pPr>
            <w:r>
              <w:rPr>
                <w:rFonts w:hint="eastAsia"/>
                <w:color w:val="auto"/>
                <w:highlight w:val="none"/>
              </w:rPr>
              <w:t>拟 任 职 务</w:t>
            </w:r>
          </w:p>
        </w:tc>
        <w:tc>
          <w:tcPr>
            <w:tcW w:w="1112" w:type="dxa"/>
            <w:tcBorders>
              <w:top w:val="single" w:color="000000" w:sz="4" w:space="0"/>
              <w:left w:val="single" w:color="000000" w:sz="4" w:space="0"/>
              <w:bottom w:val="single" w:color="000000" w:sz="4" w:space="0"/>
              <w:right w:val="single" w:color="000000" w:sz="4" w:space="0"/>
            </w:tcBorders>
            <w:vAlign w:val="center"/>
          </w:tcPr>
          <w:p w14:paraId="4176418C">
            <w:pPr>
              <w:jc w:val="center"/>
              <w:rPr>
                <w:color w:val="auto"/>
                <w:highlight w:val="none"/>
              </w:rPr>
            </w:pPr>
            <w:r>
              <w:rPr>
                <w:rFonts w:hint="eastAsia"/>
                <w:color w:val="auto"/>
                <w:highlight w:val="none"/>
              </w:rPr>
              <w:t>年 龄</w:t>
            </w:r>
          </w:p>
        </w:tc>
        <w:tc>
          <w:tcPr>
            <w:tcW w:w="1400" w:type="dxa"/>
            <w:tcBorders>
              <w:top w:val="single" w:color="000000" w:sz="4" w:space="0"/>
              <w:left w:val="single" w:color="000000" w:sz="4" w:space="0"/>
              <w:bottom w:val="single" w:color="000000" w:sz="4" w:space="0"/>
              <w:right w:val="single" w:color="000000" w:sz="4" w:space="0"/>
            </w:tcBorders>
            <w:vAlign w:val="center"/>
          </w:tcPr>
          <w:p w14:paraId="28B0803C">
            <w:pPr>
              <w:jc w:val="center"/>
              <w:rPr>
                <w:color w:val="auto"/>
                <w:highlight w:val="none"/>
              </w:rPr>
            </w:pPr>
            <w:r>
              <w:rPr>
                <w:rFonts w:hint="eastAsia"/>
                <w:color w:val="auto"/>
                <w:highlight w:val="none"/>
              </w:rPr>
              <w:t>职 称</w:t>
            </w:r>
          </w:p>
        </w:tc>
        <w:tc>
          <w:tcPr>
            <w:tcW w:w="1269" w:type="dxa"/>
            <w:tcBorders>
              <w:top w:val="single" w:color="000000" w:sz="4" w:space="0"/>
              <w:left w:val="single" w:color="000000" w:sz="4" w:space="0"/>
              <w:bottom w:val="single" w:color="000000" w:sz="4" w:space="0"/>
              <w:right w:val="single" w:color="000000" w:sz="4" w:space="0"/>
            </w:tcBorders>
            <w:vAlign w:val="center"/>
          </w:tcPr>
          <w:p w14:paraId="49C5E9EE">
            <w:pPr>
              <w:jc w:val="center"/>
              <w:rPr>
                <w:color w:val="auto"/>
                <w:highlight w:val="none"/>
              </w:rPr>
            </w:pPr>
            <w:r>
              <w:rPr>
                <w:rFonts w:hint="eastAsia"/>
                <w:color w:val="auto"/>
                <w:highlight w:val="none"/>
              </w:rPr>
              <w:t>学 历</w:t>
            </w:r>
          </w:p>
        </w:tc>
        <w:tc>
          <w:tcPr>
            <w:tcW w:w="1567" w:type="dxa"/>
            <w:tcBorders>
              <w:top w:val="single" w:color="000000" w:sz="4" w:space="0"/>
              <w:left w:val="single" w:color="000000" w:sz="4" w:space="0"/>
              <w:bottom w:val="single" w:color="000000" w:sz="4" w:space="0"/>
              <w:right w:val="single" w:color="000000" w:sz="4" w:space="0"/>
            </w:tcBorders>
            <w:vAlign w:val="center"/>
          </w:tcPr>
          <w:p w14:paraId="17658DFE">
            <w:pPr>
              <w:jc w:val="center"/>
              <w:rPr>
                <w:color w:val="auto"/>
                <w:highlight w:val="none"/>
              </w:rPr>
            </w:pPr>
            <w:r>
              <w:rPr>
                <w:rFonts w:hint="eastAsia"/>
                <w:color w:val="auto"/>
                <w:highlight w:val="none"/>
              </w:rPr>
              <w:t>专 业</w:t>
            </w:r>
          </w:p>
        </w:tc>
      </w:tr>
      <w:tr w14:paraId="569C1E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88" w:hRule="atLeast"/>
          <w:jc w:val="center"/>
        </w:trPr>
        <w:tc>
          <w:tcPr>
            <w:tcW w:w="677" w:type="dxa"/>
            <w:vMerge w:val="restart"/>
            <w:tcBorders>
              <w:top w:val="single" w:color="000000" w:sz="4" w:space="0"/>
              <w:left w:val="single" w:color="000000" w:sz="4" w:space="0"/>
              <w:bottom w:val="single" w:color="000000" w:sz="4" w:space="0"/>
              <w:right w:val="single" w:color="000000" w:sz="4" w:space="0"/>
            </w:tcBorders>
            <w:vAlign w:val="center"/>
          </w:tcPr>
          <w:p w14:paraId="79050E6A">
            <w:pPr>
              <w:jc w:val="center"/>
              <w:rPr>
                <w:rFonts w:hint="eastAsia" w:eastAsia="宋体"/>
                <w:color w:val="auto"/>
                <w:highlight w:val="none"/>
                <w:lang w:val="en-US" w:eastAsia="zh-CN"/>
              </w:rPr>
            </w:pPr>
            <w:r>
              <w:rPr>
                <w:rFonts w:hint="eastAsia"/>
                <w:color w:val="auto"/>
                <w:highlight w:val="none"/>
                <w:lang w:val="en-US" w:eastAsia="zh-CN"/>
              </w:rPr>
              <w:t>1</w:t>
            </w:r>
          </w:p>
        </w:tc>
        <w:tc>
          <w:tcPr>
            <w:tcW w:w="1445" w:type="dxa"/>
            <w:tcBorders>
              <w:top w:val="single" w:color="000000" w:sz="4" w:space="0"/>
              <w:left w:val="single" w:color="000000" w:sz="4" w:space="0"/>
              <w:bottom w:val="single" w:color="000000" w:sz="4" w:space="0"/>
              <w:right w:val="single" w:color="000000" w:sz="4" w:space="0"/>
            </w:tcBorders>
            <w:vAlign w:val="center"/>
          </w:tcPr>
          <w:p w14:paraId="21D696A4">
            <w:pPr>
              <w:rPr>
                <w:color w:val="auto"/>
                <w:highlight w:val="none"/>
              </w:rPr>
            </w:pPr>
          </w:p>
        </w:tc>
        <w:tc>
          <w:tcPr>
            <w:tcW w:w="1890" w:type="dxa"/>
            <w:tcBorders>
              <w:top w:val="single" w:color="000000" w:sz="4" w:space="0"/>
              <w:left w:val="single" w:color="000000" w:sz="4" w:space="0"/>
              <w:bottom w:val="single" w:color="000000" w:sz="4" w:space="0"/>
              <w:right w:val="single" w:color="000000" w:sz="4" w:space="0"/>
            </w:tcBorders>
            <w:vAlign w:val="center"/>
          </w:tcPr>
          <w:p w14:paraId="475DF6E9">
            <w:pPr>
              <w:rPr>
                <w:color w:val="auto"/>
                <w:highlight w:val="none"/>
              </w:rPr>
            </w:pPr>
          </w:p>
        </w:tc>
        <w:tc>
          <w:tcPr>
            <w:tcW w:w="1112" w:type="dxa"/>
            <w:tcBorders>
              <w:top w:val="single" w:color="000000" w:sz="4" w:space="0"/>
              <w:left w:val="single" w:color="000000" w:sz="4" w:space="0"/>
              <w:bottom w:val="single" w:color="000000" w:sz="4" w:space="0"/>
              <w:right w:val="single" w:color="000000" w:sz="4" w:space="0"/>
            </w:tcBorders>
            <w:vAlign w:val="center"/>
          </w:tcPr>
          <w:p w14:paraId="75FAE94B">
            <w:pPr>
              <w:rPr>
                <w:color w:val="auto"/>
                <w:highlight w:val="none"/>
              </w:rPr>
            </w:pPr>
          </w:p>
        </w:tc>
        <w:tc>
          <w:tcPr>
            <w:tcW w:w="1400" w:type="dxa"/>
            <w:tcBorders>
              <w:top w:val="single" w:color="000000" w:sz="4" w:space="0"/>
              <w:left w:val="single" w:color="000000" w:sz="4" w:space="0"/>
              <w:bottom w:val="single" w:color="000000" w:sz="4" w:space="0"/>
              <w:right w:val="single" w:color="000000" w:sz="4" w:space="0"/>
            </w:tcBorders>
            <w:vAlign w:val="center"/>
          </w:tcPr>
          <w:p w14:paraId="4553FC28">
            <w:pPr>
              <w:rPr>
                <w:color w:val="auto"/>
                <w:highlight w:val="none"/>
              </w:rPr>
            </w:pPr>
          </w:p>
        </w:tc>
        <w:tc>
          <w:tcPr>
            <w:tcW w:w="1269" w:type="dxa"/>
            <w:tcBorders>
              <w:top w:val="single" w:color="000000" w:sz="4" w:space="0"/>
              <w:left w:val="single" w:color="000000" w:sz="4" w:space="0"/>
              <w:bottom w:val="single" w:color="000000" w:sz="4" w:space="0"/>
              <w:right w:val="single" w:color="000000" w:sz="4" w:space="0"/>
            </w:tcBorders>
            <w:vAlign w:val="center"/>
          </w:tcPr>
          <w:p w14:paraId="63689C3C">
            <w:pPr>
              <w:rPr>
                <w:color w:val="auto"/>
                <w:highlight w:val="none"/>
              </w:rPr>
            </w:pPr>
          </w:p>
        </w:tc>
        <w:tc>
          <w:tcPr>
            <w:tcW w:w="1567" w:type="dxa"/>
            <w:tcBorders>
              <w:top w:val="single" w:color="000000" w:sz="4" w:space="0"/>
              <w:left w:val="single" w:color="000000" w:sz="4" w:space="0"/>
              <w:bottom w:val="single" w:color="000000" w:sz="4" w:space="0"/>
              <w:right w:val="single" w:color="000000" w:sz="4" w:space="0"/>
            </w:tcBorders>
            <w:vAlign w:val="center"/>
          </w:tcPr>
          <w:p w14:paraId="70720EF3">
            <w:pPr>
              <w:rPr>
                <w:color w:val="auto"/>
                <w:highlight w:val="none"/>
              </w:rPr>
            </w:pPr>
          </w:p>
        </w:tc>
      </w:tr>
      <w:tr w14:paraId="1136CC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061" w:hRule="atLeast"/>
          <w:jc w:val="center"/>
        </w:trPr>
        <w:tc>
          <w:tcPr>
            <w:tcW w:w="677" w:type="dxa"/>
            <w:vMerge w:val="continue"/>
            <w:tcBorders>
              <w:top w:val="single" w:color="000000" w:sz="4" w:space="0"/>
              <w:left w:val="single" w:color="000000" w:sz="4" w:space="0"/>
              <w:bottom w:val="single" w:color="000000" w:sz="4" w:space="0"/>
              <w:right w:val="single" w:color="000000" w:sz="4" w:space="0"/>
            </w:tcBorders>
            <w:vAlign w:val="center"/>
          </w:tcPr>
          <w:p w14:paraId="7A9BEE35">
            <w:pPr>
              <w:jc w:val="center"/>
              <w:rPr>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25B89DD6">
            <w:pPr>
              <w:jc w:val="center"/>
              <w:rPr>
                <w:color w:val="auto"/>
                <w:highlight w:val="none"/>
              </w:rPr>
            </w:pPr>
            <w:r>
              <w:rPr>
                <w:rFonts w:hint="eastAsia"/>
                <w:color w:val="auto"/>
                <w:highlight w:val="none"/>
              </w:rPr>
              <w:t>工作简历</w:t>
            </w:r>
          </w:p>
        </w:tc>
        <w:tc>
          <w:tcPr>
            <w:tcW w:w="7238" w:type="dxa"/>
            <w:gridSpan w:val="5"/>
            <w:tcBorders>
              <w:top w:val="single" w:color="000000" w:sz="4" w:space="0"/>
              <w:left w:val="single" w:color="000000" w:sz="4" w:space="0"/>
              <w:bottom w:val="single" w:color="000000" w:sz="4" w:space="0"/>
              <w:right w:val="single" w:color="000000" w:sz="4" w:space="0"/>
            </w:tcBorders>
            <w:vAlign w:val="center"/>
          </w:tcPr>
          <w:p w14:paraId="62A0E97C">
            <w:pPr>
              <w:rPr>
                <w:color w:val="auto"/>
                <w:highlight w:val="none"/>
              </w:rPr>
            </w:pPr>
          </w:p>
        </w:tc>
      </w:tr>
      <w:tr w14:paraId="7E3F7E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996" w:hRule="atLeast"/>
          <w:jc w:val="center"/>
        </w:trPr>
        <w:tc>
          <w:tcPr>
            <w:tcW w:w="677" w:type="dxa"/>
            <w:vMerge w:val="restart"/>
            <w:tcBorders>
              <w:top w:val="single" w:color="000000" w:sz="4" w:space="0"/>
              <w:left w:val="single" w:color="000000" w:sz="4" w:space="0"/>
              <w:bottom w:val="single" w:color="000000" w:sz="4" w:space="0"/>
              <w:right w:val="single" w:color="000000" w:sz="4" w:space="0"/>
            </w:tcBorders>
            <w:vAlign w:val="center"/>
          </w:tcPr>
          <w:p w14:paraId="7F1D4A4B">
            <w:pPr>
              <w:jc w:val="center"/>
              <w:rPr>
                <w:rFonts w:hint="eastAsia" w:eastAsia="宋体"/>
                <w:color w:val="auto"/>
                <w:highlight w:val="none"/>
                <w:lang w:val="en-US" w:eastAsia="zh-CN"/>
              </w:rPr>
            </w:pPr>
            <w:r>
              <w:rPr>
                <w:rFonts w:hint="eastAsia"/>
                <w:color w:val="auto"/>
                <w:highlight w:val="none"/>
                <w:lang w:val="en-US" w:eastAsia="zh-CN"/>
              </w:rPr>
              <w:t>2</w:t>
            </w:r>
          </w:p>
        </w:tc>
        <w:tc>
          <w:tcPr>
            <w:tcW w:w="1445" w:type="dxa"/>
            <w:tcBorders>
              <w:top w:val="single" w:color="000000" w:sz="4" w:space="0"/>
              <w:left w:val="single" w:color="000000" w:sz="4" w:space="0"/>
              <w:bottom w:val="single" w:color="000000" w:sz="4" w:space="0"/>
              <w:right w:val="single" w:color="000000" w:sz="4" w:space="0"/>
            </w:tcBorders>
            <w:vAlign w:val="center"/>
          </w:tcPr>
          <w:p w14:paraId="09D42A34">
            <w:pPr>
              <w:rPr>
                <w:color w:val="auto"/>
                <w:highlight w:val="none"/>
              </w:rPr>
            </w:pPr>
          </w:p>
        </w:tc>
        <w:tc>
          <w:tcPr>
            <w:tcW w:w="1890" w:type="dxa"/>
            <w:tcBorders>
              <w:top w:val="single" w:color="000000" w:sz="4" w:space="0"/>
              <w:left w:val="single" w:color="000000" w:sz="4" w:space="0"/>
              <w:bottom w:val="single" w:color="000000" w:sz="4" w:space="0"/>
              <w:right w:val="single" w:color="000000" w:sz="4" w:space="0"/>
            </w:tcBorders>
            <w:vAlign w:val="center"/>
          </w:tcPr>
          <w:p w14:paraId="7930E07C">
            <w:pPr>
              <w:rPr>
                <w:color w:val="auto"/>
                <w:highlight w:val="none"/>
              </w:rPr>
            </w:pPr>
          </w:p>
        </w:tc>
        <w:tc>
          <w:tcPr>
            <w:tcW w:w="1112" w:type="dxa"/>
            <w:tcBorders>
              <w:top w:val="single" w:color="000000" w:sz="4" w:space="0"/>
              <w:left w:val="single" w:color="000000" w:sz="4" w:space="0"/>
              <w:bottom w:val="single" w:color="000000" w:sz="4" w:space="0"/>
              <w:right w:val="single" w:color="000000" w:sz="4" w:space="0"/>
            </w:tcBorders>
            <w:vAlign w:val="center"/>
          </w:tcPr>
          <w:p w14:paraId="5E184D44">
            <w:pPr>
              <w:rPr>
                <w:color w:val="auto"/>
                <w:highlight w:val="none"/>
              </w:rPr>
            </w:pPr>
          </w:p>
        </w:tc>
        <w:tc>
          <w:tcPr>
            <w:tcW w:w="1400" w:type="dxa"/>
            <w:tcBorders>
              <w:top w:val="single" w:color="000000" w:sz="4" w:space="0"/>
              <w:left w:val="single" w:color="000000" w:sz="4" w:space="0"/>
              <w:bottom w:val="single" w:color="000000" w:sz="4" w:space="0"/>
              <w:right w:val="single" w:color="000000" w:sz="4" w:space="0"/>
            </w:tcBorders>
            <w:vAlign w:val="center"/>
          </w:tcPr>
          <w:p w14:paraId="217B61FC">
            <w:pPr>
              <w:rPr>
                <w:color w:val="auto"/>
                <w:highlight w:val="none"/>
              </w:rPr>
            </w:pPr>
          </w:p>
        </w:tc>
        <w:tc>
          <w:tcPr>
            <w:tcW w:w="1269" w:type="dxa"/>
            <w:tcBorders>
              <w:top w:val="single" w:color="000000" w:sz="4" w:space="0"/>
              <w:left w:val="single" w:color="000000" w:sz="4" w:space="0"/>
              <w:bottom w:val="single" w:color="000000" w:sz="4" w:space="0"/>
              <w:right w:val="single" w:color="000000" w:sz="4" w:space="0"/>
            </w:tcBorders>
            <w:vAlign w:val="center"/>
          </w:tcPr>
          <w:p w14:paraId="461A8053">
            <w:pPr>
              <w:rPr>
                <w:color w:val="auto"/>
                <w:highlight w:val="none"/>
              </w:rPr>
            </w:pPr>
          </w:p>
        </w:tc>
        <w:tc>
          <w:tcPr>
            <w:tcW w:w="1567" w:type="dxa"/>
            <w:tcBorders>
              <w:top w:val="single" w:color="000000" w:sz="4" w:space="0"/>
              <w:left w:val="single" w:color="000000" w:sz="4" w:space="0"/>
              <w:bottom w:val="single" w:color="000000" w:sz="4" w:space="0"/>
              <w:right w:val="single" w:color="000000" w:sz="4" w:space="0"/>
            </w:tcBorders>
            <w:vAlign w:val="center"/>
          </w:tcPr>
          <w:p w14:paraId="54E7C1C6">
            <w:pPr>
              <w:rPr>
                <w:color w:val="auto"/>
                <w:highlight w:val="none"/>
              </w:rPr>
            </w:pPr>
          </w:p>
        </w:tc>
      </w:tr>
      <w:tr w14:paraId="3FB8F1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564" w:hRule="atLeast"/>
          <w:jc w:val="center"/>
        </w:trPr>
        <w:tc>
          <w:tcPr>
            <w:tcW w:w="677" w:type="dxa"/>
            <w:vMerge w:val="continue"/>
            <w:tcBorders>
              <w:top w:val="single" w:color="000000" w:sz="4" w:space="0"/>
              <w:left w:val="single" w:color="000000" w:sz="4" w:space="0"/>
              <w:bottom w:val="single" w:color="000000" w:sz="4" w:space="0"/>
              <w:right w:val="single" w:color="000000" w:sz="4" w:space="0"/>
            </w:tcBorders>
            <w:vAlign w:val="center"/>
          </w:tcPr>
          <w:p w14:paraId="4D8162EB">
            <w:pPr>
              <w:rPr>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4952C550">
            <w:pPr>
              <w:jc w:val="center"/>
              <w:rPr>
                <w:color w:val="auto"/>
                <w:highlight w:val="none"/>
              </w:rPr>
            </w:pPr>
            <w:r>
              <w:rPr>
                <w:rFonts w:hint="eastAsia"/>
                <w:color w:val="auto"/>
                <w:highlight w:val="none"/>
              </w:rPr>
              <w:t>工作简历</w:t>
            </w:r>
          </w:p>
        </w:tc>
        <w:tc>
          <w:tcPr>
            <w:tcW w:w="7238" w:type="dxa"/>
            <w:gridSpan w:val="5"/>
            <w:tcBorders>
              <w:top w:val="single" w:color="000000" w:sz="4" w:space="0"/>
              <w:left w:val="single" w:color="000000" w:sz="4" w:space="0"/>
              <w:bottom w:val="single" w:color="000000" w:sz="4" w:space="0"/>
              <w:right w:val="single" w:color="000000" w:sz="4" w:space="0"/>
            </w:tcBorders>
            <w:vAlign w:val="center"/>
          </w:tcPr>
          <w:p w14:paraId="47D59CE4">
            <w:pPr>
              <w:rPr>
                <w:color w:val="auto"/>
                <w:highlight w:val="none"/>
              </w:rPr>
            </w:pPr>
          </w:p>
        </w:tc>
      </w:tr>
    </w:tbl>
    <w:p w14:paraId="59272449">
      <w:pPr>
        <w:snapToGrid w:val="0"/>
        <w:spacing w:line="360" w:lineRule="auto"/>
        <w:jc w:val="left"/>
        <w:rPr>
          <w:rStyle w:val="87"/>
          <w:rFonts w:ascii="宋体" w:hAnsi="宋体"/>
          <w:color w:val="auto"/>
          <w:highlight w:val="none"/>
        </w:rPr>
      </w:pPr>
    </w:p>
    <w:p w14:paraId="6E908F4D">
      <w:pPr>
        <w:rPr>
          <w:rStyle w:val="87"/>
          <w:rFonts w:ascii="等线 Light" w:hAnsi="宋体"/>
          <w:b/>
          <w:color w:val="auto"/>
          <w:highlight w:val="none"/>
        </w:rPr>
        <w:sectPr>
          <w:endnotePr>
            <w:numFmt w:val="decimal"/>
          </w:endnotePr>
          <w:pgSz w:w="11906" w:h="16838"/>
          <w:pgMar w:top="1418" w:right="1134" w:bottom="1134" w:left="1418" w:header="851" w:footer="641" w:gutter="0"/>
          <w:cols w:space="720" w:num="1"/>
          <w:docGrid w:linePitch="312" w:charSpace="0"/>
        </w:sectPr>
      </w:pPr>
    </w:p>
    <w:bookmarkEnd w:id="12"/>
    <w:p w14:paraId="124C245F">
      <w:pPr>
        <w:snapToGrid w:val="0"/>
        <w:spacing w:line="480" w:lineRule="auto"/>
        <w:rPr>
          <w:color w:val="auto"/>
          <w:highlight w:val="none"/>
        </w:rPr>
      </w:pPr>
      <w:bookmarkStart w:id="15" w:name="_Toc94123788"/>
      <w:bookmarkEnd w:id="15"/>
      <w:bookmarkStart w:id="16" w:name="_Toc80271055"/>
      <w:bookmarkEnd w:id="16"/>
    </w:p>
    <w:p w14:paraId="2639AE6E">
      <w:pPr>
        <w:pStyle w:val="101"/>
        <w:snapToGrid w:val="0"/>
        <w:spacing w:before="0" w:after="0" w:line="360" w:lineRule="auto"/>
        <w:jc w:val="left"/>
        <w:rPr>
          <w:rStyle w:val="87"/>
          <w:rFonts w:ascii="黑体" w:hAnsi="黑体" w:eastAsia="黑体" w:cs="黑体"/>
          <w:b w:val="0"/>
          <w:bCs/>
          <w:color w:val="auto"/>
          <w:sz w:val="24"/>
          <w:highlight w:val="none"/>
        </w:rPr>
      </w:pPr>
      <w:bookmarkStart w:id="17" w:name="_Toc94123791"/>
      <w:bookmarkEnd w:id="17"/>
      <w:r>
        <w:rPr>
          <w:rStyle w:val="87"/>
          <w:rFonts w:hint="eastAsia" w:ascii="黑体" w:hAnsi="黑体" w:eastAsia="黑体" w:cs="黑体"/>
          <w:b w:val="0"/>
          <w:bCs/>
          <w:color w:val="auto"/>
          <w:sz w:val="24"/>
          <w:highlight w:val="none"/>
        </w:rPr>
        <w:t>附表</w:t>
      </w:r>
      <w:r>
        <w:rPr>
          <w:rStyle w:val="87"/>
          <w:rFonts w:hint="eastAsia" w:ascii="黑体" w:hAnsi="黑体" w:eastAsia="黑体" w:cs="黑体"/>
          <w:b w:val="0"/>
          <w:bCs/>
          <w:color w:val="auto"/>
          <w:sz w:val="24"/>
          <w:highlight w:val="none"/>
          <w:lang w:val="en-US" w:eastAsia="zh-CN"/>
        </w:rPr>
        <w:t>1：</w:t>
      </w:r>
      <w:r>
        <w:rPr>
          <w:rStyle w:val="87"/>
          <w:rFonts w:hint="eastAsia" w:ascii="黑体" w:hAnsi="黑体" w:eastAsia="黑体" w:cs="黑体"/>
          <w:b w:val="0"/>
          <w:bCs/>
          <w:color w:val="auto"/>
          <w:sz w:val="24"/>
          <w:highlight w:val="none"/>
        </w:rPr>
        <w:t>测厚记录</w:t>
      </w:r>
    </w:p>
    <w:tbl>
      <w:tblPr>
        <w:tblStyle w:val="28"/>
        <w:tblW w:w="9468" w:type="dxa"/>
        <w:tblInd w:w="-16"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28" w:type="dxa"/>
          <w:bottom w:w="0" w:type="dxa"/>
          <w:right w:w="28" w:type="dxa"/>
        </w:tblCellMar>
      </w:tblPr>
      <w:tblGrid>
        <w:gridCol w:w="608"/>
        <w:gridCol w:w="584"/>
        <w:gridCol w:w="1090"/>
        <w:gridCol w:w="728"/>
        <w:gridCol w:w="130"/>
        <w:gridCol w:w="723"/>
        <w:gridCol w:w="854"/>
        <w:gridCol w:w="149"/>
        <w:gridCol w:w="407"/>
        <w:gridCol w:w="624"/>
        <w:gridCol w:w="393"/>
        <w:gridCol w:w="1527"/>
        <w:gridCol w:w="811"/>
        <w:gridCol w:w="840"/>
      </w:tblGrid>
      <w:tr w14:paraId="2492D18B">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1400" w:hRule="atLeast"/>
        </w:trPr>
        <w:tc>
          <w:tcPr>
            <w:tcW w:w="2291" w:type="dxa"/>
            <w:gridSpan w:val="3"/>
            <w:vAlign w:val="center"/>
          </w:tcPr>
          <w:p w14:paraId="314CC628">
            <w:pPr>
              <w:jc w:val="center"/>
              <w:rPr>
                <w:rFonts w:ascii="黑体" w:eastAsia="黑体"/>
                <w:color w:val="auto"/>
                <w:highlight w:val="none"/>
              </w:rPr>
            </w:pPr>
          </w:p>
        </w:tc>
        <w:tc>
          <w:tcPr>
            <w:tcW w:w="3624" w:type="dxa"/>
            <w:gridSpan w:val="7"/>
            <w:vAlign w:val="center"/>
          </w:tcPr>
          <w:p w14:paraId="414C6D14">
            <w:pPr>
              <w:jc w:val="center"/>
              <w:rPr>
                <w:rFonts w:ascii="宋体"/>
                <w:b/>
                <w:color w:val="auto"/>
                <w:sz w:val="32"/>
                <w:highlight w:val="none"/>
              </w:rPr>
            </w:pPr>
            <w:r>
              <w:rPr>
                <w:rFonts w:hint="eastAsia" w:ascii="宋体"/>
                <w:b/>
                <w:color w:val="auto"/>
                <w:sz w:val="32"/>
                <w:highlight w:val="none"/>
              </w:rPr>
              <w:t>测厚记录</w:t>
            </w:r>
          </w:p>
        </w:tc>
        <w:tc>
          <w:tcPr>
            <w:tcW w:w="3553" w:type="dxa"/>
            <w:gridSpan w:val="4"/>
          </w:tcPr>
          <w:p w14:paraId="322CFAE6">
            <w:pPr>
              <w:spacing w:before="120"/>
              <w:rPr>
                <w:rFonts w:ascii="宋体"/>
                <w:color w:val="auto"/>
                <w:highlight w:val="none"/>
              </w:rPr>
            </w:pPr>
            <w:r>
              <w:rPr>
                <w:rFonts w:hint="eastAsia" w:ascii="宋体"/>
                <w:color w:val="auto"/>
                <w:highlight w:val="none"/>
                <w:lang w:eastAsia="zh-CN"/>
              </w:rPr>
              <w:t>项目</w:t>
            </w:r>
            <w:r>
              <w:rPr>
                <w:rFonts w:hint="eastAsia" w:ascii="宋体"/>
                <w:color w:val="auto"/>
                <w:highlight w:val="none"/>
              </w:rPr>
              <w:t>名称：煤气水装置125BF系列排污管线更换服务</w:t>
            </w:r>
          </w:p>
          <w:p w14:paraId="22AE9F21">
            <w:pPr>
              <w:spacing w:before="96"/>
              <w:rPr>
                <w:rFonts w:hint="default" w:eastAsia="宋体"/>
                <w:color w:val="auto"/>
                <w:highlight w:val="none"/>
                <w:u w:val="single"/>
                <w:lang w:val="en-US" w:eastAsia="zh-CN"/>
              </w:rPr>
            </w:pPr>
            <w:r>
              <w:rPr>
                <w:rFonts w:hint="eastAsia"/>
                <w:color w:val="auto"/>
                <w:highlight w:val="none"/>
              </w:rPr>
              <w:t>单元名称：</w:t>
            </w:r>
            <w:r>
              <w:rPr>
                <w:rFonts w:hint="eastAsia"/>
                <w:color w:val="auto"/>
                <w:highlight w:val="none"/>
                <w:lang w:val="en-US" w:eastAsia="zh-CN"/>
              </w:rPr>
              <w:t>煤气水装置125</w:t>
            </w:r>
            <w:r>
              <w:rPr>
                <w:rFonts w:hint="eastAsia"/>
                <w:color w:val="auto"/>
                <w:highlight w:val="none"/>
                <w:u w:val="single"/>
                <w:lang w:val="en-US" w:eastAsia="zh-CN"/>
              </w:rPr>
              <w:t xml:space="preserve"> </w:t>
            </w:r>
            <w:r>
              <w:rPr>
                <w:rFonts w:hint="eastAsia"/>
                <w:color w:val="auto"/>
                <w:highlight w:val="none"/>
                <w:lang w:val="en-US" w:eastAsia="zh-CN"/>
              </w:rPr>
              <w:t>系列</w:t>
            </w:r>
          </w:p>
        </w:tc>
      </w:tr>
      <w:tr w14:paraId="586A90B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754" w:hRule="atLeast"/>
        </w:trPr>
        <w:tc>
          <w:tcPr>
            <w:tcW w:w="1198" w:type="dxa"/>
            <w:gridSpan w:val="2"/>
            <w:tcBorders>
              <w:top w:val="single" w:color="000000" w:sz="8" w:space="0"/>
            </w:tcBorders>
            <w:vAlign w:val="center"/>
          </w:tcPr>
          <w:p w14:paraId="15D8F8FE">
            <w:pPr>
              <w:jc w:val="center"/>
              <w:rPr>
                <w:rFonts w:hint="eastAsia" w:eastAsia="宋体"/>
                <w:color w:val="auto"/>
                <w:highlight w:val="none"/>
                <w:lang w:eastAsia="zh-CN"/>
              </w:rPr>
            </w:pPr>
            <w:r>
              <w:rPr>
                <w:rFonts w:hint="eastAsia"/>
                <w:color w:val="auto"/>
                <w:highlight w:val="none"/>
                <w:lang w:val="en-US" w:eastAsia="zh-CN"/>
              </w:rPr>
              <w:t>管线位置</w:t>
            </w:r>
          </w:p>
        </w:tc>
        <w:tc>
          <w:tcPr>
            <w:tcW w:w="3683" w:type="dxa"/>
            <w:gridSpan w:val="6"/>
            <w:tcBorders>
              <w:top w:val="single" w:color="000000" w:sz="8" w:space="0"/>
            </w:tcBorders>
            <w:vAlign w:val="center"/>
          </w:tcPr>
          <w:p w14:paraId="2FFB9343">
            <w:pPr>
              <w:jc w:val="center"/>
              <w:rPr>
                <w:color w:val="auto"/>
                <w:highlight w:val="none"/>
                <w:u w:val="single"/>
              </w:rPr>
            </w:pPr>
          </w:p>
        </w:tc>
        <w:tc>
          <w:tcPr>
            <w:tcW w:w="1400" w:type="dxa"/>
            <w:gridSpan w:val="3"/>
            <w:tcBorders>
              <w:top w:val="single" w:color="000000" w:sz="8" w:space="0"/>
            </w:tcBorders>
            <w:vAlign w:val="center"/>
          </w:tcPr>
          <w:p w14:paraId="75B5C9F9">
            <w:pPr>
              <w:jc w:val="center"/>
              <w:rPr>
                <w:rFonts w:hint="default" w:eastAsia="宋体"/>
                <w:color w:val="auto"/>
                <w:highlight w:val="none"/>
                <w:lang w:val="en-US" w:eastAsia="zh-CN"/>
              </w:rPr>
            </w:pPr>
            <w:r>
              <w:rPr>
                <w:rFonts w:hint="eastAsia"/>
                <w:color w:val="auto"/>
                <w:highlight w:val="none"/>
                <w:lang w:val="en-US" w:eastAsia="zh-CN"/>
              </w:rPr>
              <w:t>管线名称</w:t>
            </w:r>
          </w:p>
        </w:tc>
        <w:tc>
          <w:tcPr>
            <w:tcW w:w="3187" w:type="dxa"/>
            <w:gridSpan w:val="3"/>
            <w:tcBorders>
              <w:top w:val="single" w:color="000000" w:sz="8" w:space="0"/>
            </w:tcBorders>
            <w:vAlign w:val="center"/>
          </w:tcPr>
          <w:p w14:paraId="32A0923D">
            <w:pPr>
              <w:jc w:val="center"/>
              <w:rPr>
                <w:color w:val="auto"/>
                <w:highlight w:val="none"/>
              </w:rPr>
            </w:pPr>
          </w:p>
        </w:tc>
      </w:tr>
      <w:tr w14:paraId="4D0FDB4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19" w:hRule="atLeast"/>
        </w:trPr>
        <w:tc>
          <w:tcPr>
            <w:tcW w:w="611" w:type="dxa"/>
            <w:tcBorders>
              <w:top w:val="single" w:color="000000" w:sz="6" w:space="0"/>
              <w:left w:val="single" w:color="000000" w:sz="8" w:space="0"/>
              <w:right w:val="single" w:color="000000" w:sz="6" w:space="0"/>
            </w:tcBorders>
            <w:vAlign w:val="center"/>
          </w:tcPr>
          <w:p w14:paraId="44191433">
            <w:pPr>
              <w:jc w:val="center"/>
              <w:rPr>
                <w:color w:val="auto"/>
                <w:highlight w:val="none"/>
              </w:rPr>
            </w:pPr>
            <w:r>
              <w:rPr>
                <w:rFonts w:hint="eastAsia"/>
                <w:color w:val="auto"/>
                <w:highlight w:val="none"/>
              </w:rPr>
              <w:t>测点编号</w:t>
            </w:r>
          </w:p>
        </w:tc>
        <w:tc>
          <w:tcPr>
            <w:tcW w:w="2410" w:type="dxa"/>
            <w:gridSpan w:val="3"/>
            <w:tcBorders>
              <w:top w:val="single" w:color="000000" w:sz="6" w:space="0"/>
              <w:left w:val="single" w:color="000000" w:sz="6" w:space="0"/>
              <w:right w:val="single" w:color="000000" w:sz="6" w:space="0"/>
            </w:tcBorders>
            <w:vAlign w:val="center"/>
          </w:tcPr>
          <w:p w14:paraId="2E6BF7E4">
            <w:pPr>
              <w:jc w:val="center"/>
              <w:rPr>
                <w:color w:val="auto"/>
                <w:highlight w:val="none"/>
              </w:rPr>
            </w:pPr>
            <w:r>
              <w:rPr>
                <w:rFonts w:hint="eastAsia"/>
                <w:color w:val="auto"/>
                <w:highlight w:val="none"/>
              </w:rPr>
              <w:t>测点部位</w:t>
            </w:r>
          </w:p>
        </w:tc>
        <w:tc>
          <w:tcPr>
            <w:tcW w:w="855" w:type="dxa"/>
            <w:gridSpan w:val="2"/>
            <w:tcBorders>
              <w:top w:val="single" w:color="000000" w:sz="6" w:space="0"/>
              <w:left w:val="single" w:color="000000" w:sz="6" w:space="0"/>
              <w:right w:val="single" w:color="000000" w:sz="6" w:space="0"/>
            </w:tcBorders>
            <w:vAlign w:val="center"/>
          </w:tcPr>
          <w:p w14:paraId="3ED8D87D">
            <w:pPr>
              <w:jc w:val="center"/>
              <w:rPr>
                <w:color w:val="auto"/>
                <w:highlight w:val="none"/>
              </w:rPr>
            </w:pPr>
            <w:r>
              <w:rPr>
                <w:rFonts w:hint="eastAsia"/>
                <w:color w:val="auto"/>
                <w:highlight w:val="none"/>
                <w:lang w:val="en-US" w:eastAsia="zh-CN"/>
              </w:rPr>
              <w:t>更换</w:t>
            </w:r>
            <w:r>
              <w:rPr>
                <w:rFonts w:hint="eastAsia"/>
                <w:color w:val="auto"/>
                <w:highlight w:val="none"/>
              </w:rPr>
              <w:t>前厚度</w:t>
            </w:r>
          </w:p>
          <w:p w14:paraId="1287F8B2">
            <w:pPr>
              <w:jc w:val="center"/>
              <w:rPr>
                <w:color w:val="auto"/>
                <w:highlight w:val="none"/>
              </w:rPr>
            </w:pPr>
            <w:r>
              <w:rPr>
                <w:rFonts w:hint="eastAsia"/>
                <w:color w:val="auto"/>
                <w:highlight w:val="none"/>
              </w:rPr>
              <w:t>mm</w:t>
            </w:r>
          </w:p>
        </w:tc>
        <w:tc>
          <w:tcPr>
            <w:tcW w:w="856" w:type="dxa"/>
            <w:tcBorders>
              <w:top w:val="single" w:color="000000" w:sz="6" w:space="0"/>
              <w:left w:val="single" w:color="000000" w:sz="6" w:space="0"/>
              <w:right w:val="double" w:color="000000" w:sz="4" w:space="0"/>
            </w:tcBorders>
            <w:vAlign w:val="center"/>
          </w:tcPr>
          <w:p w14:paraId="4ABA36B6">
            <w:pPr>
              <w:jc w:val="center"/>
              <w:rPr>
                <w:color w:val="auto"/>
                <w:highlight w:val="none"/>
              </w:rPr>
            </w:pPr>
            <w:r>
              <w:rPr>
                <w:rFonts w:hint="eastAsia"/>
                <w:color w:val="auto"/>
                <w:highlight w:val="none"/>
                <w:lang w:val="en-US" w:eastAsia="zh-CN"/>
              </w:rPr>
              <w:t>更换后</w:t>
            </w:r>
            <w:r>
              <w:rPr>
                <w:rFonts w:hint="eastAsia"/>
                <w:color w:val="auto"/>
                <w:highlight w:val="none"/>
              </w:rPr>
              <w:t>厚度</w:t>
            </w:r>
          </w:p>
          <w:p w14:paraId="40EFDD7C">
            <w:pPr>
              <w:jc w:val="center"/>
              <w:rPr>
                <w:color w:val="auto"/>
                <w:highlight w:val="none"/>
              </w:rPr>
            </w:pPr>
            <w:r>
              <w:rPr>
                <w:rFonts w:hint="eastAsia"/>
                <w:color w:val="auto"/>
                <w:highlight w:val="none"/>
              </w:rPr>
              <w:t>mm</w:t>
            </w: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7A31C7A8">
            <w:pPr>
              <w:jc w:val="center"/>
              <w:rPr>
                <w:color w:val="auto"/>
                <w:highlight w:val="none"/>
              </w:rPr>
            </w:pPr>
            <w:r>
              <w:rPr>
                <w:rFonts w:hint="eastAsia"/>
                <w:color w:val="auto"/>
                <w:highlight w:val="none"/>
              </w:rPr>
              <w:t>测点编号</w:t>
            </w:r>
          </w:p>
        </w:tc>
        <w:tc>
          <w:tcPr>
            <w:tcW w:w="2552" w:type="dxa"/>
            <w:gridSpan w:val="3"/>
            <w:tcBorders>
              <w:top w:val="single" w:color="000000" w:sz="6" w:space="0"/>
              <w:left w:val="single" w:color="000000" w:sz="6" w:space="0"/>
              <w:right w:val="single" w:color="000000" w:sz="6" w:space="0"/>
            </w:tcBorders>
            <w:vAlign w:val="center"/>
          </w:tcPr>
          <w:p w14:paraId="635DAC58">
            <w:pPr>
              <w:jc w:val="center"/>
              <w:rPr>
                <w:color w:val="auto"/>
                <w:highlight w:val="none"/>
              </w:rPr>
            </w:pPr>
            <w:r>
              <w:rPr>
                <w:rFonts w:hint="eastAsia"/>
                <w:color w:val="auto"/>
                <w:highlight w:val="none"/>
              </w:rPr>
              <w:t>测点部位</w:t>
            </w:r>
          </w:p>
        </w:tc>
        <w:tc>
          <w:tcPr>
            <w:tcW w:w="813" w:type="dxa"/>
            <w:tcBorders>
              <w:top w:val="single" w:color="000000" w:sz="6" w:space="0"/>
              <w:left w:val="single" w:color="000000" w:sz="6" w:space="0"/>
              <w:right w:val="single" w:color="000000" w:sz="6" w:space="0"/>
            </w:tcBorders>
            <w:vAlign w:val="center"/>
          </w:tcPr>
          <w:p w14:paraId="58596B59">
            <w:pPr>
              <w:jc w:val="center"/>
              <w:rPr>
                <w:color w:val="auto"/>
                <w:highlight w:val="none"/>
              </w:rPr>
            </w:pPr>
            <w:r>
              <w:rPr>
                <w:rFonts w:hint="eastAsia"/>
                <w:color w:val="auto"/>
                <w:highlight w:val="none"/>
                <w:lang w:val="en-US" w:eastAsia="zh-CN"/>
              </w:rPr>
              <w:t>更换</w:t>
            </w:r>
            <w:r>
              <w:rPr>
                <w:rFonts w:hint="eastAsia"/>
                <w:color w:val="auto"/>
                <w:highlight w:val="none"/>
              </w:rPr>
              <w:t>前厚度</w:t>
            </w:r>
          </w:p>
          <w:p w14:paraId="160F81C8">
            <w:pPr>
              <w:jc w:val="center"/>
              <w:rPr>
                <w:color w:val="auto"/>
                <w:highlight w:val="none"/>
              </w:rPr>
            </w:pPr>
            <w:r>
              <w:rPr>
                <w:rFonts w:hint="eastAsia"/>
                <w:color w:val="auto"/>
                <w:highlight w:val="none"/>
              </w:rPr>
              <w:t>mm</w:t>
            </w:r>
          </w:p>
        </w:tc>
        <w:tc>
          <w:tcPr>
            <w:tcW w:w="814" w:type="dxa"/>
            <w:tcBorders>
              <w:top w:val="single" w:color="000000" w:sz="6" w:space="0"/>
              <w:left w:val="single" w:color="000000" w:sz="6" w:space="0"/>
              <w:right w:val="single" w:color="000000" w:sz="8" w:space="0"/>
            </w:tcBorders>
            <w:vAlign w:val="center"/>
          </w:tcPr>
          <w:p w14:paraId="53AF7DB3">
            <w:pPr>
              <w:jc w:val="center"/>
              <w:rPr>
                <w:color w:val="auto"/>
                <w:highlight w:val="none"/>
              </w:rPr>
            </w:pPr>
            <w:r>
              <w:rPr>
                <w:rFonts w:hint="eastAsia"/>
                <w:color w:val="auto"/>
                <w:highlight w:val="none"/>
                <w:lang w:val="en-US" w:eastAsia="zh-CN"/>
              </w:rPr>
              <w:t>更换后</w:t>
            </w:r>
            <w:r>
              <w:rPr>
                <w:rFonts w:hint="eastAsia"/>
                <w:color w:val="auto"/>
                <w:highlight w:val="none"/>
              </w:rPr>
              <w:t>厚度</w:t>
            </w:r>
          </w:p>
          <w:p w14:paraId="20962B66">
            <w:pPr>
              <w:jc w:val="center"/>
              <w:rPr>
                <w:color w:val="auto"/>
                <w:highlight w:val="none"/>
              </w:rPr>
            </w:pPr>
            <w:r>
              <w:rPr>
                <w:rFonts w:hint="eastAsia"/>
                <w:color w:val="auto"/>
                <w:highlight w:val="none"/>
              </w:rPr>
              <w:t>mm</w:t>
            </w:r>
          </w:p>
        </w:tc>
      </w:tr>
      <w:tr w14:paraId="5B91F00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11" w:type="dxa"/>
            <w:tcBorders>
              <w:top w:val="single" w:color="000000" w:sz="6" w:space="0"/>
              <w:left w:val="single" w:color="000000" w:sz="8" w:space="0"/>
              <w:right w:val="single" w:color="000000" w:sz="6" w:space="0"/>
            </w:tcBorders>
            <w:vAlign w:val="center"/>
          </w:tcPr>
          <w:p w14:paraId="605F0C31">
            <w:pPr>
              <w:jc w:val="center"/>
              <w:rPr>
                <w:color w:val="auto"/>
                <w:highlight w:val="none"/>
              </w:rPr>
            </w:pPr>
          </w:p>
        </w:tc>
        <w:tc>
          <w:tcPr>
            <w:tcW w:w="2410" w:type="dxa"/>
            <w:gridSpan w:val="3"/>
            <w:tcBorders>
              <w:top w:val="single" w:color="000000" w:sz="6" w:space="0"/>
              <w:left w:val="single" w:color="000000" w:sz="6" w:space="0"/>
              <w:right w:val="single" w:color="000000" w:sz="6" w:space="0"/>
            </w:tcBorders>
            <w:vAlign w:val="center"/>
          </w:tcPr>
          <w:p w14:paraId="31795C42">
            <w:pPr>
              <w:jc w:val="center"/>
              <w:rPr>
                <w:color w:val="auto"/>
                <w:highlight w:val="none"/>
              </w:rPr>
            </w:pPr>
          </w:p>
        </w:tc>
        <w:tc>
          <w:tcPr>
            <w:tcW w:w="855" w:type="dxa"/>
            <w:gridSpan w:val="2"/>
            <w:tcBorders>
              <w:top w:val="single" w:color="000000" w:sz="6" w:space="0"/>
              <w:left w:val="single" w:color="000000" w:sz="6" w:space="0"/>
              <w:right w:val="single" w:color="000000" w:sz="6" w:space="0"/>
            </w:tcBorders>
            <w:vAlign w:val="center"/>
          </w:tcPr>
          <w:p w14:paraId="4E1B88A7">
            <w:pPr>
              <w:jc w:val="center"/>
              <w:rPr>
                <w:color w:val="auto"/>
                <w:highlight w:val="none"/>
              </w:rPr>
            </w:pPr>
          </w:p>
        </w:tc>
        <w:tc>
          <w:tcPr>
            <w:tcW w:w="856" w:type="dxa"/>
            <w:tcBorders>
              <w:top w:val="single" w:color="000000" w:sz="6" w:space="0"/>
              <w:left w:val="single" w:color="000000" w:sz="6" w:space="0"/>
              <w:right w:val="double" w:color="000000" w:sz="4" w:space="0"/>
            </w:tcBorders>
            <w:vAlign w:val="center"/>
          </w:tcPr>
          <w:p w14:paraId="687FE6E1">
            <w:pPr>
              <w:jc w:val="center"/>
              <w:rPr>
                <w:color w:val="auto"/>
                <w:highlight w:val="none"/>
              </w:rP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7BD204E4">
            <w:pPr>
              <w:jc w:val="center"/>
              <w:rPr>
                <w:color w:val="auto"/>
                <w:highlight w:val="none"/>
              </w:rPr>
            </w:pPr>
          </w:p>
        </w:tc>
        <w:tc>
          <w:tcPr>
            <w:tcW w:w="2552" w:type="dxa"/>
            <w:gridSpan w:val="3"/>
            <w:tcBorders>
              <w:top w:val="single" w:color="000000" w:sz="6" w:space="0"/>
              <w:left w:val="single" w:color="000000" w:sz="6" w:space="0"/>
              <w:right w:val="single" w:color="000000" w:sz="6" w:space="0"/>
            </w:tcBorders>
            <w:vAlign w:val="center"/>
          </w:tcPr>
          <w:p w14:paraId="71B3B7B6">
            <w:pPr>
              <w:jc w:val="center"/>
              <w:rPr>
                <w:color w:val="auto"/>
                <w:highlight w:val="none"/>
              </w:rPr>
            </w:pPr>
          </w:p>
        </w:tc>
        <w:tc>
          <w:tcPr>
            <w:tcW w:w="813" w:type="dxa"/>
            <w:tcBorders>
              <w:top w:val="single" w:color="000000" w:sz="6" w:space="0"/>
              <w:left w:val="single" w:color="000000" w:sz="6" w:space="0"/>
              <w:right w:val="single" w:color="000000" w:sz="6" w:space="0"/>
            </w:tcBorders>
            <w:vAlign w:val="center"/>
          </w:tcPr>
          <w:p w14:paraId="22E1B364">
            <w:pPr>
              <w:jc w:val="center"/>
              <w:rPr>
                <w:color w:val="auto"/>
                <w:highlight w:val="none"/>
              </w:rPr>
            </w:pPr>
          </w:p>
        </w:tc>
        <w:tc>
          <w:tcPr>
            <w:tcW w:w="814" w:type="dxa"/>
            <w:tcBorders>
              <w:top w:val="single" w:color="000000" w:sz="6" w:space="0"/>
              <w:left w:val="single" w:color="000000" w:sz="6" w:space="0"/>
              <w:right w:val="single" w:color="000000" w:sz="8" w:space="0"/>
            </w:tcBorders>
            <w:vAlign w:val="center"/>
          </w:tcPr>
          <w:p w14:paraId="26945636">
            <w:pPr>
              <w:jc w:val="center"/>
              <w:rPr>
                <w:color w:val="auto"/>
                <w:highlight w:val="none"/>
              </w:rPr>
            </w:pPr>
          </w:p>
        </w:tc>
      </w:tr>
      <w:tr w14:paraId="4B03308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11" w:type="dxa"/>
            <w:tcBorders>
              <w:top w:val="single" w:color="000000" w:sz="6" w:space="0"/>
              <w:left w:val="single" w:color="000000" w:sz="8" w:space="0"/>
              <w:right w:val="single" w:color="000000" w:sz="6" w:space="0"/>
            </w:tcBorders>
            <w:vAlign w:val="center"/>
          </w:tcPr>
          <w:p w14:paraId="310A4EB5">
            <w:pPr>
              <w:jc w:val="center"/>
              <w:rPr>
                <w:color w:val="auto"/>
                <w:highlight w:val="none"/>
              </w:rPr>
            </w:pPr>
          </w:p>
        </w:tc>
        <w:tc>
          <w:tcPr>
            <w:tcW w:w="2410" w:type="dxa"/>
            <w:gridSpan w:val="3"/>
            <w:tcBorders>
              <w:top w:val="single" w:color="000000" w:sz="6" w:space="0"/>
              <w:left w:val="single" w:color="000000" w:sz="6" w:space="0"/>
              <w:right w:val="single" w:color="000000" w:sz="6" w:space="0"/>
            </w:tcBorders>
            <w:vAlign w:val="center"/>
          </w:tcPr>
          <w:p w14:paraId="0956D4D0">
            <w:pPr>
              <w:jc w:val="center"/>
              <w:rPr>
                <w:color w:val="auto"/>
                <w:highlight w:val="none"/>
              </w:rPr>
            </w:pPr>
          </w:p>
        </w:tc>
        <w:tc>
          <w:tcPr>
            <w:tcW w:w="855" w:type="dxa"/>
            <w:gridSpan w:val="2"/>
            <w:tcBorders>
              <w:top w:val="single" w:color="000000" w:sz="6" w:space="0"/>
              <w:left w:val="single" w:color="000000" w:sz="6" w:space="0"/>
              <w:right w:val="single" w:color="000000" w:sz="6" w:space="0"/>
            </w:tcBorders>
            <w:vAlign w:val="center"/>
          </w:tcPr>
          <w:p w14:paraId="2910026C">
            <w:pPr>
              <w:jc w:val="center"/>
              <w:rPr>
                <w:color w:val="auto"/>
                <w:highlight w:val="none"/>
              </w:rPr>
            </w:pPr>
          </w:p>
        </w:tc>
        <w:tc>
          <w:tcPr>
            <w:tcW w:w="856" w:type="dxa"/>
            <w:tcBorders>
              <w:top w:val="single" w:color="000000" w:sz="6" w:space="0"/>
              <w:left w:val="single" w:color="000000" w:sz="6" w:space="0"/>
              <w:right w:val="double" w:color="000000" w:sz="4" w:space="0"/>
            </w:tcBorders>
            <w:vAlign w:val="center"/>
          </w:tcPr>
          <w:p w14:paraId="15C5F020">
            <w:pPr>
              <w:jc w:val="center"/>
              <w:rPr>
                <w:color w:val="auto"/>
                <w:highlight w:val="none"/>
              </w:rP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27E9D758">
            <w:pPr>
              <w:jc w:val="center"/>
              <w:rPr>
                <w:color w:val="auto"/>
                <w:highlight w:val="none"/>
              </w:rPr>
            </w:pPr>
          </w:p>
        </w:tc>
        <w:tc>
          <w:tcPr>
            <w:tcW w:w="2552" w:type="dxa"/>
            <w:gridSpan w:val="3"/>
            <w:tcBorders>
              <w:top w:val="single" w:color="000000" w:sz="6" w:space="0"/>
              <w:left w:val="single" w:color="000000" w:sz="6" w:space="0"/>
              <w:right w:val="single" w:color="000000" w:sz="6" w:space="0"/>
            </w:tcBorders>
            <w:vAlign w:val="center"/>
          </w:tcPr>
          <w:p w14:paraId="30356BD1">
            <w:pPr>
              <w:jc w:val="center"/>
              <w:rPr>
                <w:color w:val="auto"/>
                <w:highlight w:val="none"/>
              </w:rPr>
            </w:pPr>
          </w:p>
        </w:tc>
        <w:tc>
          <w:tcPr>
            <w:tcW w:w="813" w:type="dxa"/>
            <w:tcBorders>
              <w:top w:val="single" w:color="000000" w:sz="6" w:space="0"/>
              <w:left w:val="single" w:color="000000" w:sz="6" w:space="0"/>
              <w:right w:val="single" w:color="000000" w:sz="6" w:space="0"/>
            </w:tcBorders>
            <w:vAlign w:val="center"/>
          </w:tcPr>
          <w:p w14:paraId="3275F1BF">
            <w:pPr>
              <w:jc w:val="center"/>
              <w:rPr>
                <w:color w:val="auto"/>
                <w:highlight w:val="none"/>
              </w:rPr>
            </w:pPr>
          </w:p>
        </w:tc>
        <w:tc>
          <w:tcPr>
            <w:tcW w:w="814" w:type="dxa"/>
            <w:tcBorders>
              <w:top w:val="single" w:color="000000" w:sz="6" w:space="0"/>
              <w:left w:val="single" w:color="000000" w:sz="6" w:space="0"/>
              <w:right w:val="single" w:color="000000" w:sz="8" w:space="0"/>
            </w:tcBorders>
            <w:vAlign w:val="center"/>
          </w:tcPr>
          <w:p w14:paraId="14888EA8">
            <w:pPr>
              <w:jc w:val="center"/>
              <w:rPr>
                <w:color w:val="auto"/>
                <w:highlight w:val="none"/>
              </w:rPr>
            </w:pPr>
          </w:p>
        </w:tc>
      </w:tr>
      <w:tr w14:paraId="59F4148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11" w:type="dxa"/>
            <w:tcBorders>
              <w:top w:val="single" w:color="000000" w:sz="6" w:space="0"/>
              <w:left w:val="single" w:color="000000" w:sz="8" w:space="0"/>
              <w:right w:val="single" w:color="000000" w:sz="6" w:space="0"/>
            </w:tcBorders>
            <w:vAlign w:val="center"/>
          </w:tcPr>
          <w:p w14:paraId="7B16702C">
            <w:pPr>
              <w:jc w:val="center"/>
              <w:rPr>
                <w:color w:val="auto"/>
                <w:highlight w:val="none"/>
              </w:rPr>
            </w:pPr>
          </w:p>
        </w:tc>
        <w:tc>
          <w:tcPr>
            <w:tcW w:w="2410" w:type="dxa"/>
            <w:gridSpan w:val="3"/>
            <w:tcBorders>
              <w:top w:val="single" w:color="000000" w:sz="6" w:space="0"/>
              <w:left w:val="single" w:color="000000" w:sz="6" w:space="0"/>
              <w:right w:val="single" w:color="000000" w:sz="6" w:space="0"/>
            </w:tcBorders>
            <w:vAlign w:val="center"/>
          </w:tcPr>
          <w:p w14:paraId="65C4FB33">
            <w:pPr>
              <w:jc w:val="center"/>
              <w:rPr>
                <w:color w:val="auto"/>
                <w:highlight w:val="none"/>
              </w:rPr>
            </w:pPr>
          </w:p>
        </w:tc>
        <w:tc>
          <w:tcPr>
            <w:tcW w:w="855" w:type="dxa"/>
            <w:gridSpan w:val="2"/>
            <w:tcBorders>
              <w:top w:val="single" w:color="000000" w:sz="6" w:space="0"/>
              <w:left w:val="single" w:color="000000" w:sz="6" w:space="0"/>
              <w:right w:val="single" w:color="000000" w:sz="6" w:space="0"/>
            </w:tcBorders>
            <w:vAlign w:val="center"/>
          </w:tcPr>
          <w:p w14:paraId="3BF80845">
            <w:pPr>
              <w:jc w:val="center"/>
              <w:rPr>
                <w:color w:val="auto"/>
                <w:highlight w:val="none"/>
              </w:rPr>
            </w:pPr>
          </w:p>
        </w:tc>
        <w:tc>
          <w:tcPr>
            <w:tcW w:w="856" w:type="dxa"/>
            <w:tcBorders>
              <w:top w:val="single" w:color="000000" w:sz="6" w:space="0"/>
              <w:left w:val="single" w:color="000000" w:sz="6" w:space="0"/>
              <w:right w:val="double" w:color="000000" w:sz="4" w:space="0"/>
            </w:tcBorders>
            <w:vAlign w:val="center"/>
          </w:tcPr>
          <w:p w14:paraId="6085F270">
            <w:pPr>
              <w:jc w:val="center"/>
              <w:rPr>
                <w:color w:val="auto"/>
                <w:highlight w:val="none"/>
              </w:rP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4E1C52CD">
            <w:pPr>
              <w:jc w:val="center"/>
              <w:rPr>
                <w:color w:val="auto"/>
                <w:highlight w:val="none"/>
              </w:rPr>
            </w:pPr>
          </w:p>
        </w:tc>
        <w:tc>
          <w:tcPr>
            <w:tcW w:w="2552" w:type="dxa"/>
            <w:gridSpan w:val="3"/>
            <w:tcBorders>
              <w:top w:val="single" w:color="000000" w:sz="6" w:space="0"/>
              <w:left w:val="single" w:color="000000" w:sz="6" w:space="0"/>
              <w:right w:val="single" w:color="000000" w:sz="6" w:space="0"/>
            </w:tcBorders>
            <w:vAlign w:val="center"/>
          </w:tcPr>
          <w:p w14:paraId="0A3C14E9">
            <w:pPr>
              <w:jc w:val="center"/>
              <w:rPr>
                <w:color w:val="auto"/>
                <w:highlight w:val="none"/>
              </w:rPr>
            </w:pPr>
          </w:p>
        </w:tc>
        <w:tc>
          <w:tcPr>
            <w:tcW w:w="813" w:type="dxa"/>
            <w:tcBorders>
              <w:top w:val="single" w:color="000000" w:sz="6" w:space="0"/>
              <w:left w:val="single" w:color="000000" w:sz="6" w:space="0"/>
              <w:right w:val="single" w:color="000000" w:sz="6" w:space="0"/>
            </w:tcBorders>
            <w:vAlign w:val="center"/>
          </w:tcPr>
          <w:p w14:paraId="145B4313">
            <w:pPr>
              <w:jc w:val="center"/>
              <w:rPr>
                <w:color w:val="auto"/>
                <w:highlight w:val="none"/>
              </w:rPr>
            </w:pPr>
          </w:p>
        </w:tc>
        <w:tc>
          <w:tcPr>
            <w:tcW w:w="814" w:type="dxa"/>
            <w:tcBorders>
              <w:top w:val="single" w:color="000000" w:sz="6" w:space="0"/>
              <w:left w:val="single" w:color="000000" w:sz="6" w:space="0"/>
              <w:right w:val="single" w:color="000000" w:sz="8" w:space="0"/>
            </w:tcBorders>
            <w:vAlign w:val="center"/>
          </w:tcPr>
          <w:p w14:paraId="6A6ED186">
            <w:pPr>
              <w:jc w:val="center"/>
              <w:rPr>
                <w:color w:val="auto"/>
                <w:highlight w:val="none"/>
              </w:rPr>
            </w:pPr>
          </w:p>
        </w:tc>
      </w:tr>
      <w:tr w14:paraId="1D4C26F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11" w:type="dxa"/>
            <w:tcBorders>
              <w:top w:val="single" w:color="000000" w:sz="6" w:space="0"/>
              <w:left w:val="single" w:color="000000" w:sz="8" w:space="0"/>
              <w:right w:val="single" w:color="000000" w:sz="6" w:space="0"/>
            </w:tcBorders>
            <w:vAlign w:val="center"/>
          </w:tcPr>
          <w:p w14:paraId="693E32CE">
            <w:pPr>
              <w:jc w:val="center"/>
              <w:rPr>
                <w:color w:val="auto"/>
                <w:highlight w:val="none"/>
              </w:rPr>
            </w:pPr>
          </w:p>
        </w:tc>
        <w:tc>
          <w:tcPr>
            <w:tcW w:w="2410" w:type="dxa"/>
            <w:gridSpan w:val="3"/>
            <w:tcBorders>
              <w:top w:val="single" w:color="000000" w:sz="6" w:space="0"/>
              <w:left w:val="single" w:color="000000" w:sz="6" w:space="0"/>
              <w:right w:val="single" w:color="000000" w:sz="6" w:space="0"/>
            </w:tcBorders>
            <w:vAlign w:val="center"/>
          </w:tcPr>
          <w:p w14:paraId="6D11494B">
            <w:pPr>
              <w:jc w:val="center"/>
              <w:rPr>
                <w:color w:val="auto"/>
                <w:highlight w:val="none"/>
              </w:rPr>
            </w:pPr>
          </w:p>
        </w:tc>
        <w:tc>
          <w:tcPr>
            <w:tcW w:w="855" w:type="dxa"/>
            <w:gridSpan w:val="2"/>
            <w:tcBorders>
              <w:top w:val="single" w:color="000000" w:sz="6" w:space="0"/>
              <w:left w:val="single" w:color="000000" w:sz="6" w:space="0"/>
              <w:right w:val="single" w:color="000000" w:sz="6" w:space="0"/>
            </w:tcBorders>
            <w:vAlign w:val="center"/>
          </w:tcPr>
          <w:p w14:paraId="5743BAE0">
            <w:pPr>
              <w:jc w:val="center"/>
              <w:rPr>
                <w:color w:val="auto"/>
                <w:highlight w:val="none"/>
              </w:rPr>
            </w:pPr>
          </w:p>
        </w:tc>
        <w:tc>
          <w:tcPr>
            <w:tcW w:w="856" w:type="dxa"/>
            <w:tcBorders>
              <w:top w:val="single" w:color="000000" w:sz="6" w:space="0"/>
              <w:left w:val="single" w:color="000000" w:sz="6" w:space="0"/>
              <w:right w:val="double" w:color="000000" w:sz="4" w:space="0"/>
            </w:tcBorders>
            <w:vAlign w:val="center"/>
          </w:tcPr>
          <w:p w14:paraId="6AE69DEE">
            <w:pPr>
              <w:jc w:val="center"/>
              <w:rPr>
                <w:color w:val="auto"/>
                <w:highlight w:val="none"/>
              </w:rP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7EAC9B74">
            <w:pPr>
              <w:jc w:val="center"/>
              <w:rPr>
                <w:color w:val="auto"/>
                <w:highlight w:val="none"/>
              </w:rPr>
            </w:pPr>
          </w:p>
        </w:tc>
        <w:tc>
          <w:tcPr>
            <w:tcW w:w="2552" w:type="dxa"/>
            <w:gridSpan w:val="3"/>
            <w:tcBorders>
              <w:top w:val="single" w:color="000000" w:sz="6" w:space="0"/>
              <w:left w:val="single" w:color="000000" w:sz="6" w:space="0"/>
              <w:right w:val="single" w:color="000000" w:sz="6" w:space="0"/>
            </w:tcBorders>
            <w:vAlign w:val="center"/>
          </w:tcPr>
          <w:p w14:paraId="2393732F">
            <w:pPr>
              <w:jc w:val="center"/>
              <w:rPr>
                <w:color w:val="auto"/>
                <w:highlight w:val="none"/>
              </w:rPr>
            </w:pPr>
          </w:p>
        </w:tc>
        <w:tc>
          <w:tcPr>
            <w:tcW w:w="813" w:type="dxa"/>
            <w:tcBorders>
              <w:top w:val="single" w:color="000000" w:sz="6" w:space="0"/>
              <w:left w:val="single" w:color="000000" w:sz="6" w:space="0"/>
              <w:right w:val="single" w:color="000000" w:sz="6" w:space="0"/>
            </w:tcBorders>
            <w:vAlign w:val="center"/>
          </w:tcPr>
          <w:p w14:paraId="59F999F9">
            <w:pPr>
              <w:jc w:val="center"/>
              <w:rPr>
                <w:color w:val="auto"/>
                <w:highlight w:val="none"/>
              </w:rPr>
            </w:pPr>
          </w:p>
        </w:tc>
        <w:tc>
          <w:tcPr>
            <w:tcW w:w="814" w:type="dxa"/>
            <w:tcBorders>
              <w:top w:val="single" w:color="000000" w:sz="6" w:space="0"/>
              <w:left w:val="single" w:color="000000" w:sz="6" w:space="0"/>
              <w:right w:val="single" w:color="000000" w:sz="8" w:space="0"/>
            </w:tcBorders>
            <w:vAlign w:val="center"/>
          </w:tcPr>
          <w:p w14:paraId="67DF9070">
            <w:pPr>
              <w:jc w:val="center"/>
              <w:rPr>
                <w:color w:val="auto"/>
                <w:highlight w:val="none"/>
              </w:rPr>
            </w:pPr>
          </w:p>
        </w:tc>
      </w:tr>
      <w:tr w14:paraId="5DB4947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11" w:type="dxa"/>
            <w:tcBorders>
              <w:top w:val="single" w:color="000000" w:sz="6" w:space="0"/>
              <w:left w:val="single" w:color="000000" w:sz="8" w:space="0"/>
              <w:right w:val="single" w:color="000000" w:sz="6" w:space="0"/>
            </w:tcBorders>
            <w:vAlign w:val="center"/>
          </w:tcPr>
          <w:p w14:paraId="705734A6">
            <w:pPr>
              <w:jc w:val="center"/>
              <w:rPr>
                <w:color w:val="auto"/>
                <w:highlight w:val="none"/>
              </w:rPr>
            </w:pPr>
          </w:p>
        </w:tc>
        <w:tc>
          <w:tcPr>
            <w:tcW w:w="2410" w:type="dxa"/>
            <w:gridSpan w:val="3"/>
            <w:tcBorders>
              <w:top w:val="single" w:color="000000" w:sz="6" w:space="0"/>
              <w:left w:val="single" w:color="000000" w:sz="6" w:space="0"/>
              <w:right w:val="single" w:color="000000" w:sz="6" w:space="0"/>
            </w:tcBorders>
            <w:vAlign w:val="center"/>
          </w:tcPr>
          <w:p w14:paraId="4A7C0DF5">
            <w:pPr>
              <w:jc w:val="center"/>
              <w:rPr>
                <w:color w:val="auto"/>
                <w:highlight w:val="none"/>
              </w:rPr>
            </w:pPr>
          </w:p>
        </w:tc>
        <w:tc>
          <w:tcPr>
            <w:tcW w:w="855" w:type="dxa"/>
            <w:gridSpan w:val="2"/>
            <w:tcBorders>
              <w:top w:val="single" w:color="000000" w:sz="6" w:space="0"/>
              <w:left w:val="single" w:color="000000" w:sz="6" w:space="0"/>
              <w:right w:val="single" w:color="000000" w:sz="6" w:space="0"/>
            </w:tcBorders>
            <w:vAlign w:val="center"/>
          </w:tcPr>
          <w:p w14:paraId="00E1E6C7">
            <w:pPr>
              <w:jc w:val="center"/>
              <w:rPr>
                <w:color w:val="auto"/>
                <w:highlight w:val="none"/>
              </w:rPr>
            </w:pPr>
          </w:p>
        </w:tc>
        <w:tc>
          <w:tcPr>
            <w:tcW w:w="856" w:type="dxa"/>
            <w:tcBorders>
              <w:top w:val="single" w:color="000000" w:sz="6" w:space="0"/>
              <w:left w:val="single" w:color="000000" w:sz="6" w:space="0"/>
              <w:right w:val="double" w:color="000000" w:sz="4" w:space="0"/>
            </w:tcBorders>
            <w:vAlign w:val="center"/>
          </w:tcPr>
          <w:p w14:paraId="573A6E1E">
            <w:pPr>
              <w:jc w:val="center"/>
              <w:rPr>
                <w:color w:val="auto"/>
                <w:highlight w:val="none"/>
              </w:rP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4073E513">
            <w:pPr>
              <w:jc w:val="center"/>
              <w:rPr>
                <w:color w:val="auto"/>
                <w:highlight w:val="none"/>
              </w:rPr>
            </w:pPr>
          </w:p>
        </w:tc>
        <w:tc>
          <w:tcPr>
            <w:tcW w:w="2552" w:type="dxa"/>
            <w:gridSpan w:val="3"/>
            <w:tcBorders>
              <w:top w:val="single" w:color="000000" w:sz="6" w:space="0"/>
              <w:left w:val="single" w:color="000000" w:sz="6" w:space="0"/>
              <w:right w:val="single" w:color="000000" w:sz="6" w:space="0"/>
            </w:tcBorders>
            <w:vAlign w:val="center"/>
          </w:tcPr>
          <w:p w14:paraId="3BAA44E4">
            <w:pPr>
              <w:jc w:val="center"/>
              <w:rPr>
                <w:color w:val="auto"/>
                <w:highlight w:val="none"/>
              </w:rPr>
            </w:pPr>
          </w:p>
        </w:tc>
        <w:tc>
          <w:tcPr>
            <w:tcW w:w="813" w:type="dxa"/>
            <w:tcBorders>
              <w:top w:val="single" w:color="000000" w:sz="6" w:space="0"/>
              <w:left w:val="single" w:color="000000" w:sz="6" w:space="0"/>
              <w:right w:val="single" w:color="000000" w:sz="6" w:space="0"/>
            </w:tcBorders>
            <w:vAlign w:val="center"/>
          </w:tcPr>
          <w:p w14:paraId="1743265B">
            <w:pPr>
              <w:jc w:val="center"/>
              <w:rPr>
                <w:color w:val="auto"/>
                <w:highlight w:val="none"/>
              </w:rPr>
            </w:pPr>
          </w:p>
        </w:tc>
        <w:tc>
          <w:tcPr>
            <w:tcW w:w="814" w:type="dxa"/>
            <w:tcBorders>
              <w:top w:val="single" w:color="000000" w:sz="6" w:space="0"/>
              <w:left w:val="single" w:color="000000" w:sz="6" w:space="0"/>
              <w:right w:val="single" w:color="000000" w:sz="8" w:space="0"/>
            </w:tcBorders>
            <w:vAlign w:val="center"/>
          </w:tcPr>
          <w:p w14:paraId="16649CF6">
            <w:pPr>
              <w:jc w:val="center"/>
              <w:rPr>
                <w:color w:val="auto"/>
                <w:highlight w:val="none"/>
              </w:rPr>
            </w:pPr>
          </w:p>
        </w:tc>
      </w:tr>
      <w:tr w14:paraId="0BF5056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11" w:type="dxa"/>
            <w:tcBorders>
              <w:top w:val="single" w:color="000000" w:sz="6" w:space="0"/>
              <w:left w:val="single" w:color="000000" w:sz="8" w:space="0"/>
              <w:right w:val="single" w:color="000000" w:sz="6" w:space="0"/>
            </w:tcBorders>
            <w:vAlign w:val="center"/>
          </w:tcPr>
          <w:p w14:paraId="6CD0DD25">
            <w:pPr>
              <w:jc w:val="center"/>
              <w:rPr>
                <w:color w:val="auto"/>
                <w:highlight w:val="none"/>
              </w:rPr>
            </w:pPr>
          </w:p>
        </w:tc>
        <w:tc>
          <w:tcPr>
            <w:tcW w:w="2410" w:type="dxa"/>
            <w:gridSpan w:val="3"/>
            <w:tcBorders>
              <w:top w:val="single" w:color="000000" w:sz="6" w:space="0"/>
              <w:left w:val="single" w:color="000000" w:sz="6" w:space="0"/>
              <w:right w:val="single" w:color="000000" w:sz="6" w:space="0"/>
            </w:tcBorders>
            <w:vAlign w:val="center"/>
          </w:tcPr>
          <w:p w14:paraId="21058E99">
            <w:pPr>
              <w:jc w:val="center"/>
              <w:rPr>
                <w:color w:val="auto"/>
                <w:highlight w:val="none"/>
              </w:rPr>
            </w:pPr>
          </w:p>
        </w:tc>
        <w:tc>
          <w:tcPr>
            <w:tcW w:w="855" w:type="dxa"/>
            <w:gridSpan w:val="2"/>
            <w:tcBorders>
              <w:top w:val="single" w:color="000000" w:sz="6" w:space="0"/>
              <w:left w:val="single" w:color="000000" w:sz="6" w:space="0"/>
              <w:right w:val="single" w:color="000000" w:sz="6" w:space="0"/>
            </w:tcBorders>
            <w:vAlign w:val="center"/>
          </w:tcPr>
          <w:p w14:paraId="7E38A90D">
            <w:pPr>
              <w:jc w:val="center"/>
              <w:rPr>
                <w:color w:val="auto"/>
                <w:highlight w:val="none"/>
              </w:rPr>
            </w:pPr>
          </w:p>
        </w:tc>
        <w:tc>
          <w:tcPr>
            <w:tcW w:w="856" w:type="dxa"/>
            <w:tcBorders>
              <w:top w:val="single" w:color="000000" w:sz="6" w:space="0"/>
              <w:left w:val="single" w:color="000000" w:sz="6" w:space="0"/>
              <w:right w:val="double" w:color="000000" w:sz="4" w:space="0"/>
            </w:tcBorders>
            <w:vAlign w:val="center"/>
          </w:tcPr>
          <w:p w14:paraId="0BC314CC">
            <w:pPr>
              <w:jc w:val="center"/>
              <w:rPr>
                <w:color w:val="auto"/>
                <w:highlight w:val="none"/>
              </w:rP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3819FA16">
            <w:pPr>
              <w:jc w:val="center"/>
              <w:rPr>
                <w:color w:val="auto"/>
                <w:highlight w:val="none"/>
              </w:rPr>
            </w:pPr>
          </w:p>
        </w:tc>
        <w:tc>
          <w:tcPr>
            <w:tcW w:w="2552" w:type="dxa"/>
            <w:gridSpan w:val="3"/>
            <w:tcBorders>
              <w:top w:val="single" w:color="000000" w:sz="6" w:space="0"/>
              <w:left w:val="single" w:color="000000" w:sz="6" w:space="0"/>
              <w:right w:val="single" w:color="000000" w:sz="6" w:space="0"/>
            </w:tcBorders>
            <w:vAlign w:val="center"/>
          </w:tcPr>
          <w:p w14:paraId="73CA602D">
            <w:pPr>
              <w:jc w:val="center"/>
              <w:rPr>
                <w:color w:val="auto"/>
                <w:highlight w:val="none"/>
              </w:rPr>
            </w:pPr>
          </w:p>
        </w:tc>
        <w:tc>
          <w:tcPr>
            <w:tcW w:w="813" w:type="dxa"/>
            <w:tcBorders>
              <w:top w:val="single" w:color="000000" w:sz="6" w:space="0"/>
              <w:left w:val="single" w:color="000000" w:sz="6" w:space="0"/>
              <w:right w:val="single" w:color="000000" w:sz="6" w:space="0"/>
            </w:tcBorders>
            <w:vAlign w:val="center"/>
          </w:tcPr>
          <w:p w14:paraId="100C8433">
            <w:pPr>
              <w:jc w:val="center"/>
              <w:rPr>
                <w:color w:val="auto"/>
                <w:highlight w:val="none"/>
              </w:rPr>
            </w:pPr>
          </w:p>
        </w:tc>
        <w:tc>
          <w:tcPr>
            <w:tcW w:w="814" w:type="dxa"/>
            <w:tcBorders>
              <w:top w:val="single" w:color="000000" w:sz="6" w:space="0"/>
              <w:left w:val="single" w:color="000000" w:sz="6" w:space="0"/>
              <w:right w:val="single" w:color="000000" w:sz="8" w:space="0"/>
            </w:tcBorders>
            <w:vAlign w:val="center"/>
          </w:tcPr>
          <w:p w14:paraId="121BBFB6">
            <w:pPr>
              <w:jc w:val="center"/>
              <w:rPr>
                <w:color w:val="auto"/>
                <w:highlight w:val="none"/>
              </w:rPr>
            </w:pPr>
          </w:p>
        </w:tc>
      </w:tr>
      <w:tr w14:paraId="38C1FF7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11" w:type="dxa"/>
            <w:tcBorders>
              <w:top w:val="single" w:color="000000" w:sz="6" w:space="0"/>
              <w:left w:val="single" w:color="000000" w:sz="8" w:space="0"/>
              <w:right w:val="single" w:color="000000" w:sz="6" w:space="0"/>
            </w:tcBorders>
            <w:vAlign w:val="center"/>
          </w:tcPr>
          <w:p w14:paraId="5DAFCA2F">
            <w:pPr>
              <w:jc w:val="center"/>
              <w:rPr>
                <w:color w:val="auto"/>
                <w:highlight w:val="none"/>
              </w:rPr>
            </w:pPr>
          </w:p>
        </w:tc>
        <w:tc>
          <w:tcPr>
            <w:tcW w:w="2410" w:type="dxa"/>
            <w:gridSpan w:val="3"/>
            <w:tcBorders>
              <w:top w:val="single" w:color="000000" w:sz="6" w:space="0"/>
              <w:left w:val="single" w:color="000000" w:sz="6" w:space="0"/>
              <w:right w:val="single" w:color="000000" w:sz="6" w:space="0"/>
            </w:tcBorders>
            <w:vAlign w:val="center"/>
          </w:tcPr>
          <w:p w14:paraId="2FB9220B">
            <w:pPr>
              <w:jc w:val="center"/>
              <w:rPr>
                <w:color w:val="auto"/>
                <w:highlight w:val="none"/>
              </w:rPr>
            </w:pPr>
          </w:p>
        </w:tc>
        <w:tc>
          <w:tcPr>
            <w:tcW w:w="855" w:type="dxa"/>
            <w:gridSpan w:val="2"/>
            <w:tcBorders>
              <w:top w:val="single" w:color="000000" w:sz="6" w:space="0"/>
              <w:left w:val="single" w:color="000000" w:sz="6" w:space="0"/>
              <w:right w:val="single" w:color="000000" w:sz="6" w:space="0"/>
            </w:tcBorders>
            <w:vAlign w:val="center"/>
          </w:tcPr>
          <w:p w14:paraId="35666028">
            <w:pPr>
              <w:jc w:val="center"/>
              <w:rPr>
                <w:color w:val="auto"/>
                <w:highlight w:val="none"/>
              </w:rPr>
            </w:pPr>
          </w:p>
        </w:tc>
        <w:tc>
          <w:tcPr>
            <w:tcW w:w="856" w:type="dxa"/>
            <w:tcBorders>
              <w:top w:val="single" w:color="000000" w:sz="6" w:space="0"/>
              <w:left w:val="single" w:color="000000" w:sz="6" w:space="0"/>
              <w:right w:val="double" w:color="000000" w:sz="4" w:space="0"/>
            </w:tcBorders>
            <w:vAlign w:val="center"/>
          </w:tcPr>
          <w:p w14:paraId="2D66AC0D">
            <w:pPr>
              <w:jc w:val="center"/>
              <w:rPr>
                <w:color w:val="auto"/>
                <w:highlight w:val="none"/>
              </w:rP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54F7067E">
            <w:pPr>
              <w:jc w:val="center"/>
              <w:rPr>
                <w:color w:val="auto"/>
                <w:highlight w:val="none"/>
              </w:rPr>
            </w:pPr>
          </w:p>
        </w:tc>
        <w:tc>
          <w:tcPr>
            <w:tcW w:w="2552" w:type="dxa"/>
            <w:gridSpan w:val="3"/>
            <w:tcBorders>
              <w:top w:val="single" w:color="000000" w:sz="6" w:space="0"/>
              <w:left w:val="single" w:color="000000" w:sz="6" w:space="0"/>
              <w:right w:val="single" w:color="000000" w:sz="6" w:space="0"/>
            </w:tcBorders>
            <w:vAlign w:val="center"/>
          </w:tcPr>
          <w:p w14:paraId="14D87D46">
            <w:pPr>
              <w:jc w:val="center"/>
              <w:rPr>
                <w:color w:val="auto"/>
                <w:highlight w:val="none"/>
              </w:rPr>
            </w:pPr>
          </w:p>
        </w:tc>
        <w:tc>
          <w:tcPr>
            <w:tcW w:w="813" w:type="dxa"/>
            <w:tcBorders>
              <w:top w:val="single" w:color="000000" w:sz="6" w:space="0"/>
              <w:left w:val="single" w:color="000000" w:sz="6" w:space="0"/>
              <w:right w:val="single" w:color="000000" w:sz="6" w:space="0"/>
            </w:tcBorders>
            <w:vAlign w:val="center"/>
          </w:tcPr>
          <w:p w14:paraId="1EF53B22">
            <w:pPr>
              <w:jc w:val="center"/>
              <w:rPr>
                <w:color w:val="auto"/>
                <w:highlight w:val="none"/>
              </w:rPr>
            </w:pPr>
          </w:p>
        </w:tc>
        <w:tc>
          <w:tcPr>
            <w:tcW w:w="814" w:type="dxa"/>
            <w:tcBorders>
              <w:top w:val="single" w:color="000000" w:sz="6" w:space="0"/>
              <w:left w:val="single" w:color="000000" w:sz="6" w:space="0"/>
              <w:right w:val="single" w:color="000000" w:sz="8" w:space="0"/>
            </w:tcBorders>
            <w:vAlign w:val="center"/>
          </w:tcPr>
          <w:p w14:paraId="3793B729">
            <w:pPr>
              <w:jc w:val="center"/>
              <w:rPr>
                <w:color w:val="auto"/>
                <w:highlight w:val="none"/>
              </w:rPr>
            </w:pPr>
          </w:p>
        </w:tc>
      </w:tr>
      <w:tr w14:paraId="343CEFC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11" w:type="dxa"/>
            <w:tcBorders>
              <w:top w:val="single" w:color="000000" w:sz="6" w:space="0"/>
              <w:left w:val="single" w:color="000000" w:sz="8" w:space="0"/>
              <w:right w:val="single" w:color="000000" w:sz="6" w:space="0"/>
            </w:tcBorders>
            <w:vAlign w:val="center"/>
          </w:tcPr>
          <w:p w14:paraId="08AB8F4E">
            <w:pPr>
              <w:jc w:val="center"/>
              <w:rPr>
                <w:color w:val="auto"/>
                <w:highlight w:val="none"/>
              </w:rPr>
            </w:pPr>
          </w:p>
        </w:tc>
        <w:tc>
          <w:tcPr>
            <w:tcW w:w="2410" w:type="dxa"/>
            <w:gridSpan w:val="3"/>
            <w:tcBorders>
              <w:top w:val="single" w:color="000000" w:sz="6" w:space="0"/>
              <w:left w:val="single" w:color="000000" w:sz="6" w:space="0"/>
              <w:right w:val="single" w:color="000000" w:sz="6" w:space="0"/>
            </w:tcBorders>
            <w:vAlign w:val="center"/>
          </w:tcPr>
          <w:p w14:paraId="26D3823A">
            <w:pPr>
              <w:jc w:val="center"/>
              <w:rPr>
                <w:color w:val="auto"/>
                <w:highlight w:val="none"/>
              </w:rPr>
            </w:pPr>
          </w:p>
        </w:tc>
        <w:tc>
          <w:tcPr>
            <w:tcW w:w="855" w:type="dxa"/>
            <w:gridSpan w:val="2"/>
            <w:tcBorders>
              <w:top w:val="single" w:color="000000" w:sz="6" w:space="0"/>
              <w:left w:val="single" w:color="000000" w:sz="6" w:space="0"/>
              <w:right w:val="single" w:color="000000" w:sz="6" w:space="0"/>
            </w:tcBorders>
            <w:vAlign w:val="center"/>
          </w:tcPr>
          <w:p w14:paraId="52BAB7D3">
            <w:pPr>
              <w:jc w:val="center"/>
              <w:rPr>
                <w:color w:val="auto"/>
                <w:highlight w:val="none"/>
              </w:rPr>
            </w:pPr>
          </w:p>
        </w:tc>
        <w:tc>
          <w:tcPr>
            <w:tcW w:w="856" w:type="dxa"/>
            <w:tcBorders>
              <w:top w:val="single" w:color="000000" w:sz="6" w:space="0"/>
              <w:left w:val="single" w:color="000000" w:sz="6" w:space="0"/>
              <w:right w:val="double" w:color="000000" w:sz="4" w:space="0"/>
            </w:tcBorders>
            <w:vAlign w:val="center"/>
          </w:tcPr>
          <w:p w14:paraId="31494373">
            <w:pPr>
              <w:jc w:val="center"/>
              <w:rPr>
                <w:color w:val="auto"/>
                <w:highlight w:val="none"/>
              </w:rP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0C75C0A0">
            <w:pPr>
              <w:jc w:val="center"/>
              <w:rPr>
                <w:color w:val="auto"/>
                <w:highlight w:val="none"/>
              </w:rPr>
            </w:pPr>
          </w:p>
        </w:tc>
        <w:tc>
          <w:tcPr>
            <w:tcW w:w="2552" w:type="dxa"/>
            <w:gridSpan w:val="3"/>
            <w:tcBorders>
              <w:top w:val="single" w:color="000000" w:sz="6" w:space="0"/>
              <w:left w:val="single" w:color="000000" w:sz="6" w:space="0"/>
              <w:right w:val="single" w:color="000000" w:sz="6" w:space="0"/>
            </w:tcBorders>
            <w:vAlign w:val="center"/>
          </w:tcPr>
          <w:p w14:paraId="77E0D7D9">
            <w:pPr>
              <w:jc w:val="center"/>
              <w:rPr>
                <w:color w:val="auto"/>
                <w:highlight w:val="none"/>
              </w:rPr>
            </w:pPr>
          </w:p>
        </w:tc>
        <w:tc>
          <w:tcPr>
            <w:tcW w:w="813" w:type="dxa"/>
            <w:tcBorders>
              <w:top w:val="single" w:color="000000" w:sz="6" w:space="0"/>
              <w:left w:val="single" w:color="000000" w:sz="6" w:space="0"/>
              <w:right w:val="single" w:color="000000" w:sz="6" w:space="0"/>
            </w:tcBorders>
            <w:vAlign w:val="center"/>
          </w:tcPr>
          <w:p w14:paraId="30A0FE63">
            <w:pPr>
              <w:jc w:val="center"/>
              <w:rPr>
                <w:color w:val="auto"/>
                <w:highlight w:val="none"/>
              </w:rPr>
            </w:pPr>
          </w:p>
        </w:tc>
        <w:tc>
          <w:tcPr>
            <w:tcW w:w="814" w:type="dxa"/>
            <w:tcBorders>
              <w:top w:val="single" w:color="000000" w:sz="6" w:space="0"/>
              <w:left w:val="single" w:color="000000" w:sz="6" w:space="0"/>
              <w:right w:val="single" w:color="000000" w:sz="8" w:space="0"/>
            </w:tcBorders>
            <w:vAlign w:val="center"/>
          </w:tcPr>
          <w:p w14:paraId="137F7F74">
            <w:pPr>
              <w:jc w:val="center"/>
              <w:rPr>
                <w:color w:val="auto"/>
                <w:highlight w:val="none"/>
              </w:rPr>
            </w:pPr>
          </w:p>
        </w:tc>
      </w:tr>
      <w:tr w14:paraId="460CDBB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611" w:type="dxa"/>
            <w:tcBorders>
              <w:top w:val="single" w:color="000000" w:sz="6" w:space="0"/>
              <w:left w:val="single" w:color="000000" w:sz="8" w:space="0"/>
              <w:right w:val="single" w:color="000000" w:sz="6" w:space="0"/>
            </w:tcBorders>
            <w:vAlign w:val="center"/>
          </w:tcPr>
          <w:p w14:paraId="4FCAD341">
            <w:pPr>
              <w:jc w:val="center"/>
              <w:rPr>
                <w:color w:val="auto"/>
                <w:highlight w:val="none"/>
              </w:rPr>
            </w:pPr>
          </w:p>
        </w:tc>
        <w:tc>
          <w:tcPr>
            <w:tcW w:w="2410" w:type="dxa"/>
            <w:gridSpan w:val="3"/>
            <w:tcBorders>
              <w:top w:val="single" w:color="000000" w:sz="6" w:space="0"/>
              <w:left w:val="single" w:color="000000" w:sz="6" w:space="0"/>
              <w:right w:val="single" w:color="000000" w:sz="6" w:space="0"/>
            </w:tcBorders>
            <w:vAlign w:val="center"/>
          </w:tcPr>
          <w:p w14:paraId="383EB4BC">
            <w:pPr>
              <w:jc w:val="center"/>
              <w:rPr>
                <w:color w:val="auto"/>
                <w:highlight w:val="none"/>
              </w:rPr>
            </w:pPr>
          </w:p>
        </w:tc>
        <w:tc>
          <w:tcPr>
            <w:tcW w:w="855" w:type="dxa"/>
            <w:gridSpan w:val="2"/>
            <w:tcBorders>
              <w:top w:val="single" w:color="000000" w:sz="6" w:space="0"/>
              <w:left w:val="single" w:color="000000" w:sz="6" w:space="0"/>
              <w:right w:val="single" w:color="000000" w:sz="6" w:space="0"/>
            </w:tcBorders>
            <w:vAlign w:val="center"/>
          </w:tcPr>
          <w:p w14:paraId="0698A4A3">
            <w:pPr>
              <w:jc w:val="center"/>
              <w:rPr>
                <w:color w:val="auto"/>
                <w:highlight w:val="none"/>
              </w:rPr>
            </w:pPr>
          </w:p>
        </w:tc>
        <w:tc>
          <w:tcPr>
            <w:tcW w:w="856" w:type="dxa"/>
            <w:tcBorders>
              <w:top w:val="single" w:color="000000" w:sz="6" w:space="0"/>
              <w:left w:val="single" w:color="000000" w:sz="6" w:space="0"/>
              <w:right w:val="double" w:color="000000" w:sz="4" w:space="0"/>
            </w:tcBorders>
            <w:vAlign w:val="center"/>
          </w:tcPr>
          <w:p w14:paraId="21E71490">
            <w:pPr>
              <w:jc w:val="center"/>
              <w:rPr>
                <w:color w:val="auto"/>
                <w:highlight w:val="none"/>
              </w:rP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0030D9BB">
            <w:pPr>
              <w:jc w:val="center"/>
              <w:rPr>
                <w:color w:val="auto"/>
                <w:highlight w:val="none"/>
              </w:rPr>
            </w:pPr>
          </w:p>
        </w:tc>
        <w:tc>
          <w:tcPr>
            <w:tcW w:w="2552" w:type="dxa"/>
            <w:gridSpan w:val="3"/>
            <w:tcBorders>
              <w:top w:val="single" w:color="000000" w:sz="6" w:space="0"/>
              <w:left w:val="single" w:color="000000" w:sz="6" w:space="0"/>
              <w:right w:val="single" w:color="000000" w:sz="6" w:space="0"/>
            </w:tcBorders>
            <w:vAlign w:val="center"/>
          </w:tcPr>
          <w:p w14:paraId="34D62946">
            <w:pPr>
              <w:jc w:val="center"/>
              <w:rPr>
                <w:color w:val="auto"/>
                <w:highlight w:val="none"/>
              </w:rPr>
            </w:pPr>
          </w:p>
        </w:tc>
        <w:tc>
          <w:tcPr>
            <w:tcW w:w="813" w:type="dxa"/>
            <w:tcBorders>
              <w:top w:val="single" w:color="000000" w:sz="6" w:space="0"/>
              <w:left w:val="single" w:color="000000" w:sz="6" w:space="0"/>
              <w:right w:val="single" w:color="000000" w:sz="6" w:space="0"/>
            </w:tcBorders>
            <w:vAlign w:val="center"/>
          </w:tcPr>
          <w:p w14:paraId="2BD0FCC9">
            <w:pPr>
              <w:jc w:val="center"/>
              <w:rPr>
                <w:color w:val="auto"/>
                <w:highlight w:val="none"/>
              </w:rPr>
            </w:pPr>
          </w:p>
        </w:tc>
        <w:tc>
          <w:tcPr>
            <w:tcW w:w="814" w:type="dxa"/>
            <w:tcBorders>
              <w:top w:val="single" w:color="000000" w:sz="6" w:space="0"/>
              <w:left w:val="single" w:color="000000" w:sz="6" w:space="0"/>
              <w:right w:val="single" w:color="000000" w:sz="8" w:space="0"/>
            </w:tcBorders>
            <w:vAlign w:val="center"/>
          </w:tcPr>
          <w:p w14:paraId="6229C57C">
            <w:pPr>
              <w:jc w:val="center"/>
              <w:rPr>
                <w:color w:val="auto"/>
                <w:highlight w:val="none"/>
              </w:rPr>
            </w:pPr>
          </w:p>
        </w:tc>
      </w:tr>
      <w:tr w14:paraId="472635E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11" w:type="dxa"/>
            <w:tcBorders>
              <w:top w:val="single" w:color="000000" w:sz="6" w:space="0"/>
              <w:left w:val="single" w:color="000000" w:sz="8" w:space="0"/>
              <w:right w:val="single" w:color="000000" w:sz="6" w:space="0"/>
            </w:tcBorders>
            <w:vAlign w:val="center"/>
          </w:tcPr>
          <w:p w14:paraId="34EA7567">
            <w:pPr>
              <w:jc w:val="center"/>
              <w:rPr>
                <w:color w:val="auto"/>
                <w:highlight w:val="none"/>
              </w:rPr>
            </w:pPr>
          </w:p>
        </w:tc>
        <w:tc>
          <w:tcPr>
            <w:tcW w:w="2410" w:type="dxa"/>
            <w:gridSpan w:val="3"/>
            <w:tcBorders>
              <w:top w:val="single" w:color="000000" w:sz="6" w:space="0"/>
              <w:left w:val="single" w:color="000000" w:sz="6" w:space="0"/>
              <w:right w:val="single" w:color="000000" w:sz="6" w:space="0"/>
            </w:tcBorders>
            <w:vAlign w:val="center"/>
          </w:tcPr>
          <w:p w14:paraId="67E392DA">
            <w:pPr>
              <w:jc w:val="center"/>
              <w:rPr>
                <w:color w:val="auto"/>
                <w:highlight w:val="none"/>
              </w:rPr>
            </w:pPr>
          </w:p>
        </w:tc>
        <w:tc>
          <w:tcPr>
            <w:tcW w:w="855" w:type="dxa"/>
            <w:gridSpan w:val="2"/>
            <w:tcBorders>
              <w:top w:val="single" w:color="000000" w:sz="6" w:space="0"/>
              <w:left w:val="single" w:color="000000" w:sz="6" w:space="0"/>
              <w:right w:val="single" w:color="000000" w:sz="6" w:space="0"/>
            </w:tcBorders>
            <w:vAlign w:val="center"/>
          </w:tcPr>
          <w:p w14:paraId="77DA75C2">
            <w:pPr>
              <w:jc w:val="center"/>
              <w:rPr>
                <w:color w:val="auto"/>
                <w:highlight w:val="none"/>
              </w:rPr>
            </w:pPr>
          </w:p>
        </w:tc>
        <w:tc>
          <w:tcPr>
            <w:tcW w:w="856" w:type="dxa"/>
            <w:tcBorders>
              <w:top w:val="single" w:color="000000" w:sz="6" w:space="0"/>
              <w:left w:val="single" w:color="000000" w:sz="6" w:space="0"/>
              <w:right w:val="double" w:color="000000" w:sz="4" w:space="0"/>
            </w:tcBorders>
            <w:vAlign w:val="center"/>
          </w:tcPr>
          <w:p w14:paraId="390BA10F">
            <w:pPr>
              <w:jc w:val="center"/>
              <w:rPr>
                <w:color w:val="auto"/>
                <w:highlight w:val="none"/>
              </w:rP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2CEA7BCB">
            <w:pPr>
              <w:jc w:val="center"/>
              <w:rPr>
                <w:color w:val="auto"/>
                <w:highlight w:val="none"/>
              </w:rPr>
            </w:pPr>
          </w:p>
        </w:tc>
        <w:tc>
          <w:tcPr>
            <w:tcW w:w="2552" w:type="dxa"/>
            <w:gridSpan w:val="3"/>
            <w:tcBorders>
              <w:top w:val="single" w:color="000000" w:sz="6" w:space="0"/>
              <w:left w:val="single" w:color="000000" w:sz="6" w:space="0"/>
              <w:right w:val="single" w:color="000000" w:sz="6" w:space="0"/>
            </w:tcBorders>
            <w:vAlign w:val="center"/>
          </w:tcPr>
          <w:p w14:paraId="38ED5BAA">
            <w:pPr>
              <w:jc w:val="center"/>
              <w:rPr>
                <w:color w:val="auto"/>
                <w:highlight w:val="none"/>
              </w:rPr>
            </w:pPr>
          </w:p>
        </w:tc>
        <w:tc>
          <w:tcPr>
            <w:tcW w:w="813" w:type="dxa"/>
            <w:tcBorders>
              <w:top w:val="single" w:color="000000" w:sz="6" w:space="0"/>
              <w:left w:val="single" w:color="000000" w:sz="6" w:space="0"/>
              <w:right w:val="single" w:color="000000" w:sz="6" w:space="0"/>
            </w:tcBorders>
            <w:vAlign w:val="center"/>
          </w:tcPr>
          <w:p w14:paraId="61811CFC">
            <w:pPr>
              <w:jc w:val="center"/>
              <w:rPr>
                <w:color w:val="auto"/>
                <w:highlight w:val="none"/>
              </w:rPr>
            </w:pPr>
          </w:p>
        </w:tc>
        <w:tc>
          <w:tcPr>
            <w:tcW w:w="814" w:type="dxa"/>
            <w:tcBorders>
              <w:top w:val="single" w:color="000000" w:sz="6" w:space="0"/>
              <w:left w:val="single" w:color="000000" w:sz="6" w:space="0"/>
              <w:right w:val="single" w:color="000000" w:sz="8" w:space="0"/>
            </w:tcBorders>
            <w:vAlign w:val="center"/>
          </w:tcPr>
          <w:p w14:paraId="3FA116F1">
            <w:pPr>
              <w:jc w:val="center"/>
              <w:rPr>
                <w:color w:val="auto"/>
                <w:highlight w:val="none"/>
              </w:rPr>
            </w:pPr>
          </w:p>
        </w:tc>
      </w:tr>
      <w:tr w14:paraId="5D3749C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11" w:type="dxa"/>
            <w:tcBorders>
              <w:top w:val="single" w:color="000000" w:sz="6" w:space="0"/>
              <w:left w:val="single" w:color="000000" w:sz="8" w:space="0"/>
              <w:bottom w:val="single" w:color="000000" w:sz="6" w:space="0"/>
              <w:right w:val="single" w:color="000000" w:sz="6" w:space="0"/>
            </w:tcBorders>
            <w:vAlign w:val="center"/>
          </w:tcPr>
          <w:p w14:paraId="0F3EF9A2">
            <w:pPr>
              <w:jc w:val="center"/>
              <w:rPr>
                <w:color w:val="auto"/>
                <w:highlight w:val="none"/>
              </w:rPr>
            </w:pPr>
          </w:p>
        </w:tc>
        <w:tc>
          <w:tcPr>
            <w:tcW w:w="2410" w:type="dxa"/>
            <w:gridSpan w:val="3"/>
            <w:tcBorders>
              <w:top w:val="single" w:color="000000" w:sz="6" w:space="0"/>
              <w:left w:val="single" w:color="000000" w:sz="6" w:space="0"/>
              <w:bottom w:val="single" w:color="000000" w:sz="6" w:space="0"/>
              <w:right w:val="single" w:color="000000" w:sz="6" w:space="0"/>
            </w:tcBorders>
            <w:vAlign w:val="center"/>
          </w:tcPr>
          <w:p w14:paraId="02801408">
            <w:pPr>
              <w:jc w:val="center"/>
              <w:rPr>
                <w:color w:val="auto"/>
                <w:highlight w:val="none"/>
              </w:rPr>
            </w:pPr>
          </w:p>
        </w:tc>
        <w:tc>
          <w:tcPr>
            <w:tcW w:w="855" w:type="dxa"/>
            <w:gridSpan w:val="2"/>
            <w:tcBorders>
              <w:top w:val="single" w:color="000000" w:sz="6" w:space="0"/>
              <w:left w:val="single" w:color="000000" w:sz="6" w:space="0"/>
              <w:bottom w:val="single" w:color="000000" w:sz="6" w:space="0"/>
              <w:right w:val="single" w:color="000000" w:sz="6" w:space="0"/>
            </w:tcBorders>
            <w:vAlign w:val="center"/>
          </w:tcPr>
          <w:p w14:paraId="754E2FAB">
            <w:pPr>
              <w:jc w:val="center"/>
              <w:rPr>
                <w:color w:val="auto"/>
                <w:highlight w:val="none"/>
              </w:rPr>
            </w:pPr>
          </w:p>
        </w:tc>
        <w:tc>
          <w:tcPr>
            <w:tcW w:w="856" w:type="dxa"/>
            <w:tcBorders>
              <w:top w:val="single" w:color="000000" w:sz="6" w:space="0"/>
              <w:left w:val="single" w:color="000000" w:sz="6" w:space="0"/>
              <w:bottom w:val="single" w:color="000000" w:sz="6" w:space="0"/>
              <w:right w:val="double" w:color="000000" w:sz="4" w:space="0"/>
            </w:tcBorders>
            <w:vAlign w:val="center"/>
          </w:tcPr>
          <w:p w14:paraId="10B62554">
            <w:pPr>
              <w:jc w:val="center"/>
              <w:rPr>
                <w:color w:val="auto"/>
                <w:highlight w:val="none"/>
              </w:rP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735A2779">
            <w:pPr>
              <w:jc w:val="center"/>
              <w:rPr>
                <w:color w:val="auto"/>
                <w:highlight w:val="none"/>
              </w:rPr>
            </w:pPr>
          </w:p>
        </w:tc>
        <w:tc>
          <w:tcPr>
            <w:tcW w:w="2552" w:type="dxa"/>
            <w:gridSpan w:val="3"/>
            <w:tcBorders>
              <w:top w:val="single" w:color="000000" w:sz="6" w:space="0"/>
              <w:left w:val="single" w:color="000000" w:sz="6" w:space="0"/>
              <w:bottom w:val="single" w:color="000000" w:sz="6" w:space="0"/>
              <w:right w:val="single" w:color="000000" w:sz="6" w:space="0"/>
            </w:tcBorders>
            <w:vAlign w:val="center"/>
          </w:tcPr>
          <w:p w14:paraId="791A8E4C">
            <w:pPr>
              <w:jc w:val="center"/>
              <w:rPr>
                <w:color w:val="auto"/>
                <w:highlight w:val="none"/>
              </w:rPr>
            </w:pPr>
          </w:p>
        </w:tc>
        <w:tc>
          <w:tcPr>
            <w:tcW w:w="813" w:type="dxa"/>
            <w:tcBorders>
              <w:top w:val="single" w:color="000000" w:sz="6" w:space="0"/>
              <w:left w:val="single" w:color="000000" w:sz="6" w:space="0"/>
              <w:bottom w:val="single" w:color="000000" w:sz="6" w:space="0"/>
              <w:right w:val="single" w:color="000000" w:sz="6" w:space="0"/>
            </w:tcBorders>
            <w:vAlign w:val="center"/>
          </w:tcPr>
          <w:p w14:paraId="23E9073C">
            <w:pPr>
              <w:jc w:val="center"/>
              <w:rPr>
                <w:color w:val="auto"/>
                <w:highlight w:val="none"/>
              </w:rPr>
            </w:pPr>
          </w:p>
        </w:tc>
        <w:tc>
          <w:tcPr>
            <w:tcW w:w="814" w:type="dxa"/>
            <w:tcBorders>
              <w:top w:val="single" w:color="000000" w:sz="6" w:space="0"/>
              <w:left w:val="single" w:color="000000" w:sz="6" w:space="0"/>
              <w:bottom w:val="single" w:color="000000" w:sz="6" w:space="0"/>
              <w:right w:val="single" w:color="000000" w:sz="8" w:space="0"/>
            </w:tcBorders>
            <w:vAlign w:val="center"/>
          </w:tcPr>
          <w:p w14:paraId="1176CE5F">
            <w:pPr>
              <w:jc w:val="center"/>
              <w:rPr>
                <w:color w:val="auto"/>
                <w:highlight w:val="none"/>
              </w:rPr>
            </w:pPr>
          </w:p>
        </w:tc>
      </w:tr>
      <w:tr w14:paraId="018B638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11" w:type="dxa"/>
            <w:tcBorders>
              <w:top w:val="single" w:color="000000" w:sz="6" w:space="0"/>
              <w:left w:val="single" w:color="000000" w:sz="8" w:space="0"/>
              <w:bottom w:val="single" w:color="000000" w:sz="6" w:space="0"/>
              <w:right w:val="single" w:color="000000" w:sz="6" w:space="0"/>
            </w:tcBorders>
            <w:vAlign w:val="center"/>
          </w:tcPr>
          <w:p w14:paraId="65A164FD">
            <w:pPr>
              <w:jc w:val="center"/>
              <w:rPr>
                <w:color w:val="auto"/>
                <w:highlight w:val="none"/>
              </w:rPr>
            </w:pPr>
          </w:p>
        </w:tc>
        <w:tc>
          <w:tcPr>
            <w:tcW w:w="2410" w:type="dxa"/>
            <w:gridSpan w:val="3"/>
            <w:tcBorders>
              <w:top w:val="single" w:color="000000" w:sz="6" w:space="0"/>
              <w:left w:val="single" w:color="000000" w:sz="6" w:space="0"/>
              <w:bottom w:val="single" w:color="000000" w:sz="6" w:space="0"/>
              <w:right w:val="single" w:color="000000" w:sz="6" w:space="0"/>
            </w:tcBorders>
            <w:vAlign w:val="center"/>
          </w:tcPr>
          <w:p w14:paraId="3BFE8798">
            <w:pPr>
              <w:jc w:val="center"/>
              <w:rPr>
                <w:color w:val="auto"/>
                <w:highlight w:val="none"/>
              </w:rPr>
            </w:pPr>
          </w:p>
        </w:tc>
        <w:tc>
          <w:tcPr>
            <w:tcW w:w="855" w:type="dxa"/>
            <w:gridSpan w:val="2"/>
            <w:tcBorders>
              <w:top w:val="single" w:color="000000" w:sz="6" w:space="0"/>
              <w:left w:val="single" w:color="000000" w:sz="6" w:space="0"/>
              <w:bottom w:val="single" w:color="000000" w:sz="6" w:space="0"/>
              <w:right w:val="single" w:color="000000" w:sz="6" w:space="0"/>
            </w:tcBorders>
            <w:vAlign w:val="center"/>
          </w:tcPr>
          <w:p w14:paraId="1F1D4D7F">
            <w:pPr>
              <w:jc w:val="center"/>
              <w:rPr>
                <w:color w:val="auto"/>
                <w:highlight w:val="none"/>
              </w:rPr>
            </w:pPr>
          </w:p>
        </w:tc>
        <w:tc>
          <w:tcPr>
            <w:tcW w:w="856" w:type="dxa"/>
            <w:tcBorders>
              <w:top w:val="single" w:color="000000" w:sz="6" w:space="0"/>
              <w:left w:val="single" w:color="000000" w:sz="6" w:space="0"/>
              <w:bottom w:val="single" w:color="000000" w:sz="6" w:space="0"/>
              <w:right w:val="double" w:color="000000" w:sz="4" w:space="0"/>
            </w:tcBorders>
            <w:vAlign w:val="center"/>
          </w:tcPr>
          <w:p w14:paraId="27B5EBF9">
            <w:pPr>
              <w:jc w:val="center"/>
              <w:rPr>
                <w:color w:val="auto"/>
                <w:highlight w:val="none"/>
              </w:rP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212D7DF6">
            <w:pPr>
              <w:jc w:val="center"/>
              <w:rPr>
                <w:color w:val="auto"/>
                <w:highlight w:val="none"/>
              </w:rPr>
            </w:pPr>
          </w:p>
        </w:tc>
        <w:tc>
          <w:tcPr>
            <w:tcW w:w="2552" w:type="dxa"/>
            <w:gridSpan w:val="3"/>
            <w:tcBorders>
              <w:top w:val="single" w:color="000000" w:sz="6" w:space="0"/>
              <w:left w:val="single" w:color="000000" w:sz="6" w:space="0"/>
              <w:bottom w:val="single" w:color="000000" w:sz="6" w:space="0"/>
              <w:right w:val="single" w:color="000000" w:sz="6" w:space="0"/>
            </w:tcBorders>
            <w:vAlign w:val="center"/>
          </w:tcPr>
          <w:p w14:paraId="76DB8843">
            <w:pPr>
              <w:jc w:val="center"/>
              <w:rPr>
                <w:color w:val="auto"/>
                <w:highlight w:val="none"/>
              </w:rPr>
            </w:pPr>
          </w:p>
        </w:tc>
        <w:tc>
          <w:tcPr>
            <w:tcW w:w="813" w:type="dxa"/>
            <w:tcBorders>
              <w:top w:val="single" w:color="000000" w:sz="6" w:space="0"/>
              <w:left w:val="single" w:color="000000" w:sz="6" w:space="0"/>
              <w:bottom w:val="single" w:color="000000" w:sz="6" w:space="0"/>
              <w:right w:val="single" w:color="000000" w:sz="6" w:space="0"/>
            </w:tcBorders>
            <w:vAlign w:val="center"/>
          </w:tcPr>
          <w:p w14:paraId="67ECBBDE">
            <w:pPr>
              <w:jc w:val="center"/>
              <w:rPr>
                <w:color w:val="auto"/>
                <w:highlight w:val="none"/>
              </w:rPr>
            </w:pPr>
          </w:p>
        </w:tc>
        <w:tc>
          <w:tcPr>
            <w:tcW w:w="814" w:type="dxa"/>
            <w:tcBorders>
              <w:top w:val="single" w:color="000000" w:sz="6" w:space="0"/>
              <w:left w:val="single" w:color="000000" w:sz="6" w:space="0"/>
              <w:bottom w:val="single" w:color="000000" w:sz="6" w:space="0"/>
              <w:right w:val="single" w:color="000000" w:sz="8" w:space="0"/>
            </w:tcBorders>
            <w:vAlign w:val="center"/>
          </w:tcPr>
          <w:p w14:paraId="4BF77139">
            <w:pPr>
              <w:jc w:val="center"/>
              <w:rPr>
                <w:color w:val="auto"/>
                <w:highlight w:val="none"/>
              </w:rPr>
            </w:pPr>
          </w:p>
        </w:tc>
      </w:tr>
      <w:tr w14:paraId="7C9DF9A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11" w:type="dxa"/>
            <w:tcBorders>
              <w:top w:val="single" w:color="000000" w:sz="6" w:space="0"/>
              <w:left w:val="single" w:color="000000" w:sz="8" w:space="0"/>
              <w:bottom w:val="single" w:color="000000" w:sz="6" w:space="0"/>
              <w:right w:val="single" w:color="000000" w:sz="6" w:space="0"/>
            </w:tcBorders>
            <w:vAlign w:val="center"/>
          </w:tcPr>
          <w:p w14:paraId="312C40EE">
            <w:pPr>
              <w:jc w:val="center"/>
              <w:rPr>
                <w:color w:val="auto"/>
                <w:highlight w:val="none"/>
              </w:rPr>
            </w:pPr>
          </w:p>
        </w:tc>
        <w:tc>
          <w:tcPr>
            <w:tcW w:w="2410" w:type="dxa"/>
            <w:gridSpan w:val="3"/>
            <w:tcBorders>
              <w:top w:val="single" w:color="000000" w:sz="6" w:space="0"/>
              <w:left w:val="single" w:color="000000" w:sz="6" w:space="0"/>
              <w:bottom w:val="single" w:color="000000" w:sz="6" w:space="0"/>
              <w:right w:val="single" w:color="000000" w:sz="6" w:space="0"/>
            </w:tcBorders>
            <w:vAlign w:val="center"/>
          </w:tcPr>
          <w:p w14:paraId="1660480A">
            <w:pPr>
              <w:jc w:val="center"/>
              <w:rPr>
                <w:color w:val="auto"/>
                <w:highlight w:val="none"/>
              </w:rPr>
            </w:pPr>
          </w:p>
        </w:tc>
        <w:tc>
          <w:tcPr>
            <w:tcW w:w="855" w:type="dxa"/>
            <w:gridSpan w:val="2"/>
            <w:tcBorders>
              <w:top w:val="single" w:color="000000" w:sz="6" w:space="0"/>
              <w:left w:val="single" w:color="000000" w:sz="6" w:space="0"/>
              <w:bottom w:val="single" w:color="000000" w:sz="6" w:space="0"/>
              <w:right w:val="single" w:color="000000" w:sz="6" w:space="0"/>
            </w:tcBorders>
            <w:vAlign w:val="center"/>
          </w:tcPr>
          <w:p w14:paraId="2971CFCE">
            <w:pPr>
              <w:jc w:val="center"/>
              <w:rPr>
                <w:color w:val="auto"/>
                <w:highlight w:val="none"/>
              </w:rPr>
            </w:pPr>
          </w:p>
        </w:tc>
        <w:tc>
          <w:tcPr>
            <w:tcW w:w="856" w:type="dxa"/>
            <w:tcBorders>
              <w:top w:val="single" w:color="000000" w:sz="6" w:space="0"/>
              <w:left w:val="single" w:color="000000" w:sz="6" w:space="0"/>
              <w:bottom w:val="single" w:color="000000" w:sz="6" w:space="0"/>
              <w:right w:val="double" w:color="000000" w:sz="4" w:space="0"/>
            </w:tcBorders>
            <w:vAlign w:val="center"/>
          </w:tcPr>
          <w:p w14:paraId="67E62802">
            <w:pPr>
              <w:jc w:val="center"/>
              <w:rPr>
                <w:color w:val="auto"/>
                <w:highlight w:val="none"/>
              </w:rP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38FEB9EF">
            <w:pPr>
              <w:jc w:val="center"/>
              <w:rPr>
                <w:color w:val="auto"/>
                <w:highlight w:val="none"/>
              </w:rPr>
            </w:pPr>
          </w:p>
        </w:tc>
        <w:tc>
          <w:tcPr>
            <w:tcW w:w="2552" w:type="dxa"/>
            <w:gridSpan w:val="3"/>
            <w:tcBorders>
              <w:top w:val="single" w:color="000000" w:sz="6" w:space="0"/>
              <w:left w:val="single" w:color="000000" w:sz="6" w:space="0"/>
              <w:bottom w:val="single" w:color="000000" w:sz="6" w:space="0"/>
              <w:right w:val="single" w:color="000000" w:sz="6" w:space="0"/>
            </w:tcBorders>
            <w:vAlign w:val="center"/>
          </w:tcPr>
          <w:p w14:paraId="4FD74E37">
            <w:pPr>
              <w:jc w:val="center"/>
              <w:rPr>
                <w:color w:val="auto"/>
                <w:highlight w:val="none"/>
              </w:rPr>
            </w:pPr>
          </w:p>
        </w:tc>
        <w:tc>
          <w:tcPr>
            <w:tcW w:w="813" w:type="dxa"/>
            <w:tcBorders>
              <w:top w:val="single" w:color="000000" w:sz="6" w:space="0"/>
              <w:left w:val="single" w:color="000000" w:sz="6" w:space="0"/>
              <w:bottom w:val="single" w:color="000000" w:sz="6" w:space="0"/>
              <w:right w:val="single" w:color="000000" w:sz="6" w:space="0"/>
            </w:tcBorders>
            <w:vAlign w:val="center"/>
          </w:tcPr>
          <w:p w14:paraId="6C1A8442">
            <w:pPr>
              <w:jc w:val="center"/>
              <w:rPr>
                <w:color w:val="auto"/>
                <w:highlight w:val="none"/>
              </w:rPr>
            </w:pPr>
          </w:p>
        </w:tc>
        <w:tc>
          <w:tcPr>
            <w:tcW w:w="814" w:type="dxa"/>
            <w:tcBorders>
              <w:top w:val="single" w:color="000000" w:sz="6" w:space="0"/>
              <w:left w:val="single" w:color="000000" w:sz="6" w:space="0"/>
              <w:bottom w:val="single" w:color="000000" w:sz="6" w:space="0"/>
              <w:right w:val="single" w:color="000000" w:sz="8" w:space="0"/>
            </w:tcBorders>
            <w:vAlign w:val="center"/>
          </w:tcPr>
          <w:p w14:paraId="45940AAF">
            <w:pPr>
              <w:jc w:val="center"/>
              <w:rPr>
                <w:color w:val="auto"/>
                <w:highlight w:val="none"/>
              </w:rPr>
            </w:pPr>
          </w:p>
        </w:tc>
      </w:tr>
      <w:tr w14:paraId="3D22830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11" w:type="dxa"/>
            <w:tcBorders>
              <w:top w:val="single" w:color="000000" w:sz="6" w:space="0"/>
              <w:left w:val="single" w:color="000000" w:sz="8" w:space="0"/>
              <w:bottom w:val="single" w:color="000000" w:sz="6" w:space="0"/>
              <w:right w:val="single" w:color="000000" w:sz="6" w:space="0"/>
            </w:tcBorders>
            <w:vAlign w:val="center"/>
          </w:tcPr>
          <w:p w14:paraId="5ABBCDE3">
            <w:pPr>
              <w:jc w:val="center"/>
              <w:rPr>
                <w:color w:val="auto"/>
                <w:highlight w:val="none"/>
              </w:rPr>
            </w:pPr>
          </w:p>
        </w:tc>
        <w:tc>
          <w:tcPr>
            <w:tcW w:w="2410" w:type="dxa"/>
            <w:gridSpan w:val="3"/>
            <w:tcBorders>
              <w:top w:val="single" w:color="000000" w:sz="6" w:space="0"/>
              <w:left w:val="single" w:color="000000" w:sz="6" w:space="0"/>
              <w:bottom w:val="single" w:color="000000" w:sz="6" w:space="0"/>
              <w:right w:val="single" w:color="000000" w:sz="6" w:space="0"/>
            </w:tcBorders>
            <w:vAlign w:val="center"/>
          </w:tcPr>
          <w:p w14:paraId="74C6B124">
            <w:pPr>
              <w:jc w:val="center"/>
              <w:rPr>
                <w:color w:val="auto"/>
                <w:highlight w:val="none"/>
              </w:rPr>
            </w:pPr>
          </w:p>
        </w:tc>
        <w:tc>
          <w:tcPr>
            <w:tcW w:w="855" w:type="dxa"/>
            <w:gridSpan w:val="2"/>
            <w:tcBorders>
              <w:top w:val="single" w:color="000000" w:sz="6" w:space="0"/>
              <w:left w:val="single" w:color="000000" w:sz="6" w:space="0"/>
              <w:bottom w:val="single" w:color="000000" w:sz="6" w:space="0"/>
              <w:right w:val="single" w:color="000000" w:sz="6" w:space="0"/>
            </w:tcBorders>
            <w:vAlign w:val="center"/>
          </w:tcPr>
          <w:p w14:paraId="664D98FB">
            <w:pPr>
              <w:jc w:val="center"/>
              <w:rPr>
                <w:color w:val="auto"/>
                <w:highlight w:val="none"/>
              </w:rPr>
            </w:pPr>
          </w:p>
        </w:tc>
        <w:tc>
          <w:tcPr>
            <w:tcW w:w="856" w:type="dxa"/>
            <w:tcBorders>
              <w:top w:val="single" w:color="000000" w:sz="6" w:space="0"/>
              <w:left w:val="single" w:color="000000" w:sz="6" w:space="0"/>
              <w:bottom w:val="single" w:color="000000" w:sz="6" w:space="0"/>
              <w:right w:val="double" w:color="000000" w:sz="4" w:space="0"/>
            </w:tcBorders>
            <w:vAlign w:val="center"/>
          </w:tcPr>
          <w:p w14:paraId="29EF350C">
            <w:pPr>
              <w:jc w:val="center"/>
              <w:rPr>
                <w:color w:val="auto"/>
                <w:highlight w:val="none"/>
              </w:rP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146FB989">
            <w:pPr>
              <w:jc w:val="center"/>
              <w:rPr>
                <w:color w:val="auto"/>
                <w:highlight w:val="none"/>
              </w:rPr>
            </w:pPr>
          </w:p>
        </w:tc>
        <w:tc>
          <w:tcPr>
            <w:tcW w:w="2552" w:type="dxa"/>
            <w:gridSpan w:val="3"/>
            <w:tcBorders>
              <w:top w:val="single" w:color="000000" w:sz="6" w:space="0"/>
              <w:left w:val="single" w:color="000000" w:sz="6" w:space="0"/>
              <w:bottom w:val="single" w:color="000000" w:sz="6" w:space="0"/>
              <w:right w:val="single" w:color="000000" w:sz="6" w:space="0"/>
            </w:tcBorders>
            <w:vAlign w:val="center"/>
          </w:tcPr>
          <w:p w14:paraId="59F1457D">
            <w:pPr>
              <w:jc w:val="center"/>
              <w:rPr>
                <w:color w:val="auto"/>
                <w:highlight w:val="none"/>
              </w:rPr>
            </w:pPr>
          </w:p>
        </w:tc>
        <w:tc>
          <w:tcPr>
            <w:tcW w:w="813" w:type="dxa"/>
            <w:tcBorders>
              <w:top w:val="single" w:color="000000" w:sz="6" w:space="0"/>
              <w:left w:val="single" w:color="000000" w:sz="6" w:space="0"/>
              <w:bottom w:val="single" w:color="000000" w:sz="6" w:space="0"/>
              <w:right w:val="single" w:color="000000" w:sz="6" w:space="0"/>
            </w:tcBorders>
            <w:vAlign w:val="center"/>
          </w:tcPr>
          <w:p w14:paraId="4E872C5C">
            <w:pPr>
              <w:jc w:val="center"/>
              <w:rPr>
                <w:color w:val="auto"/>
                <w:highlight w:val="none"/>
              </w:rPr>
            </w:pPr>
          </w:p>
        </w:tc>
        <w:tc>
          <w:tcPr>
            <w:tcW w:w="814" w:type="dxa"/>
            <w:tcBorders>
              <w:top w:val="single" w:color="000000" w:sz="6" w:space="0"/>
              <w:left w:val="single" w:color="000000" w:sz="6" w:space="0"/>
              <w:bottom w:val="single" w:color="000000" w:sz="6" w:space="0"/>
              <w:right w:val="single" w:color="000000" w:sz="8" w:space="0"/>
            </w:tcBorders>
            <w:vAlign w:val="center"/>
          </w:tcPr>
          <w:p w14:paraId="52FD0C7A">
            <w:pPr>
              <w:jc w:val="center"/>
              <w:rPr>
                <w:color w:val="auto"/>
                <w:highlight w:val="none"/>
              </w:rPr>
            </w:pPr>
          </w:p>
        </w:tc>
      </w:tr>
      <w:tr w14:paraId="114E836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11" w:type="dxa"/>
            <w:tcBorders>
              <w:top w:val="single" w:color="000000" w:sz="6" w:space="0"/>
              <w:left w:val="single" w:color="000000" w:sz="8" w:space="0"/>
              <w:right w:val="single" w:color="000000" w:sz="6" w:space="0"/>
            </w:tcBorders>
            <w:vAlign w:val="center"/>
          </w:tcPr>
          <w:p w14:paraId="48F29592">
            <w:pPr>
              <w:jc w:val="center"/>
              <w:rPr>
                <w:color w:val="auto"/>
                <w:highlight w:val="none"/>
              </w:rPr>
            </w:pPr>
          </w:p>
        </w:tc>
        <w:tc>
          <w:tcPr>
            <w:tcW w:w="2410" w:type="dxa"/>
            <w:gridSpan w:val="3"/>
            <w:tcBorders>
              <w:top w:val="single" w:color="000000" w:sz="6" w:space="0"/>
              <w:left w:val="single" w:color="000000" w:sz="6" w:space="0"/>
              <w:right w:val="single" w:color="000000" w:sz="6" w:space="0"/>
            </w:tcBorders>
            <w:vAlign w:val="center"/>
          </w:tcPr>
          <w:p w14:paraId="21924554">
            <w:pPr>
              <w:jc w:val="center"/>
              <w:rPr>
                <w:color w:val="auto"/>
                <w:highlight w:val="none"/>
              </w:rPr>
            </w:pPr>
          </w:p>
        </w:tc>
        <w:tc>
          <w:tcPr>
            <w:tcW w:w="855" w:type="dxa"/>
            <w:gridSpan w:val="2"/>
            <w:tcBorders>
              <w:top w:val="single" w:color="000000" w:sz="6" w:space="0"/>
              <w:left w:val="single" w:color="000000" w:sz="6" w:space="0"/>
              <w:right w:val="single" w:color="000000" w:sz="6" w:space="0"/>
            </w:tcBorders>
            <w:vAlign w:val="center"/>
          </w:tcPr>
          <w:p w14:paraId="22571F32">
            <w:pPr>
              <w:jc w:val="center"/>
              <w:rPr>
                <w:color w:val="auto"/>
                <w:highlight w:val="none"/>
              </w:rPr>
            </w:pPr>
          </w:p>
        </w:tc>
        <w:tc>
          <w:tcPr>
            <w:tcW w:w="856" w:type="dxa"/>
            <w:tcBorders>
              <w:top w:val="single" w:color="000000" w:sz="6" w:space="0"/>
              <w:left w:val="single" w:color="000000" w:sz="6" w:space="0"/>
              <w:right w:val="double" w:color="000000" w:sz="4" w:space="0"/>
            </w:tcBorders>
            <w:vAlign w:val="center"/>
          </w:tcPr>
          <w:p w14:paraId="3DCF8BD4">
            <w:pPr>
              <w:jc w:val="center"/>
              <w:rPr>
                <w:color w:val="auto"/>
                <w:highlight w:val="none"/>
              </w:rP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19E0D556">
            <w:pPr>
              <w:jc w:val="center"/>
              <w:rPr>
                <w:color w:val="auto"/>
                <w:highlight w:val="none"/>
              </w:rPr>
            </w:pPr>
          </w:p>
        </w:tc>
        <w:tc>
          <w:tcPr>
            <w:tcW w:w="2552" w:type="dxa"/>
            <w:gridSpan w:val="3"/>
            <w:tcBorders>
              <w:top w:val="single" w:color="000000" w:sz="6" w:space="0"/>
              <w:left w:val="single" w:color="000000" w:sz="6" w:space="0"/>
              <w:right w:val="single" w:color="000000" w:sz="6" w:space="0"/>
            </w:tcBorders>
            <w:vAlign w:val="center"/>
          </w:tcPr>
          <w:p w14:paraId="2D28E2EB">
            <w:pPr>
              <w:jc w:val="center"/>
              <w:rPr>
                <w:color w:val="auto"/>
                <w:highlight w:val="none"/>
              </w:rPr>
            </w:pPr>
          </w:p>
        </w:tc>
        <w:tc>
          <w:tcPr>
            <w:tcW w:w="813" w:type="dxa"/>
            <w:tcBorders>
              <w:top w:val="single" w:color="000000" w:sz="6" w:space="0"/>
              <w:left w:val="single" w:color="000000" w:sz="6" w:space="0"/>
              <w:right w:val="single" w:color="000000" w:sz="6" w:space="0"/>
            </w:tcBorders>
            <w:vAlign w:val="center"/>
          </w:tcPr>
          <w:p w14:paraId="1F27881E">
            <w:pPr>
              <w:jc w:val="center"/>
              <w:rPr>
                <w:color w:val="auto"/>
                <w:highlight w:val="none"/>
              </w:rPr>
            </w:pPr>
          </w:p>
        </w:tc>
        <w:tc>
          <w:tcPr>
            <w:tcW w:w="814" w:type="dxa"/>
            <w:tcBorders>
              <w:top w:val="single" w:color="000000" w:sz="6" w:space="0"/>
              <w:left w:val="single" w:color="000000" w:sz="6" w:space="0"/>
              <w:right w:val="single" w:color="000000" w:sz="8" w:space="0"/>
            </w:tcBorders>
            <w:vAlign w:val="center"/>
          </w:tcPr>
          <w:p w14:paraId="2DDF123C">
            <w:pPr>
              <w:jc w:val="center"/>
              <w:rPr>
                <w:color w:val="auto"/>
                <w:highlight w:val="none"/>
              </w:rPr>
            </w:pPr>
          </w:p>
        </w:tc>
      </w:tr>
      <w:tr w14:paraId="3C1C3A3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11" w:type="dxa"/>
            <w:tcBorders>
              <w:top w:val="single" w:color="000000" w:sz="6" w:space="0"/>
              <w:left w:val="single" w:color="000000" w:sz="8" w:space="0"/>
              <w:right w:val="single" w:color="000000" w:sz="6" w:space="0"/>
            </w:tcBorders>
            <w:vAlign w:val="center"/>
          </w:tcPr>
          <w:p w14:paraId="3D56DEB8">
            <w:pPr>
              <w:jc w:val="center"/>
              <w:rPr>
                <w:color w:val="auto"/>
                <w:highlight w:val="none"/>
              </w:rPr>
            </w:pPr>
          </w:p>
        </w:tc>
        <w:tc>
          <w:tcPr>
            <w:tcW w:w="2410" w:type="dxa"/>
            <w:gridSpan w:val="3"/>
            <w:tcBorders>
              <w:top w:val="single" w:color="000000" w:sz="6" w:space="0"/>
              <w:left w:val="single" w:color="000000" w:sz="6" w:space="0"/>
              <w:right w:val="single" w:color="000000" w:sz="6" w:space="0"/>
            </w:tcBorders>
            <w:vAlign w:val="center"/>
          </w:tcPr>
          <w:p w14:paraId="2672C7C8">
            <w:pPr>
              <w:jc w:val="center"/>
              <w:rPr>
                <w:color w:val="auto"/>
                <w:highlight w:val="none"/>
              </w:rPr>
            </w:pPr>
          </w:p>
        </w:tc>
        <w:tc>
          <w:tcPr>
            <w:tcW w:w="855" w:type="dxa"/>
            <w:gridSpan w:val="2"/>
            <w:tcBorders>
              <w:top w:val="single" w:color="000000" w:sz="6" w:space="0"/>
              <w:left w:val="single" w:color="000000" w:sz="6" w:space="0"/>
              <w:right w:val="single" w:color="000000" w:sz="6" w:space="0"/>
            </w:tcBorders>
            <w:vAlign w:val="center"/>
          </w:tcPr>
          <w:p w14:paraId="36D560DF">
            <w:pPr>
              <w:jc w:val="center"/>
              <w:rPr>
                <w:color w:val="auto"/>
                <w:highlight w:val="none"/>
              </w:rPr>
            </w:pPr>
          </w:p>
        </w:tc>
        <w:tc>
          <w:tcPr>
            <w:tcW w:w="856" w:type="dxa"/>
            <w:tcBorders>
              <w:top w:val="single" w:color="000000" w:sz="6" w:space="0"/>
              <w:left w:val="single" w:color="000000" w:sz="6" w:space="0"/>
              <w:right w:val="double" w:color="000000" w:sz="4" w:space="0"/>
            </w:tcBorders>
            <w:vAlign w:val="center"/>
          </w:tcPr>
          <w:p w14:paraId="7DCFCBBC">
            <w:pPr>
              <w:jc w:val="center"/>
              <w:rPr>
                <w:color w:val="auto"/>
                <w:highlight w:val="none"/>
              </w:rP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6C6BD3DA">
            <w:pPr>
              <w:jc w:val="center"/>
              <w:rPr>
                <w:color w:val="auto"/>
                <w:highlight w:val="none"/>
              </w:rPr>
            </w:pPr>
          </w:p>
        </w:tc>
        <w:tc>
          <w:tcPr>
            <w:tcW w:w="2552" w:type="dxa"/>
            <w:gridSpan w:val="3"/>
            <w:tcBorders>
              <w:top w:val="single" w:color="000000" w:sz="6" w:space="0"/>
              <w:left w:val="single" w:color="000000" w:sz="6" w:space="0"/>
              <w:right w:val="single" w:color="000000" w:sz="6" w:space="0"/>
            </w:tcBorders>
            <w:vAlign w:val="center"/>
          </w:tcPr>
          <w:p w14:paraId="17586F5E">
            <w:pPr>
              <w:jc w:val="center"/>
              <w:rPr>
                <w:color w:val="auto"/>
                <w:highlight w:val="none"/>
              </w:rPr>
            </w:pPr>
          </w:p>
        </w:tc>
        <w:tc>
          <w:tcPr>
            <w:tcW w:w="813" w:type="dxa"/>
            <w:tcBorders>
              <w:top w:val="single" w:color="000000" w:sz="6" w:space="0"/>
              <w:left w:val="single" w:color="000000" w:sz="6" w:space="0"/>
              <w:right w:val="single" w:color="000000" w:sz="6" w:space="0"/>
            </w:tcBorders>
            <w:vAlign w:val="center"/>
          </w:tcPr>
          <w:p w14:paraId="17EC86A2">
            <w:pPr>
              <w:jc w:val="center"/>
              <w:rPr>
                <w:color w:val="auto"/>
                <w:highlight w:val="none"/>
              </w:rPr>
            </w:pPr>
          </w:p>
        </w:tc>
        <w:tc>
          <w:tcPr>
            <w:tcW w:w="814" w:type="dxa"/>
            <w:tcBorders>
              <w:top w:val="single" w:color="000000" w:sz="6" w:space="0"/>
              <w:left w:val="single" w:color="000000" w:sz="6" w:space="0"/>
              <w:right w:val="single" w:color="000000" w:sz="8" w:space="0"/>
            </w:tcBorders>
            <w:vAlign w:val="center"/>
          </w:tcPr>
          <w:p w14:paraId="0843FAA0">
            <w:pPr>
              <w:jc w:val="center"/>
              <w:rPr>
                <w:color w:val="auto"/>
                <w:highlight w:val="none"/>
              </w:rPr>
            </w:pPr>
          </w:p>
        </w:tc>
      </w:tr>
      <w:tr w14:paraId="0DDC3F8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425" w:hRule="atLeast"/>
        </w:trPr>
        <w:tc>
          <w:tcPr>
            <w:tcW w:w="611" w:type="dxa"/>
            <w:tcBorders>
              <w:top w:val="single" w:color="000000" w:sz="6" w:space="0"/>
              <w:left w:val="single" w:color="000000" w:sz="8" w:space="0"/>
              <w:right w:val="single" w:color="000000" w:sz="6" w:space="0"/>
            </w:tcBorders>
            <w:vAlign w:val="center"/>
          </w:tcPr>
          <w:p w14:paraId="744FB07C">
            <w:pPr>
              <w:jc w:val="center"/>
              <w:rPr>
                <w:color w:val="auto"/>
                <w:highlight w:val="none"/>
              </w:rPr>
            </w:pPr>
          </w:p>
        </w:tc>
        <w:tc>
          <w:tcPr>
            <w:tcW w:w="2410" w:type="dxa"/>
            <w:gridSpan w:val="3"/>
            <w:tcBorders>
              <w:top w:val="single" w:color="000000" w:sz="6" w:space="0"/>
              <w:left w:val="single" w:color="000000" w:sz="6" w:space="0"/>
              <w:right w:val="single" w:color="000000" w:sz="6" w:space="0"/>
            </w:tcBorders>
            <w:vAlign w:val="center"/>
          </w:tcPr>
          <w:p w14:paraId="7EFB200B">
            <w:pPr>
              <w:jc w:val="center"/>
              <w:rPr>
                <w:color w:val="auto"/>
                <w:highlight w:val="none"/>
              </w:rPr>
            </w:pPr>
          </w:p>
        </w:tc>
        <w:tc>
          <w:tcPr>
            <w:tcW w:w="855" w:type="dxa"/>
            <w:gridSpan w:val="2"/>
            <w:tcBorders>
              <w:top w:val="single" w:color="000000" w:sz="6" w:space="0"/>
              <w:left w:val="single" w:color="000000" w:sz="6" w:space="0"/>
              <w:right w:val="single" w:color="000000" w:sz="6" w:space="0"/>
            </w:tcBorders>
            <w:vAlign w:val="center"/>
          </w:tcPr>
          <w:p w14:paraId="2F5D5616">
            <w:pPr>
              <w:jc w:val="center"/>
              <w:rPr>
                <w:color w:val="auto"/>
                <w:highlight w:val="none"/>
              </w:rPr>
            </w:pPr>
          </w:p>
        </w:tc>
        <w:tc>
          <w:tcPr>
            <w:tcW w:w="856" w:type="dxa"/>
            <w:tcBorders>
              <w:top w:val="single" w:color="000000" w:sz="6" w:space="0"/>
              <w:left w:val="single" w:color="000000" w:sz="6" w:space="0"/>
              <w:right w:val="double" w:color="000000" w:sz="4" w:space="0"/>
            </w:tcBorders>
            <w:vAlign w:val="center"/>
          </w:tcPr>
          <w:p w14:paraId="3D2D6D5D">
            <w:pPr>
              <w:jc w:val="center"/>
              <w:rPr>
                <w:color w:val="auto"/>
                <w:highlight w:val="none"/>
              </w:rPr>
            </w:pPr>
          </w:p>
        </w:tc>
        <w:tc>
          <w:tcPr>
            <w:tcW w:w="557" w:type="dxa"/>
            <w:gridSpan w:val="2"/>
            <w:tcBorders>
              <w:top w:val="single" w:color="000000" w:sz="6" w:space="0"/>
              <w:left w:val="double" w:color="000000" w:sz="4" w:space="0"/>
              <w:bottom w:val="single" w:color="000000" w:sz="6" w:space="0"/>
              <w:right w:val="single" w:color="000000" w:sz="6" w:space="0"/>
            </w:tcBorders>
            <w:vAlign w:val="center"/>
          </w:tcPr>
          <w:p w14:paraId="750EE0BA">
            <w:pPr>
              <w:jc w:val="center"/>
              <w:rPr>
                <w:color w:val="auto"/>
                <w:highlight w:val="none"/>
              </w:rPr>
            </w:pPr>
          </w:p>
        </w:tc>
        <w:tc>
          <w:tcPr>
            <w:tcW w:w="2552" w:type="dxa"/>
            <w:gridSpan w:val="3"/>
            <w:tcBorders>
              <w:top w:val="single" w:color="000000" w:sz="6" w:space="0"/>
              <w:left w:val="single" w:color="000000" w:sz="6" w:space="0"/>
              <w:right w:val="single" w:color="000000" w:sz="6" w:space="0"/>
            </w:tcBorders>
            <w:vAlign w:val="center"/>
          </w:tcPr>
          <w:p w14:paraId="77ED3A77">
            <w:pPr>
              <w:jc w:val="center"/>
              <w:rPr>
                <w:color w:val="auto"/>
                <w:highlight w:val="none"/>
              </w:rPr>
            </w:pPr>
          </w:p>
        </w:tc>
        <w:tc>
          <w:tcPr>
            <w:tcW w:w="813" w:type="dxa"/>
            <w:tcBorders>
              <w:top w:val="single" w:color="000000" w:sz="6" w:space="0"/>
              <w:left w:val="single" w:color="000000" w:sz="6" w:space="0"/>
              <w:right w:val="single" w:color="000000" w:sz="6" w:space="0"/>
            </w:tcBorders>
            <w:vAlign w:val="center"/>
          </w:tcPr>
          <w:p w14:paraId="14E0DCB2">
            <w:pPr>
              <w:jc w:val="center"/>
              <w:rPr>
                <w:color w:val="auto"/>
                <w:highlight w:val="none"/>
              </w:rPr>
            </w:pPr>
          </w:p>
        </w:tc>
        <w:tc>
          <w:tcPr>
            <w:tcW w:w="814" w:type="dxa"/>
            <w:tcBorders>
              <w:top w:val="single" w:color="000000" w:sz="6" w:space="0"/>
              <w:left w:val="single" w:color="000000" w:sz="6" w:space="0"/>
              <w:right w:val="single" w:color="000000" w:sz="8" w:space="0"/>
            </w:tcBorders>
            <w:vAlign w:val="center"/>
          </w:tcPr>
          <w:p w14:paraId="322C7ACF">
            <w:pPr>
              <w:jc w:val="center"/>
              <w:rPr>
                <w:color w:val="auto"/>
                <w:highlight w:val="none"/>
              </w:rPr>
            </w:pPr>
          </w:p>
        </w:tc>
      </w:tr>
      <w:tr w14:paraId="631CCCD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454" w:hRule="atLeast"/>
        </w:trPr>
        <w:tc>
          <w:tcPr>
            <w:tcW w:w="3151" w:type="dxa"/>
            <w:gridSpan w:val="5"/>
            <w:tcBorders>
              <w:top w:val="single" w:color="000000" w:sz="6" w:space="0"/>
              <w:bottom w:val="single" w:color="000000" w:sz="4" w:space="0"/>
            </w:tcBorders>
            <w:vAlign w:val="center"/>
          </w:tcPr>
          <w:p w14:paraId="21CBC651">
            <w:pPr>
              <w:jc w:val="center"/>
              <w:rPr>
                <w:color w:val="auto"/>
                <w:highlight w:val="none"/>
              </w:rPr>
            </w:pPr>
            <w:r>
              <w:rPr>
                <w:rFonts w:hint="eastAsia"/>
                <w:color w:val="auto"/>
                <w:highlight w:val="none"/>
                <w:lang w:val="en-US" w:eastAsia="zh-CN"/>
              </w:rPr>
              <w:t>机修一</w:t>
            </w:r>
            <w:r>
              <w:rPr>
                <w:rFonts w:hint="eastAsia"/>
                <w:color w:val="auto"/>
                <w:highlight w:val="none"/>
              </w:rPr>
              <w:t>车间</w:t>
            </w:r>
          </w:p>
        </w:tc>
        <w:tc>
          <w:tcPr>
            <w:tcW w:w="3158" w:type="dxa"/>
            <w:gridSpan w:val="6"/>
            <w:tcBorders>
              <w:top w:val="single" w:color="000000" w:sz="6" w:space="0"/>
              <w:bottom w:val="single" w:color="000000" w:sz="4" w:space="0"/>
            </w:tcBorders>
            <w:vAlign w:val="center"/>
          </w:tcPr>
          <w:p w14:paraId="2F39BA2C">
            <w:pPr>
              <w:jc w:val="center"/>
              <w:rPr>
                <w:color w:val="auto"/>
                <w:highlight w:val="none"/>
              </w:rPr>
            </w:pPr>
            <w:r>
              <w:rPr>
                <w:rFonts w:hint="eastAsia"/>
                <w:color w:val="auto"/>
                <w:highlight w:val="none"/>
              </w:rPr>
              <w:t>施工单位</w:t>
            </w:r>
          </w:p>
        </w:tc>
        <w:tc>
          <w:tcPr>
            <w:tcW w:w="3159" w:type="dxa"/>
            <w:gridSpan w:val="3"/>
            <w:tcBorders>
              <w:top w:val="single" w:color="000000" w:sz="6" w:space="0"/>
              <w:bottom w:val="single" w:color="000000" w:sz="4" w:space="0"/>
            </w:tcBorders>
            <w:vAlign w:val="center"/>
          </w:tcPr>
          <w:p w14:paraId="113A70B0">
            <w:pPr>
              <w:jc w:val="center"/>
              <w:rPr>
                <w:color w:val="auto"/>
                <w:highlight w:val="none"/>
              </w:rPr>
            </w:pPr>
            <w:r>
              <w:rPr>
                <w:rFonts w:hint="eastAsia"/>
                <w:color w:val="auto"/>
                <w:highlight w:val="none"/>
              </w:rPr>
              <w:t>设备管理部</w:t>
            </w:r>
          </w:p>
        </w:tc>
      </w:tr>
      <w:tr w14:paraId="2A3FA1B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28" w:type="dxa"/>
            <w:bottom w:w="0" w:type="dxa"/>
            <w:right w:w="28" w:type="dxa"/>
          </w:tblCellMar>
        </w:tblPrEx>
        <w:trPr>
          <w:cantSplit/>
          <w:trHeight w:val="1814" w:hRule="atLeast"/>
        </w:trPr>
        <w:tc>
          <w:tcPr>
            <w:tcW w:w="3151" w:type="dxa"/>
            <w:gridSpan w:val="5"/>
            <w:tcBorders>
              <w:top w:val="single" w:color="000000" w:sz="4" w:space="0"/>
            </w:tcBorders>
          </w:tcPr>
          <w:p w14:paraId="26A54395">
            <w:pPr>
              <w:spacing w:before="72"/>
              <w:rPr>
                <w:color w:val="auto"/>
                <w:highlight w:val="none"/>
              </w:rPr>
            </w:pPr>
            <w:r>
              <w:rPr>
                <w:rFonts w:hint="eastAsia"/>
                <w:color w:val="auto"/>
                <w:highlight w:val="none"/>
              </w:rPr>
              <w:t xml:space="preserve"> 专业</w:t>
            </w:r>
            <w:r>
              <w:rPr>
                <w:rFonts w:hint="eastAsia"/>
                <w:color w:val="auto"/>
                <w:highlight w:val="none"/>
                <w:lang w:eastAsia="zh-CN"/>
              </w:rPr>
              <w:t>项目</w:t>
            </w:r>
            <w:r>
              <w:rPr>
                <w:rFonts w:hint="eastAsia"/>
                <w:color w:val="auto"/>
                <w:highlight w:val="none"/>
              </w:rPr>
              <w:t>师：</w:t>
            </w:r>
          </w:p>
          <w:p w14:paraId="5E333906">
            <w:pPr>
              <w:spacing w:before="72"/>
              <w:rPr>
                <w:color w:val="auto"/>
                <w:highlight w:val="none"/>
              </w:rPr>
            </w:pPr>
          </w:p>
          <w:p w14:paraId="7486759E">
            <w:pPr>
              <w:rPr>
                <w:color w:val="auto"/>
                <w:highlight w:val="none"/>
              </w:rPr>
            </w:pPr>
          </w:p>
          <w:p w14:paraId="47B35D7B">
            <w:pPr>
              <w:rPr>
                <w:color w:val="auto"/>
                <w:highlight w:val="none"/>
              </w:rPr>
            </w:pPr>
          </w:p>
          <w:p w14:paraId="254AB451">
            <w:pPr>
              <w:spacing w:before="72"/>
              <w:rPr>
                <w:color w:val="auto"/>
                <w:highlight w:val="none"/>
              </w:rPr>
            </w:pPr>
            <w:r>
              <w:rPr>
                <w:rFonts w:hint="eastAsia"/>
                <w:color w:val="auto"/>
                <w:highlight w:val="none"/>
              </w:rPr>
              <w:t xml:space="preserve"> 日期：    年   月   日</w:t>
            </w:r>
          </w:p>
        </w:tc>
        <w:tc>
          <w:tcPr>
            <w:tcW w:w="3158" w:type="dxa"/>
            <w:gridSpan w:val="6"/>
            <w:tcBorders>
              <w:top w:val="single" w:color="000000" w:sz="4" w:space="0"/>
            </w:tcBorders>
          </w:tcPr>
          <w:p w14:paraId="4CB1A198">
            <w:pPr>
              <w:spacing w:before="72"/>
              <w:ind w:firstLine="120" w:firstLineChars="50"/>
              <w:rPr>
                <w:color w:val="auto"/>
                <w:highlight w:val="none"/>
              </w:rPr>
            </w:pPr>
            <w:r>
              <w:rPr>
                <w:rFonts w:hint="eastAsia"/>
                <w:color w:val="auto"/>
                <w:highlight w:val="none"/>
                <w:lang w:eastAsia="zh-CN"/>
              </w:rPr>
              <w:t>项目负责人</w:t>
            </w:r>
            <w:r>
              <w:rPr>
                <w:rFonts w:hint="eastAsia"/>
                <w:color w:val="auto"/>
                <w:highlight w:val="none"/>
              </w:rPr>
              <w:t>：</w:t>
            </w:r>
          </w:p>
          <w:p w14:paraId="6D1FE6E9">
            <w:pPr>
              <w:rPr>
                <w:color w:val="auto"/>
                <w:highlight w:val="none"/>
              </w:rPr>
            </w:pPr>
          </w:p>
          <w:p w14:paraId="4FD4D413">
            <w:pPr>
              <w:rPr>
                <w:color w:val="auto"/>
                <w:highlight w:val="none"/>
              </w:rPr>
            </w:pPr>
          </w:p>
          <w:p w14:paraId="3A41194D">
            <w:pPr>
              <w:rPr>
                <w:color w:val="auto"/>
                <w:highlight w:val="none"/>
              </w:rPr>
            </w:pPr>
          </w:p>
          <w:p w14:paraId="09380DD3">
            <w:pPr>
              <w:rPr>
                <w:color w:val="auto"/>
                <w:highlight w:val="none"/>
              </w:rPr>
            </w:pPr>
          </w:p>
          <w:p w14:paraId="0C12E34F">
            <w:pPr>
              <w:ind w:firstLine="120" w:firstLineChars="50"/>
              <w:rPr>
                <w:color w:val="auto"/>
                <w:highlight w:val="none"/>
              </w:rPr>
            </w:pPr>
            <w:r>
              <w:rPr>
                <w:rFonts w:hint="eastAsia"/>
                <w:color w:val="auto"/>
                <w:highlight w:val="none"/>
              </w:rPr>
              <w:t>日期：   年   月   日</w:t>
            </w:r>
          </w:p>
        </w:tc>
        <w:tc>
          <w:tcPr>
            <w:tcW w:w="3159" w:type="dxa"/>
            <w:gridSpan w:val="3"/>
            <w:tcBorders>
              <w:top w:val="single" w:color="000000" w:sz="4" w:space="0"/>
            </w:tcBorders>
          </w:tcPr>
          <w:p w14:paraId="24A45336">
            <w:pPr>
              <w:spacing w:before="72"/>
              <w:rPr>
                <w:color w:val="auto"/>
                <w:highlight w:val="none"/>
              </w:rPr>
            </w:pPr>
            <w:r>
              <w:rPr>
                <w:rFonts w:hint="eastAsia"/>
                <w:color w:val="auto"/>
                <w:highlight w:val="none"/>
              </w:rPr>
              <w:t>专业</w:t>
            </w:r>
            <w:r>
              <w:rPr>
                <w:rFonts w:hint="eastAsia"/>
                <w:color w:val="auto"/>
                <w:highlight w:val="none"/>
                <w:lang w:eastAsia="zh-CN"/>
              </w:rPr>
              <w:t>项目</w:t>
            </w:r>
            <w:r>
              <w:rPr>
                <w:rFonts w:hint="eastAsia"/>
                <w:color w:val="auto"/>
                <w:highlight w:val="none"/>
              </w:rPr>
              <w:t>师：</w:t>
            </w:r>
          </w:p>
          <w:p w14:paraId="7B8F007A">
            <w:pPr>
              <w:spacing w:before="72"/>
              <w:rPr>
                <w:color w:val="auto"/>
                <w:highlight w:val="none"/>
              </w:rPr>
            </w:pPr>
          </w:p>
          <w:p w14:paraId="70B2FBA1">
            <w:pPr>
              <w:spacing w:before="72"/>
              <w:rPr>
                <w:color w:val="auto"/>
                <w:highlight w:val="none"/>
              </w:rPr>
            </w:pPr>
          </w:p>
          <w:p w14:paraId="4310A3F5">
            <w:pPr>
              <w:rPr>
                <w:color w:val="auto"/>
                <w:highlight w:val="none"/>
              </w:rPr>
            </w:pPr>
          </w:p>
          <w:p w14:paraId="4167C1E0">
            <w:pPr>
              <w:spacing w:before="288"/>
              <w:rPr>
                <w:color w:val="auto"/>
                <w:highlight w:val="none"/>
              </w:rPr>
            </w:pPr>
            <w:r>
              <w:rPr>
                <w:rFonts w:hint="eastAsia"/>
                <w:color w:val="auto"/>
                <w:highlight w:val="none"/>
              </w:rPr>
              <w:t xml:space="preserve"> 日期：    年   月   日                     </w:t>
            </w:r>
          </w:p>
        </w:tc>
      </w:tr>
    </w:tbl>
    <w:p w14:paraId="4EC92CBA">
      <w:pPr>
        <w:rPr>
          <w:color w:val="auto"/>
          <w:highlight w:val="none"/>
        </w:rPr>
      </w:pPr>
    </w:p>
    <w:bookmarkEnd w:id="18"/>
    <w:sectPr>
      <w:endnotePr>
        <w:numFmt w:val="decimal"/>
      </w:endnotePr>
      <w:pgSz w:w="11906" w:h="16838"/>
      <w:pgMar w:top="1418" w:right="1134" w:bottom="1134" w:left="1418" w:header="851" w:footer="64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小标宋">
    <w:altName w:val="宋体"/>
    <w:panose1 w:val="00000000000000000000"/>
    <w:charset w:val="86"/>
    <w:family w:val="modern"/>
    <w:pitch w:val="default"/>
    <w:sig w:usb0="00000000" w:usb1="00000000" w:usb2="00000010" w:usb3="00000000" w:csb0="00040000" w:csb1="00000000"/>
  </w:font>
  <w:font w:name="PingFang SC">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Dotum">
    <w:altName w:val="Malgun Gothic"/>
    <w:panose1 w:val="020B0600000101010101"/>
    <w:charset w:val="81"/>
    <w:family w:val="moder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105EC">
    <w:pPr>
      <w:pStyle w:val="21"/>
      <w:ind w:left="960"/>
      <w:jc w:val="center"/>
      <w:rPr>
        <w:lang w:val="zh-CN"/>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43</w:t>
    </w:r>
    <w:r>
      <w:rPr>
        <w:b/>
        <w:bCs/>
        <w:sz w:val="24"/>
        <w:szCs w:val="24"/>
      </w:rPr>
      <w:fldChar w:fldCharType="end"/>
    </w:r>
  </w:p>
  <w:p w14:paraId="0305CFD2">
    <w:pPr>
      <w:pStyle w:val="21"/>
      <w:spacing w:before="120" w:after="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34BC2">
    <w:pPr>
      <w:pStyle w:val="21"/>
      <w:ind w:left="960"/>
      <w:jc w:val="center"/>
      <w:rPr>
        <w:lang w:val="zh-CN"/>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43</w:t>
    </w:r>
    <w:r>
      <w:rPr>
        <w:b/>
        <w:bCs/>
        <w:sz w:val="24"/>
        <w:szCs w:val="24"/>
      </w:rPr>
      <w:fldChar w:fldCharType="end"/>
    </w:r>
  </w:p>
  <w:p w14:paraId="50A29E3D"/>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05DEF">
    <w:pPr>
      <w:pStyle w:val="22"/>
      <w:pBdr>
        <w:bottom w:val="none" w:color="000000"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0668E">
    <w:pPr>
      <w:pStyle w:val="22"/>
      <w:pBdr>
        <w:bottom w:val="single" w:color="000000" w:sz="6" w:space="6"/>
      </w:pBdr>
      <w:jc w:val="left"/>
      <w:rPr>
        <w:rFonts w:ascii="楷体_GB2312" w:eastAsia="楷体_GB2312"/>
        <w:sz w:val="24"/>
        <w:szCs w:val="24"/>
      </w:rPr>
    </w:pPr>
    <w:r>
      <w:rPr>
        <w:rFonts w:hint="eastAsia" w:ascii="楷体_GB2312" w:eastAsia="楷体_GB231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A87B9C"/>
    <w:multiLevelType w:val="multilevel"/>
    <w:tmpl w:val="58A87B9C"/>
    <w:lvl w:ilvl="0" w:tentative="0">
      <w:start w:val="1"/>
      <w:numFmt w:val="decimal"/>
      <w:suff w:val="nothing"/>
      <w:lvlText w:val="%1."/>
      <w:lvlJc w:val="left"/>
      <w:rPr>
        <w:rFonts w:hint="eastAsia"/>
      </w:rPr>
    </w:lvl>
    <w:lvl w:ilvl="1" w:tentative="0">
      <w:start w:val="1"/>
      <w:numFmt w:val="decimal"/>
      <w:suff w:val="nothing"/>
      <w:lvlText w:val="%1.%2"/>
      <w:lvlJc w:val="left"/>
      <w:rPr>
        <w:rFonts w:hint="eastAsia"/>
      </w:rPr>
    </w:lvl>
    <w:lvl w:ilvl="2" w:tentative="0">
      <w:start w:val="1"/>
      <w:numFmt w:val="chineseCountingThousand"/>
      <w:suff w:val="nothing"/>
      <w:lvlText w:val="附件%3："/>
      <w:lvlJc w:val="left"/>
      <w:rPr>
        <w:rFonts w:hint="eastAsia"/>
      </w:rPr>
    </w:lvl>
    <w:lvl w:ilvl="3" w:tentative="0">
      <w:start w:val="1"/>
      <w:numFmt w:val="decimal"/>
      <w:suff w:val="nothing"/>
      <w:lvlText w:val="%4."/>
      <w:lvlJc w:val="left"/>
      <w:rPr>
        <w:rFonts w:hint="eastAsia"/>
      </w:rPr>
    </w:lvl>
    <w:lvl w:ilvl="4" w:tentative="0">
      <w:start w:val="1"/>
      <w:numFmt w:val="decimal"/>
      <w:pStyle w:val="6"/>
      <w:suff w:val="nothing"/>
      <w:lvlText w:val="%4.%5"/>
      <w:lvlJc w:val="left"/>
      <w:rPr>
        <w:rFonts w:hint="eastAsia"/>
      </w:rPr>
    </w:lvl>
    <w:lvl w:ilvl="5" w:tentative="0">
      <w:start w:val="1"/>
      <w:numFmt w:val="decimal"/>
      <w:pStyle w:val="7"/>
      <w:suff w:val="nothing"/>
      <w:lvlText w:val=""/>
      <w:lvlJc w:val="left"/>
      <w:rPr>
        <w:rFonts w:hint="eastAsia"/>
      </w:rPr>
    </w:lvl>
    <w:lvl w:ilvl="6" w:tentative="0">
      <w:start w:val="1"/>
      <w:numFmt w:val="decimal"/>
      <w:pStyle w:val="8"/>
      <w:suff w:val="nothing"/>
      <w:lvlText w:val=""/>
      <w:lvlJc w:val="left"/>
      <w:rPr>
        <w:rFonts w:hint="eastAsia"/>
      </w:rPr>
    </w:lvl>
    <w:lvl w:ilvl="7" w:tentative="0">
      <w:start w:val="1"/>
      <w:numFmt w:val="decimal"/>
      <w:pStyle w:val="9"/>
      <w:suff w:val="nothing"/>
      <w:lvlText w:val=""/>
      <w:lvlJc w:val="left"/>
      <w:rPr>
        <w:rFonts w:hint="eastAsia"/>
      </w:rPr>
    </w:lvl>
    <w:lvl w:ilvl="8" w:tentative="0">
      <w:start w:val="1"/>
      <w:numFmt w:val="decimal"/>
      <w:pStyle w:val="10"/>
      <w:suff w:val="nothing"/>
      <w:lvlText w:val=""/>
      <w:lvlJc w:val="left"/>
      <w:rPr>
        <w:rFonts w:hint="eastAsia"/>
      </w:rPr>
    </w:lvl>
  </w:abstractNum>
  <w:abstractNum w:abstractNumId="1">
    <w:nsid w:val="6CEA2025"/>
    <w:multiLevelType w:val="multilevel"/>
    <w:tmpl w:val="6CEA2025"/>
    <w:lvl w:ilvl="0" w:tentative="0">
      <w:start w:val="1"/>
      <w:numFmt w:val="decimal"/>
      <w:suff w:val="nothing"/>
      <w:lvlText w:val="%1"/>
      <w:lvlJc w:val="left"/>
      <w:pPr>
        <w:ind w:left="0" w:firstLine="0"/>
      </w:pPr>
      <w:rPr>
        <w:rFonts w:ascii="Times New Roman" w:hAnsi="Times New Roman"/>
        <w:b/>
        <w:i w:val="0"/>
        <w:sz w:val="21"/>
      </w:rPr>
    </w:lvl>
    <w:lvl w:ilvl="1" w:tentative="0">
      <w:start w:val="1"/>
      <w:numFmt w:val="decimal"/>
      <w:pStyle w:val="70"/>
      <w:suff w:val="nothing"/>
      <w:lvlText w:val="%1%2　"/>
      <w:lvlJc w:val="left"/>
      <w:pPr>
        <w:ind w:left="0" w:firstLine="0"/>
      </w:pPr>
      <w:rPr>
        <w:rFonts w:hint="eastAsia" w:ascii="宋体" w:hAnsi="宋体" w:eastAsia="宋体"/>
        <w:b w:val="0"/>
        <w:i w:val="0"/>
        <w:sz w:val="21"/>
      </w:rPr>
    </w:lvl>
    <w:lvl w:ilvl="2" w:tentative="0">
      <w:start w:val="1"/>
      <w:numFmt w:val="decimal"/>
      <w:pStyle w:val="69"/>
      <w:suff w:val="nothing"/>
      <w:lvlText w:val="%1%2.%3　"/>
      <w:lvlJc w:val="left"/>
      <w:pPr>
        <w:ind w:left="0" w:firstLine="0"/>
      </w:pPr>
      <w:rPr>
        <w:rFonts w:hint="eastAsia" w:ascii="宋体" w:hAnsi="宋体" w:eastAsia="宋体"/>
        <w:b w:val="0"/>
        <w:i w:val="0"/>
        <w:sz w:val="21"/>
      </w:rPr>
    </w:lvl>
    <w:lvl w:ilvl="3" w:tentative="0">
      <w:start w:val="1"/>
      <w:numFmt w:val="decimal"/>
      <w:pStyle w:val="68"/>
      <w:suff w:val="nothing"/>
      <w:lvlText w:val="%1%2.%3.%4　"/>
      <w:lvlJc w:val="left"/>
      <w:pPr>
        <w:ind w:left="630" w:firstLine="0"/>
      </w:pPr>
      <w:rPr>
        <w:rFonts w:hint="eastAsia" w:ascii="宋体" w:hAnsi="宋体" w:eastAsia="宋体"/>
        <w:b w:val="0"/>
        <w:i w:val="0"/>
        <w:sz w:val="21"/>
      </w:rPr>
    </w:lvl>
    <w:lvl w:ilvl="4" w:tentative="0">
      <w:start w:val="1"/>
      <w:numFmt w:val="decimal"/>
      <w:pStyle w:val="67"/>
      <w:suff w:val="nothing"/>
      <w:lvlText w:val="%1%2.%3.%4.%5　"/>
      <w:lvlJc w:val="left"/>
      <w:pPr>
        <w:ind w:left="840" w:firstLine="0"/>
      </w:pPr>
      <w:rPr>
        <w:rFonts w:hint="eastAsia" w:ascii="宋体" w:hAnsi="宋体" w:eastAsia="宋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74F53DD4"/>
    <w:multiLevelType w:val="multilevel"/>
    <w:tmpl w:val="74F53DD4"/>
    <w:lvl w:ilvl="0" w:tentative="0">
      <w:start w:val="0"/>
      <w:numFmt w:val="decimal"/>
      <w:pStyle w:val="5"/>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NotTrackMoves/>
  <w:documentProtection w:enforcement="0"/>
  <w:defaultTabStop w:val="420"/>
  <w:displayHorizontalDrawingGridEvery w:val="2"/>
  <w:characterSpacingControl w:val="doNotCompress"/>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c4OTgwMzk3Y2VhNmEyYmRlNjEyMjIxODM3NzI2OTQifQ=="/>
  </w:docVars>
  <w:rsids>
    <w:rsidRoot w:val="006D20F7"/>
    <w:rsid w:val="000A0F0C"/>
    <w:rsid w:val="000D1D22"/>
    <w:rsid w:val="000E5609"/>
    <w:rsid w:val="001023C0"/>
    <w:rsid w:val="00120E96"/>
    <w:rsid w:val="00130662"/>
    <w:rsid w:val="00160BCA"/>
    <w:rsid w:val="00164F15"/>
    <w:rsid w:val="0017237C"/>
    <w:rsid w:val="002D11AC"/>
    <w:rsid w:val="00307188"/>
    <w:rsid w:val="00315544"/>
    <w:rsid w:val="00334AF3"/>
    <w:rsid w:val="0041399B"/>
    <w:rsid w:val="0044341B"/>
    <w:rsid w:val="00493FE1"/>
    <w:rsid w:val="004E1977"/>
    <w:rsid w:val="004F245F"/>
    <w:rsid w:val="005764C9"/>
    <w:rsid w:val="005D1C8A"/>
    <w:rsid w:val="005F1D49"/>
    <w:rsid w:val="00670767"/>
    <w:rsid w:val="00676AD9"/>
    <w:rsid w:val="006B1A11"/>
    <w:rsid w:val="006C0A86"/>
    <w:rsid w:val="006D20F7"/>
    <w:rsid w:val="00830B0D"/>
    <w:rsid w:val="008406DF"/>
    <w:rsid w:val="00856905"/>
    <w:rsid w:val="00867FFD"/>
    <w:rsid w:val="008E36CE"/>
    <w:rsid w:val="00923DE1"/>
    <w:rsid w:val="00970BC6"/>
    <w:rsid w:val="009A72AF"/>
    <w:rsid w:val="00A21F08"/>
    <w:rsid w:val="00A24741"/>
    <w:rsid w:val="00A530CB"/>
    <w:rsid w:val="00A70547"/>
    <w:rsid w:val="00A87F63"/>
    <w:rsid w:val="00AF4C84"/>
    <w:rsid w:val="00B11A45"/>
    <w:rsid w:val="00B36754"/>
    <w:rsid w:val="00B418B3"/>
    <w:rsid w:val="00B634F5"/>
    <w:rsid w:val="00BC760C"/>
    <w:rsid w:val="00C20D5E"/>
    <w:rsid w:val="00C31762"/>
    <w:rsid w:val="00C332ED"/>
    <w:rsid w:val="00C81AA4"/>
    <w:rsid w:val="00CA194E"/>
    <w:rsid w:val="00D459E4"/>
    <w:rsid w:val="00D85933"/>
    <w:rsid w:val="00DE0416"/>
    <w:rsid w:val="00E07BDA"/>
    <w:rsid w:val="00E42EBA"/>
    <w:rsid w:val="00E67C00"/>
    <w:rsid w:val="00EA08D7"/>
    <w:rsid w:val="00EB07B1"/>
    <w:rsid w:val="00F652DD"/>
    <w:rsid w:val="00FD5BA3"/>
    <w:rsid w:val="01416DF2"/>
    <w:rsid w:val="015513F4"/>
    <w:rsid w:val="01E66FA5"/>
    <w:rsid w:val="02007D6E"/>
    <w:rsid w:val="023615AF"/>
    <w:rsid w:val="02753C88"/>
    <w:rsid w:val="02754CC0"/>
    <w:rsid w:val="02B26E88"/>
    <w:rsid w:val="02BD28BB"/>
    <w:rsid w:val="02E828A9"/>
    <w:rsid w:val="02F23728"/>
    <w:rsid w:val="02FB220D"/>
    <w:rsid w:val="030A0A72"/>
    <w:rsid w:val="0327603E"/>
    <w:rsid w:val="03305FFE"/>
    <w:rsid w:val="036C573B"/>
    <w:rsid w:val="037C68DF"/>
    <w:rsid w:val="03804A54"/>
    <w:rsid w:val="038A570F"/>
    <w:rsid w:val="03B31109"/>
    <w:rsid w:val="03CA56CE"/>
    <w:rsid w:val="03D50C16"/>
    <w:rsid w:val="03DA5489"/>
    <w:rsid w:val="04115E30"/>
    <w:rsid w:val="043438CC"/>
    <w:rsid w:val="043B2EAD"/>
    <w:rsid w:val="04545D1C"/>
    <w:rsid w:val="048B6CCD"/>
    <w:rsid w:val="049368E6"/>
    <w:rsid w:val="04BF2C00"/>
    <w:rsid w:val="04C42EA2"/>
    <w:rsid w:val="04C44C50"/>
    <w:rsid w:val="04F31198"/>
    <w:rsid w:val="050339CA"/>
    <w:rsid w:val="050F7790"/>
    <w:rsid w:val="063D026D"/>
    <w:rsid w:val="0643687B"/>
    <w:rsid w:val="06482F2B"/>
    <w:rsid w:val="067B57E2"/>
    <w:rsid w:val="067D411E"/>
    <w:rsid w:val="06837593"/>
    <w:rsid w:val="069E6B22"/>
    <w:rsid w:val="06AA0FF0"/>
    <w:rsid w:val="06AC5AB4"/>
    <w:rsid w:val="06BC02D5"/>
    <w:rsid w:val="06C4362D"/>
    <w:rsid w:val="06D15581"/>
    <w:rsid w:val="06E521B8"/>
    <w:rsid w:val="06ED4932"/>
    <w:rsid w:val="07116774"/>
    <w:rsid w:val="072B7D8D"/>
    <w:rsid w:val="076E61E5"/>
    <w:rsid w:val="07C338E5"/>
    <w:rsid w:val="07D63618"/>
    <w:rsid w:val="08444A26"/>
    <w:rsid w:val="087028C8"/>
    <w:rsid w:val="087150EF"/>
    <w:rsid w:val="08A4332D"/>
    <w:rsid w:val="08FA50E4"/>
    <w:rsid w:val="08FD32B2"/>
    <w:rsid w:val="09265ED9"/>
    <w:rsid w:val="09645F3F"/>
    <w:rsid w:val="09921B1B"/>
    <w:rsid w:val="09C9255A"/>
    <w:rsid w:val="09D61B19"/>
    <w:rsid w:val="09F47679"/>
    <w:rsid w:val="0A083831"/>
    <w:rsid w:val="0A0A2A5D"/>
    <w:rsid w:val="0A79028B"/>
    <w:rsid w:val="0AA25A34"/>
    <w:rsid w:val="0AA608D1"/>
    <w:rsid w:val="0ABB409C"/>
    <w:rsid w:val="0AC91212"/>
    <w:rsid w:val="0B04049C"/>
    <w:rsid w:val="0B0560D8"/>
    <w:rsid w:val="0B095AB3"/>
    <w:rsid w:val="0B7F7B23"/>
    <w:rsid w:val="0B9F6417"/>
    <w:rsid w:val="0BC55E54"/>
    <w:rsid w:val="0BD27F6A"/>
    <w:rsid w:val="0BEF6A57"/>
    <w:rsid w:val="0C146C99"/>
    <w:rsid w:val="0C3D1EB8"/>
    <w:rsid w:val="0C463D95"/>
    <w:rsid w:val="0CC5653B"/>
    <w:rsid w:val="0D147C55"/>
    <w:rsid w:val="0D1A3FA7"/>
    <w:rsid w:val="0D312C9C"/>
    <w:rsid w:val="0DB241E0"/>
    <w:rsid w:val="0DB5782C"/>
    <w:rsid w:val="0DD759F4"/>
    <w:rsid w:val="0E227C47"/>
    <w:rsid w:val="0E565112"/>
    <w:rsid w:val="0E664D3A"/>
    <w:rsid w:val="0E8772D2"/>
    <w:rsid w:val="0E9503CA"/>
    <w:rsid w:val="0ECC0A79"/>
    <w:rsid w:val="0ED61957"/>
    <w:rsid w:val="0FA20284"/>
    <w:rsid w:val="0FA24596"/>
    <w:rsid w:val="0FD146C5"/>
    <w:rsid w:val="0FE35C25"/>
    <w:rsid w:val="10405E6E"/>
    <w:rsid w:val="10BF4A70"/>
    <w:rsid w:val="10F92125"/>
    <w:rsid w:val="11020FDA"/>
    <w:rsid w:val="11101499"/>
    <w:rsid w:val="11105EB6"/>
    <w:rsid w:val="11290C5D"/>
    <w:rsid w:val="113737D1"/>
    <w:rsid w:val="11427629"/>
    <w:rsid w:val="118E6D12"/>
    <w:rsid w:val="1191235E"/>
    <w:rsid w:val="1198193E"/>
    <w:rsid w:val="11B13CB0"/>
    <w:rsid w:val="11EA4C32"/>
    <w:rsid w:val="11FE5B0A"/>
    <w:rsid w:val="12170AB5"/>
    <w:rsid w:val="12273E41"/>
    <w:rsid w:val="122D1840"/>
    <w:rsid w:val="125E0645"/>
    <w:rsid w:val="12695089"/>
    <w:rsid w:val="128F1814"/>
    <w:rsid w:val="12AD31C8"/>
    <w:rsid w:val="12CE78BA"/>
    <w:rsid w:val="12D93FBD"/>
    <w:rsid w:val="12E07FA3"/>
    <w:rsid w:val="132609DD"/>
    <w:rsid w:val="133A105E"/>
    <w:rsid w:val="13635E90"/>
    <w:rsid w:val="13734411"/>
    <w:rsid w:val="13806B2E"/>
    <w:rsid w:val="139C0507"/>
    <w:rsid w:val="13A527C2"/>
    <w:rsid w:val="13B01DD4"/>
    <w:rsid w:val="142676D5"/>
    <w:rsid w:val="14280D4F"/>
    <w:rsid w:val="1476310A"/>
    <w:rsid w:val="14B70B0D"/>
    <w:rsid w:val="14BB6070"/>
    <w:rsid w:val="14E135FC"/>
    <w:rsid w:val="14FE278E"/>
    <w:rsid w:val="1534372C"/>
    <w:rsid w:val="157D4405"/>
    <w:rsid w:val="15900F24"/>
    <w:rsid w:val="15B028DA"/>
    <w:rsid w:val="15B64A89"/>
    <w:rsid w:val="161D385D"/>
    <w:rsid w:val="16391314"/>
    <w:rsid w:val="165E2A90"/>
    <w:rsid w:val="16A85011"/>
    <w:rsid w:val="16BB42B4"/>
    <w:rsid w:val="16F51CB1"/>
    <w:rsid w:val="17131952"/>
    <w:rsid w:val="171802A5"/>
    <w:rsid w:val="17215F32"/>
    <w:rsid w:val="1736755D"/>
    <w:rsid w:val="178070FD"/>
    <w:rsid w:val="17BD5C5B"/>
    <w:rsid w:val="17C121EB"/>
    <w:rsid w:val="17C14C83"/>
    <w:rsid w:val="17D15BAA"/>
    <w:rsid w:val="17E9660E"/>
    <w:rsid w:val="180E295A"/>
    <w:rsid w:val="1840688C"/>
    <w:rsid w:val="18475E6C"/>
    <w:rsid w:val="18556173"/>
    <w:rsid w:val="185D3728"/>
    <w:rsid w:val="188B3FAB"/>
    <w:rsid w:val="18A00F71"/>
    <w:rsid w:val="18B02996"/>
    <w:rsid w:val="18C474BD"/>
    <w:rsid w:val="18D74235"/>
    <w:rsid w:val="1955613D"/>
    <w:rsid w:val="19722A75"/>
    <w:rsid w:val="19792055"/>
    <w:rsid w:val="198F3627"/>
    <w:rsid w:val="19B65058"/>
    <w:rsid w:val="19BE3676"/>
    <w:rsid w:val="19C257AA"/>
    <w:rsid w:val="19CD556F"/>
    <w:rsid w:val="19ED659F"/>
    <w:rsid w:val="19FB69EE"/>
    <w:rsid w:val="1A09570F"/>
    <w:rsid w:val="1A4C1518"/>
    <w:rsid w:val="1A533F79"/>
    <w:rsid w:val="1A74270C"/>
    <w:rsid w:val="1A756CC1"/>
    <w:rsid w:val="1A8C5A32"/>
    <w:rsid w:val="1AC94917"/>
    <w:rsid w:val="1AE6196C"/>
    <w:rsid w:val="1B160EE2"/>
    <w:rsid w:val="1B2B21A0"/>
    <w:rsid w:val="1B4D0145"/>
    <w:rsid w:val="1BA22C27"/>
    <w:rsid w:val="1BA500C9"/>
    <w:rsid w:val="1BAF676E"/>
    <w:rsid w:val="1BAF7FB0"/>
    <w:rsid w:val="1BC577D4"/>
    <w:rsid w:val="1BE51C24"/>
    <w:rsid w:val="1BE7599C"/>
    <w:rsid w:val="1BEC2FB3"/>
    <w:rsid w:val="1C654519"/>
    <w:rsid w:val="1C7B7E93"/>
    <w:rsid w:val="1C8036FB"/>
    <w:rsid w:val="1C817B9F"/>
    <w:rsid w:val="1CB924A3"/>
    <w:rsid w:val="1CB93479"/>
    <w:rsid w:val="1CDB4ADE"/>
    <w:rsid w:val="1CFE203E"/>
    <w:rsid w:val="1D0D0964"/>
    <w:rsid w:val="1D2642A2"/>
    <w:rsid w:val="1D282738"/>
    <w:rsid w:val="1D2D73DF"/>
    <w:rsid w:val="1D305121"/>
    <w:rsid w:val="1D314D7C"/>
    <w:rsid w:val="1D350989"/>
    <w:rsid w:val="1D371EE0"/>
    <w:rsid w:val="1D5030CD"/>
    <w:rsid w:val="1D8611E5"/>
    <w:rsid w:val="1DE3579B"/>
    <w:rsid w:val="1DFE521F"/>
    <w:rsid w:val="1E4744D0"/>
    <w:rsid w:val="1E4B6FE6"/>
    <w:rsid w:val="1E6257AE"/>
    <w:rsid w:val="1EB15BB6"/>
    <w:rsid w:val="1F1258A0"/>
    <w:rsid w:val="1F2C36C6"/>
    <w:rsid w:val="1F70574E"/>
    <w:rsid w:val="1F831430"/>
    <w:rsid w:val="1F8654CC"/>
    <w:rsid w:val="1FDA47EF"/>
    <w:rsid w:val="1FF22B62"/>
    <w:rsid w:val="20176124"/>
    <w:rsid w:val="20364B19"/>
    <w:rsid w:val="20427645"/>
    <w:rsid w:val="207B3859"/>
    <w:rsid w:val="20831A0C"/>
    <w:rsid w:val="20D859DB"/>
    <w:rsid w:val="2107263D"/>
    <w:rsid w:val="21112757"/>
    <w:rsid w:val="21C346E9"/>
    <w:rsid w:val="21EB1616"/>
    <w:rsid w:val="22630F17"/>
    <w:rsid w:val="227710FC"/>
    <w:rsid w:val="22A85433"/>
    <w:rsid w:val="22AB1BF2"/>
    <w:rsid w:val="22BD7DA9"/>
    <w:rsid w:val="22C95B68"/>
    <w:rsid w:val="232C0139"/>
    <w:rsid w:val="2355492B"/>
    <w:rsid w:val="236C60A9"/>
    <w:rsid w:val="2381633C"/>
    <w:rsid w:val="239A6F02"/>
    <w:rsid w:val="23F029F9"/>
    <w:rsid w:val="23FE3883"/>
    <w:rsid w:val="24023A5F"/>
    <w:rsid w:val="24395DDA"/>
    <w:rsid w:val="24515A5A"/>
    <w:rsid w:val="24681644"/>
    <w:rsid w:val="247104F9"/>
    <w:rsid w:val="24822706"/>
    <w:rsid w:val="24997A50"/>
    <w:rsid w:val="24CA7B0C"/>
    <w:rsid w:val="24D13BD8"/>
    <w:rsid w:val="251470D6"/>
    <w:rsid w:val="251558A5"/>
    <w:rsid w:val="252C4420"/>
    <w:rsid w:val="2536704D"/>
    <w:rsid w:val="25893D68"/>
    <w:rsid w:val="25BF7042"/>
    <w:rsid w:val="25EE5DB4"/>
    <w:rsid w:val="26151358"/>
    <w:rsid w:val="26180D74"/>
    <w:rsid w:val="263B7010"/>
    <w:rsid w:val="264A7253"/>
    <w:rsid w:val="265C6062"/>
    <w:rsid w:val="2673294D"/>
    <w:rsid w:val="26A76454"/>
    <w:rsid w:val="26FC4AB8"/>
    <w:rsid w:val="272A498F"/>
    <w:rsid w:val="273D2914"/>
    <w:rsid w:val="278C3C3F"/>
    <w:rsid w:val="27D25752"/>
    <w:rsid w:val="27D53F19"/>
    <w:rsid w:val="27DA15AB"/>
    <w:rsid w:val="2832410A"/>
    <w:rsid w:val="28AD4C20"/>
    <w:rsid w:val="28C44FE8"/>
    <w:rsid w:val="28DC615D"/>
    <w:rsid w:val="293715E5"/>
    <w:rsid w:val="295E5B46"/>
    <w:rsid w:val="29613A86"/>
    <w:rsid w:val="296F5223"/>
    <w:rsid w:val="297B5976"/>
    <w:rsid w:val="2996630C"/>
    <w:rsid w:val="2A6D052C"/>
    <w:rsid w:val="2A9A28C1"/>
    <w:rsid w:val="2AAA2395"/>
    <w:rsid w:val="2AE82B97"/>
    <w:rsid w:val="2B0D4CF3"/>
    <w:rsid w:val="2B3039F8"/>
    <w:rsid w:val="2B381D70"/>
    <w:rsid w:val="2B405F6E"/>
    <w:rsid w:val="2B65243A"/>
    <w:rsid w:val="2B885500"/>
    <w:rsid w:val="2B887662"/>
    <w:rsid w:val="2BAF6427"/>
    <w:rsid w:val="2BC41856"/>
    <w:rsid w:val="2C0A355D"/>
    <w:rsid w:val="2C2C2F57"/>
    <w:rsid w:val="2C387B4E"/>
    <w:rsid w:val="2C416A03"/>
    <w:rsid w:val="2C512191"/>
    <w:rsid w:val="2C74487D"/>
    <w:rsid w:val="2C880B0F"/>
    <w:rsid w:val="2CA22D54"/>
    <w:rsid w:val="2CA84DCF"/>
    <w:rsid w:val="2CC633AC"/>
    <w:rsid w:val="2CDA0C05"/>
    <w:rsid w:val="2D23435A"/>
    <w:rsid w:val="2D6A3274"/>
    <w:rsid w:val="2D6C3F53"/>
    <w:rsid w:val="2D7B7CF2"/>
    <w:rsid w:val="2D8C1F00"/>
    <w:rsid w:val="2DD77618"/>
    <w:rsid w:val="2E0F48DF"/>
    <w:rsid w:val="2E7532AE"/>
    <w:rsid w:val="2EB37960"/>
    <w:rsid w:val="2EC35C05"/>
    <w:rsid w:val="2EC90F31"/>
    <w:rsid w:val="2ECA280E"/>
    <w:rsid w:val="2ECD27D0"/>
    <w:rsid w:val="2F191EB9"/>
    <w:rsid w:val="2F3320DE"/>
    <w:rsid w:val="2F6B6A34"/>
    <w:rsid w:val="2F781F4F"/>
    <w:rsid w:val="2F7D2448"/>
    <w:rsid w:val="2F7E018B"/>
    <w:rsid w:val="2FB33015"/>
    <w:rsid w:val="2FB50143"/>
    <w:rsid w:val="2FF62FBA"/>
    <w:rsid w:val="2FF817EF"/>
    <w:rsid w:val="306A22A0"/>
    <w:rsid w:val="30766201"/>
    <w:rsid w:val="307D1FD3"/>
    <w:rsid w:val="307D6477"/>
    <w:rsid w:val="30881BCD"/>
    <w:rsid w:val="308E66BB"/>
    <w:rsid w:val="309C68FD"/>
    <w:rsid w:val="309D61D2"/>
    <w:rsid w:val="30C61BCC"/>
    <w:rsid w:val="30FE3148"/>
    <w:rsid w:val="31551635"/>
    <w:rsid w:val="31864EB8"/>
    <w:rsid w:val="31885988"/>
    <w:rsid w:val="319C292D"/>
    <w:rsid w:val="31CF7105"/>
    <w:rsid w:val="31F77B64"/>
    <w:rsid w:val="320F75A3"/>
    <w:rsid w:val="32140715"/>
    <w:rsid w:val="32180206"/>
    <w:rsid w:val="322E1536"/>
    <w:rsid w:val="325925CC"/>
    <w:rsid w:val="32A3397A"/>
    <w:rsid w:val="32AD722B"/>
    <w:rsid w:val="32BD6C42"/>
    <w:rsid w:val="32EE540A"/>
    <w:rsid w:val="32F3657D"/>
    <w:rsid w:val="331029F1"/>
    <w:rsid w:val="331035D3"/>
    <w:rsid w:val="332130EA"/>
    <w:rsid w:val="33597F69"/>
    <w:rsid w:val="3371744F"/>
    <w:rsid w:val="33A87367"/>
    <w:rsid w:val="33C66680"/>
    <w:rsid w:val="33CA5530"/>
    <w:rsid w:val="341132A5"/>
    <w:rsid w:val="34272469"/>
    <w:rsid w:val="344165C4"/>
    <w:rsid w:val="34592D57"/>
    <w:rsid w:val="347B4A7C"/>
    <w:rsid w:val="34812418"/>
    <w:rsid w:val="34850DEF"/>
    <w:rsid w:val="34AC10D9"/>
    <w:rsid w:val="34DF500B"/>
    <w:rsid w:val="34EE34A0"/>
    <w:rsid w:val="34F32864"/>
    <w:rsid w:val="34FA62E8"/>
    <w:rsid w:val="351F5D4F"/>
    <w:rsid w:val="3538296D"/>
    <w:rsid w:val="35466E38"/>
    <w:rsid w:val="355D23D3"/>
    <w:rsid w:val="35846234"/>
    <w:rsid w:val="359F0C3E"/>
    <w:rsid w:val="35D83F6D"/>
    <w:rsid w:val="35DC59EE"/>
    <w:rsid w:val="36202716"/>
    <w:rsid w:val="36257DF1"/>
    <w:rsid w:val="36462E68"/>
    <w:rsid w:val="364F191D"/>
    <w:rsid w:val="368A701A"/>
    <w:rsid w:val="36CE77FC"/>
    <w:rsid w:val="36E56B24"/>
    <w:rsid w:val="37092813"/>
    <w:rsid w:val="37106FD4"/>
    <w:rsid w:val="375241BA"/>
    <w:rsid w:val="37AB1B1C"/>
    <w:rsid w:val="37AB2D0E"/>
    <w:rsid w:val="37C52BDE"/>
    <w:rsid w:val="380134EA"/>
    <w:rsid w:val="38883C0B"/>
    <w:rsid w:val="38BB3D60"/>
    <w:rsid w:val="38D93E6C"/>
    <w:rsid w:val="38F60D15"/>
    <w:rsid w:val="39AC4C55"/>
    <w:rsid w:val="39AF6E3D"/>
    <w:rsid w:val="39B36A66"/>
    <w:rsid w:val="39BB3F1A"/>
    <w:rsid w:val="39BF365D"/>
    <w:rsid w:val="39CD3FCC"/>
    <w:rsid w:val="39E40E4E"/>
    <w:rsid w:val="3A527C44"/>
    <w:rsid w:val="3A667F7C"/>
    <w:rsid w:val="3AAF1923"/>
    <w:rsid w:val="3ACB58D1"/>
    <w:rsid w:val="3ACF5B21"/>
    <w:rsid w:val="3ADB0022"/>
    <w:rsid w:val="3AE55345"/>
    <w:rsid w:val="3AE570F3"/>
    <w:rsid w:val="3B0A02FF"/>
    <w:rsid w:val="3B6C426B"/>
    <w:rsid w:val="3B9B5A04"/>
    <w:rsid w:val="3B9F696A"/>
    <w:rsid w:val="3BA50630"/>
    <w:rsid w:val="3BD91A6F"/>
    <w:rsid w:val="3BDA477E"/>
    <w:rsid w:val="3BE455FD"/>
    <w:rsid w:val="3C7B06AE"/>
    <w:rsid w:val="3CFE26EE"/>
    <w:rsid w:val="3D3B749E"/>
    <w:rsid w:val="3D895657"/>
    <w:rsid w:val="3D934BE4"/>
    <w:rsid w:val="3DE11DF4"/>
    <w:rsid w:val="3E0E2161"/>
    <w:rsid w:val="3E2E615A"/>
    <w:rsid w:val="3E4D1237"/>
    <w:rsid w:val="3E714241"/>
    <w:rsid w:val="3E716647"/>
    <w:rsid w:val="3E787CFC"/>
    <w:rsid w:val="3E7F1BB7"/>
    <w:rsid w:val="3EB05C6A"/>
    <w:rsid w:val="3EBA2645"/>
    <w:rsid w:val="3EF20E4E"/>
    <w:rsid w:val="3F190246"/>
    <w:rsid w:val="3F2153CD"/>
    <w:rsid w:val="3F2B709E"/>
    <w:rsid w:val="3F36673B"/>
    <w:rsid w:val="3F3B53F7"/>
    <w:rsid w:val="3F584337"/>
    <w:rsid w:val="3F5A27C7"/>
    <w:rsid w:val="3F934A87"/>
    <w:rsid w:val="3FA27361"/>
    <w:rsid w:val="3FCE63A8"/>
    <w:rsid w:val="400C3C00"/>
    <w:rsid w:val="40185875"/>
    <w:rsid w:val="4030282F"/>
    <w:rsid w:val="403E380E"/>
    <w:rsid w:val="40507E8F"/>
    <w:rsid w:val="40A47108"/>
    <w:rsid w:val="40B557B9"/>
    <w:rsid w:val="40C16A7C"/>
    <w:rsid w:val="40D565A8"/>
    <w:rsid w:val="40DE086C"/>
    <w:rsid w:val="410D73A4"/>
    <w:rsid w:val="412D5350"/>
    <w:rsid w:val="41344930"/>
    <w:rsid w:val="413606A8"/>
    <w:rsid w:val="41362456"/>
    <w:rsid w:val="413C37E5"/>
    <w:rsid w:val="41A2189A"/>
    <w:rsid w:val="41F12885"/>
    <w:rsid w:val="41FF1B86"/>
    <w:rsid w:val="42881557"/>
    <w:rsid w:val="42903DE8"/>
    <w:rsid w:val="42B1586B"/>
    <w:rsid w:val="42B22C97"/>
    <w:rsid w:val="43242582"/>
    <w:rsid w:val="43284021"/>
    <w:rsid w:val="432F476F"/>
    <w:rsid w:val="434B5F61"/>
    <w:rsid w:val="435724EB"/>
    <w:rsid w:val="43887DD0"/>
    <w:rsid w:val="43AA712C"/>
    <w:rsid w:val="43B92C85"/>
    <w:rsid w:val="43D16466"/>
    <w:rsid w:val="43DF200D"/>
    <w:rsid w:val="43E53CC0"/>
    <w:rsid w:val="43E91D8A"/>
    <w:rsid w:val="44037A98"/>
    <w:rsid w:val="44384FBA"/>
    <w:rsid w:val="443F7D0C"/>
    <w:rsid w:val="444B56D1"/>
    <w:rsid w:val="4469669F"/>
    <w:rsid w:val="44CA01D5"/>
    <w:rsid w:val="44D501D8"/>
    <w:rsid w:val="453B6B56"/>
    <w:rsid w:val="456A2EB2"/>
    <w:rsid w:val="458149EC"/>
    <w:rsid w:val="45967968"/>
    <w:rsid w:val="45A8769B"/>
    <w:rsid w:val="45AA3413"/>
    <w:rsid w:val="45C85647"/>
    <w:rsid w:val="45E32481"/>
    <w:rsid w:val="45E6202B"/>
    <w:rsid w:val="45F34DBA"/>
    <w:rsid w:val="45F621B4"/>
    <w:rsid w:val="464949DA"/>
    <w:rsid w:val="465810C1"/>
    <w:rsid w:val="468839D7"/>
    <w:rsid w:val="46933EA7"/>
    <w:rsid w:val="46DA3884"/>
    <w:rsid w:val="46F755C5"/>
    <w:rsid w:val="47226FD9"/>
    <w:rsid w:val="47372A84"/>
    <w:rsid w:val="474E0314"/>
    <w:rsid w:val="478F7F92"/>
    <w:rsid w:val="47BA6588"/>
    <w:rsid w:val="47E2428C"/>
    <w:rsid w:val="47FD6976"/>
    <w:rsid w:val="47FF2591"/>
    <w:rsid w:val="480E3F0E"/>
    <w:rsid w:val="481729E6"/>
    <w:rsid w:val="483906A7"/>
    <w:rsid w:val="48425B85"/>
    <w:rsid w:val="484A67E7"/>
    <w:rsid w:val="48693111"/>
    <w:rsid w:val="489F488D"/>
    <w:rsid w:val="48AD5394"/>
    <w:rsid w:val="48CC36A0"/>
    <w:rsid w:val="4901159C"/>
    <w:rsid w:val="493D00FA"/>
    <w:rsid w:val="495F00C6"/>
    <w:rsid w:val="49A22B70"/>
    <w:rsid w:val="49AA20BF"/>
    <w:rsid w:val="49B517A5"/>
    <w:rsid w:val="4A05330E"/>
    <w:rsid w:val="4A1932A7"/>
    <w:rsid w:val="4A3753B6"/>
    <w:rsid w:val="4A4F62B5"/>
    <w:rsid w:val="4A5E1059"/>
    <w:rsid w:val="4A7E6C1C"/>
    <w:rsid w:val="4A976671"/>
    <w:rsid w:val="4AA21D66"/>
    <w:rsid w:val="4ABC1D3E"/>
    <w:rsid w:val="4AD618B2"/>
    <w:rsid w:val="4ADB547B"/>
    <w:rsid w:val="4AE57855"/>
    <w:rsid w:val="4AE63646"/>
    <w:rsid w:val="4B047121"/>
    <w:rsid w:val="4B1F5D09"/>
    <w:rsid w:val="4B324C3A"/>
    <w:rsid w:val="4B6322C3"/>
    <w:rsid w:val="4B942491"/>
    <w:rsid w:val="4BBC3A7A"/>
    <w:rsid w:val="4BE11F33"/>
    <w:rsid w:val="4BEB79AC"/>
    <w:rsid w:val="4C0575F5"/>
    <w:rsid w:val="4C070814"/>
    <w:rsid w:val="4C2A2BB8"/>
    <w:rsid w:val="4C4D2D4A"/>
    <w:rsid w:val="4C5941EA"/>
    <w:rsid w:val="4C7107E7"/>
    <w:rsid w:val="4C72630D"/>
    <w:rsid w:val="4C7A24D7"/>
    <w:rsid w:val="4C9646F1"/>
    <w:rsid w:val="4CA15D2F"/>
    <w:rsid w:val="4CCC1EC1"/>
    <w:rsid w:val="4CCF7EC2"/>
    <w:rsid w:val="4D07739D"/>
    <w:rsid w:val="4D317F76"/>
    <w:rsid w:val="4D9B070C"/>
    <w:rsid w:val="4DBF7A04"/>
    <w:rsid w:val="4DC74CFA"/>
    <w:rsid w:val="4DDC010C"/>
    <w:rsid w:val="4DFF1E22"/>
    <w:rsid w:val="4DFF3A26"/>
    <w:rsid w:val="4E0A0EF3"/>
    <w:rsid w:val="4E0B4C6B"/>
    <w:rsid w:val="4E105D47"/>
    <w:rsid w:val="4E20297D"/>
    <w:rsid w:val="4E204980"/>
    <w:rsid w:val="4E3D1E8A"/>
    <w:rsid w:val="4E4D0DDF"/>
    <w:rsid w:val="4E5F470C"/>
    <w:rsid w:val="4EC2357B"/>
    <w:rsid w:val="4F4C1097"/>
    <w:rsid w:val="4F714FA1"/>
    <w:rsid w:val="4F781E8C"/>
    <w:rsid w:val="4F906A7A"/>
    <w:rsid w:val="4FA113E3"/>
    <w:rsid w:val="4FA72771"/>
    <w:rsid w:val="4FCF4B53"/>
    <w:rsid w:val="4FE12B5B"/>
    <w:rsid w:val="4FE439C5"/>
    <w:rsid w:val="4FE90FDC"/>
    <w:rsid w:val="4FF52BAA"/>
    <w:rsid w:val="50144132"/>
    <w:rsid w:val="505301A3"/>
    <w:rsid w:val="507C1E50"/>
    <w:rsid w:val="50812FC2"/>
    <w:rsid w:val="50952F83"/>
    <w:rsid w:val="50EA0B67"/>
    <w:rsid w:val="51114346"/>
    <w:rsid w:val="512330E3"/>
    <w:rsid w:val="51383FC9"/>
    <w:rsid w:val="514566E6"/>
    <w:rsid w:val="518333A6"/>
    <w:rsid w:val="51D05FAF"/>
    <w:rsid w:val="51DF057C"/>
    <w:rsid w:val="51F779E0"/>
    <w:rsid w:val="51F9484E"/>
    <w:rsid w:val="52253394"/>
    <w:rsid w:val="52312D27"/>
    <w:rsid w:val="52480E5C"/>
    <w:rsid w:val="52846FEF"/>
    <w:rsid w:val="529671F9"/>
    <w:rsid w:val="52C04276"/>
    <w:rsid w:val="535675C7"/>
    <w:rsid w:val="536A7F0B"/>
    <w:rsid w:val="53AC47FA"/>
    <w:rsid w:val="544D7D8B"/>
    <w:rsid w:val="552A1E7A"/>
    <w:rsid w:val="55466588"/>
    <w:rsid w:val="55482300"/>
    <w:rsid w:val="554856A7"/>
    <w:rsid w:val="5572737D"/>
    <w:rsid w:val="558E48F3"/>
    <w:rsid w:val="56101DE7"/>
    <w:rsid w:val="561D19DF"/>
    <w:rsid w:val="56682C5A"/>
    <w:rsid w:val="567333AD"/>
    <w:rsid w:val="567710EF"/>
    <w:rsid w:val="5684380C"/>
    <w:rsid w:val="56C65BD3"/>
    <w:rsid w:val="56CE4A87"/>
    <w:rsid w:val="56FC7846"/>
    <w:rsid w:val="57864E12"/>
    <w:rsid w:val="57A6230D"/>
    <w:rsid w:val="57C93082"/>
    <w:rsid w:val="57CB25AC"/>
    <w:rsid w:val="57E52089"/>
    <w:rsid w:val="583C0A10"/>
    <w:rsid w:val="5849318A"/>
    <w:rsid w:val="586E6522"/>
    <w:rsid w:val="58AA6296"/>
    <w:rsid w:val="58B57CAD"/>
    <w:rsid w:val="58CE6FC1"/>
    <w:rsid w:val="58D971B2"/>
    <w:rsid w:val="58DC16DE"/>
    <w:rsid w:val="59126EAD"/>
    <w:rsid w:val="5919342E"/>
    <w:rsid w:val="59886B03"/>
    <w:rsid w:val="59C77FBD"/>
    <w:rsid w:val="59E22D24"/>
    <w:rsid w:val="5A1924BD"/>
    <w:rsid w:val="5A561E8A"/>
    <w:rsid w:val="5A5A6D5E"/>
    <w:rsid w:val="5A627236"/>
    <w:rsid w:val="5A7616BE"/>
    <w:rsid w:val="5ACE32A8"/>
    <w:rsid w:val="5AD73B2D"/>
    <w:rsid w:val="5AFC7E15"/>
    <w:rsid w:val="5B4D68C3"/>
    <w:rsid w:val="5BC8419B"/>
    <w:rsid w:val="5BEA2E5D"/>
    <w:rsid w:val="5C777C09"/>
    <w:rsid w:val="5CB3754B"/>
    <w:rsid w:val="5D432DCC"/>
    <w:rsid w:val="5D804D2D"/>
    <w:rsid w:val="5D891708"/>
    <w:rsid w:val="5D8A5BAC"/>
    <w:rsid w:val="5D982A5F"/>
    <w:rsid w:val="5DB85B94"/>
    <w:rsid w:val="5DC25D91"/>
    <w:rsid w:val="5DC80482"/>
    <w:rsid w:val="5DE30E18"/>
    <w:rsid w:val="5DF72B16"/>
    <w:rsid w:val="5E16313D"/>
    <w:rsid w:val="5E3B6EA6"/>
    <w:rsid w:val="5E654F3A"/>
    <w:rsid w:val="5E9B16F3"/>
    <w:rsid w:val="5EA04F5B"/>
    <w:rsid w:val="5EAD0763"/>
    <w:rsid w:val="5EEA0DD4"/>
    <w:rsid w:val="5F121FCF"/>
    <w:rsid w:val="5F1A4D0E"/>
    <w:rsid w:val="5F221E14"/>
    <w:rsid w:val="5F577D10"/>
    <w:rsid w:val="5FB07420"/>
    <w:rsid w:val="5FB707AE"/>
    <w:rsid w:val="5FC42B81"/>
    <w:rsid w:val="602B6AA7"/>
    <w:rsid w:val="60695F4D"/>
    <w:rsid w:val="60E54FE5"/>
    <w:rsid w:val="6109503A"/>
    <w:rsid w:val="61112140"/>
    <w:rsid w:val="61390342"/>
    <w:rsid w:val="61BC0D8B"/>
    <w:rsid w:val="61C13B66"/>
    <w:rsid w:val="6223037D"/>
    <w:rsid w:val="626F7694"/>
    <w:rsid w:val="629D7D01"/>
    <w:rsid w:val="62E90D48"/>
    <w:rsid w:val="63073C66"/>
    <w:rsid w:val="63604CB9"/>
    <w:rsid w:val="6371005D"/>
    <w:rsid w:val="63846BFA"/>
    <w:rsid w:val="63864720"/>
    <w:rsid w:val="63B0096C"/>
    <w:rsid w:val="63C40AEC"/>
    <w:rsid w:val="63C4349A"/>
    <w:rsid w:val="63E63410"/>
    <w:rsid w:val="640035D2"/>
    <w:rsid w:val="64065A90"/>
    <w:rsid w:val="64192F7B"/>
    <w:rsid w:val="64436AB5"/>
    <w:rsid w:val="644751C1"/>
    <w:rsid w:val="64733328"/>
    <w:rsid w:val="6488096B"/>
    <w:rsid w:val="64AF46D3"/>
    <w:rsid w:val="64CF20F6"/>
    <w:rsid w:val="6555561D"/>
    <w:rsid w:val="65622F6B"/>
    <w:rsid w:val="65FF07B9"/>
    <w:rsid w:val="661E3335"/>
    <w:rsid w:val="66391F1D"/>
    <w:rsid w:val="667F49FC"/>
    <w:rsid w:val="66AB2A9B"/>
    <w:rsid w:val="66FF579F"/>
    <w:rsid w:val="670713B3"/>
    <w:rsid w:val="67107E12"/>
    <w:rsid w:val="674072DB"/>
    <w:rsid w:val="676B07FC"/>
    <w:rsid w:val="67753429"/>
    <w:rsid w:val="67950A2E"/>
    <w:rsid w:val="67C62B4B"/>
    <w:rsid w:val="67D16185"/>
    <w:rsid w:val="680010CD"/>
    <w:rsid w:val="680358A4"/>
    <w:rsid w:val="68060525"/>
    <w:rsid w:val="68097F4A"/>
    <w:rsid w:val="68165B6A"/>
    <w:rsid w:val="682A0E4E"/>
    <w:rsid w:val="684D3A5E"/>
    <w:rsid w:val="686F7E78"/>
    <w:rsid w:val="687A681D"/>
    <w:rsid w:val="68817BAC"/>
    <w:rsid w:val="68C006D4"/>
    <w:rsid w:val="68CD4B9F"/>
    <w:rsid w:val="68D92CCD"/>
    <w:rsid w:val="68E7091D"/>
    <w:rsid w:val="6914506A"/>
    <w:rsid w:val="69325C13"/>
    <w:rsid w:val="694A4441"/>
    <w:rsid w:val="69AA7DCC"/>
    <w:rsid w:val="69E6019D"/>
    <w:rsid w:val="6A050B73"/>
    <w:rsid w:val="6A14139D"/>
    <w:rsid w:val="6A1A02B8"/>
    <w:rsid w:val="6A2904FB"/>
    <w:rsid w:val="6AC34955"/>
    <w:rsid w:val="6AE740AC"/>
    <w:rsid w:val="6AF5553D"/>
    <w:rsid w:val="6AFC66FE"/>
    <w:rsid w:val="6B3F7A46"/>
    <w:rsid w:val="6B56531F"/>
    <w:rsid w:val="6B751A4F"/>
    <w:rsid w:val="6BC32289"/>
    <w:rsid w:val="6BF07ABB"/>
    <w:rsid w:val="6C3A254B"/>
    <w:rsid w:val="6C3D64DF"/>
    <w:rsid w:val="6C6A6651"/>
    <w:rsid w:val="6CA409AC"/>
    <w:rsid w:val="6CA77F9A"/>
    <w:rsid w:val="6CB73B9C"/>
    <w:rsid w:val="6CDC3602"/>
    <w:rsid w:val="6CE1330F"/>
    <w:rsid w:val="6CF31062"/>
    <w:rsid w:val="6D31091A"/>
    <w:rsid w:val="6D6A3304"/>
    <w:rsid w:val="6D8D155E"/>
    <w:rsid w:val="6DA12829"/>
    <w:rsid w:val="6DA34120"/>
    <w:rsid w:val="6DBC462A"/>
    <w:rsid w:val="6DC04CD2"/>
    <w:rsid w:val="6DC742B3"/>
    <w:rsid w:val="6DDE7A63"/>
    <w:rsid w:val="6DF57072"/>
    <w:rsid w:val="6E3336F6"/>
    <w:rsid w:val="6E761484"/>
    <w:rsid w:val="6E7B6E4B"/>
    <w:rsid w:val="6E7D2BC3"/>
    <w:rsid w:val="6E9B1D02"/>
    <w:rsid w:val="6ED36C87"/>
    <w:rsid w:val="6EDC1FE0"/>
    <w:rsid w:val="6EDF6561"/>
    <w:rsid w:val="6F006616"/>
    <w:rsid w:val="6F2130AA"/>
    <w:rsid w:val="6F2B4B68"/>
    <w:rsid w:val="6F4B2B3B"/>
    <w:rsid w:val="6F5F177E"/>
    <w:rsid w:val="6F7A7103"/>
    <w:rsid w:val="6FB72105"/>
    <w:rsid w:val="6FE169C0"/>
    <w:rsid w:val="6FE54EC4"/>
    <w:rsid w:val="6FF9271D"/>
    <w:rsid w:val="703B4AE4"/>
    <w:rsid w:val="70885E3F"/>
    <w:rsid w:val="71066EA0"/>
    <w:rsid w:val="712F35F6"/>
    <w:rsid w:val="713A0A6A"/>
    <w:rsid w:val="717177A6"/>
    <w:rsid w:val="718971D8"/>
    <w:rsid w:val="71EF33B5"/>
    <w:rsid w:val="71F87FE7"/>
    <w:rsid w:val="72000B39"/>
    <w:rsid w:val="729A1F96"/>
    <w:rsid w:val="72A3216D"/>
    <w:rsid w:val="72A7120C"/>
    <w:rsid w:val="72C62D8B"/>
    <w:rsid w:val="72D336FA"/>
    <w:rsid w:val="72E231CE"/>
    <w:rsid w:val="73557F00"/>
    <w:rsid w:val="7364600D"/>
    <w:rsid w:val="73670AD3"/>
    <w:rsid w:val="736D76AA"/>
    <w:rsid w:val="739C3AEB"/>
    <w:rsid w:val="73C66DBA"/>
    <w:rsid w:val="73FF181C"/>
    <w:rsid w:val="74161AF0"/>
    <w:rsid w:val="741840A2"/>
    <w:rsid w:val="743B1556"/>
    <w:rsid w:val="74AE1D28"/>
    <w:rsid w:val="74CC0400"/>
    <w:rsid w:val="74FD4A5E"/>
    <w:rsid w:val="75051799"/>
    <w:rsid w:val="75271ADB"/>
    <w:rsid w:val="755550E4"/>
    <w:rsid w:val="755C0BB7"/>
    <w:rsid w:val="757840E4"/>
    <w:rsid w:val="758B02BC"/>
    <w:rsid w:val="759E127A"/>
    <w:rsid w:val="75C56D6B"/>
    <w:rsid w:val="75E37373"/>
    <w:rsid w:val="76283289"/>
    <w:rsid w:val="7630676D"/>
    <w:rsid w:val="76361CF9"/>
    <w:rsid w:val="76B4114C"/>
    <w:rsid w:val="76DC52E9"/>
    <w:rsid w:val="775545EE"/>
    <w:rsid w:val="77AA0F4D"/>
    <w:rsid w:val="77BD2282"/>
    <w:rsid w:val="78047EB1"/>
    <w:rsid w:val="78076CB5"/>
    <w:rsid w:val="781835DD"/>
    <w:rsid w:val="78542BE7"/>
    <w:rsid w:val="785904E4"/>
    <w:rsid w:val="78656BA2"/>
    <w:rsid w:val="78723FE5"/>
    <w:rsid w:val="787F1E99"/>
    <w:rsid w:val="78911745"/>
    <w:rsid w:val="78F20DB9"/>
    <w:rsid w:val="792D03EF"/>
    <w:rsid w:val="795409C4"/>
    <w:rsid w:val="79777A55"/>
    <w:rsid w:val="797A667D"/>
    <w:rsid w:val="79B157C1"/>
    <w:rsid w:val="79FE3F6F"/>
    <w:rsid w:val="7A552C46"/>
    <w:rsid w:val="7AEE7323"/>
    <w:rsid w:val="7B275EB5"/>
    <w:rsid w:val="7B332F87"/>
    <w:rsid w:val="7BC736D0"/>
    <w:rsid w:val="7C3866D8"/>
    <w:rsid w:val="7C741AA9"/>
    <w:rsid w:val="7CCB0C2A"/>
    <w:rsid w:val="7CEC1C73"/>
    <w:rsid w:val="7CFA4979"/>
    <w:rsid w:val="7D00036C"/>
    <w:rsid w:val="7D2A2168"/>
    <w:rsid w:val="7D545437"/>
    <w:rsid w:val="7D6B6208"/>
    <w:rsid w:val="7D831878"/>
    <w:rsid w:val="7D9E63EA"/>
    <w:rsid w:val="7DA0067C"/>
    <w:rsid w:val="7DC776BE"/>
    <w:rsid w:val="7DD4121B"/>
    <w:rsid w:val="7E3059FB"/>
    <w:rsid w:val="7E3F6FF9"/>
    <w:rsid w:val="7E6B35AE"/>
    <w:rsid w:val="7E81400A"/>
    <w:rsid w:val="7E941F8F"/>
    <w:rsid w:val="7EB3766C"/>
    <w:rsid w:val="7ED22AB7"/>
    <w:rsid w:val="7EE30820"/>
    <w:rsid w:val="7EF06BBC"/>
    <w:rsid w:val="7F144E7E"/>
    <w:rsid w:val="7F156363"/>
    <w:rsid w:val="7F160DE1"/>
    <w:rsid w:val="7F231011"/>
    <w:rsid w:val="7F4734A5"/>
    <w:rsid w:val="7F787468"/>
    <w:rsid w:val="7F8850C1"/>
    <w:rsid w:val="7FAC519F"/>
    <w:rsid w:val="7FF0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uiPriority="99" w:name="HTML Typewriter"/>
    <w:lsdException w:qFormat="1" w:unhideWhenUsed="0" w:uiPriority="0"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link w:val="49"/>
    <w:qFormat/>
    <w:uiPriority w:val="9"/>
    <w:pPr>
      <w:keepNext/>
      <w:keepLines/>
      <w:spacing w:line="360" w:lineRule="auto"/>
      <w:outlineLvl w:val="0"/>
    </w:pPr>
    <w:rPr>
      <w:rFonts w:ascii="宋体"/>
      <w:b/>
      <w:kern w:val="44"/>
      <w:sz w:val="44"/>
      <w:szCs w:val="20"/>
    </w:rPr>
  </w:style>
  <w:style w:type="paragraph" w:styleId="3">
    <w:name w:val="heading 2"/>
    <w:basedOn w:val="1"/>
    <w:next w:val="1"/>
    <w:link w:val="91"/>
    <w:semiHidden/>
    <w:unhideWhenUsed/>
    <w:qFormat/>
    <w:uiPriority w:val="0"/>
    <w:pPr>
      <w:keepNext/>
      <w:keepLines/>
      <w:spacing w:before="260" w:after="260" w:line="416" w:lineRule="atLeast"/>
      <w:outlineLvl w:val="1"/>
    </w:pPr>
    <w:rPr>
      <w:rFonts w:ascii="宋体"/>
      <w:b/>
      <w:kern w:val="44"/>
      <w:sz w:val="28"/>
      <w:szCs w:val="20"/>
    </w:rPr>
  </w:style>
  <w:style w:type="paragraph" w:styleId="4">
    <w:name w:val="heading 3"/>
    <w:basedOn w:val="1"/>
    <w:semiHidden/>
    <w:unhideWhenUsed/>
    <w:qFormat/>
    <w:uiPriority w:val="9"/>
    <w:pPr>
      <w:tabs>
        <w:tab w:val="left" w:pos="680"/>
        <w:tab w:val="left" w:pos="907"/>
        <w:tab w:val="left" w:pos="1134"/>
        <w:tab w:val="left" w:pos="1361"/>
        <w:tab w:val="right" w:pos="6804"/>
        <w:tab w:val="left" w:pos="7088"/>
      </w:tabs>
      <w:spacing w:before="120" w:line="360" w:lineRule="atLeast"/>
      <w:jc w:val="left"/>
      <w:outlineLvl w:val="2"/>
    </w:pPr>
    <w:rPr>
      <w:rFonts w:ascii="Arial" w:hAnsi="Arial"/>
      <w:b/>
      <w:kern w:val="0"/>
    </w:rPr>
  </w:style>
  <w:style w:type="paragraph" w:styleId="5">
    <w:name w:val="heading 4"/>
    <w:basedOn w:val="1"/>
    <w:semiHidden/>
    <w:unhideWhenUsed/>
    <w:qFormat/>
    <w:uiPriority w:val="9"/>
    <w:pPr>
      <w:keepNext/>
      <w:numPr>
        <w:ilvl w:val="0"/>
        <w:numId w:val="1"/>
      </w:numPr>
      <w:spacing w:line="360" w:lineRule="auto"/>
      <w:ind w:left="454"/>
      <w:jc w:val="left"/>
      <w:outlineLvl w:val="3"/>
    </w:pPr>
    <w:rPr>
      <w:rFonts w:ascii="宋体"/>
      <w:i/>
      <w:kern w:val="0"/>
      <w:szCs w:val="20"/>
    </w:rPr>
  </w:style>
  <w:style w:type="paragraph" w:styleId="6">
    <w:name w:val="heading 5"/>
    <w:basedOn w:val="1"/>
    <w:semiHidden/>
    <w:unhideWhenUsed/>
    <w:qFormat/>
    <w:uiPriority w:val="9"/>
    <w:pPr>
      <w:keepNext/>
      <w:keepLines/>
      <w:numPr>
        <w:ilvl w:val="4"/>
        <w:numId w:val="2"/>
      </w:numPr>
      <w:spacing w:before="120" w:after="120"/>
      <w:outlineLvl w:val="4"/>
    </w:pPr>
    <w:rPr>
      <w:rFonts w:ascii="小标宋"/>
      <w:szCs w:val="20"/>
    </w:rPr>
  </w:style>
  <w:style w:type="paragraph" w:styleId="7">
    <w:name w:val="heading 6"/>
    <w:basedOn w:val="1"/>
    <w:semiHidden/>
    <w:unhideWhenUsed/>
    <w:qFormat/>
    <w:uiPriority w:val="9"/>
    <w:pPr>
      <w:keepNext/>
      <w:keepLines/>
      <w:numPr>
        <w:ilvl w:val="5"/>
        <w:numId w:val="2"/>
      </w:numPr>
      <w:spacing w:before="240" w:after="64" w:line="320" w:lineRule="auto"/>
      <w:outlineLvl w:val="5"/>
    </w:pPr>
    <w:rPr>
      <w:rFonts w:ascii="Arial" w:hAnsi="Arial" w:eastAsia="黑体"/>
      <w:szCs w:val="20"/>
    </w:rPr>
  </w:style>
  <w:style w:type="paragraph" w:styleId="8">
    <w:name w:val="heading 7"/>
    <w:basedOn w:val="1"/>
    <w:qFormat/>
    <w:uiPriority w:val="0"/>
    <w:pPr>
      <w:keepNext/>
      <w:keepLines/>
      <w:numPr>
        <w:ilvl w:val="6"/>
        <w:numId w:val="2"/>
      </w:numPr>
      <w:spacing w:before="240" w:after="64" w:line="320" w:lineRule="auto"/>
      <w:outlineLvl w:val="6"/>
    </w:pPr>
    <w:rPr>
      <w:rFonts w:ascii="宋体"/>
      <w:szCs w:val="20"/>
    </w:rPr>
  </w:style>
  <w:style w:type="paragraph" w:styleId="9">
    <w:name w:val="heading 8"/>
    <w:basedOn w:val="1"/>
    <w:qFormat/>
    <w:uiPriority w:val="0"/>
    <w:pPr>
      <w:keepNext/>
      <w:keepLines/>
      <w:numPr>
        <w:ilvl w:val="7"/>
        <w:numId w:val="2"/>
      </w:numPr>
      <w:spacing w:before="240" w:after="64" w:line="320" w:lineRule="auto"/>
      <w:outlineLvl w:val="7"/>
    </w:pPr>
    <w:rPr>
      <w:rFonts w:ascii="Arial" w:hAnsi="Arial" w:eastAsia="黑体"/>
      <w:b/>
      <w:szCs w:val="20"/>
    </w:rPr>
  </w:style>
  <w:style w:type="paragraph" w:styleId="10">
    <w:name w:val="heading 9"/>
    <w:basedOn w:val="1"/>
    <w:qFormat/>
    <w:uiPriority w:val="0"/>
    <w:pPr>
      <w:keepNext/>
      <w:keepLines/>
      <w:numPr>
        <w:ilvl w:val="8"/>
        <w:numId w:val="2"/>
      </w:numPr>
      <w:spacing w:before="240" w:after="64" w:line="320" w:lineRule="auto"/>
      <w:outlineLvl w:val="8"/>
    </w:pPr>
    <w:rPr>
      <w:rFonts w:ascii="Arial" w:hAnsi="Arial" w:eastAsia="黑体"/>
      <w:b/>
      <w:szCs w:val="20"/>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spacing w:line="360" w:lineRule="atLeast"/>
      <w:ind w:firstLine="420"/>
      <w:jc w:val="left"/>
    </w:pPr>
    <w:rPr>
      <w:kern w:val="0"/>
      <w:szCs w:val="20"/>
    </w:rPr>
  </w:style>
  <w:style w:type="paragraph" w:styleId="12">
    <w:name w:val="Document Map"/>
    <w:basedOn w:val="1"/>
    <w:semiHidden/>
    <w:qFormat/>
    <w:uiPriority w:val="0"/>
    <w:pPr>
      <w:shd w:val="clear" w:color="auto" w:fill="000080"/>
    </w:pPr>
  </w:style>
  <w:style w:type="paragraph" w:styleId="13">
    <w:name w:val="annotation text"/>
    <w:basedOn w:val="1"/>
    <w:link w:val="93"/>
    <w:semiHidden/>
    <w:qFormat/>
    <w:uiPriority w:val="0"/>
    <w:pPr>
      <w:jc w:val="left"/>
    </w:pPr>
  </w:style>
  <w:style w:type="paragraph" w:styleId="14">
    <w:name w:val="Body Text 3"/>
    <w:basedOn w:val="1"/>
    <w:qFormat/>
    <w:uiPriority w:val="0"/>
    <w:pPr>
      <w:spacing w:line="360" w:lineRule="auto"/>
      <w:jc w:val="center"/>
    </w:pPr>
    <w:rPr>
      <w:rFonts w:ascii="宋体"/>
      <w:b/>
      <w:color w:val="FF0000"/>
      <w:kern w:val="0"/>
      <w:szCs w:val="20"/>
      <w:u w:val="single"/>
    </w:rPr>
  </w:style>
  <w:style w:type="paragraph" w:styleId="15">
    <w:name w:val="Body Text"/>
    <w:basedOn w:val="1"/>
    <w:qFormat/>
    <w:uiPriority w:val="0"/>
    <w:pPr>
      <w:spacing w:after="120"/>
    </w:pPr>
  </w:style>
  <w:style w:type="paragraph" w:styleId="16">
    <w:name w:val="Body Text Indent"/>
    <w:basedOn w:val="1"/>
    <w:qFormat/>
    <w:uiPriority w:val="0"/>
    <w:pPr>
      <w:spacing w:line="360" w:lineRule="auto"/>
      <w:ind w:firstLine="480"/>
      <w:jc w:val="left"/>
    </w:pPr>
    <w:rPr>
      <w:rFonts w:ascii="宋体"/>
      <w:color w:val="0000FF"/>
      <w:kern w:val="0"/>
      <w:szCs w:val="20"/>
    </w:rPr>
  </w:style>
  <w:style w:type="paragraph" w:styleId="17">
    <w:name w:val="Plain Text"/>
    <w:basedOn w:val="1"/>
    <w:qFormat/>
    <w:uiPriority w:val="0"/>
    <w:rPr>
      <w:rFonts w:ascii="宋体" w:hAnsi="Courier New"/>
      <w:szCs w:val="21"/>
    </w:rPr>
  </w:style>
  <w:style w:type="paragraph" w:styleId="18">
    <w:name w:val="Date"/>
    <w:basedOn w:val="1"/>
    <w:link w:val="95"/>
    <w:qFormat/>
    <w:uiPriority w:val="0"/>
    <w:pPr>
      <w:spacing w:line="360" w:lineRule="atLeast"/>
    </w:pPr>
    <w:rPr>
      <w:rFonts w:ascii="宋体"/>
      <w:kern w:val="0"/>
      <w:sz w:val="28"/>
      <w:szCs w:val="20"/>
    </w:rPr>
  </w:style>
  <w:style w:type="paragraph" w:styleId="19">
    <w:name w:val="Body Text Indent 2"/>
    <w:basedOn w:val="1"/>
    <w:qFormat/>
    <w:uiPriority w:val="0"/>
    <w:pPr>
      <w:spacing w:line="0" w:lineRule="atLeast"/>
      <w:ind w:right="202" w:firstLine="630" w:firstLineChars="225"/>
      <w:jc w:val="left"/>
    </w:pPr>
    <w:rPr>
      <w:rFonts w:ascii="宋体"/>
      <w:spacing w:val="20"/>
      <w:kern w:val="0"/>
      <w:position w:val="20"/>
      <w:szCs w:val="20"/>
    </w:rPr>
  </w:style>
  <w:style w:type="paragraph" w:styleId="20">
    <w:name w:val="Balloon Text"/>
    <w:basedOn w:val="1"/>
    <w:link w:val="97"/>
    <w:semiHidden/>
    <w:qFormat/>
    <w:uiPriority w:val="0"/>
    <w:rPr>
      <w:sz w:val="18"/>
      <w:szCs w:val="18"/>
    </w:rPr>
  </w:style>
  <w:style w:type="paragraph" w:styleId="21">
    <w:name w:val="footer"/>
    <w:basedOn w:val="1"/>
    <w:link w:val="85"/>
    <w:qFormat/>
    <w:uiPriority w:val="0"/>
    <w:pPr>
      <w:tabs>
        <w:tab w:val="center" w:pos="4153"/>
        <w:tab w:val="right" w:pos="8306"/>
      </w:tabs>
      <w:spacing w:line="240" w:lineRule="atLeast"/>
      <w:jc w:val="left"/>
    </w:pPr>
    <w:rPr>
      <w:kern w:val="0"/>
      <w:sz w:val="18"/>
      <w:szCs w:val="20"/>
      <w:lang w:eastAsia="en-US"/>
    </w:rPr>
  </w:style>
  <w:style w:type="paragraph" w:styleId="22">
    <w:name w:val="header"/>
    <w:basedOn w:val="1"/>
    <w:link w:val="94"/>
    <w:qFormat/>
    <w:uiPriority w:val="0"/>
    <w:pPr>
      <w:pBdr>
        <w:bottom w:val="single" w:color="000000" w:sz="6" w:space="1"/>
      </w:pBdr>
      <w:tabs>
        <w:tab w:val="center" w:pos="4153"/>
        <w:tab w:val="right" w:pos="8306"/>
      </w:tabs>
      <w:snapToGrid w:val="0"/>
      <w:spacing w:line="240" w:lineRule="atLeast"/>
      <w:jc w:val="center"/>
    </w:pPr>
    <w:rPr>
      <w:kern w:val="0"/>
      <w:sz w:val="18"/>
      <w:szCs w:val="20"/>
    </w:rPr>
  </w:style>
  <w:style w:type="paragraph" w:styleId="23">
    <w:name w:val="toc 1"/>
    <w:basedOn w:val="1"/>
    <w:next w:val="1"/>
    <w:unhideWhenUsed/>
    <w:qFormat/>
    <w:uiPriority w:val="39"/>
  </w:style>
  <w:style w:type="paragraph" w:styleId="24">
    <w:name w:val="Body Text Indent 3"/>
    <w:basedOn w:val="1"/>
    <w:qFormat/>
    <w:uiPriority w:val="0"/>
    <w:pPr>
      <w:spacing w:line="360" w:lineRule="auto"/>
      <w:ind w:firstLine="780" w:firstLineChars="300"/>
      <w:jc w:val="left"/>
    </w:pPr>
    <w:rPr>
      <w:color w:val="FF0000"/>
      <w:spacing w:val="10"/>
      <w:kern w:val="0"/>
      <w:szCs w:val="20"/>
      <w:u w:val="single"/>
    </w:rPr>
  </w:style>
  <w:style w:type="paragraph" w:styleId="25">
    <w:name w:val="toc 2"/>
    <w:basedOn w:val="1"/>
    <w:next w:val="1"/>
    <w:unhideWhenUsed/>
    <w:qFormat/>
    <w:uiPriority w:val="39"/>
    <w:pPr>
      <w:ind w:left="420" w:leftChars="200"/>
    </w:pPr>
  </w:style>
  <w:style w:type="paragraph" w:styleId="26">
    <w:name w:val="Normal (Web)"/>
    <w:basedOn w:val="1"/>
    <w:qFormat/>
    <w:uiPriority w:val="0"/>
    <w:pPr>
      <w:spacing w:after="150" w:line="450" w:lineRule="atLeast"/>
      <w:ind w:firstLine="420"/>
      <w:jc w:val="left"/>
    </w:pPr>
    <w:rPr>
      <w:kern w:val="0"/>
    </w:rPr>
  </w:style>
  <w:style w:type="paragraph" w:styleId="27">
    <w:name w:val="annotation subject"/>
    <w:basedOn w:val="13"/>
    <w:link w:val="96"/>
    <w:semiHidden/>
    <w:qFormat/>
    <w:uiPriority w:val="0"/>
    <w:rPr>
      <w:b/>
      <w:bCs/>
    </w:rPr>
  </w:style>
  <w:style w:type="table" w:styleId="29">
    <w:name w:val="Table Grid"/>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page number"/>
    <w:basedOn w:val="30"/>
    <w:qFormat/>
    <w:uiPriority w:val="0"/>
  </w:style>
  <w:style w:type="character" w:styleId="32">
    <w:name w:val="FollowedHyperlink"/>
    <w:semiHidden/>
    <w:unhideWhenUsed/>
    <w:qFormat/>
    <w:uiPriority w:val="0"/>
    <w:rPr>
      <w:color w:val="800080"/>
      <w:u w:val="single"/>
    </w:rPr>
  </w:style>
  <w:style w:type="character" w:styleId="33">
    <w:name w:val="Emphasis"/>
    <w:qFormat/>
    <w:uiPriority w:val="0"/>
    <w:rPr>
      <w:color w:val="CC0000"/>
      <w:kern w:val="0"/>
    </w:rPr>
  </w:style>
  <w:style w:type="character" w:styleId="34">
    <w:name w:val="HTML Definition"/>
    <w:qFormat/>
    <w:uiPriority w:val="0"/>
    <w:rPr>
      <w:kern w:val="0"/>
    </w:rPr>
  </w:style>
  <w:style w:type="character" w:styleId="35">
    <w:name w:val="HTML Variable"/>
    <w:qFormat/>
    <w:uiPriority w:val="0"/>
    <w:rPr>
      <w:kern w:val="0"/>
    </w:rPr>
  </w:style>
  <w:style w:type="character" w:styleId="36">
    <w:name w:val="Hyperlink"/>
    <w:qFormat/>
    <w:uiPriority w:val="99"/>
    <w:rPr>
      <w:color w:val="3F88BF"/>
      <w:kern w:val="0"/>
      <w:u w:val="none"/>
    </w:rPr>
  </w:style>
  <w:style w:type="character" w:styleId="37">
    <w:name w:val="HTML Code"/>
    <w:qFormat/>
    <w:uiPriority w:val="0"/>
    <w:rPr>
      <w:rFonts w:ascii="PingFang SC" w:hAnsi="PingFang SC" w:eastAsia="PingFang SC"/>
      <w:kern w:val="0"/>
      <w:sz w:val="20"/>
    </w:rPr>
  </w:style>
  <w:style w:type="character" w:styleId="38">
    <w:name w:val="annotation reference"/>
    <w:semiHidden/>
    <w:qFormat/>
    <w:uiPriority w:val="0"/>
    <w:rPr>
      <w:kern w:val="0"/>
      <w:sz w:val="21"/>
      <w:szCs w:val="21"/>
    </w:rPr>
  </w:style>
  <w:style w:type="character" w:styleId="39">
    <w:name w:val="HTML Cite"/>
    <w:qFormat/>
    <w:uiPriority w:val="0"/>
    <w:rPr>
      <w:color w:val="008000"/>
      <w:kern w:val="0"/>
    </w:rPr>
  </w:style>
  <w:style w:type="character" w:styleId="40">
    <w:name w:val="HTML Keyboard"/>
    <w:qFormat/>
    <w:uiPriority w:val="0"/>
    <w:rPr>
      <w:rFonts w:ascii="PingFang SC" w:hAnsi="PingFang SC" w:eastAsia="PingFang SC"/>
      <w:kern w:val="0"/>
      <w:sz w:val="20"/>
    </w:rPr>
  </w:style>
  <w:style w:type="character" w:styleId="41">
    <w:name w:val="HTML Sample"/>
    <w:qFormat/>
    <w:uiPriority w:val="0"/>
    <w:rPr>
      <w:rFonts w:ascii="PingFang SC" w:hAnsi="PingFang SC" w:eastAsia="PingFang SC"/>
      <w:kern w:val="0"/>
    </w:rPr>
  </w:style>
  <w:style w:type="character" w:customStyle="1" w:styleId="42">
    <w:name w:val="已访问的超链接1"/>
    <w:qFormat/>
    <w:uiPriority w:val="0"/>
    <w:rPr>
      <w:color w:val="3F88BF"/>
      <w:kern w:val="0"/>
      <w:u w:val="none"/>
    </w:rPr>
  </w:style>
  <w:style w:type="character" w:customStyle="1" w:styleId="43">
    <w:name w:val="num10"/>
    <w:qFormat/>
    <w:uiPriority w:val="0"/>
    <w:rPr>
      <w:b/>
      <w:color w:val="FF7800"/>
      <w:kern w:val="0"/>
    </w:rPr>
  </w:style>
  <w:style w:type="character" w:customStyle="1" w:styleId="44">
    <w:name w:val="标题 1 Char1"/>
    <w:qFormat/>
    <w:uiPriority w:val="0"/>
    <w:rPr>
      <w:rFonts w:ascii="宋体" w:eastAsia="宋体"/>
      <w:b/>
      <w:kern w:val="44"/>
      <w:sz w:val="32"/>
      <w:lang w:val="en-US" w:eastAsia="zh-CN" w:bidi="ar-SA"/>
    </w:rPr>
  </w:style>
  <w:style w:type="character" w:customStyle="1" w:styleId="45">
    <w:name w:val="num"/>
    <w:qFormat/>
    <w:uiPriority w:val="0"/>
    <w:rPr>
      <w:b/>
      <w:color w:val="FF7800"/>
      <w:kern w:val="0"/>
    </w:rPr>
  </w:style>
  <w:style w:type="character" w:customStyle="1" w:styleId="46">
    <w:name w:val="legend"/>
    <w:qFormat/>
    <w:uiPriority w:val="0"/>
    <w:rPr>
      <w:rFonts w:ascii="Arial" w:hAnsi="Arial"/>
      <w:b/>
      <w:color w:val="73B304"/>
      <w:kern w:val="0"/>
      <w:sz w:val="21"/>
      <w:szCs w:val="21"/>
      <w:shd w:val="clear" w:color="auto" w:fill="FFFFFF"/>
    </w:rPr>
  </w:style>
  <w:style w:type="character" w:customStyle="1" w:styleId="47">
    <w:name w:val="answer-title12"/>
    <w:basedOn w:val="30"/>
    <w:qFormat/>
    <w:uiPriority w:val="0"/>
  </w:style>
  <w:style w:type="character" w:customStyle="1" w:styleId="48">
    <w:name w:val="release-day"/>
    <w:qFormat/>
    <w:uiPriority w:val="0"/>
    <w:rPr>
      <w:kern w:val="0"/>
      <w:bdr w:val="single" w:color="000000" w:sz="6" w:space="0"/>
      <w:shd w:val="clear" w:color="auto" w:fill="F5FFF1"/>
    </w:rPr>
  </w:style>
  <w:style w:type="character" w:customStyle="1" w:styleId="49">
    <w:name w:val="标题 1 Char"/>
    <w:link w:val="2"/>
    <w:qFormat/>
    <w:uiPriority w:val="0"/>
    <w:rPr>
      <w:rFonts w:ascii="宋体" w:eastAsia="宋体"/>
      <w:b/>
      <w:kern w:val="44"/>
      <w:sz w:val="44"/>
      <w:lang w:val="en-US" w:eastAsia="zh-CN" w:bidi="ar-SA"/>
    </w:rPr>
  </w:style>
  <w:style w:type="paragraph" w:customStyle="1" w:styleId="50">
    <w:name w:val="目录 11"/>
    <w:basedOn w:val="1"/>
    <w:qFormat/>
    <w:uiPriority w:val="0"/>
    <w:pPr>
      <w:tabs>
        <w:tab w:val="right" w:leader="dot" w:pos="8820"/>
      </w:tabs>
      <w:spacing w:line="360" w:lineRule="auto"/>
      <w:jc w:val="left"/>
    </w:pPr>
    <w:rPr>
      <w:rFonts w:ascii="宋体" w:hAnsi="宋体"/>
      <w:b/>
      <w:kern w:val="0"/>
      <w:sz w:val="30"/>
      <w:szCs w:val="30"/>
    </w:rPr>
  </w:style>
  <w:style w:type="paragraph" w:customStyle="1" w:styleId="51">
    <w:name w:val="目录 21"/>
    <w:basedOn w:val="1"/>
    <w:semiHidden/>
    <w:qFormat/>
    <w:uiPriority w:val="0"/>
    <w:pPr>
      <w:tabs>
        <w:tab w:val="right" w:leader="dot" w:pos="9000"/>
      </w:tabs>
      <w:spacing w:line="360" w:lineRule="atLeast"/>
      <w:ind w:left="420"/>
      <w:jc w:val="left"/>
    </w:pPr>
    <w:rPr>
      <w:kern w:val="0"/>
      <w:sz w:val="20"/>
      <w:szCs w:val="20"/>
    </w:rPr>
  </w:style>
  <w:style w:type="paragraph" w:styleId="52">
    <w:name w:val="List Paragraph"/>
    <w:basedOn w:val="1"/>
    <w:qFormat/>
    <w:uiPriority w:val="0"/>
    <w:pPr>
      <w:ind w:firstLine="420" w:firstLineChars="200"/>
    </w:pPr>
    <w:rPr>
      <w:rFonts w:hint="eastAsia"/>
      <w:sz w:val="21"/>
    </w:rPr>
  </w:style>
  <w:style w:type="paragraph" w:customStyle="1" w:styleId="53">
    <w:name w:val="Char"/>
    <w:basedOn w:val="1"/>
    <w:qFormat/>
    <w:uiPriority w:val="0"/>
    <w:pPr>
      <w:spacing w:line="360" w:lineRule="auto"/>
    </w:pPr>
    <w:rPr>
      <w:kern w:val="0"/>
    </w:rPr>
  </w:style>
  <w:style w:type="paragraph" w:customStyle="1" w:styleId="54">
    <w:name w:val="Char Char Char Char1"/>
    <w:basedOn w:val="1"/>
    <w:qFormat/>
    <w:uiPriority w:val="0"/>
    <w:pPr>
      <w:spacing w:line="360" w:lineRule="auto"/>
      <w:ind w:firstLine="200" w:firstLineChars="200"/>
    </w:pPr>
    <w:rPr>
      <w:rFonts w:ascii="宋体" w:hAnsi="宋体"/>
    </w:rPr>
  </w:style>
  <w:style w:type="paragraph" w:customStyle="1" w:styleId="55">
    <w:name w:val="p0"/>
    <w:basedOn w:val="1"/>
    <w:qFormat/>
    <w:uiPriority w:val="0"/>
    <w:pPr>
      <w:widowControl/>
      <w:spacing w:line="560" w:lineRule="atLeast"/>
      <w:ind w:left="839" w:firstLine="200" w:firstLineChars="200"/>
    </w:pPr>
    <w:rPr>
      <w:rFonts w:ascii="Calibri" w:hAnsi="Calibri"/>
      <w:kern w:val="0"/>
      <w:szCs w:val="21"/>
    </w:rPr>
  </w:style>
  <w:style w:type="paragraph" w:customStyle="1" w:styleId="56">
    <w:name w:val="正文1"/>
    <w:basedOn w:val="1"/>
    <w:qFormat/>
    <w:uiPriority w:val="0"/>
    <w:pPr>
      <w:spacing w:line="360" w:lineRule="atLeast"/>
      <w:jc w:val="left"/>
    </w:pPr>
    <w:rPr>
      <w:rFonts w:ascii="宋体"/>
      <w:kern w:val="0"/>
      <w:szCs w:val="20"/>
    </w:rPr>
  </w:style>
  <w:style w:type="paragraph" w:customStyle="1" w:styleId="57">
    <w:name w:val="Char1 Char Char Char Char Char Char Char Char Char"/>
    <w:basedOn w:val="1"/>
    <w:qFormat/>
    <w:uiPriority w:val="0"/>
    <w:rPr>
      <w:sz w:val="21"/>
    </w:rPr>
  </w:style>
  <w:style w:type="paragraph" w:customStyle="1" w:styleId="58">
    <w:name w:val="Char Char Char Char1 Char Char Char Char Char Char Char"/>
    <w:basedOn w:val="1"/>
    <w:qFormat/>
    <w:uiPriority w:val="0"/>
    <w:pPr>
      <w:spacing w:line="360" w:lineRule="auto"/>
      <w:ind w:firstLine="200" w:firstLineChars="200"/>
    </w:pPr>
    <w:rPr>
      <w:rFonts w:ascii="宋体" w:hAnsi="宋体"/>
    </w:rPr>
  </w:style>
  <w:style w:type="paragraph" w:customStyle="1" w:styleId="59">
    <w:name w:val="Char Char Char Char1 Char Char Char"/>
    <w:basedOn w:val="1"/>
    <w:qFormat/>
    <w:uiPriority w:val="0"/>
    <w:pPr>
      <w:spacing w:line="360" w:lineRule="auto"/>
      <w:ind w:firstLine="200" w:firstLineChars="200"/>
    </w:pPr>
    <w:rPr>
      <w:rFonts w:ascii="宋体" w:hAnsi="宋体"/>
    </w:rPr>
  </w:style>
  <w:style w:type="paragraph" w:customStyle="1" w:styleId="60">
    <w:name w:val="Char Char1"/>
    <w:basedOn w:val="1"/>
    <w:qFormat/>
    <w:uiPriority w:val="0"/>
    <w:pPr>
      <w:spacing w:line="360" w:lineRule="atLeast"/>
      <w:jc w:val="left"/>
    </w:pPr>
    <w:rPr>
      <w:kern w:val="0"/>
    </w:rPr>
  </w:style>
  <w:style w:type="paragraph" w:customStyle="1" w:styleId="61">
    <w:name w:val="Char1 Char"/>
    <w:basedOn w:val="1"/>
    <w:qFormat/>
    <w:uiPriority w:val="0"/>
    <w:pPr>
      <w:spacing w:line="360" w:lineRule="atLeast"/>
      <w:jc w:val="left"/>
    </w:pPr>
    <w:rPr>
      <w:kern w:val="0"/>
    </w:rPr>
  </w:style>
  <w:style w:type="paragraph" w:customStyle="1" w:styleId="62">
    <w:name w:val="样式2"/>
    <w:basedOn w:val="1"/>
    <w:qFormat/>
    <w:uiPriority w:val="0"/>
    <w:pPr>
      <w:spacing w:line="360" w:lineRule="auto"/>
    </w:pPr>
    <w:rPr>
      <w:kern w:val="0"/>
      <w:sz w:val="28"/>
      <w:szCs w:val="20"/>
    </w:rPr>
  </w:style>
  <w:style w:type="paragraph" w:customStyle="1" w:styleId="63">
    <w:name w:val="Char Char"/>
    <w:basedOn w:val="1"/>
    <w:qFormat/>
    <w:uiPriority w:val="0"/>
    <w:pPr>
      <w:spacing w:line="360" w:lineRule="atLeast"/>
      <w:jc w:val="left"/>
    </w:pPr>
    <w:rPr>
      <w:kern w:val="0"/>
    </w:rPr>
  </w:style>
  <w:style w:type="paragraph" w:customStyle="1" w:styleId="64">
    <w:name w:val="Char Char Char Char"/>
    <w:basedOn w:val="1"/>
    <w:qFormat/>
    <w:uiPriority w:val="0"/>
    <w:pPr>
      <w:spacing w:line="360" w:lineRule="auto"/>
    </w:pPr>
    <w:rPr>
      <w:kern w:val="0"/>
      <w:szCs w:val="20"/>
    </w:rPr>
  </w:style>
  <w:style w:type="paragraph" w:customStyle="1" w:styleId="65">
    <w:name w:val="样式1"/>
    <w:basedOn w:val="1"/>
    <w:qFormat/>
    <w:uiPriority w:val="0"/>
    <w:pPr>
      <w:spacing w:line="420" w:lineRule="auto"/>
      <w:jc w:val="center"/>
    </w:pPr>
    <w:rPr>
      <w:rFonts w:ascii="宋体"/>
      <w:kern w:val="0"/>
      <w:szCs w:val="20"/>
    </w:rPr>
  </w:style>
  <w:style w:type="paragraph" w:customStyle="1" w:styleId="66">
    <w:name w:val="A"/>
    <w:basedOn w:val="1"/>
    <w:qFormat/>
    <w:uiPriority w:val="0"/>
    <w:pPr>
      <w:spacing w:line="480" w:lineRule="atLeast"/>
      <w:jc w:val="center"/>
    </w:pPr>
    <w:rPr>
      <w:rFonts w:ascii="宋体"/>
      <w:kern w:val="0"/>
      <w:sz w:val="32"/>
      <w:szCs w:val="20"/>
    </w:rPr>
  </w:style>
  <w:style w:type="paragraph" w:customStyle="1" w:styleId="67">
    <w:name w:val="三级条标题"/>
    <w:basedOn w:val="68"/>
    <w:qFormat/>
    <w:uiPriority w:val="0"/>
    <w:pPr>
      <w:numPr>
        <w:ilvl w:val="4"/>
      </w:numPr>
      <w:outlineLvl w:val="4"/>
    </w:pPr>
  </w:style>
  <w:style w:type="paragraph" w:customStyle="1" w:styleId="68">
    <w:name w:val="二级条标题"/>
    <w:basedOn w:val="69"/>
    <w:qFormat/>
    <w:uiPriority w:val="0"/>
    <w:pPr>
      <w:numPr>
        <w:ilvl w:val="3"/>
      </w:numPr>
      <w:outlineLvl w:val="3"/>
    </w:pPr>
  </w:style>
  <w:style w:type="paragraph" w:customStyle="1" w:styleId="69">
    <w:name w:val="一级条标题"/>
    <w:basedOn w:val="70"/>
    <w:qFormat/>
    <w:uiPriority w:val="0"/>
    <w:pPr>
      <w:numPr>
        <w:ilvl w:val="2"/>
      </w:numPr>
      <w:spacing w:before="0" w:after="0"/>
      <w:outlineLvl w:val="2"/>
    </w:pPr>
  </w:style>
  <w:style w:type="paragraph" w:customStyle="1" w:styleId="70">
    <w:name w:val="章标题"/>
    <w:qFormat/>
    <w:uiPriority w:val="0"/>
    <w:pPr>
      <w:numPr>
        <w:ilvl w:val="1"/>
        <w:numId w:val="3"/>
      </w:numPr>
      <w:spacing w:before="50" w:after="50"/>
      <w:jc w:val="both"/>
      <w:outlineLvl w:val="1"/>
    </w:pPr>
    <w:rPr>
      <w:rFonts w:ascii="黑体" w:hAnsi="Times New Roman" w:eastAsia="黑体" w:cs="Times New Roman"/>
      <w:sz w:val="21"/>
      <w:szCs w:val="22"/>
      <w:lang w:val="en-US" w:eastAsia="zh-CN" w:bidi="ar-SA"/>
    </w:rPr>
  </w:style>
  <w:style w:type="paragraph" w:customStyle="1" w:styleId="71">
    <w:name w:val="Char Char1 Char Char Char Char Char Char Char Char Char"/>
    <w:basedOn w:val="1"/>
    <w:semiHidden/>
    <w:qFormat/>
    <w:uiPriority w:val="0"/>
    <w:rPr>
      <w:sz w:val="21"/>
    </w:rPr>
  </w:style>
  <w:style w:type="paragraph" w:customStyle="1" w:styleId="72">
    <w:name w:val="正文报告"/>
    <w:basedOn w:val="1"/>
    <w:qFormat/>
    <w:uiPriority w:val="0"/>
    <w:pPr>
      <w:tabs>
        <w:tab w:val="left" w:pos="510"/>
      </w:tabs>
      <w:spacing w:line="460" w:lineRule="exact"/>
      <w:ind w:firstLine="482"/>
    </w:pPr>
    <w:rPr>
      <w:kern w:val="0"/>
      <w:szCs w:val="20"/>
    </w:rPr>
  </w:style>
  <w:style w:type="paragraph" w:customStyle="1" w:styleId="73">
    <w:name w:val="字母编号列项（一级）"/>
    <w:qFormat/>
    <w:uiPriority w:val="0"/>
    <w:pPr>
      <w:ind w:left="840" w:leftChars="200" w:hanging="420" w:hangingChars="200"/>
      <w:jc w:val="both"/>
    </w:pPr>
    <w:rPr>
      <w:rFonts w:ascii="宋体" w:hAnsi="Times New Roman" w:eastAsia="宋体" w:cs="Times New Roman"/>
      <w:sz w:val="21"/>
      <w:szCs w:val="22"/>
      <w:lang w:val="en-US" w:eastAsia="zh-CN" w:bidi="ar-SA"/>
    </w:rPr>
  </w:style>
  <w:style w:type="paragraph" w:customStyle="1" w:styleId="74">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75">
    <w:name w:val="Char Char Char"/>
    <w:basedOn w:val="1"/>
    <w:qFormat/>
    <w:uiPriority w:val="0"/>
    <w:pPr>
      <w:spacing w:line="360" w:lineRule="auto"/>
      <w:ind w:firstLine="200" w:firstLineChars="200"/>
    </w:pPr>
    <w:rPr>
      <w:rFonts w:ascii="宋体" w:hAnsi="宋体"/>
    </w:rPr>
  </w:style>
  <w:style w:type="paragraph" w:customStyle="1" w:styleId="76">
    <w:name w:val="默认段落字体 Para Char Char Char Char"/>
    <w:basedOn w:val="1"/>
    <w:qFormat/>
    <w:uiPriority w:val="0"/>
    <w:rPr>
      <w:sz w:val="21"/>
    </w:rPr>
  </w:style>
  <w:style w:type="paragraph" w:customStyle="1" w:styleId="77">
    <w:name w:val="Default"/>
    <w:qFormat/>
    <w:uiPriority w:val="0"/>
    <w:pPr>
      <w:widowControl w:val="0"/>
      <w:autoSpaceDE w:val="0"/>
      <w:autoSpaceDN w:val="0"/>
    </w:pPr>
    <w:rPr>
      <w:rFonts w:ascii="Times New Roman" w:hAnsi="Times New Roman" w:eastAsia="宋体" w:cs="Times New Roman"/>
      <w:color w:val="000000"/>
      <w:sz w:val="24"/>
      <w:szCs w:val="24"/>
      <w:lang w:val="en-US" w:eastAsia="zh-CN" w:bidi="ar-SA"/>
    </w:rPr>
  </w:style>
  <w:style w:type="paragraph" w:customStyle="1" w:styleId="78">
    <w:name w:val="Char Char11"/>
    <w:basedOn w:val="1"/>
    <w:qFormat/>
    <w:uiPriority w:val="0"/>
    <w:rPr>
      <w:sz w:val="21"/>
    </w:rPr>
  </w:style>
  <w:style w:type="paragraph" w:customStyle="1" w:styleId="79">
    <w:name w:val="Char Char1 Char Char Char"/>
    <w:basedOn w:val="1"/>
    <w:semiHidden/>
    <w:qFormat/>
    <w:uiPriority w:val="0"/>
    <w:rPr>
      <w:sz w:val="21"/>
    </w:rPr>
  </w:style>
  <w:style w:type="paragraph" w:customStyle="1" w:styleId="80">
    <w:name w:val="1"/>
    <w:basedOn w:val="1"/>
    <w:qFormat/>
    <w:uiPriority w:val="0"/>
    <w:pPr>
      <w:spacing w:line="360" w:lineRule="atLeast"/>
      <w:jc w:val="left"/>
    </w:pPr>
    <w:rPr>
      <w:kern w:val="0"/>
    </w:rPr>
  </w:style>
  <w:style w:type="paragraph" w:customStyle="1" w:styleId="81">
    <w:name w:val="Char1"/>
    <w:basedOn w:val="1"/>
    <w:qFormat/>
    <w:uiPriority w:val="0"/>
  </w:style>
  <w:style w:type="paragraph" w:customStyle="1" w:styleId="82">
    <w:name w:val="默认段落字体 Para Char Char Char Char Char Char Char Char Char Char"/>
    <w:basedOn w:val="1"/>
    <w:qFormat/>
    <w:uiPriority w:val="0"/>
    <w:rPr>
      <w:sz w:val="21"/>
    </w:rPr>
  </w:style>
  <w:style w:type="paragraph" w:customStyle="1" w:styleId="83">
    <w:name w:val="目录 31"/>
    <w:basedOn w:val="1"/>
    <w:qFormat/>
    <w:uiPriority w:val="0"/>
    <w:pPr>
      <w:ind w:left="840" w:leftChars="400"/>
    </w:pPr>
  </w:style>
  <w:style w:type="paragraph" w:customStyle="1" w:styleId="84">
    <w:name w:val="TOC 标题1"/>
    <w:basedOn w:val="2"/>
    <w:semiHidden/>
    <w:qFormat/>
    <w:uiPriority w:val="0"/>
    <w:pPr>
      <w:widowControl/>
      <w:spacing w:before="480" w:line="276" w:lineRule="auto"/>
      <w:jc w:val="left"/>
      <w:outlineLvl w:val="9"/>
    </w:pPr>
    <w:rPr>
      <w:rFonts w:ascii="Cambria" w:hAnsi="Cambria"/>
      <w:bCs/>
      <w:color w:val="365F91"/>
      <w:kern w:val="0"/>
      <w:sz w:val="28"/>
      <w:szCs w:val="28"/>
    </w:rPr>
  </w:style>
  <w:style w:type="character" w:customStyle="1" w:styleId="85">
    <w:name w:val="页脚 Char"/>
    <w:link w:val="21"/>
    <w:qFormat/>
    <w:uiPriority w:val="0"/>
    <w:rPr>
      <w:sz w:val="18"/>
    </w:rPr>
  </w:style>
  <w:style w:type="paragraph" w:customStyle="1" w:styleId="86">
    <w:name w:val="UserStyle_12"/>
    <w:basedOn w:val="1"/>
    <w:qFormat/>
    <w:uiPriority w:val="0"/>
    <w:pPr>
      <w:widowControl/>
      <w:spacing w:line="360" w:lineRule="atLeast"/>
      <w:jc w:val="left"/>
    </w:pPr>
    <w:rPr>
      <w:rFonts w:ascii="宋体"/>
      <w:kern w:val="0"/>
      <w:szCs w:val="20"/>
    </w:rPr>
  </w:style>
  <w:style w:type="character" w:customStyle="1" w:styleId="87">
    <w:name w:val="NormalCharacter"/>
    <w:semiHidden/>
    <w:qFormat/>
    <w:uiPriority w:val="0"/>
  </w:style>
  <w:style w:type="character" w:customStyle="1" w:styleId="88">
    <w:name w:val="font11"/>
    <w:qFormat/>
    <w:uiPriority w:val="0"/>
    <w:rPr>
      <w:rFonts w:hint="eastAsia" w:ascii="宋体" w:hAnsi="宋体" w:eastAsia="宋体"/>
      <w:color w:val="000000"/>
      <w:kern w:val="0"/>
      <w:sz w:val="24"/>
      <w:szCs w:val="24"/>
      <w:u w:val="none"/>
    </w:rPr>
  </w:style>
  <w:style w:type="paragraph" w:customStyle="1" w:styleId="89">
    <w:name w:val="HtmlNormal"/>
    <w:basedOn w:val="1"/>
    <w:qFormat/>
    <w:uiPriority w:val="0"/>
    <w:pPr>
      <w:widowControl/>
      <w:jc w:val="left"/>
    </w:pPr>
    <w:rPr>
      <w:kern w:val="0"/>
    </w:rPr>
  </w:style>
  <w:style w:type="paragraph" w:customStyle="1" w:styleId="90">
    <w:name w:val="UserStyle_10"/>
    <w:basedOn w:val="1"/>
    <w:qFormat/>
    <w:uiPriority w:val="0"/>
    <w:pPr>
      <w:widowControl/>
      <w:ind w:firstLine="420" w:firstLineChars="200"/>
    </w:pPr>
  </w:style>
  <w:style w:type="character" w:customStyle="1" w:styleId="91">
    <w:name w:val="标题 2 Char"/>
    <w:link w:val="3"/>
    <w:semiHidden/>
    <w:qFormat/>
    <w:uiPriority w:val="0"/>
    <w:rPr>
      <w:rFonts w:ascii="宋体"/>
      <w:b/>
      <w:kern w:val="44"/>
      <w:sz w:val="28"/>
    </w:rPr>
  </w:style>
  <w:style w:type="paragraph" w:customStyle="1" w:styleId="92">
    <w:name w:val="msonormal"/>
    <w:basedOn w:val="1"/>
    <w:qFormat/>
    <w:uiPriority w:val="0"/>
    <w:pPr>
      <w:widowControl/>
      <w:spacing w:before="100" w:beforeAutospacing="1" w:after="100" w:afterAutospacing="1"/>
      <w:jc w:val="left"/>
    </w:pPr>
    <w:rPr>
      <w:rFonts w:ascii="宋体" w:hAnsi="宋体" w:cs="宋体"/>
      <w:kern w:val="0"/>
    </w:rPr>
  </w:style>
  <w:style w:type="character" w:customStyle="1" w:styleId="93">
    <w:name w:val="批注文字 Char"/>
    <w:link w:val="13"/>
    <w:semiHidden/>
    <w:qFormat/>
    <w:uiPriority w:val="0"/>
    <w:rPr>
      <w:kern w:val="2"/>
      <w:sz w:val="24"/>
      <w:szCs w:val="24"/>
    </w:rPr>
  </w:style>
  <w:style w:type="character" w:customStyle="1" w:styleId="94">
    <w:name w:val="页眉 Char"/>
    <w:link w:val="22"/>
    <w:qFormat/>
    <w:uiPriority w:val="0"/>
    <w:rPr>
      <w:sz w:val="18"/>
    </w:rPr>
  </w:style>
  <w:style w:type="character" w:customStyle="1" w:styleId="95">
    <w:name w:val="日期 Char"/>
    <w:link w:val="18"/>
    <w:qFormat/>
    <w:uiPriority w:val="0"/>
    <w:rPr>
      <w:rFonts w:ascii="宋体"/>
      <w:sz w:val="28"/>
    </w:rPr>
  </w:style>
  <w:style w:type="character" w:customStyle="1" w:styleId="96">
    <w:name w:val="批注主题 Char"/>
    <w:link w:val="27"/>
    <w:semiHidden/>
    <w:qFormat/>
    <w:uiPriority w:val="0"/>
    <w:rPr>
      <w:b/>
      <w:bCs/>
      <w:kern w:val="2"/>
      <w:sz w:val="24"/>
      <w:szCs w:val="24"/>
    </w:rPr>
  </w:style>
  <w:style w:type="character" w:customStyle="1" w:styleId="97">
    <w:name w:val="批注框文本 Char"/>
    <w:link w:val="20"/>
    <w:semiHidden/>
    <w:qFormat/>
    <w:uiPriority w:val="0"/>
    <w:rPr>
      <w:kern w:val="2"/>
      <w:sz w:val="18"/>
      <w:szCs w:val="18"/>
    </w:rPr>
  </w:style>
  <w:style w:type="paragraph" w:customStyle="1" w:styleId="98">
    <w:name w:val="Heading2"/>
    <w:basedOn w:val="1"/>
    <w:next w:val="1"/>
    <w:qFormat/>
    <w:uiPriority w:val="0"/>
    <w:pPr>
      <w:keepNext/>
      <w:keepLines/>
      <w:widowControl/>
      <w:spacing w:before="260" w:after="260" w:line="416" w:lineRule="atLeast"/>
    </w:pPr>
    <w:rPr>
      <w:rFonts w:ascii="宋体"/>
      <w:b/>
      <w:kern w:val="44"/>
      <w:sz w:val="28"/>
      <w:szCs w:val="20"/>
    </w:rPr>
  </w:style>
  <w:style w:type="character" w:customStyle="1" w:styleId="99">
    <w:name w:val="UserStyle_0"/>
    <w:link w:val="100"/>
    <w:qFormat/>
    <w:locked/>
    <w:uiPriority w:val="0"/>
    <w:rPr>
      <w:rFonts w:ascii="宋体" w:hAnsi="宋体"/>
      <w:b/>
      <w:kern w:val="44"/>
      <w:sz w:val="32"/>
    </w:rPr>
  </w:style>
  <w:style w:type="paragraph" w:customStyle="1" w:styleId="100">
    <w:name w:val="Heading1"/>
    <w:basedOn w:val="1"/>
    <w:next w:val="1"/>
    <w:link w:val="99"/>
    <w:qFormat/>
    <w:uiPriority w:val="0"/>
    <w:pPr>
      <w:keepNext/>
      <w:keepLines/>
      <w:widowControl/>
      <w:spacing w:line="360" w:lineRule="auto"/>
    </w:pPr>
    <w:rPr>
      <w:rFonts w:ascii="宋体" w:hAnsi="宋体"/>
      <w:b/>
      <w:kern w:val="44"/>
      <w:sz w:val="32"/>
      <w:szCs w:val="20"/>
    </w:rPr>
  </w:style>
  <w:style w:type="paragraph" w:customStyle="1" w:styleId="101">
    <w:name w:val="Heading3"/>
    <w:basedOn w:val="1"/>
    <w:next w:val="1"/>
    <w:qFormat/>
    <w:uiPriority w:val="0"/>
    <w:pPr>
      <w:keepNext/>
      <w:keepLines/>
      <w:widowControl/>
      <w:spacing w:before="260" w:after="260" w:line="416" w:lineRule="atLeast"/>
    </w:pPr>
    <w:rPr>
      <w:b/>
      <w:sz w:val="32"/>
    </w:rPr>
  </w:style>
  <w:style w:type="paragraph" w:customStyle="1" w:styleId="102">
    <w:name w:val="NormalIndent"/>
    <w:basedOn w:val="1"/>
    <w:qFormat/>
    <w:uiPriority w:val="0"/>
    <w:pPr>
      <w:widowControl/>
      <w:spacing w:line="360" w:lineRule="atLeast"/>
      <w:ind w:firstLine="420"/>
      <w:jc w:val="left"/>
    </w:pPr>
    <w:rPr>
      <w:kern w:val="0"/>
      <w:szCs w:val="20"/>
    </w:rPr>
  </w:style>
  <w:style w:type="paragraph" w:customStyle="1" w:styleId="103">
    <w:name w:val="Heading4"/>
    <w:basedOn w:val="1"/>
    <w:next w:val="102"/>
    <w:qFormat/>
    <w:uiPriority w:val="0"/>
    <w:pPr>
      <w:keepNext/>
      <w:widowControl/>
      <w:spacing w:line="360" w:lineRule="auto"/>
      <w:ind w:left="454"/>
      <w:jc w:val="left"/>
    </w:pPr>
    <w:rPr>
      <w:rFonts w:ascii="宋体"/>
      <w:i/>
      <w:kern w:val="0"/>
      <w:szCs w:val="20"/>
    </w:rPr>
  </w:style>
  <w:style w:type="paragraph" w:customStyle="1" w:styleId="104">
    <w:name w:val="Heading5"/>
    <w:basedOn w:val="1"/>
    <w:next w:val="102"/>
    <w:qFormat/>
    <w:uiPriority w:val="0"/>
    <w:pPr>
      <w:keepNext/>
      <w:keepLines/>
      <w:widowControl/>
      <w:spacing w:before="120" w:after="120"/>
      <w:ind w:firstLine="400"/>
    </w:pPr>
    <w:rPr>
      <w:rFonts w:ascii="小标宋"/>
      <w:szCs w:val="20"/>
    </w:rPr>
  </w:style>
  <w:style w:type="paragraph" w:customStyle="1" w:styleId="105">
    <w:name w:val="Heading6"/>
    <w:basedOn w:val="1"/>
    <w:next w:val="102"/>
    <w:qFormat/>
    <w:uiPriority w:val="0"/>
    <w:pPr>
      <w:keepNext/>
      <w:keepLines/>
      <w:widowControl/>
      <w:spacing w:before="240" w:after="64" w:line="319" w:lineRule="auto"/>
      <w:ind w:firstLine="400"/>
    </w:pPr>
    <w:rPr>
      <w:rFonts w:ascii="Arial" w:hAnsi="Arial" w:eastAsia="黑体"/>
      <w:szCs w:val="20"/>
    </w:rPr>
  </w:style>
  <w:style w:type="paragraph" w:customStyle="1" w:styleId="106">
    <w:name w:val="Heading7"/>
    <w:basedOn w:val="1"/>
    <w:next w:val="102"/>
    <w:qFormat/>
    <w:uiPriority w:val="0"/>
    <w:pPr>
      <w:keepNext/>
      <w:keepLines/>
      <w:widowControl/>
      <w:spacing w:before="240" w:after="64" w:line="319" w:lineRule="auto"/>
      <w:ind w:firstLine="400"/>
    </w:pPr>
    <w:rPr>
      <w:rFonts w:ascii="宋体"/>
      <w:szCs w:val="20"/>
    </w:rPr>
  </w:style>
  <w:style w:type="paragraph" w:customStyle="1" w:styleId="107">
    <w:name w:val="Heading8"/>
    <w:basedOn w:val="1"/>
    <w:next w:val="102"/>
    <w:qFormat/>
    <w:uiPriority w:val="0"/>
    <w:pPr>
      <w:keepNext/>
      <w:keepLines/>
      <w:widowControl/>
      <w:spacing w:before="240" w:after="64" w:line="319" w:lineRule="auto"/>
      <w:ind w:firstLine="400"/>
    </w:pPr>
    <w:rPr>
      <w:rFonts w:ascii="Arial" w:hAnsi="Arial" w:eastAsia="黑体"/>
      <w:b/>
      <w:szCs w:val="20"/>
    </w:rPr>
  </w:style>
  <w:style w:type="paragraph" w:customStyle="1" w:styleId="108">
    <w:name w:val="Heading9"/>
    <w:basedOn w:val="1"/>
    <w:next w:val="102"/>
    <w:qFormat/>
    <w:uiPriority w:val="0"/>
    <w:pPr>
      <w:keepNext/>
      <w:keepLines/>
      <w:widowControl/>
      <w:spacing w:before="240" w:after="64" w:line="319" w:lineRule="auto"/>
      <w:ind w:firstLine="400"/>
    </w:pPr>
    <w:rPr>
      <w:rFonts w:ascii="Arial" w:hAnsi="Arial" w:eastAsia="黑体"/>
      <w:b/>
      <w:szCs w:val="20"/>
    </w:rPr>
  </w:style>
  <w:style w:type="paragraph" w:customStyle="1" w:styleId="109">
    <w:name w:val="NavPane"/>
    <w:basedOn w:val="1"/>
    <w:semiHidden/>
    <w:qFormat/>
    <w:uiPriority w:val="0"/>
    <w:pPr>
      <w:widowControl/>
    </w:pPr>
  </w:style>
  <w:style w:type="paragraph" w:customStyle="1" w:styleId="110">
    <w:name w:val="AnnotationText"/>
    <w:basedOn w:val="1"/>
    <w:semiHidden/>
    <w:qFormat/>
    <w:uiPriority w:val="0"/>
    <w:pPr>
      <w:widowControl/>
      <w:jc w:val="left"/>
    </w:pPr>
  </w:style>
  <w:style w:type="paragraph" w:customStyle="1" w:styleId="111">
    <w:name w:val="BodyText"/>
    <w:basedOn w:val="1"/>
    <w:qFormat/>
    <w:uiPriority w:val="0"/>
    <w:pPr>
      <w:widowControl/>
      <w:spacing w:after="120"/>
    </w:pPr>
  </w:style>
  <w:style w:type="paragraph" w:customStyle="1" w:styleId="112">
    <w:name w:val="BodyTextIndent"/>
    <w:basedOn w:val="1"/>
    <w:qFormat/>
    <w:uiPriority w:val="0"/>
    <w:pPr>
      <w:widowControl/>
      <w:spacing w:line="360" w:lineRule="auto"/>
      <w:ind w:firstLine="480"/>
      <w:jc w:val="left"/>
    </w:pPr>
    <w:rPr>
      <w:rFonts w:ascii="宋体"/>
      <w:color w:val="0000FF"/>
      <w:kern w:val="0"/>
      <w:szCs w:val="20"/>
    </w:rPr>
  </w:style>
  <w:style w:type="paragraph" w:customStyle="1" w:styleId="113">
    <w:name w:val="PlainText"/>
    <w:basedOn w:val="1"/>
    <w:qFormat/>
    <w:uiPriority w:val="0"/>
    <w:pPr>
      <w:widowControl/>
    </w:pPr>
    <w:rPr>
      <w:rFonts w:ascii="宋体" w:hAnsi="Courier New"/>
      <w:szCs w:val="20"/>
    </w:rPr>
  </w:style>
  <w:style w:type="paragraph" w:customStyle="1" w:styleId="114">
    <w:name w:val="BodyTextIndent2"/>
    <w:basedOn w:val="1"/>
    <w:qFormat/>
    <w:uiPriority w:val="0"/>
    <w:pPr>
      <w:widowControl/>
      <w:spacing w:line="240" w:lineRule="atLeast"/>
      <w:ind w:right="202" w:firstLine="630" w:firstLineChars="225"/>
      <w:jc w:val="left"/>
    </w:pPr>
    <w:rPr>
      <w:rFonts w:ascii="宋体"/>
      <w:spacing w:val="20"/>
      <w:kern w:val="0"/>
      <w:position w:val="20"/>
      <w:szCs w:val="20"/>
    </w:rPr>
  </w:style>
  <w:style w:type="paragraph" w:customStyle="1" w:styleId="115">
    <w:name w:val="Acetate"/>
    <w:basedOn w:val="1"/>
    <w:semiHidden/>
    <w:qFormat/>
    <w:uiPriority w:val="0"/>
    <w:pPr>
      <w:widowControl/>
    </w:pPr>
    <w:rPr>
      <w:sz w:val="18"/>
      <w:szCs w:val="18"/>
    </w:rPr>
  </w:style>
  <w:style w:type="paragraph" w:customStyle="1" w:styleId="116">
    <w:name w:val="TOC1"/>
    <w:basedOn w:val="1"/>
    <w:next w:val="1"/>
    <w:semiHidden/>
    <w:qFormat/>
    <w:uiPriority w:val="0"/>
    <w:pPr>
      <w:widowControl/>
      <w:tabs>
        <w:tab w:val="right" w:leader="dot" w:pos="8820"/>
      </w:tabs>
      <w:spacing w:line="360" w:lineRule="auto"/>
      <w:jc w:val="left"/>
    </w:pPr>
    <w:rPr>
      <w:rFonts w:ascii="宋体" w:hAnsi="宋体"/>
      <w:b/>
      <w:kern w:val="0"/>
      <w:sz w:val="30"/>
      <w:szCs w:val="30"/>
    </w:rPr>
  </w:style>
  <w:style w:type="paragraph" w:customStyle="1" w:styleId="117">
    <w:name w:val="BodyTextIndent3"/>
    <w:basedOn w:val="1"/>
    <w:qFormat/>
    <w:uiPriority w:val="0"/>
    <w:pPr>
      <w:widowControl/>
      <w:spacing w:line="360" w:lineRule="auto"/>
      <w:ind w:firstLine="780" w:firstLineChars="300"/>
      <w:jc w:val="left"/>
    </w:pPr>
    <w:rPr>
      <w:color w:val="FF0000"/>
      <w:spacing w:val="10"/>
      <w:kern w:val="0"/>
      <w:szCs w:val="20"/>
      <w:u w:val="single"/>
    </w:rPr>
  </w:style>
  <w:style w:type="paragraph" w:customStyle="1" w:styleId="118">
    <w:name w:val="TOC2"/>
    <w:basedOn w:val="1"/>
    <w:next w:val="1"/>
    <w:semiHidden/>
    <w:qFormat/>
    <w:uiPriority w:val="0"/>
    <w:pPr>
      <w:widowControl/>
      <w:tabs>
        <w:tab w:val="right" w:leader="dot" w:pos="9000"/>
      </w:tabs>
      <w:spacing w:line="360" w:lineRule="atLeast"/>
      <w:ind w:left="420"/>
      <w:jc w:val="left"/>
    </w:pPr>
    <w:rPr>
      <w:smallCaps/>
      <w:kern w:val="0"/>
      <w:sz w:val="20"/>
      <w:szCs w:val="20"/>
    </w:rPr>
  </w:style>
  <w:style w:type="paragraph" w:customStyle="1" w:styleId="119">
    <w:name w:val="AnnotationSubject"/>
    <w:basedOn w:val="110"/>
    <w:semiHidden/>
    <w:qFormat/>
    <w:uiPriority w:val="0"/>
    <w:rPr>
      <w:b/>
      <w:bCs/>
    </w:rPr>
  </w:style>
  <w:style w:type="paragraph" w:customStyle="1" w:styleId="120">
    <w:name w:val="UserStyle_5"/>
    <w:basedOn w:val="1"/>
    <w:qFormat/>
    <w:uiPriority w:val="0"/>
    <w:pPr>
      <w:widowControl/>
    </w:pPr>
    <w:rPr>
      <w:sz w:val="21"/>
    </w:rPr>
  </w:style>
  <w:style w:type="paragraph" w:customStyle="1" w:styleId="121">
    <w:name w:val="UserStyle_6"/>
    <w:basedOn w:val="1"/>
    <w:qFormat/>
    <w:uiPriority w:val="0"/>
    <w:pPr>
      <w:widowControl/>
      <w:spacing w:line="360" w:lineRule="auto"/>
      <w:jc w:val="center"/>
    </w:pPr>
    <w:rPr>
      <w:rFonts w:ascii="宋体"/>
      <w:b/>
      <w:color w:val="FF0000"/>
      <w:kern w:val="0"/>
      <w:szCs w:val="20"/>
      <w:u w:val="single"/>
    </w:rPr>
  </w:style>
  <w:style w:type="paragraph" w:customStyle="1" w:styleId="122">
    <w:name w:val="UserStyle_7"/>
    <w:basedOn w:val="1"/>
    <w:qFormat/>
    <w:uiPriority w:val="0"/>
    <w:pPr>
      <w:widowControl/>
      <w:spacing w:line="480" w:lineRule="atLeast"/>
      <w:jc w:val="center"/>
    </w:pPr>
    <w:rPr>
      <w:rFonts w:ascii="宋体"/>
      <w:kern w:val="0"/>
      <w:sz w:val="32"/>
      <w:szCs w:val="20"/>
    </w:rPr>
  </w:style>
  <w:style w:type="paragraph" w:customStyle="1" w:styleId="123">
    <w:name w:val="UserStyle_8"/>
    <w:basedOn w:val="1"/>
    <w:qFormat/>
    <w:uiPriority w:val="0"/>
    <w:pPr>
      <w:widowControl/>
      <w:spacing w:line="360" w:lineRule="auto"/>
      <w:ind w:firstLine="200" w:firstLineChars="200"/>
    </w:pPr>
    <w:rPr>
      <w:rFonts w:ascii="宋体" w:hAnsi="宋体"/>
    </w:rPr>
  </w:style>
  <w:style w:type="paragraph" w:customStyle="1" w:styleId="124">
    <w:name w:val="UserStyle_9"/>
    <w:basedOn w:val="1"/>
    <w:semiHidden/>
    <w:qFormat/>
    <w:uiPriority w:val="0"/>
    <w:pPr>
      <w:widowControl/>
    </w:pPr>
    <w:rPr>
      <w:sz w:val="21"/>
    </w:rPr>
  </w:style>
  <w:style w:type="paragraph" w:customStyle="1" w:styleId="125">
    <w:name w:val="UserStyle_11"/>
    <w:basedOn w:val="1"/>
    <w:qFormat/>
    <w:uiPriority w:val="0"/>
    <w:pPr>
      <w:widowControl/>
    </w:pPr>
  </w:style>
  <w:style w:type="paragraph" w:customStyle="1" w:styleId="126">
    <w:name w:val="179"/>
    <w:basedOn w:val="1"/>
    <w:qFormat/>
    <w:uiPriority w:val="0"/>
    <w:pPr>
      <w:widowControl/>
      <w:ind w:firstLine="420" w:firstLineChars="200"/>
    </w:pPr>
  </w:style>
  <w:style w:type="paragraph" w:customStyle="1" w:styleId="127">
    <w:name w:val="UserStyle_13"/>
    <w:basedOn w:val="1"/>
    <w:semiHidden/>
    <w:qFormat/>
    <w:uiPriority w:val="0"/>
    <w:pPr>
      <w:widowControl/>
    </w:pPr>
    <w:rPr>
      <w:sz w:val="21"/>
    </w:rPr>
  </w:style>
  <w:style w:type="paragraph" w:customStyle="1" w:styleId="128">
    <w:name w:val="UserStyle_14"/>
    <w:basedOn w:val="1"/>
    <w:qFormat/>
    <w:uiPriority w:val="0"/>
    <w:pPr>
      <w:widowControl/>
      <w:spacing w:line="360" w:lineRule="auto"/>
      <w:jc w:val="center"/>
    </w:pPr>
    <w:rPr>
      <w:rFonts w:ascii="宋体"/>
      <w:b/>
      <w:color w:val="FF0000"/>
      <w:kern w:val="0"/>
      <w:szCs w:val="20"/>
      <w:u w:val="single"/>
    </w:rPr>
  </w:style>
  <w:style w:type="paragraph" w:customStyle="1" w:styleId="129">
    <w:name w:val="UserStyle_15"/>
    <w:basedOn w:val="1"/>
    <w:qFormat/>
    <w:uiPriority w:val="0"/>
    <w:pPr>
      <w:widowControl/>
    </w:pPr>
    <w:rPr>
      <w:sz w:val="21"/>
    </w:rPr>
  </w:style>
  <w:style w:type="paragraph" w:customStyle="1" w:styleId="130">
    <w:name w:val="UserStyle_16"/>
    <w:basedOn w:val="1"/>
    <w:qFormat/>
    <w:uiPriority w:val="0"/>
    <w:pPr>
      <w:widowControl/>
      <w:spacing w:line="360" w:lineRule="atLeast"/>
      <w:jc w:val="left"/>
    </w:pPr>
    <w:rPr>
      <w:kern w:val="0"/>
    </w:rPr>
  </w:style>
  <w:style w:type="paragraph" w:customStyle="1" w:styleId="131">
    <w:name w:val="UserStyle_17"/>
    <w:basedOn w:val="1"/>
    <w:qFormat/>
    <w:uiPriority w:val="0"/>
    <w:pPr>
      <w:widowControl/>
      <w:spacing w:line="360" w:lineRule="auto"/>
      <w:ind w:firstLine="200" w:firstLineChars="200"/>
    </w:pPr>
    <w:rPr>
      <w:rFonts w:ascii="宋体" w:hAnsi="宋体"/>
    </w:rPr>
  </w:style>
  <w:style w:type="paragraph" w:customStyle="1" w:styleId="132">
    <w:name w:val="UserStyle_18"/>
    <w:qFormat/>
    <w:uiPriority w:val="0"/>
    <w:rPr>
      <w:rFonts w:ascii="Times New Roman" w:hAnsi="Times New Roman" w:eastAsia="宋体" w:cs="Times New Roman"/>
      <w:color w:val="000000"/>
      <w:sz w:val="24"/>
      <w:szCs w:val="24"/>
      <w:lang w:val="en-US" w:eastAsia="zh-CN" w:bidi="ar-SA"/>
    </w:rPr>
  </w:style>
  <w:style w:type="paragraph" w:customStyle="1" w:styleId="133">
    <w:name w:val="UserStyle_19"/>
    <w:basedOn w:val="1"/>
    <w:qFormat/>
    <w:uiPriority w:val="0"/>
    <w:pPr>
      <w:widowControl/>
      <w:spacing w:line="360" w:lineRule="auto"/>
    </w:pPr>
    <w:rPr>
      <w:kern w:val="0"/>
    </w:rPr>
  </w:style>
  <w:style w:type="paragraph" w:customStyle="1" w:styleId="134">
    <w:name w:val="UserStyle_20"/>
    <w:basedOn w:val="1"/>
    <w:qFormat/>
    <w:uiPriority w:val="0"/>
    <w:pPr>
      <w:widowControl/>
      <w:spacing w:line="360" w:lineRule="auto"/>
    </w:pPr>
    <w:rPr>
      <w:kern w:val="0"/>
      <w:szCs w:val="20"/>
    </w:rPr>
  </w:style>
  <w:style w:type="paragraph" w:customStyle="1" w:styleId="135">
    <w:name w:val="UserStyle_21"/>
    <w:basedOn w:val="1"/>
    <w:qFormat/>
    <w:uiPriority w:val="0"/>
    <w:pPr>
      <w:widowControl/>
      <w:spacing w:line="360" w:lineRule="auto"/>
    </w:pPr>
    <w:rPr>
      <w:kern w:val="0"/>
      <w:sz w:val="28"/>
      <w:szCs w:val="20"/>
    </w:rPr>
  </w:style>
  <w:style w:type="paragraph" w:customStyle="1" w:styleId="136">
    <w:name w:val="UserStyle_22"/>
    <w:basedOn w:val="1"/>
    <w:qFormat/>
    <w:uiPriority w:val="0"/>
    <w:pPr>
      <w:widowControl/>
      <w:spacing w:line="360" w:lineRule="auto"/>
      <w:ind w:firstLine="200" w:firstLineChars="200"/>
    </w:pPr>
    <w:rPr>
      <w:rFonts w:ascii="宋体" w:hAnsi="宋体"/>
    </w:rPr>
  </w:style>
  <w:style w:type="paragraph" w:customStyle="1" w:styleId="137">
    <w:name w:val="UserStyle_23"/>
    <w:basedOn w:val="1"/>
    <w:qFormat/>
    <w:uiPriority w:val="0"/>
    <w:pPr>
      <w:widowControl/>
      <w:spacing w:line="360" w:lineRule="atLeast"/>
      <w:jc w:val="left"/>
    </w:pPr>
    <w:rPr>
      <w:kern w:val="0"/>
    </w:rPr>
  </w:style>
  <w:style w:type="paragraph" w:customStyle="1" w:styleId="138">
    <w:name w:val="UserStyle_24"/>
    <w:basedOn w:val="1"/>
    <w:qFormat/>
    <w:uiPriority w:val="0"/>
    <w:pPr>
      <w:widowControl/>
    </w:pPr>
    <w:rPr>
      <w:sz w:val="21"/>
    </w:rPr>
  </w:style>
  <w:style w:type="paragraph" w:customStyle="1" w:styleId="139">
    <w:name w:val="UserStyle_25"/>
    <w:basedOn w:val="1"/>
    <w:next w:val="111"/>
    <w:qFormat/>
    <w:uiPriority w:val="0"/>
    <w:pPr>
      <w:widowControl/>
    </w:pPr>
    <w:rPr>
      <w:rFonts w:ascii="宋体" w:hAnsi="宋体"/>
      <w:bCs/>
    </w:rPr>
  </w:style>
  <w:style w:type="paragraph" w:customStyle="1" w:styleId="140">
    <w:name w:val="UserStyle_26"/>
    <w:basedOn w:val="1"/>
    <w:qFormat/>
    <w:uiPriority w:val="0"/>
    <w:pPr>
      <w:widowControl/>
      <w:tabs>
        <w:tab w:val="left" w:pos="510"/>
      </w:tabs>
      <w:spacing w:line="460" w:lineRule="exact"/>
      <w:ind w:firstLine="482"/>
    </w:pPr>
    <w:rPr>
      <w:kern w:val="0"/>
      <w:szCs w:val="20"/>
    </w:rPr>
  </w:style>
  <w:style w:type="paragraph" w:customStyle="1" w:styleId="141">
    <w:name w:val="UserStyle_27"/>
    <w:basedOn w:val="1"/>
    <w:qFormat/>
    <w:uiPriority w:val="0"/>
    <w:pPr>
      <w:widowControl/>
      <w:spacing w:line="360" w:lineRule="atLeast"/>
      <w:jc w:val="left"/>
    </w:pPr>
    <w:rPr>
      <w:kern w:val="0"/>
    </w:rPr>
  </w:style>
  <w:style w:type="paragraph" w:customStyle="1" w:styleId="142">
    <w:name w:val="UserStyle_28"/>
    <w:basedOn w:val="1"/>
    <w:qFormat/>
    <w:uiPriority w:val="0"/>
    <w:pPr>
      <w:widowControl/>
      <w:spacing w:line="360" w:lineRule="atLeast"/>
      <w:jc w:val="left"/>
    </w:pPr>
    <w:rPr>
      <w:kern w:val="0"/>
    </w:rPr>
  </w:style>
  <w:style w:type="paragraph" w:customStyle="1" w:styleId="143">
    <w:name w:val="UserStyle_29"/>
    <w:basedOn w:val="1"/>
    <w:qFormat/>
    <w:uiPriority w:val="0"/>
    <w:pPr>
      <w:widowControl/>
    </w:pPr>
    <w:rPr>
      <w:sz w:val="21"/>
    </w:rPr>
  </w:style>
  <w:style w:type="paragraph" w:customStyle="1" w:styleId="144">
    <w:name w:val="UserStyle_30"/>
    <w:basedOn w:val="1"/>
    <w:qFormat/>
    <w:uiPriority w:val="0"/>
    <w:pPr>
      <w:widowControl/>
      <w:spacing w:line="420" w:lineRule="auto"/>
      <w:jc w:val="center"/>
    </w:pPr>
    <w:rPr>
      <w:rFonts w:ascii="宋体"/>
      <w:kern w:val="0"/>
      <w:szCs w:val="20"/>
    </w:rPr>
  </w:style>
  <w:style w:type="paragraph" w:customStyle="1" w:styleId="145">
    <w:name w:val="UserStyle_31"/>
    <w:basedOn w:val="1"/>
    <w:qFormat/>
    <w:uiPriority w:val="0"/>
    <w:pPr>
      <w:widowControl/>
      <w:spacing w:line="360" w:lineRule="auto"/>
      <w:ind w:firstLine="200" w:firstLineChars="200"/>
    </w:pPr>
    <w:rPr>
      <w:rFonts w:ascii="宋体" w:hAnsi="宋体"/>
    </w:rPr>
  </w:style>
  <w:style w:type="paragraph" w:customStyle="1" w:styleId="146">
    <w:name w:val="180"/>
    <w:basedOn w:val="1"/>
    <w:next w:val="1"/>
    <w:qFormat/>
    <w:uiPriority w:val="0"/>
    <w:pPr>
      <w:widowControl/>
      <w:spacing w:line="320" w:lineRule="exact"/>
      <w:jc w:val="center"/>
    </w:pPr>
    <w:rPr>
      <w:rFonts w:ascii="黑体" w:hAnsi="Calibri" w:eastAsia="黑体"/>
      <w:iCs/>
      <w:color w:val="000000"/>
      <w:sz w:val="21"/>
    </w:rPr>
  </w:style>
  <w:style w:type="paragraph" w:customStyle="1" w:styleId="147">
    <w:name w:val="181"/>
    <w:basedOn w:val="1"/>
    <w:next w:val="1"/>
    <w:qFormat/>
    <w:uiPriority w:val="0"/>
    <w:pPr>
      <w:widowControl/>
    </w:pPr>
    <w:rPr>
      <w:rFonts w:ascii="宋体" w:hAnsi="Calibri"/>
      <w:bCs/>
      <w:iCs/>
      <w:sz w:val="18"/>
    </w:rPr>
  </w:style>
  <w:style w:type="paragraph" w:customStyle="1" w:styleId="148">
    <w:name w:val="UserStyle_32"/>
    <w:qFormat/>
    <w:uiPriority w:val="0"/>
    <w:rPr>
      <w:rFonts w:ascii="Times New Roman" w:hAnsi="Times New Roman" w:eastAsia="宋体" w:cs="Times New Roman"/>
      <w:lang w:val="en-US" w:eastAsia="zh-CN" w:bidi="ar-SA"/>
    </w:rPr>
  </w:style>
  <w:style w:type="character" w:customStyle="1" w:styleId="149">
    <w:name w:val="PageNumber"/>
    <w:basedOn w:val="87"/>
    <w:qFormat/>
    <w:uiPriority w:val="0"/>
  </w:style>
  <w:style w:type="character" w:customStyle="1" w:styleId="150">
    <w:name w:val="AnnotationReference"/>
    <w:semiHidden/>
    <w:qFormat/>
    <w:uiPriority w:val="0"/>
    <w:rPr>
      <w:sz w:val="21"/>
      <w:szCs w:val="21"/>
    </w:rPr>
  </w:style>
  <w:style w:type="character" w:customStyle="1" w:styleId="151">
    <w:name w:val="UserStyle_2"/>
    <w:qFormat/>
    <w:uiPriority w:val="0"/>
    <w:rPr>
      <w:rFonts w:hint="eastAsia" w:ascii="宋体" w:hAnsi="宋体" w:eastAsia="宋体"/>
      <w:color w:val="000000"/>
      <w:sz w:val="24"/>
      <w:szCs w:val="24"/>
      <w:vertAlign w:val="superscript"/>
    </w:rPr>
  </w:style>
  <w:style w:type="character" w:customStyle="1" w:styleId="152">
    <w:name w:val="UserStyle_3"/>
    <w:qFormat/>
    <w:uiPriority w:val="0"/>
    <w:rPr>
      <w:rFonts w:hint="eastAsia" w:ascii="宋体" w:hAnsi="宋体" w:eastAsia="宋体"/>
      <w:color w:val="000000"/>
      <w:sz w:val="20"/>
      <w:szCs w:val="20"/>
    </w:rPr>
  </w:style>
  <w:style w:type="character" w:customStyle="1" w:styleId="153">
    <w:name w:val="UserStyle_4"/>
    <w:qFormat/>
    <w:uiPriority w:val="0"/>
    <w:rPr>
      <w:rFonts w:hint="eastAsia" w:ascii="Dotum" w:hAnsi="Dotum" w:eastAsia="Dotum"/>
      <w:color w:val="000000"/>
      <w:sz w:val="20"/>
      <w:szCs w:val="20"/>
    </w:rPr>
  </w:style>
  <w:style w:type="character" w:customStyle="1" w:styleId="154">
    <w:name w:val="font81"/>
    <w:qFormat/>
    <w:uiPriority w:val="0"/>
    <w:rPr>
      <w:rFonts w:hint="eastAsia" w:ascii="宋体" w:hAnsi="宋体" w:eastAsia="宋体" w:cs="宋体"/>
      <w:color w:val="000000"/>
      <w:sz w:val="18"/>
      <w:szCs w:val="18"/>
      <w:u w:val="none"/>
    </w:rPr>
  </w:style>
  <w:style w:type="character" w:customStyle="1" w:styleId="155">
    <w:name w:val="font111"/>
    <w:qFormat/>
    <w:uiPriority w:val="0"/>
    <w:rPr>
      <w:rFonts w:hint="eastAsia" w:ascii="宋体" w:hAnsi="宋体" w:eastAsia="宋体" w:cs="宋体"/>
      <w:color w:val="FF0000"/>
      <w:sz w:val="18"/>
      <w:szCs w:val="18"/>
      <w:u w:val="none"/>
    </w:rPr>
  </w:style>
  <w:style w:type="character" w:customStyle="1" w:styleId="156">
    <w:name w:val="font21"/>
    <w:qFormat/>
    <w:uiPriority w:val="0"/>
    <w:rPr>
      <w:rFonts w:hint="eastAsia" w:ascii="宋体" w:hAnsi="宋体" w:eastAsia="宋体" w:cs="宋体"/>
      <w:color w:val="000000"/>
      <w:sz w:val="24"/>
      <w:szCs w:val="24"/>
      <w:u w:val="none"/>
    </w:rPr>
  </w:style>
  <w:style w:type="character" w:customStyle="1" w:styleId="157">
    <w:name w:val="font31"/>
    <w:qFormat/>
    <w:uiPriority w:val="0"/>
    <w:rPr>
      <w:rFonts w:hint="eastAsia" w:ascii="宋体" w:hAnsi="宋体" w:eastAsia="宋体" w:cs="宋体"/>
      <w:color w:val="000000"/>
      <w:sz w:val="24"/>
      <w:szCs w:val="24"/>
      <w:u w:val="none"/>
    </w:rPr>
  </w:style>
  <w:style w:type="table" w:customStyle="1" w:styleId="158">
    <w:name w:val="TableNormal"/>
    <w:semiHidden/>
    <w:qFormat/>
    <w:uiPriority w:val="0"/>
    <w:tblPr>
      <w:tblCellMar>
        <w:top w:w="0" w:type="dxa"/>
        <w:left w:w="0" w:type="dxa"/>
        <w:bottom w:w="0" w:type="dxa"/>
        <w:right w:w="0" w:type="dxa"/>
      </w:tblCellMar>
    </w:tblPr>
  </w:style>
  <w:style w:type="paragraph" w:customStyle="1" w:styleId="159">
    <w:name w:val="Normal_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19</Pages>
  <Words>11407</Words>
  <Characters>12425</Characters>
  <Lines>233</Lines>
  <Paragraphs>65</Paragraphs>
  <TotalTime>0</TotalTime>
  <ScaleCrop>false</ScaleCrop>
  <LinksUpToDate>false</LinksUpToDate>
  <CharactersWithSpaces>12742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2023-07-17T04:54:00Z</dcterms:created>
  <dc:creator>李鸿</dc:creator>
  <cp:lastModifiedBy>李鹏程</cp:lastModifiedBy>
  <dcterms:modified xsi:type="dcterms:W3CDTF">2026-04-08T07:21:46Z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9F03854EC4FC4D0F9B6FFEBAECD63E0A_12</vt:lpwstr>
  </property>
  <property fmtid="{D5CDD505-2E9C-101B-9397-08002B2CF9AE}" pid="4" name="KSOTemplateDocerSaveRecord">
    <vt:lpwstr>eyJoZGlkIjoiZGE2Mjg2YTZkZTMyMTYwY2M1OTQ5YzJlN2MyYmRjOGEiLCJ1c2VySWQiOiIxNTY5NDgyOTM2In0=</vt:lpwstr>
  </property>
</Properties>
</file>