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BDE45B">
      <w:pPr>
        <w:tabs>
          <w:tab w:val="right" w:pos="8306"/>
        </w:tabs>
        <w:rPr>
          <w:rFonts w:ascii="宋体" w:cs="宋体"/>
          <w:color w:val="auto"/>
          <w:szCs w:val="30"/>
          <w:highlight w:val="none"/>
        </w:rPr>
      </w:pPr>
      <w:bookmarkStart w:id="18" w:name="_GoBack"/>
    </w:p>
    <w:p w14:paraId="053BCD16">
      <w:pPr>
        <w:tabs>
          <w:tab w:val="right" w:pos="8306"/>
        </w:tabs>
        <w:rPr>
          <w:rFonts w:hint="eastAsia" w:ascii="宋体" w:eastAsia="宋体" w:cs="宋体"/>
          <w:color w:val="auto"/>
          <w:szCs w:val="30"/>
          <w:highlight w:val="none"/>
          <w:lang w:eastAsia="zh-CN"/>
        </w:rPr>
      </w:pPr>
    </w:p>
    <w:p w14:paraId="420D65B5">
      <w:pPr>
        <w:tabs>
          <w:tab w:val="right" w:pos="8306"/>
        </w:tabs>
        <w:rPr>
          <w:rFonts w:ascii="宋体" w:cs="宋体"/>
          <w:color w:val="auto"/>
          <w:szCs w:val="30"/>
          <w:highlight w:val="none"/>
        </w:rPr>
      </w:pPr>
    </w:p>
    <w:p w14:paraId="4DB88715">
      <w:pPr>
        <w:tabs>
          <w:tab w:val="right" w:pos="8306"/>
        </w:tabs>
        <w:rPr>
          <w:rFonts w:ascii="宋体" w:cs="宋体"/>
          <w:color w:val="auto"/>
          <w:szCs w:val="30"/>
          <w:highlight w:val="none"/>
        </w:rPr>
      </w:pPr>
    </w:p>
    <w:p w14:paraId="06C91043">
      <w:pPr>
        <w:tabs>
          <w:tab w:val="right" w:pos="8306"/>
        </w:tabs>
        <w:rPr>
          <w:rFonts w:ascii="宋体" w:cs="宋体"/>
          <w:color w:val="auto"/>
          <w:szCs w:val="30"/>
          <w:highlight w:val="none"/>
        </w:rPr>
      </w:pPr>
    </w:p>
    <w:p w14:paraId="00EB6992">
      <w:pPr>
        <w:tabs>
          <w:tab w:val="right" w:pos="8306"/>
        </w:tabs>
        <w:rPr>
          <w:rFonts w:ascii="宋体" w:cs="宋体"/>
          <w:color w:val="auto"/>
          <w:szCs w:val="30"/>
          <w:highlight w:val="none"/>
        </w:rPr>
      </w:pPr>
      <w:r>
        <w:rPr>
          <w:color w:val="auto"/>
          <w:highlight w:val="none"/>
        </w:rPr>
        <w:drawing>
          <wp:anchor distT="0" distB="0" distL="114300" distR="114300" simplePos="0" relativeHeight="251659264" behindDoc="0" locked="0" layoutInCell="1" allowOverlap="1">
            <wp:simplePos x="0" y="0"/>
            <wp:positionH relativeFrom="column">
              <wp:posOffset>-32385</wp:posOffset>
            </wp:positionH>
            <wp:positionV relativeFrom="paragraph">
              <wp:posOffset>78105</wp:posOffset>
            </wp:positionV>
            <wp:extent cx="790575" cy="656590"/>
            <wp:effectExtent l="0" t="0" r="9525" b="10160"/>
            <wp:wrapNone/>
            <wp:docPr id="38"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888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790575" cy="656590"/>
                    </a:xfrm>
                    <a:prstGeom prst="rect">
                      <a:avLst/>
                    </a:prstGeom>
                    <a:noFill/>
                  </pic:spPr>
                </pic:pic>
              </a:graphicData>
            </a:graphic>
          </wp:anchor>
        </w:drawing>
      </w:r>
    </w:p>
    <w:p w14:paraId="2532FC31">
      <w:pPr>
        <w:tabs>
          <w:tab w:val="right" w:pos="8306"/>
        </w:tabs>
        <w:ind w:firstLine="1205" w:firstLineChars="400"/>
        <w:outlineLvl w:val="9"/>
        <w:rPr>
          <w:rFonts w:ascii="宋体" w:cs="宋体"/>
          <w:b/>
          <w:color w:val="auto"/>
          <w:sz w:val="30"/>
          <w:szCs w:val="30"/>
          <w:highlight w:val="none"/>
        </w:rPr>
      </w:pPr>
      <w:bookmarkStart w:id="0" w:name="_Toc32105"/>
      <w:bookmarkStart w:id="1" w:name="_Toc13990"/>
      <w:bookmarkStart w:id="2" w:name="_Toc3467"/>
      <w:bookmarkStart w:id="3" w:name="_Toc17570"/>
      <w:r>
        <w:rPr>
          <w:rFonts w:hint="eastAsia" w:ascii="黑体" w:hAnsi="黑体" w:eastAsia="黑体" w:cs="黑体"/>
          <w:b/>
          <w:color w:val="auto"/>
          <w:sz w:val="30"/>
          <w:szCs w:val="30"/>
          <w:highlight w:val="none"/>
        </w:rPr>
        <w:t>伊犁新天煤化工有限责任公司</w:t>
      </w:r>
      <w:bookmarkEnd w:id="0"/>
      <w:bookmarkEnd w:id="1"/>
      <w:bookmarkEnd w:id="2"/>
      <w:bookmarkEnd w:id="3"/>
    </w:p>
    <w:p w14:paraId="5764C69B">
      <w:pPr>
        <w:rPr>
          <w:rFonts w:ascii="宋体" w:cs="宋体"/>
          <w:bCs/>
          <w:color w:val="auto"/>
          <w:sz w:val="52"/>
          <w:szCs w:val="52"/>
          <w:highlight w:val="none"/>
        </w:rPr>
      </w:pPr>
    </w:p>
    <w:p w14:paraId="790E0E42">
      <w:pPr>
        <w:rPr>
          <w:rFonts w:ascii="华文楷体" w:hAnsi="华文楷体" w:eastAsia="华文楷体"/>
          <w:b/>
          <w:color w:val="auto"/>
          <w:sz w:val="28"/>
          <w:szCs w:val="28"/>
          <w:highlight w:val="none"/>
        </w:rPr>
      </w:pPr>
    </w:p>
    <w:p w14:paraId="54CC5395">
      <w:pPr>
        <w:pStyle w:val="2"/>
        <w:rPr>
          <w:rFonts w:ascii="华文楷体" w:hAnsi="华文楷体" w:eastAsia="华文楷体"/>
          <w:b/>
          <w:color w:val="auto"/>
          <w:sz w:val="28"/>
          <w:szCs w:val="28"/>
          <w:highlight w:val="none"/>
        </w:rPr>
      </w:pPr>
    </w:p>
    <w:p w14:paraId="4D37BAC4">
      <w:pPr>
        <w:rPr>
          <w:rFonts w:ascii="华文楷体" w:hAnsi="华文楷体" w:eastAsia="华文楷体"/>
          <w:b/>
          <w:color w:val="auto"/>
          <w:sz w:val="28"/>
          <w:szCs w:val="28"/>
          <w:highlight w:val="none"/>
        </w:rPr>
      </w:pPr>
    </w:p>
    <w:p w14:paraId="360500C9">
      <w:pPr>
        <w:ind w:right="-58"/>
        <w:jc w:val="center"/>
        <w:rPr>
          <w:rFonts w:hint="eastAsia" w:ascii="宋体" w:hAnsi="宋体" w:eastAsia="宋体" w:cs="宋体"/>
          <w:b/>
          <w:color w:val="auto"/>
          <w:sz w:val="44"/>
          <w:szCs w:val="44"/>
          <w:highlight w:val="none"/>
        </w:rPr>
      </w:pPr>
      <w:bookmarkStart w:id="4" w:name="_Toc21866"/>
      <w:r>
        <w:rPr>
          <w:rFonts w:hint="eastAsia" w:ascii="宋体" w:hAnsi="宋体" w:eastAsia="宋体" w:cs="宋体"/>
          <w:b/>
          <w:color w:val="auto"/>
          <w:sz w:val="44"/>
          <w:szCs w:val="44"/>
          <w:highlight w:val="none"/>
        </w:rPr>
        <w:t>脱盐水软化除硬防冻整改施工</w:t>
      </w:r>
    </w:p>
    <w:p w14:paraId="680F7C07">
      <w:pPr>
        <w:ind w:right="-58"/>
        <w:jc w:val="center"/>
        <w:rPr>
          <w:rFonts w:hint="eastAsia" w:ascii="宋体" w:hAnsi="宋体" w:eastAsia="宋体" w:cs="宋体"/>
          <w:b/>
          <w:color w:val="auto"/>
          <w:sz w:val="44"/>
          <w:szCs w:val="44"/>
          <w:highlight w:val="none"/>
        </w:rPr>
      </w:pPr>
      <w:r>
        <w:rPr>
          <w:rFonts w:hint="eastAsia" w:ascii="宋体" w:hAnsi="宋体" w:eastAsia="宋体" w:cs="宋体"/>
          <w:b/>
          <w:color w:val="auto"/>
          <w:sz w:val="44"/>
          <w:szCs w:val="44"/>
          <w:highlight w:val="none"/>
        </w:rPr>
        <w:t>技术规范书</w:t>
      </w:r>
      <w:bookmarkEnd w:id="4"/>
    </w:p>
    <w:p w14:paraId="2CC46563">
      <w:pPr>
        <w:jc w:val="center"/>
        <w:rPr>
          <w:color w:val="auto"/>
          <w:sz w:val="32"/>
          <w:szCs w:val="32"/>
          <w:highlight w:val="none"/>
        </w:rPr>
      </w:pPr>
    </w:p>
    <w:p w14:paraId="5E3C6B08">
      <w:pPr>
        <w:pStyle w:val="12"/>
        <w:rPr>
          <w:color w:val="auto"/>
          <w:highlight w:val="none"/>
        </w:rPr>
      </w:pPr>
    </w:p>
    <w:p w14:paraId="23E7F14D">
      <w:pPr>
        <w:pStyle w:val="12"/>
        <w:rPr>
          <w:color w:val="auto"/>
          <w:highlight w:val="none"/>
        </w:rPr>
      </w:pPr>
    </w:p>
    <w:p w14:paraId="2C88F796">
      <w:pPr>
        <w:pStyle w:val="12"/>
        <w:rPr>
          <w:color w:val="auto"/>
          <w:highlight w:val="none"/>
        </w:rPr>
      </w:pPr>
    </w:p>
    <w:p w14:paraId="6FC5B23D">
      <w:pPr>
        <w:pStyle w:val="12"/>
        <w:rPr>
          <w:color w:val="auto"/>
          <w:highlight w:val="none"/>
        </w:rPr>
      </w:pPr>
    </w:p>
    <w:p w14:paraId="007EFC72">
      <w:pPr>
        <w:pStyle w:val="12"/>
        <w:rPr>
          <w:color w:val="auto"/>
          <w:highlight w:val="none"/>
        </w:rPr>
      </w:pPr>
    </w:p>
    <w:p w14:paraId="41648C1B">
      <w:pPr>
        <w:ind w:firstLine="3213" w:firstLineChars="800"/>
        <w:jc w:val="left"/>
        <w:rPr>
          <w:rFonts w:asciiTheme="minorHAnsi" w:hAnsiTheme="minorHAnsi" w:cstheme="minorBidi"/>
          <w:b/>
          <w:color w:val="auto"/>
          <w:sz w:val="40"/>
          <w:szCs w:val="40"/>
          <w:highlight w:val="none"/>
        </w:rPr>
      </w:pPr>
    </w:p>
    <w:p w14:paraId="05E22CA5">
      <w:pPr>
        <w:ind w:firstLine="2530" w:firstLineChars="700"/>
        <w:jc w:val="left"/>
        <w:rPr>
          <w:rFonts w:asciiTheme="minorHAnsi" w:hAnsiTheme="minorHAnsi" w:cstheme="minorBidi"/>
          <w:b/>
          <w:color w:val="auto"/>
          <w:sz w:val="36"/>
          <w:szCs w:val="36"/>
          <w:highlight w:val="none"/>
        </w:rPr>
      </w:pPr>
      <w:r>
        <w:rPr>
          <w:rFonts w:hint="eastAsia" w:asciiTheme="minorHAnsi" w:hAnsiTheme="minorHAnsi" w:cstheme="minorBidi"/>
          <w:b/>
          <w:color w:val="auto"/>
          <w:sz w:val="36"/>
          <w:szCs w:val="36"/>
          <w:highlight w:val="none"/>
        </w:rPr>
        <w:t>编制：</w:t>
      </w:r>
    </w:p>
    <w:p w14:paraId="40EE9B72">
      <w:pPr>
        <w:pStyle w:val="2"/>
        <w:rPr>
          <w:color w:val="auto"/>
          <w:sz w:val="36"/>
          <w:szCs w:val="36"/>
          <w:highlight w:val="none"/>
        </w:rPr>
      </w:pPr>
    </w:p>
    <w:p w14:paraId="66C5B75B">
      <w:pPr>
        <w:ind w:firstLine="2530" w:firstLineChars="700"/>
        <w:jc w:val="left"/>
        <w:rPr>
          <w:rFonts w:asciiTheme="minorHAnsi" w:hAnsiTheme="minorHAnsi" w:cstheme="minorBidi"/>
          <w:b/>
          <w:color w:val="auto"/>
          <w:sz w:val="36"/>
          <w:szCs w:val="36"/>
          <w:highlight w:val="none"/>
        </w:rPr>
      </w:pPr>
      <w:r>
        <w:rPr>
          <w:rFonts w:hint="eastAsia" w:asciiTheme="minorHAnsi" w:hAnsiTheme="minorHAnsi" w:cstheme="minorBidi"/>
          <w:b/>
          <w:color w:val="auto"/>
          <w:sz w:val="36"/>
          <w:szCs w:val="36"/>
          <w:highlight w:val="none"/>
        </w:rPr>
        <w:t>审核：</w:t>
      </w:r>
    </w:p>
    <w:p w14:paraId="15C9A2FB">
      <w:pPr>
        <w:pStyle w:val="2"/>
        <w:rPr>
          <w:rFonts w:hint="eastAsia" w:eastAsia="宋体"/>
          <w:color w:val="auto"/>
          <w:sz w:val="36"/>
          <w:szCs w:val="36"/>
          <w:highlight w:val="none"/>
          <w:lang w:val="en-US" w:eastAsia="zh-CN"/>
        </w:rPr>
      </w:pPr>
      <w:r>
        <w:rPr>
          <w:rFonts w:hint="eastAsia"/>
          <w:color w:val="auto"/>
          <w:sz w:val="36"/>
          <w:szCs w:val="36"/>
          <w:highlight w:val="none"/>
          <w:lang w:val="en-US" w:eastAsia="zh-CN"/>
        </w:rPr>
        <w:t xml:space="preserve"> </w:t>
      </w:r>
    </w:p>
    <w:p w14:paraId="65E7C776">
      <w:pPr>
        <w:ind w:firstLine="2530" w:firstLineChars="700"/>
        <w:jc w:val="left"/>
        <w:rPr>
          <w:rFonts w:asciiTheme="minorHAnsi" w:hAnsiTheme="minorHAnsi" w:cstheme="minorBidi"/>
          <w:b/>
          <w:color w:val="auto"/>
          <w:sz w:val="36"/>
          <w:szCs w:val="36"/>
          <w:highlight w:val="none"/>
        </w:rPr>
      </w:pPr>
      <w:r>
        <w:rPr>
          <w:rFonts w:hint="eastAsia" w:asciiTheme="minorHAnsi" w:hAnsiTheme="minorHAnsi" w:cstheme="minorBidi"/>
          <w:b/>
          <w:color w:val="auto"/>
          <w:sz w:val="36"/>
          <w:szCs w:val="36"/>
          <w:highlight w:val="none"/>
        </w:rPr>
        <w:t>审定：</w:t>
      </w:r>
    </w:p>
    <w:p w14:paraId="2A607927">
      <w:pPr>
        <w:pStyle w:val="2"/>
        <w:rPr>
          <w:color w:val="auto"/>
          <w:sz w:val="36"/>
          <w:szCs w:val="36"/>
          <w:highlight w:val="none"/>
        </w:rPr>
      </w:pPr>
    </w:p>
    <w:p w14:paraId="7B055EE9">
      <w:pPr>
        <w:ind w:firstLine="2530" w:firstLineChars="700"/>
        <w:jc w:val="left"/>
        <w:rPr>
          <w:rFonts w:asciiTheme="minorHAnsi" w:hAnsiTheme="minorHAnsi" w:cstheme="minorBidi"/>
          <w:b/>
          <w:color w:val="auto"/>
          <w:sz w:val="44"/>
          <w:szCs w:val="44"/>
          <w:highlight w:val="none"/>
        </w:rPr>
      </w:pPr>
      <w:r>
        <w:rPr>
          <w:rFonts w:hint="eastAsia" w:asciiTheme="minorHAnsi" w:hAnsiTheme="minorHAnsi" w:cstheme="minorBidi"/>
          <w:b/>
          <w:color w:val="auto"/>
          <w:sz w:val="36"/>
          <w:szCs w:val="36"/>
          <w:highlight w:val="none"/>
        </w:rPr>
        <w:t>批准：</w:t>
      </w:r>
    </w:p>
    <w:p w14:paraId="2300304B">
      <w:pPr>
        <w:jc w:val="center"/>
        <w:rPr>
          <w:b/>
          <w:color w:val="auto"/>
          <w:sz w:val="32"/>
          <w:szCs w:val="32"/>
          <w:highlight w:val="none"/>
        </w:rPr>
      </w:pPr>
    </w:p>
    <w:p w14:paraId="42E05504">
      <w:pPr>
        <w:jc w:val="center"/>
        <w:rPr>
          <w:b/>
          <w:color w:val="auto"/>
          <w:sz w:val="28"/>
          <w:szCs w:val="28"/>
          <w:highlight w:val="none"/>
        </w:rPr>
      </w:pPr>
    </w:p>
    <w:p w14:paraId="6345F821">
      <w:pPr>
        <w:pStyle w:val="2"/>
        <w:rPr>
          <w:b/>
          <w:color w:val="auto"/>
          <w:sz w:val="28"/>
          <w:szCs w:val="28"/>
          <w:highlight w:val="none"/>
        </w:rPr>
      </w:pPr>
    </w:p>
    <w:p w14:paraId="600D3CE2">
      <w:pPr>
        <w:pStyle w:val="2"/>
        <w:rPr>
          <w:b/>
          <w:color w:val="auto"/>
          <w:sz w:val="28"/>
          <w:szCs w:val="28"/>
          <w:highlight w:val="none"/>
        </w:rPr>
      </w:pPr>
    </w:p>
    <w:p w14:paraId="4F31CB77">
      <w:pPr>
        <w:pStyle w:val="2"/>
        <w:rPr>
          <w:b/>
          <w:color w:val="auto"/>
          <w:sz w:val="28"/>
          <w:szCs w:val="28"/>
          <w:highlight w:val="none"/>
        </w:rPr>
      </w:pPr>
    </w:p>
    <w:p w14:paraId="74FCDDF2">
      <w:pPr>
        <w:pStyle w:val="2"/>
        <w:rPr>
          <w:rFonts w:hint="eastAsia" w:ascii="宋体" w:hAnsi="宋体" w:eastAsia="宋体" w:cs="宋体"/>
          <w:b/>
          <w:color w:val="auto"/>
          <w:sz w:val="32"/>
          <w:szCs w:val="32"/>
          <w:highlight w:val="none"/>
        </w:rPr>
      </w:pPr>
    </w:p>
    <w:p w14:paraId="709AA8D9">
      <w:pPr>
        <w:ind w:firstLine="2570" w:firstLineChars="800"/>
        <w:jc w:val="both"/>
        <w:rPr>
          <w:rFonts w:hint="eastAsia" w:ascii="宋体" w:hAnsi="宋体" w:eastAsia="宋体" w:cs="宋体"/>
          <w:b/>
          <w:bCs/>
          <w:color w:val="auto"/>
          <w:sz w:val="32"/>
          <w:szCs w:val="32"/>
          <w:highlight w:val="none"/>
        </w:rPr>
      </w:pPr>
      <w:r>
        <w:rPr>
          <w:rFonts w:hint="eastAsia" w:ascii="宋体" w:hAnsi="宋体" w:eastAsia="宋体" w:cs="宋体"/>
          <w:b/>
          <w:color w:val="auto"/>
          <w:sz w:val="32"/>
          <w:szCs w:val="32"/>
          <w:highlight w:val="none"/>
        </w:rPr>
        <w:t>伊犁新天煤化工有限责任公司</w:t>
      </w:r>
    </w:p>
    <w:p w14:paraId="51541DC3">
      <w:pPr>
        <w:spacing w:before="91" w:line="221" w:lineRule="auto"/>
        <w:ind w:firstLine="3534" w:firstLineChars="1100"/>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202</w:t>
      </w:r>
      <w:r>
        <w:rPr>
          <w:rFonts w:hint="eastAsia" w:ascii="宋体" w:hAnsi="宋体" w:eastAsia="宋体" w:cs="宋体"/>
          <w:b/>
          <w:bCs/>
          <w:color w:val="auto"/>
          <w:sz w:val="32"/>
          <w:szCs w:val="32"/>
          <w:highlight w:val="none"/>
          <w:lang w:val="en-US" w:eastAsia="zh-CN"/>
        </w:rPr>
        <w:t>6</w:t>
      </w:r>
      <w:r>
        <w:rPr>
          <w:rFonts w:hint="eastAsia" w:ascii="宋体" w:hAnsi="宋体" w:eastAsia="宋体" w:cs="宋体"/>
          <w:b/>
          <w:bCs/>
          <w:color w:val="auto"/>
          <w:sz w:val="32"/>
          <w:szCs w:val="32"/>
          <w:highlight w:val="none"/>
        </w:rPr>
        <w:t>年01月</w:t>
      </w:r>
    </w:p>
    <w:p w14:paraId="3752ACFF">
      <w:pPr>
        <w:jc w:val="center"/>
        <w:rPr>
          <w:rFonts w:ascii="宋体" w:hAnsi="宋体"/>
          <w:color w:val="auto"/>
          <w:highlight w:val="none"/>
        </w:rPr>
        <w:sectPr>
          <w:pgSz w:w="11906" w:h="16838"/>
          <w:pgMar w:top="1440" w:right="1418" w:bottom="1440" w:left="1560" w:header="851" w:footer="992" w:gutter="0"/>
          <w:cols w:space="720" w:num="1"/>
          <w:docGrid w:linePitch="312" w:charSpace="0"/>
        </w:sectPr>
      </w:pPr>
    </w:p>
    <w:p w14:paraId="4B4EC17A">
      <w:pPr>
        <w:pStyle w:val="3"/>
        <w:rPr>
          <w:rFonts w:asciiTheme="minorEastAsia" w:hAnsiTheme="minorEastAsia" w:eastAsiaTheme="minorEastAsia" w:cstheme="minorEastAsia"/>
          <w:color w:val="auto"/>
          <w:szCs w:val="24"/>
          <w:highlight w:val="none"/>
        </w:rPr>
      </w:pPr>
      <w:bookmarkStart w:id="5" w:name="_Toc29392067"/>
      <w:bookmarkStart w:id="6" w:name="_Toc29392144"/>
      <w:bookmarkStart w:id="7" w:name="_Toc8640"/>
      <w:bookmarkStart w:id="8" w:name="_Toc29392240"/>
      <w:bookmarkStart w:id="9" w:name="_Toc29805386"/>
      <w:r>
        <w:rPr>
          <w:rFonts w:hint="eastAsia" w:asciiTheme="minorEastAsia" w:hAnsiTheme="minorEastAsia" w:eastAsiaTheme="minorEastAsia" w:cstheme="minorEastAsia"/>
          <w:color w:val="auto"/>
          <w:szCs w:val="24"/>
          <w:highlight w:val="none"/>
          <w:lang w:val="en-US" w:eastAsia="zh-CN"/>
        </w:rPr>
        <w:t>一</w:t>
      </w:r>
      <w:r>
        <w:rPr>
          <w:rFonts w:hint="eastAsia" w:asciiTheme="minorEastAsia" w:hAnsiTheme="minorEastAsia" w:eastAsiaTheme="minorEastAsia" w:cstheme="minorEastAsia"/>
          <w:color w:val="auto"/>
          <w:szCs w:val="24"/>
          <w:highlight w:val="none"/>
        </w:rPr>
        <w:t>、工程概况</w:t>
      </w:r>
      <w:bookmarkEnd w:id="5"/>
      <w:bookmarkEnd w:id="6"/>
      <w:bookmarkEnd w:id="7"/>
      <w:bookmarkEnd w:id="8"/>
      <w:bookmarkEnd w:id="9"/>
    </w:p>
    <w:p w14:paraId="069C88B4">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2"/>
          <w:sz w:val="24"/>
          <w:szCs w:val="24"/>
          <w:highlight w:val="none"/>
          <w:lang w:val="en-US" w:eastAsia="zh-CN" w:bidi="ar-SA"/>
        </w:rPr>
      </w:pPr>
      <w:bookmarkStart w:id="10" w:name="_Toc448585162"/>
      <w:r>
        <w:rPr>
          <w:rFonts w:hint="eastAsia" w:asciiTheme="minorEastAsia" w:hAnsiTheme="minorEastAsia" w:eastAsiaTheme="minorEastAsia" w:cstheme="minorEastAsia"/>
          <w:color w:val="auto"/>
          <w:kern w:val="2"/>
          <w:sz w:val="24"/>
          <w:szCs w:val="24"/>
          <w:highlight w:val="none"/>
          <w:lang w:val="en-US" w:eastAsia="zh-CN" w:bidi="ar-SA"/>
        </w:rPr>
        <w:t>脱盐水装置软化除硬成套设备是为了对脱盐水装置反渗透浓水进行单独除硬，减少回用装置机械搅拌澄清池药剂投加量，节约运行成本，在脱盐水装置区内新增软化除硬设备2套（设计单套处理能力210m³/h）。软化除硬设备由专业厂家成套配置，包含界区内所有PLC系统、仪表、电控柜、操作箱、管道及管件阀门等。该设备采用磁混凝工艺去浊除硬，运行稳定，为后续系统稳定运行提供有利保障。</w:t>
      </w:r>
    </w:p>
    <w:p w14:paraId="69355D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Theme="minorEastAsia" w:hAnsiTheme="minorEastAsia" w:eastAsiaTheme="minorEastAsia" w:cstheme="minorEastAsia"/>
          <w:color w:val="auto"/>
          <w:kern w:val="2"/>
          <w:sz w:val="24"/>
          <w:szCs w:val="24"/>
          <w:highlight w:val="none"/>
          <w:lang w:val="en-US" w:eastAsia="zh-CN" w:bidi="ar-SA"/>
        </w:rPr>
      </w:pPr>
      <w:r>
        <w:rPr>
          <w:rFonts w:hint="default" w:asciiTheme="minorEastAsia" w:hAnsiTheme="minorEastAsia" w:eastAsiaTheme="minorEastAsia" w:cstheme="minorEastAsia"/>
          <w:color w:val="auto"/>
          <w:kern w:val="2"/>
          <w:sz w:val="24"/>
          <w:szCs w:val="24"/>
          <w:highlight w:val="none"/>
          <w:lang w:val="en-US" w:eastAsia="zh-CN" w:bidi="ar-SA"/>
        </w:rPr>
        <w:t>由于脱盐水装置软化除硬成套设备位于室外，冬季运行防冻防凝工作困难，致使冬季软化除硬成套设备无法运行</w:t>
      </w:r>
      <w:r>
        <w:rPr>
          <w:rFonts w:hint="eastAsia" w:asciiTheme="minorEastAsia" w:hAnsiTheme="minorEastAsia" w:eastAsiaTheme="minorEastAsia" w:cstheme="minorEastAsia"/>
          <w:color w:val="auto"/>
          <w:kern w:val="2"/>
          <w:sz w:val="24"/>
          <w:szCs w:val="24"/>
          <w:highlight w:val="none"/>
          <w:lang w:val="en-US" w:eastAsia="zh-CN" w:bidi="ar-SA"/>
        </w:rPr>
        <w:t>，</w:t>
      </w:r>
      <w:r>
        <w:rPr>
          <w:rFonts w:hint="default" w:asciiTheme="minorEastAsia" w:hAnsiTheme="minorEastAsia" w:eastAsiaTheme="minorEastAsia" w:cstheme="minorEastAsia"/>
          <w:color w:val="auto"/>
          <w:kern w:val="2"/>
          <w:sz w:val="24"/>
          <w:szCs w:val="24"/>
          <w:highlight w:val="none"/>
          <w:lang w:val="en-US" w:eastAsia="zh-CN" w:bidi="ar-SA"/>
        </w:rPr>
        <w:t>设备处于停运状态，</w:t>
      </w:r>
      <w:r>
        <w:rPr>
          <w:rFonts w:hint="eastAsia" w:asciiTheme="minorEastAsia" w:hAnsiTheme="minorEastAsia" w:eastAsiaTheme="minorEastAsia" w:cstheme="minorEastAsia"/>
          <w:color w:val="auto"/>
          <w:kern w:val="2"/>
          <w:sz w:val="24"/>
          <w:szCs w:val="24"/>
          <w:highlight w:val="none"/>
          <w:lang w:val="en-US" w:eastAsia="zh-CN" w:bidi="ar-SA"/>
        </w:rPr>
        <w:t>设计</w:t>
      </w:r>
      <w:r>
        <w:rPr>
          <w:rFonts w:hint="default" w:asciiTheme="minorEastAsia" w:hAnsiTheme="minorEastAsia" w:eastAsiaTheme="minorEastAsia" w:cstheme="minorEastAsia"/>
          <w:color w:val="auto"/>
          <w:kern w:val="2"/>
          <w:sz w:val="24"/>
          <w:szCs w:val="24"/>
          <w:highlight w:val="none"/>
          <w:lang w:val="en-US" w:eastAsia="zh-CN" w:bidi="ar-SA"/>
        </w:rPr>
        <w:t>年运行时间为8000小时</w:t>
      </w:r>
      <w:r>
        <w:rPr>
          <w:rFonts w:hint="eastAsia" w:asciiTheme="minorEastAsia" w:hAnsiTheme="minorEastAsia" w:eastAsiaTheme="minorEastAsia" w:cstheme="minorEastAsia"/>
          <w:color w:val="auto"/>
          <w:kern w:val="2"/>
          <w:sz w:val="24"/>
          <w:szCs w:val="24"/>
          <w:highlight w:val="none"/>
          <w:lang w:val="en-US" w:eastAsia="zh-CN" w:bidi="ar-SA"/>
        </w:rPr>
        <w:t>，</w:t>
      </w:r>
      <w:r>
        <w:rPr>
          <w:rFonts w:hint="default" w:asciiTheme="minorEastAsia" w:hAnsiTheme="minorEastAsia" w:eastAsiaTheme="minorEastAsia" w:cstheme="minorEastAsia"/>
          <w:color w:val="auto"/>
          <w:kern w:val="2"/>
          <w:sz w:val="24"/>
          <w:szCs w:val="24"/>
          <w:highlight w:val="none"/>
          <w:lang w:val="en-US" w:eastAsia="zh-CN" w:bidi="ar-SA"/>
        </w:rPr>
        <w:t>实际年运行时间不足</w:t>
      </w:r>
      <w:r>
        <w:rPr>
          <w:rFonts w:hint="eastAsia" w:asciiTheme="minorEastAsia" w:hAnsiTheme="minorEastAsia" w:eastAsiaTheme="minorEastAsia" w:cstheme="minorEastAsia"/>
          <w:color w:val="auto"/>
          <w:kern w:val="2"/>
          <w:sz w:val="24"/>
          <w:szCs w:val="24"/>
          <w:highlight w:val="none"/>
          <w:lang w:val="en-US" w:eastAsia="zh-CN" w:bidi="ar-SA"/>
        </w:rPr>
        <w:t>3</w:t>
      </w:r>
      <w:r>
        <w:rPr>
          <w:rFonts w:hint="default" w:asciiTheme="minorEastAsia" w:hAnsiTheme="minorEastAsia" w:eastAsiaTheme="minorEastAsia" w:cstheme="minorEastAsia"/>
          <w:color w:val="auto"/>
          <w:kern w:val="2"/>
          <w:sz w:val="24"/>
          <w:szCs w:val="24"/>
          <w:highlight w:val="none"/>
          <w:lang w:val="en-US" w:eastAsia="zh-CN" w:bidi="ar-SA"/>
        </w:rPr>
        <w:t>000小时。</w:t>
      </w:r>
    </w:p>
    <w:p w14:paraId="094DBCAC">
      <w:pPr>
        <w:pStyle w:val="3"/>
        <w:keepNext/>
        <w:keepLines/>
        <w:widowControl w:val="0"/>
        <w:numPr>
          <w:ilvl w:val="0"/>
          <w:numId w:val="0"/>
        </w:numPr>
        <w:spacing w:line="360" w:lineRule="auto"/>
        <w:jc w:val="both"/>
        <w:outlineLvl w:val="0"/>
        <w:rPr>
          <w:rFonts w:hint="eastAsia" w:eastAsia="宋体"/>
          <w:color w:val="auto"/>
          <w:highlight w:val="none"/>
          <w:lang w:val="en-US" w:eastAsia="zh-CN"/>
        </w:rPr>
      </w:pPr>
      <w:bookmarkStart w:id="11" w:name="_Toc7884"/>
      <w:r>
        <w:rPr>
          <w:rFonts w:hint="eastAsia"/>
          <w:color w:val="auto"/>
          <w:highlight w:val="none"/>
          <w:lang w:val="en-US" w:eastAsia="zh-CN"/>
        </w:rPr>
        <w:t>二、</w:t>
      </w:r>
      <w:r>
        <w:rPr>
          <w:rFonts w:hint="eastAsia" w:ascii="宋体" w:hAnsi="宋体"/>
          <w:bCs/>
          <w:color w:val="auto"/>
          <w:highlight w:val="none"/>
        </w:rPr>
        <w:t>施工</w:t>
      </w:r>
      <w:r>
        <w:rPr>
          <w:rFonts w:hint="eastAsia" w:ascii="宋体" w:hAnsi="宋体"/>
          <w:bCs/>
          <w:color w:val="auto"/>
          <w:highlight w:val="none"/>
          <w:lang w:val="en-US" w:eastAsia="zh-CN"/>
        </w:rPr>
        <w:t>工期</w:t>
      </w:r>
      <w:bookmarkEnd w:id="11"/>
    </w:p>
    <w:p w14:paraId="0F2CC365">
      <w:pPr>
        <w:ind w:firstLine="480" w:firstLineChars="200"/>
        <w:rPr>
          <w:color w:val="auto"/>
          <w:highlight w:val="none"/>
        </w:rPr>
      </w:pPr>
      <w:r>
        <w:rPr>
          <w:rFonts w:hint="eastAsia" w:asciiTheme="minorEastAsia" w:hAnsiTheme="minorEastAsia" w:eastAsiaTheme="minorEastAsia" w:cstheme="minorEastAsia"/>
          <w:color w:val="auto"/>
          <w:sz w:val="24"/>
          <w:highlight w:val="none"/>
        </w:rPr>
        <w:t>本项目施工计划工期为</w:t>
      </w:r>
      <w:r>
        <w:rPr>
          <w:rFonts w:hint="eastAsia" w:asciiTheme="minorEastAsia" w:hAnsiTheme="minorEastAsia" w:eastAsiaTheme="minorEastAsia" w:cstheme="minorEastAsia"/>
          <w:color w:val="auto"/>
          <w:sz w:val="24"/>
          <w:highlight w:val="none"/>
          <w:lang w:val="en-US" w:eastAsia="zh-CN"/>
        </w:rPr>
        <w:t>60</w:t>
      </w:r>
      <w:r>
        <w:rPr>
          <w:rFonts w:hint="eastAsia" w:asciiTheme="minorEastAsia" w:hAnsiTheme="minorEastAsia" w:eastAsiaTheme="minorEastAsia" w:cstheme="minorEastAsia"/>
          <w:color w:val="auto"/>
          <w:sz w:val="24"/>
          <w:highlight w:val="none"/>
        </w:rPr>
        <w:t>个工作日</w:t>
      </w:r>
      <w:r>
        <w:rPr>
          <w:rFonts w:hint="eastAsia" w:ascii="宋体" w:hAnsi="宋体" w:cs="仿宋"/>
          <w:b w:val="0"/>
          <w:bCs/>
          <w:color w:val="auto"/>
          <w:kern w:val="0"/>
          <w:sz w:val="24"/>
          <w:highlight w:val="none"/>
          <w:lang w:val="en-US" w:eastAsia="zh-CN"/>
        </w:rPr>
        <w:t>具体时间以招标方通知为准</w:t>
      </w:r>
      <w:r>
        <w:rPr>
          <w:rFonts w:hint="eastAsia" w:asciiTheme="minorEastAsia" w:hAnsiTheme="minorEastAsia" w:eastAsiaTheme="minorEastAsia" w:cstheme="minorEastAsia"/>
          <w:color w:val="auto"/>
          <w:sz w:val="24"/>
          <w:highlight w:val="none"/>
        </w:rPr>
        <w:t>。</w:t>
      </w:r>
    </w:p>
    <w:p w14:paraId="3CEBD8DE">
      <w:pPr>
        <w:rPr>
          <w:color w:val="auto"/>
          <w:highlight w:val="none"/>
        </w:rPr>
      </w:pPr>
    </w:p>
    <w:p w14:paraId="3BC656DF">
      <w:pPr>
        <w:pStyle w:val="3"/>
        <w:numPr>
          <w:ilvl w:val="0"/>
          <w:numId w:val="0"/>
        </w:numPr>
        <w:rPr>
          <w:color w:val="auto"/>
          <w:highlight w:val="none"/>
        </w:rPr>
      </w:pPr>
      <w:bookmarkStart w:id="12" w:name="_Toc17455"/>
      <w:r>
        <w:rPr>
          <w:rFonts w:hint="eastAsia"/>
          <w:color w:val="auto"/>
          <w:highlight w:val="none"/>
          <w:lang w:val="en-US" w:eastAsia="zh-CN"/>
        </w:rPr>
        <w:t>三、</w:t>
      </w:r>
      <w:r>
        <w:rPr>
          <w:rFonts w:hint="eastAsia"/>
          <w:color w:val="auto"/>
          <w:highlight w:val="none"/>
        </w:rPr>
        <w:t>技术要求</w:t>
      </w:r>
      <w:bookmarkEnd w:id="12"/>
    </w:p>
    <w:p w14:paraId="7ECBB1FC">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Theme="minorEastAsia" w:hAnsiTheme="minorEastAsia" w:eastAsiaTheme="minorEastAsia" w:cstheme="minorEastAsia"/>
          <w:b/>
          <w:bCs/>
          <w:color w:val="auto"/>
          <w:kern w:val="2"/>
          <w:sz w:val="24"/>
          <w:szCs w:val="24"/>
          <w:highlight w:val="none"/>
          <w:lang w:val="en-US" w:eastAsia="zh-CN" w:bidi="ar-SA"/>
        </w:rPr>
      </w:pPr>
      <w:bookmarkStart w:id="13" w:name="_Toc29156"/>
      <w:r>
        <w:rPr>
          <w:rFonts w:hint="eastAsia" w:asciiTheme="minorEastAsia" w:hAnsiTheme="minorEastAsia" w:eastAsiaTheme="minorEastAsia" w:cstheme="minorEastAsia"/>
          <w:b/>
          <w:bCs/>
          <w:color w:val="auto"/>
          <w:kern w:val="2"/>
          <w:sz w:val="24"/>
          <w:szCs w:val="24"/>
          <w:highlight w:val="none"/>
          <w:lang w:val="en-US" w:eastAsia="zh-CN" w:bidi="ar-SA"/>
        </w:rPr>
        <w:t>3.1一般说明</w:t>
      </w:r>
      <w:bookmarkEnd w:id="13"/>
    </w:p>
    <w:p w14:paraId="6A7300E8">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3.1.1 所有设备出厂应具有合格证等文件。</w:t>
      </w:r>
    </w:p>
    <w:p w14:paraId="0D0D5D95">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3.1.2所有转动设备的外露法兰面，在设备安装后管道安装前均应用橡胶盖封好，以防锈蚀及沙尘进入。</w:t>
      </w:r>
    </w:p>
    <w:p w14:paraId="72E631E4">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3.1.3所有设备在安装前应核对基础尺寸及管口方位等，检查无误后方可安装。</w:t>
      </w:r>
    </w:p>
    <w:p w14:paraId="71C8F31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3.1.4设备安装顺序应以不影响后续设备安装为原则。</w:t>
      </w:r>
    </w:p>
    <w:p w14:paraId="451C3084">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3.1.5定型设备安装还应按供货商所提供资料的要求进行安装。</w:t>
      </w:r>
    </w:p>
    <w:p w14:paraId="6A954984">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3.1.6所有用电设备均应做静电接地，接至电气接地网上。</w:t>
      </w:r>
    </w:p>
    <w:p w14:paraId="523DACC1">
      <w:pPr>
        <w:rPr>
          <w:rFonts w:hint="eastAsia" w:ascii="宋体" w:hAnsi="宋体" w:cs="宋体"/>
          <w:color w:val="auto"/>
          <w:sz w:val="24"/>
          <w:szCs w:val="24"/>
          <w:highlight w:val="none"/>
          <w:lang w:val="en-US" w:eastAsia="zh-CN"/>
        </w:rPr>
      </w:pPr>
      <w:r>
        <w:rPr>
          <w:rFonts w:hint="eastAsia" w:asciiTheme="minorEastAsia" w:hAnsiTheme="minorEastAsia" w:eastAsiaTheme="minorEastAsia" w:cstheme="minorEastAsia"/>
          <w:color w:val="auto"/>
          <w:kern w:val="2"/>
          <w:sz w:val="24"/>
          <w:szCs w:val="24"/>
          <w:highlight w:val="none"/>
          <w:lang w:val="en-US" w:eastAsia="zh-CN" w:bidi="ar-SA"/>
        </w:rPr>
        <w:t>3.1.7</w:t>
      </w:r>
      <w:r>
        <w:rPr>
          <w:rFonts w:hint="eastAsia" w:ascii="宋体" w:hAnsi="宋体" w:cs="宋体"/>
          <w:color w:val="auto"/>
          <w:kern w:val="0"/>
          <w:sz w:val="24"/>
          <w:highlight w:val="none"/>
          <w:lang w:val="en-US" w:eastAsia="zh-CN"/>
        </w:rPr>
        <w:t>对作业人员的要求</w:t>
      </w:r>
      <w:r>
        <w:rPr>
          <w:rFonts w:ascii="宋体" w:hAnsi="宋体" w:eastAsia="宋体" w:cs="宋体"/>
          <w:color w:val="auto"/>
          <w:sz w:val="24"/>
          <w:szCs w:val="24"/>
          <w:highlight w:val="none"/>
        </w:rPr>
        <w:t>参照人员配置表</w:t>
      </w:r>
      <w:r>
        <w:rPr>
          <w:rFonts w:hint="eastAsia" w:ascii="宋体" w:hAnsi="宋体" w:eastAsia="宋体" w:cs="宋体"/>
          <w:color w:val="auto"/>
          <w:sz w:val="24"/>
          <w:szCs w:val="24"/>
          <w:highlight w:val="none"/>
          <w:lang w:val="en-US" w:eastAsia="zh-CN"/>
        </w:rPr>
        <w:t>中</w:t>
      </w:r>
      <w:r>
        <w:rPr>
          <w:rFonts w:ascii="宋体" w:hAnsi="宋体" w:eastAsia="宋体" w:cs="宋体"/>
          <w:color w:val="auto"/>
          <w:sz w:val="24"/>
          <w:szCs w:val="24"/>
          <w:highlight w:val="none"/>
        </w:rPr>
        <w:t>主修</w:t>
      </w:r>
      <w:r>
        <w:rPr>
          <w:rFonts w:hint="eastAsia" w:ascii="宋体" w:hAnsi="宋体" w:eastAsia="宋体" w:cs="宋体"/>
          <w:color w:val="auto"/>
          <w:sz w:val="24"/>
          <w:szCs w:val="24"/>
          <w:highlight w:val="none"/>
          <w:lang w:val="en-US" w:eastAsia="zh-CN"/>
        </w:rPr>
        <w:t>人员要求</w:t>
      </w:r>
      <w:r>
        <w:rPr>
          <w:rFonts w:hint="eastAsia" w:ascii="宋体" w:hAnsi="宋体" w:cs="宋体"/>
          <w:color w:val="auto"/>
          <w:sz w:val="24"/>
          <w:szCs w:val="24"/>
          <w:highlight w:val="none"/>
          <w:lang w:val="en-US" w:eastAsia="zh-CN"/>
        </w:rPr>
        <w:t>，最低作业人数不低于6人（包含特种作业人员1名、起重工1名、起重指挥1名）。</w:t>
      </w:r>
    </w:p>
    <w:p w14:paraId="07D6A819">
      <w:pPr>
        <w:pStyle w:val="2"/>
        <w:rPr>
          <w:rFonts w:hint="default"/>
          <w:color w:val="auto"/>
          <w:highlight w:val="none"/>
          <w:lang w:val="en-US" w:eastAsia="zh-CN"/>
        </w:rPr>
      </w:pPr>
    </w:p>
    <w:p w14:paraId="5A775A42">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Theme="minorEastAsia" w:hAnsiTheme="minorEastAsia" w:eastAsiaTheme="minorEastAsia" w:cstheme="minorEastAsia"/>
          <w:b/>
          <w:bCs/>
          <w:color w:val="auto"/>
          <w:kern w:val="2"/>
          <w:sz w:val="24"/>
          <w:szCs w:val="24"/>
          <w:highlight w:val="none"/>
          <w:lang w:val="en-US" w:eastAsia="zh-CN" w:bidi="ar-SA"/>
        </w:rPr>
      </w:pPr>
      <w:bookmarkStart w:id="14" w:name="_Toc29914"/>
      <w:r>
        <w:rPr>
          <w:rFonts w:hint="eastAsia" w:asciiTheme="minorEastAsia" w:hAnsiTheme="minorEastAsia" w:eastAsiaTheme="minorEastAsia" w:cstheme="minorEastAsia"/>
          <w:b/>
          <w:bCs/>
          <w:color w:val="auto"/>
          <w:kern w:val="2"/>
          <w:sz w:val="24"/>
          <w:szCs w:val="24"/>
          <w:highlight w:val="none"/>
          <w:lang w:val="en-US" w:eastAsia="zh-CN" w:bidi="ar-SA"/>
        </w:rPr>
        <w:t>3.2管材与接口</w:t>
      </w:r>
      <w:bookmarkEnd w:id="14"/>
    </w:p>
    <w:p w14:paraId="7E688EF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3.2.1本项目所有理地及明露安装的管道（FRD）均采用输送流体用无缝钢管（GB/T8163)，连接管件采用成品无缝管件（SH/T3408),焊接连接。与阀门之间采用法兰连接。规格采用公称直径“DN”表示。</w:t>
      </w:r>
    </w:p>
    <w:p w14:paraId="3E848846">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3.2.2明露管道（FRD）需涂色，以《石油化工设备管遵钢结构表面色和标志规定》 SH/T 3043-2014或业主企业标准为准。</w:t>
      </w:r>
    </w:p>
    <w:p w14:paraId="0A9CF07F">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3.3管道试验</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Theme="minorEastAsia" w:hAnsiTheme="minorEastAsia" w:eastAsiaTheme="minorEastAsia" w:cstheme="minorEastAsia"/>
          <w:color w:val="auto"/>
          <w:kern w:val="2"/>
          <w:sz w:val="24"/>
          <w:szCs w:val="24"/>
          <w:highlight w:val="none"/>
          <w:lang w:val="en-US" w:eastAsia="zh-CN" w:bidi="ar-SA"/>
        </w:rPr>
        <w:t>3.3.1、有压管道强度和严密性试验</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Theme="minorEastAsia" w:hAnsiTheme="minorEastAsia" w:eastAsiaTheme="minorEastAsia" w:cstheme="minorEastAsia"/>
          <w:color w:val="auto"/>
          <w:kern w:val="2"/>
          <w:sz w:val="24"/>
          <w:szCs w:val="24"/>
          <w:highlight w:val="none"/>
          <w:lang w:val="en-US" w:eastAsia="zh-CN" w:bidi="ar-SA"/>
        </w:rPr>
        <w:t>(1)、水泵出口的有压管道在管道施工完成并检查合格，达到试验条件后，进行强度和严密性试验，试验前，钢管焊口不得进行防腐处理。</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宋体" w:hAnsi="宋体" w:eastAsia="宋体" w:cs="仿宋"/>
          <w:color w:val="auto"/>
          <w:kern w:val="0"/>
          <w:sz w:val="24"/>
          <w:szCs w:val="24"/>
          <w:highlight w:val="none"/>
          <w:lang w:val="en-US" w:eastAsia="zh-CN" w:bidi="ar-SA"/>
        </w:rPr>
        <w:t>(2)、管道强度和严密性试验应采用无油洁净水为试验介质，极度严寒或缺水时，采用其他介质进行强度和严密性试验应征求业主和设计同意，并符合相关试验要求。</w:t>
      </w:r>
      <w:r>
        <w:rPr>
          <w:rFonts w:hint="eastAsia" w:ascii="宋体" w:hAnsi="宋体" w:eastAsia="宋体" w:cs="仿宋"/>
          <w:color w:val="auto"/>
          <w:kern w:val="0"/>
          <w:sz w:val="24"/>
          <w:szCs w:val="24"/>
          <w:highlight w:val="none"/>
          <w:lang w:val="en-US" w:eastAsia="zh-CN" w:bidi="ar-SA"/>
        </w:rPr>
        <w:br w:type="textWrapping"/>
      </w:r>
      <w:r>
        <w:rPr>
          <w:rFonts w:hint="eastAsia" w:ascii="宋体" w:hAnsi="宋体" w:eastAsia="宋体" w:cs="仿宋"/>
          <w:color w:val="auto"/>
          <w:kern w:val="0"/>
          <w:sz w:val="24"/>
          <w:szCs w:val="24"/>
          <w:highlight w:val="none"/>
          <w:lang w:val="en-US" w:eastAsia="zh-CN" w:bidi="ar-SA"/>
        </w:rPr>
        <w:t>(3)、水泵出口的有压管道工作压力0.30MPa，管道强度试验压力为0.60MPa．水压强度试验的测试点应设在系统管网的最高位置，对管网注水时，应将管网内的空气排净，并应缓慢升压，达到试验压力后，稳压10min再将试验压力降至设计压力，停压30min，目测管网应无泄漏和无变形，以压力不降、无渗漏为合格。</w:t>
      </w:r>
    </w:p>
    <w:p w14:paraId="3906CC58">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(4)、管道强度试验合格后，方可进行严密性试验。</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Theme="minorEastAsia" w:hAnsiTheme="minorEastAsia" w:eastAsiaTheme="minorEastAsia" w:cstheme="minorEastAsia"/>
          <w:color w:val="auto"/>
          <w:kern w:val="2"/>
          <w:sz w:val="24"/>
          <w:szCs w:val="24"/>
          <w:highlight w:val="none"/>
          <w:lang w:val="en-US" w:eastAsia="zh-CN" w:bidi="ar-SA"/>
        </w:rPr>
        <w:t>(5)、管道强度和严密性试验合格后，应及时放空，并在焊口防腐合格后及时回填。</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Theme="minorEastAsia" w:hAnsiTheme="minorEastAsia" w:eastAsiaTheme="minorEastAsia" w:cstheme="minorEastAsia"/>
          <w:color w:val="auto"/>
          <w:kern w:val="2"/>
          <w:sz w:val="24"/>
          <w:szCs w:val="24"/>
          <w:highlight w:val="none"/>
          <w:lang w:val="en-US" w:eastAsia="zh-CN" w:bidi="ar-SA"/>
        </w:rPr>
        <w:t>3.3.2、无压管道严密性试验</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Theme="minorEastAsia" w:hAnsiTheme="minorEastAsia" w:eastAsiaTheme="minorEastAsia" w:cstheme="minorEastAsia"/>
          <w:color w:val="auto"/>
          <w:kern w:val="2"/>
          <w:sz w:val="24"/>
          <w:szCs w:val="24"/>
          <w:highlight w:val="none"/>
          <w:lang w:val="en-US" w:eastAsia="zh-CN" w:bidi="ar-SA"/>
        </w:rPr>
        <w:t>(1)、无压管道在管道施工完成并检查合格，达到试验条件后，进行严密性试验，试验采用闭水法。</w:t>
      </w:r>
    </w:p>
    <w:p w14:paraId="416B843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3.3.3、管道冲洗</w:t>
      </w:r>
      <w:r>
        <w:rPr>
          <w:rFonts w:hint="eastAsia" w:asciiTheme="minorEastAsia" w:hAnsiTheme="minorEastAsia" w:eastAsiaTheme="minorEastAsia" w:cstheme="minorEastAsia"/>
          <w:color w:val="auto"/>
          <w:kern w:val="2"/>
          <w:sz w:val="24"/>
          <w:szCs w:val="24"/>
          <w:highlight w:val="none"/>
          <w:lang w:val="en-US" w:eastAsia="zh-CN" w:bidi="ar-SA"/>
        </w:rPr>
        <w:br w:type="textWrapping"/>
      </w:r>
      <w:r>
        <w:rPr>
          <w:rFonts w:hint="eastAsia" w:asciiTheme="minorEastAsia" w:hAnsiTheme="minorEastAsia" w:eastAsiaTheme="minorEastAsia" w:cstheme="minorEastAsia"/>
          <w:color w:val="auto"/>
          <w:kern w:val="2"/>
          <w:sz w:val="24"/>
          <w:szCs w:val="24"/>
          <w:highlight w:val="none"/>
          <w:lang w:val="en-US" w:eastAsia="zh-CN" w:bidi="ar-SA"/>
        </w:rPr>
        <w:t>给水管道在管道水压试验合格后，投用前，应进行营道系统冲洗。管道系统冲洗应连续进行，合理设置冲洗排放口，避免死角。</w:t>
      </w:r>
    </w:p>
    <w:p w14:paraId="04CB6067">
      <w:pPr>
        <w:pStyle w:val="2"/>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Theme="minorEastAsia" w:hAnsiTheme="minorEastAsia" w:eastAsiaTheme="minorEastAsia" w:cstheme="minorEastAsia"/>
          <w:b/>
          <w:bCs/>
          <w:color w:val="auto"/>
          <w:kern w:val="2"/>
          <w:sz w:val="24"/>
          <w:szCs w:val="24"/>
          <w:highlight w:val="none"/>
          <w:lang w:val="en-US" w:eastAsia="zh-CN" w:bidi="ar-SA"/>
        </w:rPr>
      </w:pPr>
      <w:bookmarkStart w:id="15" w:name="_Toc22180"/>
      <w:r>
        <w:rPr>
          <w:rFonts w:hint="eastAsia" w:asciiTheme="minorEastAsia" w:hAnsiTheme="minorEastAsia" w:eastAsiaTheme="minorEastAsia" w:cstheme="minorEastAsia"/>
          <w:b/>
          <w:bCs/>
          <w:color w:val="auto"/>
          <w:kern w:val="2"/>
          <w:sz w:val="24"/>
          <w:szCs w:val="24"/>
          <w:highlight w:val="none"/>
          <w:lang w:val="en-US" w:eastAsia="zh-CN" w:bidi="ar-SA"/>
        </w:rPr>
        <w:t>3.4机务质量要求</w:t>
      </w:r>
      <w:bookmarkEnd w:id="15"/>
    </w:p>
    <w:p w14:paraId="75F4956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3.4.1在工程开工前，投标方根据工程质量预控和施工验、评标准要求，编制所承担项目的质量检验计划，明确质量标准和验评范围；报主管单位审核。</w:t>
      </w:r>
    </w:p>
    <w:p w14:paraId="62C1824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3.4.2投标方在施工过程中应主动控制影响质量的五大因素，即施工操作者、施工材料、施工机械设备、施工方法和施工环境，确保每道工序质量正常稳定，防患于未然。</w:t>
      </w:r>
    </w:p>
    <w:p w14:paraId="06EFEE0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3.4.3投标方应做好多工种施工交接质量把关工作，未经有关单位的检验或检验不合格的工序，不能进行下一工序的施工，上道工序验收资料未形成，不得进行下道工序施工，成品保护未做好，不得进行下道工序施工。投标方按其质量检验计划检验各道工序符合“标准”的程度，并及时完成质量控制点的见证和签证。对各工序质量检验实施“三级检查制度”即：班组自检、技术员复检、项目质量部验收。项目部职能组“三级检验”合格后，并按施工质量检验评定项目划分范围以及实体质量进行以主管部门为主的四级验收签证。主管部门验收合格并签证后，投标方才能进行下一道工序的施工。</w:t>
      </w:r>
    </w:p>
    <w:p w14:paraId="19B1E795">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3.4.4本工程进行施工质量等级的评定按检验批、分项、分部、单位工程为顺序进行，质量等级按《化工施工质量检验及评定标准》的规定进行评定。</w:t>
      </w:r>
    </w:p>
    <w:p w14:paraId="111AE4E3">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3.4.5凡检验后被评为不合格的工程施工项目，不予签证、不算完工，必须进行返工或修补等处理。凡经修补后符合标准的项目，可评为合格，但不能评为优良。</w:t>
      </w:r>
    </w:p>
    <w:p w14:paraId="4CC4FC16">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3.4.6工程设计或设备制造存在的质量问题，应由设计或设备制造单位负责。当投标方接受委托负责处理，但确实无能为力消除，致使施工质量无法达到本标准时，主管部门、车间和投标方等有关方面共同书面确认并签字后，该检验指标或工程项目可不参加评定质量等级。</w:t>
      </w:r>
    </w:p>
    <w:p w14:paraId="521F484F">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3.4.7投标方对已完工程的成品保护要制订管理办法和措施，防止对已完工程的破坏和表面的污染。对在已完工程上造成损坏和有意破坏的，除进行必要的返工外，应给个人和投标方处以相应的经济处罚。</w:t>
      </w:r>
    </w:p>
    <w:p w14:paraId="072FBD55">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3.4.8投标方必须配备足够的符合要求的检验和试验人员，组建检验和试验系统，建立符合要求的试验室，并配置相应的检测、试验设备，人员必须持证上岗。</w:t>
      </w:r>
    </w:p>
    <w:p w14:paraId="683FACA4">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3.4.9对现场所发生的与设计、施工有关的质量问题，项目部、业主专业工程师、施工班组应一起分析原因，追查责任，并按规定进行质量事故的处理，质量事故的处理必须坚持“四不放过”原则。采取必要措施，以确保质量事故的处理不影响最终的工程质量。</w:t>
      </w:r>
    </w:p>
    <w:p w14:paraId="32B2FDB5">
      <w:pPr>
        <w:tabs>
          <w:tab w:val="left" w:pos="1002"/>
        </w:tabs>
        <w:spacing w:line="360" w:lineRule="auto"/>
        <w:jc w:val="left"/>
        <w:outlineLvl w:val="9"/>
        <w:rPr>
          <w:rFonts w:ascii="宋体" w:hAnsi="宋体"/>
          <w:color w:val="auto"/>
          <w:highlight w:val="none"/>
        </w:rPr>
      </w:pPr>
      <w:r>
        <w:rPr>
          <w:rFonts w:hint="eastAsia" w:asciiTheme="minorEastAsia" w:hAnsiTheme="minorEastAsia" w:eastAsiaTheme="minorEastAsia" w:cstheme="minorEastAsia"/>
          <w:color w:val="auto"/>
          <w:kern w:val="2"/>
          <w:sz w:val="24"/>
          <w:szCs w:val="24"/>
          <w:highlight w:val="none"/>
          <w:lang w:val="en-US" w:eastAsia="zh-CN" w:bidi="ar-SA"/>
        </w:rPr>
        <w:t>3.4.10投标方对所承担的工程，不论是否经过业主专业工程师和设备管理部的质量验收，均不免除其所承担的质量事故责任。不能以已经验收签证为理由，提出增加费用或推迟总进度的要求。在任何情况下，都不能使最终的工程质量受到影响，造成隐患，否则招标方有权要求投标方返修，所发生的费用由投标方自行负责。</w:t>
      </w:r>
      <w:bookmarkEnd w:id="10"/>
    </w:p>
    <w:p w14:paraId="40B4B2E3">
      <w:pPr>
        <w:tabs>
          <w:tab w:val="left" w:pos="1071"/>
        </w:tabs>
        <w:outlineLvl w:val="0"/>
        <w:rPr>
          <w:rFonts w:hint="eastAsia" w:ascii="宋体" w:hAnsi="宋体" w:cs="仿宋"/>
          <w:b/>
          <w:bCs/>
          <w:color w:val="auto"/>
          <w:kern w:val="0"/>
          <w:sz w:val="24"/>
          <w:highlight w:val="none"/>
        </w:rPr>
      </w:pPr>
      <w:bookmarkStart w:id="16" w:name="_Toc1141"/>
      <w:r>
        <w:rPr>
          <w:rFonts w:hint="eastAsia"/>
          <w:b/>
          <w:bCs/>
          <w:color w:val="auto"/>
          <w:sz w:val="28"/>
          <w:szCs w:val="28"/>
          <w:highlight w:val="none"/>
          <w:lang w:val="en-US" w:eastAsia="zh-CN"/>
        </w:rPr>
        <w:t>附件一：</w:t>
      </w:r>
      <w:r>
        <w:rPr>
          <w:rFonts w:hint="eastAsia" w:ascii="宋体" w:hAnsi="宋体" w:cs="仿宋"/>
          <w:b/>
          <w:bCs/>
          <w:color w:val="auto"/>
          <w:kern w:val="0"/>
          <w:sz w:val="28"/>
          <w:szCs w:val="28"/>
          <w:highlight w:val="none"/>
        </w:rPr>
        <w:t>工程量清单</w:t>
      </w:r>
      <w:bookmarkEnd w:id="16"/>
    </w:p>
    <w:tbl>
      <w:tblPr>
        <w:tblStyle w:val="13"/>
        <w:tblW w:w="4821"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4"/>
        <w:gridCol w:w="1263"/>
        <w:gridCol w:w="5454"/>
        <w:gridCol w:w="806"/>
        <w:gridCol w:w="690"/>
      </w:tblGrid>
      <w:tr w14:paraId="2DF43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bottom"/>
          </w:tcPr>
          <w:p w14:paraId="4E237CA9">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序号</w:t>
            </w:r>
          </w:p>
        </w:tc>
        <w:tc>
          <w:tcPr>
            <w:tcW w:w="71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F3898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检修项目</w:t>
            </w:r>
          </w:p>
        </w:tc>
        <w:tc>
          <w:tcPr>
            <w:tcW w:w="309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726C24">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检修内容</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bottom"/>
          </w:tcPr>
          <w:p w14:paraId="3888524F">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计量单位</w:t>
            </w:r>
          </w:p>
        </w:tc>
        <w:tc>
          <w:tcPr>
            <w:tcW w:w="391" w:type="pct"/>
            <w:tcBorders>
              <w:top w:val="single" w:color="000000" w:sz="4" w:space="0"/>
              <w:left w:val="single" w:color="000000" w:sz="4" w:space="0"/>
              <w:bottom w:val="single" w:color="000000" w:sz="4" w:space="0"/>
              <w:right w:val="single" w:color="000000" w:sz="4" w:space="0"/>
            </w:tcBorders>
            <w:shd w:val="clear" w:color="auto" w:fill="FFFFFF"/>
            <w:vAlign w:val="bottom"/>
          </w:tcPr>
          <w:p w14:paraId="15579BF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日历天</w:t>
            </w:r>
          </w:p>
        </w:tc>
      </w:tr>
      <w:tr w14:paraId="2CF2C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50D75E">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1</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E88339">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集装箱</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687E0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与集装箱配套吊装、空调安装、集装箱存放位置场地平整，满足现场需求等</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6EAFFA">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A29F63">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30</w:t>
            </w:r>
          </w:p>
        </w:tc>
      </w:tr>
      <w:tr w14:paraId="66B91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2C0ACA">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2</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614842">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PAM溶液制备箱</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942DEE">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PAM溶液制备箱拆除后重新安装1套,尺寸1.87m*0.808m*1.5m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436DF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E3512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22</w:t>
            </w:r>
          </w:p>
        </w:tc>
      </w:tr>
      <w:tr w14:paraId="4E095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6DFCF4">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3</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F752A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PAM加药装置</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A2E33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PAM加药装置拆除后重新安装1套,尺寸2.0m*1.3*1.5m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D76DD9">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8EF710">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38</w:t>
            </w:r>
          </w:p>
        </w:tc>
      </w:tr>
      <w:tr w14:paraId="71082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82F940">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4</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75621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NaOH加药箱</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8DC394">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NaOH加药箱拆除后重新安装1套,直径1.32m，高度1.2m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375829">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0B15C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20</w:t>
            </w:r>
          </w:p>
        </w:tc>
      </w:tr>
      <w:tr w14:paraId="5BAC3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961578">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5</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4F4AF">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NaOH加药装置</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EBD96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NaOH加药装置拆除后重新安装1套,尺寸2.0m*1.3*1.5m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FA9C33">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552E86">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32</w:t>
            </w:r>
          </w:p>
        </w:tc>
      </w:tr>
      <w:tr w14:paraId="78448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FF775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6</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DABFEC">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PSF加药箱</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CBFBD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PSF加药箱拆除后重新安装2套,直径1.6m，高度1.5m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E873E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FC2D7">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20</w:t>
            </w:r>
          </w:p>
        </w:tc>
      </w:tr>
      <w:tr w14:paraId="279BF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34B106">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7</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58BC0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PSF加药装置</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77790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PSF加药装置拆除后重新安装1套,尺寸1.9m*0.6*1.5m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BCA7F6">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0E08D3">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32</w:t>
            </w:r>
          </w:p>
        </w:tc>
      </w:tr>
      <w:tr w14:paraId="0200A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03B46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8</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3E4516">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UPVC管</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C97F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DN20  PN1.0MPa，UPVC,安装 120m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5622A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38582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5</w:t>
            </w:r>
          </w:p>
        </w:tc>
      </w:tr>
      <w:tr w14:paraId="3F057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19CB83">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9</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716080">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UPVC管</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E3E91F">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DN25  PN1.0MPa，UPVC,安装 150m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C4FB1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DA3C80">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7</w:t>
            </w:r>
          </w:p>
        </w:tc>
      </w:tr>
      <w:tr w14:paraId="3667C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B2F253">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10</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2E23AC">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UPVC管</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DCF39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DN32  PN1.0MPa，UPVC,安装 120m</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00B656">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23C9C2">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6</w:t>
            </w:r>
          </w:p>
        </w:tc>
      </w:tr>
      <w:tr w14:paraId="2D3E8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FB3DD8">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11</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30CD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管道安装及对接</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DA429E">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新铺设管道安装及与原管道对接满足现场需求，包括管线固定及支架焊接</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6EDD61">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5B303">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25</w:t>
            </w:r>
          </w:p>
        </w:tc>
      </w:tr>
      <w:tr w14:paraId="31061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1E83E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12</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DF804D">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UPVC管</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4D6765">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管线冲洗、试漏</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0A4029">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D491DB">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9</w:t>
            </w:r>
          </w:p>
        </w:tc>
      </w:tr>
      <w:tr w14:paraId="473EE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75B9D1">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13</w:t>
            </w:r>
          </w:p>
        </w:tc>
        <w:tc>
          <w:tcPr>
            <w:tcW w:w="12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E71D96">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伴热管线</w:t>
            </w:r>
          </w:p>
        </w:tc>
        <w:tc>
          <w:tcPr>
            <w:tcW w:w="545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E7160">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原现场水泵、磁分离机冷却水增加DN15伴热碳钢管线300m，包括除锈、刷漆、试漏、冲洗</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489F14">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DAF7E">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47</w:t>
            </w:r>
          </w:p>
        </w:tc>
      </w:tr>
      <w:tr w14:paraId="3B909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122B57">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b/>
                <w:bCs/>
                <w:color w:val="auto"/>
                <w:kern w:val="2"/>
                <w:highlight w:val="none"/>
                <w:lang w:val="en-US" w:eastAsia="zh-CN"/>
              </w:rPr>
            </w:pPr>
          </w:p>
        </w:tc>
        <w:tc>
          <w:tcPr>
            <w:tcW w:w="3808"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D63C2DE">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b/>
                <w:bCs/>
                <w:color w:val="auto"/>
                <w:kern w:val="2"/>
                <w:highlight w:val="none"/>
                <w:lang w:val="en-US" w:eastAsia="zh-CN"/>
              </w:rPr>
            </w:pPr>
            <w:r>
              <w:rPr>
                <w:rFonts w:hint="eastAsia" w:asciiTheme="minorEastAsia" w:hAnsiTheme="minorEastAsia" w:eastAsiaTheme="minorEastAsia" w:cstheme="minorEastAsia"/>
                <w:b/>
                <w:bCs/>
                <w:color w:val="auto"/>
                <w:kern w:val="2"/>
                <w:highlight w:val="none"/>
                <w:lang w:val="en-US" w:eastAsia="zh-CN"/>
              </w:rPr>
              <w:t>合计</w:t>
            </w:r>
          </w:p>
        </w:tc>
        <w:tc>
          <w:tcPr>
            <w:tcW w:w="45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76624C">
            <w:pPr>
              <w:pStyle w:val="11"/>
              <w:shd w:val="clear" w:color="auto" w:fill="FFFFFF"/>
              <w:spacing w:before="0" w:beforeAutospacing="0" w:after="0" w:afterAutospacing="0" w:line="360" w:lineRule="auto"/>
              <w:jc w:val="center"/>
              <w:rPr>
                <w:rFonts w:hint="eastAsia" w:asciiTheme="minorEastAsia" w:hAnsiTheme="minorEastAsia" w:eastAsiaTheme="minorEastAsia" w:cstheme="minorEastAsia"/>
                <w:b/>
                <w:bCs/>
                <w:color w:val="auto"/>
                <w:kern w:val="2"/>
                <w:highlight w:val="none"/>
                <w:lang w:val="en-US" w:eastAsia="zh-CN"/>
              </w:rPr>
            </w:pPr>
            <w:r>
              <w:rPr>
                <w:rFonts w:hint="eastAsia" w:asciiTheme="minorEastAsia" w:hAnsiTheme="minorEastAsia" w:eastAsiaTheme="minorEastAsia" w:cstheme="minorEastAsia"/>
                <w:color w:val="auto"/>
                <w:kern w:val="2"/>
                <w:highlight w:val="none"/>
                <w:lang w:val="en-US" w:eastAsia="zh-CN"/>
              </w:rPr>
              <w:t>工日</w:t>
            </w: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0B9D8B">
            <w:pPr>
              <w:keepNext w:val="0"/>
              <w:keepLines w:val="0"/>
              <w:widowControl/>
              <w:suppressLineNumbers w:val="0"/>
              <w:jc w:val="center"/>
              <w:textAlignment w:val="center"/>
              <w:rPr>
                <w:rFonts w:hint="eastAsia" w:asciiTheme="minorEastAsia" w:hAnsiTheme="minorEastAsia" w:eastAsiaTheme="minorEastAsia" w:cstheme="minorEastAsia"/>
                <w:b/>
                <w:bCs/>
                <w:color w:val="auto"/>
                <w:kern w:val="2"/>
                <w:highlight w:val="none"/>
                <w:lang w:val="en-US" w:eastAsia="zh-CN"/>
              </w:rPr>
            </w:pPr>
            <w:r>
              <w:rPr>
                <w:rFonts w:hint="eastAsia" w:ascii="宋体" w:hAnsi="宋体" w:eastAsia="宋体" w:cs="宋体"/>
                <w:b/>
                <w:bCs/>
                <w:i w:val="0"/>
                <w:iCs w:val="0"/>
                <w:color w:val="auto"/>
                <w:kern w:val="0"/>
                <w:sz w:val="24"/>
                <w:szCs w:val="24"/>
                <w:highlight w:val="none"/>
                <w:u w:val="none"/>
                <w:lang w:val="en-US" w:eastAsia="zh-CN" w:bidi="ar"/>
              </w:rPr>
              <w:t>293</w:t>
            </w:r>
          </w:p>
        </w:tc>
      </w:tr>
    </w:tbl>
    <w:p w14:paraId="5A1A22DC">
      <w:pPr>
        <w:tabs>
          <w:tab w:val="left" w:pos="1071"/>
        </w:tabs>
        <w:outlineLvl w:val="9"/>
        <w:rPr>
          <w:rFonts w:hint="eastAsia" w:ascii="仿宋" w:hAnsi="仿宋" w:eastAsia="仿宋" w:cs="仿宋"/>
          <w:b/>
          <w:color w:val="auto"/>
          <w:sz w:val="24"/>
          <w:szCs w:val="24"/>
          <w:highlight w:val="none"/>
        </w:rPr>
      </w:pPr>
    </w:p>
    <w:p w14:paraId="551541CE">
      <w:pPr>
        <w:keepNext w:val="0"/>
        <w:keepLines w:val="0"/>
        <w:pageBreakBefore w:val="0"/>
        <w:widowControl w:val="0"/>
        <w:kinsoku/>
        <w:wordWrap/>
        <w:overflowPunct/>
        <w:topLinePunct w:val="0"/>
        <w:autoSpaceDE/>
        <w:autoSpaceDN/>
        <w:bidi w:val="0"/>
        <w:adjustRightInd w:val="0"/>
        <w:snapToGrid/>
        <w:spacing w:line="360" w:lineRule="auto"/>
        <w:textAlignment w:val="baseline"/>
        <w:rPr>
          <w:rFonts w:hint="eastAsia" w:ascii="宋体" w:hAnsi="宋体" w:cs="宋体"/>
          <w:b/>
          <w:bCs/>
          <w:color w:val="auto"/>
          <w:sz w:val="24"/>
          <w:szCs w:val="24"/>
          <w:highlight w:val="none"/>
          <w:lang w:val="en-US" w:eastAsia="zh-CN"/>
        </w:rPr>
      </w:pPr>
    </w:p>
    <w:p w14:paraId="3CF39338">
      <w:pPr>
        <w:keepNext w:val="0"/>
        <w:keepLines w:val="0"/>
        <w:pageBreakBefore w:val="0"/>
        <w:widowControl w:val="0"/>
        <w:kinsoku/>
        <w:wordWrap/>
        <w:overflowPunct/>
        <w:topLinePunct w:val="0"/>
        <w:autoSpaceDE/>
        <w:autoSpaceDN/>
        <w:bidi w:val="0"/>
        <w:adjustRightInd w:val="0"/>
        <w:snapToGrid/>
        <w:spacing w:line="360" w:lineRule="auto"/>
        <w:textAlignment w:val="baseline"/>
        <w:rPr>
          <w:rFonts w:hint="eastAsia" w:ascii="宋体" w:hAnsi="宋体" w:cs="宋体"/>
          <w:b/>
          <w:bCs/>
          <w:color w:val="auto"/>
          <w:sz w:val="24"/>
          <w:szCs w:val="24"/>
          <w:highlight w:val="none"/>
          <w:lang w:val="en-US" w:eastAsia="zh-CN"/>
        </w:rPr>
      </w:pPr>
    </w:p>
    <w:p w14:paraId="1895B31C">
      <w:pPr>
        <w:keepNext w:val="0"/>
        <w:keepLines w:val="0"/>
        <w:pageBreakBefore w:val="0"/>
        <w:widowControl w:val="0"/>
        <w:kinsoku/>
        <w:wordWrap/>
        <w:overflowPunct/>
        <w:topLinePunct w:val="0"/>
        <w:autoSpaceDE/>
        <w:autoSpaceDN/>
        <w:bidi w:val="0"/>
        <w:adjustRightInd w:val="0"/>
        <w:snapToGrid/>
        <w:spacing w:line="360" w:lineRule="auto"/>
        <w:textAlignment w:val="baseline"/>
        <w:rPr>
          <w:rFonts w:hint="eastAsia" w:ascii="宋体" w:hAnsi="宋体" w:cs="宋体"/>
          <w:b/>
          <w:bCs/>
          <w:color w:val="auto"/>
          <w:sz w:val="24"/>
          <w:szCs w:val="24"/>
          <w:highlight w:val="none"/>
          <w:lang w:val="en-US" w:eastAsia="zh-CN"/>
        </w:rPr>
      </w:pPr>
    </w:p>
    <w:p w14:paraId="6AF7755B">
      <w:pPr>
        <w:keepNext w:val="0"/>
        <w:keepLines w:val="0"/>
        <w:pageBreakBefore w:val="0"/>
        <w:widowControl w:val="0"/>
        <w:kinsoku/>
        <w:wordWrap/>
        <w:overflowPunct/>
        <w:topLinePunct w:val="0"/>
        <w:autoSpaceDE/>
        <w:autoSpaceDN/>
        <w:bidi w:val="0"/>
        <w:adjustRightInd w:val="0"/>
        <w:snapToGrid/>
        <w:spacing w:line="360" w:lineRule="auto"/>
        <w:textAlignment w:val="baseline"/>
        <w:rPr>
          <w:rFonts w:hint="eastAsia" w:ascii="宋体" w:hAnsi="宋体" w:cs="宋体"/>
          <w:b/>
          <w:bCs/>
          <w:color w:val="auto"/>
          <w:sz w:val="24"/>
          <w:szCs w:val="24"/>
          <w:highlight w:val="none"/>
          <w:lang w:val="en-US" w:eastAsia="zh-CN"/>
        </w:rPr>
      </w:pPr>
    </w:p>
    <w:p w14:paraId="2C8504AF">
      <w:pPr>
        <w:keepNext w:val="0"/>
        <w:keepLines w:val="0"/>
        <w:pageBreakBefore w:val="0"/>
        <w:widowControl w:val="0"/>
        <w:kinsoku/>
        <w:wordWrap/>
        <w:overflowPunct/>
        <w:topLinePunct w:val="0"/>
        <w:autoSpaceDE/>
        <w:autoSpaceDN/>
        <w:bidi w:val="0"/>
        <w:adjustRightInd w:val="0"/>
        <w:snapToGrid/>
        <w:spacing w:line="360" w:lineRule="auto"/>
        <w:textAlignment w:val="baseline"/>
        <w:rPr>
          <w:rFonts w:hint="eastAsia" w:ascii="宋体" w:hAnsi="宋体" w:cs="宋体"/>
          <w:b/>
          <w:bCs/>
          <w:color w:val="auto"/>
          <w:sz w:val="24"/>
          <w:szCs w:val="24"/>
          <w:highlight w:val="none"/>
          <w:lang w:val="en-US" w:eastAsia="zh-CN"/>
        </w:rPr>
      </w:pPr>
    </w:p>
    <w:p w14:paraId="7A7FC6DD">
      <w:pPr>
        <w:rPr>
          <w:rFonts w:hint="eastAsia" w:ascii="宋体" w:hAnsi="宋体" w:cs="宋体"/>
          <w:b/>
          <w:bCs/>
          <w:color w:val="auto"/>
          <w:sz w:val="24"/>
          <w:szCs w:val="24"/>
          <w:highlight w:val="none"/>
          <w:lang w:val="en-US" w:eastAsia="zh-CN"/>
        </w:rPr>
      </w:pPr>
      <w:r>
        <w:rPr>
          <w:rFonts w:hint="eastAsia" w:ascii="宋体" w:hAnsi="宋体" w:cs="宋体"/>
          <w:b/>
          <w:bCs/>
          <w:color w:val="auto"/>
          <w:sz w:val="24"/>
          <w:szCs w:val="24"/>
          <w:highlight w:val="none"/>
          <w:lang w:val="en-US" w:eastAsia="zh-CN"/>
        </w:rPr>
        <w:br w:type="page"/>
      </w:r>
    </w:p>
    <w:p w14:paraId="3EC88DA5">
      <w:pPr>
        <w:keepNext w:val="0"/>
        <w:keepLines w:val="0"/>
        <w:pageBreakBefore w:val="0"/>
        <w:widowControl w:val="0"/>
        <w:kinsoku/>
        <w:wordWrap/>
        <w:overflowPunct/>
        <w:topLinePunct w:val="0"/>
        <w:autoSpaceDE/>
        <w:autoSpaceDN/>
        <w:bidi w:val="0"/>
        <w:adjustRightInd w:val="0"/>
        <w:snapToGrid/>
        <w:spacing w:line="360" w:lineRule="auto"/>
        <w:textAlignment w:val="baseline"/>
        <w:outlineLvl w:val="0"/>
        <w:rPr>
          <w:rFonts w:hint="eastAsia" w:ascii="宋体" w:hAnsi="宋体" w:eastAsia="宋体" w:cs="宋体"/>
          <w:color w:val="auto"/>
          <w:sz w:val="28"/>
          <w:szCs w:val="28"/>
          <w:highlight w:val="none"/>
        </w:rPr>
      </w:pPr>
      <w:bookmarkStart w:id="17" w:name="_Toc2021"/>
      <w:r>
        <w:rPr>
          <w:rFonts w:hint="eastAsia" w:ascii="宋体" w:hAnsi="宋体" w:cs="宋体"/>
          <w:b/>
          <w:bCs/>
          <w:color w:val="auto"/>
          <w:sz w:val="28"/>
          <w:szCs w:val="28"/>
          <w:highlight w:val="none"/>
          <w:lang w:val="en-US" w:eastAsia="zh-CN"/>
        </w:rPr>
        <w:t>附件二：技术差异表</w:t>
      </w:r>
      <w:bookmarkEnd w:id="17"/>
    </w:p>
    <w:tbl>
      <w:tblPr>
        <w:tblStyle w:val="13"/>
        <w:tblW w:w="933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168"/>
        <w:gridCol w:w="1566"/>
        <w:gridCol w:w="2145"/>
        <w:gridCol w:w="1377"/>
        <w:gridCol w:w="3079"/>
      </w:tblGrid>
      <w:tr w14:paraId="78DFAE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54E08F18">
            <w:pPr>
              <w:rPr>
                <w:rFonts w:hint="eastAsia" w:ascii="宋体" w:hAnsi="宋体" w:eastAsia="宋体" w:cs="宋体"/>
                <w:color w:val="auto"/>
                <w:sz w:val="24"/>
                <w:szCs w:val="24"/>
                <w:highlight w:val="none"/>
              </w:rPr>
            </w:pPr>
          </w:p>
        </w:tc>
        <w:tc>
          <w:tcPr>
            <w:tcW w:w="3711" w:type="dxa"/>
            <w:gridSpan w:val="2"/>
            <w:tcBorders>
              <w:top w:val="single" w:color="000000" w:sz="6" w:space="0"/>
              <w:left w:val="single" w:color="000000" w:sz="6" w:space="0"/>
              <w:bottom w:val="single" w:color="000000" w:sz="6" w:space="0"/>
              <w:right w:val="single" w:color="000000" w:sz="6" w:space="0"/>
            </w:tcBorders>
            <w:vAlign w:val="center"/>
          </w:tcPr>
          <w:p w14:paraId="71B5082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技术规范书</w:t>
            </w:r>
          </w:p>
        </w:tc>
        <w:tc>
          <w:tcPr>
            <w:tcW w:w="4456" w:type="dxa"/>
            <w:gridSpan w:val="2"/>
            <w:tcBorders>
              <w:top w:val="single" w:color="000000" w:sz="6" w:space="0"/>
              <w:left w:val="single" w:color="000000" w:sz="6" w:space="0"/>
              <w:bottom w:val="single" w:color="000000" w:sz="6" w:space="0"/>
              <w:right w:val="single" w:color="000000" w:sz="6" w:space="0"/>
            </w:tcBorders>
            <w:vAlign w:val="center"/>
          </w:tcPr>
          <w:p w14:paraId="69DBD253">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投标技术文件</w:t>
            </w:r>
          </w:p>
        </w:tc>
      </w:tr>
      <w:tr w14:paraId="0535F7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28C6069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566" w:type="dxa"/>
            <w:tcBorders>
              <w:top w:val="single" w:color="000000" w:sz="6" w:space="0"/>
              <w:left w:val="single" w:color="000000" w:sz="6" w:space="0"/>
              <w:bottom w:val="single" w:color="000000" w:sz="6" w:space="0"/>
              <w:right w:val="single" w:color="000000" w:sz="6" w:space="0"/>
            </w:tcBorders>
            <w:vAlign w:val="center"/>
          </w:tcPr>
          <w:p w14:paraId="6A424B0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2145" w:type="dxa"/>
            <w:tcBorders>
              <w:top w:val="single" w:color="000000" w:sz="6" w:space="0"/>
              <w:left w:val="single" w:color="000000" w:sz="6" w:space="0"/>
              <w:bottom w:val="single" w:color="000000" w:sz="6" w:space="0"/>
              <w:right w:val="single" w:color="000000" w:sz="6" w:space="0"/>
            </w:tcBorders>
            <w:vAlign w:val="center"/>
          </w:tcPr>
          <w:p w14:paraId="79FC6D40">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c>
          <w:tcPr>
            <w:tcW w:w="1377" w:type="dxa"/>
            <w:tcBorders>
              <w:top w:val="single" w:color="000000" w:sz="6" w:space="0"/>
              <w:left w:val="single" w:color="000000" w:sz="6" w:space="0"/>
              <w:bottom w:val="single" w:color="000000" w:sz="6" w:space="0"/>
              <w:right w:val="single" w:color="000000" w:sz="6" w:space="0"/>
            </w:tcBorders>
            <w:vAlign w:val="center"/>
          </w:tcPr>
          <w:p w14:paraId="4C903FB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条目</w:t>
            </w:r>
          </w:p>
        </w:tc>
        <w:tc>
          <w:tcPr>
            <w:tcW w:w="3079" w:type="dxa"/>
            <w:tcBorders>
              <w:top w:val="single" w:color="000000" w:sz="6" w:space="0"/>
              <w:left w:val="single" w:color="000000" w:sz="6" w:space="0"/>
              <w:bottom w:val="single" w:color="000000" w:sz="6" w:space="0"/>
              <w:right w:val="single" w:color="000000" w:sz="6" w:space="0"/>
            </w:tcBorders>
            <w:vAlign w:val="center"/>
          </w:tcPr>
          <w:p w14:paraId="4A585287">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简要内容</w:t>
            </w:r>
          </w:p>
        </w:tc>
      </w:tr>
      <w:tr w14:paraId="0D11D9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466C0E15">
            <w:pPr>
              <w:snapToGrid w:val="0"/>
              <w:spacing w:line="360" w:lineRule="auto"/>
              <w:jc w:val="left"/>
              <w:rPr>
                <w:rStyle w:val="3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4001A25E">
            <w:pPr>
              <w:snapToGrid w:val="0"/>
              <w:spacing w:line="360" w:lineRule="auto"/>
              <w:jc w:val="left"/>
              <w:rPr>
                <w:rStyle w:val="3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3ACD296E">
            <w:pPr>
              <w:snapToGrid w:val="0"/>
              <w:spacing w:line="360" w:lineRule="auto"/>
              <w:jc w:val="left"/>
              <w:rPr>
                <w:rStyle w:val="30"/>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692DDFC6">
            <w:pPr>
              <w:snapToGrid w:val="0"/>
              <w:spacing w:line="360" w:lineRule="auto"/>
              <w:jc w:val="left"/>
              <w:rPr>
                <w:rStyle w:val="3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6F0B91A6">
            <w:pPr>
              <w:snapToGrid w:val="0"/>
              <w:spacing w:line="360" w:lineRule="auto"/>
              <w:jc w:val="left"/>
              <w:rPr>
                <w:rStyle w:val="30"/>
                <w:rFonts w:hint="eastAsia" w:ascii="宋体" w:hAnsi="宋体" w:eastAsia="宋体" w:cs="宋体"/>
                <w:color w:val="auto"/>
                <w:sz w:val="24"/>
                <w:szCs w:val="24"/>
                <w:highlight w:val="none"/>
              </w:rPr>
            </w:pPr>
          </w:p>
        </w:tc>
      </w:tr>
      <w:tr w14:paraId="3B94B6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3F4EE8D2">
            <w:pPr>
              <w:snapToGrid w:val="0"/>
              <w:spacing w:line="360" w:lineRule="auto"/>
              <w:jc w:val="left"/>
              <w:rPr>
                <w:rStyle w:val="3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74D1FC7A">
            <w:pPr>
              <w:snapToGrid w:val="0"/>
              <w:spacing w:line="360" w:lineRule="auto"/>
              <w:jc w:val="left"/>
              <w:rPr>
                <w:rStyle w:val="3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64990594">
            <w:pPr>
              <w:snapToGrid w:val="0"/>
              <w:spacing w:line="360" w:lineRule="auto"/>
              <w:jc w:val="left"/>
              <w:rPr>
                <w:rStyle w:val="30"/>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DC7A611">
            <w:pPr>
              <w:snapToGrid w:val="0"/>
              <w:spacing w:line="360" w:lineRule="auto"/>
              <w:jc w:val="left"/>
              <w:rPr>
                <w:rStyle w:val="3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68ED966D">
            <w:pPr>
              <w:snapToGrid w:val="0"/>
              <w:spacing w:line="360" w:lineRule="auto"/>
              <w:jc w:val="left"/>
              <w:rPr>
                <w:rStyle w:val="30"/>
                <w:rFonts w:hint="eastAsia" w:ascii="宋体" w:hAnsi="宋体" w:eastAsia="宋体" w:cs="宋体"/>
                <w:color w:val="auto"/>
                <w:sz w:val="24"/>
                <w:szCs w:val="24"/>
                <w:highlight w:val="none"/>
              </w:rPr>
            </w:pPr>
          </w:p>
        </w:tc>
      </w:tr>
      <w:tr w14:paraId="07FC4ED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2"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2E178B3">
            <w:pPr>
              <w:snapToGrid w:val="0"/>
              <w:spacing w:line="360" w:lineRule="auto"/>
              <w:jc w:val="left"/>
              <w:rPr>
                <w:rStyle w:val="3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57A9C0A6">
            <w:pPr>
              <w:snapToGrid w:val="0"/>
              <w:spacing w:line="360" w:lineRule="auto"/>
              <w:jc w:val="left"/>
              <w:rPr>
                <w:rStyle w:val="3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5C9A2920">
            <w:pPr>
              <w:snapToGrid w:val="0"/>
              <w:spacing w:line="360" w:lineRule="auto"/>
              <w:jc w:val="left"/>
              <w:rPr>
                <w:rStyle w:val="30"/>
                <w:rFonts w:hint="eastAsia" w:ascii="宋体" w:hAnsi="宋体" w:eastAsia="宋体" w:cs="宋体"/>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7BC9BA01">
            <w:pPr>
              <w:snapToGrid w:val="0"/>
              <w:spacing w:line="360" w:lineRule="auto"/>
              <w:jc w:val="left"/>
              <w:rPr>
                <w:rStyle w:val="3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194D78BD">
            <w:pPr>
              <w:snapToGrid w:val="0"/>
              <w:spacing w:line="360" w:lineRule="auto"/>
              <w:jc w:val="left"/>
              <w:rPr>
                <w:rStyle w:val="30"/>
                <w:rFonts w:hint="eastAsia" w:ascii="宋体" w:hAnsi="宋体" w:eastAsia="宋体" w:cs="宋体"/>
                <w:color w:val="auto"/>
                <w:sz w:val="24"/>
                <w:szCs w:val="24"/>
                <w:highlight w:val="none"/>
              </w:rPr>
            </w:pPr>
          </w:p>
        </w:tc>
      </w:tr>
      <w:tr w14:paraId="6B0DC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1" w:hRule="atLeast"/>
          <w:jc w:val="center"/>
        </w:trPr>
        <w:tc>
          <w:tcPr>
            <w:tcW w:w="1168" w:type="dxa"/>
            <w:tcBorders>
              <w:top w:val="single" w:color="000000" w:sz="6" w:space="0"/>
              <w:left w:val="single" w:color="000000" w:sz="6" w:space="0"/>
              <w:bottom w:val="single" w:color="000000" w:sz="6" w:space="0"/>
              <w:right w:val="single" w:color="000000" w:sz="6" w:space="0"/>
            </w:tcBorders>
            <w:vAlign w:val="center"/>
          </w:tcPr>
          <w:p w14:paraId="6C1D5F37">
            <w:pPr>
              <w:snapToGrid w:val="0"/>
              <w:spacing w:line="360" w:lineRule="auto"/>
              <w:jc w:val="left"/>
              <w:rPr>
                <w:rStyle w:val="30"/>
                <w:rFonts w:hint="eastAsia" w:ascii="宋体" w:hAnsi="宋体" w:eastAsia="宋体" w:cs="宋体"/>
                <w:color w:val="auto"/>
                <w:sz w:val="24"/>
                <w:szCs w:val="24"/>
                <w:highlight w:val="none"/>
              </w:rPr>
            </w:pPr>
          </w:p>
        </w:tc>
        <w:tc>
          <w:tcPr>
            <w:tcW w:w="1566" w:type="dxa"/>
            <w:tcBorders>
              <w:top w:val="single" w:color="000000" w:sz="6" w:space="0"/>
              <w:left w:val="single" w:color="000000" w:sz="6" w:space="0"/>
              <w:bottom w:val="single" w:color="000000" w:sz="6" w:space="0"/>
              <w:right w:val="single" w:color="000000" w:sz="6" w:space="0"/>
            </w:tcBorders>
            <w:vAlign w:val="center"/>
          </w:tcPr>
          <w:p w14:paraId="3FCA669E">
            <w:pPr>
              <w:snapToGrid w:val="0"/>
              <w:spacing w:line="360" w:lineRule="auto"/>
              <w:jc w:val="left"/>
              <w:rPr>
                <w:rStyle w:val="30"/>
                <w:rFonts w:hint="eastAsia" w:ascii="宋体" w:hAnsi="宋体" w:eastAsia="宋体" w:cs="宋体"/>
                <w:color w:val="auto"/>
                <w:sz w:val="24"/>
                <w:szCs w:val="24"/>
                <w:highlight w:val="none"/>
              </w:rPr>
            </w:pPr>
          </w:p>
        </w:tc>
        <w:tc>
          <w:tcPr>
            <w:tcW w:w="2145" w:type="dxa"/>
            <w:tcBorders>
              <w:top w:val="single" w:color="000000" w:sz="6" w:space="0"/>
              <w:left w:val="single" w:color="000000" w:sz="6" w:space="0"/>
              <w:bottom w:val="single" w:color="000000" w:sz="6" w:space="0"/>
              <w:right w:val="single" w:color="000000" w:sz="6" w:space="0"/>
            </w:tcBorders>
            <w:vAlign w:val="center"/>
          </w:tcPr>
          <w:p w14:paraId="01DE2F9D">
            <w:pPr>
              <w:snapToGrid w:val="0"/>
              <w:spacing w:line="360" w:lineRule="auto"/>
              <w:jc w:val="left"/>
              <w:rPr>
                <w:rStyle w:val="30"/>
                <w:rFonts w:hint="eastAsia" w:ascii="宋体" w:hAnsi="宋体" w:eastAsia="宋体" w:cs="宋体"/>
                <w:caps/>
                <w:color w:val="auto"/>
                <w:sz w:val="24"/>
                <w:szCs w:val="24"/>
                <w:highlight w:val="none"/>
              </w:rPr>
            </w:pPr>
          </w:p>
        </w:tc>
        <w:tc>
          <w:tcPr>
            <w:tcW w:w="1377" w:type="dxa"/>
            <w:tcBorders>
              <w:top w:val="single" w:color="000000" w:sz="6" w:space="0"/>
              <w:left w:val="single" w:color="000000" w:sz="6" w:space="0"/>
              <w:bottom w:val="single" w:color="000000" w:sz="6" w:space="0"/>
              <w:right w:val="single" w:color="000000" w:sz="6" w:space="0"/>
            </w:tcBorders>
            <w:vAlign w:val="center"/>
          </w:tcPr>
          <w:p w14:paraId="302B9474">
            <w:pPr>
              <w:snapToGrid w:val="0"/>
              <w:spacing w:line="360" w:lineRule="auto"/>
              <w:jc w:val="left"/>
              <w:rPr>
                <w:rStyle w:val="30"/>
                <w:rFonts w:hint="eastAsia" w:ascii="宋体" w:hAnsi="宋体" w:eastAsia="宋体" w:cs="宋体"/>
                <w:color w:val="auto"/>
                <w:sz w:val="24"/>
                <w:szCs w:val="24"/>
                <w:highlight w:val="none"/>
              </w:rPr>
            </w:pPr>
          </w:p>
        </w:tc>
        <w:tc>
          <w:tcPr>
            <w:tcW w:w="3079" w:type="dxa"/>
            <w:tcBorders>
              <w:top w:val="single" w:color="000000" w:sz="6" w:space="0"/>
              <w:left w:val="single" w:color="000000" w:sz="6" w:space="0"/>
              <w:bottom w:val="single" w:color="000000" w:sz="6" w:space="0"/>
              <w:right w:val="single" w:color="000000" w:sz="6" w:space="0"/>
            </w:tcBorders>
            <w:vAlign w:val="center"/>
          </w:tcPr>
          <w:p w14:paraId="56B36ED3">
            <w:pPr>
              <w:snapToGrid w:val="0"/>
              <w:spacing w:line="360" w:lineRule="auto"/>
              <w:jc w:val="left"/>
              <w:rPr>
                <w:rStyle w:val="30"/>
                <w:rFonts w:hint="eastAsia" w:ascii="宋体" w:hAnsi="宋体" w:eastAsia="宋体" w:cs="宋体"/>
                <w:color w:val="auto"/>
                <w:sz w:val="24"/>
                <w:szCs w:val="24"/>
                <w:highlight w:val="none"/>
              </w:rPr>
            </w:pPr>
          </w:p>
        </w:tc>
      </w:tr>
    </w:tbl>
    <w:p w14:paraId="01CE6A16">
      <w:pPr>
        <w:pStyle w:val="2"/>
        <w:rPr>
          <w:rFonts w:hint="eastAsia"/>
          <w:color w:val="auto"/>
          <w:highlight w:val="none"/>
        </w:rPr>
      </w:pPr>
    </w:p>
    <w:bookmarkEnd w:id="18"/>
    <w:sectPr>
      <w:footerReference r:id="rId3" w:type="default"/>
      <w:pgSz w:w="11906" w:h="16838"/>
      <w:pgMar w:top="1440" w:right="1418" w:bottom="1440" w:left="1560" w:header="851"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7207438"/>
    </w:sdtPr>
    <w:sdtContent>
      <w:p w14:paraId="5A6DAED1">
        <w:pPr>
          <w:pStyle w:val="7"/>
          <w:jc w:val="center"/>
        </w:pPr>
        <w:r>
          <w:fldChar w:fldCharType="begin"/>
        </w:r>
        <w:r>
          <w:instrText xml:space="preserve"> PAGE   \* MERGEFORMAT </w:instrText>
        </w:r>
        <w:r>
          <w:fldChar w:fldCharType="separate"/>
        </w:r>
        <w:r>
          <w:rPr>
            <w:lang w:val="zh-CN"/>
          </w:rPr>
          <w:t>6</w:t>
        </w:r>
        <w:r>
          <w:rPr>
            <w:lang w:val="zh-CN"/>
          </w:rPr>
          <w:fldChar w:fldCharType="end"/>
        </w:r>
      </w:p>
    </w:sdtContent>
  </w:sdt>
  <w:p w14:paraId="35739991">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Q3NzI4YzFjZTVjM2NlZTRmOTIxMDdiMjMyZmE0ZTgifQ=="/>
  </w:docVars>
  <w:rsids>
    <w:rsidRoot w:val="00CA41B7"/>
    <w:rsid w:val="0002750E"/>
    <w:rsid w:val="00030247"/>
    <w:rsid w:val="000438AD"/>
    <w:rsid w:val="00047523"/>
    <w:rsid w:val="00056EC3"/>
    <w:rsid w:val="00062B1A"/>
    <w:rsid w:val="00063845"/>
    <w:rsid w:val="00076BA6"/>
    <w:rsid w:val="00077088"/>
    <w:rsid w:val="00082669"/>
    <w:rsid w:val="00095369"/>
    <w:rsid w:val="000A1320"/>
    <w:rsid w:val="000D6B89"/>
    <w:rsid w:val="000E0572"/>
    <w:rsid w:val="000E5301"/>
    <w:rsid w:val="000F1D87"/>
    <w:rsid w:val="00107C10"/>
    <w:rsid w:val="00121853"/>
    <w:rsid w:val="00121A85"/>
    <w:rsid w:val="00122B4C"/>
    <w:rsid w:val="00122E1C"/>
    <w:rsid w:val="0012535E"/>
    <w:rsid w:val="001275D1"/>
    <w:rsid w:val="00142306"/>
    <w:rsid w:val="001434B0"/>
    <w:rsid w:val="00161F1B"/>
    <w:rsid w:val="00173C8A"/>
    <w:rsid w:val="00186BC9"/>
    <w:rsid w:val="00192183"/>
    <w:rsid w:val="001D0F14"/>
    <w:rsid w:val="001E2580"/>
    <w:rsid w:val="00210270"/>
    <w:rsid w:val="002110FD"/>
    <w:rsid w:val="00215699"/>
    <w:rsid w:val="00223F1C"/>
    <w:rsid w:val="00234E8D"/>
    <w:rsid w:val="002372CB"/>
    <w:rsid w:val="00264D44"/>
    <w:rsid w:val="002716B5"/>
    <w:rsid w:val="00276626"/>
    <w:rsid w:val="002823B6"/>
    <w:rsid w:val="00292532"/>
    <w:rsid w:val="002C7A33"/>
    <w:rsid w:val="002D5BF5"/>
    <w:rsid w:val="002E03DC"/>
    <w:rsid w:val="002F4528"/>
    <w:rsid w:val="002F569F"/>
    <w:rsid w:val="002F7336"/>
    <w:rsid w:val="00323550"/>
    <w:rsid w:val="0034114C"/>
    <w:rsid w:val="00342AD6"/>
    <w:rsid w:val="003623EC"/>
    <w:rsid w:val="00372461"/>
    <w:rsid w:val="003B31DA"/>
    <w:rsid w:val="003F15D0"/>
    <w:rsid w:val="003F29A5"/>
    <w:rsid w:val="00404E7A"/>
    <w:rsid w:val="00420E64"/>
    <w:rsid w:val="00422B3F"/>
    <w:rsid w:val="004415A8"/>
    <w:rsid w:val="00455238"/>
    <w:rsid w:val="00477DCF"/>
    <w:rsid w:val="00496425"/>
    <w:rsid w:val="004A043B"/>
    <w:rsid w:val="004A7EB1"/>
    <w:rsid w:val="004B034F"/>
    <w:rsid w:val="004C120E"/>
    <w:rsid w:val="004C3984"/>
    <w:rsid w:val="004C3D1C"/>
    <w:rsid w:val="004D627B"/>
    <w:rsid w:val="0050108D"/>
    <w:rsid w:val="005048F9"/>
    <w:rsid w:val="005121B7"/>
    <w:rsid w:val="00517A5C"/>
    <w:rsid w:val="00523EB6"/>
    <w:rsid w:val="00530079"/>
    <w:rsid w:val="0053017A"/>
    <w:rsid w:val="00554D1C"/>
    <w:rsid w:val="00561E8D"/>
    <w:rsid w:val="00576409"/>
    <w:rsid w:val="005868FE"/>
    <w:rsid w:val="005907B4"/>
    <w:rsid w:val="005B7E54"/>
    <w:rsid w:val="005C2413"/>
    <w:rsid w:val="005D0518"/>
    <w:rsid w:val="005F386E"/>
    <w:rsid w:val="006346B3"/>
    <w:rsid w:val="00635B33"/>
    <w:rsid w:val="006558DD"/>
    <w:rsid w:val="006725B4"/>
    <w:rsid w:val="00674816"/>
    <w:rsid w:val="00683162"/>
    <w:rsid w:val="00690F8A"/>
    <w:rsid w:val="00691845"/>
    <w:rsid w:val="00693280"/>
    <w:rsid w:val="006969AF"/>
    <w:rsid w:val="006972DC"/>
    <w:rsid w:val="006D31B9"/>
    <w:rsid w:val="006D508B"/>
    <w:rsid w:val="006D7788"/>
    <w:rsid w:val="006E5E68"/>
    <w:rsid w:val="00710430"/>
    <w:rsid w:val="00717B37"/>
    <w:rsid w:val="00720040"/>
    <w:rsid w:val="0073759B"/>
    <w:rsid w:val="00740AB9"/>
    <w:rsid w:val="007425FC"/>
    <w:rsid w:val="00742F8C"/>
    <w:rsid w:val="00765118"/>
    <w:rsid w:val="0077121D"/>
    <w:rsid w:val="00782686"/>
    <w:rsid w:val="0079171F"/>
    <w:rsid w:val="00797560"/>
    <w:rsid w:val="007A4836"/>
    <w:rsid w:val="007A4BAC"/>
    <w:rsid w:val="007A59E2"/>
    <w:rsid w:val="007B6678"/>
    <w:rsid w:val="007D4EC7"/>
    <w:rsid w:val="007F3F25"/>
    <w:rsid w:val="007F7FEF"/>
    <w:rsid w:val="00805E15"/>
    <w:rsid w:val="00806439"/>
    <w:rsid w:val="00834102"/>
    <w:rsid w:val="00841B86"/>
    <w:rsid w:val="0084603C"/>
    <w:rsid w:val="00892001"/>
    <w:rsid w:val="00893927"/>
    <w:rsid w:val="008969F6"/>
    <w:rsid w:val="008A6BFB"/>
    <w:rsid w:val="008A757B"/>
    <w:rsid w:val="008B3842"/>
    <w:rsid w:val="008C6589"/>
    <w:rsid w:val="008D19F1"/>
    <w:rsid w:val="008E556C"/>
    <w:rsid w:val="008F2A19"/>
    <w:rsid w:val="00900125"/>
    <w:rsid w:val="009144DE"/>
    <w:rsid w:val="009734EB"/>
    <w:rsid w:val="009802B9"/>
    <w:rsid w:val="009A4742"/>
    <w:rsid w:val="009B34B3"/>
    <w:rsid w:val="009C5A30"/>
    <w:rsid w:val="009E23E7"/>
    <w:rsid w:val="009E4EBA"/>
    <w:rsid w:val="009F50D9"/>
    <w:rsid w:val="00A30F68"/>
    <w:rsid w:val="00A67922"/>
    <w:rsid w:val="00A8021A"/>
    <w:rsid w:val="00A916F8"/>
    <w:rsid w:val="00AB440E"/>
    <w:rsid w:val="00AC5FDD"/>
    <w:rsid w:val="00AD381A"/>
    <w:rsid w:val="00AF6477"/>
    <w:rsid w:val="00B03DD4"/>
    <w:rsid w:val="00B04D39"/>
    <w:rsid w:val="00B11278"/>
    <w:rsid w:val="00B3418B"/>
    <w:rsid w:val="00B416D7"/>
    <w:rsid w:val="00B503E1"/>
    <w:rsid w:val="00B63C1B"/>
    <w:rsid w:val="00B7656D"/>
    <w:rsid w:val="00B92595"/>
    <w:rsid w:val="00BB1911"/>
    <w:rsid w:val="00BB23FC"/>
    <w:rsid w:val="00BD0DFA"/>
    <w:rsid w:val="00BD1521"/>
    <w:rsid w:val="00BD1BEF"/>
    <w:rsid w:val="00BD3355"/>
    <w:rsid w:val="00BE2F18"/>
    <w:rsid w:val="00BE46DC"/>
    <w:rsid w:val="00BF11E0"/>
    <w:rsid w:val="00BF7353"/>
    <w:rsid w:val="00C07607"/>
    <w:rsid w:val="00C105D4"/>
    <w:rsid w:val="00C14B1B"/>
    <w:rsid w:val="00C270B2"/>
    <w:rsid w:val="00C34654"/>
    <w:rsid w:val="00C410EA"/>
    <w:rsid w:val="00C471D8"/>
    <w:rsid w:val="00C6071C"/>
    <w:rsid w:val="00C70111"/>
    <w:rsid w:val="00C863FA"/>
    <w:rsid w:val="00C86AEC"/>
    <w:rsid w:val="00C87C26"/>
    <w:rsid w:val="00CA41B7"/>
    <w:rsid w:val="00CB5461"/>
    <w:rsid w:val="00CC6CD8"/>
    <w:rsid w:val="00CD2FF2"/>
    <w:rsid w:val="00CD6254"/>
    <w:rsid w:val="00D225EB"/>
    <w:rsid w:val="00D27E3E"/>
    <w:rsid w:val="00D31CF9"/>
    <w:rsid w:val="00D348C5"/>
    <w:rsid w:val="00D61812"/>
    <w:rsid w:val="00D965F1"/>
    <w:rsid w:val="00DA68F2"/>
    <w:rsid w:val="00DC51B1"/>
    <w:rsid w:val="00DD1165"/>
    <w:rsid w:val="00DD4E5A"/>
    <w:rsid w:val="00DE2817"/>
    <w:rsid w:val="00DE2FDA"/>
    <w:rsid w:val="00DE3904"/>
    <w:rsid w:val="00DE4544"/>
    <w:rsid w:val="00DE47E0"/>
    <w:rsid w:val="00DE7A2F"/>
    <w:rsid w:val="00E06431"/>
    <w:rsid w:val="00E068B1"/>
    <w:rsid w:val="00E1367C"/>
    <w:rsid w:val="00E30235"/>
    <w:rsid w:val="00E520A1"/>
    <w:rsid w:val="00E55011"/>
    <w:rsid w:val="00E71FBD"/>
    <w:rsid w:val="00E94B8B"/>
    <w:rsid w:val="00EB281E"/>
    <w:rsid w:val="00ED2175"/>
    <w:rsid w:val="00EE1BA4"/>
    <w:rsid w:val="00EE56F7"/>
    <w:rsid w:val="00EF099B"/>
    <w:rsid w:val="00EF486C"/>
    <w:rsid w:val="00EF5C08"/>
    <w:rsid w:val="00EF5FF6"/>
    <w:rsid w:val="00F2522C"/>
    <w:rsid w:val="00F341D0"/>
    <w:rsid w:val="00F43435"/>
    <w:rsid w:val="00F62DF9"/>
    <w:rsid w:val="00F65C2B"/>
    <w:rsid w:val="00F82870"/>
    <w:rsid w:val="00F96804"/>
    <w:rsid w:val="00FA20CE"/>
    <w:rsid w:val="00FB726F"/>
    <w:rsid w:val="00FC7D8D"/>
    <w:rsid w:val="00FD37D4"/>
    <w:rsid w:val="00FE160E"/>
    <w:rsid w:val="00FE192D"/>
    <w:rsid w:val="00FE79B2"/>
    <w:rsid w:val="011E0236"/>
    <w:rsid w:val="0192652E"/>
    <w:rsid w:val="02153750"/>
    <w:rsid w:val="05A52CD4"/>
    <w:rsid w:val="05AC7E4E"/>
    <w:rsid w:val="05F03CF9"/>
    <w:rsid w:val="069B5E85"/>
    <w:rsid w:val="07655728"/>
    <w:rsid w:val="07790504"/>
    <w:rsid w:val="07DC66B9"/>
    <w:rsid w:val="082A5712"/>
    <w:rsid w:val="0985383A"/>
    <w:rsid w:val="0B464611"/>
    <w:rsid w:val="0B9D61FB"/>
    <w:rsid w:val="0C4D5A7A"/>
    <w:rsid w:val="0CF55CFA"/>
    <w:rsid w:val="0D6D6F61"/>
    <w:rsid w:val="0E1C78AB"/>
    <w:rsid w:val="0ED86717"/>
    <w:rsid w:val="0F711E78"/>
    <w:rsid w:val="0FBA737B"/>
    <w:rsid w:val="0FF573E3"/>
    <w:rsid w:val="0FFC7058"/>
    <w:rsid w:val="10482C18"/>
    <w:rsid w:val="10EF30DB"/>
    <w:rsid w:val="110C72FD"/>
    <w:rsid w:val="11513D10"/>
    <w:rsid w:val="13025A5B"/>
    <w:rsid w:val="14306514"/>
    <w:rsid w:val="17431ECA"/>
    <w:rsid w:val="1865745A"/>
    <w:rsid w:val="191A3609"/>
    <w:rsid w:val="19377C8F"/>
    <w:rsid w:val="19690451"/>
    <w:rsid w:val="19B439CC"/>
    <w:rsid w:val="19D42A33"/>
    <w:rsid w:val="1A4E6DE8"/>
    <w:rsid w:val="1A5E1FFF"/>
    <w:rsid w:val="1ACD3305"/>
    <w:rsid w:val="1AF57E02"/>
    <w:rsid w:val="1AF851FC"/>
    <w:rsid w:val="1C1F5136"/>
    <w:rsid w:val="1D554B87"/>
    <w:rsid w:val="1FEE7AAF"/>
    <w:rsid w:val="20220D66"/>
    <w:rsid w:val="20667B82"/>
    <w:rsid w:val="20DB0AD4"/>
    <w:rsid w:val="214B15DD"/>
    <w:rsid w:val="21F876E7"/>
    <w:rsid w:val="2292073E"/>
    <w:rsid w:val="23441929"/>
    <w:rsid w:val="238166D6"/>
    <w:rsid w:val="24855D52"/>
    <w:rsid w:val="24C50845"/>
    <w:rsid w:val="25B06DFF"/>
    <w:rsid w:val="28294EE5"/>
    <w:rsid w:val="29031C33"/>
    <w:rsid w:val="291853E7"/>
    <w:rsid w:val="29B64C00"/>
    <w:rsid w:val="29EA7037"/>
    <w:rsid w:val="2A1C36E7"/>
    <w:rsid w:val="2A357490"/>
    <w:rsid w:val="2A4310F3"/>
    <w:rsid w:val="2AAC7F2A"/>
    <w:rsid w:val="2AC72880"/>
    <w:rsid w:val="2C1771F0"/>
    <w:rsid w:val="2D03235C"/>
    <w:rsid w:val="2E6F16FA"/>
    <w:rsid w:val="2F1F226C"/>
    <w:rsid w:val="2F2443BA"/>
    <w:rsid w:val="2FE029D7"/>
    <w:rsid w:val="31653DD2"/>
    <w:rsid w:val="31984883"/>
    <w:rsid w:val="32195D2C"/>
    <w:rsid w:val="3276317E"/>
    <w:rsid w:val="32953E09"/>
    <w:rsid w:val="32A0644D"/>
    <w:rsid w:val="32A777DC"/>
    <w:rsid w:val="32C873DB"/>
    <w:rsid w:val="332221B5"/>
    <w:rsid w:val="333822FF"/>
    <w:rsid w:val="34210181"/>
    <w:rsid w:val="359B218D"/>
    <w:rsid w:val="359E6C74"/>
    <w:rsid w:val="35ED19A9"/>
    <w:rsid w:val="36E508D2"/>
    <w:rsid w:val="375871BF"/>
    <w:rsid w:val="38781109"/>
    <w:rsid w:val="3878426D"/>
    <w:rsid w:val="389B56ED"/>
    <w:rsid w:val="38CE5AC2"/>
    <w:rsid w:val="39286B5A"/>
    <w:rsid w:val="3B6444BC"/>
    <w:rsid w:val="3BCA17AF"/>
    <w:rsid w:val="3C776867"/>
    <w:rsid w:val="3C9A2487"/>
    <w:rsid w:val="3E126451"/>
    <w:rsid w:val="3E431F95"/>
    <w:rsid w:val="3E7C7D6E"/>
    <w:rsid w:val="3F6F715E"/>
    <w:rsid w:val="405A65A4"/>
    <w:rsid w:val="405E3BCF"/>
    <w:rsid w:val="40D24D9E"/>
    <w:rsid w:val="40F066B3"/>
    <w:rsid w:val="41336633"/>
    <w:rsid w:val="4199204B"/>
    <w:rsid w:val="43E52B3C"/>
    <w:rsid w:val="440525B4"/>
    <w:rsid w:val="447D0E5F"/>
    <w:rsid w:val="44B77AD0"/>
    <w:rsid w:val="44D502CA"/>
    <w:rsid w:val="45C81F5D"/>
    <w:rsid w:val="46B12EFB"/>
    <w:rsid w:val="46CE3131"/>
    <w:rsid w:val="46E6047B"/>
    <w:rsid w:val="479A2BF3"/>
    <w:rsid w:val="47FC7408"/>
    <w:rsid w:val="482374AD"/>
    <w:rsid w:val="486A6E89"/>
    <w:rsid w:val="495A1A11"/>
    <w:rsid w:val="4A23476C"/>
    <w:rsid w:val="4AC77530"/>
    <w:rsid w:val="4B011729"/>
    <w:rsid w:val="4BC679B7"/>
    <w:rsid w:val="4C934C01"/>
    <w:rsid w:val="4E0B49FA"/>
    <w:rsid w:val="4E102281"/>
    <w:rsid w:val="4E231E5A"/>
    <w:rsid w:val="4E434677"/>
    <w:rsid w:val="4F6D1977"/>
    <w:rsid w:val="509C604E"/>
    <w:rsid w:val="51CB2747"/>
    <w:rsid w:val="51DE1E50"/>
    <w:rsid w:val="52157E66"/>
    <w:rsid w:val="54AA6F8B"/>
    <w:rsid w:val="54DB478A"/>
    <w:rsid w:val="55E20527"/>
    <w:rsid w:val="56156687"/>
    <w:rsid w:val="570F1328"/>
    <w:rsid w:val="57120E18"/>
    <w:rsid w:val="57A30E52"/>
    <w:rsid w:val="5837055A"/>
    <w:rsid w:val="5895585D"/>
    <w:rsid w:val="596671F9"/>
    <w:rsid w:val="5A3317D1"/>
    <w:rsid w:val="5AE91031"/>
    <w:rsid w:val="5AF251E8"/>
    <w:rsid w:val="5BC53669"/>
    <w:rsid w:val="5BE755A7"/>
    <w:rsid w:val="5CF8285E"/>
    <w:rsid w:val="5D5158AD"/>
    <w:rsid w:val="5DB26EB1"/>
    <w:rsid w:val="5DCF3AC2"/>
    <w:rsid w:val="5DED613B"/>
    <w:rsid w:val="5E856373"/>
    <w:rsid w:val="6034332B"/>
    <w:rsid w:val="6047435C"/>
    <w:rsid w:val="609145E3"/>
    <w:rsid w:val="6091509B"/>
    <w:rsid w:val="60D9551F"/>
    <w:rsid w:val="62C23F14"/>
    <w:rsid w:val="63543747"/>
    <w:rsid w:val="64886EED"/>
    <w:rsid w:val="64B03C63"/>
    <w:rsid w:val="65CF4BEA"/>
    <w:rsid w:val="666176F7"/>
    <w:rsid w:val="667A5053"/>
    <w:rsid w:val="66A03D4A"/>
    <w:rsid w:val="674E3D6D"/>
    <w:rsid w:val="67544B35"/>
    <w:rsid w:val="67654F94"/>
    <w:rsid w:val="67B51A77"/>
    <w:rsid w:val="67D30C43"/>
    <w:rsid w:val="682E35D8"/>
    <w:rsid w:val="68EB3277"/>
    <w:rsid w:val="690C4E55"/>
    <w:rsid w:val="69912070"/>
    <w:rsid w:val="69B01856"/>
    <w:rsid w:val="6A386990"/>
    <w:rsid w:val="6A8A1D06"/>
    <w:rsid w:val="6AC677FF"/>
    <w:rsid w:val="6AD40467"/>
    <w:rsid w:val="6B0F149F"/>
    <w:rsid w:val="6B430BEE"/>
    <w:rsid w:val="6B6C069F"/>
    <w:rsid w:val="6BA61C22"/>
    <w:rsid w:val="6C78152D"/>
    <w:rsid w:val="6DCD167A"/>
    <w:rsid w:val="6DE5142C"/>
    <w:rsid w:val="6EFD5AB2"/>
    <w:rsid w:val="6FE650A1"/>
    <w:rsid w:val="702F7036"/>
    <w:rsid w:val="70DA1E95"/>
    <w:rsid w:val="717402AD"/>
    <w:rsid w:val="726C71D7"/>
    <w:rsid w:val="72BB05F5"/>
    <w:rsid w:val="72BF7C4E"/>
    <w:rsid w:val="734737A0"/>
    <w:rsid w:val="73543C4F"/>
    <w:rsid w:val="75205B98"/>
    <w:rsid w:val="75E047BD"/>
    <w:rsid w:val="760642BF"/>
    <w:rsid w:val="762C7EE8"/>
    <w:rsid w:val="76511BAE"/>
    <w:rsid w:val="778F6C30"/>
    <w:rsid w:val="77EB0EFD"/>
    <w:rsid w:val="78231452"/>
    <w:rsid w:val="78C733B9"/>
    <w:rsid w:val="7B7517F2"/>
    <w:rsid w:val="7BB004B9"/>
    <w:rsid w:val="7BC97448"/>
    <w:rsid w:val="7D4E4EDB"/>
    <w:rsid w:val="7DDD3D53"/>
    <w:rsid w:val="7E6C06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0"/>
    <w:pPr>
      <w:keepNext/>
      <w:keepLines/>
      <w:spacing w:line="360" w:lineRule="auto"/>
      <w:outlineLvl w:val="0"/>
    </w:pPr>
    <w:rPr>
      <w:b/>
      <w:bCs/>
      <w:kern w:val="44"/>
      <w:sz w:val="24"/>
      <w:szCs w:val="44"/>
    </w:rPr>
  </w:style>
  <w:style w:type="paragraph" w:styleId="4">
    <w:name w:val="heading 2"/>
    <w:basedOn w:val="1"/>
    <w:next w:val="1"/>
    <w:unhideWhenUsed/>
    <w:qFormat/>
    <w:uiPriority w:val="9"/>
    <w:pPr>
      <w:spacing w:line="360" w:lineRule="auto"/>
      <w:jc w:val="left"/>
      <w:outlineLvl w:val="1"/>
    </w:pPr>
    <w:rPr>
      <w:rFonts w:cstheme="majorBidi"/>
      <w:b/>
      <w:bCs/>
      <w:sz w:val="24"/>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5">
    <w:name w:val="toc 3"/>
    <w:basedOn w:val="1"/>
    <w:next w:val="1"/>
    <w:semiHidden/>
    <w:unhideWhenUsed/>
    <w:qFormat/>
    <w:uiPriority w:val="39"/>
    <w:pPr>
      <w:ind w:left="840" w:leftChars="400"/>
    </w:pPr>
  </w:style>
  <w:style w:type="paragraph" w:styleId="6">
    <w:name w:val="Balloon Text"/>
    <w:basedOn w:val="1"/>
    <w:link w:val="22"/>
    <w:semiHidden/>
    <w:unhideWhenUsed/>
    <w:qFormat/>
    <w:uiPriority w:val="99"/>
    <w:rPr>
      <w:sz w:val="18"/>
      <w:szCs w:val="18"/>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39"/>
  </w:style>
  <w:style w:type="paragraph" w:styleId="10">
    <w:name w:val="toc 2"/>
    <w:basedOn w:val="1"/>
    <w:next w:val="1"/>
    <w:semiHidden/>
    <w:unhideWhenUsed/>
    <w:qFormat/>
    <w:uiPriority w:val="39"/>
    <w:pPr>
      <w:ind w:left="420" w:leftChars="200"/>
    </w:p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rPr>
  </w:style>
  <w:style w:type="paragraph" w:styleId="12">
    <w:name w:val="Body Text First Indent"/>
    <w:basedOn w:val="2"/>
    <w:qFormat/>
    <w:uiPriority w:val="0"/>
    <w:pPr>
      <w:spacing w:after="0"/>
      <w:ind w:firstLine="420"/>
    </w:pPr>
    <w:rPr>
      <w:szCs w:val="20"/>
    </w:rPr>
  </w:style>
  <w:style w:type="table" w:styleId="14">
    <w:name w:val="Table Grid"/>
    <w:basedOn w:val="13"/>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page number"/>
    <w:basedOn w:val="15"/>
    <w:qFormat/>
    <w:uiPriority w:val="0"/>
    <w:rPr>
      <w:rFonts w:ascii="宋体" w:eastAsia="宋体"/>
      <w:sz w:val="18"/>
    </w:rPr>
  </w:style>
  <w:style w:type="character" w:styleId="17">
    <w:name w:val="Hyperlink"/>
    <w:unhideWhenUsed/>
    <w:qFormat/>
    <w:uiPriority w:val="99"/>
    <w:rPr>
      <w:color w:val="0000CC"/>
      <w:u w:val="single"/>
    </w:rPr>
  </w:style>
  <w:style w:type="character" w:customStyle="1" w:styleId="18">
    <w:name w:val="标题 1 Char"/>
    <w:basedOn w:val="15"/>
    <w:link w:val="3"/>
    <w:qFormat/>
    <w:uiPriority w:val="0"/>
    <w:rPr>
      <w:rFonts w:ascii="Times New Roman" w:hAnsi="Times New Roman" w:eastAsia="宋体" w:cs="Times New Roman"/>
      <w:b/>
      <w:bCs/>
      <w:kern w:val="44"/>
      <w:sz w:val="24"/>
      <w:szCs w:val="44"/>
    </w:rPr>
  </w:style>
  <w:style w:type="character" w:customStyle="1" w:styleId="19">
    <w:name w:val="页眉 Char"/>
    <w:basedOn w:val="15"/>
    <w:link w:val="8"/>
    <w:semiHidden/>
    <w:qFormat/>
    <w:uiPriority w:val="99"/>
    <w:rPr>
      <w:sz w:val="18"/>
      <w:szCs w:val="18"/>
    </w:rPr>
  </w:style>
  <w:style w:type="character" w:customStyle="1" w:styleId="20">
    <w:name w:val="页脚 Char"/>
    <w:basedOn w:val="15"/>
    <w:link w:val="7"/>
    <w:qFormat/>
    <w:uiPriority w:val="99"/>
    <w:rPr>
      <w:sz w:val="18"/>
      <w:szCs w:val="18"/>
    </w:rPr>
  </w:style>
  <w:style w:type="paragraph" w:customStyle="1" w:styleId="21">
    <w:name w:val="WPSOffice手动目录 1"/>
    <w:qFormat/>
    <w:uiPriority w:val="0"/>
    <w:rPr>
      <w:rFonts w:ascii="Times New Roman" w:hAnsi="Times New Roman" w:eastAsia="宋体" w:cs="Times New Roman"/>
      <w:lang w:val="en-US" w:eastAsia="zh-CN" w:bidi="ar-SA"/>
    </w:rPr>
  </w:style>
  <w:style w:type="character" w:customStyle="1" w:styleId="22">
    <w:name w:val="批注框文本 Char"/>
    <w:basedOn w:val="15"/>
    <w:link w:val="6"/>
    <w:semiHidden/>
    <w:qFormat/>
    <w:uiPriority w:val="99"/>
    <w:rPr>
      <w:rFonts w:ascii="Times New Roman" w:hAnsi="Times New Roman" w:eastAsia="宋体" w:cs="Times New Roman"/>
      <w:sz w:val="18"/>
      <w:szCs w:val="18"/>
    </w:rPr>
  </w:style>
  <w:style w:type="paragraph" w:styleId="23">
    <w:name w:val="List Paragraph"/>
    <w:basedOn w:val="1"/>
    <w:unhideWhenUsed/>
    <w:qFormat/>
    <w:uiPriority w:val="34"/>
    <w:pPr>
      <w:ind w:firstLine="420" w:firstLineChars="200"/>
    </w:pPr>
  </w:style>
  <w:style w:type="paragraph" w:customStyle="1" w:styleId="24">
    <w:name w:val="首行缩进"/>
    <w:basedOn w:val="1"/>
    <w:link w:val="25"/>
    <w:qFormat/>
    <w:uiPriority w:val="0"/>
    <w:pPr>
      <w:shd w:val="clear" w:color="auto" w:fill="FFFFFF"/>
      <w:tabs>
        <w:tab w:val="left" w:pos="426"/>
      </w:tabs>
      <w:spacing w:line="480" w:lineRule="exact"/>
      <w:ind w:right="-21" w:rightChars="-21" w:firstLine="200" w:firstLineChars="200"/>
      <w:jc w:val="left"/>
    </w:pPr>
    <w:rPr>
      <w:rFonts w:ascii="宋体" w:hAnsi="宋体" w:cs="宋体"/>
      <w:bCs/>
      <w:szCs w:val="22"/>
    </w:rPr>
  </w:style>
  <w:style w:type="character" w:customStyle="1" w:styleId="25">
    <w:name w:val="首行缩进 Char"/>
    <w:basedOn w:val="15"/>
    <w:link w:val="24"/>
    <w:qFormat/>
    <w:uiPriority w:val="0"/>
    <w:rPr>
      <w:rFonts w:ascii="宋体" w:hAnsi="宋体" w:cs="宋体"/>
      <w:bCs/>
      <w:szCs w:val="22"/>
    </w:rPr>
  </w:style>
  <w:style w:type="paragraph" w:customStyle="1" w:styleId="26">
    <w:name w:val="图表"/>
    <w:basedOn w:val="1"/>
    <w:qFormat/>
    <w:uiPriority w:val="0"/>
    <w:pPr>
      <w:jc w:val="center"/>
    </w:pPr>
    <w:rPr>
      <w:szCs w:val="22"/>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8">
    <w:name w:val="WPSOffice手动目录 3"/>
    <w:qFormat/>
    <w:uiPriority w:val="0"/>
    <w:pPr>
      <w:ind w:leftChars="400"/>
    </w:pPr>
    <w:rPr>
      <w:rFonts w:ascii="Times New Roman" w:hAnsi="Times New Roman" w:eastAsia="宋体" w:cs="Times New Roman"/>
      <w:sz w:val="20"/>
      <w:szCs w:val="20"/>
    </w:rPr>
  </w:style>
  <w:style w:type="paragraph" w:customStyle="1" w:styleId="29">
    <w:name w:val="Normal_1"/>
    <w:qFormat/>
    <w:uiPriority w:val="0"/>
    <w:pPr>
      <w:widowControl w:val="0"/>
      <w:jc w:val="both"/>
    </w:pPr>
    <w:rPr>
      <w:rFonts w:ascii="Calibri" w:hAnsi="Calibri" w:eastAsia="宋体" w:cs="Times New Roman"/>
      <w:kern w:val="2"/>
      <w:sz w:val="21"/>
      <w:szCs w:val="22"/>
      <w:lang w:val="en-US" w:eastAsia="zh-CN" w:bidi="ar-SA"/>
    </w:rPr>
  </w:style>
  <w:style w:type="character" w:customStyle="1" w:styleId="30">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C3F9B-43DB-43B0-B4C1-D9D5DE42D8CE}">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2660</Words>
  <Characters>3018</Characters>
  <Lines>50</Lines>
  <Paragraphs>14</Paragraphs>
  <TotalTime>0</TotalTime>
  <ScaleCrop>false</ScaleCrop>
  <LinksUpToDate>false</LinksUpToDate>
  <CharactersWithSpaces>3031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2022-07-25T15:48:00Z</dcterms:created>
  <dc:creator>程海运</dc:creator>
  <cp:lastModifiedBy>李鹏程</cp:lastModifiedBy>
  <cp:lastPrinted>2022-07-27T08:20:00Z</cp:lastPrinted>
  <dcterms:modified xsi:type="dcterms:W3CDTF">2026-04-08T07:29:04Z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F034262B01EF4198A7F094947A854439</vt:lpwstr>
  </property>
  <property fmtid="{D5CDD505-2E9C-101B-9397-08002B2CF9AE}" pid="4" name="KSOTemplateDocerSaveRecord">
    <vt:lpwstr>eyJoZGlkIjoiZGE2Mjg2YTZkZTMyMTYwY2M1OTQ5YzJlN2MyYmRjOGEiLCJ1c2VySWQiOiIxNTY5NDgyOTM2In0=</vt:lpwstr>
  </property>
</Properties>
</file>