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4E52C">
      <w:pPr>
        <w:spacing w:line="360" w:lineRule="auto"/>
        <w:ind w:right="-1973"/>
        <w:rPr>
          <w:rFonts w:hint="eastAsia" w:ascii="黑体" w:hAnsi="黑体" w:eastAsia="黑体"/>
          <w:color w:val="auto"/>
          <w:spacing w:val="-8"/>
          <w:sz w:val="52"/>
          <w:szCs w:val="52"/>
          <w:highlight w:val="none"/>
          <w:lang w:eastAsia="zh-CN"/>
        </w:rPr>
      </w:pPr>
      <w:bookmarkStart w:id="12" w:name="_GoBack"/>
    </w:p>
    <w:p w14:paraId="2DFD1789">
      <w:pPr>
        <w:spacing w:line="360" w:lineRule="auto"/>
        <w:ind w:right="-1973" w:firstLine="756" w:firstLineChars="150"/>
        <w:rPr>
          <w:rFonts w:hint="eastAsia" w:ascii="黑体" w:hAnsi="黑体" w:eastAsia="黑体"/>
          <w:color w:val="auto"/>
          <w:spacing w:val="-8"/>
          <w:sz w:val="52"/>
          <w:szCs w:val="52"/>
          <w:highlight w:val="none"/>
        </w:rPr>
      </w:pPr>
    </w:p>
    <w:p w14:paraId="33078AEA">
      <w:pPr>
        <w:spacing w:line="360" w:lineRule="auto"/>
        <w:ind w:right="-1973" w:firstLine="756" w:firstLineChars="150"/>
        <w:rPr>
          <w:color w:val="auto"/>
          <w:sz w:val="52"/>
          <w:szCs w:val="52"/>
          <w:highlight w:val="none"/>
        </w:rPr>
      </w:pPr>
      <w:r>
        <w:rPr>
          <w:rFonts w:hint="eastAsia" w:ascii="黑体" w:hAnsi="黑体" w:eastAsia="黑体"/>
          <w:color w:val="auto"/>
          <w:spacing w:val="-8"/>
          <w:sz w:val="52"/>
          <w:szCs w:val="52"/>
          <w:highlight w:val="none"/>
        </w:rPr>
        <w:drawing>
          <wp:anchor distT="0" distB="0" distL="0" distR="0" simplePos="0" relativeHeight="251659264" behindDoc="0" locked="0" layoutInCell="1" allowOverlap="1">
            <wp:simplePos x="0" y="0"/>
            <wp:positionH relativeFrom="column">
              <wp:posOffset>-635</wp:posOffset>
            </wp:positionH>
            <wp:positionV relativeFrom="paragraph">
              <wp:posOffset>-19050</wp:posOffset>
            </wp:positionV>
            <wp:extent cx="495300" cy="628650"/>
            <wp:effectExtent l="19050" t="0" r="0" b="0"/>
            <wp:wrapNone/>
            <wp:docPr id="1026" name="图片 14"/>
            <wp:cNvGraphicFramePr/>
            <a:graphic xmlns:a="http://schemas.openxmlformats.org/drawingml/2006/main">
              <a:graphicData uri="http://schemas.openxmlformats.org/drawingml/2006/picture">
                <pic:pic xmlns:pic="http://schemas.openxmlformats.org/drawingml/2006/picture">
                  <pic:nvPicPr>
                    <pic:cNvPr id="1026" name="图片 14"/>
                    <pic:cNvPicPr/>
                  </pic:nvPicPr>
                  <pic:blipFill>
                    <a:blip r:embed="rId5" cstate="print"/>
                    <a:srcRect l="16456" r="17721"/>
                    <a:stretch>
                      <a:fillRect/>
                    </a:stretch>
                  </pic:blipFill>
                  <pic:spPr>
                    <a:xfrm>
                      <a:off x="0" y="0"/>
                      <a:ext cx="495300" cy="628650"/>
                    </a:xfrm>
                    <a:prstGeom prst="rect">
                      <a:avLst/>
                    </a:prstGeom>
                  </pic:spPr>
                </pic:pic>
              </a:graphicData>
            </a:graphic>
          </wp:anchor>
        </w:drawing>
      </w:r>
      <w:r>
        <w:rPr>
          <w:rFonts w:hint="eastAsia" w:ascii="黑体" w:hAnsi="黑体" w:eastAsia="黑体"/>
          <w:color w:val="auto"/>
          <w:spacing w:val="-8"/>
          <w:sz w:val="52"/>
          <w:szCs w:val="52"/>
          <w:highlight w:val="none"/>
        </w:rPr>
        <w:t>伊犁新天煤化工有限责任公司</w:t>
      </w:r>
    </w:p>
    <w:p w14:paraId="7B636484">
      <w:pPr>
        <w:spacing w:line="200" w:lineRule="exact"/>
        <w:rPr>
          <w:color w:val="auto"/>
          <w:sz w:val="20"/>
          <w:szCs w:val="20"/>
          <w:highlight w:val="none"/>
        </w:rPr>
      </w:pPr>
      <w:r>
        <w:rPr>
          <w:rFonts w:ascii="黑体" w:hAnsi="黑体" w:eastAsia="黑体"/>
          <w:color w:val="auto"/>
          <w:sz w:val="22"/>
          <w:szCs w:val="22"/>
          <w:highlight w:val="none"/>
        </w:rPr>
        <mc:AlternateContent>
          <mc:Choice Requires="wpg">
            <w:drawing>
              <wp:anchor distT="0" distB="0" distL="0" distR="0" simplePos="0" relativeHeight="251660288" behindDoc="1" locked="0" layoutInCell="1" allowOverlap="1">
                <wp:simplePos x="0" y="0"/>
                <wp:positionH relativeFrom="page">
                  <wp:posOffset>882650</wp:posOffset>
                </wp:positionH>
                <wp:positionV relativeFrom="paragraph">
                  <wp:posOffset>20320</wp:posOffset>
                </wp:positionV>
                <wp:extent cx="5804535" cy="45085"/>
                <wp:effectExtent l="0" t="9525" r="1905" b="0"/>
                <wp:wrapNone/>
                <wp:docPr id="1027" name="1027"/>
                <wp:cNvGraphicFramePr/>
                <a:graphic xmlns:a="http://schemas.openxmlformats.org/drawingml/2006/main">
                  <a:graphicData uri="http://schemas.microsoft.com/office/word/2010/wordprocessingGroup">
                    <wpg:wgp>
                      <wpg:cNvGrpSpPr/>
                      <wpg:grpSpPr>
                        <a:xfrm>
                          <a:off x="0" y="0"/>
                          <a:ext cx="5804535" cy="45085"/>
                          <a:chOff x="1416" y="1135"/>
                          <a:chExt cx="9638" cy="2203"/>
                        </a:xfrm>
                      </wpg:grpSpPr>
                      <wps:wsp>
                        <wps:cNvPr id="1" name="任意多边形 1"/>
                        <wps:cNvSpPr/>
                        <wps:spPr>
                          <a:xfrm>
                            <a:off x="1416" y="1135"/>
                            <a:ext cx="9638" cy="2"/>
                          </a:xfrm>
                          <a:custGeom>
                            <a:avLst/>
                            <a:gdLst/>
                            <a:ahLst/>
                            <a:cxnLst/>
                            <a:rect l="l" t="t" r="r" b="b"/>
                            <a:pathLst>
                              <a:path w="9638" h="1">
                                <a:moveTo>
                                  <a:pt x="0" y="0"/>
                                </a:moveTo>
                                <a:lnTo>
                                  <a:pt x="9638" y="0"/>
                                </a:lnTo>
                              </a:path>
                            </a:pathLst>
                          </a:custGeom>
                          <a:ln w="19050" cap="flat" cmpd="sng">
                            <a:solidFill>
                              <a:srgbClr val="000000"/>
                            </a:solidFill>
                            <a:prstDash val="solid"/>
                            <a:round/>
                            <a:headEnd type="none" w="med" len="med"/>
                            <a:tailEnd type="none" w="med" len="med"/>
                          </a:ln>
                        </wps:spPr>
                        <wps:bodyPr/>
                      </wps:wsp>
                    </wpg:wgp>
                  </a:graphicData>
                </a:graphic>
              </wp:anchor>
            </w:drawing>
          </mc:Choice>
          <mc:Fallback>
            <w:pict>
              <v:group id="1027" o:spid="_x0000_s1026" o:spt="203" style="position:absolute;left:0pt;margin-left:69.5pt;margin-top:1.6pt;height:3.55pt;width:457.05pt;mso-position-horizontal-relative:page;z-index:-251656192;mso-width-relative:page;mso-height-relative:page;" coordorigin="1416,1135" coordsize="9638,2203" o:gfxdata="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J07ai2AAAAAkBAAAPAAAAAAAAAAEAIAAAACIAAABkcnMvZG93bnJldi54bWxQSwEC&#10;FAAUAAAACACHTuJAjdPRNJ8CAADOBQAADgAAAAAAAAABACAAAAAnAQAAZHJzL2Uyb0RvYy54bWxQ&#10;SwUGAAAAAAYABgBZAQAAOAYAAAAA&#10;">
                <o:lock v:ext="edit" aspectratio="f"/>
                <v:shape id="_x0000_s1026" o:spid="_x0000_s1026" o:spt="100" style="position:absolute;left:1416;top:1135;height:2;width:9638;" filled="f" stroked="t" coordsize="9638,1" o:gfxdata="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LbvjbgAAADaAAAA&#10;DwAAAAAAAAABACAAAAAiAAAAZHJzL2Rvd25yZXYueG1sUEsBAhQAFAAAAAgAh07iQDMvBZ47AAAA&#10;OQAAABAAAAAAAAAAAQAgAAAABwEAAGRycy9zaGFwZXhtbC54bWxQSwUGAAAAAAYABgBbAQAAsQMA&#10;AAAA&#10;" path="m0,0l9638,0e">
                  <v:fill on="f" focussize="0,0"/>
                  <v:stroke weight="1.5pt" color="#000000" joinstyle="round"/>
                  <v:imagedata o:title=""/>
                  <o:lock v:ext="edit" aspectratio="f"/>
                </v:shape>
              </v:group>
            </w:pict>
          </mc:Fallback>
        </mc:AlternateContent>
      </w:r>
    </w:p>
    <w:p w14:paraId="1102415B">
      <w:pPr>
        <w:spacing w:line="320" w:lineRule="exact"/>
        <w:rPr>
          <w:color w:val="auto"/>
          <w:sz w:val="20"/>
          <w:szCs w:val="20"/>
          <w:highlight w:val="none"/>
        </w:rPr>
      </w:pPr>
    </w:p>
    <w:p w14:paraId="320B7F9D">
      <w:pPr>
        <w:spacing w:line="320" w:lineRule="exact"/>
        <w:rPr>
          <w:color w:val="auto"/>
          <w:sz w:val="20"/>
          <w:szCs w:val="20"/>
          <w:highlight w:val="none"/>
        </w:rPr>
      </w:pPr>
    </w:p>
    <w:p w14:paraId="10894426">
      <w:pPr>
        <w:spacing w:line="320" w:lineRule="exact"/>
        <w:rPr>
          <w:rFonts w:ascii="黑体" w:hAnsi="黑体" w:eastAsia="黑体"/>
          <w:bCs/>
          <w:color w:val="auto"/>
          <w:sz w:val="52"/>
          <w:szCs w:val="52"/>
          <w:highlight w:val="none"/>
        </w:rPr>
      </w:pPr>
    </w:p>
    <w:p w14:paraId="2E477952">
      <w:pPr>
        <w:spacing w:line="320" w:lineRule="exact"/>
        <w:rPr>
          <w:rFonts w:ascii="黑体" w:hAnsi="黑体" w:eastAsia="黑体"/>
          <w:bCs/>
          <w:color w:val="auto"/>
          <w:sz w:val="52"/>
          <w:szCs w:val="52"/>
          <w:highlight w:val="none"/>
        </w:rPr>
      </w:pPr>
    </w:p>
    <w:p w14:paraId="7A85E189">
      <w:pPr>
        <w:spacing w:line="360" w:lineRule="auto"/>
        <w:jc w:val="center"/>
        <w:rPr>
          <w:rFonts w:hint="eastAsia" w:ascii="黑体" w:hAnsi="黑体" w:eastAsia="黑体"/>
          <w:bCs/>
          <w:color w:val="auto"/>
          <w:sz w:val="52"/>
          <w:szCs w:val="52"/>
          <w:highlight w:val="none"/>
        </w:rPr>
      </w:pPr>
      <w:r>
        <w:rPr>
          <w:rFonts w:ascii="黑体" w:hAnsi="黑体" w:eastAsia="黑体"/>
          <w:bCs/>
          <w:color w:val="auto"/>
          <w:sz w:val="52"/>
          <w:szCs w:val="52"/>
          <w:highlight w:val="none"/>
        </w:rPr>
        <w:t>水处理车间危废填埋场生化污泥回挖</w:t>
      </w:r>
    </w:p>
    <w:p w14:paraId="59D2DD18">
      <w:pPr>
        <w:spacing w:line="360" w:lineRule="auto"/>
        <w:jc w:val="center"/>
        <w:rPr>
          <w:rFonts w:ascii="黑体" w:hAnsi="黑体" w:eastAsia="黑体"/>
          <w:bCs/>
          <w:color w:val="auto"/>
          <w:sz w:val="52"/>
          <w:szCs w:val="52"/>
          <w:highlight w:val="none"/>
        </w:rPr>
      </w:pPr>
      <w:r>
        <w:rPr>
          <w:rFonts w:ascii="黑体" w:hAnsi="黑体" w:eastAsia="黑体"/>
          <w:bCs/>
          <w:color w:val="auto"/>
          <w:sz w:val="52"/>
          <w:szCs w:val="52"/>
          <w:highlight w:val="none"/>
        </w:rPr>
        <w:t>技术规范书</w:t>
      </w:r>
    </w:p>
    <w:p w14:paraId="5D97D3F1">
      <w:pPr>
        <w:ind w:right="-20"/>
        <w:jc w:val="center"/>
        <w:rPr>
          <w:rFonts w:ascii="黑体" w:hAnsi="黑体" w:eastAsia="黑体"/>
          <w:b/>
          <w:color w:val="auto"/>
          <w:sz w:val="32"/>
          <w:szCs w:val="32"/>
          <w:highlight w:val="none"/>
        </w:rPr>
      </w:pPr>
    </w:p>
    <w:p w14:paraId="69C693EF">
      <w:pPr>
        <w:ind w:right="-20"/>
        <w:jc w:val="center"/>
        <w:rPr>
          <w:rFonts w:ascii="黑体" w:hAnsi="黑体" w:eastAsia="黑体"/>
          <w:b/>
          <w:color w:val="auto"/>
          <w:sz w:val="32"/>
          <w:szCs w:val="32"/>
          <w:highlight w:val="none"/>
        </w:rPr>
      </w:pPr>
    </w:p>
    <w:p w14:paraId="3A5F2D42">
      <w:pPr>
        <w:ind w:right="-20"/>
        <w:jc w:val="center"/>
        <w:rPr>
          <w:rFonts w:ascii="黑体" w:hAnsi="黑体" w:eastAsia="黑体"/>
          <w:b/>
          <w:color w:val="auto"/>
          <w:sz w:val="32"/>
          <w:szCs w:val="32"/>
          <w:highlight w:val="none"/>
        </w:rPr>
      </w:pPr>
    </w:p>
    <w:p w14:paraId="04828361">
      <w:pPr>
        <w:ind w:right="-20"/>
        <w:jc w:val="center"/>
        <w:rPr>
          <w:rFonts w:ascii="黑体" w:hAnsi="黑体" w:eastAsia="黑体"/>
          <w:b/>
          <w:color w:val="auto"/>
          <w:sz w:val="32"/>
          <w:szCs w:val="32"/>
          <w:highlight w:val="none"/>
        </w:rPr>
      </w:pPr>
    </w:p>
    <w:p w14:paraId="0BA61719">
      <w:pPr>
        <w:ind w:right="-20" w:firstLine="2880" w:firstLineChars="900"/>
        <w:rPr>
          <w:rFonts w:ascii="黑体" w:hAnsi="黑体" w:eastAsia="黑体"/>
          <w:color w:val="auto"/>
          <w:sz w:val="32"/>
          <w:szCs w:val="32"/>
          <w:highlight w:val="none"/>
        </w:rPr>
      </w:pPr>
      <w:r>
        <w:rPr>
          <w:rFonts w:ascii="黑体" w:hAnsi="黑体" w:eastAsia="黑体"/>
          <w:color w:val="auto"/>
          <w:sz w:val="32"/>
          <w:szCs w:val="32"/>
          <w:highlight w:val="none"/>
        </w:rPr>
        <w:t>编制</w:t>
      </w:r>
      <w:r>
        <w:rPr>
          <w:rFonts w:hint="eastAsia" w:ascii="黑体" w:hAnsi="黑体" w:eastAsia="黑体"/>
          <w:color w:val="auto"/>
          <w:sz w:val="32"/>
          <w:szCs w:val="32"/>
          <w:highlight w:val="none"/>
        </w:rPr>
        <w:t>：</w:t>
      </w:r>
    </w:p>
    <w:p w14:paraId="349F6CF4">
      <w:pPr>
        <w:pStyle w:val="2"/>
        <w:rPr>
          <w:color w:val="auto"/>
          <w:highlight w:val="none"/>
        </w:rPr>
      </w:pPr>
    </w:p>
    <w:p w14:paraId="21BC3695">
      <w:pPr>
        <w:pStyle w:val="2"/>
        <w:ind w:firstLine="2891" w:firstLineChars="900"/>
        <w:rPr>
          <w:b/>
          <w:color w:val="auto"/>
          <w:sz w:val="32"/>
          <w:szCs w:val="32"/>
          <w:highlight w:val="none"/>
        </w:rPr>
      </w:pPr>
      <w:r>
        <w:rPr>
          <w:rFonts w:hint="eastAsia"/>
          <w:b/>
          <w:color w:val="auto"/>
          <w:sz w:val="32"/>
          <w:szCs w:val="32"/>
          <w:highlight w:val="none"/>
        </w:rPr>
        <w:t>会审：</w:t>
      </w:r>
    </w:p>
    <w:p w14:paraId="661A3A1D">
      <w:pPr>
        <w:rPr>
          <w:color w:val="auto"/>
          <w:highlight w:val="none"/>
        </w:rPr>
      </w:pPr>
    </w:p>
    <w:p w14:paraId="5ED0159D">
      <w:pPr>
        <w:ind w:firstLine="2891" w:firstLineChars="900"/>
        <w:rPr>
          <w:b/>
          <w:color w:val="auto"/>
          <w:sz w:val="32"/>
          <w:szCs w:val="32"/>
          <w:highlight w:val="none"/>
        </w:rPr>
      </w:pPr>
      <w:r>
        <w:rPr>
          <w:rFonts w:hint="eastAsia"/>
          <w:b/>
          <w:color w:val="auto"/>
          <w:sz w:val="32"/>
          <w:szCs w:val="32"/>
          <w:highlight w:val="none"/>
        </w:rPr>
        <w:t>审核：</w:t>
      </w:r>
    </w:p>
    <w:p w14:paraId="696A040E">
      <w:pPr>
        <w:pStyle w:val="2"/>
        <w:rPr>
          <w:color w:val="auto"/>
          <w:highlight w:val="none"/>
        </w:rPr>
      </w:pPr>
    </w:p>
    <w:p w14:paraId="4E4A33F8">
      <w:pPr>
        <w:pStyle w:val="2"/>
        <w:ind w:firstLine="2891" w:firstLineChars="900"/>
        <w:rPr>
          <w:b/>
          <w:color w:val="auto"/>
          <w:sz w:val="32"/>
          <w:szCs w:val="32"/>
          <w:highlight w:val="none"/>
        </w:rPr>
      </w:pPr>
      <w:r>
        <w:rPr>
          <w:rFonts w:hint="eastAsia"/>
          <w:b/>
          <w:color w:val="auto"/>
          <w:sz w:val="32"/>
          <w:szCs w:val="32"/>
          <w:highlight w:val="none"/>
        </w:rPr>
        <w:t>审定：</w:t>
      </w:r>
    </w:p>
    <w:p w14:paraId="1D9C636C">
      <w:pPr>
        <w:rPr>
          <w:color w:val="auto"/>
          <w:highlight w:val="none"/>
        </w:rPr>
      </w:pPr>
    </w:p>
    <w:p w14:paraId="13A02EB2">
      <w:pPr>
        <w:ind w:firstLine="2891" w:firstLineChars="900"/>
        <w:rPr>
          <w:b/>
          <w:color w:val="auto"/>
          <w:sz w:val="32"/>
          <w:szCs w:val="32"/>
          <w:highlight w:val="none"/>
        </w:rPr>
      </w:pPr>
      <w:r>
        <w:rPr>
          <w:rFonts w:hint="eastAsia"/>
          <w:b/>
          <w:color w:val="auto"/>
          <w:sz w:val="32"/>
          <w:szCs w:val="32"/>
          <w:highlight w:val="none"/>
        </w:rPr>
        <w:t>批准：</w:t>
      </w:r>
    </w:p>
    <w:p w14:paraId="59319D8F">
      <w:pPr>
        <w:rPr>
          <w:color w:val="auto"/>
          <w:highlight w:val="none"/>
        </w:rPr>
      </w:pPr>
    </w:p>
    <w:p w14:paraId="4ABFD3D8">
      <w:pPr>
        <w:pStyle w:val="2"/>
        <w:rPr>
          <w:color w:val="auto"/>
          <w:highlight w:val="none"/>
        </w:rPr>
      </w:pPr>
    </w:p>
    <w:p w14:paraId="75EA6635">
      <w:pPr>
        <w:rPr>
          <w:color w:val="auto"/>
          <w:highlight w:val="none"/>
        </w:rPr>
      </w:pPr>
    </w:p>
    <w:p w14:paraId="18B80559">
      <w:pPr>
        <w:pStyle w:val="2"/>
        <w:rPr>
          <w:color w:val="auto"/>
          <w:highlight w:val="none"/>
        </w:rPr>
      </w:pPr>
    </w:p>
    <w:p w14:paraId="15AA0D03">
      <w:pPr>
        <w:rPr>
          <w:color w:val="auto"/>
          <w:highlight w:val="none"/>
        </w:rPr>
      </w:pPr>
    </w:p>
    <w:p w14:paraId="5183621B">
      <w:pPr>
        <w:rPr>
          <w:color w:val="auto"/>
          <w:highlight w:val="none"/>
        </w:rPr>
      </w:pPr>
    </w:p>
    <w:p w14:paraId="108C7E0B">
      <w:pPr>
        <w:pStyle w:val="2"/>
        <w:rPr>
          <w:color w:val="auto"/>
          <w:highlight w:val="none"/>
        </w:rPr>
      </w:pPr>
    </w:p>
    <w:p w14:paraId="57B0D618">
      <w:pPr>
        <w:rPr>
          <w:color w:val="auto"/>
          <w:highlight w:val="none"/>
        </w:rPr>
      </w:pPr>
    </w:p>
    <w:p w14:paraId="33BBCD42">
      <w:pPr>
        <w:rPr>
          <w:color w:val="auto"/>
          <w:highlight w:val="none"/>
        </w:rPr>
      </w:pPr>
    </w:p>
    <w:p w14:paraId="0677DDF9">
      <w:pPr>
        <w:pStyle w:val="2"/>
        <w:jc w:val="center"/>
        <w:rPr>
          <w:b/>
          <w:color w:val="auto"/>
          <w:sz w:val="28"/>
          <w:szCs w:val="28"/>
          <w:highlight w:val="none"/>
        </w:rPr>
      </w:pPr>
      <w:r>
        <w:rPr>
          <w:rFonts w:hint="eastAsia"/>
          <w:b/>
          <w:color w:val="auto"/>
          <w:sz w:val="28"/>
          <w:szCs w:val="28"/>
          <w:highlight w:val="none"/>
        </w:rPr>
        <w:t>伊犁新天煤化工有限责任公司</w:t>
      </w:r>
    </w:p>
    <w:p w14:paraId="433826BC">
      <w:pPr>
        <w:jc w:val="center"/>
        <w:rPr>
          <w:b/>
          <w:color w:val="auto"/>
          <w:sz w:val="28"/>
          <w:szCs w:val="28"/>
          <w:highlight w:val="none"/>
        </w:rPr>
      </w:pPr>
      <w:r>
        <w:rPr>
          <w:rFonts w:hint="eastAsia"/>
          <w:b/>
          <w:color w:val="auto"/>
          <w:sz w:val="28"/>
          <w:szCs w:val="28"/>
          <w:highlight w:val="none"/>
        </w:rPr>
        <w:t>二零二</w:t>
      </w:r>
      <w:r>
        <w:rPr>
          <w:rFonts w:hint="eastAsia"/>
          <w:b/>
          <w:color w:val="auto"/>
          <w:sz w:val="28"/>
          <w:szCs w:val="28"/>
          <w:highlight w:val="none"/>
          <w:lang w:val="en-US" w:eastAsia="zh-CN"/>
        </w:rPr>
        <w:t>六</w:t>
      </w:r>
      <w:r>
        <w:rPr>
          <w:rFonts w:hint="eastAsia"/>
          <w:b/>
          <w:color w:val="auto"/>
          <w:sz w:val="28"/>
          <w:szCs w:val="28"/>
          <w:highlight w:val="none"/>
        </w:rPr>
        <w:t>年</w:t>
      </w:r>
      <w:r>
        <w:rPr>
          <w:rFonts w:hint="eastAsia"/>
          <w:b/>
          <w:color w:val="auto"/>
          <w:sz w:val="28"/>
          <w:szCs w:val="28"/>
          <w:highlight w:val="none"/>
          <w:lang w:val="en-US" w:eastAsia="zh-CN"/>
        </w:rPr>
        <w:t>二</w:t>
      </w:r>
      <w:r>
        <w:rPr>
          <w:rFonts w:hint="eastAsia"/>
          <w:b/>
          <w:color w:val="auto"/>
          <w:sz w:val="28"/>
          <w:szCs w:val="28"/>
          <w:highlight w:val="none"/>
        </w:rPr>
        <w:t>月</w:t>
      </w:r>
    </w:p>
    <w:p w14:paraId="71A08DDE">
      <w:pPr>
        <w:ind w:right="-20"/>
        <w:rPr>
          <w:rFonts w:ascii="黑体" w:hAnsi="黑体" w:eastAsia="黑体"/>
          <w:color w:val="auto"/>
          <w:sz w:val="52"/>
          <w:szCs w:val="52"/>
          <w:highlight w:val="none"/>
        </w:rPr>
      </w:pPr>
    </w:p>
    <w:p w14:paraId="7D6FFEB7">
      <w:pPr>
        <w:jc w:val="center"/>
        <w:rPr>
          <w:color w:val="auto"/>
          <w:highlight w:val="none"/>
        </w:rPr>
      </w:pPr>
      <w:r>
        <w:rPr>
          <w:rFonts w:ascii="宋体" w:hAnsi="宋体"/>
          <w:color w:val="auto"/>
          <w:highlight w:val="none"/>
        </w:rPr>
        <w:t>目录</w:t>
      </w:r>
    </w:p>
    <w:p w14:paraId="796A176B">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color w:val="auto"/>
          <w:highlight w:val="none"/>
        </w:rPr>
        <w:instrText xml:space="preserve"> HYPERLINK \l "_Toc141259831" </w:instrText>
      </w:r>
      <w:r>
        <w:rPr>
          <w:color w:val="auto"/>
          <w:highlight w:val="none"/>
        </w:rPr>
        <w:fldChar w:fldCharType="separate"/>
      </w:r>
      <w:r>
        <w:rPr>
          <w:rStyle w:val="16"/>
          <w:rFonts w:hint="eastAsia" w:ascii="宋体" w:hAnsi="宋体" w:cs="宋体"/>
          <w:color w:val="auto"/>
          <w:highlight w:val="none"/>
        </w:rPr>
        <w:t>一、适用范围</w:t>
      </w:r>
      <w:r>
        <w:rPr>
          <w:color w:val="auto"/>
          <w:highlight w:val="none"/>
        </w:rPr>
        <w:tab/>
      </w:r>
      <w:r>
        <w:rPr>
          <w:color w:val="auto"/>
          <w:highlight w:val="none"/>
        </w:rPr>
        <w:fldChar w:fldCharType="begin"/>
      </w:r>
      <w:r>
        <w:rPr>
          <w:color w:val="auto"/>
          <w:highlight w:val="none"/>
        </w:rPr>
        <w:instrText xml:space="preserve"> PAGEREF _Toc141259831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2C02910C">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"_Toc141259832" </w:instrText>
      </w:r>
      <w:r>
        <w:rPr>
          <w:color w:val="auto"/>
          <w:highlight w:val="none"/>
        </w:rPr>
        <w:fldChar w:fldCharType="separate"/>
      </w:r>
      <w:r>
        <w:rPr>
          <w:rStyle w:val="16"/>
          <w:rFonts w:hint="eastAsia" w:ascii="宋体" w:hAnsi="宋体" w:cs="宋体"/>
          <w:color w:val="auto"/>
          <w:highlight w:val="none"/>
        </w:rPr>
        <w:t>二、编制依据</w:t>
      </w:r>
      <w:r>
        <w:rPr>
          <w:color w:val="auto"/>
          <w:highlight w:val="none"/>
        </w:rPr>
        <w:tab/>
      </w:r>
      <w:r>
        <w:rPr>
          <w:color w:val="auto"/>
          <w:highlight w:val="none"/>
        </w:rPr>
        <w:fldChar w:fldCharType="begin"/>
      </w:r>
      <w:r>
        <w:rPr>
          <w:color w:val="auto"/>
          <w:highlight w:val="none"/>
        </w:rPr>
        <w:instrText xml:space="preserve"> PAGEREF _Toc141259832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3FE9E4E4">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"_Toc141259833" </w:instrText>
      </w:r>
      <w:r>
        <w:rPr>
          <w:color w:val="auto"/>
          <w:highlight w:val="none"/>
        </w:rPr>
        <w:fldChar w:fldCharType="separate"/>
      </w:r>
      <w:r>
        <w:rPr>
          <w:rStyle w:val="16"/>
          <w:rFonts w:hint="eastAsia" w:ascii="宋体" w:hAnsi="宋体" w:cs="宋体"/>
          <w:color w:val="auto"/>
          <w:highlight w:val="none"/>
        </w:rPr>
        <w:t>三、工程概况及特点</w:t>
      </w:r>
      <w:r>
        <w:rPr>
          <w:color w:val="auto"/>
          <w:highlight w:val="none"/>
        </w:rPr>
        <w:tab/>
      </w:r>
      <w:r>
        <w:rPr>
          <w:color w:val="auto"/>
          <w:highlight w:val="none"/>
        </w:rPr>
        <w:fldChar w:fldCharType="begin"/>
      </w:r>
      <w:r>
        <w:rPr>
          <w:color w:val="auto"/>
          <w:highlight w:val="none"/>
        </w:rPr>
        <w:instrText xml:space="preserve"> PAGEREF _Toc141259833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35B5C50F">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"_Toc141259834" </w:instrText>
      </w:r>
      <w:r>
        <w:rPr>
          <w:color w:val="auto"/>
          <w:highlight w:val="none"/>
        </w:rPr>
        <w:fldChar w:fldCharType="separate"/>
      </w:r>
      <w:r>
        <w:rPr>
          <w:rStyle w:val="16"/>
          <w:rFonts w:hint="eastAsia"/>
          <w:color w:val="auto"/>
          <w:highlight w:val="none"/>
        </w:rPr>
        <w:t>四、 招标范围及工期</w:t>
      </w:r>
      <w:r>
        <w:rPr>
          <w:color w:val="auto"/>
          <w:highlight w:val="none"/>
        </w:rPr>
        <w:tab/>
      </w:r>
      <w:r>
        <w:rPr>
          <w:color w:val="auto"/>
          <w:highlight w:val="none"/>
        </w:rPr>
        <w:fldChar w:fldCharType="begin"/>
      </w:r>
      <w:r>
        <w:rPr>
          <w:color w:val="auto"/>
          <w:highlight w:val="none"/>
        </w:rPr>
        <w:instrText xml:space="preserve"> PAGEREF _Toc141259834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7B391873">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"_Toc141259835" </w:instrText>
      </w:r>
      <w:r>
        <w:rPr>
          <w:color w:val="auto"/>
          <w:highlight w:val="none"/>
        </w:rPr>
        <w:fldChar w:fldCharType="separate"/>
      </w:r>
      <w:r>
        <w:rPr>
          <w:rStyle w:val="16"/>
          <w:rFonts w:hint="eastAsia"/>
          <w:color w:val="auto"/>
          <w:highlight w:val="none"/>
        </w:rPr>
        <w:t>五、 技术要求</w:t>
      </w:r>
      <w:r>
        <w:rPr>
          <w:color w:val="auto"/>
          <w:highlight w:val="none"/>
        </w:rPr>
        <w:tab/>
      </w:r>
      <w:r>
        <w:rPr>
          <w:color w:val="auto"/>
          <w:highlight w:val="none"/>
        </w:rPr>
        <w:fldChar w:fldCharType="begin"/>
      </w:r>
      <w:r>
        <w:rPr>
          <w:color w:val="auto"/>
          <w:highlight w:val="none"/>
        </w:rPr>
        <w:instrText xml:space="preserve"> PAGEREF _Toc141259835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67163133">
      <w:pPr>
        <w:pStyle w:val="10"/>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"_Toc141259836" </w:instrText>
      </w:r>
      <w:r>
        <w:rPr>
          <w:color w:val="auto"/>
          <w:highlight w:val="none"/>
        </w:rPr>
        <w:fldChar w:fldCharType="separate"/>
      </w:r>
      <w:r>
        <w:rPr>
          <w:rStyle w:val="16"/>
          <w:rFonts w:ascii="宋体" w:hAnsi="宋体" w:cs="宋体"/>
          <w:color w:val="auto"/>
          <w:highlight w:val="none"/>
        </w:rPr>
        <w:t xml:space="preserve">5.1 </w:t>
      </w:r>
      <w:r>
        <w:rPr>
          <w:rStyle w:val="16"/>
          <w:rFonts w:hint="eastAsia" w:ascii="宋体" w:hAnsi="宋体" w:cs="宋体"/>
          <w:color w:val="auto"/>
          <w:highlight w:val="none"/>
        </w:rPr>
        <w:t>回挖要求</w:t>
      </w:r>
      <w:r>
        <w:rPr>
          <w:color w:val="auto"/>
          <w:highlight w:val="none"/>
        </w:rPr>
        <w:tab/>
      </w:r>
      <w:r>
        <w:rPr>
          <w:color w:val="auto"/>
          <w:highlight w:val="none"/>
        </w:rPr>
        <w:fldChar w:fldCharType="begin"/>
      </w:r>
      <w:r>
        <w:rPr>
          <w:color w:val="auto"/>
          <w:highlight w:val="none"/>
        </w:rPr>
        <w:instrText xml:space="preserve"> PAGEREF _Toc141259836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7B687721">
      <w:pPr>
        <w:pStyle w:val="10"/>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"_Toc141259837" </w:instrText>
      </w:r>
      <w:r>
        <w:rPr>
          <w:color w:val="auto"/>
          <w:highlight w:val="none"/>
        </w:rPr>
        <w:fldChar w:fldCharType="separate"/>
      </w:r>
      <w:r>
        <w:rPr>
          <w:rStyle w:val="16"/>
          <w:rFonts w:ascii="宋体" w:hAnsi="宋体" w:cs="宋体"/>
          <w:color w:val="auto"/>
          <w:highlight w:val="none"/>
        </w:rPr>
        <w:t>5.2</w:t>
      </w:r>
      <w:r>
        <w:rPr>
          <w:rStyle w:val="16"/>
          <w:rFonts w:hint="eastAsia" w:ascii="宋体" w:hAnsi="宋体" w:cs="宋体"/>
          <w:color w:val="auto"/>
          <w:highlight w:val="none"/>
        </w:rPr>
        <w:t>运输要求</w:t>
      </w:r>
      <w:r>
        <w:rPr>
          <w:color w:val="auto"/>
          <w:highlight w:val="none"/>
        </w:rPr>
        <w:tab/>
      </w:r>
      <w:r>
        <w:rPr>
          <w:color w:val="auto"/>
          <w:highlight w:val="none"/>
        </w:rPr>
        <w:fldChar w:fldCharType="begin"/>
      </w:r>
      <w:r>
        <w:rPr>
          <w:color w:val="auto"/>
          <w:highlight w:val="none"/>
        </w:rPr>
        <w:instrText xml:space="preserve"> PAGEREF _Toc141259837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3C1738D2">
      <w:pPr>
        <w:pStyle w:val="10"/>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"_Toc141259838" </w:instrText>
      </w:r>
      <w:r>
        <w:rPr>
          <w:color w:val="auto"/>
          <w:highlight w:val="none"/>
        </w:rPr>
        <w:fldChar w:fldCharType="separate"/>
      </w:r>
      <w:r>
        <w:rPr>
          <w:rStyle w:val="16"/>
          <w:rFonts w:ascii="宋体" w:hAnsi="宋体" w:cs="宋体"/>
          <w:color w:val="auto"/>
          <w:highlight w:val="none"/>
        </w:rPr>
        <w:t>5.3</w:t>
      </w:r>
      <w:r>
        <w:rPr>
          <w:rStyle w:val="16"/>
          <w:rFonts w:hint="eastAsia" w:ascii="宋体" w:hAnsi="宋体" w:cs="宋体"/>
          <w:color w:val="auto"/>
          <w:highlight w:val="none"/>
        </w:rPr>
        <w:t>储存要求</w:t>
      </w:r>
      <w:r>
        <w:rPr>
          <w:color w:val="auto"/>
          <w:highlight w:val="none"/>
        </w:rPr>
        <w:tab/>
      </w:r>
      <w:r>
        <w:rPr>
          <w:color w:val="auto"/>
          <w:highlight w:val="none"/>
        </w:rPr>
        <w:fldChar w:fldCharType="begin"/>
      </w:r>
      <w:r>
        <w:rPr>
          <w:color w:val="auto"/>
          <w:highlight w:val="none"/>
        </w:rPr>
        <w:instrText xml:space="preserve"> PAGEREF _Toc141259838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9063BC5">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"_Toc141259839" </w:instrText>
      </w:r>
      <w:r>
        <w:rPr>
          <w:color w:val="auto"/>
          <w:highlight w:val="none"/>
        </w:rPr>
        <w:fldChar w:fldCharType="separate"/>
      </w:r>
      <w:r>
        <w:rPr>
          <w:rStyle w:val="16"/>
          <w:rFonts w:hint="eastAsia" w:ascii="宋体" w:hAnsi="宋体" w:cs="宋体"/>
          <w:color w:val="auto"/>
          <w:highlight w:val="none"/>
        </w:rPr>
        <w:t>六、回挖方式及措施</w:t>
      </w:r>
      <w:r>
        <w:rPr>
          <w:color w:val="auto"/>
          <w:highlight w:val="none"/>
        </w:rPr>
        <w:tab/>
      </w:r>
      <w:r>
        <w:rPr>
          <w:color w:val="auto"/>
          <w:highlight w:val="none"/>
        </w:rPr>
        <w:fldChar w:fldCharType="begin"/>
      </w:r>
      <w:r>
        <w:rPr>
          <w:color w:val="auto"/>
          <w:highlight w:val="none"/>
        </w:rPr>
        <w:instrText xml:space="preserve"> PAGEREF _Toc141259839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2980073C">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"_Toc141259840" </w:instrText>
      </w:r>
      <w:r>
        <w:rPr>
          <w:color w:val="auto"/>
          <w:highlight w:val="none"/>
        </w:rPr>
        <w:fldChar w:fldCharType="separate"/>
      </w:r>
      <w:r>
        <w:rPr>
          <w:rStyle w:val="16"/>
          <w:rFonts w:hint="eastAsia" w:ascii="宋体" w:hAnsi="宋体" w:cs="宋体"/>
          <w:color w:val="auto"/>
          <w:highlight w:val="none"/>
        </w:rPr>
        <w:t>七、质量控制措施</w:t>
      </w:r>
      <w:r>
        <w:rPr>
          <w:color w:val="auto"/>
          <w:highlight w:val="none"/>
        </w:rPr>
        <w:tab/>
      </w:r>
      <w:r>
        <w:rPr>
          <w:color w:val="auto"/>
          <w:highlight w:val="none"/>
        </w:rPr>
        <w:fldChar w:fldCharType="begin"/>
      </w:r>
      <w:r>
        <w:rPr>
          <w:color w:val="auto"/>
          <w:highlight w:val="none"/>
        </w:rPr>
        <w:instrText xml:space="preserve"> PAGEREF _Toc141259840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14FB001F">
      <w:pPr>
        <w:pStyle w:val="9"/>
        <w:tabs>
          <w:tab w:val="right" w:leader="dot" w:pos="8918"/>
        </w:tabs>
        <w:spacing w:line="480" w:lineRule="auto"/>
        <w:rPr>
          <w:rFonts w:ascii="Calibri" w:hAnsi="Calibri" w:cs="宋体"/>
          <w:color w:val="auto"/>
          <w:szCs w:val="22"/>
          <w:highlight w:val="none"/>
        </w:rPr>
      </w:pPr>
      <w:r>
        <w:rPr>
          <w:color w:val="auto"/>
          <w:highlight w:val="none"/>
        </w:rPr>
        <w:fldChar w:fldCharType="begin"/>
      </w:r>
      <w:r>
        <w:rPr>
          <w:color w:val="auto"/>
          <w:highlight w:val="none"/>
        </w:rPr>
        <w:instrText xml:space="preserve"> HYPERLINK \l "_Toc141259841" </w:instrText>
      </w:r>
      <w:r>
        <w:rPr>
          <w:color w:val="auto"/>
          <w:highlight w:val="none"/>
        </w:rPr>
        <w:fldChar w:fldCharType="separate"/>
      </w:r>
      <w:r>
        <w:rPr>
          <w:rStyle w:val="16"/>
          <w:rFonts w:hint="eastAsia" w:ascii="宋体" w:hAnsi="宋体" w:cs="宋体"/>
          <w:color w:val="auto"/>
          <w:highlight w:val="none"/>
        </w:rPr>
        <w:t>八、安全文明施工措施</w:t>
      </w:r>
      <w:r>
        <w:rPr>
          <w:color w:val="auto"/>
          <w:highlight w:val="none"/>
        </w:rPr>
        <w:tab/>
      </w:r>
      <w:r>
        <w:rPr>
          <w:color w:val="auto"/>
          <w:highlight w:val="none"/>
        </w:rPr>
        <w:fldChar w:fldCharType="begin"/>
      </w:r>
      <w:r>
        <w:rPr>
          <w:color w:val="auto"/>
          <w:highlight w:val="none"/>
        </w:rPr>
        <w:instrText xml:space="preserve"> PAGEREF _Toc141259841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5C0D64DD">
      <w:pPr>
        <w:spacing w:line="480" w:lineRule="auto"/>
        <w:rPr>
          <w:color w:val="auto"/>
          <w:highlight w:val="none"/>
        </w:rPr>
      </w:pPr>
      <w:r>
        <w:rPr>
          <w:color w:val="auto"/>
          <w:highlight w:val="none"/>
        </w:rPr>
        <w:fldChar w:fldCharType="end"/>
      </w:r>
    </w:p>
    <w:p w14:paraId="370F0026">
      <w:pPr>
        <w:pStyle w:val="3"/>
        <w:rPr>
          <w:rFonts w:ascii="宋体" w:hAnsi="宋体" w:cs="宋体"/>
          <w:color w:val="auto"/>
          <w:szCs w:val="24"/>
          <w:highlight w:val="none"/>
        </w:rPr>
      </w:pPr>
    </w:p>
    <w:p w14:paraId="715D6950">
      <w:pPr>
        <w:pStyle w:val="3"/>
        <w:rPr>
          <w:rFonts w:ascii="宋体" w:hAnsi="宋体" w:cs="宋体"/>
          <w:color w:val="auto"/>
          <w:szCs w:val="24"/>
          <w:highlight w:val="none"/>
        </w:rPr>
      </w:pPr>
    </w:p>
    <w:p w14:paraId="49474E62">
      <w:pPr>
        <w:rPr>
          <w:rFonts w:ascii="宋体" w:hAnsi="宋体" w:cs="宋体"/>
          <w:color w:val="auto"/>
          <w:highlight w:val="none"/>
        </w:rPr>
      </w:pPr>
    </w:p>
    <w:p w14:paraId="10CEF241">
      <w:pPr>
        <w:pStyle w:val="2"/>
        <w:rPr>
          <w:rFonts w:ascii="宋体" w:hAnsi="宋体" w:cs="宋体"/>
          <w:color w:val="auto"/>
          <w:highlight w:val="none"/>
        </w:rPr>
      </w:pPr>
    </w:p>
    <w:p w14:paraId="3317CC28">
      <w:pPr>
        <w:rPr>
          <w:rFonts w:ascii="宋体" w:hAnsi="宋体" w:cs="宋体"/>
          <w:color w:val="auto"/>
          <w:highlight w:val="none"/>
        </w:rPr>
      </w:pPr>
    </w:p>
    <w:p w14:paraId="7484A2D7">
      <w:pPr>
        <w:pStyle w:val="2"/>
        <w:rPr>
          <w:color w:val="auto"/>
          <w:highlight w:val="none"/>
        </w:rPr>
      </w:pPr>
    </w:p>
    <w:p w14:paraId="03B9E9E3">
      <w:pPr>
        <w:pStyle w:val="2"/>
        <w:rPr>
          <w:color w:val="auto"/>
          <w:highlight w:val="none"/>
        </w:rPr>
      </w:pPr>
    </w:p>
    <w:p w14:paraId="3A214E7F">
      <w:pPr>
        <w:rPr>
          <w:color w:val="auto"/>
          <w:highlight w:val="none"/>
        </w:rPr>
      </w:pPr>
    </w:p>
    <w:p w14:paraId="1C93F6D1">
      <w:pPr>
        <w:pStyle w:val="2"/>
        <w:rPr>
          <w:color w:val="auto"/>
          <w:highlight w:val="none"/>
        </w:rPr>
      </w:pPr>
    </w:p>
    <w:p w14:paraId="46B1130C">
      <w:pPr>
        <w:pStyle w:val="2"/>
        <w:rPr>
          <w:color w:val="auto"/>
          <w:highlight w:val="none"/>
        </w:rPr>
      </w:pPr>
    </w:p>
    <w:p w14:paraId="5E60B094">
      <w:pPr>
        <w:pStyle w:val="2"/>
        <w:rPr>
          <w:color w:val="auto"/>
          <w:highlight w:val="none"/>
        </w:rPr>
      </w:pPr>
    </w:p>
    <w:p w14:paraId="3DFA4222">
      <w:pPr>
        <w:pStyle w:val="2"/>
        <w:rPr>
          <w:color w:val="auto"/>
          <w:highlight w:val="none"/>
        </w:rPr>
      </w:pPr>
    </w:p>
    <w:p w14:paraId="1FFA963E">
      <w:pPr>
        <w:pStyle w:val="2"/>
        <w:rPr>
          <w:color w:val="auto"/>
          <w:highlight w:val="none"/>
        </w:rPr>
      </w:pPr>
    </w:p>
    <w:p w14:paraId="2BE447AB">
      <w:pPr>
        <w:pStyle w:val="2"/>
        <w:rPr>
          <w:color w:val="auto"/>
          <w:highlight w:val="none"/>
        </w:rPr>
      </w:pPr>
    </w:p>
    <w:p w14:paraId="35005CAC">
      <w:pPr>
        <w:pStyle w:val="2"/>
        <w:rPr>
          <w:color w:val="auto"/>
          <w:highlight w:val="none"/>
        </w:rPr>
      </w:pPr>
    </w:p>
    <w:p w14:paraId="696009F0">
      <w:pPr>
        <w:pStyle w:val="2"/>
        <w:rPr>
          <w:color w:val="auto"/>
          <w:highlight w:val="none"/>
        </w:rPr>
      </w:pPr>
    </w:p>
    <w:p w14:paraId="442A3C7C">
      <w:pPr>
        <w:pStyle w:val="2"/>
        <w:rPr>
          <w:color w:val="auto"/>
          <w:highlight w:val="none"/>
        </w:rPr>
      </w:pPr>
    </w:p>
    <w:p w14:paraId="687CC466">
      <w:pPr>
        <w:pStyle w:val="2"/>
        <w:rPr>
          <w:color w:val="auto"/>
          <w:highlight w:val="none"/>
        </w:rPr>
      </w:pPr>
    </w:p>
    <w:p w14:paraId="78B13AC4">
      <w:pPr>
        <w:pStyle w:val="2"/>
        <w:rPr>
          <w:color w:val="auto"/>
          <w:highlight w:val="none"/>
        </w:rPr>
      </w:pPr>
    </w:p>
    <w:p w14:paraId="4DC9913D">
      <w:pPr>
        <w:pStyle w:val="2"/>
        <w:rPr>
          <w:color w:val="auto"/>
          <w:highlight w:val="none"/>
        </w:rPr>
      </w:pPr>
    </w:p>
    <w:p w14:paraId="5628EA9E">
      <w:pPr>
        <w:pStyle w:val="3"/>
        <w:rPr>
          <w:rFonts w:ascii="宋体" w:hAnsi="宋体" w:cs="宋体"/>
          <w:color w:val="auto"/>
          <w:szCs w:val="24"/>
          <w:highlight w:val="none"/>
        </w:rPr>
      </w:pPr>
      <w:bookmarkStart w:id="0" w:name="_Toc141259831"/>
      <w:r>
        <w:rPr>
          <w:rFonts w:hint="eastAsia" w:ascii="宋体" w:hAnsi="宋体" w:cs="宋体"/>
          <w:color w:val="auto"/>
          <w:szCs w:val="24"/>
          <w:highlight w:val="none"/>
        </w:rPr>
        <w:t>一、适用范围</w:t>
      </w:r>
      <w:bookmarkEnd w:id="0"/>
    </w:p>
    <w:p w14:paraId="5953B7D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新天煤化工刚性危险废物填埋场共计432个填埋单元及整体配套设施。每个单元尺寸为：长×宽×深=10m×5m×5m，主要填埋的危险废物有：水处理车间生产的干化杂盐、回收车间双介质过滤器中沾染了煤焦油无法资源化利用的废滤料；其中，有</w:t>
      </w:r>
      <w:r>
        <w:rPr>
          <w:rFonts w:hint="eastAsia" w:ascii="宋体" w:hAnsi="宋体" w:cs="宋体"/>
          <w:color w:val="auto"/>
          <w:sz w:val="24"/>
          <w:highlight w:val="none"/>
          <w:lang w:val="en-US" w:eastAsia="zh-CN"/>
        </w:rPr>
        <w:t>45</w:t>
      </w:r>
      <w:r>
        <w:rPr>
          <w:rFonts w:hint="eastAsia" w:ascii="宋体" w:hAnsi="宋体" w:cs="宋体"/>
          <w:color w:val="auto"/>
          <w:sz w:val="24"/>
          <w:highlight w:val="none"/>
        </w:rPr>
        <w:t>个填埋单元格暂存生化污泥</w:t>
      </w:r>
      <w:r>
        <w:rPr>
          <w:rFonts w:hint="eastAsia" w:ascii="宋体" w:hAnsi="宋体" w:cs="宋体"/>
          <w:color w:val="auto"/>
          <w:sz w:val="24"/>
          <w:highlight w:val="none"/>
          <w:lang w:val="en-US" w:eastAsia="zh-CN"/>
        </w:rPr>
        <w:t>及20个单元格底部清理</w:t>
      </w:r>
      <w:r>
        <w:rPr>
          <w:rFonts w:hint="eastAsia" w:ascii="宋体" w:hAnsi="宋体" w:cs="宋体"/>
          <w:color w:val="auto"/>
          <w:sz w:val="24"/>
          <w:highlight w:val="none"/>
        </w:rPr>
        <w:t>，存量约为</w:t>
      </w:r>
      <w:r>
        <w:rPr>
          <w:rFonts w:hint="eastAsia" w:asciiTheme="minorEastAsia" w:hAnsiTheme="minorEastAsia" w:eastAsiaTheme="minorEastAsia" w:cstheme="minorEastAsia"/>
          <w:color w:val="auto"/>
          <w:sz w:val="24"/>
          <w:highlight w:val="none"/>
          <w:lang w:val="en-US" w:eastAsia="zh-CN"/>
        </w:rPr>
        <w:t>13000</w:t>
      </w:r>
      <w:r>
        <w:rPr>
          <w:rFonts w:hint="eastAsia" w:asciiTheme="minorEastAsia" w:hAnsiTheme="minorEastAsia" w:eastAsiaTheme="minorEastAsia" w:cstheme="minorEastAsia"/>
          <w:color w:val="auto"/>
          <w:sz w:val="24"/>
          <w:highlight w:val="none"/>
        </w:rPr>
        <w:t>m³</w:t>
      </w:r>
      <w:r>
        <w:rPr>
          <w:rFonts w:hint="eastAsia" w:ascii="宋体" w:hAnsi="宋体" w:cs="宋体"/>
          <w:color w:val="auto"/>
          <w:sz w:val="24"/>
          <w:highlight w:val="none"/>
        </w:rPr>
        <w:t>，现需要将其回挖进行掺烧环保处理，腾出空间供危险废物填埋使用。生化污泥填埋格使用情况如下图：</w:t>
      </w:r>
    </w:p>
    <w:p w14:paraId="29EF14A9">
      <w:pPr>
        <w:spacing w:line="360" w:lineRule="auto"/>
        <w:rPr>
          <w:rFonts w:ascii="宋体" w:hAnsi="宋体" w:cs="宋体"/>
          <w:color w:val="auto"/>
          <w:sz w:val="24"/>
          <w:highlight w:val="none"/>
        </w:rPr>
      </w:pPr>
      <w:r>
        <w:rPr>
          <w:color w:val="auto"/>
          <w:highlight w:val="none"/>
        </w:rPr>
        <w:drawing>
          <wp:inline distT="0" distB="0" distL="114300" distR="114300">
            <wp:extent cx="5666740" cy="2419985"/>
            <wp:effectExtent l="0" t="0" r="10160" b="184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5666740" cy="2419985"/>
                    </a:xfrm>
                    <a:prstGeom prst="rect">
                      <a:avLst/>
                    </a:prstGeom>
                    <a:noFill/>
                    <a:ln>
                      <a:noFill/>
                    </a:ln>
                  </pic:spPr>
                </pic:pic>
              </a:graphicData>
            </a:graphic>
          </wp:inline>
        </w:drawing>
      </w:r>
    </w:p>
    <w:p w14:paraId="0A54555C">
      <w:pPr>
        <w:spacing w:line="360" w:lineRule="auto"/>
        <w:ind w:firstLine="422" w:firstLineChars="200"/>
        <w:rPr>
          <w:rFonts w:ascii="宋体" w:hAnsi="宋体" w:cs="宋体"/>
          <w:b/>
          <w:bCs/>
          <w:color w:val="auto"/>
          <w:szCs w:val="24"/>
          <w:highlight w:val="none"/>
        </w:rPr>
      </w:pPr>
      <w:bookmarkStart w:id="1" w:name="_Toc141259832"/>
      <w:r>
        <w:rPr>
          <w:rFonts w:hint="eastAsia" w:ascii="宋体" w:hAnsi="宋体" w:cs="宋体"/>
          <w:b/>
          <w:bCs/>
          <w:color w:val="auto"/>
          <w:szCs w:val="24"/>
          <w:highlight w:val="none"/>
        </w:rPr>
        <w:t>二、</w:t>
      </w:r>
      <w:bookmarkEnd w:id="1"/>
      <w:bookmarkStart w:id="2" w:name="_Toc29392067"/>
      <w:bookmarkStart w:id="3" w:name="_Toc29392240"/>
      <w:bookmarkStart w:id="4" w:name="_Toc141259833"/>
      <w:bookmarkStart w:id="5" w:name="_Toc29805386"/>
      <w:bookmarkStart w:id="6" w:name="_Toc29392144"/>
      <w:r>
        <w:rPr>
          <w:rFonts w:hint="eastAsia" w:ascii="宋体" w:hAnsi="宋体" w:cs="宋体"/>
          <w:b/>
          <w:bCs/>
          <w:color w:val="auto"/>
          <w:szCs w:val="24"/>
          <w:highlight w:val="none"/>
        </w:rPr>
        <w:t>工程概况及特点</w:t>
      </w:r>
      <w:bookmarkEnd w:id="2"/>
      <w:bookmarkEnd w:id="3"/>
      <w:bookmarkEnd w:id="4"/>
      <w:bookmarkEnd w:id="5"/>
      <w:bookmarkEnd w:id="6"/>
    </w:p>
    <w:p w14:paraId="43F79B3D">
      <w:pPr>
        <w:spacing w:line="360" w:lineRule="auto"/>
        <w:ind w:firstLine="484" w:firstLineChars="202"/>
        <w:rPr>
          <w:rFonts w:ascii="宋体" w:hAnsi="宋体" w:cs="宋体"/>
          <w:color w:val="auto"/>
          <w:sz w:val="24"/>
          <w:highlight w:val="none"/>
        </w:rPr>
      </w:pPr>
      <w:bookmarkStart w:id="7" w:name="_Toc448585162"/>
      <w:r>
        <w:rPr>
          <w:rFonts w:hint="eastAsia" w:ascii="宋体" w:hAnsi="宋体" w:cs="宋体"/>
          <w:color w:val="auto"/>
          <w:sz w:val="24"/>
          <w:highlight w:val="none"/>
        </w:rPr>
        <w:t>新天煤化工刚性危险废物填埋场</w:t>
      </w:r>
      <w:r>
        <w:rPr>
          <w:rFonts w:hint="eastAsia" w:ascii="宋体" w:hAnsi="宋体" w:cs="宋体"/>
          <w:color w:val="auto"/>
          <w:sz w:val="24"/>
          <w:highlight w:val="none"/>
          <w:lang w:val="en-US" w:eastAsia="zh-CN"/>
        </w:rPr>
        <w:t>现</w:t>
      </w:r>
      <w:r>
        <w:rPr>
          <w:rFonts w:hint="eastAsia" w:ascii="宋体" w:hAnsi="宋体" w:cs="宋体"/>
          <w:color w:val="auto"/>
          <w:sz w:val="24"/>
          <w:highlight w:val="none"/>
        </w:rPr>
        <w:t>有</w:t>
      </w:r>
      <w:r>
        <w:rPr>
          <w:rFonts w:hint="eastAsia" w:ascii="宋体" w:hAnsi="宋体" w:cs="宋体"/>
          <w:color w:val="auto"/>
          <w:sz w:val="24"/>
          <w:highlight w:val="none"/>
          <w:lang w:val="en-US" w:eastAsia="zh-CN"/>
        </w:rPr>
        <w:t>58</w:t>
      </w:r>
      <w:r>
        <w:rPr>
          <w:rFonts w:hint="eastAsia" w:ascii="宋体" w:hAnsi="宋体" w:cs="宋体"/>
          <w:color w:val="auto"/>
          <w:sz w:val="24"/>
          <w:highlight w:val="none"/>
        </w:rPr>
        <w:t>个填埋单元格供水处理车间生化污泥暂存使用，</w:t>
      </w:r>
      <w:r>
        <w:rPr>
          <w:rFonts w:hint="eastAsia" w:ascii="宋体" w:hAnsi="宋体" w:cs="宋体"/>
          <w:color w:val="auto"/>
          <w:sz w:val="24"/>
          <w:highlight w:val="none"/>
          <w:lang w:val="en-US" w:eastAsia="zh-CN"/>
        </w:rPr>
        <w:t>且45</w:t>
      </w:r>
      <w:r>
        <w:rPr>
          <w:rFonts w:hint="eastAsia" w:ascii="宋体" w:hAnsi="宋体" w:cs="宋体"/>
          <w:color w:val="auto"/>
          <w:sz w:val="24"/>
          <w:highlight w:val="none"/>
        </w:rPr>
        <w:t>个单元格处于满格储存状态（污泥储存量约</w:t>
      </w:r>
      <w:r>
        <w:rPr>
          <w:rFonts w:hint="eastAsia" w:asciiTheme="minorEastAsia" w:hAnsiTheme="minorEastAsia" w:eastAsiaTheme="minorEastAsia" w:cstheme="minorEastAsia"/>
          <w:color w:val="auto"/>
          <w:sz w:val="24"/>
          <w:highlight w:val="none"/>
          <w:lang w:val="en-US" w:eastAsia="zh-CN"/>
        </w:rPr>
        <w:t>11250</w:t>
      </w:r>
      <w:r>
        <w:rPr>
          <w:rFonts w:hint="eastAsia" w:asciiTheme="minorEastAsia" w:hAnsiTheme="minorEastAsia" w:eastAsiaTheme="minorEastAsia" w:cstheme="minorEastAsia"/>
          <w:color w:val="auto"/>
          <w:sz w:val="24"/>
          <w:highlight w:val="none"/>
        </w:rPr>
        <w:t>m³</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及20个单元格底部清理</w:t>
      </w:r>
      <w:r>
        <w:rPr>
          <w:rFonts w:hint="eastAsia" w:ascii="宋体" w:hAnsi="宋体" w:cs="宋体"/>
          <w:color w:val="auto"/>
          <w:sz w:val="24"/>
          <w:highlight w:val="none"/>
        </w:rPr>
        <w:t>（污泥</w:t>
      </w:r>
      <w:r>
        <w:rPr>
          <w:rFonts w:hint="eastAsia" w:ascii="宋体" w:hAnsi="宋体" w:cs="宋体"/>
          <w:color w:val="auto"/>
          <w:sz w:val="24"/>
          <w:highlight w:val="none"/>
          <w:lang w:val="en-US" w:eastAsia="zh-CN"/>
        </w:rPr>
        <w:t>清理</w:t>
      </w:r>
      <w:r>
        <w:rPr>
          <w:rFonts w:hint="eastAsia" w:ascii="宋体" w:hAnsi="宋体" w:cs="宋体"/>
          <w:color w:val="auto"/>
          <w:sz w:val="24"/>
          <w:highlight w:val="none"/>
        </w:rPr>
        <w:t>量约</w:t>
      </w:r>
      <w:r>
        <w:rPr>
          <w:rFonts w:hint="eastAsia" w:asciiTheme="minorEastAsia" w:hAnsiTheme="minorEastAsia" w:eastAsiaTheme="minorEastAsia" w:cstheme="minorEastAsia"/>
          <w:color w:val="auto"/>
          <w:sz w:val="24"/>
          <w:highlight w:val="none"/>
          <w:lang w:val="en-US" w:eastAsia="zh-CN"/>
        </w:rPr>
        <w:t>1750</w:t>
      </w:r>
      <w:r>
        <w:rPr>
          <w:rFonts w:hint="eastAsia" w:asciiTheme="minorEastAsia" w:hAnsiTheme="minorEastAsia" w:eastAsiaTheme="minorEastAsia" w:cstheme="minorEastAsia"/>
          <w:color w:val="auto"/>
          <w:sz w:val="24"/>
          <w:highlight w:val="none"/>
        </w:rPr>
        <w:t>m³</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2024年5月6日，伊犁州生态环境局批复了《伊犁新天煤化工有限责任公司生化污泥掺烧项目环境影响报告》，为确保危废填埋场一期二区未建成投运前，每日产生的结晶盐有充足填埋空间，现需尽快将危废填埋场已填埋的45</w:t>
      </w:r>
      <w:r>
        <w:rPr>
          <w:rFonts w:hint="eastAsia" w:ascii="宋体" w:hAnsi="宋体" w:cs="宋体"/>
          <w:color w:val="auto"/>
          <w:sz w:val="24"/>
          <w:highlight w:val="none"/>
        </w:rPr>
        <w:t>个单元格生化污泥回挖</w:t>
      </w:r>
      <w:r>
        <w:rPr>
          <w:rFonts w:hint="eastAsia" w:ascii="宋体" w:hAnsi="宋体" w:cs="宋体"/>
          <w:color w:val="auto"/>
          <w:sz w:val="24"/>
          <w:highlight w:val="none"/>
          <w:lang w:val="en-US" w:eastAsia="zh-CN"/>
        </w:rPr>
        <w:t>及20个单元格底部清理，</w:t>
      </w:r>
      <w:r>
        <w:rPr>
          <w:rFonts w:hint="eastAsia" w:ascii="宋体" w:hAnsi="宋体" w:cs="宋体"/>
          <w:color w:val="auto"/>
          <w:sz w:val="24"/>
          <w:highlight w:val="none"/>
        </w:rPr>
        <w:t>输送至备煤煤场进一步环保处理。</w:t>
      </w:r>
    </w:p>
    <w:p w14:paraId="4CEF7390">
      <w:pPr>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填埋单元格整体由钢筋混凝土池壁和防渗膜构建而成，单个池体规格：长×宽×深=10m×5m×5m。在污泥回挖过程中，需要挖机和人工协同作业，挖机回挖至0.5米处时需采取人工回挖作业。当人员进入生化污泥填埋格内，要严格执行受限空间作业规定要求。人员进入受限空间作业前，该填埋格进行7-10天自然通风，并气体检测分析合格后方可进入作业，作业过程如遇四合一气体报警等特殊情况，人员必须及时撤离并进行通风置换采取相应措施。</w:t>
      </w:r>
    </w:p>
    <w:p w14:paraId="02A237AD">
      <w:pPr>
        <w:pStyle w:val="3"/>
        <w:numPr>
          <w:ilvl w:val="0"/>
          <w:numId w:val="0"/>
        </w:numPr>
        <w:rPr>
          <w:color w:val="auto"/>
          <w:highlight w:val="none"/>
        </w:rPr>
      </w:pPr>
      <w:bookmarkStart w:id="8" w:name="_Toc141259834"/>
      <w:r>
        <w:rPr>
          <w:rFonts w:hint="eastAsia"/>
          <w:color w:val="auto"/>
          <w:highlight w:val="none"/>
          <w:lang w:val="en-US" w:eastAsia="zh-CN"/>
        </w:rPr>
        <w:t>三、</w:t>
      </w:r>
      <w:r>
        <w:rPr>
          <w:rFonts w:hint="eastAsia"/>
          <w:color w:val="auto"/>
          <w:highlight w:val="none"/>
        </w:rPr>
        <w:t>招标范围及工期</w:t>
      </w:r>
      <w:bookmarkEnd w:id="8"/>
    </w:p>
    <w:p w14:paraId="444484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本工程招标范围为水处理车间危废填埋场</w:t>
      </w:r>
      <w:r>
        <w:rPr>
          <w:rFonts w:hint="eastAsia" w:ascii="宋体" w:hAnsi="宋体" w:cs="宋体"/>
          <w:color w:val="auto"/>
          <w:sz w:val="24"/>
          <w:highlight w:val="none"/>
          <w:lang w:val="en-US" w:eastAsia="zh-CN"/>
        </w:rPr>
        <w:t>45</w:t>
      </w:r>
      <w:r>
        <w:rPr>
          <w:rFonts w:hint="eastAsia" w:ascii="宋体" w:hAnsi="宋体" w:cs="宋体"/>
          <w:color w:val="auto"/>
          <w:sz w:val="24"/>
          <w:highlight w:val="none"/>
        </w:rPr>
        <w:t>个生化污泥填埋单元格</w:t>
      </w:r>
      <w:r>
        <w:rPr>
          <w:rFonts w:hint="eastAsia" w:ascii="宋体" w:hAnsi="宋体" w:cs="宋体"/>
          <w:color w:val="auto"/>
          <w:sz w:val="24"/>
          <w:highlight w:val="none"/>
          <w:lang w:eastAsia="zh-CN"/>
        </w:rPr>
        <w:t>，</w:t>
      </w:r>
      <w:r>
        <w:rPr>
          <w:rFonts w:hint="eastAsia" w:ascii="宋体" w:hAnsi="宋体" w:cs="宋体"/>
          <w:color w:val="auto"/>
          <w:sz w:val="24"/>
          <w:highlight w:val="none"/>
        </w:rPr>
        <w:t>生化污泥回挖及运输工程、</w:t>
      </w:r>
      <w:r>
        <w:rPr>
          <w:rFonts w:hint="eastAsia" w:ascii="宋体" w:hAnsi="宋体" w:cs="宋体"/>
          <w:color w:val="auto"/>
          <w:sz w:val="24"/>
          <w:highlight w:val="none"/>
          <w:lang w:val="en-US" w:eastAsia="zh-CN"/>
        </w:rPr>
        <w:t>20个单元格底部清理及</w:t>
      </w:r>
      <w:r>
        <w:rPr>
          <w:rFonts w:hint="eastAsia" w:ascii="宋体" w:hAnsi="宋体" w:cs="宋体"/>
          <w:color w:val="auto"/>
          <w:sz w:val="24"/>
          <w:highlight w:val="none"/>
        </w:rPr>
        <w:t>防渗膜破损修复。主要包括</w:t>
      </w:r>
      <w:r>
        <w:rPr>
          <w:rFonts w:hint="eastAsia" w:ascii="宋体" w:hAnsi="宋体" w:cs="宋体"/>
          <w:color w:val="auto"/>
          <w:sz w:val="24"/>
          <w:highlight w:val="none"/>
        </w:rPr>
        <w:t>污泥回挖</w:t>
      </w:r>
      <w:r>
        <w:rPr>
          <w:rFonts w:hint="eastAsia" w:ascii="宋体" w:hAnsi="宋体" w:cs="宋体"/>
          <w:color w:val="auto"/>
          <w:sz w:val="24"/>
          <w:highlight w:val="none"/>
          <w:lang w:val="en-US" w:eastAsia="zh-CN"/>
        </w:rPr>
        <w:t>及回挖过程中垃圾清理</w:t>
      </w:r>
      <w:r>
        <w:rPr>
          <w:rFonts w:hint="eastAsia" w:ascii="宋体" w:hAnsi="宋体" w:cs="宋体"/>
          <w:color w:val="auto"/>
          <w:sz w:val="24"/>
          <w:highlight w:val="none"/>
        </w:rPr>
        <w:t>、污泥运输、生化污泥填埋</w:t>
      </w:r>
      <w:r>
        <w:rPr>
          <w:rFonts w:hint="eastAsia" w:ascii="宋体" w:hAnsi="宋体" w:cs="宋体"/>
          <w:color w:val="auto"/>
          <w:sz w:val="24"/>
          <w:highlight w:val="none"/>
          <w:lang w:val="en-US" w:eastAsia="zh-CN"/>
        </w:rPr>
        <w:t>单元格</w:t>
      </w:r>
      <w:r>
        <w:rPr>
          <w:rFonts w:hint="eastAsia" w:ascii="宋体" w:hAnsi="宋体" w:cs="宋体"/>
          <w:color w:val="auto"/>
          <w:sz w:val="24"/>
          <w:highlight w:val="none"/>
        </w:rPr>
        <w:t>防渗膜破损修复、危废填埋格周边水泥地面塌陷修复及道路平整、生化污泥周边散落的污泥清理及现场安全警示标示牌安装等。</w:t>
      </w:r>
    </w:p>
    <w:p w14:paraId="06483D37">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本项目施工计划按</w:t>
      </w:r>
      <w:r>
        <w:rPr>
          <w:rFonts w:hint="eastAsia" w:ascii="宋体" w:hAnsi="宋体" w:cs="宋体"/>
          <w:color w:val="auto"/>
          <w:sz w:val="24"/>
          <w:highlight w:val="none"/>
          <w:lang w:val="en-US" w:eastAsia="zh-CN"/>
        </w:rPr>
        <w:t>每月回挖3次，每次回挖</w:t>
      </w:r>
      <w:r>
        <w:rPr>
          <w:rFonts w:hint="eastAsia" w:ascii="宋体" w:hAnsi="宋体" w:cs="宋体"/>
          <w:color w:val="auto"/>
          <w:sz w:val="24"/>
          <w:highlight w:val="none"/>
        </w:rPr>
        <w:t>并转运</w:t>
      </w:r>
      <w:r>
        <w:rPr>
          <w:rFonts w:hint="eastAsia" w:ascii="宋体" w:hAnsi="宋体" w:cs="宋体"/>
          <w:color w:val="auto"/>
          <w:sz w:val="24"/>
          <w:highlight w:val="none"/>
          <w:lang w:val="en-US" w:eastAsia="zh-CN"/>
        </w:rPr>
        <w:t>生化</w:t>
      </w:r>
      <w:r>
        <w:rPr>
          <w:rFonts w:hint="eastAsia" w:ascii="宋体" w:hAnsi="宋体" w:cs="宋体"/>
          <w:color w:val="auto"/>
          <w:sz w:val="24"/>
          <w:highlight w:val="none"/>
        </w:rPr>
        <w:t>污泥量（约</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00m³），以此类推为周期。在施工进度正常推动的条件下，预计</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个月方可完成</w:t>
      </w:r>
      <w:r>
        <w:rPr>
          <w:rFonts w:hint="eastAsia" w:asciiTheme="minorEastAsia" w:hAnsiTheme="minorEastAsia" w:eastAsiaTheme="minorEastAsia" w:cstheme="minorEastAsia"/>
          <w:color w:val="auto"/>
          <w:sz w:val="24"/>
          <w:highlight w:val="none"/>
          <w:lang w:val="en-US" w:eastAsia="zh-CN"/>
        </w:rPr>
        <w:t>13000</w:t>
      </w:r>
      <w:r>
        <w:rPr>
          <w:rFonts w:hint="eastAsia" w:asciiTheme="minorEastAsia" w:hAnsiTheme="minorEastAsia" w:eastAsiaTheme="minorEastAsia" w:cstheme="minorEastAsia"/>
          <w:color w:val="auto"/>
          <w:sz w:val="24"/>
          <w:highlight w:val="none"/>
        </w:rPr>
        <w:t>m³</w:t>
      </w:r>
      <w:r>
        <w:rPr>
          <w:rFonts w:hint="eastAsia" w:ascii="宋体" w:hAnsi="宋体" w:cs="宋体"/>
          <w:color w:val="auto"/>
          <w:sz w:val="24"/>
          <w:highlight w:val="none"/>
        </w:rPr>
        <w:t>生化污泥回挖</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20个单元格底部生化污泥量约10</w:t>
      </w:r>
      <w:r>
        <w:rPr>
          <w:rFonts w:hint="eastAsia" w:ascii="宋体" w:hAnsi="宋体" w:cs="宋体"/>
          <w:color w:val="auto"/>
          <w:sz w:val="24"/>
          <w:highlight w:val="none"/>
        </w:rPr>
        <w:t>00m³</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其</w:t>
      </w:r>
      <w:r>
        <w:rPr>
          <w:rFonts w:hint="eastAsia" w:ascii="宋体" w:hAnsi="宋体" w:cs="宋体"/>
          <w:color w:val="auto"/>
          <w:sz w:val="24"/>
          <w:highlight w:val="none"/>
        </w:rPr>
        <w:t>附属配套工作</w:t>
      </w:r>
      <w:r>
        <w:rPr>
          <w:rFonts w:hint="eastAsia" w:ascii="宋体" w:hAnsi="宋体" w:cs="宋体"/>
          <w:color w:val="auto"/>
          <w:sz w:val="24"/>
          <w:highlight w:val="none"/>
          <w:lang w:val="en-US" w:eastAsia="zh-CN"/>
        </w:rPr>
        <w:t>预计1个月完成，最终完成此项工作预计12个月，回挖</w:t>
      </w:r>
      <w:r>
        <w:rPr>
          <w:rFonts w:hint="eastAsia" w:ascii="宋体" w:hAnsi="宋体" w:cs="宋体"/>
          <w:color w:val="auto"/>
          <w:sz w:val="24"/>
          <w:highlight w:val="none"/>
        </w:rPr>
        <w:t>并转运</w:t>
      </w:r>
      <w:r>
        <w:rPr>
          <w:rFonts w:hint="eastAsia" w:ascii="宋体" w:hAnsi="宋体" w:cs="宋体"/>
          <w:color w:val="auto"/>
          <w:sz w:val="24"/>
          <w:highlight w:val="none"/>
          <w:lang w:val="en-US" w:eastAsia="zh-CN"/>
        </w:rPr>
        <w:t>生化</w:t>
      </w:r>
      <w:r>
        <w:rPr>
          <w:rFonts w:hint="eastAsia" w:ascii="宋体" w:hAnsi="宋体" w:cs="宋体"/>
          <w:color w:val="auto"/>
          <w:sz w:val="24"/>
          <w:highlight w:val="none"/>
        </w:rPr>
        <w:t>污泥量约</w:t>
      </w:r>
      <w:r>
        <w:rPr>
          <w:rFonts w:hint="eastAsia" w:ascii="宋体" w:hAnsi="宋体" w:cs="宋体"/>
          <w:color w:val="auto"/>
          <w:sz w:val="24"/>
          <w:highlight w:val="none"/>
          <w:lang w:val="en-US" w:eastAsia="zh-CN"/>
        </w:rPr>
        <w:t>13000</w:t>
      </w:r>
      <w:r>
        <w:rPr>
          <w:rFonts w:hint="eastAsia" w:ascii="宋体" w:hAnsi="宋体" w:cs="宋体"/>
          <w:color w:val="auto"/>
          <w:sz w:val="24"/>
          <w:highlight w:val="none"/>
        </w:rPr>
        <w:t>m³</w:t>
      </w:r>
      <w:r>
        <w:rPr>
          <w:rFonts w:hint="eastAsia" w:ascii="宋体" w:hAnsi="宋体" w:cs="宋体"/>
          <w:color w:val="auto"/>
          <w:sz w:val="24"/>
          <w:highlight w:val="none"/>
          <w:lang w:eastAsia="zh-CN"/>
        </w:rPr>
        <w:t>。</w:t>
      </w:r>
    </w:p>
    <w:p w14:paraId="0AD149C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雨雪天气及检修期间回挖量降低至每月回挖1次。回挖的污泥由投标人转运至煤场指定区域进行掺烧。（具体位置由生产运行部</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备煤车间</w:t>
      </w:r>
      <w:r>
        <w:rPr>
          <w:rFonts w:hint="eastAsia" w:ascii="宋体" w:hAnsi="宋体" w:cs="宋体"/>
          <w:color w:val="auto"/>
          <w:sz w:val="24"/>
          <w:highlight w:val="none"/>
          <w:lang w:val="en-US" w:eastAsia="zh-CN"/>
        </w:rPr>
        <w:t>指定）</w:t>
      </w:r>
    </w:p>
    <w:p w14:paraId="5409EDBB">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具体工期：预估</w:t>
      </w:r>
      <w:r>
        <w:rPr>
          <w:rFonts w:hint="eastAsia" w:ascii="宋体" w:hAnsi="宋体" w:cs="宋体"/>
          <w:color w:val="auto"/>
          <w:sz w:val="24"/>
          <w:highlight w:val="none"/>
          <w:lang w:val="en-US" w:eastAsia="zh-CN"/>
        </w:rPr>
        <w:t>2026年6月26</w:t>
      </w:r>
      <w:r>
        <w:rPr>
          <w:rFonts w:hint="eastAsia" w:ascii="宋体" w:hAnsi="宋体" w:cs="宋体"/>
          <w:color w:val="auto"/>
          <w:sz w:val="24"/>
          <w:highlight w:val="none"/>
        </w:rPr>
        <w:t>日开工，至</w:t>
      </w:r>
      <w:r>
        <w:rPr>
          <w:rFonts w:hint="eastAsia" w:ascii="宋体" w:hAnsi="宋体" w:cs="宋体"/>
          <w:color w:val="auto"/>
          <w:sz w:val="24"/>
          <w:highlight w:val="none"/>
          <w:lang w:val="en-US" w:eastAsia="zh-CN"/>
        </w:rPr>
        <w:t>2027年6</w:t>
      </w:r>
      <w:r>
        <w:rPr>
          <w:rFonts w:hint="eastAsia" w:ascii="宋体" w:hAnsi="宋体" w:cs="宋体"/>
          <w:color w:val="auto"/>
          <w:sz w:val="24"/>
          <w:highlight w:val="none"/>
        </w:rPr>
        <w:t>月2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365</w:t>
      </w:r>
      <w:r>
        <w:rPr>
          <w:rFonts w:hint="eastAsia" w:ascii="宋体" w:hAnsi="宋体" w:cs="宋体"/>
          <w:color w:val="auto"/>
          <w:sz w:val="24"/>
          <w:highlight w:val="none"/>
        </w:rPr>
        <w:t>天）约完成</w:t>
      </w:r>
      <w:r>
        <w:rPr>
          <w:rFonts w:hint="eastAsia" w:ascii="宋体" w:hAnsi="宋体" w:cs="宋体"/>
          <w:color w:val="auto"/>
          <w:sz w:val="24"/>
          <w:highlight w:val="none"/>
          <w:lang w:val="en-US" w:eastAsia="zh-CN"/>
        </w:rPr>
        <w:t>生化</w:t>
      </w:r>
      <w:r>
        <w:rPr>
          <w:rFonts w:hint="eastAsia" w:ascii="宋体" w:hAnsi="宋体" w:cs="宋体"/>
          <w:color w:val="auto"/>
          <w:sz w:val="24"/>
          <w:highlight w:val="none"/>
        </w:rPr>
        <w:t>污泥的回挖及转运、附属配套工作工作</w:t>
      </w:r>
      <w:r>
        <w:rPr>
          <w:rFonts w:hint="eastAsia" w:ascii="宋体" w:hAnsi="宋体" w:cs="宋体"/>
          <w:color w:val="auto"/>
          <w:sz w:val="24"/>
          <w:highlight w:val="none"/>
          <w:lang w:eastAsia="zh-CN"/>
        </w:rPr>
        <w:t>，</w:t>
      </w:r>
      <w:r>
        <w:rPr>
          <w:rFonts w:hint="eastAsia" w:ascii="宋体" w:hAnsi="宋体" w:cs="宋体"/>
          <w:color w:val="auto"/>
          <w:sz w:val="24"/>
          <w:highlight w:val="none"/>
        </w:rPr>
        <w:t>该项目施工将全部完成</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如特殊工况</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停机检修</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冬季天气影响，该项目施工完成时间顺延。</w:t>
      </w:r>
    </w:p>
    <w:p w14:paraId="146C8747">
      <w:pPr>
        <w:pStyle w:val="3"/>
        <w:numPr>
          <w:ilvl w:val="0"/>
          <w:numId w:val="1"/>
        </w:numPr>
        <w:rPr>
          <w:color w:val="auto"/>
          <w:highlight w:val="none"/>
        </w:rPr>
      </w:pPr>
      <w:bookmarkStart w:id="9" w:name="_Toc141259835"/>
      <w:r>
        <w:rPr>
          <w:rFonts w:hint="eastAsia"/>
          <w:color w:val="auto"/>
          <w:highlight w:val="none"/>
        </w:rPr>
        <w:t>回挖技术要求</w:t>
      </w:r>
      <w:bookmarkEnd w:id="9"/>
    </w:p>
    <w:p w14:paraId="490AF44C">
      <w:pPr>
        <w:pStyle w:val="4"/>
        <w:rPr>
          <w:rFonts w:ascii="宋体" w:hAnsi="宋体"/>
          <w:color w:val="auto"/>
          <w:szCs w:val="24"/>
          <w:highlight w:val="none"/>
        </w:rPr>
      </w:pPr>
      <w:bookmarkStart w:id="10" w:name="_Toc141259836"/>
      <w:r>
        <w:rPr>
          <w:rFonts w:hint="eastAsia" w:ascii="宋体" w:hAnsi="宋体"/>
          <w:color w:val="auto"/>
          <w:szCs w:val="24"/>
          <w:highlight w:val="none"/>
          <w:lang w:val="en-US" w:eastAsia="zh-CN"/>
        </w:rPr>
        <w:t>4</w:t>
      </w:r>
      <w:r>
        <w:rPr>
          <w:rFonts w:hint="eastAsia" w:ascii="宋体" w:hAnsi="宋体"/>
          <w:color w:val="auto"/>
          <w:szCs w:val="24"/>
          <w:highlight w:val="none"/>
        </w:rPr>
        <w:t xml:space="preserve">.1 </w:t>
      </w:r>
      <w:r>
        <w:rPr>
          <w:rFonts w:hint="eastAsia"/>
          <w:color w:val="auto"/>
          <w:highlight w:val="none"/>
        </w:rPr>
        <w:t>整体</w:t>
      </w:r>
      <w:r>
        <w:rPr>
          <w:rFonts w:hint="eastAsia" w:ascii="宋体" w:hAnsi="宋体"/>
          <w:color w:val="auto"/>
          <w:szCs w:val="24"/>
          <w:highlight w:val="none"/>
        </w:rPr>
        <w:t>回挖要求</w:t>
      </w:r>
      <w:bookmarkEnd w:id="10"/>
    </w:p>
    <w:p w14:paraId="6E2BEEF9">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.1.1投标方负责将挖机挖斗改为无齿平挖斗状态，防止回挖过程中对填埋单元土工布及防渗膜造成破坏。</w:t>
      </w:r>
    </w:p>
    <w:p w14:paraId="16A23838">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.1.2 挖机回挖过程中应从上风向污泥填埋格区域开始回挖作业，禁止回挖作业区域人员聚集。</w:t>
      </w:r>
    </w:p>
    <w:p w14:paraId="3C12728E">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.1.3挖机回挖过程中应指定专人负责指挥监督，临边未填埋危废填埋格现场设置安全警戒隔离，临边空洞未严格执行防护措施禁止施工作业。</w:t>
      </w:r>
    </w:p>
    <w:p w14:paraId="4D19B1A6">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.1.4挖机回挖至0.5米处时应停止采用人工回挖，在确保不发生防渗膜破损情况下尽量使用机型回挖，减少人工回挖量及安全风险。</w:t>
      </w:r>
    </w:p>
    <w:p w14:paraId="20053EBB">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.1.5 挖机回挖作业前应提前将覆盖篷布回收并叠放整齐，禁止发生损坏篷布情况，回收篷布要运至指定地点堆放。</w:t>
      </w:r>
    </w:p>
    <w:p w14:paraId="6D6BB185">
      <w:pPr>
        <w:pStyle w:val="2"/>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ascii="宋体" w:hAnsi="宋体" w:cs="宋体"/>
          <w:color w:val="auto"/>
          <w:sz w:val="24"/>
          <w:highlight w:val="none"/>
        </w:rPr>
        <w:t>.</w:t>
      </w:r>
      <w:r>
        <w:rPr>
          <w:rFonts w:hint="eastAsia" w:ascii="宋体" w:hAnsi="宋体" w:cs="宋体"/>
          <w:color w:val="auto"/>
          <w:sz w:val="24"/>
          <w:highlight w:val="none"/>
        </w:rPr>
        <w:t>1.</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主要及器具及材料供货情况如下</w:t>
      </w:r>
    </w:p>
    <w:tbl>
      <w:tblPr>
        <w:tblStyle w:val="31"/>
        <w:tblpPr w:leftFromText="180" w:rightFromText="180" w:vertAnchor="text" w:horzAnchor="page" w:tblpX="1802" w:tblpY="438"/>
        <w:tblOverlap w:val="never"/>
        <w:tblW w:w="81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695"/>
        <w:gridCol w:w="1578"/>
        <w:gridCol w:w="1458"/>
        <w:gridCol w:w="1408"/>
        <w:gridCol w:w="759"/>
        <w:gridCol w:w="769"/>
        <w:gridCol w:w="1503"/>
      </w:tblGrid>
      <w:tr w14:paraId="3E19E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0EDF0E34">
            <w:pPr>
              <w:keepNext w:val="0"/>
              <w:keepLines w:val="0"/>
              <w:widowControl/>
              <w:suppressLineNumbers w:val="0"/>
              <w:kinsoku w:val="0"/>
              <w:autoSpaceDE w:val="0"/>
              <w:autoSpaceDN w:val="0"/>
              <w:adjustRightInd w:val="0"/>
              <w:snapToGrid w:val="0"/>
              <w:spacing w:before="15"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6"/>
                <w:kern w:val="0"/>
                <w:sz w:val="22"/>
                <w:szCs w:val="22"/>
                <w:highlight w:val="none"/>
                <w:lang w:val="en-US" w:eastAsia="zh-CN" w:bidi="ar"/>
              </w:rPr>
              <w:t>序号</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49FB140D">
            <w:pPr>
              <w:keepNext w:val="0"/>
              <w:keepLines w:val="0"/>
              <w:widowControl/>
              <w:suppressLineNumbers w:val="0"/>
              <w:kinsoku w:val="0"/>
              <w:autoSpaceDE w:val="0"/>
              <w:autoSpaceDN w:val="0"/>
              <w:adjustRightInd w:val="0"/>
              <w:snapToGrid w:val="0"/>
              <w:spacing w:before="25"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物资名称</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72D2E413">
            <w:pPr>
              <w:keepNext w:val="0"/>
              <w:keepLines w:val="0"/>
              <w:widowControl/>
              <w:suppressLineNumbers w:val="0"/>
              <w:kinsoku w:val="0"/>
              <w:autoSpaceDE w:val="0"/>
              <w:autoSpaceDN w:val="0"/>
              <w:adjustRightInd w:val="0"/>
              <w:snapToGrid w:val="0"/>
              <w:spacing w:before="24"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型号规格</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43B08A08">
            <w:pPr>
              <w:keepNext w:val="0"/>
              <w:keepLines w:val="0"/>
              <w:widowControl/>
              <w:suppressLineNumbers w:val="0"/>
              <w:kinsoku w:val="0"/>
              <w:autoSpaceDE w:val="0"/>
              <w:autoSpaceDN w:val="0"/>
              <w:adjustRightInd w:val="0"/>
              <w:snapToGrid w:val="0"/>
              <w:spacing w:before="12" w:beforeAutospacing="0" w:after="0" w:afterAutospacing="0"/>
              <w:ind w:left="7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12"/>
                <w:kern w:val="0"/>
                <w:sz w:val="22"/>
                <w:szCs w:val="22"/>
                <w:highlight w:val="none"/>
                <w:lang w:val="en-US" w:eastAsia="zh-CN" w:bidi="ar"/>
              </w:rPr>
              <w:t>材质</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9D65154">
            <w:pPr>
              <w:keepNext w:val="0"/>
              <w:keepLines w:val="0"/>
              <w:widowControl/>
              <w:suppressLineNumbers w:val="0"/>
              <w:kinsoku w:val="0"/>
              <w:autoSpaceDE w:val="0"/>
              <w:autoSpaceDN w:val="0"/>
              <w:adjustRightInd w:val="0"/>
              <w:snapToGrid w:val="0"/>
              <w:spacing w:before="24"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单位</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47358ECA">
            <w:pPr>
              <w:keepNext w:val="0"/>
              <w:keepLines w:val="0"/>
              <w:widowControl/>
              <w:suppressLineNumbers w:val="0"/>
              <w:kinsoku w:val="0"/>
              <w:autoSpaceDE w:val="0"/>
              <w:autoSpaceDN w:val="0"/>
              <w:adjustRightInd w:val="0"/>
              <w:snapToGrid w:val="0"/>
              <w:spacing w:before="24"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数量</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2A14093F">
            <w:pPr>
              <w:keepNext w:val="0"/>
              <w:keepLines w:val="0"/>
              <w:widowControl/>
              <w:suppressLineNumbers w:val="0"/>
              <w:kinsoku w:val="0"/>
              <w:autoSpaceDE w:val="0"/>
              <w:autoSpaceDN w:val="0"/>
              <w:adjustRightInd w:val="0"/>
              <w:snapToGrid w:val="0"/>
              <w:spacing w:before="35"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5"/>
                <w:kern w:val="0"/>
                <w:sz w:val="22"/>
                <w:szCs w:val="22"/>
                <w:highlight w:val="none"/>
                <w:lang w:val="en-US" w:eastAsia="zh-CN" w:bidi="ar"/>
              </w:rPr>
              <w:t>备注</w:t>
            </w:r>
          </w:p>
        </w:tc>
      </w:tr>
      <w:tr w14:paraId="5DBC6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60637F61">
            <w:pPr>
              <w:keepNext w:val="0"/>
              <w:keepLines w:val="0"/>
              <w:widowControl/>
              <w:suppressLineNumbers w:val="0"/>
              <w:kinsoku w:val="0"/>
              <w:autoSpaceDE w:val="0"/>
              <w:autoSpaceDN w:val="0"/>
              <w:adjustRightInd w:val="0"/>
              <w:snapToGrid w:val="0"/>
              <w:spacing w:before="71"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1</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06E3AE4F">
            <w:pPr>
              <w:keepNext w:val="0"/>
              <w:keepLines w:val="0"/>
              <w:widowControl/>
              <w:suppressLineNumbers w:val="0"/>
              <w:kinsoku w:val="0"/>
              <w:autoSpaceDE w:val="0"/>
              <w:autoSpaceDN w:val="0"/>
              <w:adjustRightInd w:val="0"/>
              <w:snapToGrid w:val="0"/>
              <w:spacing w:before="7"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挖机</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2EBCAED3">
            <w:pPr>
              <w:keepNext w:val="0"/>
              <w:keepLines w:val="0"/>
              <w:widowControl/>
              <w:suppressLineNumbers w:val="0"/>
              <w:kinsoku w:val="0"/>
              <w:autoSpaceDE w:val="0"/>
              <w:autoSpaceDN w:val="0"/>
              <w:adjustRightInd w:val="0"/>
              <w:snapToGrid w:val="0"/>
              <w:spacing w:before="17"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220长臂</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7E134C26">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A225655">
            <w:pPr>
              <w:keepNext w:val="0"/>
              <w:keepLines w:val="0"/>
              <w:widowControl/>
              <w:suppressLineNumbers w:val="0"/>
              <w:kinsoku w:val="0"/>
              <w:autoSpaceDE w:val="0"/>
              <w:autoSpaceDN w:val="0"/>
              <w:adjustRightInd w:val="0"/>
              <w:snapToGrid w:val="0"/>
              <w:spacing w:before="12"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台</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6785F333">
            <w:pPr>
              <w:keepNext w:val="0"/>
              <w:keepLines w:val="0"/>
              <w:widowControl/>
              <w:suppressLineNumbers w:val="0"/>
              <w:kinsoku w:val="0"/>
              <w:autoSpaceDE w:val="0"/>
              <w:autoSpaceDN w:val="0"/>
              <w:adjustRightInd w:val="0"/>
              <w:snapToGrid w:val="0"/>
              <w:spacing w:before="90"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1</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680D810B">
            <w:pPr>
              <w:keepNext w:val="0"/>
              <w:keepLines w:val="0"/>
              <w:widowControl/>
              <w:suppressLineNumbers w:val="0"/>
              <w:kinsoku w:val="0"/>
              <w:autoSpaceDE w:val="0"/>
              <w:autoSpaceDN w:val="0"/>
              <w:adjustRightInd w:val="0"/>
              <w:snapToGrid w:val="0"/>
              <w:spacing w:before="37"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13B0B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5E4C1906">
            <w:pPr>
              <w:keepNext w:val="0"/>
              <w:keepLines w:val="0"/>
              <w:widowControl/>
              <w:suppressLineNumbers w:val="0"/>
              <w:kinsoku w:val="0"/>
              <w:autoSpaceDE w:val="0"/>
              <w:autoSpaceDN w:val="0"/>
              <w:adjustRightInd w:val="0"/>
              <w:snapToGrid w:val="0"/>
              <w:spacing w:before="60"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2</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669F5108">
            <w:pPr>
              <w:keepNext w:val="0"/>
              <w:keepLines w:val="0"/>
              <w:widowControl/>
              <w:suppressLineNumbers w:val="0"/>
              <w:kinsoku w:val="0"/>
              <w:autoSpaceDE w:val="0"/>
              <w:autoSpaceDN w:val="0"/>
              <w:adjustRightInd w:val="0"/>
              <w:snapToGrid w:val="0"/>
              <w:spacing w:before="19"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洒水车</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701F8B99">
            <w:pPr>
              <w:keepNext w:val="0"/>
              <w:keepLines w:val="0"/>
              <w:widowControl/>
              <w:suppressLineNumbers w:val="0"/>
              <w:kinsoku w:val="0"/>
              <w:autoSpaceDE w:val="0"/>
              <w:autoSpaceDN w:val="0"/>
              <w:adjustRightInd w:val="0"/>
              <w:snapToGrid w:val="0"/>
              <w:spacing w:before="60"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5"/>
                <w:kern w:val="0"/>
                <w:sz w:val="22"/>
                <w:szCs w:val="22"/>
                <w:highlight w:val="none"/>
                <w:lang w:val="en-US" w:eastAsia="zh-CN" w:bidi="ar"/>
              </w:rPr>
              <w:t>15m³</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758B12F0">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6C92B15">
            <w:pPr>
              <w:keepNext w:val="0"/>
              <w:keepLines w:val="0"/>
              <w:widowControl/>
              <w:suppressLineNumbers w:val="0"/>
              <w:kinsoku w:val="0"/>
              <w:autoSpaceDE w:val="0"/>
              <w:autoSpaceDN w:val="0"/>
              <w:adjustRightInd w:val="0"/>
              <w:snapToGrid w:val="0"/>
              <w:spacing w:before="12"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台</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60E1D473">
            <w:pPr>
              <w:keepNext w:val="0"/>
              <w:keepLines w:val="0"/>
              <w:widowControl/>
              <w:suppressLineNumbers w:val="0"/>
              <w:kinsoku w:val="0"/>
              <w:autoSpaceDE w:val="0"/>
              <w:autoSpaceDN w:val="0"/>
              <w:adjustRightInd w:val="0"/>
              <w:snapToGrid w:val="0"/>
              <w:spacing w:before="131"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1</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290809E9">
            <w:pPr>
              <w:keepNext w:val="0"/>
              <w:keepLines w:val="0"/>
              <w:widowControl/>
              <w:suppressLineNumbers w:val="0"/>
              <w:kinsoku w:val="0"/>
              <w:autoSpaceDE w:val="0"/>
              <w:autoSpaceDN w:val="0"/>
              <w:adjustRightInd w:val="0"/>
              <w:snapToGrid w:val="0"/>
              <w:spacing w:before="27"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41869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01050A07">
            <w:pPr>
              <w:keepNext w:val="0"/>
              <w:keepLines w:val="0"/>
              <w:widowControl/>
              <w:suppressLineNumbers w:val="0"/>
              <w:kinsoku w:val="0"/>
              <w:autoSpaceDE w:val="0"/>
              <w:autoSpaceDN w:val="0"/>
              <w:adjustRightInd w:val="0"/>
              <w:snapToGrid w:val="0"/>
              <w:spacing w:before="71"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3</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3FBB9C4E">
            <w:pPr>
              <w:keepNext w:val="0"/>
              <w:keepLines w:val="0"/>
              <w:widowControl/>
              <w:suppressLineNumbers w:val="0"/>
              <w:kinsoku w:val="0"/>
              <w:autoSpaceDE w:val="0"/>
              <w:autoSpaceDN w:val="0"/>
              <w:adjustRightInd w:val="0"/>
              <w:snapToGrid w:val="0"/>
              <w:spacing w:before="10"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自卸车</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6F47B2C1">
            <w:pPr>
              <w:keepNext w:val="0"/>
              <w:keepLines w:val="0"/>
              <w:widowControl/>
              <w:suppressLineNumbers w:val="0"/>
              <w:kinsoku w:val="0"/>
              <w:autoSpaceDE w:val="0"/>
              <w:autoSpaceDN w:val="0"/>
              <w:adjustRightInd w:val="0"/>
              <w:snapToGrid w:val="0"/>
              <w:spacing w:before="61"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20m³</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0B52E5BD">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9AFE771">
            <w:pPr>
              <w:keepNext w:val="0"/>
              <w:keepLines w:val="0"/>
              <w:widowControl/>
              <w:suppressLineNumbers w:val="0"/>
              <w:kinsoku w:val="0"/>
              <w:autoSpaceDE w:val="0"/>
              <w:autoSpaceDN w:val="0"/>
              <w:adjustRightInd w:val="0"/>
              <w:snapToGrid w:val="0"/>
              <w:spacing w:before="33"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台</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24B97274">
            <w:pPr>
              <w:keepNext w:val="0"/>
              <w:keepLines w:val="0"/>
              <w:widowControl/>
              <w:suppressLineNumbers w:val="0"/>
              <w:kinsoku w:val="0"/>
              <w:autoSpaceDE w:val="0"/>
              <w:autoSpaceDN w:val="0"/>
              <w:adjustRightInd w:val="0"/>
              <w:snapToGrid w:val="0"/>
              <w:spacing w:before="132"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4</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1C341864">
            <w:pPr>
              <w:keepNext w:val="0"/>
              <w:keepLines w:val="0"/>
              <w:widowControl/>
              <w:suppressLineNumbers w:val="0"/>
              <w:kinsoku w:val="0"/>
              <w:autoSpaceDE w:val="0"/>
              <w:autoSpaceDN w:val="0"/>
              <w:adjustRightInd w:val="0"/>
              <w:snapToGrid w:val="0"/>
              <w:spacing w:before="18"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31CE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2296CA2F">
            <w:pPr>
              <w:keepNext w:val="0"/>
              <w:keepLines w:val="0"/>
              <w:widowControl/>
              <w:suppressLineNumbers w:val="0"/>
              <w:kinsoku w:val="0"/>
              <w:autoSpaceDE w:val="0"/>
              <w:autoSpaceDN w:val="0"/>
              <w:adjustRightInd w:val="0"/>
              <w:snapToGrid w:val="0"/>
              <w:spacing w:before="72"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4</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32A89462">
            <w:pPr>
              <w:keepNext w:val="0"/>
              <w:keepLines w:val="0"/>
              <w:widowControl/>
              <w:suppressLineNumbers w:val="0"/>
              <w:kinsoku w:val="0"/>
              <w:autoSpaceDE w:val="0"/>
              <w:autoSpaceDN w:val="0"/>
              <w:adjustRightInd w:val="0"/>
              <w:snapToGrid w:val="0"/>
              <w:spacing w:before="30"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1"/>
                <w:kern w:val="0"/>
                <w:sz w:val="22"/>
                <w:szCs w:val="22"/>
                <w:highlight w:val="none"/>
                <w:lang w:val="en-US" w:eastAsia="zh-CN" w:bidi="ar"/>
              </w:rPr>
              <w:t>10米速差器</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621872E3">
            <w:pPr>
              <w:pStyle w:val="30"/>
              <w:keepNext w:val="0"/>
              <w:keepLines w:val="0"/>
              <w:widowControl/>
              <w:suppressLineNumbers w:val="0"/>
              <w:rPr>
                <w:rFonts w:hint="default" w:ascii="Arial" w:hAnsi="Arial" w:cs="Arial"/>
                <w:color w:val="auto"/>
                <w:kern w:val="0"/>
                <w:sz w:val="21"/>
                <w:szCs w:val="21"/>
                <w:highlight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6C2DB276">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4E5B19B">
            <w:pPr>
              <w:keepNext w:val="0"/>
              <w:keepLines w:val="0"/>
              <w:widowControl/>
              <w:suppressLineNumbers w:val="0"/>
              <w:kinsoku w:val="0"/>
              <w:autoSpaceDE w:val="0"/>
              <w:autoSpaceDN w:val="0"/>
              <w:adjustRightInd w:val="0"/>
              <w:snapToGrid w:val="0"/>
              <w:spacing w:before="20"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个</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7BF92A4C">
            <w:pPr>
              <w:keepNext w:val="0"/>
              <w:keepLines w:val="0"/>
              <w:widowControl/>
              <w:suppressLineNumbers w:val="0"/>
              <w:kinsoku w:val="0"/>
              <w:autoSpaceDE w:val="0"/>
              <w:autoSpaceDN w:val="0"/>
              <w:adjustRightInd w:val="0"/>
              <w:snapToGrid w:val="0"/>
              <w:spacing w:before="82"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1</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484F4E33">
            <w:pPr>
              <w:keepNext w:val="0"/>
              <w:keepLines w:val="0"/>
              <w:widowControl/>
              <w:suppressLineNumbers w:val="0"/>
              <w:kinsoku w:val="0"/>
              <w:autoSpaceDE w:val="0"/>
              <w:autoSpaceDN w:val="0"/>
              <w:adjustRightInd w:val="0"/>
              <w:snapToGrid w:val="0"/>
              <w:spacing w:before="18"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2DD97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4DCC203D">
            <w:pPr>
              <w:keepNext w:val="0"/>
              <w:keepLines w:val="0"/>
              <w:widowControl/>
              <w:suppressLineNumbers w:val="0"/>
              <w:kinsoku w:val="0"/>
              <w:autoSpaceDE w:val="0"/>
              <w:autoSpaceDN w:val="0"/>
              <w:adjustRightInd w:val="0"/>
              <w:snapToGrid w:val="0"/>
              <w:spacing w:before="52"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5</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6AC9CD24">
            <w:pPr>
              <w:keepNext w:val="0"/>
              <w:keepLines w:val="0"/>
              <w:widowControl/>
              <w:suppressLineNumbers w:val="0"/>
              <w:kinsoku w:val="0"/>
              <w:autoSpaceDE w:val="0"/>
              <w:autoSpaceDN w:val="0"/>
              <w:adjustRightInd w:val="0"/>
              <w:snapToGrid w:val="0"/>
              <w:spacing w:before="11"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4"/>
                <w:kern w:val="0"/>
                <w:sz w:val="22"/>
                <w:szCs w:val="22"/>
                <w:highlight w:val="none"/>
                <w:lang w:val="en-US" w:eastAsia="zh-CN" w:bidi="ar"/>
              </w:rPr>
              <w:t>软爬梯</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321141C0">
            <w:pPr>
              <w:pStyle w:val="30"/>
              <w:keepNext w:val="0"/>
              <w:keepLines w:val="0"/>
              <w:widowControl/>
              <w:suppressLineNumbers w:val="0"/>
              <w:rPr>
                <w:rFonts w:hint="default" w:ascii="Arial" w:hAnsi="Arial" w:cs="Arial"/>
                <w:color w:val="auto"/>
                <w:kern w:val="0"/>
                <w:sz w:val="21"/>
                <w:szCs w:val="21"/>
                <w:highlight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1F41763C">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D177E01">
            <w:pPr>
              <w:keepNext w:val="0"/>
              <w:keepLines w:val="0"/>
              <w:widowControl/>
              <w:suppressLineNumbers w:val="0"/>
              <w:kinsoku w:val="0"/>
              <w:autoSpaceDE w:val="0"/>
              <w:autoSpaceDN w:val="0"/>
              <w:adjustRightInd w:val="0"/>
              <w:snapToGrid w:val="0"/>
              <w:spacing w:before="31"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个</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6AA3884F">
            <w:pPr>
              <w:keepNext w:val="0"/>
              <w:keepLines w:val="0"/>
              <w:widowControl/>
              <w:suppressLineNumbers w:val="0"/>
              <w:kinsoku w:val="0"/>
              <w:autoSpaceDE w:val="0"/>
              <w:autoSpaceDN w:val="0"/>
              <w:adjustRightInd w:val="0"/>
              <w:snapToGrid w:val="0"/>
              <w:spacing w:before="93"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2</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76208ED5">
            <w:pPr>
              <w:keepNext w:val="0"/>
              <w:keepLines w:val="0"/>
              <w:widowControl/>
              <w:suppressLineNumbers w:val="0"/>
              <w:kinsoku w:val="0"/>
              <w:autoSpaceDE w:val="0"/>
              <w:autoSpaceDN w:val="0"/>
              <w:adjustRightInd w:val="0"/>
              <w:snapToGrid w:val="0"/>
              <w:spacing w:before="29"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21910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42AA5D41">
            <w:pPr>
              <w:keepNext w:val="0"/>
              <w:keepLines w:val="0"/>
              <w:widowControl/>
              <w:suppressLineNumbers w:val="0"/>
              <w:kinsoku w:val="0"/>
              <w:autoSpaceDE w:val="0"/>
              <w:autoSpaceDN w:val="0"/>
              <w:adjustRightInd w:val="0"/>
              <w:snapToGrid w:val="0"/>
              <w:spacing w:before="63"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6</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798C48D5">
            <w:pPr>
              <w:keepNext w:val="0"/>
              <w:keepLines w:val="0"/>
              <w:widowControl/>
              <w:suppressLineNumbers w:val="0"/>
              <w:kinsoku w:val="0"/>
              <w:autoSpaceDE w:val="0"/>
              <w:autoSpaceDN w:val="0"/>
              <w:adjustRightInd w:val="0"/>
              <w:snapToGrid w:val="0"/>
              <w:spacing w:before="22"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铲车</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761BB79B">
            <w:pPr>
              <w:pStyle w:val="30"/>
              <w:keepNext w:val="0"/>
              <w:keepLines w:val="0"/>
              <w:widowControl/>
              <w:suppressLineNumbers w:val="0"/>
              <w:rPr>
                <w:rFonts w:hint="default" w:ascii="Arial" w:hAnsi="Arial" w:cs="Arial"/>
                <w:color w:val="auto"/>
                <w:kern w:val="0"/>
                <w:sz w:val="21"/>
                <w:szCs w:val="21"/>
                <w:highlight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712EBB7F">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F137097">
            <w:pPr>
              <w:keepNext w:val="0"/>
              <w:keepLines w:val="0"/>
              <w:widowControl/>
              <w:suppressLineNumbers w:val="0"/>
              <w:kinsoku w:val="0"/>
              <w:autoSpaceDE w:val="0"/>
              <w:autoSpaceDN w:val="0"/>
              <w:adjustRightInd w:val="0"/>
              <w:snapToGrid w:val="0"/>
              <w:spacing w:before="25"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台</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580388AE">
            <w:pPr>
              <w:keepNext w:val="0"/>
              <w:keepLines w:val="0"/>
              <w:widowControl/>
              <w:suppressLineNumbers w:val="0"/>
              <w:kinsoku w:val="0"/>
              <w:autoSpaceDE w:val="0"/>
              <w:autoSpaceDN w:val="0"/>
              <w:adjustRightInd w:val="0"/>
              <w:snapToGrid w:val="0"/>
              <w:spacing w:before="134"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1</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53B30608">
            <w:pPr>
              <w:keepNext w:val="0"/>
              <w:keepLines w:val="0"/>
              <w:widowControl/>
              <w:suppressLineNumbers w:val="0"/>
              <w:kinsoku w:val="0"/>
              <w:autoSpaceDE w:val="0"/>
              <w:autoSpaceDN w:val="0"/>
              <w:adjustRightInd w:val="0"/>
              <w:snapToGrid w:val="0"/>
              <w:spacing w:before="40"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35F1F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4DE7A94B">
            <w:pPr>
              <w:keepNext w:val="0"/>
              <w:keepLines w:val="0"/>
              <w:widowControl/>
              <w:suppressLineNumbers w:val="0"/>
              <w:kinsoku w:val="0"/>
              <w:autoSpaceDE w:val="0"/>
              <w:autoSpaceDN w:val="0"/>
              <w:adjustRightInd w:val="0"/>
              <w:snapToGrid w:val="0"/>
              <w:spacing w:before="53"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7</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48043272">
            <w:pPr>
              <w:keepNext w:val="0"/>
              <w:keepLines w:val="0"/>
              <w:widowControl/>
              <w:suppressLineNumbers w:val="0"/>
              <w:kinsoku w:val="0"/>
              <w:autoSpaceDE w:val="0"/>
              <w:autoSpaceDN w:val="0"/>
              <w:adjustRightInd w:val="0"/>
              <w:snapToGrid w:val="0"/>
              <w:spacing w:before="22"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7"/>
                <w:kern w:val="0"/>
                <w:sz w:val="22"/>
                <w:szCs w:val="22"/>
                <w:highlight w:val="none"/>
                <w:lang w:val="en-US" w:eastAsia="zh-CN" w:bidi="ar"/>
              </w:rPr>
              <w:t>作业人员</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284F9F07">
            <w:pPr>
              <w:pStyle w:val="30"/>
              <w:keepNext w:val="0"/>
              <w:keepLines w:val="0"/>
              <w:widowControl/>
              <w:suppressLineNumbers w:val="0"/>
              <w:rPr>
                <w:rFonts w:hint="default" w:ascii="Arial" w:hAnsi="Arial" w:cs="Arial"/>
                <w:color w:val="auto"/>
                <w:kern w:val="0"/>
                <w:sz w:val="21"/>
                <w:szCs w:val="21"/>
                <w:highlight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2A3DF40D">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F6313D2">
            <w:pPr>
              <w:keepNext w:val="0"/>
              <w:keepLines w:val="0"/>
              <w:widowControl/>
              <w:suppressLineNumbers w:val="0"/>
              <w:kinsoku w:val="0"/>
              <w:autoSpaceDE w:val="0"/>
              <w:autoSpaceDN w:val="0"/>
              <w:adjustRightInd w:val="0"/>
              <w:snapToGrid w:val="0"/>
              <w:spacing w:before="125"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人</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0533F8E0">
            <w:pPr>
              <w:keepNext w:val="0"/>
              <w:keepLines w:val="0"/>
              <w:widowControl/>
              <w:suppressLineNumbers w:val="0"/>
              <w:kinsoku w:val="0"/>
              <w:autoSpaceDE w:val="0"/>
              <w:autoSpaceDN w:val="0"/>
              <w:adjustRightInd w:val="0"/>
              <w:snapToGrid w:val="0"/>
              <w:spacing w:before="93"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cs="宋体"/>
                <w:snapToGrid/>
                <w:color w:val="auto"/>
                <w:kern w:val="0"/>
                <w:sz w:val="22"/>
                <w:szCs w:val="22"/>
                <w:highlight w:val="none"/>
                <w:lang w:val="en-US" w:eastAsia="zh-CN" w:bidi="ar"/>
              </w:rPr>
              <w:t>4</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1555A8B7">
            <w:pPr>
              <w:keepNext w:val="0"/>
              <w:keepLines w:val="0"/>
              <w:widowControl/>
              <w:suppressLineNumbers w:val="0"/>
              <w:kinsoku w:val="0"/>
              <w:autoSpaceDE w:val="0"/>
              <w:autoSpaceDN w:val="0"/>
              <w:adjustRightInd w:val="0"/>
              <w:snapToGrid w:val="0"/>
              <w:spacing w:before="20"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3B5C9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68418B6F">
            <w:pPr>
              <w:keepNext w:val="0"/>
              <w:keepLines w:val="0"/>
              <w:widowControl/>
              <w:suppressLineNumbers w:val="0"/>
              <w:kinsoku w:val="0"/>
              <w:autoSpaceDE w:val="0"/>
              <w:autoSpaceDN w:val="0"/>
              <w:adjustRightInd w:val="0"/>
              <w:snapToGrid w:val="0"/>
              <w:spacing w:before="84"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8</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723248F2">
            <w:pPr>
              <w:keepNext w:val="0"/>
              <w:keepLines w:val="0"/>
              <w:widowControl/>
              <w:suppressLineNumbers w:val="0"/>
              <w:kinsoku w:val="0"/>
              <w:autoSpaceDE w:val="0"/>
              <w:autoSpaceDN w:val="0"/>
              <w:adjustRightInd w:val="0"/>
              <w:snapToGrid w:val="0"/>
              <w:spacing w:before="26"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吨包袋</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223A3B43">
            <w:pPr>
              <w:keepNext w:val="0"/>
              <w:keepLines w:val="0"/>
              <w:widowControl/>
              <w:suppressLineNumbers w:val="0"/>
              <w:kinsoku w:val="0"/>
              <w:autoSpaceDE w:val="0"/>
              <w:autoSpaceDN w:val="0"/>
              <w:adjustRightInd w:val="0"/>
              <w:snapToGrid w:val="0"/>
              <w:spacing w:before="74"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1.1*1.2*1</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616F0A41">
            <w:pPr>
              <w:keepNext w:val="0"/>
              <w:keepLines w:val="0"/>
              <w:widowControl/>
              <w:suppressLineNumbers w:val="0"/>
              <w:kinsoku w:val="0"/>
              <w:autoSpaceDE w:val="0"/>
              <w:autoSpaceDN w:val="0"/>
              <w:adjustRightInd w:val="0"/>
              <w:snapToGrid w:val="0"/>
              <w:spacing w:before="110" w:beforeAutospacing="0" w:after="0" w:afterAutospacing="0"/>
              <w:ind w:left="7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PP</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70036B7">
            <w:pPr>
              <w:keepNext w:val="0"/>
              <w:keepLines w:val="0"/>
              <w:widowControl/>
              <w:suppressLineNumbers w:val="0"/>
              <w:kinsoku w:val="0"/>
              <w:autoSpaceDE w:val="0"/>
              <w:autoSpaceDN w:val="0"/>
              <w:adjustRightInd w:val="0"/>
              <w:snapToGrid w:val="0"/>
              <w:spacing w:before="53"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个</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4B248A20">
            <w:pPr>
              <w:keepNext w:val="0"/>
              <w:keepLines w:val="0"/>
              <w:widowControl/>
              <w:suppressLineNumbers w:val="0"/>
              <w:kinsoku w:val="0"/>
              <w:autoSpaceDE w:val="0"/>
              <w:autoSpaceDN w:val="0"/>
              <w:adjustRightInd w:val="0"/>
              <w:snapToGrid w:val="0"/>
              <w:spacing w:before="94" w:beforeAutospacing="0" w:after="0" w:afterAutospacing="0"/>
              <w:ind w:left="76" w:right="0"/>
              <w:jc w:val="left"/>
              <w:textAlignment w:val="baseline"/>
              <w:rPr>
                <w:rFonts w:hint="default" w:ascii="宋体" w:hAnsi="宋体" w:eastAsia="宋体" w:cs="宋体"/>
                <w:color w:val="auto"/>
                <w:kern w:val="0"/>
                <w:sz w:val="22"/>
                <w:szCs w:val="22"/>
                <w:highlight w:val="none"/>
                <w:lang w:val="en-US"/>
              </w:rPr>
            </w:pPr>
            <w:r>
              <w:rPr>
                <w:rFonts w:hint="eastAsia" w:ascii="宋体" w:hAnsi="宋体" w:cs="宋体"/>
                <w:snapToGrid/>
                <w:color w:val="auto"/>
                <w:spacing w:val="-5"/>
                <w:kern w:val="0"/>
                <w:sz w:val="22"/>
                <w:szCs w:val="22"/>
                <w:highlight w:val="none"/>
                <w:lang w:val="en-US" w:eastAsia="zh-CN" w:bidi="ar"/>
              </w:rPr>
              <w:t>1625</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2A48FDC6">
            <w:pPr>
              <w:keepNext w:val="0"/>
              <w:keepLines w:val="0"/>
              <w:widowControl/>
              <w:suppressLineNumbers w:val="0"/>
              <w:kinsoku w:val="0"/>
              <w:autoSpaceDE w:val="0"/>
              <w:autoSpaceDN w:val="0"/>
              <w:adjustRightInd w:val="0"/>
              <w:snapToGrid w:val="0"/>
              <w:spacing w:before="41"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335A1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0E13C3F1">
            <w:pPr>
              <w:keepNext w:val="0"/>
              <w:keepLines w:val="0"/>
              <w:widowControl/>
              <w:suppressLineNumbers w:val="0"/>
              <w:kinsoku w:val="0"/>
              <w:autoSpaceDE w:val="0"/>
              <w:autoSpaceDN w:val="0"/>
              <w:adjustRightInd w:val="0"/>
              <w:snapToGrid w:val="0"/>
              <w:spacing w:before="85"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9</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0DE27056">
            <w:pPr>
              <w:keepNext w:val="0"/>
              <w:keepLines w:val="0"/>
              <w:widowControl/>
              <w:suppressLineNumbers w:val="0"/>
              <w:kinsoku w:val="0"/>
              <w:autoSpaceDE w:val="0"/>
              <w:autoSpaceDN w:val="0"/>
              <w:adjustRightInd w:val="0"/>
              <w:snapToGrid w:val="0"/>
              <w:spacing w:before="34"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8"/>
                <w:kern w:val="0"/>
                <w:sz w:val="22"/>
                <w:szCs w:val="22"/>
                <w:highlight w:val="none"/>
                <w:lang w:val="en-US" w:eastAsia="zh-CN" w:bidi="ar"/>
              </w:rPr>
              <w:t>随车吊</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6F866031">
            <w:pPr>
              <w:pStyle w:val="30"/>
              <w:keepNext w:val="0"/>
              <w:keepLines w:val="0"/>
              <w:widowControl/>
              <w:suppressLineNumbers w:val="0"/>
              <w:rPr>
                <w:rFonts w:hint="default" w:ascii="Arial" w:hAnsi="Arial" w:cs="Arial"/>
                <w:color w:val="auto"/>
                <w:kern w:val="0"/>
                <w:sz w:val="21"/>
                <w:szCs w:val="21"/>
                <w:highlight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5C7EEDFB">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720EDC63">
            <w:pPr>
              <w:keepNext w:val="0"/>
              <w:keepLines w:val="0"/>
              <w:widowControl/>
              <w:suppressLineNumbers w:val="0"/>
              <w:kinsoku w:val="0"/>
              <w:autoSpaceDE w:val="0"/>
              <w:autoSpaceDN w:val="0"/>
              <w:adjustRightInd w:val="0"/>
              <w:snapToGrid w:val="0"/>
              <w:spacing w:before="27"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台</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102E46F5">
            <w:pPr>
              <w:keepNext w:val="0"/>
              <w:keepLines w:val="0"/>
              <w:widowControl/>
              <w:suppressLineNumbers w:val="0"/>
              <w:kinsoku w:val="0"/>
              <w:autoSpaceDE w:val="0"/>
              <w:autoSpaceDN w:val="0"/>
              <w:adjustRightInd w:val="0"/>
              <w:snapToGrid w:val="0"/>
              <w:spacing w:before="96"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1</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1FF92635">
            <w:pPr>
              <w:keepNext w:val="0"/>
              <w:keepLines w:val="0"/>
              <w:widowControl/>
              <w:suppressLineNumbers w:val="0"/>
              <w:kinsoku w:val="0"/>
              <w:autoSpaceDE w:val="0"/>
              <w:autoSpaceDN w:val="0"/>
              <w:adjustRightInd w:val="0"/>
              <w:snapToGrid w:val="0"/>
              <w:spacing w:before="22"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77231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77EAC1E3">
            <w:pPr>
              <w:keepNext w:val="0"/>
              <w:keepLines w:val="0"/>
              <w:widowControl/>
              <w:suppressLineNumbers w:val="0"/>
              <w:kinsoku w:val="0"/>
              <w:autoSpaceDE w:val="0"/>
              <w:autoSpaceDN w:val="0"/>
              <w:adjustRightInd w:val="0"/>
              <w:snapToGrid w:val="0"/>
              <w:spacing w:before="85"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7"/>
                <w:kern w:val="0"/>
                <w:sz w:val="22"/>
                <w:szCs w:val="22"/>
                <w:highlight w:val="none"/>
                <w:lang w:val="en-US" w:eastAsia="zh-CN" w:bidi="ar"/>
              </w:rPr>
              <w:t>10</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39D501FB">
            <w:pPr>
              <w:keepNext w:val="0"/>
              <w:keepLines w:val="0"/>
              <w:widowControl/>
              <w:suppressLineNumbers w:val="0"/>
              <w:kinsoku w:val="0"/>
              <w:autoSpaceDE w:val="0"/>
              <w:autoSpaceDN w:val="0"/>
              <w:adjustRightInd w:val="0"/>
              <w:snapToGrid w:val="0"/>
              <w:spacing w:before="22"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土工布</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285B6559">
            <w:pPr>
              <w:keepNext w:val="0"/>
              <w:keepLines w:val="0"/>
              <w:widowControl/>
              <w:suppressLineNumbers w:val="0"/>
              <w:kinsoku w:val="0"/>
              <w:autoSpaceDE w:val="0"/>
              <w:autoSpaceDN w:val="0"/>
              <w:adjustRightInd w:val="0"/>
              <w:snapToGrid w:val="0"/>
              <w:spacing w:before="26"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1"/>
                <w:kern w:val="0"/>
                <w:sz w:val="22"/>
                <w:szCs w:val="22"/>
                <w:highlight w:val="none"/>
                <w:lang w:val="en-US" w:eastAsia="zh-CN" w:bidi="ar"/>
              </w:rPr>
              <w:t>400g/m2</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50CD3C43">
            <w:pPr>
              <w:keepNext w:val="0"/>
              <w:keepLines w:val="0"/>
              <w:widowControl/>
              <w:suppressLineNumbers w:val="0"/>
              <w:kinsoku w:val="0"/>
              <w:autoSpaceDE w:val="0"/>
              <w:autoSpaceDN w:val="0"/>
              <w:adjustRightInd w:val="0"/>
              <w:snapToGrid w:val="0"/>
              <w:spacing w:before="14" w:beforeAutospacing="0" w:after="0" w:afterAutospacing="0"/>
              <w:ind w:left="7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长纤无纺</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F9DC775">
            <w:pPr>
              <w:keepNext w:val="0"/>
              <w:keepLines w:val="0"/>
              <w:widowControl/>
              <w:suppressLineNumbers w:val="0"/>
              <w:kinsoku w:val="0"/>
              <w:autoSpaceDE w:val="0"/>
              <w:autoSpaceDN w:val="0"/>
              <w:adjustRightInd w:val="0"/>
              <w:snapToGrid w:val="0"/>
              <w:spacing w:before="97"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1"/>
                <w:kern w:val="0"/>
                <w:sz w:val="22"/>
                <w:szCs w:val="22"/>
                <w:highlight w:val="none"/>
                <w:lang w:val="en-US" w:eastAsia="zh-CN" w:bidi="ar"/>
              </w:rPr>
              <w:t>m²</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6F4317CC">
            <w:pPr>
              <w:keepNext w:val="0"/>
              <w:keepLines w:val="0"/>
              <w:widowControl/>
              <w:suppressLineNumbers w:val="0"/>
              <w:kinsoku w:val="0"/>
              <w:autoSpaceDE w:val="0"/>
              <w:autoSpaceDN w:val="0"/>
              <w:adjustRightInd w:val="0"/>
              <w:snapToGrid w:val="0"/>
              <w:spacing w:before="85" w:beforeAutospacing="0" w:after="0" w:afterAutospacing="0"/>
              <w:ind w:left="76" w:right="0"/>
              <w:jc w:val="left"/>
              <w:textAlignment w:val="baseline"/>
              <w:rPr>
                <w:rFonts w:hint="default" w:ascii="宋体" w:hAnsi="宋体" w:eastAsia="宋体" w:cs="宋体"/>
                <w:color w:val="auto"/>
                <w:kern w:val="0"/>
                <w:sz w:val="22"/>
                <w:szCs w:val="22"/>
                <w:highlight w:val="none"/>
                <w:lang w:val="en-US"/>
              </w:rPr>
            </w:pPr>
            <w:r>
              <w:rPr>
                <w:rFonts w:hint="eastAsia" w:ascii="宋体" w:hAnsi="宋体" w:cs="宋体"/>
                <w:snapToGrid/>
                <w:color w:val="auto"/>
                <w:spacing w:val="-4"/>
                <w:kern w:val="0"/>
                <w:sz w:val="22"/>
                <w:szCs w:val="22"/>
                <w:highlight w:val="none"/>
                <w:lang w:val="en-US" w:eastAsia="zh-CN" w:bidi="ar"/>
              </w:rPr>
              <w:t>9750</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1460ED7B">
            <w:pPr>
              <w:keepNext w:val="0"/>
              <w:keepLines w:val="0"/>
              <w:widowControl/>
              <w:suppressLineNumbers w:val="0"/>
              <w:kinsoku w:val="0"/>
              <w:autoSpaceDE w:val="0"/>
              <w:autoSpaceDN w:val="0"/>
              <w:adjustRightInd w:val="0"/>
              <w:snapToGrid w:val="0"/>
              <w:spacing w:before="42"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6CEEA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595DCF8F">
            <w:pPr>
              <w:pStyle w:val="30"/>
              <w:keepNext w:val="0"/>
              <w:keepLines w:val="0"/>
              <w:widowControl/>
              <w:suppressLineNumbers w:val="0"/>
              <w:spacing w:line="312" w:lineRule="auto"/>
              <w:rPr>
                <w:rFonts w:hint="default" w:ascii="Arial" w:hAnsi="Arial" w:cs="Arial"/>
                <w:color w:val="auto"/>
                <w:kern w:val="0"/>
                <w:sz w:val="21"/>
                <w:szCs w:val="21"/>
                <w:highlight w:val="none"/>
              </w:rPr>
            </w:pPr>
          </w:p>
          <w:p w14:paraId="167F3DA5">
            <w:pPr>
              <w:keepNext w:val="0"/>
              <w:keepLines w:val="0"/>
              <w:widowControl/>
              <w:suppressLineNumbers w:val="0"/>
              <w:kinsoku w:val="0"/>
              <w:autoSpaceDE w:val="0"/>
              <w:autoSpaceDN w:val="0"/>
              <w:adjustRightInd w:val="0"/>
              <w:snapToGrid w:val="0"/>
              <w:spacing w:before="72"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7"/>
                <w:kern w:val="0"/>
                <w:sz w:val="22"/>
                <w:szCs w:val="22"/>
                <w:highlight w:val="none"/>
                <w:lang w:val="en-US" w:eastAsia="zh-CN" w:bidi="ar"/>
              </w:rPr>
              <w:t>11</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345E67E8">
            <w:pPr>
              <w:keepNext w:val="0"/>
              <w:keepLines w:val="0"/>
              <w:widowControl/>
              <w:suppressLineNumbers w:val="0"/>
              <w:kinsoku w:val="0"/>
              <w:autoSpaceDE w:val="0"/>
              <w:autoSpaceDN w:val="0"/>
              <w:adjustRightInd w:val="0"/>
              <w:snapToGrid w:val="0"/>
              <w:spacing w:before="25" w:beforeAutospacing="0" w:after="0" w:afterAutospacing="0" w:line="374" w:lineRule="auto"/>
              <w:ind w:left="90" w:right="147"/>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1"/>
                <w:kern w:val="0"/>
                <w:sz w:val="22"/>
                <w:szCs w:val="22"/>
                <w:highlight w:val="none"/>
                <w:lang w:val="en-US" w:eastAsia="zh-CN" w:bidi="ar"/>
              </w:rPr>
              <w:t>高密度聚乙烯</w:t>
            </w:r>
            <w:r>
              <w:rPr>
                <w:rFonts w:hint="eastAsia" w:ascii="宋体" w:hAnsi="宋体" w:eastAsia="宋体" w:cs="宋体"/>
                <w:snapToGrid/>
                <w:color w:val="auto"/>
                <w:spacing w:val="3"/>
                <w:kern w:val="0"/>
                <w:sz w:val="22"/>
                <w:szCs w:val="22"/>
                <w:highlight w:val="none"/>
                <w:lang w:val="en-US" w:eastAsia="zh-CN" w:bidi="ar"/>
              </w:rPr>
              <w:t xml:space="preserve"> </w:t>
            </w:r>
            <w:r>
              <w:rPr>
                <w:rFonts w:hint="eastAsia" w:ascii="宋体" w:hAnsi="宋体" w:eastAsia="宋体" w:cs="宋体"/>
                <w:snapToGrid/>
                <w:color w:val="auto"/>
                <w:spacing w:val="-1"/>
                <w:kern w:val="0"/>
                <w:sz w:val="22"/>
                <w:szCs w:val="22"/>
                <w:highlight w:val="none"/>
                <w:lang w:val="en-US" w:eastAsia="zh-CN" w:bidi="ar"/>
              </w:rPr>
              <w:t>HDPE防渗膜</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4540EDA5">
            <w:pPr>
              <w:pStyle w:val="30"/>
              <w:keepNext w:val="0"/>
              <w:keepLines w:val="0"/>
              <w:widowControl/>
              <w:suppressLineNumbers w:val="0"/>
              <w:spacing w:line="429" w:lineRule="auto"/>
              <w:rPr>
                <w:rFonts w:hint="default" w:ascii="Arial" w:hAnsi="Arial" w:cs="Arial"/>
                <w:color w:val="auto"/>
                <w:kern w:val="0"/>
                <w:sz w:val="21"/>
                <w:szCs w:val="21"/>
                <w:highlight w:val="none"/>
              </w:rPr>
            </w:pPr>
          </w:p>
          <w:p w14:paraId="74D0F3EA">
            <w:pPr>
              <w:keepNext w:val="0"/>
              <w:keepLines w:val="0"/>
              <w:widowControl/>
              <w:suppressLineNumbers w:val="0"/>
              <w:kinsoku w:val="0"/>
              <w:autoSpaceDE w:val="0"/>
              <w:autoSpaceDN w:val="0"/>
              <w:adjustRightInd w:val="0"/>
              <w:snapToGrid w:val="0"/>
              <w:spacing w:before="72"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同原防渗膜</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5B251680">
            <w:pPr>
              <w:pStyle w:val="30"/>
              <w:keepNext w:val="0"/>
              <w:keepLines w:val="0"/>
              <w:widowControl/>
              <w:suppressLineNumbers w:val="0"/>
              <w:spacing w:line="448" w:lineRule="auto"/>
              <w:rPr>
                <w:rFonts w:hint="default" w:ascii="Arial" w:hAnsi="Arial" w:cs="Arial"/>
                <w:color w:val="auto"/>
                <w:kern w:val="0"/>
                <w:sz w:val="21"/>
                <w:szCs w:val="21"/>
                <w:highlight w:val="none"/>
              </w:rPr>
            </w:pPr>
          </w:p>
          <w:p w14:paraId="7F44D9FB">
            <w:pPr>
              <w:keepNext w:val="0"/>
              <w:keepLines w:val="0"/>
              <w:widowControl/>
              <w:suppressLineNumbers w:val="0"/>
              <w:kinsoku w:val="0"/>
              <w:autoSpaceDE w:val="0"/>
              <w:autoSpaceDN w:val="0"/>
              <w:adjustRightInd w:val="0"/>
              <w:snapToGrid w:val="0"/>
              <w:spacing w:before="72" w:beforeAutospacing="0" w:after="0" w:afterAutospacing="0"/>
              <w:ind w:left="7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同原防渗膜</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62C5314">
            <w:pPr>
              <w:pStyle w:val="30"/>
              <w:keepNext w:val="0"/>
              <w:keepLines w:val="0"/>
              <w:widowControl/>
              <w:suppressLineNumbers w:val="0"/>
              <w:spacing w:line="244" w:lineRule="auto"/>
              <w:rPr>
                <w:rFonts w:hint="default" w:ascii="Arial" w:hAnsi="Arial" w:cs="Arial"/>
                <w:color w:val="auto"/>
                <w:kern w:val="0"/>
                <w:sz w:val="21"/>
                <w:szCs w:val="21"/>
                <w:highlight w:val="none"/>
              </w:rPr>
            </w:pPr>
          </w:p>
          <w:p w14:paraId="6C39299A">
            <w:pPr>
              <w:pStyle w:val="30"/>
              <w:keepNext w:val="0"/>
              <w:keepLines w:val="0"/>
              <w:widowControl/>
              <w:suppressLineNumbers w:val="0"/>
              <w:spacing w:line="244" w:lineRule="auto"/>
              <w:rPr>
                <w:rFonts w:hint="default" w:ascii="Arial" w:hAnsi="Arial" w:cs="Arial"/>
                <w:color w:val="auto"/>
                <w:kern w:val="0"/>
                <w:sz w:val="21"/>
                <w:szCs w:val="21"/>
                <w:highlight w:val="none"/>
              </w:rPr>
            </w:pPr>
          </w:p>
          <w:p w14:paraId="26474C4A">
            <w:pPr>
              <w:keepNext w:val="0"/>
              <w:keepLines w:val="0"/>
              <w:widowControl/>
              <w:suppressLineNumbers w:val="0"/>
              <w:kinsoku w:val="0"/>
              <w:autoSpaceDE w:val="0"/>
              <w:autoSpaceDN w:val="0"/>
              <w:adjustRightInd w:val="0"/>
              <w:snapToGrid w:val="0"/>
              <w:spacing w:before="71"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1"/>
                <w:kern w:val="0"/>
                <w:sz w:val="22"/>
                <w:szCs w:val="22"/>
                <w:highlight w:val="none"/>
                <w:lang w:val="en-US" w:eastAsia="zh-CN" w:bidi="ar"/>
              </w:rPr>
              <w:t>m²</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43574E37">
            <w:pPr>
              <w:pStyle w:val="30"/>
              <w:keepNext w:val="0"/>
              <w:keepLines w:val="0"/>
              <w:widowControl/>
              <w:suppressLineNumbers w:val="0"/>
              <w:rPr>
                <w:rFonts w:hint="default" w:ascii="Arial" w:hAnsi="Arial" w:cs="Arial"/>
                <w:color w:val="auto"/>
                <w:kern w:val="0"/>
                <w:sz w:val="21"/>
                <w:szCs w:val="21"/>
                <w:highlight w:val="none"/>
              </w:rPr>
            </w:pPr>
          </w:p>
          <w:p w14:paraId="221CD3BE">
            <w:pPr>
              <w:pStyle w:val="30"/>
              <w:keepNext w:val="0"/>
              <w:keepLines w:val="0"/>
              <w:widowControl/>
              <w:suppressLineNumbers w:val="0"/>
              <w:rPr>
                <w:rFonts w:hint="default" w:ascii="Arial" w:hAnsi="Arial" w:cs="Arial"/>
                <w:color w:val="auto"/>
                <w:kern w:val="0"/>
                <w:sz w:val="21"/>
                <w:szCs w:val="21"/>
                <w:highlight w:val="none"/>
              </w:rPr>
            </w:pPr>
          </w:p>
          <w:p w14:paraId="6F0789BF">
            <w:pPr>
              <w:keepNext w:val="0"/>
              <w:keepLines w:val="0"/>
              <w:widowControl/>
              <w:suppressLineNumbers w:val="0"/>
              <w:kinsoku w:val="0"/>
              <w:autoSpaceDE w:val="0"/>
              <w:autoSpaceDN w:val="0"/>
              <w:adjustRightInd w:val="0"/>
              <w:snapToGrid w:val="0"/>
              <w:spacing w:before="71" w:beforeAutospacing="0" w:after="0" w:afterAutospacing="0"/>
              <w:ind w:left="7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2000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64CA494D">
            <w:pPr>
              <w:pStyle w:val="30"/>
              <w:keepNext w:val="0"/>
              <w:keepLines w:val="0"/>
              <w:widowControl/>
              <w:suppressLineNumbers w:val="0"/>
              <w:spacing w:line="427" w:lineRule="auto"/>
              <w:rPr>
                <w:rFonts w:hint="default" w:ascii="Arial" w:hAnsi="Arial" w:cs="Arial"/>
                <w:color w:val="auto"/>
                <w:kern w:val="0"/>
                <w:sz w:val="21"/>
                <w:szCs w:val="21"/>
                <w:highlight w:val="none"/>
              </w:rPr>
            </w:pPr>
          </w:p>
          <w:p w14:paraId="7576D507">
            <w:pPr>
              <w:keepNext w:val="0"/>
              <w:keepLines w:val="0"/>
              <w:widowControl/>
              <w:suppressLineNumbers w:val="0"/>
              <w:kinsoku w:val="0"/>
              <w:autoSpaceDE w:val="0"/>
              <w:autoSpaceDN w:val="0"/>
              <w:adjustRightInd w:val="0"/>
              <w:snapToGrid w:val="0"/>
              <w:spacing w:before="72"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411C1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63CA11D9">
            <w:pPr>
              <w:keepNext w:val="0"/>
              <w:keepLines w:val="0"/>
              <w:widowControl/>
              <w:suppressLineNumbers w:val="0"/>
              <w:kinsoku w:val="0"/>
              <w:autoSpaceDE w:val="0"/>
              <w:autoSpaceDN w:val="0"/>
              <w:adjustRightInd w:val="0"/>
              <w:snapToGrid w:val="0"/>
              <w:spacing w:before="68"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7"/>
                <w:kern w:val="0"/>
                <w:sz w:val="22"/>
                <w:szCs w:val="22"/>
                <w:highlight w:val="none"/>
                <w:lang w:val="en-US" w:eastAsia="zh-CN" w:bidi="ar"/>
              </w:rPr>
              <w:t>12</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760EAE21">
            <w:pPr>
              <w:keepNext w:val="0"/>
              <w:keepLines w:val="0"/>
              <w:widowControl/>
              <w:suppressLineNumbers w:val="0"/>
              <w:kinsoku w:val="0"/>
              <w:autoSpaceDE w:val="0"/>
              <w:autoSpaceDN w:val="0"/>
              <w:adjustRightInd w:val="0"/>
              <w:snapToGrid w:val="0"/>
              <w:spacing w:before="36"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3"/>
                <w:kern w:val="0"/>
                <w:sz w:val="22"/>
                <w:szCs w:val="22"/>
                <w:highlight w:val="none"/>
                <w:lang w:val="en-US" w:eastAsia="zh-CN" w:bidi="ar"/>
              </w:rPr>
              <w:t>压条</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6A3EEE12">
            <w:pPr>
              <w:keepNext w:val="0"/>
              <w:keepLines w:val="0"/>
              <w:widowControl/>
              <w:suppressLineNumbers w:val="0"/>
              <w:kinsoku w:val="0"/>
              <w:autoSpaceDE w:val="0"/>
              <w:autoSpaceDN w:val="0"/>
              <w:adjustRightInd w:val="0"/>
              <w:snapToGrid w:val="0"/>
              <w:spacing w:before="49" w:beforeAutospacing="0" w:after="0" w:afterAutospacing="0"/>
              <w:ind w:left="72"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316L不锈钢</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3A4A6A65">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757CE48C">
            <w:pPr>
              <w:keepNext w:val="0"/>
              <w:keepLines w:val="0"/>
              <w:widowControl/>
              <w:suppressLineNumbers w:val="0"/>
              <w:kinsoku w:val="0"/>
              <w:autoSpaceDE w:val="0"/>
              <w:autoSpaceDN w:val="0"/>
              <w:adjustRightInd w:val="0"/>
              <w:snapToGrid w:val="0"/>
              <w:spacing w:before="36"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米</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36AD3903">
            <w:pPr>
              <w:pStyle w:val="30"/>
              <w:keepNext w:val="0"/>
              <w:keepLines w:val="0"/>
              <w:widowControl/>
              <w:suppressLineNumbers w:val="0"/>
              <w:rPr>
                <w:rFonts w:hint="default" w:ascii="Arial" w:hAnsi="Arial" w:cs="Arial"/>
                <w:color w:val="auto"/>
                <w:kern w:val="0"/>
                <w:sz w:val="21"/>
                <w:szCs w:val="21"/>
                <w:highlight w:val="none"/>
              </w:rPr>
            </w:pP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2421732A">
            <w:pPr>
              <w:keepNext w:val="0"/>
              <w:keepLines w:val="0"/>
              <w:widowControl/>
              <w:suppressLineNumbers w:val="0"/>
              <w:kinsoku w:val="0"/>
              <w:autoSpaceDE w:val="0"/>
              <w:autoSpaceDN w:val="0"/>
              <w:adjustRightInd w:val="0"/>
              <w:snapToGrid w:val="0"/>
              <w:spacing w:before="44"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018C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63080C02">
            <w:pPr>
              <w:keepNext w:val="0"/>
              <w:keepLines w:val="0"/>
              <w:widowControl/>
              <w:suppressLineNumbers w:val="0"/>
              <w:kinsoku w:val="0"/>
              <w:autoSpaceDE w:val="0"/>
              <w:autoSpaceDN w:val="0"/>
              <w:adjustRightInd w:val="0"/>
              <w:snapToGrid w:val="0"/>
              <w:spacing w:before="68"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7"/>
                <w:kern w:val="0"/>
                <w:sz w:val="22"/>
                <w:szCs w:val="22"/>
                <w:highlight w:val="none"/>
                <w:lang w:val="en-US" w:eastAsia="zh-CN" w:bidi="ar"/>
              </w:rPr>
              <w:t>13</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5258A3C1">
            <w:pPr>
              <w:keepNext w:val="0"/>
              <w:keepLines w:val="0"/>
              <w:widowControl/>
              <w:suppressLineNumbers w:val="0"/>
              <w:kinsoku w:val="0"/>
              <w:autoSpaceDE w:val="0"/>
              <w:autoSpaceDN w:val="0"/>
              <w:adjustRightInd w:val="0"/>
              <w:snapToGrid w:val="0"/>
              <w:spacing w:before="37"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膨胀螺栓</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05EA82EC">
            <w:pPr>
              <w:pStyle w:val="30"/>
              <w:keepNext w:val="0"/>
              <w:keepLines w:val="0"/>
              <w:widowControl/>
              <w:suppressLineNumbers w:val="0"/>
              <w:rPr>
                <w:rFonts w:hint="default" w:ascii="Arial" w:hAnsi="Arial" w:cs="Arial"/>
                <w:color w:val="auto"/>
                <w:kern w:val="0"/>
                <w:sz w:val="21"/>
                <w:szCs w:val="21"/>
                <w:highlight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5F94A2BD">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D8EBE1C">
            <w:pPr>
              <w:keepNext w:val="0"/>
              <w:keepLines w:val="0"/>
              <w:widowControl/>
              <w:suppressLineNumbers w:val="0"/>
              <w:kinsoku w:val="0"/>
              <w:autoSpaceDE w:val="0"/>
              <w:autoSpaceDN w:val="0"/>
              <w:adjustRightInd w:val="0"/>
              <w:snapToGrid w:val="0"/>
              <w:spacing w:before="47"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个</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595886AB">
            <w:pPr>
              <w:pStyle w:val="30"/>
              <w:keepNext w:val="0"/>
              <w:keepLines w:val="0"/>
              <w:widowControl/>
              <w:suppressLineNumbers w:val="0"/>
              <w:rPr>
                <w:rFonts w:hint="default" w:ascii="Arial" w:hAnsi="Arial" w:cs="Arial"/>
                <w:color w:val="auto"/>
                <w:kern w:val="0"/>
                <w:sz w:val="21"/>
                <w:szCs w:val="21"/>
                <w:highlight w:val="none"/>
              </w:rPr>
            </w:pP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429561D7">
            <w:pPr>
              <w:keepNext w:val="0"/>
              <w:keepLines w:val="0"/>
              <w:widowControl/>
              <w:suppressLineNumbers w:val="0"/>
              <w:kinsoku w:val="0"/>
              <w:autoSpaceDE w:val="0"/>
              <w:autoSpaceDN w:val="0"/>
              <w:adjustRightInd w:val="0"/>
              <w:snapToGrid w:val="0"/>
              <w:spacing w:before="55"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r w14:paraId="49981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top"/>
          </w:tcPr>
          <w:p w14:paraId="3E8B4BCB">
            <w:pPr>
              <w:keepNext w:val="0"/>
              <w:keepLines w:val="0"/>
              <w:widowControl/>
              <w:suppressLineNumbers w:val="0"/>
              <w:kinsoku w:val="0"/>
              <w:autoSpaceDE w:val="0"/>
              <w:autoSpaceDN w:val="0"/>
              <w:adjustRightInd w:val="0"/>
              <w:snapToGrid w:val="0"/>
              <w:spacing w:before="90" w:beforeAutospacing="0" w:after="0" w:afterAutospacing="0"/>
              <w:ind w:left="64"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7"/>
                <w:kern w:val="0"/>
                <w:sz w:val="22"/>
                <w:szCs w:val="22"/>
                <w:highlight w:val="none"/>
                <w:lang w:val="en-US" w:eastAsia="zh-CN" w:bidi="ar"/>
              </w:rPr>
              <w:t>14</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top"/>
          </w:tcPr>
          <w:p w14:paraId="6A59959B">
            <w:pPr>
              <w:keepNext w:val="0"/>
              <w:keepLines w:val="0"/>
              <w:widowControl/>
              <w:suppressLineNumbers w:val="0"/>
              <w:kinsoku w:val="0"/>
              <w:autoSpaceDE w:val="0"/>
              <w:autoSpaceDN w:val="0"/>
              <w:adjustRightInd w:val="0"/>
              <w:snapToGrid w:val="0"/>
              <w:spacing w:before="58" w:beforeAutospacing="0" w:after="0" w:afterAutospacing="0"/>
              <w:ind w:left="90"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4"/>
                <w:kern w:val="0"/>
                <w:sz w:val="22"/>
                <w:szCs w:val="22"/>
                <w:highlight w:val="none"/>
                <w:lang w:val="en-US" w:eastAsia="zh-CN" w:bidi="ar"/>
              </w:rPr>
              <w:t>其他安全费用</w:t>
            </w:r>
          </w:p>
        </w:tc>
        <w:tc>
          <w:tcPr>
            <w:tcW w:w="1458" w:type="dxa"/>
            <w:tcBorders>
              <w:top w:val="single" w:color="000000" w:sz="4" w:space="0"/>
              <w:left w:val="single" w:color="000000" w:sz="4" w:space="0"/>
              <w:bottom w:val="single" w:color="000000" w:sz="4" w:space="0"/>
              <w:right w:val="single" w:color="000000" w:sz="4" w:space="0"/>
            </w:tcBorders>
            <w:shd w:val="clear" w:color="auto" w:fill="auto"/>
            <w:vAlign w:val="top"/>
          </w:tcPr>
          <w:p w14:paraId="02F1E50F">
            <w:pPr>
              <w:pStyle w:val="30"/>
              <w:keepNext w:val="0"/>
              <w:keepLines w:val="0"/>
              <w:widowControl/>
              <w:suppressLineNumbers w:val="0"/>
              <w:rPr>
                <w:rFonts w:hint="default" w:ascii="Arial" w:hAnsi="Arial" w:cs="Arial"/>
                <w:color w:val="auto"/>
                <w:kern w:val="0"/>
                <w:sz w:val="21"/>
                <w:szCs w:val="21"/>
                <w:highlight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top"/>
          </w:tcPr>
          <w:p w14:paraId="1C32E07C">
            <w:pPr>
              <w:pStyle w:val="30"/>
              <w:keepNext w:val="0"/>
              <w:keepLines w:val="0"/>
              <w:widowControl/>
              <w:suppressLineNumbers w:val="0"/>
              <w:rPr>
                <w:rFonts w:hint="default" w:ascii="Arial" w:hAnsi="Arial" w:cs="Arial"/>
                <w:color w:val="auto"/>
                <w:kern w:val="0"/>
                <w:sz w:val="21"/>
                <w:szCs w:val="21"/>
                <w:highlight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85C58D3">
            <w:pPr>
              <w:keepNext w:val="0"/>
              <w:keepLines w:val="0"/>
              <w:widowControl/>
              <w:suppressLineNumbers w:val="0"/>
              <w:kinsoku w:val="0"/>
              <w:autoSpaceDE w:val="0"/>
              <w:autoSpaceDN w:val="0"/>
              <w:adjustRightInd w:val="0"/>
              <w:snapToGrid w:val="0"/>
              <w:spacing w:before="38" w:beforeAutospacing="0" w:after="0" w:afterAutospacing="0"/>
              <w:ind w:left="86"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kern w:val="0"/>
                <w:sz w:val="22"/>
                <w:szCs w:val="22"/>
                <w:highlight w:val="none"/>
                <w:lang w:val="en-US" w:eastAsia="zh-CN" w:bidi="ar"/>
              </w:rPr>
              <w:t>项</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top"/>
          </w:tcPr>
          <w:p w14:paraId="05EDA2DD">
            <w:pPr>
              <w:pStyle w:val="30"/>
              <w:keepNext w:val="0"/>
              <w:keepLines w:val="0"/>
              <w:widowControl/>
              <w:suppressLineNumbers w:val="0"/>
              <w:rPr>
                <w:rFonts w:hint="default" w:ascii="Arial" w:hAnsi="Arial" w:cs="Arial"/>
                <w:color w:val="auto"/>
                <w:kern w:val="0"/>
                <w:sz w:val="21"/>
                <w:szCs w:val="21"/>
                <w:highlight w:val="none"/>
              </w:rPr>
            </w:pPr>
          </w:p>
        </w:tc>
        <w:tc>
          <w:tcPr>
            <w:tcW w:w="1503" w:type="dxa"/>
            <w:tcBorders>
              <w:top w:val="single" w:color="000000" w:sz="4" w:space="0"/>
              <w:left w:val="single" w:color="000000" w:sz="4" w:space="0"/>
              <w:bottom w:val="single" w:color="000000" w:sz="4" w:space="0"/>
              <w:right w:val="single" w:color="000000" w:sz="4" w:space="0"/>
            </w:tcBorders>
            <w:shd w:val="clear" w:color="auto" w:fill="auto"/>
            <w:vAlign w:val="top"/>
          </w:tcPr>
          <w:p w14:paraId="77864935">
            <w:pPr>
              <w:keepNext w:val="0"/>
              <w:keepLines w:val="0"/>
              <w:widowControl/>
              <w:suppressLineNumbers w:val="0"/>
              <w:kinsoku w:val="0"/>
              <w:autoSpaceDE w:val="0"/>
              <w:autoSpaceDN w:val="0"/>
              <w:adjustRightInd w:val="0"/>
              <w:snapToGrid w:val="0"/>
              <w:spacing w:before="46" w:beforeAutospacing="0" w:after="0" w:afterAutospacing="0"/>
              <w:ind w:left="98" w:right="0"/>
              <w:jc w:val="left"/>
              <w:textAlignment w:val="baseline"/>
              <w:rPr>
                <w:rFonts w:hint="eastAsia" w:ascii="宋体" w:hAnsi="宋体" w:eastAsia="宋体" w:cs="宋体"/>
                <w:color w:val="auto"/>
                <w:kern w:val="0"/>
                <w:sz w:val="22"/>
                <w:szCs w:val="22"/>
                <w:highlight w:val="none"/>
              </w:rPr>
            </w:pPr>
            <w:r>
              <w:rPr>
                <w:rFonts w:hint="eastAsia" w:ascii="宋体" w:hAnsi="宋体" w:eastAsia="宋体" w:cs="宋体"/>
                <w:snapToGrid/>
                <w:color w:val="auto"/>
                <w:spacing w:val="-2"/>
                <w:kern w:val="0"/>
                <w:sz w:val="22"/>
                <w:szCs w:val="22"/>
                <w:highlight w:val="none"/>
                <w:lang w:val="en-US" w:eastAsia="zh-CN" w:bidi="ar"/>
              </w:rPr>
              <w:t>投标方提供</w:t>
            </w:r>
          </w:p>
        </w:tc>
      </w:tr>
    </w:tbl>
    <w:p w14:paraId="34D8E073">
      <w:pPr>
        <w:pStyle w:val="2"/>
        <w:rPr>
          <w:rFonts w:hint="eastAsia" w:ascii="宋体" w:hAnsi="宋体" w:cs="宋体"/>
          <w:color w:val="auto"/>
          <w:sz w:val="24"/>
          <w:highlight w:val="none"/>
        </w:rPr>
      </w:pPr>
    </w:p>
    <w:p w14:paraId="781202D3">
      <w:pPr>
        <w:pStyle w:val="3"/>
        <w:rPr>
          <w:rFonts w:ascii="宋体" w:hAnsi="宋体" w:cs="宋体"/>
          <w:color w:val="auto"/>
          <w:szCs w:val="24"/>
          <w:highlight w:val="none"/>
        </w:rPr>
      </w:pPr>
      <w:bookmarkStart w:id="11" w:name="_Toc141259839"/>
      <w:r>
        <w:rPr>
          <w:rFonts w:hint="eastAsia" w:ascii="宋体" w:hAnsi="宋体" w:cs="宋体"/>
          <w:color w:val="auto"/>
          <w:szCs w:val="24"/>
          <w:highlight w:val="none"/>
          <w:lang w:val="en-US" w:eastAsia="zh-CN"/>
        </w:rPr>
        <w:t>五</w:t>
      </w:r>
      <w:r>
        <w:rPr>
          <w:rFonts w:hint="eastAsia" w:ascii="宋体" w:hAnsi="宋体" w:cs="宋体"/>
          <w:color w:val="auto"/>
          <w:szCs w:val="24"/>
          <w:highlight w:val="none"/>
        </w:rPr>
        <w:t>、回挖方式、措施</w:t>
      </w:r>
      <w:bookmarkEnd w:id="11"/>
      <w:r>
        <w:rPr>
          <w:rFonts w:hint="eastAsia" w:ascii="宋体" w:hAnsi="宋体" w:cs="宋体"/>
          <w:color w:val="auto"/>
          <w:szCs w:val="24"/>
          <w:highlight w:val="none"/>
        </w:rPr>
        <w:t>及费用核算</w:t>
      </w:r>
    </w:p>
    <w:p w14:paraId="587E2ABD">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.1 回挖方式及措施及费用核算</w:t>
      </w:r>
    </w:p>
    <w:p w14:paraId="0557D3CF">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.1.1此次施工回挖采用逐层循环回挖的方式，采用</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台长臂220型挖机装运到自卸式翻斗车送至煤场。填埋格内脱水率60%以下的污泥，回挖、运输至煤场指定区域A区（掺烧）；脱水率60%以上的污泥，回挖、运输至煤场指定区域B区（经晾晒及自然蒸发后，其脱水率小于60%，再进行掺烧）。</w:t>
      </w:r>
    </w:p>
    <w:p w14:paraId="00D5B9A9">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.1.2每</w:t>
      </w:r>
      <w:r>
        <w:rPr>
          <w:rFonts w:hint="eastAsia" w:ascii="宋体" w:hAnsi="宋体" w:cs="宋体"/>
          <w:color w:val="auto"/>
          <w:sz w:val="24"/>
          <w:highlight w:val="none"/>
          <w:lang w:val="en-US" w:eastAsia="zh-CN"/>
        </w:rPr>
        <w:t>月</w:t>
      </w:r>
      <w:r>
        <w:rPr>
          <w:rFonts w:hint="eastAsia" w:ascii="宋体" w:hAnsi="宋体" w:cs="宋体"/>
          <w:color w:val="auto"/>
          <w:sz w:val="24"/>
          <w:highlight w:val="none"/>
        </w:rPr>
        <w:t>回挖掺烧量确定：</w:t>
      </w:r>
      <w:r>
        <w:rPr>
          <w:rFonts w:hint="eastAsia" w:ascii="宋体" w:hAnsi="宋体" w:cs="宋体"/>
          <w:color w:val="auto"/>
          <w:sz w:val="24"/>
          <w:highlight w:val="none"/>
          <w:lang w:val="en-US" w:eastAsia="zh-CN"/>
        </w:rPr>
        <w:t>每月回挖3次，每次回挖量约400m</w:t>
      </w:r>
      <w:r>
        <w:rPr>
          <w:rFonts w:hint="eastAsia" w:ascii="宋体" w:hAnsi="宋体" w:cs="宋体"/>
          <w:color w:val="auto"/>
          <w:sz w:val="24"/>
          <w:highlight w:val="none"/>
          <w:vertAlign w:val="superscript"/>
          <w:lang w:val="en-US" w:eastAsia="zh-CN"/>
        </w:rPr>
        <w:t>3</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单月月底掺烧完成，次月</w:t>
      </w:r>
      <w:r>
        <w:rPr>
          <w:rFonts w:hint="eastAsia" w:ascii="宋体" w:hAnsi="宋体" w:cs="宋体"/>
          <w:color w:val="auto"/>
          <w:sz w:val="24"/>
          <w:highlight w:val="none"/>
        </w:rPr>
        <w:t>继续回挖转运</w:t>
      </w:r>
      <w:r>
        <w:rPr>
          <w:rFonts w:hint="eastAsia" w:ascii="宋体" w:hAnsi="宋体" w:cs="宋体"/>
          <w:color w:val="auto"/>
          <w:sz w:val="24"/>
          <w:highlight w:val="none"/>
          <w:lang w:eastAsia="zh-CN"/>
        </w:rPr>
        <w:t>，</w:t>
      </w:r>
      <w:r>
        <w:rPr>
          <w:rFonts w:hint="eastAsia" w:ascii="宋体" w:hAnsi="宋体" w:cs="宋体"/>
          <w:color w:val="auto"/>
          <w:sz w:val="24"/>
          <w:highlight w:val="none"/>
        </w:rPr>
        <w:t>以此类推为周期。</w:t>
      </w:r>
    </w:p>
    <w:p w14:paraId="3FD81BE6">
      <w:pPr>
        <w:spacing w:line="360" w:lineRule="auto"/>
        <w:rPr>
          <w:rFonts w:hint="eastAsia"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.1.3 单元格底部剩余0.5米的采用人工清理，人工装运至吨包袋中，使用随车吊拉运至备煤煤场。</w:t>
      </w:r>
    </w:p>
    <w:p w14:paraId="407A85E2">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1.4现有设施的保护：在回挖过程中注意做好对防渗膜的保护工作，防止机器和人工对防渗膜造成破损，如有破损施工方负责及时修复；同时，在运输过程中道路上撒落的污泥，施工方应及时清理，保持厂区内运输道路整齐清洁。</w:t>
      </w:r>
    </w:p>
    <w:p w14:paraId="53272441">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.1.5污泥回挖期间车间加强管理，遇到下雨、雪天、大风等极端天气要及时将池顶棚布盖好，晴天及时拿开，防止污泥再次返潮。</w:t>
      </w:r>
    </w:p>
    <w:p w14:paraId="42771813">
      <w:pPr>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.1.6回挖、倒运污泥</w:t>
      </w:r>
      <w:r>
        <w:rPr>
          <w:rFonts w:hint="eastAsia" w:ascii="宋体" w:hAnsi="宋体" w:cs="宋体"/>
          <w:color w:val="auto"/>
          <w:sz w:val="24"/>
          <w:highlight w:val="none"/>
          <w:lang w:val="en-US" w:eastAsia="zh-CN"/>
        </w:rPr>
        <w:t>13000</w:t>
      </w:r>
      <w:r>
        <w:rPr>
          <w:rFonts w:hint="eastAsia" w:ascii="宋体" w:hAnsi="宋体" w:cs="宋体"/>
          <w:color w:val="auto"/>
          <w:sz w:val="24"/>
          <w:highlight w:val="none"/>
        </w:rPr>
        <w:t>m³</w:t>
      </w:r>
      <w:r>
        <w:rPr>
          <w:rFonts w:hint="eastAsia" w:ascii="宋体" w:hAnsi="宋体" w:cs="宋体"/>
          <w:color w:val="auto"/>
          <w:sz w:val="24"/>
          <w:highlight w:val="none"/>
          <w:lang w:eastAsia="zh-CN"/>
        </w:rPr>
        <w:t>。</w:t>
      </w:r>
    </w:p>
    <w:p w14:paraId="070A37CE">
      <w:pPr>
        <w:pStyle w:val="2"/>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5.1.7 污泥回挖过程中，污泥中的垃圾由投标方处理，并收至指定位置。</w:t>
      </w:r>
    </w:p>
    <w:p w14:paraId="1CC3F9A0">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5.1.8污泥回挖至底部，进行人工清理池底及膜池修复人员需按公司要求办理入厂手续。</w:t>
      </w:r>
    </w:p>
    <w:p w14:paraId="3A63071D">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5.1.9 每次污泥回挖前，水处理车间将污泥回挖量及污泥回挖时间以联系单形式提交至投标人。</w:t>
      </w:r>
      <w:bookmarkEnd w:id="7"/>
    </w:p>
    <w:p w14:paraId="17153315">
      <w:pPr>
        <w:pStyle w:val="2"/>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附件1工程量清单：</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6"/>
        <w:gridCol w:w="2286"/>
        <w:gridCol w:w="2286"/>
        <w:gridCol w:w="2286"/>
      </w:tblGrid>
      <w:tr w14:paraId="60AF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144" w:type="dxa"/>
            <w:gridSpan w:val="4"/>
            <w:vAlign w:val="center"/>
          </w:tcPr>
          <w:p w14:paraId="44FCC99F">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分部分项工程和单价措施项目清单与计价表</w:t>
            </w:r>
          </w:p>
        </w:tc>
      </w:tr>
      <w:tr w14:paraId="3C19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286" w:type="dxa"/>
            <w:vAlign w:val="center"/>
          </w:tcPr>
          <w:p w14:paraId="333524DC">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项目名称</w:t>
            </w:r>
          </w:p>
        </w:tc>
        <w:tc>
          <w:tcPr>
            <w:tcW w:w="2286" w:type="dxa"/>
            <w:vAlign w:val="center"/>
          </w:tcPr>
          <w:p w14:paraId="3624ABB3">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项目特征描述</w:t>
            </w:r>
          </w:p>
        </w:tc>
        <w:tc>
          <w:tcPr>
            <w:tcW w:w="2286" w:type="dxa"/>
            <w:vAlign w:val="center"/>
          </w:tcPr>
          <w:p w14:paraId="17C254F8">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计量单位</w:t>
            </w:r>
          </w:p>
        </w:tc>
        <w:tc>
          <w:tcPr>
            <w:tcW w:w="2286" w:type="dxa"/>
            <w:vAlign w:val="center"/>
          </w:tcPr>
          <w:p w14:paraId="1FE92126">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工程量</w:t>
            </w:r>
          </w:p>
        </w:tc>
      </w:tr>
      <w:tr w14:paraId="771E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286" w:type="dxa"/>
            <w:vAlign w:val="center"/>
          </w:tcPr>
          <w:p w14:paraId="08DC0D7F">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分部分项</w:t>
            </w:r>
          </w:p>
        </w:tc>
        <w:tc>
          <w:tcPr>
            <w:tcW w:w="2286" w:type="dxa"/>
            <w:vAlign w:val="center"/>
          </w:tcPr>
          <w:p w14:paraId="6BE21030">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p>
        </w:tc>
        <w:tc>
          <w:tcPr>
            <w:tcW w:w="2286" w:type="dxa"/>
            <w:vAlign w:val="center"/>
          </w:tcPr>
          <w:p w14:paraId="4F8130D1">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p>
        </w:tc>
        <w:tc>
          <w:tcPr>
            <w:tcW w:w="2286" w:type="dxa"/>
            <w:vAlign w:val="center"/>
          </w:tcPr>
          <w:p w14:paraId="403F1D87">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p>
        </w:tc>
      </w:tr>
      <w:tr w14:paraId="3B68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vAlign w:val="center"/>
          </w:tcPr>
          <w:p w14:paraId="4618B7C8">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挖基坑土方</w:t>
            </w:r>
          </w:p>
        </w:tc>
        <w:tc>
          <w:tcPr>
            <w:tcW w:w="2286" w:type="dxa"/>
            <w:vAlign w:val="center"/>
          </w:tcPr>
          <w:p w14:paraId="6B4D31AB">
            <w:pPr>
              <w:keepNext w:val="0"/>
              <w:keepLines w:val="0"/>
              <w:widowControl/>
              <w:suppressLineNumbers w:val="0"/>
              <w:kinsoku w:val="0"/>
              <w:autoSpaceDE w:val="0"/>
              <w:autoSpaceDN w:val="0"/>
              <w:adjustRightInd w:val="0"/>
              <w:snapToGrid w:val="0"/>
              <w:spacing w:before="52" w:beforeAutospacing="0" w:after="0" w:afterAutospacing="0"/>
              <w:ind w:left="64" w:right="0"/>
              <w:jc w:val="left"/>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1.此次施工回挖采用逐层循环回挖的方式，采用长臂220型挖机装运到自卸式翻斗车；2.具体做法详水处理车间危废填埋场生化污泥回挖技术规范书。</w:t>
            </w:r>
          </w:p>
        </w:tc>
        <w:tc>
          <w:tcPr>
            <w:tcW w:w="2286" w:type="dxa"/>
            <w:vAlign w:val="center"/>
          </w:tcPr>
          <w:p w14:paraId="659D9480">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m3</w:t>
            </w:r>
          </w:p>
        </w:tc>
        <w:tc>
          <w:tcPr>
            <w:tcW w:w="2286" w:type="dxa"/>
            <w:vAlign w:val="center"/>
          </w:tcPr>
          <w:p w14:paraId="751FFCBD">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default"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11375</w:t>
            </w:r>
          </w:p>
        </w:tc>
      </w:tr>
      <w:tr w14:paraId="2548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vAlign w:val="center"/>
          </w:tcPr>
          <w:p w14:paraId="4698A340">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挖基坑土方</w:t>
            </w:r>
          </w:p>
        </w:tc>
        <w:tc>
          <w:tcPr>
            <w:tcW w:w="2286" w:type="dxa"/>
            <w:vAlign w:val="center"/>
          </w:tcPr>
          <w:p w14:paraId="30EC388D">
            <w:pPr>
              <w:keepNext w:val="0"/>
              <w:keepLines w:val="0"/>
              <w:widowControl/>
              <w:suppressLineNumbers w:val="0"/>
              <w:kinsoku w:val="0"/>
              <w:autoSpaceDE w:val="0"/>
              <w:autoSpaceDN w:val="0"/>
              <w:adjustRightInd w:val="0"/>
              <w:snapToGrid w:val="0"/>
              <w:spacing w:before="52" w:beforeAutospacing="0" w:after="0" w:afterAutospacing="0"/>
              <w:ind w:left="64" w:right="0"/>
              <w:jc w:val="left"/>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单元格底部剩余0.5米的采用人工清理，人工装运至吨包袋中；吨包袋材质为PP，规格1.1m*1.2m*1m，承重1吨，使用随车吊装至自卸式翻斗车，需考虑生化污泥池内存在湿泥及受限空间作业条件因素；2.具体做法详水处理车间危废填埋场生化污泥回挖技术规范书。</w:t>
            </w:r>
          </w:p>
        </w:tc>
        <w:tc>
          <w:tcPr>
            <w:tcW w:w="2286" w:type="dxa"/>
            <w:vAlign w:val="center"/>
          </w:tcPr>
          <w:p w14:paraId="7C798D4B">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m3</w:t>
            </w:r>
          </w:p>
        </w:tc>
        <w:tc>
          <w:tcPr>
            <w:tcW w:w="2286" w:type="dxa"/>
            <w:vAlign w:val="center"/>
          </w:tcPr>
          <w:p w14:paraId="3C6538AF">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default"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1625</w:t>
            </w:r>
          </w:p>
        </w:tc>
      </w:tr>
      <w:tr w14:paraId="17E1D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vAlign w:val="center"/>
          </w:tcPr>
          <w:p w14:paraId="1758D871">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生化污泥外运</w:t>
            </w:r>
          </w:p>
        </w:tc>
        <w:tc>
          <w:tcPr>
            <w:tcW w:w="2286" w:type="dxa"/>
            <w:vAlign w:val="center"/>
          </w:tcPr>
          <w:p w14:paraId="3A0905F8">
            <w:pPr>
              <w:keepNext w:val="0"/>
              <w:keepLines w:val="0"/>
              <w:widowControl/>
              <w:suppressLineNumbers w:val="0"/>
              <w:kinsoku w:val="0"/>
              <w:autoSpaceDE w:val="0"/>
              <w:autoSpaceDN w:val="0"/>
              <w:adjustRightInd w:val="0"/>
              <w:snapToGrid w:val="0"/>
              <w:spacing w:before="52" w:beforeAutospacing="0" w:after="0" w:afterAutospacing="0"/>
              <w:ind w:left="64" w:right="0"/>
              <w:jc w:val="left"/>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生化污泥从危废填埋场运至备煤场公里数为5-6公里运费（具体公里数以实测为准）；2.填埋格内脱水率60%以下的污泥，回挖、运输至煤场指定区域A区（掺烧）；脱水率60%以上的污泥，回挖、运输至煤场指定区域B区（经晾晒及自然蒸发后，其脱水率小于60%，再进行掺烧）。</w:t>
            </w:r>
          </w:p>
        </w:tc>
        <w:tc>
          <w:tcPr>
            <w:tcW w:w="2286" w:type="dxa"/>
            <w:vAlign w:val="center"/>
          </w:tcPr>
          <w:p w14:paraId="174BCF38">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m3</w:t>
            </w:r>
          </w:p>
        </w:tc>
        <w:tc>
          <w:tcPr>
            <w:tcW w:w="2286" w:type="dxa"/>
            <w:vAlign w:val="center"/>
          </w:tcPr>
          <w:p w14:paraId="60BA7872">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13000</w:t>
            </w:r>
          </w:p>
        </w:tc>
      </w:tr>
      <w:tr w14:paraId="21A3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vAlign w:val="center"/>
          </w:tcPr>
          <w:p w14:paraId="6B81A5E4">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土工布铺设</w:t>
            </w:r>
          </w:p>
        </w:tc>
        <w:tc>
          <w:tcPr>
            <w:tcW w:w="2286" w:type="dxa"/>
            <w:vAlign w:val="center"/>
          </w:tcPr>
          <w:p w14:paraId="28D2CB9E">
            <w:pPr>
              <w:keepNext w:val="0"/>
              <w:keepLines w:val="0"/>
              <w:widowControl/>
              <w:suppressLineNumbers w:val="0"/>
              <w:kinsoku w:val="0"/>
              <w:autoSpaceDE w:val="0"/>
              <w:autoSpaceDN w:val="0"/>
              <w:adjustRightInd w:val="0"/>
              <w:snapToGrid w:val="0"/>
              <w:spacing w:before="52" w:beforeAutospacing="0" w:after="0" w:afterAutospacing="0"/>
              <w:ind w:left="64" w:right="0"/>
              <w:jc w:val="left"/>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1.填埋单元格内更换长纤无纺布满铺，规格400g/m2；2.具体做法详技术规范。</w:t>
            </w:r>
          </w:p>
        </w:tc>
        <w:tc>
          <w:tcPr>
            <w:tcW w:w="2286" w:type="dxa"/>
            <w:vAlign w:val="center"/>
          </w:tcPr>
          <w:p w14:paraId="389C9C2A">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m2</w:t>
            </w:r>
          </w:p>
        </w:tc>
        <w:tc>
          <w:tcPr>
            <w:tcW w:w="2286" w:type="dxa"/>
            <w:vAlign w:val="center"/>
          </w:tcPr>
          <w:p w14:paraId="1915E7E4">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default"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9750</w:t>
            </w:r>
          </w:p>
        </w:tc>
      </w:tr>
      <w:tr w14:paraId="5A8C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vAlign w:val="center"/>
          </w:tcPr>
          <w:p w14:paraId="0D86EB82">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高密度聚乙烯(HDPD)膜</w:t>
            </w:r>
          </w:p>
        </w:tc>
        <w:tc>
          <w:tcPr>
            <w:tcW w:w="2286" w:type="dxa"/>
            <w:vAlign w:val="center"/>
          </w:tcPr>
          <w:p w14:paraId="1E8B9961">
            <w:pPr>
              <w:keepNext w:val="0"/>
              <w:keepLines w:val="0"/>
              <w:widowControl/>
              <w:suppressLineNumbers w:val="0"/>
              <w:kinsoku w:val="0"/>
              <w:autoSpaceDE w:val="0"/>
              <w:autoSpaceDN w:val="0"/>
              <w:adjustRightInd w:val="0"/>
              <w:snapToGrid w:val="0"/>
              <w:spacing w:before="52" w:beforeAutospacing="0" w:after="0" w:afterAutospacing="0"/>
              <w:ind w:left="64" w:right="0"/>
              <w:jc w:val="left"/>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1.填埋单元格内破损HDPE防渗膜更换，采用双缝焊两道，焊接完成后进行气密性试验检测焊缝渗漏，合格后进行下道工序施工，焊接和旧膜搭接均按以上要求执行，材质同原；2.具体做法详技术规范。</w:t>
            </w:r>
          </w:p>
        </w:tc>
        <w:tc>
          <w:tcPr>
            <w:tcW w:w="2286" w:type="dxa"/>
            <w:vAlign w:val="center"/>
          </w:tcPr>
          <w:p w14:paraId="536A658C">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m2</w:t>
            </w:r>
          </w:p>
        </w:tc>
        <w:tc>
          <w:tcPr>
            <w:tcW w:w="2286" w:type="dxa"/>
            <w:vAlign w:val="center"/>
          </w:tcPr>
          <w:p w14:paraId="4AE73D75">
            <w:pPr>
              <w:keepNext w:val="0"/>
              <w:keepLines w:val="0"/>
              <w:widowControl/>
              <w:suppressLineNumbers w:val="0"/>
              <w:kinsoku w:val="0"/>
              <w:autoSpaceDE w:val="0"/>
              <w:autoSpaceDN w:val="0"/>
              <w:adjustRightInd w:val="0"/>
              <w:snapToGrid w:val="0"/>
              <w:spacing w:before="52" w:beforeAutospacing="0" w:after="0" w:afterAutospacing="0"/>
              <w:ind w:left="64" w:right="0"/>
              <w:jc w:val="center"/>
              <w:textAlignment w:val="baseline"/>
              <w:rPr>
                <w:rFonts w:hint="eastAsia" w:ascii="宋体" w:hAnsi="宋体" w:eastAsia="宋体" w:cs="宋体"/>
                <w:snapToGrid/>
                <w:color w:val="auto"/>
                <w:kern w:val="0"/>
                <w:sz w:val="22"/>
                <w:szCs w:val="22"/>
                <w:highlight w:val="none"/>
                <w:lang w:val="en-US" w:eastAsia="zh-CN" w:bidi="ar"/>
              </w:rPr>
            </w:pPr>
            <w:r>
              <w:rPr>
                <w:rFonts w:hint="eastAsia" w:ascii="宋体" w:hAnsi="宋体" w:eastAsia="宋体" w:cs="宋体"/>
                <w:snapToGrid/>
                <w:color w:val="auto"/>
                <w:kern w:val="0"/>
                <w:sz w:val="22"/>
                <w:szCs w:val="22"/>
                <w:highlight w:val="none"/>
                <w:lang w:val="en-US" w:eastAsia="zh-CN" w:bidi="ar"/>
              </w:rPr>
              <w:t>2000</w:t>
            </w:r>
          </w:p>
        </w:tc>
      </w:tr>
      <w:tr w14:paraId="0195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tcPr>
          <w:p w14:paraId="18B9ABFD">
            <w:pPr>
              <w:pStyle w:val="2"/>
              <w:jc w:val="center"/>
              <w:rPr>
                <w:rFonts w:hint="eastAsia" w:ascii="宋体" w:hAnsi="宋体" w:cs="宋体"/>
                <w:color w:val="auto"/>
                <w:sz w:val="24"/>
                <w:highlight w:val="none"/>
                <w:vertAlign w:val="baseline"/>
              </w:rPr>
            </w:pPr>
          </w:p>
        </w:tc>
        <w:tc>
          <w:tcPr>
            <w:tcW w:w="2286" w:type="dxa"/>
          </w:tcPr>
          <w:p w14:paraId="11BFA2E0">
            <w:pPr>
              <w:pStyle w:val="2"/>
              <w:jc w:val="center"/>
              <w:rPr>
                <w:rFonts w:hint="eastAsia" w:ascii="宋体" w:hAnsi="宋体" w:cs="宋体"/>
                <w:color w:val="auto"/>
                <w:sz w:val="24"/>
                <w:highlight w:val="none"/>
                <w:vertAlign w:val="baseline"/>
              </w:rPr>
            </w:pPr>
          </w:p>
        </w:tc>
        <w:tc>
          <w:tcPr>
            <w:tcW w:w="2286" w:type="dxa"/>
          </w:tcPr>
          <w:p w14:paraId="3D50174B">
            <w:pPr>
              <w:pStyle w:val="2"/>
              <w:jc w:val="center"/>
              <w:rPr>
                <w:rFonts w:hint="eastAsia" w:ascii="宋体" w:hAnsi="宋体" w:cs="宋体"/>
                <w:color w:val="auto"/>
                <w:sz w:val="24"/>
                <w:highlight w:val="none"/>
                <w:vertAlign w:val="baseline"/>
              </w:rPr>
            </w:pPr>
          </w:p>
        </w:tc>
        <w:tc>
          <w:tcPr>
            <w:tcW w:w="2286" w:type="dxa"/>
          </w:tcPr>
          <w:p w14:paraId="61646EEB">
            <w:pPr>
              <w:pStyle w:val="2"/>
              <w:jc w:val="center"/>
              <w:rPr>
                <w:rFonts w:hint="eastAsia" w:ascii="宋体" w:hAnsi="宋体" w:cs="宋体"/>
                <w:color w:val="auto"/>
                <w:sz w:val="24"/>
                <w:highlight w:val="none"/>
                <w:vertAlign w:val="baseline"/>
              </w:rPr>
            </w:pPr>
          </w:p>
        </w:tc>
      </w:tr>
    </w:tbl>
    <w:p w14:paraId="4DE0C9D5">
      <w:pPr>
        <w:pStyle w:val="2"/>
        <w:rPr>
          <w:rFonts w:hint="eastAsia" w:ascii="宋体" w:hAnsi="宋体" w:cs="宋体"/>
          <w:color w:val="auto"/>
          <w:sz w:val="24"/>
          <w:highlight w:val="none"/>
        </w:rPr>
      </w:pPr>
    </w:p>
    <w:bookmarkEnd w:id="12"/>
    <w:sectPr>
      <w:footerReference r:id="rId3" w:type="default"/>
      <w:pgSz w:w="11906" w:h="16838"/>
      <w:pgMar w:top="1440" w:right="1418" w:bottom="1440" w:left="156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8E530">
    <w:pPr>
      <w:pStyle w:val="7"/>
      <w:jc w:val="center"/>
    </w:pPr>
    <w:r>
      <w:fldChar w:fldCharType="begin"/>
    </w:r>
    <w:r>
      <w:instrText xml:space="preserve"> PAGE   \* MERGEFORMAT </w:instrText>
    </w:r>
    <w:r>
      <w:fldChar w:fldCharType="separate"/>
    </w:r>
    <w:r>
      <w:rPr>
        <w:lang w:val="zh-CN"/>
      </w:rPr>
      <w:t>1</w:t>
    </w:r>
    <w:r>
      <w:rPr>
        <w:lang w:val="zh-CN"/>
      </w:rPr>
      <w:fldChar w:fldCharType="end"/>
    </w:r>
  </w:p>
  <w:p w14:paraId="073D1B2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0F4CCB"/>
    <w:multiLevelType w:val="singleLevel"/>
    <w:tmpl w:val="400F4CCB"/>
    <w:lvl w:ilvl="0" w:tentative="0">
      <w:start w:val="4"/>
      <w:numFmt w:val="chineseCounting"/>
      <w:suff w:val="nothing"/>
      <w:lvlText w:val="%1、"/>
      <w:lvlJc w:val="left"/>
      <w:rPr>
        <w:rFonts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NTdhZjZiZDM2ZTRkOGM2YzQwZjEyMjVmNTRlZTEifQ=="/>
  </w:docVars>
  <w:rsids>
    <w:rsidRoot w:val="005D3EBA"/>
    <w:rsid w:val="000A5702"/>
    <w:rsid w:val="000D7DC9"/>
    <w:rsid w:val="001830C9"/>
    <w:rsid w:val="001975CB"/>
    <w:rsid w:val="00294E55"/>
    <w:rsid w:val="002A6E08"/>
    <w:rsid w:val="00451CF4"/>
    <w:rsid w:val="005C6472"/>
    <w:rsid w:val="005D3EBA"/>
    <w:rsid w:val="005F3493"/>
    <w:rsid w:val="00605FB8"/>
    <w:rsid w:val="006A2BDD"/>
    <w:rsid w:val="006D0743"/>
    <w:rsid w:val="007162EC"/>
    <w:rsid w:val="00756ED6"/>
    <w:rsid w:val="0084282F"/>
    <w:rsid w:val="00886586"/>
    <w:rsid w:val="00923204"/>
    <w:rsid w:val="009332E4"/>
    <w:rsid w:val="009431E6"/>
    <w:rsid w:val="00953959"/>
    <w:rsid w:val="009677D9"/>
    <w:rsid w:val="009B2DBC"/>
    <w:rsid w:val="00A30B3E"/>
    <w:rsid w:val="00A5103E"/>
    <w:rsid w:val="00AE1D61"/>
    <w:rsid w:val="00B00A18"/>
    <w:rsid w:val="00B73E44"/>
    <w:rsid w:val="00C24DC9"/>
    <w:rsid w:val="00C63DE9"/>
    <w:rsid w:val="00D62BFA"/>
    <w:rsid w:val="00DF6935"/>
    <w:rsid w:val="00E74CA9"/>
    <w:rsid w:val="00EF6247"/>
    <w:rsid w:val="00F01634"/>
    <w:rsid w:val="00F44247"/>
    <w:rsid w:val="00F86CCC"/>
    <w:rsid w:val="032259CB"/>
    <w:rsid w:val="04A00ADE"/>
    <w:rsid w:val="0613271E"/>
    <w:rsid w:val="0664788B"/>
    <w:rsid w:val="077F1302"/>
    <w:rsid w:val="096D56E2"/>
    <w:rsid w:val="0A165F4E"/>
    <w:rsid w:val="0A3463D4"/>
    <w:rsid w:val="0B522047"/>
    <w:rsid w:val="0BE91440"/>
    <w:rsid w:val="0E01588E"/>
    <w:rsid w:val="0F31382A"/>
    <w:rsid w:val="11421D1E"/>
    <w:rsid w:val="1169748B"/>
    <w:rsid w:val="11D706B9"/>
    <w:rsid w:val="128F667A"/>
    <w:rsid w:val="12D81346"/>
    <w:rsid w:val="13A10F7E"/>
    <w:rsid w:val="153638BB"/>
    <w:rsid w:val="192F0DDA"/>
    <w:rsid w:val="1A9A6727"/>
    <w:rsid w:val="1CC17F9B"/>
    <w:rsid w:val="1D296564"/>
    <w:rsid w:val="1E5906A7"/>
    <w:rsid w:val="23564902"/>
    <w:rsid w:val="24593A32"/>
    <w:rsid w:val="291B6C85"/>
    <w:rsid w:val="2BBA31FD"/>
    <w:rsid w:val="2D2F3222"/>
    <w:rsid w:val="2EC15BD9"/>
    <w:rsid w:val="305260A3"/>
    <w:rsid w:val="31E96E7E"/>
    <w:rsid w:val="32AD27A5"/>
    <w:rsid w:val="332A51B0"/>
    <w:rsid w:val="33447406"/>
    <w:rsid w:val="34C603ED"/>
    <w:rsid w:val="35F831EA"/>
    <w:rsid w:val="37B26AAD"/>
    <w:rsid w:val="381063A5"/>
    <w:rsid w:val="397B107A"/>
    <w:rsid w:val="3F6031EC"/>
    <w:rsid w:val="40104C12"/>
    <w:rsid w:val="42022339"/>
    <w:rsid w:val="42327491"/>
    <w:rsid w:val="458B6AE9"/>
    <w:rsid w:val="47E80223"/>
    <w:rsid w:val="48C447EC"/>
    <w:rsid w:val="495A7600"/>
    <w:rsid w:val="4D080AF0"/>
    <w:rsid w:val="4D6949E2"/>
    <w:rsid w:val="51226553"/>
    <w:rsid w:val="53575172"/>
    <w:rsid w:val="543F566E"/>
    <w:rsid w:val="54990D62"/>
    <w:rsid w:val="58BD150F"/>
    <w:rsid w:val="59ED290E"/>
    <w:rsid w:val="5BBE156E"/>
    <w:rsid w:val="5C9D2F32"/>
    <w:rsid w:val="5D771454"/>
    <w:rsid w:val="5E5341F0"/>
    <w:rsid w:val="5EA1094E"/>
    <w:rsid w:val="5F467B8C"/>
    <w:rsid w:val="614B38A4"/>
    <w:rsid w:val="624A3B5C"/>
    <w:rsid w:val="63747577"/>
    <w:rsid w:val="674F751F"/>
    <w:rsid w:val="68307350"/>
    <w:rsid w:val="69237C91"/>
    <w:rsid w:val="6B737C7F"/>
    <w:rsid w:val="6BBC4665"/>
    <w:rsid w:val="6D463172"/>
    <w:rsid w:val="6F1751C9"/>
    <w:rsid w:val="702C3243"/>
    <w:rsid w:val="71297032"/>
    <w:rsid w:val="71AE1DDA"/>
    <w:rsid w:val="71BB2380"/>
    <w:rsid w:val="71EF0B80"/>
    <w:rsid w:val="72D57472"/>
    <w:rsid w:val="72FB42C4"/>
    <w:rsid w:val="73360D13"/>
    <w:rsid w:val="73837D62"/>
    <w:rsid w:val="75AA6994"/>
    <w:rsid w:val="75C86E1A"/>
    <w:rsid w:val="78770683"/>
    <w:rsid w:val="78AC425F"/>
    <w:rsid w:val="7BD3039A"/>
    <w:rsid w:val="7E7F64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0"/>
    <w:pPr>
      <w:keepNext/>
      <w:keepLines/>
      <w:spacing w:line="360" w:lineRule="auto"/>
      <w:outlineLvl w:val="0"/>
    </w:pPr>
    <w:rPr>
      <w:b/>
      <w:bCs/>
      <w:kern w:val="44"/>
      <w:sz w:val="24"/>
      <w:szCs w:val="44"/>
    </w:rPr>
  </w:style>
  <w:style w:type="paragraph" w:styleId="4">
    <w:name w:val="heading 2"/>
    <w:basedOn w:val="1"/>
    <w:next w:val="1"/>
    <w:qFormat/>
    <w:uiPriority w:val="9"/>
    <w:pPr>
      <w:spacing w:line="360" w:lineRule="auto"/>
      <w:jc w:val="left"/>
      <w:outlineLvl w:val="1"/>
    </w:pPr>
    <w:rPr>
      <w:rFonts w:cs="宋体"/>
      <w:b/>
      <w:bCs/>
      <w:sz w:val="24"/>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5">
    <w:name w:val="toc 3"/>
    <w:basedOn w:val="1"/>
    <w:next w:val="1"/>
    <w:qFormat/>
    <w:uiPriority w:val="39"/>
    <w:pPr>
      <w:ind w:left="840" w:leftChars="400"/>
    </w:pPr>
  </w:style>
  <w:style w:type="paragraph" w:styleId="6">
    <w:name w:val="Balloon Text"/>
    <w:basedOn w:val="1"/>
    <w:link w:val="21"/>
    <w:qFormat/>
    <w:uiPriority w:val="99"/>
    <w:rPr>
      <w:sz w:val="18"/>
      <w:szCs w:val="18"/>
    </w:rPr>
  </w:style>
  <w:style w:type="paragraph" w:styleId="7">
    <w:name w:val="footer"/>
    <w:basedOn w:val="1"/>
    <w:link w:val="19"/>
    <w:qFormat/>
    <w:uiPriority w:val="99"/>
    <w:pPr>
      <w:tabs>
        <w:tab w:val="center" w:pos="4153"/>
        <w:tab w:val="right" w:pos="8306"/>
      </w:tabs>
      <w:snapToGrid w:val="0"/>
      <w:jc w:val="left"/>
    </w:pPr>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style>
  <w:style w:type="paragraph" w:styleId="10">
    <w:name w:val="toc 2"/>
    <w:basedOn w:val="1"/>
    <w:next w:val="1"/>
    <w:qFormat/>
    <w:uiPriority w:val="39"/>
    <w:pPr>
      <w:ind w:left="420" w:leftChars="200"/>
    </w:pPr>
  </w:style>
  <w:style w:type="paragraph" w:styleId="11">
    <w:name w:val="Normal (Web)"/>
    <w:basedOn w:val="1"/>
    <w:qFormat/>
    <w:uiPriority w:val="99"/>
    <w:pPr>
      <w:widowControl/>
      <w:spacing w:before="100" w:beforeAutospacing="1" w:after="100" w:afterAutospacing="1"/>
      <w:jc w:val="left"/>
    </w:pPr>
    <w:rPr>
      <w:rFonts w:ascii="宋体" w:hAnsi="宋体" w:cs="宋体"/>
      <w:kern w:val="0"/>
    </w:rPr>
  </w:style>
  <w:style w:type="paragraph" w:styleId="12">
    <w:name w:val="Body Text First Indent"/>
    <w:basedOn w:val="2"/>
    <w:qFormat/>
    <w:uiPriority w:val="0"/>
    <w:pPr>
      <w:tabs>
        <w:tab w:val="left" w:pos="720"/>
      </w:tabs>
      <w:ind w:firstLine="420" w:firstLineChars="100"/>
    </w:p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qFormat/>
    <w:uiPriority w:val="99"/>
    <w:rPr>
      <w:color w:val="0000CC"/>
      <w:u w:val="single"/>
    </w:rPr>
  </w:style>
  <w:style w:type="character" w:customStyle="1" w:styleId="17">
    <w:name w:val="标题 1 Char"/>
    <w:basedOn w:val="15"/>
    <w:link w:val="3"/>
    <w:qFormat/>
    <w:uiPriority w:val="0"/>
    <w:rPr>
      <w:rFonts w:ascii="Times New Roman" w:hAnsi="Times New Roman" w:eastAsia="宋体" w:cs="Times New Roman"/>
      <w:b/>
      <w:bCs/>
      <w:kern w:val="44"/>
      <w:sz w:val="24"/>
      <w:szCs w:val="44"/>
    </w:rPr>
  </w:style>
  <w:style w:type="character" w:customStyle="1" w:styleId="18">
    <w:name w:val="页眉 Char"/>
    <w:basedOn w:val="15"/>
    <w:link w:val="8"/>
    <w:qFormat/>
    <w:uiPriority w:val="99"/>
    <w:rPr>
      <w:sz w:val="18"/>
      <w:szCs w:val="18"/>
    </w:rPr>
  </w:style>
  <w:style w:type="character" w:customStyle="1" w:styleId="19">
    <w:name w:val="页脚 Char"/>
    <w:basedOn w:val="15"/>
    <w:link w:val="7"/>
    <w:qFormat/>
    <w:uiPriority w:val="99"/>
    <w:rPr>
      <w:sz w:val="18"/>
      <w:szCs w:val="18"/>
    </w:rPr>
  </w:style>
  <w:style w:type="paragraph" w:customStyle="1" w:styleId="20">
    <w:name w:val="WPSOffice手动目录 1"/>
    <w:qFormat/>
    <w:uiPriority w:val="0"/>
    <w:rPr>
      <w:rFonts w:ascii="Times New Roman" w:hAnsi="Times New Roman" w:eastAsia="宋体" w:cs="Times New Roman"/>
      <w:lang w:val="en-US" w:eastAsia="zh-CN" w:bidi="ar-SA"/>
    </w:rPr>
  </w:style>
  <w:style w:type="character" w:customStyle="1" w:styleId="21">
    <w:name w:val="批注框文本 Char"/>
    <w:basedOn w:val="15"/>
    <w:link w:val="6"/>
    <w:qFormat/>
    <w:uiPriority w:val="99"/>
    <w:rPr>
      <w:rFonts w:ascii="Times New Roman" w:hAnsi="Times New Roman"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首行缩进"/>
    <w:basedOn w:val="1"/>
    <w:link w:val="24"/>
    <w:qFormat/>
    <w:uiPriority w:val="0"/>
    <w:pPr>
      <w:shd w:val="clear" w:color="auto" w:fill="FFFFFF"/>
      <w:tabs>
        <w:tab w:val="left" w:pos="426"/>
      </w:tabs>
      <w:spacing w:line="480" w:lineRule="exact"/>
      <w:ind w:right="-21" w:rightChars="-21" w:firstLine="200" w:firstLineChars="200"/>
      <w:jc w:val="left"/>
    </w:pPr>
    <w:rPr>
      <w:rFonts w:ascii="宋体" w:hAnsi="宋体" w:cs="宋体"/>
      <w:bCs/>
      <w:szCs w:val="22"/>
    </w:rPr>
  </w:style>
  <w:style w:type="character" w:customStyle="1" w:styleId="24">
    <w:name w:val="首行缩进 Char"/>
    <w:basedOn w:val="15"/>
    <w:link w:val="23"/>
    <w:qFormat/>
    <w:uiPriority w:val="0"/>
    <w:rPr>
      <w:rFonts w:ascii="宋体" w:hAnsi="宋体" w:cs="宋体"/>
      <w:bCs/>
      <w:szCs w:val="22"/>
    </w:rPr>
  </w:style>
  <w:style w:type="paragraph" w:customStyle="1" w:styleId="25">
    <w:name w:val="图表"/>
    <w:basedOn w:val="1"/>
    <w:qFormat/>
    <w:uiPriority w:val="0"/>
    <w:pPr>
      <w:jc w:val="center"/>
    </w:pPr>
    <w:rPr>
      <w:szCs w:val="22"/>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7">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8">
    <w:name w:val="font81"/>
    <w:basedOn w:val="15"/>
    <w:qFormat/>
    <w:uiPriority w:val="0"/>
    <w:rPr>
      <w:rFonts w:hint="eastAsia" w:ascii="宋体" w:hAnsi="宋体" w:eastAsia="宋体" w:cs="宋体"/>
      <w:color w:val="auto"/>
      <w:sz w:val="22"/>
      <w:szCs w:val="22"/>
      <w:u w:val="none"/>
    </w:rPr>
  </w:style>
  <w:style w:type="character" w:customStyle="1" w:styleId="29">
    <w:name w:val="font61"/>
    <w:basedOn w:val="15"/>
    <w:qFormat/>
    <w:uiPriority w:val="0"/>
    <w:rPr>
      <w:rFonts w:hint="eastAsia" w:ascii="宋体" w:hAnsi="宋体" w:eastAsia="宋体" w:cs="宋体"/>
      <w:color w:val="auto"/>
      <w:sz w:val="22"/>
      <w:szCs w:val="22"/>
      <w:u w:val="none"/>
    </w:rPr>
  </w:style>
  <w:style w:type="paragraph" w:customStyle="1" w:styleId="30">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default" w:ascii="Arial" w:hAnsi="Arial" w:cs="Arial"/>
      <w:snapToGrid/>
      <w:color w:val="000000"/>
      <w:kern w:val="0"/>
      <w:sz w:val="9"/>
      <w:szCs w:val="9"/>
      <w:lang w:val="en-US" w:eastAsia="zh-CN" w:bidi="ar"/>
    </w:rPr>
  </w:style>
  <w:style w:type="table" w:customStyle="1" w:styleId="31">
    <w:name w:val="Table Normal"/>
    <w:basedOn w:val="13"/>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6BE847-E229-42E1-B9AF-C6F1770E2036}">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2718</Words>
  <Characters>3006</Characters>
  <Lines>50</Lines>
  <Paragraphs>14</Paragraphs>
  <TotalTime>0</TotalTime>
  <ScaleCrop>false</ScaleCrop>
  <LinksUpToDate>false</LinksUpToDate>
  <CharactersWithSpaces>3028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2022-07-25T15:48:00Z</dcterms:created>
  <dc:creator>程海运</dc:creator>
  <cp:lastModifiedBy>李鹏程</cp:lastModifiedBy>
  <cp:lastPrinted>2024-01-24T03:43:00Z</cp:lastPrinted>
  <dcterms:modified xsi:type="dcterms:W3CDTF">2026-04-08T07:29:19Z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A3D496B935034974B4051AF4FF88BD07_13</vt:lpwstr>
  </property>
  <property fmtid="{D5CDD505-2E9C-101B-9397-08002B2CF9AE}" pid="4" name="KSOTemplateDocerSaveRecord">
    <vt:lpwstr>eyJoZGlkIjoiZGE2Mjg2YTZkZTMyMTYwY2M1OTQ5YzJlN2MyYmRjOGEiLCJ1c2VySWQiOiIxNTY5NDgyOTM2In0=</vt:lpwstr>
  </property>
</Properties>
</file>