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F0B90">
      <w:pPr>
        <w:ind w:left="1200" w:hanging="1200" w:hangingChars="500"/>
        <w:jc w:val="left"/>
        <w:rPr>
          <w:rFonts w:ascii="宋体" w:hAnsi="宋体" w:cs="宋体"/>
          <w:highlight w:val="none"/>
        </w:rPr>
      </w:pPr>
    </w:p>
    <w:p w14:paraId="7724DE31">
      <w:pPr>
        <w:snapToGrid w:val="0"/>
        <w:spacing w:line="360" w:lineRule="auto"/>
        <w:ind w:right="-175" w:rightChars="-73" w:firstLine="720" w:firstLineChars="300"/>
        <w:rPr>
          <w:rFonts w:ascii="黑体" w:hAnsi="黑体" w:eastAsia="黑体" w:cs="黑体"/>
          <w:sz w:val="32"/>
          <w:szCs w:val="32"/>
          <w:highlight w:val="none"/>
        </w:rPr>
      </w:pPr>
      <w:r>
        <w:rPr>
          <w:highlight w:val="none"/>
        </w:rPr>
        <w:drawing>
          <wp:anchor distT="0" distB="0" distL="0" distR="0" simplePos="0" relativeHeight="251659264" behindDoc="1" locked="0" layoutInCell="1" allowOverlap="1">
            <wp:simplePos x="0" y="0"/>
            <wp:positionH relativeFrom="column">
              <wp:posOffset>-212725</wp:posOffset>
            </wp:positionH>
            <wp:positionV relativeFrom="paragraph">
              <wp:posOffset>-62865</wp:posOffset>
            </wp:positionV>
            <wp:extent cx="669925" cy="556260"/>
            <wp:effectExtent l="0" t="0" r="3175" b="2540"/>
            <wp:wrapNone/>
            <wp:docPr id="1026" name="图片 2" descr="说明: 8888"/>
            <wp:cNvGraphicFramePr/>
            <a:graphic xmlns:a="http://schemas.openxmlformats.org/drawingml/2006/main">
              <a:graphicData uri="http://schemas.openxmlformats.org/drawingml/2006/picture">
                <pic:pic xmlns:pic="http://schemas.openxmlformats.org/drawingml/2006/picture">
                  <pic:nvPicPr>
                    <pic:cNvPr id="1026" name="图片 2" descr="说明: 8888"/>
                    <pic:cNvPicPr/>
                  </pic:nvPicPr>
                  <pic:blipFill>
                    <a:blip r:embed="rId9" cstate="print"/>
                    <a:srcRect/>
                    <a:stretch>
                      <a:fillRect/>
                    </a:stretch>
                  </pic:blipFill>
                  <pic:spPr>
                    <a:xfrm>
                      <a:off x="0" y="0"/>
                      <a:ext cx="669925" cy="556260"/>
                    </a:xfrm>
                    <a:prstGeom prst="rect">
                      <a:avLst/>
                    </a:prstGeom>
                    <a:ln>
                      <a:noFill/>
                    </a:ln>
                  </pic:spPr>
                </pic:pic>
              </a:graphicData>
            </a:graphic>
          </wp:anchor>
        </w:drawing>
      </w:r>
      <w:r>
        <w:rPr>
          <w:rFonts w:hint="eastAsia" w:ascii="黑体" w:hAnsi="黑体" w:eastAsia="黑体" w:cs="黑体"/>
          <w:sz w:val="32"/>
          <w:szCs w:val="32"/>
          <w:highlight w:val="none"/>
          <w:lang w:val="en-US" w:eastAsia="zh-CN"/>
        </w:rPr>
        <w:t>伊犁</w:t>
      </w:r>
      <w:r>
        <w:rPr>
          <w:rFonts w:hint="eastAsia" w:ascii="黑体" w:hAnsi="黑体" w:eastAsia="黑体" w:cs="黑体"/>
          <w:sz w:val="32"/>
          <w:szCs w:val="32"/>
          <w:highlight w:val="none"/>
        </w:rPr>
        <w:t>新天煤化工有限责任公司</w:t>
      </w:r>
    </w:p>
    <w:p w14:paraId="63BE0595">
      <w:pPr>
        <w:snapToGrid w:val="0"/>
        <w:spacing w:line="360" w:lineRule="auto"/>
        <w:ind w:right="-175" w:rightChars="-73"/>
        <w:jc w:val="both"/>
        <w:rPr>
          <w:rFonts w:ascii="宋体" w:hAnsi="宋体" w:cs="宋体"/>
          <w:b/>
          <w:bCs/>
          <w:sz w:val="36"/>
          <w:szCs w:val="36"/>
          <w:highlight w:val="none"/>
        </w:rPr>
      </w:pPr>
    </w:p>
    <w:p w14:paraId="2EC453E2">
      <w:pPr>
        <w:jc w:val="center"/>
        <w:rPr>
          <w:rFonts w:hint="eastAsia" w:ascii="宋体" w:hAnsi="宋体"/>
          <w:b/>
          <w:sz w:val="48"/>
          <w:szCs w:val="48"/>
          <w:highlight w:val="none"/>
        </w:rPr>
      </w:pPr>
      <w:r>
        <w:rPr>
          <w:rFonts w:hint="eastAsia" w:ascii="宋体" w:hAnsi="宋体"/>
          <w:b/>
          <w:sz w:val="48"/>
          <w:szCs w:val="48"/>
          <w:highlight w:val="none"/>
          <w:lang w:val="en-US" w:eastAsia="zh-CN"/>
        </w:rPr>
        <w:t>照明框架及热电装置区照明节能</w:t>
      </w:r>
      <w:r>
        <w:rPr>
          <w:rFonts w:hint="eastAsia" w:ascii="宋体" w:hAnsi="宋体"/>
          <w:b/>
          <w:sz w:val="48"/>
          <w:szCs w:val="48"/>
          <w:highlight w:val="none"/>
        </w:rPr>
        <w:t>改造</w:t>
      </w:r>
    </w:p>
    <w:p w14:paraId="7F441FCC">
      <w:pPr>
        <w:jc w:val="center"/>
        <w:rPr>
          <w:rFonts w:ascii="宋体" w:hAnsi="宋体" w:cs="宋体"/>
          <w:b/>
          <w:sz w:val="48"/>
          <w:szCs w:val="48"/>
          <w:highlight w:val="none"/>
        </w:rPr>
      </w:pPr>
      <w:r>
        <w:rPr>
          <w:rFonts w:hint="eastAsia" w:ascii="宋体" w:hAnsi="宋体"/>
          <w:b/>
          <w:sz w:val="48"/>
          <w:szCs w:val="48"/>
          <w:highlight w:val="none"/>
        </w:rPr>
        <w:t>项目技术规范书</w:t>
      </w:r>
    </w:p>
    <w:p w14:paraId="4C0142AB">
      <w:pPr>
        <w:jc w:val="center"/>
        <w:rPr>
          <w:rFonts w:ascii="宋体" w:hAnsi="宋体" w:cs="宋体"/>
          <w:b/>
          <w:sz w:val="48"/>
          <w:szCs w:val="48"/>
          <w:highlight w:val="none"/>
        </w:rPr>
      </w:pPr>
    </w:p>
    <w:p w14:paraId="5E9CD3E5">
      <w:pPr>
        <w:ind w:firstLine="2880" w:firstLineChars="800"/>
        <w:rPr>
          <w:rFonts w:ascii="宋体" w:hAnsi="宋体" w:cs="宋体"/>
          <w:sz w:val="36"/>
          <w:szCs w:val="36"/>
          <w:highlight w:val="none"/>
        </w:rPr>
      </w:pPr>
    </w:p>
    <w:p w14:paraId="1C9A7BFA">
      <w:pPr>
        <w:ind w:firstLine="2880" w:firstLineChars="800"/>
        <w:rPr>
          <w:rFonts w:ascii="宋体" w:hAnsi="宋体" w:cs="宋体"/>
          <w:sz w:val="36"/>
          <w:szCs w:val="36"/>
          <w:highlight w:val="none"/>
        </w:rPr>
      </w:pPr>
    </w:p>
    <w:p w14:paraId="5BABE2EA">
      <w:pPr>
        <w:ind w:left="0" w:leftChars="0" w:firstLine="0" w:firstLineChars="0"/>
        <w:rPr>
          <w:rFonts w:ascii="宋体" w:hAnsi="宋体" w:cs="宋体"/>
          <w:sz w:val="28"/>
          <w:szCs w:val="28"/>
          <w:highlight w:val="none"/>
        </w:rPr>
      </w:pPr>
    </w:p>
    <w:p w14:paraId="36D4F0A0">
      <w:pPr>
        <w:autoSpaceDE w:val="0"/>
        <w:autoSpaceDN w:val="0"/>
        <w:spacing w:line="360" w:lineRule="auto"/>
        <w:jc w:val="center"/>
        <w:textAlignment w:val="bottom"/>
        <w:rPr>
          <w:rFonts w:ascii="宋体" w:hAnsi="宋体" w:cs="宋体"/>
          <w:sz w:val="28"/>
          <w:szCs w:val="28"/>
          <w:highlight w:val="none"/>
        </w:rPr>
      </w:pPr>
      <w:r>
        <w:rPr>
          <w:rFonts w:hint="eastAsia" w:ascii="宋体" w:hAnsi="宋体" w:cs="宋体"/>
          <w:sz w:val="36"/>
          <w:szCs w:val="36"/>
          <w:highlight w:val="none"/>
        </w:rPr>
        <w:t>伊犁新天煤化工有限责任公司</w:t>
      </w:r>
    </w:p>
    <w:p w14:paraId="4F4C2FD7">
      <w:pPr>
        <w:jc w:val="center"/>
        <w:rPr>
          <w:rFonts w:hint="eastAsia" w:ascii="宋体" w:hAnsi="宋体" w:cs="宋体"/>
          <w:color w:val="000000"/>
          <w:sz w:val="36"/>
          <w:szCs w:val="36"/>
          <w:highlight w:val="none"/>
        </w:rPr>
        <w:sectPr>
          <w:pgSz w:w="11907" w:h="16840"/>
          <w:pgMar w:top="1418" w:right="1531" w:bottom="1418" w:left="1701" w:header="851" w:footer="992" w:gutter="0"/>
          <w:pgNumType w:fmt="decimal" w:start="1"/>
          <w:cols w:space="720" w:num="1"/>
          <w:docGrid w:linePitch="380" w:charSpace="0"/>
        </w:sectPr>
      </w:pPr>
      <w:r>
        <w:rPr>
          <w:rFonts w:hint="eastAsia" w:ascii="宋体" w:hAnsi="宋体" w:cs="宋体"/>
          <w:sz w:val="36"/>
          <w:szCs w:val="36"/>
          <w:highlight w:val="none"/>
          <w:lang w:eastAsia="zh-CN"/>
        </w:rPr>
        <w:t>2026年</w:t>
      </w:r>
      <w:r>
        <w:rPr>
          <w:rFonts w:hint="eastAsia" w:ascii="宋体" w:hAnsi="宋体" w:cs="宋体"/>
          <w:sz w:val="36"/>
          <w:szCs w:val="36"/>
          <w:highlight w:val="none"/>
          <w:lang w:val="en-US" w:eastAsia="zh-CN"/>
        </w:rPr>
        <w:t>5</w:t>
      </w:r>
      <w:r>
        <w:rPr>
          <w:rFonts w:hint="eastAsia" w:ascii="宋体" w:hAnsi="宋体" w:cs="宋体"/>
          <w:sz w:val="36"/>
          <w:szCs w:val="36"/>
          <w:highlight w:val="none"/>
          <w:lang w:eastAsia="zh-CN"/>
        </w:rPr>
        <w:t>月</w:t>
      </w:r>
    </w:p>
    <w:p w14:paraId="1E9BB069">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目  录</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TOC \o "1-2" \h \z \u </w:instrText>
      </w:r>
      <w:r>
        <w:rPr>
          <w:rFonts w:hint="eastAsia" w:ascii="宋体" w:hAnsi="宋体" w:eastAsia="宋体" w:cs="宋体"/>
          <w:sz w:val="24"/>
          <w:szCs w:val="24"/>
          <w:highlight w:val="none"/>
        </w:rPr>
        <w:fldChar w:fldCharType="separate"/>
      </w:r>
    </w:p>
    <w:p w14:paraId="5A35A0F9">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附件1 技术规范</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rPr>
        <w:t>1</w:t>
      </w:r>
    </w:p>
    <w:p w14:paraId="374B18D4">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附件2 供货范围</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rPr>
        <w:t>1</w:t>
      </w:r>
      <w:r>
        <w:rPr>
          <w:rFonts w:hint="eastAsia" w:ascii="宋体" w:hAnsi="宋体" w:cs="宋体"/>
          <w:b w:val="0"/>
          <w:bCs/>
          <w:sz w:val="24"/>
          <w:szCs w:val="24"/>
          <w:highlight w:val="none"/>
          <w:lang w:val="en-US" w:eastAsia="zh-CN"/>
        </w:rPr>
        <w:t>9</w:t>
      </w:r>
    </w:p>
    <w:p w14:paraId="7A454CB9">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附件3 技术资料及交付进度</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2</w:t>
      </w:r>
      <w:r>
        <w:rPr>
          <w:rFonts w:hint="eastAsia" w:ascii="宋体" w:hAnsi="宋体" w:cs="宋体"/>
          <w:b w:val="0"/>
          <w:bCs/>
          <w:sz w:val="24"/>
          <w:szCs w:val="24"/>
          <w:highlight w:val="none"/>
          <w:lang w:val="en-US" w:eastAsia="zh-CN"/>
        </w:rPr>
        <w:t>3</w:t>
      </w:r>
    </w:p>
    <w:p w14:paraId="074196D5">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附件4 设备交货进度</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2</w:t>
      </w:r>
      <w:r>
        <w:rPr>
          <w:rFonts w:hint="eastAsia" w:ascii="宋体" w:hAnsi="宋体" w:cs="宋体"/>
          <w:b w:val="0"/>
          <w:bCs/>
          <w:sz w:val="24"/>
          <w:szCs w:val="24"/>
          <w:highlight w:val="none"/>
          <w:lang w:val="en-US" w:eastAsia="zh-CN"/>
        </w:rPr>
        <w:t>5</w:t>
      </w:r>
    </w:p>
    <w:p w14:paraId="3F2191BB">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附件5 设备监造、检验和性能验收试验</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2</w:t>
      </w:r>
      <w:r>
        <w:rPr>
          <w:rFonts w:hint="eastAsia" w:ascii="宋体" w:hAnsi="宋体" w:cs="宋体"/>
          <w:b w:val="0"/>
          <w:bCs/>
          <w:sz w:val="24"/>
          <w:szCs w:val="24"/>
          <w:highlight w:val="none"/>
          <w:lang w:val="en-US" w:eastAsia="zh-CN"/>
        </w:rPr>
        <w:t>6</w:t>
      </w:r>
    </w:p>
    <w:p w14:paraId="3B766AAF">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w:t>
      </w:r>
      <w:r>
        <w:rPr>
          <w:rFonts w:hint="eastAsia" w:ascii="宋体" w:hAnsi="宋体" w:eastAsia="宋体" w:cs="宋体"/>
          <w:b w:val="0"/>
          <w:bCs/>
          <w:sz w:val="24"/>
          <w:szCs w:val="24"/>
          <w:highlight w:val="none"/>
          <w:lang w:val="en-US" w:eastAsia="zh-CN"/>
        </w:rPr>
        <w:t>6</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lang w:val="en-US" w:eastAsia="zh-CN"/>
        </w:rPr>
        <w:t>技术服务和联络</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2</w:t>
      </w:r>
      <w:r>
        <w:rPr>
          <w:rFonts w:hint="eastAsia" w:ascii="宋体" w:hAnsi="宋体" w:cs="宋体"/>
          <w:b w:val="0"/>
          <w:bCs/>
          <w:sz w:val="24"/>
          <w:szCs w:val="24"/>
          <w:highlight w:val="none"/>
          <w:lang w:val="en-US" w:eastAsia="zh-CN"/>
        </w:rPr>
        <w:t>8</w:t>
      </w:r>
    </w:p>
    <w:p w14:paraId="6CBD1FA5">
      <w:pPr>
        <w:pStyle w:val="10"/>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附件7 分包与外购</w:t>
      </w:r>
      <w:r>
        <w:rPr>
          <w:rFonts w:hint="eastAsia" w:ascii="宋体" w:hAnsi="宋体" w:eastAsia="宋体" w:cs="宋体"/>
          <w:b w:val="0"/>
          <w:bCs/>
          <w:sz w:val="24"/>
          <w:szCs w:val="24"/>
          <w:highlight w:val="none"/>
        </w:rPr>
        <w:tab/>
      </w:r>
      <w:r>
        <w:rPr>
          <w:rFonts w:hint="eastAsia" w:ascii="宋体" w:hAnsi="宋体" w:cs="宋体"/>
          <w:b w:val="0"/>
          <w:bCs/>
          <w:sz w:val="24"/>
          <w:szCs w:val="24"/>
          <w:highlight w:val="none"/>
          <w:lang w:val="en-US" w:eastAsia="zh-CN"/>
        </w:rPr>
        <w:t>31</w:t>
      </w:r>
    </w:p>
    <w:p w14:paraId="3EEF8D42">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附件8 运行维护手册</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2</w:t>
      </w:r>
    </w:p>
    <w:p w14:paraId="1D7D4459">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附件9 大（部）件情况</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3</w:t>
      </w:r>
    </w:p>
    <w:p w14:paraId="4AEE75F6">
      <w:pPr>
        <w:pStyle w:val="10"/>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附件10 技术差异表</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4</w:t>
      </w:r>
    </w:p>
    <w:p w14:paraId="082D51D0">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附件11 附图</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5</w:t>
      </w:r>
    </w:p>
    <w:p w14:paraId="7C8599F3">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附件12 性能考核条款</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6</w:t>
      </w:r>
    </w:p>
    <w:p w14:paraId="51581A15">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 xml:space="preserve">附件13 </w:t>
      </w:r>
      <w:r>
        <w:rPr>
          <w:rFonts w:hint="eastAsia" w:ascii="宋体" w:hAnsi="宋体" w:cs="宋体"/>
          <w:b w:val="0"/>
          <w:bCs/>
          <w:sz w:val="24"/>
          <w:szCs w:val="24"/>
          <w:highlight w:val="none"/>
          <w:lang w:eastAsia="zh-CN"/>
        </w:rPr>
        <w:t>投标人</w:t>
      </w:r>
      <w:r>
        <w:rPr>
          <w:rFonts w:hint="eastAsia" w:ascii="宋体" w:hAnsi="宋体" w:eastAsia="宋体" w:cs="宋体"/>
          <w:b w:val="0"/>
          <w:bCs/>
          <w:sz w:val="24"/>
          <w:szCs w:val="24"/>
          <w:highlight w:val="none"/>
        </w:rPr>
        <w:t>需要说明的其他问题</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7</w:t>
      </w:r>
    </w:p>
    <w:p w14:paraId="7D6C624B">
      <w:pPr>
        <w:pStyle w:val="1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附件14 业绩及用户评价</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val="en-US" w:eastAsia="zh-CN"/>
        </w:rPr>
        <w:t>3</w:t>
      </w:r>
      <w:r>
        <w:rPr>
          <w:rFonts w:hint="eastAsia" w:ascii="宋体" w:hAnsi="宋体" w:cs="宋体"/>
          <w:b w:val="0"/>
          <w:bCs/>
          <w:sz w:val="24"/>
          <w:szCs w:val="24"/>
          <w:highlight w:val="none"/>
          <w:lang w:val="en-US" w:eastAsia="zh-CN"/>
        </w:rPr>
        <w:t>8</w:t>
      </w:r>
    </w:p>
    <w:p w14:paraId="2839EC1C">
      <w:pPr>
        <w:pStyle w:val="10"/>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附件15 订货情况及排产计划说明</w:t>
      </w:r>
      <w:r>
        <w:rPr>
          <w:rFonts w:hint="eastAsia" w:ascii="宋体" w:hAnsi="宋体" w:eastAsia="宋体" w:cs="宋体"/>
          <w:b w:val="0"/>
          <w:bCs/>
          <w:sz w:val="24"/>
          <w:szCs w:val="24"/>
          <w:highlight w:val="none"/>
        </w:rPr>
        <w:tab/>
      </w:r>
      <w:r>
        <w:rPr>
          <w:rFonts w:hint="eastAsia" w:ascii="宋体" w:hAnsi="宋体" w:cs="宋体"/>
          <w:b w:val="0"/>
          <w:bCs/>
          <w:sz w:val="24"/>
          <w:szCs w:val="24"/>
          <w:highlight w:val="none"/>
          <w:lang w:val="en-US" w:eastAsia="zh-CN"/>
        </w:rPr>
        <w:t>39</w:t>
      </w:r>
    </w:p>
    <w:p w14:paraId="175AE40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end"/>
      </w:r>
    </w:p>
    <w:p w14:paraId="734DA7C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sectPr>
          <w:pgSz w:w="11906" w:h="16838"/>
          <w:pgMar w:top="1440" w:right="1440" w:bottom="1440" w:left="1440" w:header="720" w:footer="720" w:gutter="0"/>
          <w:pgBorders>
            <w:top w:val="none" w:sz="0" w:space="0"/>
            <w:left w:val="none" w:sz="0" w:space="0"/>
            <w:bottom w:val="none" w:sz="0" w:space="0"/>
            <w:right w:val="none" w:sz="0" w:space="0"/>
          </w:pgBorders>
          <w:cols w:space="720" w:num="1"/>
        </w:sectPr>
      </w:pPr>
    </w:p>
    <w:p w14:paraId="78EBC88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附件1 技术规范</w:t>
      </w:r>
    </w:p>
    <w:p w14:paraId="4E23D5F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总则</w:t>
      </w:r>
    </w:p>
    <w:p w14:paraId="6069F91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本招标文件适用于</w:t>
      </w:r>
      <w:r>
        <w:rPr>
          <w:rFonts w:hint="eastAsia" w:ascii="宋体" w:hAnsi="宋体" w:cs="宋体"/>
          <w:sz w:val="24"/>
          <w:szCs w:val="24"/>
          <w:highlight w:val="none"/>
          <w:lang w:val="en-US" w:eastAsia="zh-CN"/>
        </w:rPr>
        <w:t>伊犁</w:t>
      </w:r>
      <w:r>
        <w:rPr>
          <w:rFonts w:hint="eastAsia" w:ascii="宋体" w:hAnsi="宋体" w:eastAsia="宋体" w:cs="宋体"/>
          <w:sz w:val="24"/>
          <w:szCs w:val="24"/>
          <w:highlight w:val="none"/>
        </w:rPr>
        <w:t>新天煤化工有限责任公司电气照明框架采购（含日常消缺所需灯具）及热电装置区照明节能改造项目</w:t>
      </w:r>
      <w:r>
        <w:rPr>
          <w:rFonts w:hint="eastAsia" w:ascii="宋体" w:hAnsi="宋体" w:eastAsia="宋体" w:cs="宋体"/>
          <w:sz w:val="24"/>
          <w:szCs w:val="24"/>
          <w:highlight w:val="none"/>
          <w:lang w:val="en-US" w:eastAsia="zh-CN"/>
        </w:rPr>
        <w:t>物资</w:t>
      </w:r>
      <w:r>
        <w:rPr>
          <w:rFonts w:hint="eastAsia" w:ascii="宋体" w:hAnsi="宋体" w:eastAsia="宋体" w:cs="宋体"/>
          <w:sz w:val="24"/>
          <w:szCs w:val="24"/>
          <w:highlight w:val="none"/>
        </w:rPr>
        <w:t>，它提出了上述项目中涉及LED、金卤灯、消防应急灯具等照明设备的结构性能、试验、检验、包装、运输、验收及交货状态等方面的技术要求。</w:t>
      </w:r>
    </w:p>
    <w:p w14:paraId="7147DB6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 </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在本招标文件中提出了最低限度的技术要求，并未规定所有的技术要求和适用的标准，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应提供一套满足本招标文件和所列标准要求的高质量产品及其相应服务。对国家有关安全、环保等强制性标准，必须满足其要求。</w:t>
      </w:r>
    </w:p>
    <w:p w14:paraId="66015D4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 照明系统</w:t>
      </w:r>
      <w:r>
        <w:rPr>
          <w:rFonts w:hint="eastAsia" w:ascii="宋体" w:hAnsi="宋体" w:eastAsia="宋体" w:cs="宋体"/>
          <w:sz w:val="24"/>
          <w:szCs w:val="24"/>
          <w:highlight w:val="none"/>
          <w:lang w:val="en-US" w:eastAsia="zh-CN"/>
        </w:rPr>
        <w:t>供货</w:t>
      </w:r>
      <w:r>
        <w:rPr>
          <w:rFonts w:hint="eastAsia" w:ascii="宋体" w:hAnsi="宋体" w:eastAsia="宋体" w:cs="宋体"/>
          <w:sz w:val="24"/>
          <w:szCs w:val="24"/>
          <w:highlight w:val="none"/>
        </w:rPr>
        <w:t>主体采用国产设备。</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应提供详细的同类型、同容量等级的发电工程配套的照明系统运行业绩清单，并在投标文件中详细说明。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还应在投标文件中说明投标设备的制造工艺和主要结构特点。</w:t>
      </w:r>
    </w:p>
    <w:p w14:paraId="3D82FFD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如对本招标文件有偏差（无论多少或微小），都必须清楚地表示在本招标文件的“差异表”中，否则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将认为</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完全接受和同意本招标文件的要求。</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如有优于本招标文件基本要求的条款，也应在投标文件中特殊说明。</w:t>
      </w:r>
    </w:p>
    <w:p w14:paraId="1541324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对供货范围内的照明系统设备（含辅助系统及设备、附件等）负有全责，即包括分包（或对外采购）的产品。分包（或对外采购）的主要产品制造商应征得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的认可。若分包产品出现质量、履约问题，由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承担全部责任，与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无涉，</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不得向分包商转嫁责任。</w:t>
      </w:r>
    </w:p>
    <w:p w14:paraId="756DB2E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应执行本招标文件所列标准，有不一致时，按较高标准执行。</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在设备设计和制造中所涉及的各项规程、规范和标准必须遵循现行最新标准版本。若</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所提供的投标文件前后有不一致的地方，应以更有利于设备安装运行、工程质量为原则，由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确定</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w:t>
      </w:r>
    </w:p>
    <w:p w14:paraId="08F27AE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1.7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应在投标文件中，对于招标文件进行逐段应答，表明是否接受和同意本招标文件的要求，如：接受和同意招标文件某条款的要求，则在该条款后注明：“理解并承诺完全响应上述条款的要求”；若针对某条款，</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有特别的建议、方案、技术特点或差异，请在该条款下加以描述和说明。</w:t>
      </w:r>
    </w:p>
    <w:p w14:paraId="79058C0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1.8 </w:t>
      </w:r>
      <w:r>
        <w:rPr>
          <w:rFonts w:hint="eastAsia" w:ascii="宋体" w:hAnsi="宋体" w:cs="宋体"/>
          <w:b/>
          <w:sz w:val="24"/>
          <w:szCs w:val="24"/>
          <w:highlight w:val="none"/>
          <w:lang w:eastAsia="zh-CN"/>
        </w:rPr>
        <w:t>投标人</w:t>
      </w:r>
      <w:r>
        <w:rPr>
          <w:rFonts w:hint="eastAsia" w:ascii="宋体" w:hAnsi="宋体" w:eastAsia="宋体" w:cs="宋体"/>
          <w:b/>
          <w:sz w:val="24"/>
          <w:szCs w:val="24"/>
          <w:highlight w:val="none"/>
        </w:rPr>
        <w:t>投标时，须分别提供</w:t>
      </w:r>
      <w:r>
        <w:rPr>
          <w:rFonts w:hint="eastAsia" w:ascii="宋体" w:hAnsi="宋体" w:eastAsia="宋体" w:cs="宋体"/>
          <w:b/>
          <w:sz w:val="24"/>
          <w:szCs w:val="24"/>
          <w:highlight w:val="none"/>
          <w:lang w:val="en-US" w:eastAsia="zh-CN"/>
        </w:rPr>
        <w:t>以下</w:t>
      </w:r>
      <w:r>
        <w:rPr>
          <w:rFonts w:hint="eastAsia" w:ascii="宋体" w:hAnsi="宋体" w:eastAsia="宋体" w:cs="宋体"/>
          <w:b/>
          <w:sz w:val="24"/>
          <w:szCs w:val="24"/>
          <w:highlight w:val="none"/>
        </w:rPr>
        <w:t>型式试验报告：</w:t>
      </w:r>
    </w:p>
    <w:p w14:paraId="79376D76">
      <w:pPr>
        <w:numPr>
          <w:ilvl w:val="0"/>
          <w:numId w:val="0"/>
        </w:numPr>
        <w:kinsoku/>
        <w:wordWrap/>
        <w:overflowPunct/>
        <w:topLinePunct w:val="0"/>
        <w:autoSpaceDE/>
        <w:autoSpaceDN/>
        <w:bidi w:val="0"/>
        <w:adjustRightInd/>
        <w:spacing w:line="360" w:lineRule="auto"/>
        <w:ind w:leftChars="200"/>
        <w:textAlignment w:val="auto"/>
        <w:rPr>
          <w:rFonts w:hint="eastAsia" w:ascii="宋体" w:hAnsi="宋体" w:eastAsia="宋体" w:cs="宋体"/>
          <w:b/>
          <w:sz w:val="24"/>
          <w:szCs w:val="24"/>
          <w:highlight w:val="none"/>
          <w:lang w:eastAsia="zh-CN"/>
        </w:rPr>
      </w:pPr>
      <w:r>
        <w:rPr>
          <w:rFonts w:hint="eastAsia" w:ascii="宋体" w:hAnsi="宋体" w:cs="宋体"/>
          <w:b/>
          <w:sz w:val="24"/>
          <w:szCs w:val="24"/>
          <w:highlight w:val="none"/>
          <w:lang w:val="en-US" w:eastAsia="zh-CN"/>
        </w:rPr>
        <w:t>1</w:t>
      </w:r>
      <w:r>
        <w:rPr>
          <w:rFonts w:hint="eastAsia" w:ascii="宋体" w:hAnsi="宋体" w:eastAsia="宋体" w:cs="宋体"/>
          <w:b/>
          <w:sz w:val="24"/>
          <w:szCs w:val="24"/>
          <w:highlight w:val="none"/>
          <w:lang w:val="en-US" w:eastAsia="zh-CN"/>
        </w:rPr>
        <w:t>.</w:t>
      </w:r>
      <w:r>
        <w:rPr>
          <w:rFonts w:hint="eastAsia" w:ascii="宋体" w:hAnsi="宋体" w:eastAsia="宋体" w:cs="宋体"/>
          <w:b/>
          <w:sz w:val="24"/>
          <w:szCs w:val="24"/>
          <w:highlight w:val="none"/>
        </w:rPr>
        <w:t>额定功率不小于</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rPr>
        <w:t>0W的耐高温三防LED灯具型式试验报告</w:t>
      </w:r>
      <w:r>
        <w:rPr>
          <w:rFonts w:hint="eastAsia" w:ascii="宋体" w:hAnsi="宋体" w:eastAsia="宋体" w:cs="宋体"/>
          <w:b/>
          <w:sz w:val="24"/>
          <w:szCs w:val="24"/>
          <w:highlight w:val="none"/>
          <w:lang w:eastAsia="zh-CN"/>
        </w:rPr>
        <w:t>，</w:t>
      </w:r>
    </w:p>
    <w:p w14:paraId="7640326D">
      <w:pPr>
        <w:numPr>
          <w:ilvl w:val="0"/>
          <w:numId w:val="0"/>
        </w:numPr>
        <w:kinsoku/>
        <w:wordWrap/>
        <w:overflowPunct/>
        <w:topLinePunct w:val="0"/>
        <w:autoSpaceDE/>
        <w:autoSpaceDN/>
        <w:bidi w:val="0"/>
        <w:adjustRightInd/>
        <w:spacing w:line="360" w:lineRule="auto"/>
        <w:ind w:leftChars="200"/>
        <w:textAlignment w:val="auto"/>
        <w:rPr>
          <w:rFonts w:hint="default" w:ascii="宋体" w:hAnsi="宋体" w:eastAsia="宋体" w:cs="宋体"/>
          <w:b/>
          <w:sz w:val="24"/>
          <w:szCs w:val="24"/>
          <w:highlight w:val="none"/>
          <w:lang w:val="en-US" w:eastAsia="zh-CN"/>
        </w:rPr>
      </w:pPr>
      <w:r>
        <w:rPr>
          <w:rFonts w:hint="eastAsia" w:ascii="宋体" w:hAnsi="宋体" w:cs="宋体"/>
          <w:b/>
          <w:sz w:val="24"/>
          <w:szCs w:val="24"/>
          <w:highlight w:val="none"/>
          <w:lang w:val="en-US" w:eastAsia="zh-CN"/>
        </w:rPr>
        <w:t>2</w:t>
      </w:r>
      <w:r>
        <w:rPr>
          <w:rFonts w:hint="eastAsia" w:ascii="宋体" w:hAnsi="宋体" w:eastAsia="宋体" w:cs="宋体"/>
          <w:b/>
          <w:sz w:val="24"/>
          <w:szCs w:val="24"/>
          <w:highlight w:val="none"/>
          <w:lang w:val="en-US" w:eastAsia="zh-CN"/>
        </w:rPr>
        <w:t>.</w:t>
      </w:r>
      <w:r>
        <w:rPr>
          <w:rFonts w:hint="eastAsia" w:ascii="宋体" w:hAnsi="宋体" w:eastAsia="宋体" w:cs="宋体"/>
          <w:b/>
          <w:sz w:val="24"/>
          <w:szCs w:val="24"/>
          <w:highlight w:val="none"/>
        </w:rPr>
        <w:t>额定功率不小于</w:t>
      </w:r>
      <w:r>
        <w:rPr>
          <w:rFonts w:hint="eastAsia" w:ascii="宋体" w:hAnsi="宋体" w:eastAsia="宋体" w:cs="宋体"/>
          <w:b/>
          <w:sz w:val="24"/>
          <w:szCs w:val="24"/>
          <w:highlight w:val="none"/>
          <w:lang w:val="en-US" w:eastAsia="zh-CN"/>
        </w:rPr>
        <w:t>60</w:t>
      </w:r>
      <w:r>
        <w:rPr>
          <w:rFonts w:hint="eastAsia" w:ascii="宋体" w:hAnsi="宋体" w:eastAsia="宋体" w:cs="宋体"/>
          <w:b/>
          <w:sz w:val="24"/>
          <w:szCs w:val="24"/>
          <w:highlight w:val="none"/>
        </w:rPr>
        <w:t>W的</w:t>
      </w:r>
      <w:r>
        <w:rPr>
          <w:rFonts w:hint="eastAsia" w:ascii="宋体" w:hAnsi="宋体" w:eastAsia="宋体" w:cs="宋体"/>
          <w:b/>
          <w:sz w:val="24"/>
          <w:szCs w:val="24"/>
          <w:highlight w:val="none"/>
          <w:lang w:val="en-US" w:eastAsia="zh-CN"/>
        </w:rPr>
        <w:t>防爆</w:t>
      </w:r>
      <w:r>
        <w:rPr>
          <w:rFonts w:hint="eastAsia" w:ascii="宋体" w:hAnsi="宋体" w:eastAsia="宋体" w:cs="宋体"/>
          <w:b/>
          <w:sz w:val="24"/>
          <w:szCs w:val="24"/>
          <w:highlight w:val="none"/>
        </w:rPr>
        <w:t>LED灯具型式试验报告</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防爆等级需满足ExdIICT6</w:t>
      </w:r>
      <w:r>
        <w:rPr>
          <w:rFonts w:hint="eastAsia" w:ascii="宋体" w:hAnsi="宋体" w:cs="宋体"/>
          <w:b/>
          <w:sz w:val="24"/>
          <w:szCs w:val="24"/>
          <w:highlight w:val="none"/>
          <w:lang w:eastAsia="zh-CN"/>
        </w:rPr>
        <w:t>。</w:t>
      </w:r>
    </w:p>
    <w:p w14:paraId="541C948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1.9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对后续经招投标双方确认的澄清文件内容的理解如有异议，解释权归</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w:t>
      </w:r>
    </w:p>
    <w:p w14:paraId="75DB780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1.10 本项目采用统一标识系统，编码按照新天公司设备编码原则执行。</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提供的所有技术资料（图纸）和设备均应采用招标人的设备编码标准。</w:t>
      </w:r>
    </w:p>
    <w:p w14:paraId="60B5376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 招标设备包括</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向其他厂商购买的所有附件和设备，这些附件和设备符合相应的标准规范或法规的最新版本或其修正本的要求，除非另有特别说明，将包括在投标期内有效的任何修正和补充。</w:t>
      </w:r>
    </w:p>
    <w:p w14:paraId="3EE4E8A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1.12 除非另有规定，均遵守最新的国家标准（GB）和国际电工委员会（IEC）标准以及国际单位制（SI）标准。如采用合资或合作产品，还需遵守合作方国家标准，当上述标准不一致时按高标准执行。</w:t>
      </w:r>
    </w:p>
    <w:p w14:paraId="6D8A1DA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提供的设备和配套件要符合以下标准但不局限于以下标准：</w:t>
      </w:r>
    </w:p>
    <w:p w14:paraId="5BDBB640">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7000.7《投光灯具安全要求》</w:t>
      </w:r>
    </w:p>
    <w:p w14:paraId="78D91CF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7000.1/IEC 60598-1《灯具第</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部分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一般要求与试验》</w:t>
      </w:r>
    </w:p>
    <w:p w14:paraId="2C822340">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7000.201《灯具第2-1部分：特殊要求固定式通用灯具》</w:t>
      </w:r>
    </w:p>
    <w:p w14:paraId="160631B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7000.20</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灯具第2-3部分：特殊要求 道路与街道照明灯具</w:t>
      </w:r>
      <w:r>
        <w:rPr>
          <w:rFonts w:hint="eastAsia" w:ascii="宋体" w:hAnsi="宋体" w:eastAsia="宋体" w:cs="宋体"/>
          <w:sz w:val="24"/>
          <w:szCs w:val="24"/>
          <w:highlight w:val="none"/>
        </w:rPr>
        <w:t>》</w:t>
      </w:r>
    </w:p>
    <w:p w14:paraId="0BFA83DF">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7000.2</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灯具第2-24部分：特殊要求 限制表面温度灯具</w:t>
      </w:r>
      <w:r>
        <w:rPr>
          <w:rFonts w:hint="eastAsia" w:ascii="宋体" w:hAnsi="宋体" w:eastAsia="宋体" w:cs="宋体"/>
          <w:sz w:val="24"/>
          <w:szCs w:val="24"/>
          <w:highlight w:val="none"/>
        </w:rPr>
        <w:t>》</w:t>
      </w:r>
    </w:p>
    <w:p w14:paraId="719A169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w:t>
      </w:r>
      <w:r>
        <w:rPr>
          <w:rFonts w:hint="eastAsia" w:ascii="宋体" w:hAnsi="宋体" w:eastAsia="宋体" w:cs="宋体"/>
          <w:sz w:val="24"/>
          <w:szCs w:val="24"/>
          <w:highlight w:val="none"/>
          <w:lang w:val="en-US" w:eastAsia="zh-CN"/>
        </w:rPr>
        <w:t>201</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灯具第2-1部分：特殊要求 固定式通用灯具</w:t>
      </w:r>
      <w:r>
        <w:rPr>
          <w:rFonts w:hint="eastAsia" w:ascii="宋体" w:hAnsi="宋体" w:eastAsia="宋体" w:cs="宋体"/>
          <w:sz w:val="24"/>
          <w:szCs w:val="24"/>
          <w:highlight w:val="none"/>
        </w:rPr>
        <w:t>》</w:t>
      </w:r>
    </w:p>
    <w:p w14:paraId="33436205">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w:t>
      </w:r>
      <w:r>
        <w:rPr>
          <w:rFonts w:hint="eastAsia" w:ascii="宋体" w:hAnsi="宋体" w:eastAsia="宋体" w:cs="宋体"/>
          <w:sz w:val="24"/>
          <w:szCs w:val="24"/>
          <w:highlight w:val="none"/>
          <w:lang w:val="en-US" w:eastAsia="zh-CN"/>
        </w:rPr>
        <w:t>202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灯具第2-2部分：特殊要求 嵌入式灯具</w:t>
      </w:r>
      <w:r>
        <w:rPr>
          <w:rFonts w:hint="eastAsia" w:ascii="宋体" w:hAnsi="宋体" w:eastAsia="宋体" w:cs="宋体"/>
          <w:sz w:val="24"/>
          <w:szCs w:val="24"/>
          <w:highlight w:val="none"/>
        </w:rPr>
        <w:t>》</w:t>
      </w:r>
    </w:p>
    <w:p w14:paraId="023F663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rPr>
        <w:t xml:space="preserve"> 7000.</w:t>
      </w:r>
      <w:r>
        <w:rPr>
          <w:rFonts w:hint="eastAsia" w:ascii="宋体" w:hAnsi="宋体" w:eastAsia="宋体" w:cs="宋体"/>
          <w:sz w:val="24"/>
          <w:szCs w:val="24"/>
          <w:highlight w:val="none"/>
          <w:lang w:val="en-US" w:eastAsia="zh-CN"/>
        </w:rPr>
        <w:t>222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灯具第2-22部分：特殊要求 应急照明灯具</w:t>
      </w:r>
      <w:r>
        <w:rPr>
          <w:rFonts w:hint="eastAsia" w:ascii="宋体" w:hAnsi="宋体" w:eastAsia="宋体" w:cs="宋体"/>
          <w:sz w:val="24"/>
          <w:szCs w:val="24"/>
          <w:highlight w:val="none"/>
        </w:rPr>
        <w:t>》</w:t>
      </w:r>
    </w:p>
    <w:p w14:paraId="166DFD5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GB</w:t>
      </w:r>
      <w:r>
        <w:rPr>
          <w:rFonts w:hint="eastAsia" w:ascii="宋体" w:hAnsi="宋体" w:eastAsia="宋体" w:cs="宋体"/>
          <w:sz w:val="24"/>
          <w:szCs w:val="24"/>
          <w:highlight w:val="none"/>
        </w:rPr>
        <w:t>/T 18595《一般照明用设备电磁兼容抗扰度要求》</w:t>
      </w:r>
    </w:p>
    <w:p w14:paraId="3395874C">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17625.1《电磁兼容 限值 第1部分：谐波电流发射限制（设备每相输入电流≤16A）》</w:t>
      </w:r>
    </w:p>
    <w:p w14:paraId="784EBF88">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5702《光源显色性评价方法》</w:t>
      </w:r>
    </w:p>
    <w:p w14:paraId="46B3ECB7">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7002《投光照明灯具光度测试》</w:t>
      </w:r>
    </w:p>
    <w:p w14:paraId="74E3C79C">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7922《照明光源颜色的测量方法》</w:t>
      </w:r>
    </w:p>
    <w:p w14:paraId="4711227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19658/IEC/TR61341《反射灯中心光强和光束角的测量方法》</w:t>
      </w:r>
    </w:p>
    <w:p w14:paraId="175EFCBE">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 17626.5《电磁兼容 试验和测量技术</w:t>
      </w:r>
      <w:r>
        <w:rPr>
          <w:rFonts w:hint="eastAsia" w:ascii="宋体" w:hAnsi="宋体" w:eastAsia="宋体" w:cs="宋体"/>
          <w:sz w:val="24"/>
          <w:szCs w:val="24"/>
          <w:highlight w:val="none"/>
          <w:lang w:eastAsia="zh-CN"/>
        </w:rPr>
        <w:t>　</w:t>
      </w:r>
      <w:r>
        <w:rPr>
          <w:rFonts w:hint="eastAsia" w:ascii="宋体" w:hAnsi="宋体" w:eastAsia="宋体" w:cs="宋体"/>
          <w:sz w:val="24"/>
          <w:szCs w:val="24"/>
          <w:highlight w:val="none"/>
        </w:rPr>
        <w:t>浪涌（冲击）抗扰度试验》</w:t>
      </w:r>
    </w:p>
    <w:p w14:paraId="41234582">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 17743/CISPR15《电气照明和类似设备的无线电骚扰特性的限值和测量方法》</w:t>
      </w:r>
    </w:p>
    <w:p w14:paraId="7DA05AA2">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9468《灯具分布光度测量的一般要求》</w:t>
      </w:r>
    </w:p>
    <w:p w14:paraId="173597F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23110/CIE 43《投光灯具光度测试》</w:t>
      </w:r>
    </w:p>
    <w:p w14:paraId="702A83ED">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22907/CIE 121《灯具的光度测试和分布光度学》</w:t>
      </w:r>
    </w:p>
    <w:p w14:paraId="2EEC2E18">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20145/CIE S 009/E《灯和灯系统的光生物安全性》 </w:t>
      </w:r>
    </w:p>
    <w:p w14:paraId="2392059D">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eastAsia="zh-CN"/>
        </w:rPr>
        <w:t>T 24823</w:t>
      </w:r>
      <w:r>
        <w:rPr>
          <w:rFonts w:hint="eastAsia" w:ascii="宋体" w:hAnsi="宋体" w:eastAsia="宋体" w:cs="宋体"/>
          <w:sz w:val="24"/>
          <w:szCs w:val="24"/>
          <w:highlight w:val="none"/>
        </w:rPr>
        <w:t>/IEC 62717《普通照明用LED模块性能要求》</w:t>
      </w:r>
    </w:p>
    <w:p w14:paraId="4F6A72CF">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eastAsia="zh-CN"/>
        </w:rPr>
        <w:t>T 24824</w:t>
      </w:r>
      <w:r>
        <w:rPr>
          <w:rFonts w:hint="eastAsia" w:ascii="宋体" w:hAnsi="宋体" w:eastAsia="宋体" w:cs="宋体"/>
          <w:sz w:val="24"/>
          <w:szCs w:val="24"/>
          <w:highlight w:val="none"/>
        </w:rPr>
        <w:t>《普通照明用LED模块测试方法》</w:t>
      </w:r>
    </w:p>
    <w:p w14:paraId="0A1EAA5B">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eastAsia="zh-CN"/>
        </w:rPr>
        <w:t>T 24825</w:t>
      </w:r>
      <w:r>
        <w:rPr>
          <w:rFonts w:hint="eastAsia" w:ascii="宋体" w:hAnsi="宋体" w:eastAsia="宋体" w:cs="宋体"/>
          <w:sz w:val="24"/>
          <w:szCs w:val="24"/>
          <w:highlight w:val="none"/>
        </w:rPr>
        <w:t>《LED模块用直流或交流电子控制装置性能规范》</w:t>
      </w:r>
    </w:p>
    <w:p w14:paraId="7F45D743">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eastAsia="zh-CN"/>
        </w:rPr>
        <w:t>T 24826</w:t>
      </w:r>
      <w:r>
        <w:rPr>
          <w:rFonts w:hint="eastAsia" w:ascii="宋体" w:hAnsi="宋体" w:eastAsia="宋体" w:cs="宋体"/>
          <w:sz w:val="24"/>
          <w:szCs w:val="24"/>
          <w:highlight w:val="none"/>
        </w:rPr>
        <w:t>/IEC 62504《普通照明用LED产品和相关设备术语和定义》</w:t>
      </w:r>
    </w:p>
    <w:p w14:paraId="27D17EDC">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 2900.65《电工术语 照明》</w:t>
      </w:r>
    </w:p>
    <w:p w14:paraId="316F3021">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DL/T 5161.17《电气装置安装工程质量检验及评定规程</w:t>
      </w:r>
      <w:r>
        <w:rPr>
          <w:rFonts w:hint="eastAsia" w:ascii="宋体" w:hAnsi="宋体" w:eastAsia="宋体" w:cs="宋体"/>
          <w:sz w:val="24"/>
          <w:szCs w:val="24"/>
          <w:highlight w:val="none"/>
          <w:lang w:eastAsia="zh-CN"/>
        </w:rPr>
        <w:t xml:space="preserve"> 第</w:t>
      </w:r>
      <w:r>
        <w:rPr>
          <w:rFonts w:hint="eastAsia" w:ascii="宋体" w:hAnsi="宋体" w:eastAsia="宋体" w:cs="宋体"/>
          <w:sz w:val="24"/>
          <w:szCs w:val="24"/>
          <w:highlight w:val="none"/>
        </w:rPr>
        <w:t>17部分：电气照明装置施工质量检验》</w:t>
      </w:r>
    </w:p>
    <w:p w14:paraId="5CB7DBB4">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DL/T 5390《发电厂和变电站照明设计技术规定》</w:t>
      </w:r>
    </w:p>
    <w:p w14:paraId="185A6E44">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GB</w:t>
      </w:r>
      <w:r>
        <w:rPr>
          <w:rFonts w:hint="eastAsia" w:ascii="宋体" w:hAnsi="宋体" w:eastAsia="宋体" w:cs="宋体"/>
          <w:sz w:val="24"/>
          <w:szCs w:val="24"/>
          <w:highlight w:val="none"/>
        </w:rPr>
        <w:t>/T</w:t>
      </w:r>
      <w:r>
        <w:rPr>
          <w:rFonts w:hint="eastAsia" w:ascii="宋体" w:hAnsi="宋体" w:eastAsia="宋体" w:cs="宋体"/>
          <w:sz w:val="24"/>
          <w:szCs w:val="24"/>
          <w:highlight w:val="none"/>
          <w:lang w:eastAsia="zh-CN"/>
        </w:rPr>
        <w:t xml:space="preserve"> 50034</w:t>
      </w:r>
      <w:r>
        <w:rPr>
          <w:rFonts w:hint="eastAsia" w:ascii="宋体" w:hAnsi="宋体" w:eastAsia="宋体" w:cs="宋体"/>
          <w:sz w:val="24"/>
          <w:szCs w:val="24"/>
          <w:highlight w:val="none"/>
        </w:rPr>
        <w:t>《建筑照明设计标准》</w:t>
      </w:r>
    </w:p>
    <w:p w14:paraId="27420B85">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50582《室外作业场地照明设计标准》</w:t>
      </w:r>
    </w:p>
    <w:p w14:paraId="6E828AF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CJJ 45</w:t>
      </w:r>
      <w:r>
        <w:rPr>
          <w:rFonts w:hint="eastAsia" w:ascii="宋体" w:hAnsi="宋体" w:eastAsia="宋体" w:cs="宋体"/>
          <w:sz w:val="24"/>
          <w:szCs w:val="24"/>
          <w:highlight w:val="none"/>
        </w:rPr>
        <w:t>《城市道路照明设计标准》</w:t>
      </w:r>
    </w:p>
    <w:p w14:paraId="573ACF1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 191《包装储运</w:t>
      </w:r>
      <w:r>
        <w:rPr>
          <w:rFonts w:hint="eastAsia" w:ascii="宋体" w:hAnsi="宋体" w:eastAsia="宋体" w:cs="宋体"/>
          <w:sz w:val="24"/>
          <w:szCs w:val="24"/>
          <w:highlight w:val="none"/>
          <w:lang w:val="en-US" w:eastAsia="zh-CN"/>
        </w:rPr>
        <w:t>图形符号</w:t>
      </w:r>
      <w:r>
        <w:rPr>
          <w:rFonts w:hint="eastAsia" w:ascii="宋体" w:hAnsi="宋体" w:eastAsia="宋体" w:cs="宋体"/>
          <w:sz w:val="24"/>
          <w:szCs w:val="24"/>
          <w:highlight w:val="none"/>
        </w:rPr>
        <w:t>标志》</w:t>
      </w:r>
    </w:p>
    <w:p w14:paraId="1BA7167D">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w:t>
      </w:r>
      <w:r>
        <w:rPr>
          <w:rFonts w:hint="eastAsia" w:ascii="宋体" w:hAnsi="宋体" w:eastAsia="宋体" w:cs="宋体"/>
          <w:sz w:val="24"/>
          <w:szCs w:val="24"/>
          <w:highlight w:val="none"/>
          <w:lang w:eastAsia="zh-CN"/>
        </w:rPr>
        <w:t>T 4208</w:t>
      </w:r>
      <w:r>
        <w:rPr>
          <w:rFonts w:hint="eastAsia" w:ascii="宋体" w:hAnsi="宋体" w:eastAsia="宋体" w:cs="宋体"/>
          <w:sz w:val="24"/>
          <w:szCs w:val="24"/>
          <w:highlight w:val="none"/>
        </w:rPr>
        <w:t>/IEC 60529《外壳防护等级（IP代码）》</w:t>
      </w:r>
    </w:p>
    <w:p w14:paraId="39B624B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GB/T 156《标准电压》</w:t>
      </w:r>
    </w:p>
    <w:p w14:paraId="27CFA81F">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IEC 61000-3-2《电磁兼容性（EMC）第3-2部分：限值谐波电流发射限值》</w:t>
      </w:r>
    </w:p>
    <w:p w14:paraId="0F499C04">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 17945     《消防应急照明和疏散指示系统》</w:t>
      </w:r>
    </w:p>
    <w:p w14:paraId="176FDD0A">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GB/T18661     《金属卤化物灯（钪钠系列）性能要求》</w:t>
      </w:r>
    </w:p>
    <w:p w14:paraId="4C27DF39">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CJJ45          《城市道路照明设计标准》</w:t>
      </w:r>
    </w:p>
    <w:p w14:paraId="401A9015">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GB191         《包装贮运标志》</w:t>
      </w:r>
    </w:p>
    <w:p w14:paraId="7B06A19C">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GB4942.4      《低压电器外壳防护等级》</w:t>
      </w:r>
    </w:p>
    <w:p w14:paraId="44903D16">
      <w:pPr>
        <w:keepNext w:val="0"/>
        <w:keepLines w:val="0"/>
        <w:pageBreakBefore w:val="0"/>
        <w:widowControl/>
        <w:kinsoku/>
        <w:wordWrap/>
        <w:overflowPunct/>
        <w:topLinePunct w:val="0"/>
        <w:autoSpaceDE/>
        <w:autoSpaceDN/>
        <w:bidi w:val="0"/>
        <w:adjustRightInd/>
        <w:snapToGri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JB2420 </w:t>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    《户外防腐电工产品的涂漆》</w:t>
      </w:r>
    </w:p>
    <w:p w14:paraId="7869CCD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1.14 上述法则和标准提出了最基本要求，如果根据</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的意见并经用户接受，采用优于或更为经济的设计或材料，且能使</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设备良好地、连续地在本规范所规定的条件下运行，则这些标准也可由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超越。</w:t>
      </w:r>
    </w:p>
    <w:p w14:paraId="1944586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当标准、规范之间出现矛盾时，</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应将矛盾情况在投标文件中明确说明，并提交</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，以便在合同签订前协商确定统一执行标准；未经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书面确认，</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不得擅自选择执行标准，否则视为违约</w:t>
      </w:r>
      <w:r>
        <w:rPr>
          <w:rFonts w:hint="eastAsia" w:ascii="宋体" w:hAnsi="宋体" w:eastAsia="宋体" w:cs="宋体"/>
          <w:sz w:val="24"/>
          <w:szCs w:val="24"/>
          <w:highlight w:val="none"/>
          <w:lang w:eastAsia="zh-CN"/>
        </w:rPr>
        <w:t>。</w:t>
      </w:r>
    </w:p>
    <w:p w14:paraId="1ECE130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2 工程概况</w:t>
      </w:r>
    </w:p>
    <w:p w14:paraId="1E5A3A0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2.1 本次采购包括电气照明框架采购及热电装置区照明节能改造两部分</w:t>
      </w:r>
      <w:r>
        <w:rPr>
          <w:rFonts w:hint="eastAsia" w:ascii="宋体" w:hAnsi="宋体" w:cs="宋体"/>
          <w:sz w:val="24"/>
          <w:szCs w:val="24"/>
          <w:highlight w:val="none"/>
          <w:lang w:eastAsia="zh-CN"/>
        </w:rPr>
        <w:t>：</w:t>
      </w:r>
    </w:p>
    <w:p w14:paraId="14543AA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（1）框架采购部分包含日常消缺所需的各类照明灯具及配件，包括LED灯泡、LED灯管等光源配件，以及整套LED灯、应急标志灯、消防应急照明灯、防爆灯具等灯具物资，详见</w:t>
      </w:r>
      <w:r>
        <w:rPr>
          <w:rFonts w:hint="eastAsia" w:ascii="宋体" w:hAnsi="宋体" w:cs="宋体"/>
          <w:strike w:val="0"/>
          <w:sz w:val="24"/>
          <w:szCs w:val="24"/>
          <w:highlight w:val="none"/>
          <w:lang w:val="en-US" w:eastAsia="zh-CN"/>
        </w:rPr>
        <w:t>照明框架供货范围</w:t>
      </w:r>
      <w:r>
        <w:rPr>
          <w:rFonts w:hint="eastAsia" w:ascii="宋体" w:hAnsi="宋体" w:cs="宋体"/>
          <w:sz w:val="24"/>
          <w:szCs w:val="24"/>
          <w:highlight w:val="none"/>
          <w:lang w:eastAsia="zh-CN"/>
        </w:rPr>
        <w:t>。</w:t>
      </w:r>
    </w:p>
    <w:p w14:paraId="3415BC1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（2）热电装置区照明节能改造项目所需灯具合计1562套，包括常规三防LED灯和耐高温三防LED平台灯。其中，将原有金属卤化物灯更换为整套LED灯共1388套，新增整套LED灯具174套。</w:t>
      </w:r>
    </w:p>
    <w:p w14:paraId="5A2FFD5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3 运行条件</w:t>
      </w:r>
    </w:p>
    <w:p w14:paraId="3A6203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工程主要原始资料</w:t>
      </w:r>
    </w:p>
    <w:p w14:paraId="45BFE615">
      <w:pPr>
        <w:kinsoku/>
        <w:wordWrap/>
        <w:overflowPunct/>
        <w:topLinePunct w:val="0"/>
        <w:autoSpaceDE/>
        <w:autoSpaceDN/>
        <w:bidi w:val="0"/>
        <w:adjustRightInd/>
        <w:spacing w:line="360" w:lineRule="auto"/>
        <w:ind w:left="0"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sz w:val="24"/>
          <w:szCs w:val="24"/>
          <w:highlight w:val="none"/>
        </w:rPr>
        <w:t>伊犁新天煤化工有限责任公司位于新疆维吾尔自治区伊宁市境内市巴颜岱镇火龙洞以北，</w:t>
      </w:r>
      <w:r>
        <w:rPr>
          <w:rFonts w:hint="eastAsia" w:ascii="宋体" w:hAnsi="宋体" w:eastAsia="宋体" w:cs="宋体"/>
          <w:color w:val="000000"/>
          <w:kern w:val="2"/>
          <w:sz w:val="24"/>
          <w:szCs w:val="24"/>
          <w:highlight w:val="none"/>
          <w:lang w:val="en-US" w:eastAsia="zh-CN" w:bidi="ar-SA"/>
        </w:rPr>
        <w:t>伊宁市的气候属大陆性北温带和干旱性气候，由于远离海洋，地处亚欧大陆中心，伊犁河谷盆地中部，东、南、北三面有天山山脉的天然屏障，西部地势开阔，易受北冰洋气流影响，因而气候比较温和湿润，具有大陆性北温带温和干旱气候的特点。阳光充足，四季分明，夏季炎热，冬季寒冷，昼夜温差大，春末夏初多雨，冬季和初春多霜雪。</w:t>
      </w:r>
    </w:p>
    <w:p w14:paraId="33DAEBAE">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3.1.1气温：</w:t>
      </w:r>
    </w:p>
    <w:p w14:paraId="3673339B">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多年平均气温：10.4℃             多年平均最高气温：23.1℃</w:t>
      </w:r>
    </w:p>
    <w:p w14:paraId="3380971C">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累年最热月平均最高气温：31℃     相应月平均相对湿度：68%</w:t>
      </w:r>
    </w:p>
    <w:p w14:paraId="5F052C30">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累年平均最低气温：5.2 ℃         极端最高气温：39.2℃</w:t>
      </w:r>
    </w:p>
    <w:p w14:paraId="013AFC1C">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极端最低气温：-39.6℃</w:t>
      </w:r>
    </w:p>
    <w:p w14:paraId="402ACDBC">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3.1.2湿度：</w:t>
      </w:r>
    </w:p>
    <w:p w14:paraId="6C5A44CA">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多年平均相对湿度：72 %           累年最小相对湿度：2 %</w:t>
      </w:r>
    </w:p>
    <w:p w14:paraId="75C183BD">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多年平均水气压：14.9hPa</w:t>
      </w:r>
    </w:p>
    <w:p w14:paraId="799327A1">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3.1.3降水、蒸发：</w:t>
      </w:r>
    </w:p>
    <w:p w14:paraId="2A43FDCD">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多年平均降水量：403.5 mm         最大年降水量：928.5mm</w:t>
      </w:r>
    </w:p>
    <w:p w14:paraId="4FD0040B">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最小年降水量：207mm              最大一日降水量：218.7mm </w:t>
      </w:r>
    </w:p>
    <w:p w14:paraId="27F521C8">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最大1小时降水量：50.6</w:t>
      </w:r>
      <w:r>
        <w:rPr>
          <w:rFonts w:hint="eastAsia" w:ascii="宋体" w:hAnsi="宋体" w:eastAsia="宋体" w:cs="宋体"/>
          <w:color w:val="000000"/>
          <w:spacing w:val="5"/>
          <w:kern w:val="2"/>
          <w:sz w:val="24"/>
          <w:szCs w:val="24"/>
          <w:highlight w:val="none"/>
          <w:lang w:val="en-US" w:eastAsia="zh-CN" w:bidi="ar-SA"/>
        </w:rPr>
        <w:tab/>
      </w:r>
      <w:r>
        <w:rPr>
          <w:rFonts w:hint="eastAsia" w:ascii="宋体" w:hAnsi="宋体" w:eastAsia="宋体" w:cs="宋体"/>
          <w:color w:val="000000"/>
          <w:spacing w:val="5"/>
          <w:kern w:val="2"/>
          <w:sz w:val="24"/>
          <w:szCs w:val="24"/>
          <w:highlight w:val="none"/>
          <w:lang w:val="en-US" w:eastAsia="zh-CN" w:bidi="ar-SA"/>
        </w:rPr>
        <w:t xml:space="preserve">mm         最大10分钟降水量：8.4mm  </w:t>
      </w:r>
    </w:p>
    <w:p w14:paraId="6D752566">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3.1.4雪、雷暴、雾：</w:t>
      </w:r>
    </w:p>
    <w:p w14:paraId="7D608115">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最大积雪深度：51cm                多年平均雷暴日数：26.2 d</w:t>
      </w:r>
    </w:p>
    <w:p w14:paraId="421DDBC8">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最多年雷暴日数：51d               最少年雷暴日数：22d</w:t>
      </w:r>
    </w:p>
    <w:p w14:paraId="4FE47F7A">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多年平均雾日数：18</w:t>
      </w:r>
      <w:r>
        <w:rPr>
          <w:rFonts w:hint="eastAsia" w:ascii="宋体" w:hAnsi="宋体" w:eastAsia="宋体" w:cs="宋体"/>
          <w:color w:val="000000"/>
          <w:spacing w:val="5"/>
          <w:kern w:val="2"/>
          <w:sz w:val="24"/>
          <w:szCs w:val="24"/>
          <w:highlight w:val="none"/>
          <w:lang w:val="en-US" w:eastAsia="zh-CN" w:bidi="ar-SA"/>
        </w:rPr>
        <w:tab/>
      </w:r>
      <w:r>
        <w:rPr>
          <w:rFonts w:hint="eastAsia" w:ascii="宋体" w:hAnsi="宋体" w:eastAsia="宋体" w:cs="宋体"/>
          <w:color w:val="000000"/>
          <w:spacing w:val="5"/>
          <w:kern w:val="2"/>
          <w:sz w:val="24"/>
          <w:szCs w:val="24"/>
          <w:highlight w:val="none"/>
          <w:lang w:val="en-US" w:eastAsia="zh-CN" w:bidi="ar-SA"/>
        </w:rPr>
        <w:t>d</w:t>
      </w:r>
    </w:p>
    <w:p w14:paraId="3E8A039B">
      <w:pPr>
        <w:widowControl w:val="0"/>
        <w:kinsoku/>
        <w:wordWrap/>
        <w:overflowPunct/>
        <w:topLinePunct w:val="0"/>
        <w:autoSpaceDE/>
        <w:autoSpaceDN/>
        <w:bidi w:val="0"/>
        <w:adjustRightInd/>
        <w:spacing w:line="360" w:lineRule="auto"/>
        <w:ind w:left="0" w:leftChars="0" w:firstLine="0" w:firstLineChars="0"/>
        <w:jc w:val="both"/>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3.1.5风：</w:t>
      </w:r>
    </w:p>
    <w:p w14:paraId="7A7E9CF7">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多年平均风速：1.8m/s              最大风速：19.0m/s </w:t>
      </w:r>
    </w:p>
    <w:p w14:paraId="7B631542">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瞬时最大风速：48.9m/s              全年主导风向：西风</w:t>
      </w:r>
      <w:r>
        <w:rPr>
          <w:rFonts w:hint="eastAsia" w:ascii="宋体" w:hAnsi="宋体" w:eastAsia="宋体" w:cs="宋体"/>
          <w:color w:val="000000"/>
          <w:kern w:val="2"/>
          <w:sz w:val="24"/>
          <w:szCs w:val="24"/>
          <w:highlight w:val="none"/>
          <w:lang w:val="en-US" w:eastAsia="zh-CN" w:bidi="ar-SA"/>
        </w:rPr>
        <w:tab/>
      </w:r>
      <w:r>
        <w:rPr>
          <w:rFonts w:hint="eastAsia" w:ascii="宋体" w:hAnsi="宋体" w:eastAsia="宋体" w:cs="宋体"/>
          <w:color w:val="000000"/>
          <w:kern w:val="2"/>
          <w:sz w:val="24"/>
          <w:szCs w:val="24"/>
          <w:highlight w:val="none"/>
          <w:lang w:val="en-US" w:eastAsia="zh-CN" w:bidi="ar-SA"/>
        </w:rPr>
        <w:tab/>
      </w:r>
    </w:p>
    <w:p w14:paraId="28C84377">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夏季主导风向：东南风</w:t>
      </w:r>
      <w:r>
        <w:rPr>
          <w:rFonts w:hint="eastAsia" w:ascii="宋体" w:hAnsi="宋体" w:eastAsia="宋体" w:cs="宋体"/>
          <w:color w:val="000000"/>
          <w:kern w:val="2"/>
          <w:sz w:val="24"/>
          <w:szCs w:val="24"/>
          <w:highlight w:val="none"/>
          <w:lang w:val="en-US" w:eastAsia="zh-CN" w:bidi="ar-SA"/>
        </w:rPr>
        <w:tab/>
      </w:r>
      <w:r>
        <w:rPr>
          <w:rFonts w:hint="eastAsia" w:ascii="宋体" w:hAnsi="宋体" w:eastAsia="宋体" w:cs="宋体"/>
          <w:color w:val="000000"/>
          <w:kern w:val="2"/>
          <w:sz w:val="24"/>
          <w:szCs w:val="24"/>
          <w:highlight w:val="none"/>
          <w:lang w:val="en-US" w:eastAsia="zh-CN" w:bidi="ar-SA"/>
        </w:rPr>
        <w:tab/>
      </w:r>
      <w:r>
        <w:rPr>
          <w:rFonts w:hint="eastAsia" w:ascii="宋体" w:hAnsi="宋体" w:eastAsia="宋体" w:cs="宋体"/>
          <w:color w:val="000000"/>
          <w:kern w:val="2"/>
          <w:sz w:val="24"/>
          <w:szCs w:val="24"/>
          <w:highlight w:val="none"/>
          <w:lang w:val="en-US" w:eastAsia="zh-CN" w:bidi="ar-SA"/>
        </w:rPr>
        <w:t xml:space="preserve">          冬季主导风向：西风</w:t>
      </w:r>
      <w:r>
        <w:rPr>
          <w:rFonts w:hint="eastAsia" w:ascii="宋体" w:hAnsi="宋体" w:eastAsia="宋体" w:cs="宋体"/>
          <w:color w:val="000000"/>
          <w:kern w:val="2"/>
          <w:sz w:val="24"/>
          <w:szCs w:val="24"/>
          <w:highlight w:val="none"/>
          <w:lang w:val="en-US" w:eastAsia="zh-CN" w:bidi="ar-SA"/>
        </w:rPr>
        <w:tab/>
      </w:r>
      <w:r>
        <w:rPr>
          <w:rFonts w:hint="eastAsia" w:ascii="宋体" w:hAnsi="宋体" w:eastAsia="宋体" w:cs="宋体"/>
          <w:color w:val="000000"/>
          <w:kern w:val="2"/>
          <w:sz w:val="24"/>
          <w:szCs w:val="24"/>
          <w:highlight w:val="none"/>
          <w:lang w:val="en-US" w:eastAsia="zh-CN" w:bidi="ar-SA"/>
        </w:rPr>
        <w:t xml:space="preserve">      </w:t>
      </w:r>
    </w:p>
    <w:p w14:paraId="43983550">
      <w:pPr>
        <w:widowControl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宋体" w:hAnsi="宋体" w:eastAsia="宋体" w:cs="宋体"/>
          <w:color w:val="000000"/>
          <w:spacing w:val="5"/>
          <w:kern w:val="2"/>
          <w:sz w:val="24"/>
          <w:szCs w:val="24"/>
          <w:highlight w:val="none"/>
          <w:lang w:val="en-US" w:eastAsia="zh-CN" w:bidi="ar-SA"/>
        </w:rPr>
      </w:pPr>
      <w:r>
        <w:rPr>
          <w:rFonts w:hint="eastAsia" w:ascii="宋体" w:hAnsi="宋体" w:eastAsia="宋体" w:cs="宋体"/>
          <w:color w:val="000000"/>
          <w:spacing w:val="5"/>
          <w:kern w:val="2"/>
          <w:sz w:val="24"/>
          <w:szCs w:val="24"/>
          <w:highlight w:val="none"/>
          <w:lang w:val="en-US" w:eastAsia="zh-CN" w:bidi="ar-SA"/>
        </w:rPr>
        <w:t>3.2工程条件：海拔1088米，地震烈度为8度，污秽等级为Ⅲ级。</w:t>
      </w:r>
    </w:p>
    <w:p w14:paraId="3074F8A1">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b w:val="0"/>
          <w:bCs w:val="0"/>
          <w:color w:val="000000"/>
          <w:sz w:val="24"/>
          <w:szCs w:val="24"/>
          <w:highlight w:val="none"/>
        </w:rPr>
      </w:pPr>
      <w:r>
        <w:rPr>
          <w:rFonts w:hint="eastAsia" w:ascii="宋体" w:hAnsi="宋体" w:eastAsia="宋体" w:cs="宋体"/>
          <w:color w:val="000000"/>
          <w:sz w:val="24"/>
          <w:szCs w:val="24"/>
          <w:highlight w:val="none"/>
        </w:rPr>
        <w:t xml:space="preserve">爬电比距：           </w:t>
      </w:r>
      <w:r>
        <w:rPr>
          <w:rFonts w:hint="eastAsia" w:ascii="宋体" w:hAnsi="宋体" w:eastAsia="宋体" w:cs="宋体"/>
          <w:b w:val="0"/>
          <w:bCs w:val="0"/>
          <w:color w:val="000000"/>
          <w:sz w:val="24"/>
          <w:szCs w:val="24"/>
          <w:highlight w:val="none"/>
        </w:rPr>
        <w:t xml:space="preserve"> ≥</w:t>
      </w:r>
      <w:r>
        <w:rPr>
          <w:rFonts w:hint="eastAsia" w:ascii="宋体" w:hAnsi="宋体" w:eastAsia="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rPr>
        <w:t xml:space="preserve">mm/kV </w:t>
      </w:r>
    </w:p>
    <w:p w14:paraId="169BA851">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系统额定频率：          50Hz</w:t>
      </w:r>
    </w:p>
    <w:p w14:paraId="1929FD6F">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rPr>
        <w:t xml:space="preserve">系统最高运行电压：      </w:t>
      </w:r>
      <w:r>
        <w:rPr>
          <w:rFonts w:hint="eastAsia" w:ascii="宋体" w:hAnsi="宋体" w:eastAsia="宋体" w:cs="宋体"/>
          <w:b w:val="0"/>
          <w:bCs w:val="0"/>
          <w:color w:val="000000"/>
          <w:sz w:val="24"/>
          <w:szCs w:val="24"/>
          <w:highlight w:val="none"/>
          <w:lang w:val="en-US" w:eastAsia="zh-CN"/>
        </w:rPr>
        <w:t>230</w:t>
      </w:r>
      <w:r>
        <w:rPr>
          <w:rFonts w:hint="eastAsia" w:ascii="宋体" w:hAnsi="宋体" w:eastAsia="宋体" w:cs="宋体"/>
          <w:b w:val="0"/>
          <w:bCs w:val="0"/>
          <w:color w:val="000000"/>
          <w:sz w:val="24"/>
          <w:szCs w:val="24"/>
          <w:highlight w:val="none"/>
          <w:lang w:eastAsia="zh-CN"/>
        </w:rPr>
        <w:t>V</w:t>
      </w:r>
    </w:p>
    <w:p w14:paraId="1EB001C6">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 xml:space="preserve">安装地点：              </w:t>
      </w:r>
      <w:r>
        <w:rPr>
          <w:rFonts w:hint="eastAsia" w:ascii="宋体" w:hAnsi="宋体" w:eastAsia="宋体" w:cs="宋体"/>
          <w:color w:val="000000"/>
          <w:sz w:val="24"/>
          <w:szCs w:val="24"/>
          <w:highlight w:val="none"/>
          <w:u w:val="none"/>
        </w:rPr>
        <w:t>户内</w:t>
      </w:r>
      <w:r>
        <w:rPr>
          <w:rFonts w:hint="eastAsia" w:ascii="宋体" w:hAnsi="宋体" w:eastAsia="宋体" w:cs="宋体"/>
          <w:color w:val="000000"/>
          <w:sz w:val="24"/>
          <w:szCs w:val="24"/>
          <w:highlight w:val="none"/>
          <w:u w:val="none"/>
          <w:lang w:eastAsia="zh-CN"/>
        </w:rPr>
        <w:t>、户外</w:t>
      </w:r>
      <w:r>
        <w:rPr>
          <w:rFonts w:hint="eastAsia" w:ascii="宋体" w:hAnsi="宋体" w:eastAsia="宋体" w:cs="宋体"/>
          <w:color w:val="000000"/>
          <w:sz w:val="24"/>
          <w:szCs w:val="24"/>
          <w:highlight w:val="none"/>
          <w:u w:val="none"/>
        </w:rPr>
        <w:t xml:space="preserve"> </w:t>
      </w:r>
    </w:p>
    <w:p w14:paraId="1076FF8A">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安装方式：</w:t>
      </w:r>
      <w:r>
        <w:rPr>
          <w:rFonts w:hint="eastAsia" w:ascii="宋体" w:hAnsi="宋体" w:eastAsia="宋体" w:cs="宋体"/>
          <w:color w:val="000000"/>
          <w:sz w:val="24"/>
          <w:szCs w:val="24"/>
          <w:highlight w:val="none"/>
          <w:lang w:val="en-US" w:eastAsia="zh-CN"/>
        </w:rPr>
        <w:t>吊杆式、壁式、吸顶式、护栏式。</w:t>
      </w:r>
      <w:r>
        <w:rPr>
          <w:rFonts w:hint="eastAsia" w:ascii="宋体" w:hAnsi="宋体" w:cs="宋体"/>
          <w:color w:val="000000"/>
          <w:sz w:val="24"/>
          <w:szCs w:val="24"/>
          <w:highlight w:val="none"/>
          <w:lang w:val="en-US" w:eastAsia="zh-CN"/>
        </w:rPr>
        <w:t>投标人</w:t>
      </w:r>
      <w:r>
        <w:rPr>
          <w:rFonts w:hint="eastAsia" w:ascii="宋体" w:hAnsi="宋体" w:eastAsia="宋体" w:cs="宋体"/>
          <w:color w:val="000000"/>
          <w:sz w:val="24"/>
          <w:szCs w:val="24"/>
          <w:highlight w:val="none"/>
          <w:lang w:val="en-US" w:eastAsia="zh-CN"/>
        </w:rPr>
        <w:t>应基于安装地点与方式，提供适配的设备及附件，确保附件符合安装要求及现场环境。</w:t>
      </w:r>
    </w:p>
    <w:p w14:paraId="495184A1">
      <w:pPr>
        <w:kinsoku/>
        <w:wordWrap/>
        <w:overflowPunct/>
        <w:topLinePunct w:val="0"/>
        <w:autoSpaceDE/>
        <w:autoSpaceDN/>
        <w:bidi w:val="0"/>
        <w:adjustRightInd/>
        <w:snapToGrid w:val="0"/>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4 技术参数和性能要求</w:t>
      </w:r>
    </w:p>
    <w:p w14:paraId="5CE9D4B1">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4.1 通用技术要求</w:t>
      </w:r>
    </w:p>
    <w:p w14:paraId="240872FA">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4.1.1 安全要求：灯具设计符合GB/T 7000.1、GB 7000.203、CJJ 45的规定，需提供对应的检测报告，验收时需现场核查，不符合要求的视为不合格。</w:t>
      </w:r>
    </w:p>
    <w:p w14:paraId="2601FACB">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4.1.2 抗电磁干扰要求：灯具设计符合GB 17625.1、GB/T 17626.5、GB/T 17743、GB/T 18595的规定。</w:t>
      </w:r>
    </w:p>
    <w:p w14:paraId="4DDB0239">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highlight w:val="none"/>
        </w:rPr>
      </w:pPr>
      <w:r>
        <w:rPr>
          <w:rFonts w:hint="eastAsia" w:ascii="宋体" w:hAnsi="宋体" w:eastAsia="宋体" w:cs="宋体"/>
          <w:b w:val="0"/>
          <w:sz w:val="24"/>
          <w:szCs w:val="24"/>
          <w:highlight w:val="none"/>
        </w:rPr>
        <w:t xml:space="preserve">4.1.3 </w:t>
      </w:r>
      <w:r>
        <w:rPr>
          <w:rFonts w:hint="eastAsia" w:ascii="宋体" w:hAnsi="宋体"/>
          <w:highlight w:val="none"/>
        </w:rPr>
        <w:t>工作温度：灯具应具备良好的散热系统。在环境温度-20～+40℃范围内（耐高温三防LED平台灯为-20～+60℃），灯具应能安全工作；常温下连续点亮24小时，灯壳温升不高于25℃。</w:t>
      </w:r>
    </w:p>
    <w:p w14:paraId="4631FC2A">
      <w:pPr>
        <w:kinsoku/>
        <w:wordWrap/>
        <w:overflowPunct/>
        <w:topLinePunct w:val="0"/>
        <w:autoSpaceDE/>
        <w:autoSpaceDN/>
        <w:bidi w:val="0"/>
        <w:adjustRightInd/>
        <w:spacing w:after="0" w:line="360" w:lineRule="auto"/>
        <w:ind w:left="0" w:firstLine="0" w:firstLineChars="0"/>
        <w:jc w:val="left"/>
        <w:textAlignment w:val="auto"/>
        <w:rPr>
          <w:rFonts w:hint="eastAsia" w:ascii="宋体" w:hAnsi="宋体" w:eastAsia="宋体"/>
          <w:bCs/>
          <w:highlight w:val="none"/>
          <w:lang w:val="en-US" w:eastAsia="zh-CN"/>
        </w:rPr>
      </w:pPr>
      <w:r>
        <w:rPr>
          <w:rFonts w:hint="eastAsia" w:ascii="宋体" w:hAnsi="宋体"/>
          <w:highlight w:val="none"/>
          <w:lang w:val="en-US" w:eastAsia="zh-CN"/>
        </w:rPr>
        <w:t>4.1.4所有灯具均须提供3C认证，其中防爆灯具还须同时提供防爆合格证；</w:t>
      </w:r>
      <w:r>
        <w:rPr>
          <w:rFonts w:hint="eastAsia" w:ascii="宋体" w:hAnsi="宋体" w:eastAsia="宋体" w:cs="Times New Roman"/>
          <w:b w:val="0"/>
          <w:sz w:val="24"/>
          <w:szCs w:val="22"/>
          <w:highlight w:val="none"/>
          <w:lang w:val="en-US" w:eastAsia="zh-CN"/>
        </w:rPr>
        <w:t>防爆类灯具提供3C认证和防爆合格证。</w:t>
      </w:r>
      <w:r>
        <w:rPr>
          <w:rFonts w:hint="eastAsia" w:ascii="宋体" w:hAnsi="宋体" w:cs="宋体"/>
          <w:b w:val="0"/>
          <w:bCs/>
          <w:sz w:val="24"/>
          <w:szCs w:val="24"/>
          <w:highlight w:val="none"/>
          <w:lang w:val="en-US" w:eastAsia="zh-CN"/>
        </w:rPr>
        <w:t>化工区域</w:t>
      </w:r>
      <w:r>
        <w:rPr>
          <w:rFonts w:hint="eastAsia" w:ascii="宋体" w:hAnsi="宋体" w:eastAsia="宋体" w:cs="宋体"/>
          <w:b w:val="0"/>
          <w:bCs/>
          <w:sz w:val="24"/>
          <w:szCs w:val="24"/>
          <w:highlight w:val="none"/>
        </w:rPr>
        <w:t>灯具</w:t>
      </w:r>
      <w:r>
        <w:rPr>
          <w:rFonts w:hint="eastAsia" w:ascii="宋体" w:hAnsi="宋体" w:cs="宋体"/>
          <w:b w:val="0"/>
          <w:bCs/>
          <w:sz w:val="24"/>
          <w:szCs w:val="24"/>
          <w:highlight w:val="none"/>
          <w:lang w:val="en-US" w:eastAsia="zh-CN"/>
        </w:rPr>
        <w:t>需</w:t>
      </w:r>
      <w:r>
        <w:rPr>
          <w:rFonts w:hint="eastAsia" w:ascii="宋体" w:hAnsi="宋体" w:eastAsia="宋体" w:cs="宋体"/>
          <w:b w:val="0"/>
          <w:bCs/>
          <w:sz w:val="24"/>
          <w:szCs w:val="24"/>
          <w:highlight w:val="none"/>
        </w:rPr>
        <w:t>满足Ex db IIC T6 Gb（气体环境用隔爆型）；</w:t>
      </w:r>
      <w:r>
        <w:rPr>
          <w:rFonts w:hint="eastAsia" w:ascii="宋体" w:hAnsi="宋体" w:cs="宋体"/>
          <w:b w:val="0"/>
          <w:bCs/>
          <w:sz w:val="24"/>
          <w:szCs w:val="24"/>
          <w:highlight w:val="none"/>
          <w:lang w:val="en-US" w:eastAsia="zh-CN"/>
        </w:rPr>
        <w:t>备煤区域</w:t>
      </w:r>
      <w:r>
        <w:rPr>
          <w:rFonts w:hint="eastAsia" w:ascii="宋体" w:hAnsi="宋体" w:eastAsia="宋体" w:cs="宋体"/>
          <w:b w:val="0"/>
          <w:bCs/>
          <w:sz w:val="24"/>
          <w:szCs w:val="24"/>
          <w:highlight w:val="none"/>
        </w:rPr>
        <w:t>灯具需同时满足Ex db IIC T6 Gb和Ex tb IIIC T85℃ Db（气体+粉尘环境双重防爆）。</w:t>
      </w:r>
    </w:p>
    <w:p w14:paraId="34E7DCAA">
      <w:pPr>
        <w:kinsoku/>
        <w:wordWrap/>
        <w:overflowPunct/>
        <w:topLinePunct w:val="0"/>
        <w:autoSpaceDE/>
        <w:autoSpaceDN/>
        <w:bidi w:val="0"/>
        <w:adjustRightInd/>
        <w:spacing w:after="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1）常规工作温度灯具（-20~+40℃）：适用于现场常规区域（非高温作业区域，包括但不限于主厂房常规平台、脱硫区域等），数量共计1270套；该类灯具须具备良好的散热系统，确保在-20~+40℃环境温度范围内稳定运行，光效、寿命等性能参数不降低。</w:t>
      </w:r>
    </w:p>
    <w:p w14:paraId="4893A931">
      <w:pPr>
        <w:kinsoku/>
        <w:wordWrap/>
        <w:overflowPunct/>
        <w:topLinePunct w:val="0"/>
        <w:autoSpaceDE/>
        <w:autoSpaceDN/>
        <w:bidi w:val="0"/>
        <w:adjustRightInd/>
        <w:spacing w:after="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2）高温工作温度灯具（-20~+60℃）：适用于现场高温作业区域（包括但不限于锅炉低省周边、炉壁两侧、汽包层等），数量共计292套；该类灯具需采用耐高温材质及强化散热结构，确保在-20~+60℃高温条件下稳定运行，光效、寿命等性能参数不降低。</w:t>
      </w:r>
    </w:p>
    <w:p w14:paraId="511971D6">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4.2 LED灯具通用技术要求</w:t>
      </w:r>
    </w:p>
    <w:p w14:paraId="234E6E0E">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 灯具额定功率：50W±5%、60W±5%、70W±5%、100W±5%、150W±5%（具体功率规格根据对应灯具类型匹配，详见供货清单），灯具在额定电压和额定频率工作时，实际消耗功率不大于额定功率的100%。</w:t>
      </w:r>
    </w:p>
    <w:p w14:paraId="46149459">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.2 初始光通量：不低于额定光通量的90%，不高于额定光通量的120%。</w:t>
      </w:r>
    </w:p>
    <w:p w14:paraId="22A18624">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.3 电源效率（含驱动）≥0.9。</w:t>
      </w:r>
    </w:p>
    <w:p w14:paraId="375A1C19">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val="0"/>
          <w:bCs/>
          <w:sz w:val="24"/>
          <w:szCs w:val="24"/>
          <w:highlight w:val="none"/>
        </w:rPr>
        <w:t>4.</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t>.4</w:t>
      </w:r>
      <w:r>
        <w:rPr>
          <w:rFonts w:hint="eastAsia" w:ascii="宋体" w:hAnsi="宋体" w:eastAsia="宋体" w:cs="宋体"/>
          <w:b/>
          <w:sz w:val="24"/>
          <w:szCs w:val="24"/>
          <w:highlight w:val="none"/>
        </w:rPr>
        <w:t xml:space="preserve"> </w:t>
      </w:r>
      <w:r>
        <w:rPr>
          <w:rFonts w:hint="eastAsia" w:ascii="宋体" w:hAnsi="宋体" w:eastAsia="宋体" w:cs="宋体"/>
          <w:b w:val="0"/>
          <w:sz w:val="24"/>
          <w:szCs w:val="24"/>
          <w:highlight w:val="none"/>
          <w:lang w:val="en-US" w:eastAsia="zh-CN"/>
        </w:rPr>
        <w:t>所有LED</w:t>
      </w:r>
      <w:r>
        <w:rPr>
          <w:rFonts w:hint="eastAsia" w:ascii="宋体" w:hAnsi="宋体" w:eastAsia="宋体" w:cs="宋体"/>
          <w:b w:val="0"/>
          <w:sz w:val="24"/>
          <w:szCs w:val="24"/>
          <w:highlight w:val="none"/>
        </w:rPr>
        <w:t>灯具需单灯补偿，灯具功率因数≥0.9</w:t>
      </w:r>
      <w:r>
        <w:rPr>
          <w:rFonts w:hint="eastAsia" w:ascii="宋体" w:hAnsi="宋体" w:eastAsia="宋体" w:cs="宋体"/>
          <w:b w:val="0"/>
          <w:sz w:val="24"/>
          <w:szCs w:val="24"/>
          <w:highlight w:val="none"/>
          <w:lang w:eastAsia="zh-CN"/>
        </w:rPr>
        <w:t>，</w:t>
      </w:r>
      <w:r>
        <w:rPr>
          <w:rFonts w:hint="eastAsia" w:ascii="宋体" w:hAnsi="宋体" w:eastAsia="宋体" w:cs="宋体"/>
          <w:b w:val="0"/>
          <w:sz w:val="24"/>
          <w:szCs w:val="24"/>
          <w:highlight w:val="none"/>
        </w:rPr>
        <w:t>整灯光效≥140lm/W（需提供光效测试报告）。</w:t>
      </w:r>
    </w:p>
    <w:p w14:paraId="243C0743">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4.</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 xml:space="preserve">.5 </w:t>
      </w:r>
      <w:r>
        <w:rPr>
          <w:rFonts w:hint="eastAsia" w:ascii="宋体" w:hAnsi="宋体"/>
          <w:b/>
          <w:color w:val="000000"/>
          <w:highlight w:val="none"/>
        </w:rPr>
        <w:t>光源采用品牌CREE、osram、philips或同等档次芯片，提供原生产厂家的原产地证明书复印件，并提供生产厂家授权书。</w:t>
      </w:r>
    </w:p>
    <w:p w14:paraId="0823127E">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rPr>
        <w:t>4.</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.6 灯具电源模块品牌选用OSRAM、茂硕、英飞特、明玮、海洋王、Philips或同等档次。</w:t>
      </w:r>
    </w:p>
    <w:p w14:paraId="724522C8">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.7 LED芯片单颗功率不大于3W，单颗LED颗粒损坏（击穿或者开路）不会影响其他LED颗粒的正常工作。</w:t>
      </w:r>
    </w:p>
    <w:p w14:paraId="7AA5B0AA">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.8 LED灯具电源应出具国家强制的质量认证及检测报告，电源稳定性及短路、过流、过压、过温保护检测报告。</w:t>
      </w:r>
    </w:p>
    <w:p w14:paraId="066795DB">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.9 光源模组与电源之间选用快速接头连接，方便维修更换模组。</w:t>
      </w:r>
    </w:p>
    <w:p w14:paraId="2E14565F">
      <w:pPr>
        <w:kinsoku/>
        <w:wordWrap/>
        <w:overflowPunct/>
        <w:topLinePunct w:val="0"/>
        <w:autoSpaceDE/>
        <w:autoSpaceDN/>
        <w:bidi w:val="0"/>
        <w:adjustRightInd/>
        <w:spacing w:line="360" w:lineRule="auto"/>
        <w:ind w:left="0" w:leftChars="0" w:firstLine="0" w:firstLineChars="0"/>
        <w:textAlignment w:val="auto"/>
        <w:rPr>
          <w:rFonts w:hint="eastAsia" w:ascii="宋体" w:hAnsi="宋体" w:cs="宋体"/>
          <w:sz w:val="24"/>
          <w:szCs w:val="24"/>
          <w:highlight w:val="none"/>
          <w:lang w:eastAsia="zh-CN"/>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.10 灯具采用宽电压设计：适用电压波动范围为180～260V</w:t>
      </w:r>
      <w:r>
        <w:rPr>
          <w:rFonts w:hint="eastAsia" w:ascii="宋体" w:hAnsi="宋体" w:cs="宋体"/>
          <w:sz w:val="24"/>
          <w:szCs w:val="24"/>
          <w:highlight w:val="none"/>
          <w:lang w:eastAsia="zh-CN"/>
        </w:rPr>
        <w:t>。</w:t>
      </w:r>
    </w:p>
    <w:p w14:paraId="3F566572">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.11 防触电保护类别I类。</w:t>
      </w:r>
    </w:p>
    <w:p w14:paraId="61AB9BDB">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4.</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.12 本次采购范围内所有LED灯具的防护等级不应低于IP65，防腐等级不应低于WF2。</w:t>
      </w:r>
    </w:p>
    <w:p w14:paraId="0F3A57B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.13 灯具透镜要进行防眩处理，保证光线柔和，照度均匀。设备主体区域照明标准值不低于DL/T 5390《发电厂和变电站照明设计规定》中表6.0.1-1、表6.0.1-2、表6.0.1-3的照度要求，其他建筑物及室外作业场所的照明标准值按照GB/T 50034《建筑照明设计标准》及GB 50582《室外作业场地照明设计标准》执行。</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649"/>
        <w:gridCol w:w="1534"/>
        <w:gridCol w:w="1304"/>
        <w:gridCol w:w="670"/>
        <w:gridCol w:w="642"/>
        <w:gridCol w:w="440"/>
        <w:gridCol w:w="456"/>
      </w:tblGrid>
      <w:tr w14:paraId="5CA3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099" w:type="pct"/>
            <w:shd w:val="clear" w:color="auto" w:fill="auto"/>
            <w:vAlign w:val="center"/>
          </w:tcPr>
          <w:p w14:paraId="5F04BF3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生产车间和工作场所</w:t>
            </w:r>
          </w:p>
        </w:tc>
        <w:tc>
          <w:tcPr>
            <w:tcW w:w="882" w:type="pct"/>
            <w:shd w:val="clear" w:color="auto" w:fill="auto"/>
            <w:vAlign w:val="center"/>
          </w:tcPr>
          <w:p w14:paraId="2D65E3DC">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参考平面及其高度</w:t>
            </w:r>
          </w:p>
        </w:tc>
        <w:tc>
          <w:tcPr>
            <w:tcW w:w="750" w:type="pct"/>
            <w:shd w:val="clear" w:color="auto" w:fill="auto"/>
            <w:vAlign w:val="center"/>
          </w:tcPr>
          <w:p w14:paraId="605790D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照度标准值（lx）</w:t>
            </w:r>
          </w:p>
        </w:tc>
        <w:tc>
          <w:tcPr>
            <w:tcW w:w="385" w:type="pct"/>
            <w:shd w:val="clear" w:color="auto" w:fill="auto"/>
            <w:vAlign w:val="center"/>
          </w:tcPr>
          <w:p w14:paraId="419A274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UGR</w:t>
            </w:r>
          </w:p>
        </w:tc>
        <w:tc>
          <w:tcPr>
            <w:tcW w:w="369" w:type="pct"/>
            <w:shd w:val="clear" w:color="auto" w:fill="auto"/>
            <w:vAlign w:val="center"/>
          </w:tcPr>
          <w:p w14:paraId="37240CBD">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U₀</w:t>
            </w:r>
          </w:p>
        </w:tc>
        <w:tc>
          <w:tcPr>
            <w:tcW w:w="253" w:type="pct"/>
            <w:shd w:val="clear" w:color="auto" w:fill="auto"/>
            <w:vAlign w:val="center"/>
          </w:tcPr>
          <w:p w14:paraId="0268E66D">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Ra</w:t>
            </w:r>
          </w:p>
        </w:tc>
        <w:tc>
          <w:tcPr>
            <w:tcW w:w="0" w:type="auto"/>
            <w:shd w:val="clear" w:color="auto" w:fill="auto"/>
            <w:vAlign w:val="center"/>
          </w:tcPr>
          <w:p w14:paraId="1D283C36">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备注</w:t>
            </w:r>
          </w:p>
        </w:tc>
      </w:tr>
      <w:tr w14:paraId="495B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CAD821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汽机部分</w:t>
            </w:r>
          </w:p>
        </w:tc>
        <w:tc>
          <w:tcPr>
            <w:tcW w:w="882" w:type="pct"/>
            <w:vAlign w:val="center"/>
          </w:tcPr>
          <w:p w14:paraId="14E57D3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750" w:type="pct"/>
            <w:vAlign w:val="center"/>
          </w:tcPr>
          <w:p w14:paraId="694BFA9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5" w:type="pct"/>
            <w:vAlign w:val="center"/>
          </w:tcPr>
          <w:p w14:paraId="2BA6A9E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69" w:type="pct"/>
            <w:vAlign w:val="center"/>
          </w:tcPr>
          <w:p w14:paraId="1DC89C0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253" w:type="pct"/>
            <w:vAlign w:val="center"/>
          </w:tcPr>
          <w:p w14:paraId="1E8189B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B8FB39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6121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F9C640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汽机房运转层</w:t>
            </w:r>
          </w:p>
        </w:tc>
        <w:tc>
          <w:tcPr>
            <w:tcW w:w="882" w:type="pct"/>
            <w:vAlign w:val="center"/>
          </w:tcPr>
          <w:p w14:paraId="4BB39AD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2B85686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200</w:t>
            </w:r>
          </w:p>
        </w:tc>
        <w:tc>
          <w:tcPr>
            <w:tcW w:w="385" w:type="pct"/>
            <w:vAlign w:val="center"/>
          </w:tcPr>
          <w:p w14:paraId="46EDA90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25A6474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44BE0BD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1CFCE8E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37E7D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36D5339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高、低压加热器平台</w:t>
            </w:r>
          </w:p>
        </w:tc>
        <w:tc>
          <w:tcPr>
            <w:tcW w:w="882" w:type="pct"/>
            <w:vAlign w:val="center"/>
          </w:tcPr>
          <w:p w14:paraId="017154D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1599C87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27E50AE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78A40E1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21F81AD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01C9D49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4C4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756247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发电机出线小室</w:t>
            </w:r>
          </w:p>
        </w:tc>
        <w:tc>
          <w:tcPr>
            <w:tcW w:w="882" w:type="pct"/>
            <w:vAlign w:val="center"/>
          </w:tcPr>
          <w:p w14:paraId="6519B4C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5AE26CB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257F2F1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4CC8140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2222B57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2E11E31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B16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305154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除氧器、管道层</w:t>
            </w:r>
          </w:p>
        </w:tc>
        <w:tc>
          <w:tcPr>
            <w:tcW w:w="882" w:type="pct"/>
            <w:vAlign w:val="center"/>
          </w:tcPr>
          <w:p w14:paraId="6891FA5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0A4108E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5F00A0C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7822F87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10E1122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4250483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9A6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0863285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热力管道阀门室</w:t>
            </w:r>
          </w:p>
        </w:tc>
        <w:tc>
          <w:tcPr>
            <w:tcW w:w="882" w:type="pct"/>
            <w:vAlign w:val="center"/>
          </w:tcPr>
          <w:p w14:paraId="5668560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5A7AFC4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4364A2F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39C8245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32191AE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0" w:type="auto"/>
            <w:vAlign w:val="center"/>
          </w:tcPr>
          <w:p w14:paraId="3086A83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115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2D3C351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汽机房底层</w:t>
            </w:r>
          </w:p>
        </w:tc>
        <w:tc>
          <w:tcPr>
            <w:tcW w:w="882" w:type="pct"/>
            <w:vAlign w:val="center"/>
          </w:tcPr>
          <w:p w14:paraId="769E046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606DB08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6311808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75A8D8E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35FB679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26E6D77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57D4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312E92D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锅炉部分</w:t>
            </w:r>
          </w:p>
        </w:tc>
        <w:tc>
          <w:tcPr>
            <w:tcW w:w="882" w:type="pct"/>
            <w:vAlign w:val="center"/>
          </w:tcPr>
          <w:p w14:paraId="31AF88A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750" w:type="pct"/>
            <w:vAlign w:val="center"/>
          </w:tcPr>
          <w:p w14:paraId="042A521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5" w:type="pct"/>
            <w:vAlign w:val="center"/>
          </w:tcPr>
          <w:p w14:paraId="7044680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69" w:type="pct"/>
            <w:vAlign w:val="center"/>
          </w:tcPr>
          <w:p w14:paraId="683136B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253" w:type="pct"/>
            <w:vAlign w:val="center"/>
          </w:tcPr>
          <w:p w14:paraId="27668FD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7E28BE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6B8BC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2EA6A70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引风机、送风机等转动设备附近及司炉操作区、燃烧器区</w:t>
            </w:r>
          </w:p>
        </w:tc>
        <w:tc>
          <w:tcPr>
            <w:tcW w:w="882" w:type="pct"/>
            <w:vAlign w:val="center"/>
          </w:tcPr>
          <w:p w14:paraId="0D3484B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75D49B8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70133D4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2757BA5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4330966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073895A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4BE5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77F3384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锅炉房通道</w:t>
            </w:r>
          </w:p>
        </w:tc>
        <w:tc>
          <w:tcPr>
            <w:tcW w:w="882" w:type="pct"/>
            <w:vAlign w:val="center"/>
          </w:tcPr>
          <w:p w14:paraId="566DD87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0D6CE41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50</w:t>
            </w:r>
          </w:p>
        </w:tc>
        <w:tc>
          <w:tcPr>
            <w:tcW w:w="385" w:type="pct"/>
            <w:vAlign w:val="center"/>
          </w:tcPr>
          <w:p w14:paraId="34D07F8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318FAA7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3CE5B76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0" w:type="auto"/>
            <w:vAlign w:val="center"/>
          </w:tcPr>
          <w:p w14:paraId="509EBED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660FD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1CF5DB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锅炉本体步道平台、楼梯、给煤（粉）机平台</w:t>
            </w:r>
          </w:p>
        </w:tc>
        <w:tc>
          <w:tcPr>
            <w:tcW w:w="882" w:type="pct"/>
            <w:vAlign w:val="center"/>
          </w:tcPr>
          <w:p w14:paraId="2188868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077CCB5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30</w:t>
            </w:r>
          </w:p>
        </w:tc>
        <w:tc>
          <w:tcPr>
            <w:tcW w:w="385" w:type="pct"/>
            <w:vAlign w:val="center"/>
          </w:tcPr>
          <w:p w14:paraId="082C75F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3B39FF7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6D74F4F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0" w:type="auto"/>
            <w:vAlign w:val="center"/>
          </w:tcPr>
          <w:p w14:paraId="20607C7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138DA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71A9A27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煤仓间</w:t>
            </w:r>
          </w:p>
        </w:tc>
        <w:tc>
          <w:tcPr>
            <w:tcW w:w="882" w:type="pct"/>
            <w:vAlign w:val="center"/>
          </w:tcPr>
          <w:p w14:paraId="3F91882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4227C74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75</w:t>
            </w:r>
          </w:p>
        </w:tc>
        <w:tc>
          <w:tcPr>
            <w:tcW w:w="385" w:type="pct"/>
            <w:vAlign w:val="center"/>
          </w:tcPr>
          <w:p w14:paraId="76EE8BF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0F31998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4381334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62C874D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3109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6729EA3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渣斗间及其平台</w:t>
            </w:r>
          </w:p>
        </w:tc>
        <w:tc>
          <w:tcPr>
            <w:tcW w:w="882" w:type="pct"/>
            <w:vAlign w:val="center"/>
          </w:tcPr>
          <w:p w14:paraId="1909670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4FCA23A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30</w:t>
            </w:r>
          </w:p>
        </w:tc>
        <w:tc>
          <w:tcPr>
            <w:tcW w:w="385" w:type="pct"/>
            <w:vAlign w:val="center"/>
          </w:tcPr>
          <w:p w14:paraId="3C7E26A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7CBD429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44DC3C1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40</w:t>
            </w:r>
          </w:p>
        </w:tc>
        <w:tc>
          <w:tcPr>
            <w:tcW w:w="0" w:type="auto"/>
            <w:vAlign w:val="center"/>
          </w:tcPr>
          <w:p w14:paraId="15187C9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1440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241AFF2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电除尘器本体</w:t>
            </w:r>
          </w:p>
        </w:tc>
        <w:tc>
          <w:tcPr>
            <w:tcW w:w="882" w:type="pct"/>
            <w:vAlign w:val="center"/>
          </w:tcPr>
          <w:p w14:paraId="6D4718E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2D139AB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50</w:t>
            </w:r>
          </w:p>
        </w:tc>
        <w:tc>
          <w:tcPr>
            <w:tcW w:w="385" w:type="pct"/>
            <w:vAlign w:val="center"/>
          </w:tcPr>
          <w:p w14:paraId="5279843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484FBEE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66E5781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39AF72A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478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58D11AD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脱硫脱硝</w:t>
            </w:r>
          </w:p>
        </w:tc>
        <w:tc>
          <w:tcPr>
            <w:tcW w:w="882" w:type="pct"/>
            <w:vAlign w:val="center"/>
          </w:tcPr>
          <w:p w14:paraId="61C91C3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750" w:type="pct"/>
            <w:vAlign w:val="center"/>
          </w:tcPr>
          <w:p w14:paraId="7F5710A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5" w:type="pct"/>
            <w:vAlign w:val="center"/>
          </w:tcPr>
          <w:p w14:paraId="02724D3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69" w:type="pct"/>
            <w:vAlign w:val="center"/>
          </w:tcPr>
          <w:p w14:paraId="7326FC5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253" w:type="pct"/>
            <w:vAlign w:val="center"/>
          </w:tcPr>
          <w:p w14:paraId="38C8B55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05F521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5D1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5E02298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吸收塔</w:t>
            </w:r>
          </w:p>
        </w:tc>
        <w:tc>
          <w:tcPr>
            <w:tcW w:w="882" w:type="pct"/>
            <w:vAlign w:val="center"/>
          </w:tcPr>
          <w:p w14:paraId="4002683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7CBA2F7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30</w:t>
            </w:r>
          </w:p>
        </w:tc>
        <w:tc>
          <w:tcPr>
            <w:tcW w:w="385" w:type="pct"/>
            <w:vAlign w:val="center"/>
          </w:tcPr>
          <w:p w14:paraId="53AD4D1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071A000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0C89366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7051129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5C97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76EC43E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脱硫装置</w:t>
            </w:r>
          </w:p>
        </w:tc>
        <w:tc>
          <w:tcPr>
            <w:tcW w:w="882" w:type="pct"/>
            <w:vAlign w:val="center"/>
          </w:tcPr>
          <w:p w14:paraId="636FDFF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5C32BB2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687094F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291C12D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63077BC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2F1154A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971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575FA2A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液氨储存间</w:t>
            </w:r>
          </w:p>
        </w:tc>
        <w:tc>
          <w:tcPr>
            <w:tcW w:w="882" w:type="pct"/>
            <w:vAlign w:val="center"/>
          </w:tcPr>
          <w:p w14:paraId="004AC8B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7583542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64ED1D0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1394F5C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59A2077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2985DF4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03B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16F5025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尿素储存间</w:t>
            </w:r>
          </w:p>
        </w:tc>
        <w:tc>
          <w:tcPr>
            <w:tcW w:w="882" w:type="pct"/>
            <w:vAlign w:val="center"/>
          </w:tcPr>
          <w:p w14:paraId="028598E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地面</w:t>
            </w:r>
          </w:p>
        </w:tc>
        <w:tc>
          <w:tcPr>
            <w:tcW w:w="750" w:type="pct"/>
            <w:vAlign w:val="center"/>
          </w:tcPr>
          <w:p w14:paraId="5EDA248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100</w:t>
            </w:r>
          </w:p>
        </w:tc>
        <w:tc>
          <w:tcPr>
            <w:tcW w:w="385" w:type="pct"/>
            <w:vAlign w:val="center"/>
          </w:tcPr>
          <w:p w14:paraId="6113999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w:t>
            </w:r>
          </w:p>
        </w:tc>
        <w:tc>
          <w:tcPr>
            <w:tcW w:w="369" w:type="pct"/>
            <w:vAlign w:val="center"/>
          </w:tcPr>
          <w:p w14:paraId="76FA883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62114F8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60</w:t>
            </w:r>
          </w:p>
        </w:tc>
        <w:tc>
          <w:tcPr>
            <w:tcW w:w="0" w:type="auto"/>
            <w:vAlign w:val="center"/>
          </w:tcPr>
          <w:p w14:paraId="6E46E0E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1653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2A4B318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控制室</w:t>
            </w:r>
          </w:p>
        </w:tc>
        <w:tc>
          <w:tcPr>
            <w:tcW w:w="882" w:type="pct"/>
            <w:vAlign w:val="center"/>
          </w:tcPr>
          <w:p w14:paraId="5366D47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750" w:type="pct"/>
            <w:vAlign w:val="center"/>
          </w:tcPr>
          <w:p w14:paraId="6CEA202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5" w:type="pct"/>
            <w:vAlign w:val="center"/>
          </w:tcPr>
          <w:p w14:paraId="4FF7C9A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69" w:type="pct"/>
            <w:vAlign w:val="center"/>
          </w:tcPr>
          <w:p w14:paraId="2359227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253" w:type="pct"/>
            <w:vAlign w:val="center"/>
          </w:tcPr>
          <w:p w14:paraId="767076C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2DC80B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504A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7BB08FE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机组控制室、网络控制室、辅网控制室</w:t>
            </w:r>
          </w:p>
        </w:tc>
        <w:tc>
          <w:tcPr>
            <w:tcW w:w="882" w:type="pct"/>
            <w:vAlign w:val="center"/>
          </w:tcPr>
          <w:p w14:paraId="5EB7C76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0.75m水平面</w:t>
            </w:r>
          </w:p>
        </w:tc>
        <w:tc>
          <w:tcPr>
            <w:tcW w:w="750" w:type="pct"/>
            <w:vAlign w:val="center"/>
          </w:tcPr>
          <w:p w14:paraId="72A1832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500</w:t>
            </w:r>
          </w:p>
        </w:tc>
        <w:tc>
          <w:tcPr>
            <w:tcW w:w="385" w:type="pct"/>
            <w:vAlign w:val="center"/>
          </w:tcPr>
          <w:p w14:paraId="385CE2D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19</w:t>
            </w:r>
          </w:p>
        </w:tc>
        <w:tc>
          <w:tcPr>
            <w:tcW w:w="369" w:type="pct"/>
            <w:vAlign w:val="center"/>
          </w:tcPr>
          <w:p w14:paraId="6BC0792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645B3DA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80</w:t>
            </w:r>
          </w:p>
        </w:tc>
        <w:tc>
          <w:tcPr>
            <w:tcW w:w="0" w:type="auto"/>
            <w:vAlign w:val="center"/>
          </w:tcPr>
          <w:p w14:paraId="3E06F14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368D5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99" w:type="pct"/>
            <w:vAlign w:val="center"/>
          </w:tcPr>
          <w:p w14:paraId="45F9368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主控制室</w:t>
            </w:r>
          </w:p>
        </w:tc>
        <w:tc>
          <w:tcPr>
            <w:tcW w:w="882" w:type="pct"/>
            <w:vAlign w:val="center"/>
          </w:tcPr>
          <w:p w14:paraId="1755AD3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0.75m水平面</w:t>
            </w:r>
          </w:p>
        </w:tc>
        <w:tc>
          <w:tcPr>
            <w:tcW w:w="750" w:type="pct"/>
            <w:vAlign w:val="center"/>
          </w:tcPr>
          <w:p w14:paraId="5E270A0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500</w:t>
            </w:r>
          </w:p>
        </w:tc>
        <w:tc>
          <w:tcPr>
            <w:tcW w:w="385" w:type="pct"/>
            <w:vAlign w:val="center"/>
          </w:tcPr>
          <w:p w14:paraId="004241D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19</w:t>
            </w:r>
          </w:p>
        </w:tc>
        <w:tc>
          <w:tcPr>
            <w:tcW w:w="369" w:type="pct"/>
            <w:vAlign w:val="center"/>
          </w:tcPr>
          <w:p w14:paraId="7D9CD00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0.6</w:t>
            </w:r>
          </w:p>
        </w:tc>
        <w:tc>
          <w:tcPr>
            <w:tcW w:w="253" w:type="pct"/>
            <w:vAlign w:val="center"/>
          </w:tcPr>
          <w:p w14:paraId="79BE234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80</w:t>
            </w:r>
          </w:p>
        </w:tc>
        <w:tc>
          <w:tcPr>
            <w:tcW w:w="0" w:type="auto"/>
            <w:vAlign w:val="center"/>
          </w:tcPr>
          <w:p w14:paraId="5B69F78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bl>
    <w:p w14:paraId="179CED7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.13.1 热电装置区照明节能改造</w:t>
      </w:r>
      <w:r>
        <w:rPr>
          <w:rFonts w:hint="eastAsia" w:ascii="宋体" w:hAnsi="宋体" w:cs="宋体"/>
          <w:sz w:val="24"/>
          <w:szCs w:val="24"/>
          <w:highlight w:val="none"/>
          <w:lang w:val="en-US" w:eastAsia="zh-CN"/>
        </w:rPr>
        <w:t>项目</w:t>
      </w:r>
      <w:r>
        <w:rPr>
          <w:rFonts w:hint="eastAsia" w:ascii="宋体" w:hAnsi="宋体" w:eastAsia="宋体" w:cs="宋体"/>
          <w:sz w:val="24"/>
          <w:szCs w:val="24"/>
          <w:highlight w:val="none"/>
        </w:rPr>
        <w:t>范围及LED技术数据对应表（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填写，需如实、完整填写，不得遗漏、虚假填报，后续验收不符的，视为违约）</w:t>
      </w:r>
    </w:p>
    <w:p w14:paraId="4813E2A2">
      <w:pPr>
        <w:kinsoku/>
        <w:wordWrap/>
        <w:overflowPunct/>
        <w:topLinePunct w:val="0"/>
        <w:autoSpaceDE/>
        <w:autoSpaceDN/>
        <w:bidi w:val="0"/>
        <w:adjustRightInd/>
        <w:spacing w:line="360" w:lineRule="auto"/>
        <w:ind w:left="0" w:firstLine="0" w:firstLineChars="0"/>
        <w:textAlignment w:val="auto"/>
        <w:rPr>
          <w:rFonts w:hint="default" w:ascii="宋体" w:hAnsi="宋体" w:cs="宋体"/>
          <w:sz w:val="24"/>
          <w:szCs w:val="24"/>
          <w:highlight w:val="none"/>
          <w:lang w:val="en-US" w:eastAsia="zh-CN"/>
        </w:rPr>
      </w:pPr>
      <w:r>
        <w:rPr>
          <w:rFonts w:hint="eastAsia" w:ascii="宋体" w:hAnsi="宋体" w:eastAsia="宋体" w:cs="宋体"/>
          <w:sz w:val="24"/>
          <w:szCs w:val="24"/>
          <w:highlight w:val="none"/>
        </w:rPr>
        <w:t>替换改造LED灯共计1388套</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具体清单如下：</w:t>
      </w:r>
    </w:p>
    <w:tbl>
      <w:tblPr>
        <w:tblStyle w:val="14"/>
        <w:tblW w:w="48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37"/>
        <w:gridCol w:w="593"/>
        <w:gridCol w:w="1551"/>
        <w:gridCol w:w="638"/>
        <w:gridCol w:w="635"/>
        <w:gridCol w:w="633"/>
        <w:gridCol w:w="679"/>
        <w:gridCol w:w="805"/>
        <w:gridCol w:w="817"/>
        <w:gridCol w:w="706"/>
        <w:gridCol w:w="1105"/>
      </w:tblGrid>
      <w:tr w14:paraId="633A1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shd w:val="clear" w:color="auto" w:fill="auto"/>
            <w:vAlign w:val="center"/>
          </w:tcPr>
          <w:p w14:paraId="532394AA">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序号</w:t>
            </w:r>
          </w:p>
        </w:tc>
        <w:tc>
          <w:tcPr>
            <w:tcW w:w="0" w:type="auto"/>
            <w:shd w:val="clear" w:color="auto" w:fill="auto"/>
            <w:vAlign w:val="center"/>
          </w:tcPr>
          <w:p w14:paraId="6BDCC44C">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灯具类型</w:t>
            </w:r>
          </w:p>
        </w:tc>
        <w:tc>
          <w:tcPr>
            <w:tcW w:w="923" w:type="pct"/>
            <w:shd w:val="clear" w:color="auto" w:fill="auto"/>
            <w:vAlign w:val="center"/>
          </w:tcPr>
          <w:p w14:paraId="26E34DDF">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原金卤灯型号规格</w:t>
            </w:r>
          </w:p>
        </w:tc>
        <w:tc>
          <w:tcPr>
            <w:tcW w:w="380" w:type="pct"/>
            <w:shd w:val="clear" w:color="auto" w:fill="auto"/>
            <w:vAlign w:val="center"/>
          </w:tcPr>
          <w:p w14:paraId="152CD7D3">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安装位置</w:t>
            </w:r>
          </w:p>
        </w:tc>
        <w:tc>
          <w:tcPr>
            <w:tcW w:w="0" w:type="auto"/>
            <w:shd w:val="clear" w:color="auto" w:fill="auto"/>
            <w:vAlign w:val="center"/>
          </w:tcPr>
          <w:p w14:paraId="4A5EE61C">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数量（套）</w:t>
            </w:r>
          </w:p>
        </w:tc>
        <w:tc>
          <w:tcPr>
            <w:tcW w:w="0" w:type="auto"/>
            <w:shd w:val="clear" w:color="auto" w:fill="auto"/>
            <w:vAlign w:val="center"/>
          </w:tcPr>
          <w:p w14:paraId="54F483AF">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替换后LED灯具型号规格</w:t>
            </w:r>
          </w:p>
        </w:tc>
        <w:tc>
          <w:tcPr>
            <w:tcW w:w="0" w:type="auto"/>
            <w:shd w:val="clear" w:color="auto" w:fill="auto"/>
            <w:vAlign w:val="center"/>
          </w:tcPr>
          <w:p w14:paraId="08ADE3F2">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LED额定功率（W）</w:t>
            </w:r>
          </w:p>
        </w:tc>
        <w:tc>
          <w:tcPr>
            <w:tcW w:w="0" w:type="auto"/>
            <w:shd w:val="clear" w:color="auto" w:fill="auto"/>
            <w:vAlign w:val="center"/>
          </w:tcPr>
          <w:p w14:paraId="0C04EF2D">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LED初始光通量（lm）</w:t>
            </w:r>
          </w:p>
        </w:tc>
        <w:tc>
          <w:tcPr>
            <w:tcW w:w="0" w:type="auto"/>
            <w:shd w:val="clear" w:color="auto" w:fill="auto"/>
            <w:vAlign w:val="center"/>
          </w:tcPr>
          <w:p w14:paraId="69FA067E">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光效（lm/W）</w:t>
            </w:r>
          </w:p>
        </w:tc>
        <w:tc>
          <w:tcPr>
            <w:tcW w:w="0" w:type="auto"/>
            <w:shd w:val="clear" w:color="auto" w:fill="auto"/>
            <w:vAlign w:val="center"/>
          </w:tcPr>
          <w:p w14:paraId="2D202B09">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显色指数（Ra）</w:t>
            </w:r>
          </w:p>
        </w:tc>
        <w:tc>
          <w:tcPr>
            <w:tcW w:w="0" w:type="auto"/>
            <w:shd w:val="clear" w:color="auto" w:fill="auto"/>
            <w:vAlign w:val="center"/>
          </w:tcPr>
          <w:p w14:paraId="67D741C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光通维持率（10000h）</w:t>
            </w:r>
          </w:p>
        </w:tc>
      </w:tr>
      <w:tr w14:paraId="441E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Merge w:val="restart"/>
            <w:vAlign w:val="center"/>
          </w:tcPr>
          <w:p w14:paraId="33009AF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0" w:type="auto"/>
            <w:vMerge w:val="restart"/>
            <w:vAlign w:val="center"/>
          </w:tcPr>
          <w:p w14:paraId="07A0AB7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三防LED平台灯</w:t>
            </w:r>
          </w:p>
        </w:tc>
        <w:tc>
          <w:tcPr>
            <w:tcW w:w="923" w:type="pct"/>
            <w:vMerge w:val="restart"/>
            <w:vAlign w:val="center"/>
          </w:tcPr>
          <w:p w14:paraId="34F39F2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CNFC9180B 附70W金卤灯 IP54</w:t>
            </w:r>
          </w:p>
        </w:tc>
        <w:tc>
          <w:tcPr>
            <w:tcW w:w="380" w:type="pct"/>
            <w:vAlign w:val="center"/>
          </w:tcPr>
          <w:p w14:paraId="24D4CBD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热电主厂房</w:t>
            </w:r>
          </w:p>
        </w:tc>
        <w:tc>
          <w:tcPr>
            <w:tcW w:w="0" w:type="auto"/>
            <w:vAlign w:val="center"/>
          </w:tcPr>
          <w:p w14:paraId="566DECF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12</w:t>
            </w:r>
          </w:p>
        </w:tc>
        <w:tc>
          <w:tcPr>
            <w:tcW w:w="0" w:type="auto"/>
            <w:vAlign w:val="center"/>
          </w:tcPr>
          <w:p w14:paraId="27966A9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DA147F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1EB796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A16382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A8ECCB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C43F41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47F3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Merge w:val="continue"/>
            <w:vAlign w:val="center"/>
          </w:tcPr>
          <w:p w14:paraId="22D104F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Merge w:val="continue"/>
            <w:vAlign w:val="center"/>
          </w:tcPr>
          <w:p w14:paraId="7DD34EA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Merge w:val="continue"/>
            <w:vAlign w:val="center"/>
          </w:tcPr>
          <w:p w14:paraId="597D6D6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0" w:type="pct"/>
            <w:vAlign w:val="center"/>
          </w:tcPr>
          <w:p w14:paraId="4A65FE9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启动锅炉房</w:t>
            </w:r>
          </w:p>
        </w:tc>
        <w:tc>
          <w:tcPr>
            <w:tcW w:w="0" w:type="auto"/>
            <w:vAlign w:val="center"/>
          </w:tcPr>
          <w:p w14:paraId="5130F36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14</w:t>
            </w:r>
          </w:p>
        </w:tc>
        <w:tc>
          <w:tcPr>
            <w:tcW w:w="0" w:type="auto"/>
            <w:vAlign w:val="center"/>
          </w:tcPr>
          <w:p w14:paraId="4F3D098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0F9539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CDA021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0E1FB9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B76D49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75780C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0F3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Merge w:val="continue"/>
            <w:vAlign w:val="center"/>
          </w:tcPr>
          <w:p w14:paraId="35F121A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Merge w:val="continue"/>
            <w:vAlign w:val="center"/>
          </w:tcPr>
          <w:p w14:paraId="577BF7A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Align w:val="center"/>
          </w:tcPr>
          <w:p w14:paraId="55A2CF6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ZJD70W,220VAC</w:t>
            </w:r>
          </w:p>
        </w:tc>
        <w:tc>
          <w:tcPr>
            <w:tcW w:w="380" w:type="pct"/>
            <w:vAlign w:val="center"/>
          </w:tcPr>
          <w:p w14:paraId="6C1AE77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脱硫区域</w:t>
            </w:r>
          </w:p>
        </w:tc>
        <w:tc>
          <w:tcPr>
            <w:tcW w:w="0" w:type="auto"/>
            <w:vAlign w:val="center"/>
          </w:tcPr>
          <w:p w14:paraId="7DE390C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64</w:t>
            </w:r>
          </w:p>
        </w:tc>
        <w:tc>
          <w:tcPr>
            <w:tcW w:w="0" w:type="auto"/>
            <w:vAlign w:val="center"/>
          </w:tcPr>
          <w:p w14:paraId="7434A65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174923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EDB1D7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600C5D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2C1DCB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3958EA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83F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7" w:hRule="atLeast"/>
        </w:trPr>
        <w:tc>
          <w:tcPr>
            <w:tcW w:w="0" w:type="auto"/>
            <w:vMerge w:val="continue"/>
            <w:vAlign w:val="center"/>
          </w:tcPr>
          <w:p w14:paraId="6D55E80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Merge w:val="continue"/>
            <w:vAlign w:val="center"/>
          </w:tcPr>
          <w:p w14:paraId="4D58C30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Merge w:val="restart"/>
            <w:vAlign w:val="center"/>
          </w:tcPr>
          <w:p w14:paraId="21D1A98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CNFC9180B 附100W金卤灯 IP54</w:t>
            </w:r>
          </w:p>
        </w:tc>
        <w:tc>
          <w:tcPr>
            <w:tcW w:w="380" w:type="pct"/>
            <w:vAlign w:val="center"/>
          </w:tcPr>
          <w:p w14:paraId="3B8A512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热电主厂房</w:t>
            </w:r>
          </w:p>
        </w:tc>
        <w:tc>
          <w:tcPr>
            <w:tcW w:w="0" w:type="auto"/>
            <w:vAlign w:val="center"/>
          </w:tcPr>
          <w:p w14:paraId="690B128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733</w:t>
            </w:r>
          </w:p>
        </w:tc>
        <w:tc>
          <w:tcPr>
            <w:tcW w:w="0" w:type="auto"/>
            <w:vAlign w:val="center"/>
          </w:tcPr>
          <w:p w14:paraId="2C40948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FBE27F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90E4FA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FFACE6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CE0C4A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E905ED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3C16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Merge w:val="continue"/>
            <w:vAlign w:val="center"/>
          </w:tcPr>
          <w:p w14:paraId="5F2F333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Merge w:val="continue"/>
            <w:vAlign w:val="center"/>
          </w:tcPr>
          <w:p w14:paraId="593FE6A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Merge w:val="continue"/>
            <w:vAlign w:val="center"/>
          </w:tcPr>
          <w:p w14:paraId="238DFA0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0" w:type="pct"/>
            <w:vAlign w:val="center"/>
          </w:tcPr>
          <w:p w14:paraId="23C0BFD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启动锅炉房</w:t>
            </w:r>
          </w:p>
        </w:tc>
        <w:tc>
          <w:tcPr>
            <w:tcW w:w="0" w:type="auto"/>
            <w:vAlign w:val="center"/>
          </w:tcPr>
          <w:p w14:paraId="2C12B68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29</w:t>
            </w:r>
          </w:p>
        </w:tc>
        <w:tc>
          <w:tcPr>
            <w:tcW w:w="0" w:type="auto"/>
            <w:vAlign w:val="center"/>
          </w:tcPr>
          <w:p w14:paraId="25142E8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EC0330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AF9F4B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1EC7F2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6B620F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2F1FCC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17C7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4" w:hRule="atLeast"/>
        </w:trPr>
        <w:tc>
          <w:tcPr>
            <w:tcW w:w="0" w:type="auto"/>
            <w:vMerge w:val="continue"/>
            <w:vAlign w:val="center"/>
          </w:tcPr>
          <w:p w14:paraId="59CEC80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Merge w:val="continue"/>
            <w:vAlign w:val="center"/>
          </w:tcPr>
          <w:p w14:paraId="441467F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Merge w:val="continue"/>
            <w:vAlign w:val="center"/>
          </w:tcPr>
          <w:p w14:paraId="31CDB02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380" w:type="pct"/>
            <w:vAlign w:val="center"/>
          </w:tcPr>
          <w:p w14:paraId="0DEA6A9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脱硝</w:t>
            </w:r>
          </w:p>
        </w:tc>
        <w:tc>
          <w:tcPr>
            <w:tcW w:w="0" w:type="auto"/>
            <w:vAlign w:val="center"/>
          </w:tcPr>
          <w:p w14:paraId="6D9BB17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79</w:t>
            </w:r>
          </w:p>
        </w:tc>
        <w:tc>
          <w:tcPr>
            <w:tcW w:w="0" w:type="auto"/>
            <w:vAlign w:val="center"/>
          </w:tcPr>
          <w:p w14:paraId="24FD11B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7DCCBB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54C7E1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B429DD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4C13A0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ABEE40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E2C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42649C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0" w:type="auto"/>
            <w:vAlign w:val="center"/>
          </w:tcPr>
          <w:p w14:paraId="58CB116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耐高温三防LED平台灯</w:t>
            </w:r>
          </w:p>
        </w:tc>
        <w:tc>
          <w:tcPr>
            <w:tcW w:w="923" w:type="pct"/>
            <w:vAlign w:val="center"/>
          </w:tcPr>
          <w:p w14:paraId="1F53689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CNFC9180B 附100W金卤灯 IP54</w:t>
            </w:r>
          </w:p>
        </w:tc>
        <w:tc>
          <w:tcPr>
            <w:tcW w:w="380" w:type="pct"/>
            <w:vAlign w:val="center"/>
          </w:tcPr>
          <w:p w14:paraId="4857594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热电主厂房</w:t>
            </w:r>
          </w:p>
        </w:tc>
        <w:tc>
          <w:tcPr>
            <w:tcW w:w="0" w:type="auto"/>
            <w:vAlign w:val="center"/>
          </w:tcPr>
          <w:p w14:paraId="2841F7A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292</w:t>
            </w:r>
          </w:p>
        </w:tc>
        <w:tc>
          <w:tcPr>
            <w:tcW w:w="0" w:type="auto"/>
            <w:vAlign w:val="center"/>
          </w:tcPr>
          <w:p w14:paraId="0365F17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131C10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B8C7EB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679760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E3324E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E0F916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54D1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4EB3D6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0" w:type="auto"/>
            <w:vAlign w:val="center"/>
          </w:tcPr>
          <w:p w14:paraId="78D1FF8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三防LED泛光灯</w:t>
            </w:r>
          </w:p>
        </w:tc>
        <w:tc>
          <w:tcPr>
            <w:tcW w:w="923" w:type="pct"/>
            <w:vAlign w:val="center"/>
          </w:tcPr>
          <w:p w14:paraId="3C8E149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ZJD150W,220VAC</w:t>
            </w:r>
          </w:p>
        </w:tc>
        <w:tc>
          <w:tcPr>
            <w:tcW w:w="380" w:type="pct"/>
            <w:vAlign w:val="center"/>
          </w:tcPr>
          <w:p w14:paraId="07480BA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脱硫区域</w:t>
            </w:r>
          </w:p>
        </w:tc>
        <w:tc>
          <w:tcPr>
            <w:tcW w:w="0" w:type="auto"/>
            <w:vAlign w:val="center"/>
          </w:tcPr>
          <w:p w14:paraId="11F965A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113</w:t>
            </w:r>
          </w:p>
        </w:tc>
        <w:tc>
          <w:tcPr>
            <w:tcW w:w="0" w:type="auto"/>
            <w:vAlign w:val="center"/>
          </w:tcPr>
          <w:p w14:paraId="34B3A9F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417E4A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3146D1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B5DCE5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071D5C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4ABEB5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79C0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55F6E37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0" w:type="auto"/>
            <w:vAlign w:val="center"/>
          </w:tcPr>
          <w:p w14:paraId="0697039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三防LED顶棚灯</w:t>
            </w:r>
          </w:p>
        </w:tc>
        <w:tc>
          <w:tcPr>
            <w:tcW w:w="923" w:type="pct"/>
            <w:vAlign w:val="center"/>
          </w:tcPr>
          <w:p w14:paraId="636199D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ZJD250W,220VAC</w:t>
            </w:r>
          </w:p>
        </w:tc>
        <w:tc>
          <w:tcPr>
            <w:tcW w:w="380" w:type="pct"/>
            <w:vAlign w:val="center"/>
          </w:tcPr>
          <w:p w14:paraId="3A5542D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引风机房</w:t>
            </w:r>
          </w:p>
        </w:tc>
        <w:tc>
          <w:tcPr>
            <w:tcW w:w="0" w:type="auto"/>
            <w:vAlign w:val="center"/>
          </w:tcPr>
          <w:p w14:paraId="0640BAD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48</w:t>
            </w:r>
          </w:p>
        </w:tc>
        <w:tc>
          <w:tcPr>
            <w:tcW w:w="0" w:type="auto"/>
            <w:vAlign w:val="center"/>
          </w:tcPr>
          <w:p w14:paraId="4167423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35D0A3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23E40D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9FE489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7DC9A8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CF9955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27AF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06BF6DD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656F97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923" w:type="pct"/>
            <w:vAlign w:val="center"/>
          </w:tcPr>
          <w:p w14:paraId="099BDF1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CNTC9101x250W 金卤灯</w:t>
            </w:r>
          </w:p>
        </w:tc>
        <w:tc>
          <w:tcPr>
            <w:tcW w:w="380" w:type="pct"/>
            <w:vAlign w:val="center"/>
          </w:tcPr>
          <w:p w14:paraId="4D24899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脱硫区域</w:t>
            </w:r>
          </w:p>
        </w:tc>
        <w:tc>
          <w:tcPr>
            <w:tcW w:w="0" w:type="auto"/>
            <w:vAlign w:val="center"/>
          </w:tcPr>
          <w:p w14:paraId="2AA126F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0" w:type="auto"/>
            <w:vAlign w:val="center"/>
          </w:tcPr>
          <w:p w14:paraId="6FC8B22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6AAD10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36943F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99AAAF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384F5C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00C075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bl>
    <w:p w14:paraId="7F8C08DF">
      <w:pPr>
        <w:kinsoku/>
        <w:wordWrap/>
        <w:overflowPunct/>
        <w:topLinePunct w:val="0"/>
        <w:autoSpaceDE/>
        <w:autoSpaceDN/>
        <w:bidi w:val="0"/>
        <w:adjustRightInd/>
        <w:spacing w:line="360" w:lineRule="auto"/>
        <w:ind w:left="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新增LED灯共计174套</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具体清单如下：</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78"/>
        <w:gridCol w:w="864"/>
        <w:gridCol w:w="431"/>
        <w:gridCol w:w="792"/>
        <w:gridCol w:w="507"/>
        <w:gridCol w:w="716"/>
        <w:gridCol w:w="946"/>
        <w:gridCol w:w="1082"/>
        <w:gridCol w:w="898"/>
        <w:gridCol w:w="870"/>
        <w:gridCol w:w="1311"/>
      </w:tblGrid>
      <w:tr w14:paraId="6448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0" w:type="auto"/>
            <w:shd w:val="clear" w:color="auto" w:fill="auto"/>
            <w:vAlign w:val="center"/>
          </w:tcPr>
          <w:p w14:paraId="3AB2EE26">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序号</w:t>
            </w:r>
          </w:p>
        </w:tc>
        <w:tc>
          <w:tcPr>
            <w:tcW w:w="0" w:type="auto"/>
            <w:shd w:val="clear" w:color="auto" w:fill="auto"/>
            <w:vAlign w:val="center"/>
          </w:tcPr>
          <w:p w14:paraId="13ADA9AB">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灯具类型</w:t>
            </w:r>
          </w:p>
        </w:tc>
        <w:tc>
          <w:tcPr>
            <w:tcW w:w="0" w:type="auto"/>
            <w:shd w:val="clear" w:color="auto" w:fill="auto"/>
            <w:vAlign w:val="center"/>
          </w:tcPr>
          <w:p w14:paraId="3F2416D5">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改造性质</w:t>
            </w:r>
          </w:p>
        </w:tc>
        <w:tc>
          <w:tcPr>
            <w:tcW w:w="0" w:type="auto"/>
            <w:shd w:val="clear" w:color="auto" w:fill="auto"/>
            <w:vAlign w:val="center"/>
          </w:tcPr>
          <w:p w14:paraId="5414B945">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新增LED灯具功率</w:t>
            </w:r>
          </w:p>
        </w:tc>
        <w:tc>
          <w:tcPr>
            <w:tcW w:w="0" w:type="auto"/>
            <w:shd w:val="clear" w:color="auto" w:fill="auto"/>
            <w:vAlign w:val="center"/>
          </w:tcPr>
          <w:p w14:paraId="2E511E42">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安装位置</w:t>
            </w:r>
          </w:p>
        </w:tc>
        <w:tc>
          <w:tcPr>
            <w:tcW w:w="0" w:type="auto"/>
            <w:shd w:val="clear" w:color="auto" w:fill="auto"/>
            <w:vAlign w:val="center"/>
          </w:tcPr>
          <w:p w14:paraId="19FE1194">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数量（套）</w:t>
            </w:r>
          </w:p>
        </w:tc>
        <w:tc>
          <w:tcPr>
            <w:tcW w:w="0" w:type="auto"/>
            <w:shd w:val="clear" w:color="auto" w:fill="auto"/>
            <w:vAlign w:val="center"/>
          </w:tcPr>
          <w:p w14:paraId="5DF730AD">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新增LED灯具型号规格</w:t>
            </w:r>
          </w:p>
        </w:tc>
        <w:tc>
          <w:tcPr>
            <w:tcW w:w="0" w:type="auto"/>
            <w:shd w:val="clear" w:color="auto" w:fill="auto"/>
            <w:vAlign w:val="center"/>
          </w:tcPr>
          <w:p w14:paraId="0B816272">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LED初始光通量（lm）</w:t>
            </w:r>
          </w:p>
        </w:tc>
        <w:tc>
          <w:tcPr>
            <w:tcW w:w="0" w:type="auto"/>
            <w:shd w:val="clear" w:color="auto" w:fill="auto"/>
            <w:vAlign w:val="center"/>
          </w:tcPr>
          <w:p w14:paraId="422C634C">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光效（lm/W）</w:t>
            </w:r>
          </w:p>
        </w:tc>
        <w:tc>
          <w:tcPr>
            <w:tcW w:w="0" w:type="auto"/>
            <w:shd w:val="clear" w:color="auto" w:fill="auto"/>
            <w:vAlign w:val="center"/>
          </w:tcPr>
          <w:p w14:paraId="1CBD2B1B">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显色指数（Ra）</w:t>
            </w:r>
          </w:p>
        </w:tc>
        <w:tc>
          <w:tcPr>
            <w:tcW w:w="0" w:type="auto"/>
            <w:shd w:val="clear" w:color="auto" w:fill="auto"/>
            <w:vAlign w:val="center"/>
          </w:tcPr>
          <w:p w14:paraId="1ED2299B">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光通维持率（10000h）</w:t>
            </w:r>
          </w:p>
        </w:tc>
      </w:tr>
      <w:tr w14:paraId="749C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63B956F5">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0" w:type="auto"/>
            <w:vMerge w:val="restart"/>
            <w:vAlign w:val="center"/>
          </w:tcPr>
          <w:p w14:paraId="23A4ADBF">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普通三防LED平台灯</w:t>
            </w:r>
          </w:p>
        </w:tc>
        <w:tc>
          <w:tcPr>
            <w:tcW w:w="0" w:type="auto"/>
            <w:vMerge w:val="restart"/>
            <w:vAlign w:val="center"/>
          </w:tcPr>
          <w:p w14:paraId="1EC91B98">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新增</w:t>
            </w:r>
          </w:p>
        </w:tc>
        <w:tc>
          <w:tcPr>
            <w:tcW w:w="0" w:type="auto"/>
            <w:vMerge w:val="restart"/>
            <w:vAlign w:val="center"/>
          </w:tcPr>
          <w:p w14:paraId="7421D713">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50W</w:t>
            </w:r>
          </w:p>
        </w:tc>
        <w:tc>
          <w:tcPr>
            <w:tcW w:w="0" w:type="auto"/>
            <w:vAlign w:val="center"/>
          </w:tcPr>
          <w:p w14:paraId="68122CE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锅炉区域</w:t>
            </w:r>
          </w:p>
        </w:tc>
        <w:tc>
          <w:tcPr>
            <w:tcW w:w="0" w:type="auto"/>
            <w:vAlign w:val="center"/>
          </w:tcPr>
          <w:p w14:paraId="178BCFCD">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67</w:t>
            </w:r>
          </w:p>
        </w:tc>
        <w:tc>
          <w:tcPr>
            <w:tcW w:w="0" w:type="auto"/>
            <w:vAlign w:val="center"/>
          </w:tcPr>
          <w:p w14:paraId="75C78CE4">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FFA4D2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C242E31">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0510C2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8792AF9">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r>
      <w:tr w14:paraId="4898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6429DB1E">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Merge w:val="continue"/>
            <w:vAlign w:val="center"/>
          </w:tcPr>
          <w:p w14:paraId="3FD30D08">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Merge w:val="continue"/>
            <w:vAlign w:val="center"/>
          </w:tcPr>
          <w:p w14:paraId="5B14F9E8">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Merge w:val="continue"/>
            <w:vAlign w:val="center"/>
          </w:tcPr>
          <w:p w14:paraId="0C3CBBC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2DF318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脱硫区域</w:t>
            </w:r>
          </w:p>
        </w:tc>
        <w:tc>
          <w:tcPr>
            <w:tcW w:w="0" w:type="auto"/>
            <w:vAlign w:val="center"/>
          </w:tcPr>
          <w:p w14:paraId="11B7FF1D">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97</w:t>
            </w:r>
          </w:p>
        </w:tc>
        <w:tc>
          <w:tcPr>
            <w:tcW w:w="0" w:type="auto"/>
            <w:vAlign w:val="center"/>
          </w:tcPr>
          <w:p w14:paraId="1FE42C98">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9E739B0">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70C732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F1B2C4B">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EF51EF2">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r>
      <w:tr w14:paraId="20B5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C3EE6D4">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Merge w:val="continue"/>
            <w:vAlign w:val="center"/>
          </w:tcPr>
          <w:p w14:paraId="0914D70F">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Merge w:val="continue"/>
            <w:vAlign w:val="center"/>
          </w:tcPr>
          <w:p w14:paraId="59A8729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3DCFF8E8">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70W</w:t>
            </w:r>
          </w:p>
        </w:tc>
        <w:tc>
          <w:tcPr>
            <w:tcW w:w="0" w:type="auto"/>
            <w:vAlign w:val="center"/>
          </w:tcPr>
          <w:p w14:paraId="12279504">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热电主厂房</w:t>
            </w:r>
          </w:p>
        </w:tc>
        <w:tc>
          <w:tcPr>
            <w:tcW w:w="0" w:type="auto"/>
            <w:vAlign w:val="center"/>
          </w:tcPr>
          <w:p w14:paraId="0A4EFCD6">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10</w:t>
            </w:r>
          </w:p>
        </w:tc>
        <w:tc>
          <w:tcPr>
            <w:tcW w:w="0" w:type="auto"/>
            <w:vAlign w:val="center"/>
          </w:tcPr>
          <w:p w14:paraId="313C9215">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A6032DC">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3EBB5D00">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C4B17E4">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78815967">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p>
        </w:tc>
      </w:tr>
    </w:tbl>
    <w:p w14:paraId="480305B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4.</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 xml:space="preserve">.13.2 </w:t>
      </w: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须按上表要求，完整填写所有改造范围内灯具的相关信息，确保替换安装的LED灯能适配原金卤灯的安装位置，照度不低于原设计标准，且功率不小于原金卤灯功率的</w:t>
      </w:r>
      <w:r>
        <w:rPr>
          <w:rFonts w:hint="eastAsia" w:ascii="宋体" w:hAnsi="宋体" w:cs="宋体"/>
          <w:b w:val="0"/>
          <w:bCs w:val="0"/>
          <w:sz w:val="24"/>
          <w:szCs w:val="24"/>
          <w:highlight w:val="none"/>
          <w:lang w:val="en-US" w:eastAsia="zh-CN"/>
        </w:rPr>
        <w:t>60</w:t>
      </w:r>
      <w:r>
        <w:rPr>
          <w:rFonts w:hint="eastAsia" w:ascii="宋体" w:hAnsi="宋体" w:eastAsia="宋体" w:cs="宋体"/>
          <w:b w:val="0"/>
          <w:bCs w:val="0"/>
          <w:sz w:val="24"/>
          <w:szCs w:val="24"/>
          <w:highlight w:val="none"/>
        </w:rPr>
        <w:t>%；若填写不完整、虚假填报，或实际产品与填报信息不符，视为</w:t>
      </w: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违约，</w:t>
      </w:r>
      <w:r>
        <w:rPr>
          <w:rFonts w:hint="eastAsia" w:ascii="宋体" w:hAnsi="宋体" w:cs="宋体"/>
          <w:b w:val="0"/>
          <w:bCs w:val="0"/>
          <w:sz w:val="24"/>
          <w:szCs w:val="24"/>
          <w:highlight w:val="none"/>
          <w:lang w:eastAsia="zh-CN"/>
        </w:rPr>
        <w:t>招标人</w:t>
      </w:r>
      <w:r>
        <w:rPr>
          <w:rFonts w:hint="eastAsia" w:ascii="宋体" w:hAnsi="宋体" w:eastAsia="宋体" w:cs="宋体"/>
          <w:b w:val="0"/>
          <w:bCs w:val="0"/>
          <w:sz w:val="24"/>
          <w:szCs w:val="24"/>
          <w:highlight w:val="none"/>
        </w:rPr>
        <w:t>有权解除合同，</w:t>
      </w: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承担全部损失。</w:t>
      </w:r>
    </w:p>
    <w:p w14:paraId="3A932C2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.13.3 替换后的LED灯具实际运行照度，应同时满足DL/T 5390《发电厂和变电站照明设计技术规定》、GB/T 50034《建筑照明设计标准》及GB 50582《室外作业场地照明设计标准》中相应场所的照度要求，当各规范照度值不一致时，取较高值执行。</w:t>
      </w:r>
    </w:p>
    <w:p w14:paraId="500E1D7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.13.4 上表中“替换后LED灯具技术数据”须真实有效，</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需随投标书提供对应的产品检测报告（如LM-80报告、光效检测报告等），确保数据与所投产品一致。</w:t>
      </w:r>
    </w:p>
    <w:p w14:paraId="2F39BBC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.13.5 若同一类型灯具对应多种原金卤灯规格，</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需按原金卤灯规格分别列明LED替换方案及技术数据，不得合并填报。</w:t>
      </w:r>
    </w:p>
    <w:p w14:paraId="0E076A4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.14 光源寿命不小于50000小时，显色指数Ra大于80。</w:t>
      </w:r>
    </w:p>
    <w:p w14:paraId="5C326F4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.15 光通维持率：无重影，低光衰，在额定条件下燃点3000h，光通维持率不低于95%，工作6000h后，光通维持率不低于90%，工作10000h后，光通维持率不低于85%，启动快，无闪烁。</w:t>
      </w:r>
    </w:p>
    <w:p w14:paraId="1B6B450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.16 灯壳寿命不低于10年。</w:t>
      </w:r>
    </w:p>
    <w:p w14:paraId="5399E1A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.17 光源采用降额设计，单套灯具功率不能超额设计，预留余量不低于10%。</w:t>
      </w:r>
    </w:p>
    <w:p w14:paraId="684BC09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.18 色温要求：6000K。</w:t>
      </w:r>
    </w:p>
    <w:p w14:paraId="5D2582FB">
      <w:pPr>
        <w:widowControl w:val="0"/>
        <w:kinsoku/>
        <w:wordWrap/>
        <w:overflowPunct/>
        <w:topLinePunct w:val="0"/>
        <w:autoSpaceDE/>
        <w:autoSpaceDN/>
        <w:bidi w:val="0"/>
        <w:adjustRightInd/>
        <w:spacing w:after="0" w:line="360" w:lineRule="auto"/>
        <w:ind w:left="0" w:firstLine="0" w:firstLineChars="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w:t>
      </w:r>
      <w:r>
        <w:rPr>
          <w:rFonts w:hint="eastAsia" w:ascii="宋体" w:hAnsi="宋体" w:cs="宋体"/>
          <w:b/>
          <w:bCs/>
          <w:sz w:val="24"/>
          <w:szCs w:val="24"/>
          <w:highlight w:val="none"/>
          <w:lang w:val="en-US" w:eastAsia="zh-CN"/>
        </w:rPr>
        <w:t>3</w:t>
      </w:r>
      <w:r>
        <w:rPr>
          <w:rFonts w:hint="eastAsia" w:ascii="宋体" w:hAnsi="宋体" w:eastAsia="宋体" w:cs="宋体"/>
          <w:b/>
          <w:bCs/>
          <w:sz w:val="24"/>
          <w:szCs w:val="24"/>
          <w:highlight w:val="none"/>
        </w:rPr>
        <w:t xml:space="preserve"> 金卤灯及电感镇流器通用技术要求</w:t>
      </w:r>
    </w:p>
    <w:p w14:paraId="75E14CAD">
      <w:pPr>
        <w:widowControl w:val="0"/>
        <w:kinsoku/>
        <w:wordWrap/>
        <w:overflowPunct/>
        <w:topLinePunct w:val="0"/>
        <w:autoSpaceDE/>
        <w:autoSpaceDN/>
        <w:bidi w:val="0"/>
        <w:adjustRightInd/>
        <w:spacing w:after="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.1 金卤灯光效要求：光通量偏差控制在±10%以内；整灯光效≥90lm/W；常见色温不小于4000K，色温偏差控制在±200K以内；显色指数≥80；额定寿命内光衰≤30%，光通维持率≥70%。</w:t>
      </w:r>
    </w:p>
    <w:p w14:paraId="5AFDA9A3">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.2 金卤灯电气参数：工作电压AC 220V±10%、50Hz；启动后5分钟内达到稳定光输出，启动电流不超过额定电流的1.5倍；工作电流与镇流器额定电流匹配，偏差不超过±5%；功率因数≥0.85；灯管两端绝缘电阻≥2MΩ，能承受1500V电压测试1min无击穿。</w:t>
      </w:r>
    </w:p>
    <w:p w14:paraId="4C094C04">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.3 金卤灯寿命与环境适应性：设计寿命常规产品≥10,000小时，高品质产品可达20,000小时；开关循环能力≥5,000次；在-20℃至+40℃、相对湿度≤85%的环境下正常工作。</w:t>
      </w:r>
    </w:p>
    <w:p w14:paraId="2D93B710">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.4 电感镇流器要求：金卤灯适配镇流器应选用节能电感镇流器，品牌选用飞利浦、欧司朗、卡梵或同等档次产品；工作电压220V±10%、50Hz；启动电流不超过额定值的1.5倍，应在不大于1s时间内可靠启动灯具；工作电流应与灯具的额定电流匹配，偏差不超过±5%；无功率因数校正时功率因数≥0.85，有功率因数校正时功率因数≥0.95；镇流器产生的谐波应满足IEC 61000-3-2、GB 17625.1要求，总谐波失真≤20%；线圈温升≤60℃，外壳温升≤40℃。</w:t>
      </w:r>
    </w:p>
    <w:p w14:paraId="5C2D7DC5">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lang w:eastAsia="zh-CN"/>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.5  防护与防腐等级：防护等级不低于IP</w:t>
      </w:r>
      <w:r>
        <w:rPr>
          <w:rFonts w:hint="eastAsia" w:ascii="宋体" w:hAnsi="宋体" w:cs="宋体"/>
          <w:b w:val="0"/>
          <w:sz w:val="24"/>
          <w:szCs w:val="24"/>
          <w:highlight w:val="none"/>
          <w:lang w:val="en-US" w:eastAsia="zh-CN"/>
        </w:rPr>
        <w:t>65</w:t>
      </w:r>
      <w:r>
        <w:rPr>
          <w:rFonts w:hint="eastAsia" w:ascii="宋体" w:hAnsi="宋体" w:eastAsia="宋体" w:cs="宋体"/>
          <w:b w:val="0"/>
          <w:sz w:val="24"/>
          <w:szCs w:val="24"/>
          <w:highlight w:val="none"/>
        </w:rPr>
        <w:t>，防腐等级WF1</w:t>
      </w:r>
      <w:r>
        <w:rPr>
          <w:rFonts w:hint="eastAsia" w:ascii="宋体" w:hAnsi="宋体" w:cs="宋体"/>
          <w:b w:val="0"/>
          <w:sz w:val="24"/>
          <w:szCs w:val="24"/>
          <w:highlight w:val="none"/>
          <w:lang w:eastAsia="zh-CN"/>
        </w:rPr>
        <w:t>。</w:t>
      </w:r>
    </w:p>
    <w:p w14:paraId="6DA7973A">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w:t>
      </w:r>
      <w:r>
        <w:rPr>
          <w:rFonts w:hint="eastAsia" w:ascii="宋体" w:hAnsi="宋体" w:cs="宋体"/>
          <w:b/>
          <w:bCs/>
          <w:sz w:val="24"/>
          <w:szCs w:val="24"/>
          <w:highlight w:val="none"/>
          <w:lang w:val="en-US" w:eastAsia="zh-CN"/>
        </w:rPr>
        <w:t>4</w:t>
      </w:r>
      <w:r>
        <w:rPr>
          <w:rFonts w:hint="eastAsia" w:ascii="宋体" w:hAnsi="宋体" w:eastAsia="宋体" w:cs="宋体"/>
          <w:b/>
          <w:bCs/>
          <w:sz w:val="24"/>
          <w:szCs w:val="24"/>
          <w:highlight w:val="none"/>
        </w:rPr>
        <w:t xml:space="preserve"> 消防应急灯具技术要求</w:t>
      </w:r>
    </w:p>
    <w:p w14:paraId="1A48ADAE">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bCs w:val="0"/>
          <w:kern w:val="0"/>
          <w:sz w:val="24"/>
          <w:szCs w:val="24"/>
          <w:highlight w:val="none"/>
          <w:lang w:val="en-US" w:eastAsia="zh-CN" w:bidi="ar"/>
        </w:rPr>
        <w:t>4.4.1</w:t>
      </w:r>
      <w:r>
        <w:rPr>
          <w:rFonts w:hint="eastAsia" w:ascii="宋体" w:hAnsi="宋体" w:cs="宋体"/>
          <w:b w:val="0"/>
          <w:bCs w:val="0"/>
          <w:kern w:val="0"/>
          <w:sz w:val="24"/>
          <w:szCs w:val="24"/>
          <w:highlight w:val="none"/>
          <w:lang w:val="en-US" w:eastAsia="zh-CN" w:bidi="ar"/>
        </w:rPr>
        <w:t>投标人</w:t>
      </w:r>
      <w:r>
        <w:rPr>
          <w:rFonts w:hint="eastAsia" w:ascii="宋体" w:hAnsi="宋体" w:eastAsia="宋体" w:cs="宋体"/>
          <w:b w:val="0"/>
          <w:bCs w:val="0"/>
          <w:kern w:val="0"/>
          <w:sz w:val="24"/>
          <w:szCs w:val="24"/>
          <w:highlight w:val="none"/>
          <w:lang w:val="en-US" w:eastAsia="zh-CN" w:bidi="ar"/>
        </w:rPr>
        <w:t>提供的投标产品应通过国家CCCF认证，并在投标文件中提供相应证书，证书必须在发证有效期之内，且状态为有效。</w:t>
      </w:r>
    </w:p>
    <w:p w14:paraId="1DA0398C">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2</w:t>
      </w:r>
      <w:r>
        <w:rPr>
          <w:rFonts w:hint="eastAsia" w:ascii="宋体" w:hAnsi="宋体" w:eastAsia="宋体" w:cs="宋体"/>
          <w:b w:val="0"/>
          <w:sz w:val="24"/>
          <w:szCs w:val="24"/>
          <w:highlight w:val="none"/>
        </w:rPr>
        <w:t xml:space="preserve"> 应急性能要求：内置电池应急时间≥90分钟，电池具备过充、过放保护功能，保障电池寿命与使用安全性。</w:t>
      </w:r>
    </w:p>
    <w:p w14:paraId="4D5B9387">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3</w:t>
      </w:r>
      <w:r>
        <w:rPr>
          <w:rFonts w:hint="eastAsia" w:ascii="宋体" w:hAnsi="宋体" w:eastAsia="宋体" w:cs="宋体"/>
          <w:b w:val="0"/>
          <w:sz w:val="24"/>
          <w:szCs w:val="24"/>
          <w:highlight w:val="none"/>
        </w:rPr>
        <w:t xml:space="preserve"> 光学与标识性能要求：亮度满足GB 17945要求，标志图案和文字清晰醒目，符合GB 13495.1《消防安全标志》要求；正常照明条件下可视距离≥20米；烟雾环境下可视距离≥15米。</w:t>
      </w:r>
    </w:p>
    <w:p w14:paraId="65B54A97">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 xml:space="preserve"> 光源与阻燃要求：采用LED光源，具备高亮度、低功耗、长寿命特点；外壳和内部材料具有阻燃性，符合UL94 V-0或同等阻燃等级。</w:t>
      </w:r>
    </w:p>
    <w:p w14:paraId="30968DF3">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5</w:t>
      </w:r>
      <w:r>
        <w:rPr>
          <w:rFonts w:hint="eastAsia" w:ascii="宋体" w:hAnsi="宋体" w:eastAsia="宋体" w:cs="宋体"/>
          <w:b w:val="0"/>
          <w:sz w:val="24"/>
          <w:szCs w:val="24"/>
          <w:highlight w:val="none"/>
        </w:rPr>
        <w:t xml:space="preserve"> 防护与防腐等级：非防爆类应急疏散指示灯防护等级不低于IP30，防腐等级WF1；防爆类应急疏散指示灯防护等级IP65，防腐等级WF1。</w:t>
      </w:r>
    </w:p>
    <w:p w14:paraId="553612A9">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6</w:t>
      </w:r>
      <w:r>
        <w:rPr>
          <w:rFonts w:hint="eastAsia" w:ascii="宋体" w:hAnsi="宋体" w:eastAsia="宋体" w:cs="宋体"/>
          <w:b w:val="0"/>
          <w:sz w:val="24"/>
          <w:szCs w:val="24"/>
          <w:highlight w:val="none"/>
        </w:rPr>
        <w:t>防爆性能：防爆应急疏散指示灯符合国家或国际防爆标准，防爆等级满足Exd IICT6，需提供3C认证和防爆合格证；外壳采用高强度铸铝或不锈钢材料，可承受内部爆炸压力并防止火焰向外传播。</w:t>
      </w:r>
    </w:p>
    <w:p w14:paraId="7B199668">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7</w:t>
      </w:r>
      <w:r>
        <w:rPr>
          <w:rFonts w:hint="eastAsia" w:ascii="宋体" w:hAnsi="宋体" w:eastAsia="宋体" w:cs="宋体"/>
          <w:b w:val="0"/>
          <w:sz w:val="24"/>
          <w:szCs w:val="24"/>
          <w:highlight w:val="none"/>
        </w:rPr>
        <w:t>绝缘与耐压：绝缘电阻≥2MΩ；耐压测试能承受1500V电压持续1min无击穿。</w:t>
      </w:r>
    </w:p>
    <w:p w14:paraId="3ED73781">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8</w:t>
      </w:r>
      <w:r>
        <w:rPr>
          <w:rFonts w:hint="eastAsia" w:ascii="宋体" w:hAnsi="宋体" w:eastAsia="宋体" w:cs="宋体"/>
          <w:b w:val="0"/>
          <w:sz w:val="24"/>
          <w:szCs w:val="24"/>
          <w:highlight w:val="none"/>
        </w:rPr>
        <w:t xml:space="preserve"> 环境适应性要求：应急疏散指示灯可在相对湿度≤95%、环境温度-20℃至+40℃范围内正常运行。</w:t>
      </w:r>
    </w:p>
    <w:p w14:paraId="61CD763B">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4.</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sz w:val="24"/>
          <w:szCs w:val="24"/>
          <w:highlight w:val="none"/>
          <w:lang w:val="en-US" w:eastAsia="zh-CN"/>
        </w:rPr>
        <w:t>9</w:t>
      </w:r>
      <w:r>
        <w:rPr>
          <w:rFonts w:hint="eastAsia" w:ascii="宋体" w:hAnsi="宋体" w:eastAsia="宋体" w:cs="宋体"/>
          <w:b w:val="0"/>
          <w:sz w:val="24"/>
          <w:szCs w:val="24"/>
          <w:highlight w:val="none"/>
        </w:rPr>
        <w:t xml:space="preserve"> 消防应急灯具中LED光源光效≥90 lm/W，显色指数Ra≥80，色温不小于5000K，与框架采购LED灯具光源品质保持一致。</w:t>
      </w:r>
    </w:p>
    <w:p w14:paraId="2A23FEC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w:t>
      </w:r>
      <w:r>
        <w:rPr>
          <w:rFonts w:hint="eastAsia" w:ascii="宋体" w:hAnsi="宋体" w:cs="宋体"/>
          <w:b/>
          <w:bCs/>
          <w:sz w:val="24"/>
          <w:szCs w:val="24"/>
          <w:highlight w:val="none"/>
          <w:lang w:val="en-US" w:eastAsia="zh-CN"/>
        </w:rPr>
        <w:t>5</w:t>
      </w:r>
      <w:r>
        <w:rPr>
          <w:rFonts w:hint="eastAsia" w:ascii="宋体" w:hAnsi="宋体" w:eastAsia="宋体" w:cs="宋体"/>
          <w:b/>
          <w:bCs/>
          <w:sz w:val="24"/>
          <w:szCs w:val="24"/>
          <w:highlight w:val="none"/>
        </w:rPr>
        <w:t xml:space="preserve"> 其他指标要求</w:t>
      </w:r>
    </w:p>
    <w:p w14:paraId="26E77A6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.1 LED产品需获得省级质检机构或国家级电光源检测中心出具的检验报告，所测指标符合或高于第4条技术指标要求，且取得检测报告的LED产品应与投标LED产品一致（型号、规格、参数完全匹配）；报告需在有效期内、加盖检测机构公章，否则视为不符合要求。</w:t>
      </w:r>
    </w:p>
    <w:p w14:paraId="2E0855B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.2产品认证：须经过国家CCC或CQC认证等国内、国际知名机构的认证。</w:t>
      </w:r>
    </w:p>
    <w:p w14:paraId="2286CE4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.3 LED灯具芯片应提供包含芯片光效、芯片寿命的质量认证或检测报告。</w:t>
      </w:r>
    </w:p>
    <w:p w14:paraId="1664B4B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.4安装方式：采用立杆式与挂壁式安装，以能够适应工作现场的照明需要。户外安装时，距地面垂直高度约2.5～4米。</w:t>
      </w:r>
    </w:p>
    <w:p w14:paraId="1169AEC2">
      <w:pPr>
        <w:widowControl w:val="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.5</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应保证按照ISO9000系列标准或相应的质量管理和质量保证体系，对所供设备的选型、工厂监造和检验、运输、仓储、成品保护、检测、初验、试运行、最终验收等各个环节进行严格的质量管理和质量控制。</w:t>
      </w:r>
    </w:p>
    <w:p w14:paraId="4608C679">
      <w:pPr>
        <w:widowControl w:val="0"/>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.6灯具及其附件的连接螺栓应采用不锈钢304材质，灯具螺纹口径为20mm。在腐</w:t>
      </w:r>
      <w:r>
        <w:rPr>
          <w:rFonts w:hint="eastAsia" w:ascii="宋体" w:hAnsi="宋体" w:eastAsia="宋体" w:cs="宋体"/>
          <w:b w:val="0"/>
          <w:sz w:val="24"/>
          <w:szCs w:val="24"/>
          <w:highlight w:val="none"/>
        </w:rPr>
        <w:t>蚀环境下，灯具及其附件应满足国家规范要求。</w:t>
      </w:r>
    </w:p>
    <w:p w14:paraId="51EDD48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灯具应出具使用说明书和合格证。</w:t>
      </w:r>
    </w:p>
    <w:p w14:paraId="2320208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highlight w:val="none"/>
        </w:rPr>
        <w:t>4.</w:t>
      </w:r>
      <w:r>
        <w:rPr>
          <w:rFonts w:hint="eastAsia" w:ascii="宋体" w:hAnsi="宋体"/>
          <w:highlight w:val="none"/>
          <w:lang w:val="en-US" w:eastAsia="zh-CN"/>
        </w:rPr>
        <w:t>5</w:t>
      </w:r>
      <w:r>
        <w:rPr>
          <w:rFonts w:hint="eastAsia" w:ascii="宋体" w:hAnsi="宋体"/>
          <w:highlight w:val="none"/>
        </w:rPr>
        <w:t>.</w:t>
      </w:r>
      <w:r>
        <w:rPr>
          <w:rFonts w:hint="eastAsia" w:ascii="宋体" w:hAnsi="宋体"/>
          <w:highlight w:val="none"/>
          <w:lang w:val="en-US" w:eastAsia="zh-CN"/>
        </w:rPr>
        <w:t>7</w:t>
      </w:r>
      <w:r>
        <w:rPr>
          <w:rFonts w:hint="eastAsia" w:ascii="宋体" w:hAnsi="宋体"/>
          <w:highlight w:val="none"/>
        </w:rPr>
        <w:t>灯具外壳需与PE线相连。</w:t>
      </w:r>
    </w:p>
    <w:p w14:paraId="459FB0C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b/>
          <w:bCs/>
          <w:szCs w:val="24"/>
          <w:highlight w:val="none"/>
        </w:rPr>
        <w:t>4.6 其他要求</w:t>
      </w:r>
    </w:p>
    <w:p w14:paraId="3DC8EC1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应提供需要更换的零部件的名称及清单。</w:t>
      </w:r>
    </w:p>
    <w:p w14:paraId="46C7A5F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.2 </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应指明需要更换的零部件的预期使用寿命，以及安装、启动、连续运转和维修时推荐的备品备件最少数量清单。</w:t>
      </w:r>
    </w:p>
    <w:p w14:paraId="76428B4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应提供设备安装、启动、运行维修及设备附件所需的独特专用工具。</w:t>
      </w:r>
    </w:p>
    <w:p w14:paraId="2957332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w:t>
      </w:r>
      <w:r>
        <w:rPr>
          <w:rFonts w:hint="eastAsia" w:ascii="宋体" w:hAnsi="宋体" w:cs="宋体"/>
          <w:b/>
          <w:bCs/>
          <w:sz w:val="24"/>
          <w:szCs w:val="24"/>
          <w:highlight w:val="none"/>
          <w:lang w:val="en-US" w:eastAsia="zh-CN"/>
        </w:rPr>
        <w:t>7</w:t>
      </w:r>
      <w:r>
        <w:rPr>
          <w:rFonts w:hint="eastAsia" w:ascii="宋体" w:hAnsi="宋体" w:eastAsia="宋体" w:cs="宋体"/>
          <w:b/>
          <w:bCs/>
          <w:sz w:val="24"/>
          <w:szCs w:val="24"/>
          <w:highlight w:val="none"/>
        </w:rPr>
        <w:t xml:space="preserve"> 标准</w:t>
      </w:r>
    </w:p>
    <w:p w14:paraId="3F81F6A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.1 招标设备包括</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向其他厂商购买的所有附件和设备，这些附件和设备应符合相应的标准规范或法规的最新版本或其修正本的要求，除非另有特别说明，应包括投标期内有效的任何修正和补充。</w:t>
      </w:r>
    </w:p>
    <w:p w14:paraId="55E91E5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.2 除非另有规定，均应遵守最新的国家标准（GB）、国际电工委员会（IEC）标准以及国际单位制（SI）标准。如采用合资或合作产品，还应遵守合作方国家标准，当上述标准不一致时按高标准执行。</w:t>
      </w:r>
    </w:p>
    <w:p w14:paraId="61479BF3">
      <w:pPr>
        <w:snapToGrid w:val="0"/>
        <w:spacing w:line="360" w:lineRule="auto"/>
        <w:ind w:firstLine="0" w:firstLineChars="0"/>
        <w:rPr>
          <w:rFonts w:hint="eastAsia" w:ascii="宋体" w:hAnsi="宋体" w:eastAsia="宋体" w:cs="宋体"/>
          <w:kern w:val="0"/>
          <w:highlight w:val="none"/>
          <w:lang w:eastAsia="zh-CN"/>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 xml:space="preserve">.3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提供的设备和配套件应符合以下标准，但不限于以下标准：</w:t>
      </w:r>
      <w:r>
        <w:rPr>
          <w:rFonts w:hint="eastAsia" w:ascii="宋体" w:hAnsi="宋体" w:cs="宋体"/>
          <w:kern w:val="0"/>
          <w:highlight w:val="none"/>
          <w:lang w:eastAsia="zh-CN"/>
        </w:rPr>
        <w:t>GB</w:t>
      </w:r>
      <w:r>
        <w:rPr>
          <w:rFonts w:hint="eastAsia" w:ascii="宋体" w:hAnsi="宋体" w:cs="宋体"/>
          <w:kern w:val="0"/>
          <w:highlight w:val="none"/>
          <w:lang w:val="en-US" w:eastAsia="zh-CN"/>
        </w:rPr>
        <w:t>/T</w:t>
      </w:r>
      <w:r>
        <w:rPr>
          <w:rFonts w:ascii="宋体" w:hAnsi="宋体" w:cs="宋体"/>
          <w:kern w:val="0"/>
          <w:highlight w:val="none"/>
        </w:rPr>
        <w:t xml:space="preserve"> 7000.1</w:t>
      </w:r>
      <w:r>
        <w:rPr>
          <w:rFonts w:hint="eastAsia" w:ascii="宋体" w:hAnsi="宋体" w:cs="宋体"/>
          <w:kern w:val="0"/>
          <w:highlight w:val="none"/>
        </w:rPr>
        <w:t>/IEC 60598-1</w:t>
      </w:r>
      <w:r>
        <w:rPr>
          <w:rFonts w:ascii="宋体" w:hAnsi="宋体" w:cs="宋体"/>
          <w:kern w:val="0"/>
          <w:highlight w:val="none"/>
        </w:rPr>
        <w:t>《灯具第</w:t>
      </w:r>
      <w:r>
        <w:rPr>
          <w:rFonts w:hint="eastAsia" w:ascii="宋体" w:hAnsi="宋体" w:cs="宋体"/>
          <w:kern w:val="0"/>
          <w:highlight w:val="none"/>
          <w:lang w:val="en-US" w:eastAsia="zh-CN"/>
        </w:rPr>
        <w:t>1</w:t>
      </w:r>
      <w:r>
        <w:rPr>
          <w:rFonts w:ascii="宋体" w:hAnsi="宋体" w:cs="宋体"/>
          <w:kern w:val="0"/>
          <w:highlight w:val="none"/>
        </w:rPr>
        <w:t>部分</w:t>
      </w:r>
      <w:r>
        <w:rPr>
          <w:rFonts w:hint="eastAsia" w:ascii="宋体" w:hAnsi="宋体" w:cs="宋体"/>
          <w:kern w:val="0"/>
          <w:highlight w:val="none"/>
          <w:lang w:eastAsia="zh-CN"/>
        </w:rPr>
        <w:t>：</w:t>
      </w:r>
      <w:r>
        <w:rPr>
          <w:rFonts w:ascii="宋体" w:hAnsi="宋体" w:cs="宋体"/>
          <w:kern w:val="0"/>
          <w:highlight w:val="none"/>
        </w:rPr>
        <w:t>一般要求与试验》</w:t>
      </w:r>
      <w:r>
        <w:rPr>
          <w:rFonts w:hint="eastAsia" w:ascii="宋体" w:hAnsi="宋体" w:cs="宋体"/>
          <w:kern w:val="0"/>
          <w:highlight w:val="none"/>
          <w:lang w:val="en-US" w:eastAsia="zh-CN"/>
        </w:rPr>
        <w:t>、</w:t>
      </w:r>
      <w:r>
        <w:rPr>
          <w:rFonts w:ascii="宋体" w:hAnsi="宋体" w:cs="宋体"/>
          <w:kern w:val="0"/>
          <w:highlight w:val="none"/>
        </w:rPr>
        <w:t>GB/</w:t>
      </w:r>
      <w:r>
        <w:rPr>
          <w:rFonts w:hint="eastAsia" w:ascii="宋体" w:hAnsi="宋体" w:cs="宋体"/>
          <w:kern w:val="0"/>
          <w:highlight w:val="none"/>
          <w:lang w:eastAsia="zh-CN"/>
        </w:rPr>
        <w:t>T 24823</w:t>
      </w:r>
      <w:r>
        <w:rPr>
          <w:rFonts w:hint="eastAsia" w:ascii="宋体" w:hAnsi="宋体" w:cs="宋体"/>
          <w:kern w:val="0"/>
          <w:highlight w:val="none"/>
        </w:rPr>
        <w:t>/IEC 62717</w:t>
      </w:r>
      <w:r>
        <w:rPr>
          <w:rFonts w:ascii="宋体" w:hAnsi="宋体" w:cs="宋体"/>
          <w:kern w:val="0"/>
          <w:highlight w:val="none"/>
        </w:rPr>
        <w:t>《普通照明用LED模块性能要求》</w:t>
      </w:r>
      <w:r>
        <w:rPr>
          <w:rFonts w:hint="eastAsia" w:ascii="宋体" w:hAnsi="宋体" w:cs="宋体"/>
          <w:kern w:val="0"/>
          <w:highlight w:val="none"/>
          <w:lang w:eastAsia="zh-CN"/>
        </w:rPr>
        <w:t>。</w:t>
      </w:r>
    </w:p>
    <w:p w14:paraId="103E204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.4 上述法则和标准提出了最基本要求，如果根据</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的意见并经用户接受，采用优于或更为经济的设计或材料，且能使</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设备良好地、连续地在本规范所规定的条件下运行，则这些标准也可由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超越。</w:t>
      </w:r>
    </w:p>
    <w:p w14:paraId="43FF91C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.5 当标准、规范之间出现矛盾时，</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应将矛盾情况在投标文件中明确说明，并提交</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，以便在合同签订前协商确定统一执行标准；未经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书面确认，</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不得擅自选择执行标准，否则视为违约。</w:t>
      </w:r>
    </w:p>
    <w:p w14:paraId="5E2D0800">
      <w:pPr>
        <w:widowControl w:val="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.6 出厂验收及试验：每套产品出厂前必须进行出厂试验，并应具有出厂试验合格证书。</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对</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提供的全部产品，进行现场验收试验。</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在现场验收试验期间，损坏的元器件</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无偿补供。检查成套设备，包括查线、直观检查外观、防护等级等，必要时进行通电操作试验。</w:t>
      </w:r>
    </w:p>
    <w:p w14:paraId="6024ED52">
      <w:pPr>
        <w:kinsoku/>
        <w:wordWrap/>
        <w:overflowPunct/>
        <w:topLinePunct w:val="0"/>
        <w:autoSpaceDE/>
        <w:autoSpaceDN/>
        <w:bidi w:val="0"/>
        <w:adjustRightInd/>
        <w:spacing w:line="50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.7 培训：</w:t>
      </w:r>
      <w:r>
        <w:rPr>
          <w:rFonts w:hint="eastAsia" w:hAnsi="宋体"/>
          <w:highlight w:val="none"/>
        </w:rPr>
        <w:t>为使供货设备能正常安装、调试、运行、维护及检修，</w:t>
      </w:r>
      <w:r>
        <w:rPr>
          <w:rFonts w:hint="eastAsia" w:hAnsi="宋体"/>
          <w:highlight w:val="none"/>
          <w:lang w:eastAsia="zh-CN"/>
        </w:rPr>
        <w:t>投标人</w:t>
      </w:r>
      <w:r>
        <w:rPr>
          <w:rFonts w:hint="eastAsia" w:hAnsi="宋体"/>
          <w:highlight w:val="none"/>
        </w:rPr>
        <w:t xml:space="preserve">有责任提供相应的技术培训。 </w:t>
      </w:r>
    </w:p>
    <w:p w14:paraId="1FC9884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w:t>
      </w:r>
      <w:r>
        <w:rPr>
          <w:rFonts w:hint="eastAsia" w:ascii="宋体" w:hAnsi="宋体" w:cs="宋体"/>
          <w:b/>
          <w:bCs/>
          <w:sz w:val="24"/>
          <w:szCs w:val="24"/>
          <w:highlight w:val="none"/>
          <w:lang w:val="en-US" w:eastAsia="zh-CN"/>
        </w:rPr>
        <w:t>8</w:t>
      </w:r>
      <w:r>
        <w:rPr>
          <w:rFonts w:hint="eastAsia" w:ascii="宋体" w:hAnsi="宋体" w:eastAsia="宋体" w:cs="宋体"/>
          <w:b/>
          <w:bCs/>
          <w:sz w:val="24"/>
          <w:szCs w:val="24"/>
          <w:highlight w:val="none"/>
        </w:rPr>
        <w:t xml:space="preserve"> 安全调试要求</w:t>
      </w:r>
    </w:p>
    <w:p w14:paraId="4C6CDE5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 xml:space="preserve">.1 </w:t>
      </w:r>
      <w:r>
        <w:rPr>
          <w:rFonts w:hint="eastAsia" w:hAnsi="宋体"/>
          <w:highlight w:val="none"/>
          <w:lang w:eastAsia="zh-CN"/>
        </w:rPr>
        <w:t>投标人</w:t>
      </w:r>
      <w:r>
        <w:rPr>
          <w:rFonts w:hint="eastAsia" w:hAnsi="宋体"/>
          <w:highlight w:val="none"/>
        </w:rPr>
        <w:t>提供的全部产品</w:t>
      </w:r>
      <w:r>
        <w:rPr>
          <w:rFonts w:hint="eastAsia" w:ascii="宋体" w:hAnsi="宋体" w:eastAsia="宋体" w:cs="宋体"/>
          <w:sz w:val="24"/>
          <w:szCs w:val="24"/>
          <w:highlight w:val="none"/>
        </w:rPr>
        <w:t>要求在制造厂内验收合格后发运到现场。</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应在投标书中说明供货到现场的模块状态。</w:t>
      </w:r>
    </w:p>
    <w:p w14:paraId="2772A8A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trike w:val="0"/>
          <w:sz w:val="24"/>
          <w:szCs w:val="24"/>
          <w:highlight w:val="none"/>
        </w:rPr>
        <w:t>4.</w:t>
      </w:r>
      <w:r>
        <w:rPr>
          <w:rFonts w:hint="eastAsia" w:ascii="宋体" w:hAnsi="宋体" w:cs="宋体"/>
          <w:strike w:val="0"/>
          <w:sz w:val="24"/>
          <w:szCs w:val="24"/>
          <w:highlight w:val="none"/>
          <w:lang w:val="en-US" w:eastAsia="zh-CN"/>
        </w:rPr>
        <w:t>8</w:t>
      </w:r>
      <w:r>
        <w:rPr>
          <w:rFonts w:hint="eastAsia" w:ascii="宋体" w:hAnsi="宋体" w:eastAsia="宋体" w:cs="宋体"/>
          <w:strike w:val="0"/>
          <w:sz w:val="24"/>
          <w:szCs w:val="24"/>
          <w:highlight w:val="none"/>
        </w:rPr>
        <w:t xml:space="preserve">.2 </w:t>
      </w:r>
      <w:r>
        <w:rPr>
          <w:rFonts w:hint="eastAsia" w:ascii="宋体" w:hAnsi="宋体" w:eastAsia="宋体" w:cs="宋体"/>
          <w:sz w:val="24"/>
          <w:szCs w:val="24"/>
          <w:highlight w:val="none"/>
        </w:rPr>
        <w:t>设备及构架油漆的材质、工序、厚度、颜色应符合设计要求，色泽应一致、均匀，无流痕、皱纹，无气泡、脱落、返锈、污染。标识应醒目、统一，符合规范；标牌应齐全、统一，字迹清晰，系挂牢固，无污染。罩壳应表面平整，无损坏。</w:t>
      </w:r>
    </w:p>
    <w:p w14:paraId="73A35B9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 设备监造、检验和性能验收试验</w:t>
      </w:r>
    </w:p>
    <w:p w14:paraId="3B13CC5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见附件5：设备监造、检验和性能验收试验。</w:t>
      </w:r>
    </w:p>
    <w:p w14:paraId="46A0C2F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6 设计与供货界限及接口规则</w:t>
      </w:r>
    </w:p>
    <w:p w14:paraId="3E89A25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 设计界限</w:t>
      </w:r>
    </w:p>
    <w:p w14:paraId="751664B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负责热电装置区照明节能改造</w:t>
      </w:r>
      <w:r>
        <w:rPr>
          <w:rFonts w:hint="eastAsia" w:ascii="宋体" w:hAnsi="宋体" w:cs="宋体"/>
          <w:sz w:val="24"/>
          <w:szCs w:val="24"/>
          <w:highlight w:val="none"/>
          <w:lang w:val="en-US" w:eastAsia="zh-CN"/>
        </w:rPr>
        <w:t>项目</w:t>
      </w:r>
      <w:r>
        <w:rPr>
          <w:rFonts w:hint="eastAsia" w:ascii="宋体" w:hAnsi="宋体" w:eastAsia="宋体" w:cs="宋体"/>
          <w:sz w:val="24"/>
          <w:szCs w:val="24"/>
          <w:highlight w:val="none"/>
        </w:rPr>
        <w:t>灯具选型及参数匹配，确认灯具与原有安装尺寸、接线方式兼容，不改变原有照明回路、接线及供电系统。</w:t>
      </w:r>
    </w:p>
    <w:p w14:paraId="73A223C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 供货界限</w:t>
      </w:r>
    </w:p>
    <w:p w14:paraId="25B7AC2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提供适配220V供电的灯具及安装附件，</w:t>
      </w:r>
      <w:r>
        <w:rPr>
          <w:rFonts w:hint="eastAsia" w:ascii="宋体" w:hAnsi="宋体" w:cs="宋体"/>
          <w:sz w:val="24"/>
          <w:szCs w:val="24"/>
          <w:highlight w:val="none"/>
          <w:lang w:val="en-US" w:eastAsia="zh-CN"/>
        </w:rPr>
        <w:t>应</w:t>
      </w:r>
      <w:r>
        <w:rPr>
          <w:rFonts w:hint="eastAsia" w:ascii="宋体" w:hAnsi="宋体" w:eastAsia="宋体" w:cs="宋体"/>
          <w:sz w:val="24"/>
          <w:szCs w:val="24"/>
          <w:highlight w:val="none"/>
        </w:rPr>
        <w:t>满足原有安装</w:t>
      </w:r>
      <w:r>
        <w:rPr>
          <w:rFonts w:hint="eastAsia" w:ascii="宋体" w:hAnsi="宋体" w:cs="宋体"/>
          <w:sz w:val="24"/>
          <w:szCs w:val="24"/>
          <w:highlight w:val="none"/>
          <w:lang w:val="en-US" w:eastAsia="zh-CN"/>
        </w:rPr>
        <w:t>方式</w:t>
      </w:r>
      <w:r>
        <w:rPr>
          <w:rFonts w:hint="eastAsia" w:ascii="宋体" w:hAnsi="宋体" w:eastAsia="宋体" w:cs="宋体"/>
          <w:sz w:val="24"/>
          <w:szCs w:val="24"/>
          <w:highlight w:val="none"/>
        </w:rPr>
        <w:t>、接线方式，直接替换即可使用</w:t>
      </w:r>
      <w:r>
        <w:rPr>
          <w:rFonts w:hint="eastAsia" w:ascii="宋体" w:hAnsi="宋体" w:cs="宋体"/>
          <w:sz w:val="24"/>
          <w:szCs w:val="24"/>
          <w:highlight w:val="none"/>
          <w:lang w:eastAsia="zh-CN"/>
        </w:rPr>
        <w:t>。</w:t>
      </w:r>
    </w:p>
    <w:p w14:paraId="144D60B4">
      <w:pPr>
        <w:kinsoku/>
        <w:wordWrap/>
        <w:overflowPunct/>
        <w:topLinePunct w:val="0"/>
        <w:autoSpaceDE/>
        <w:autoSpaceDN/>
        <w:bidi w:val="0"/>
        <w:adjustRightInd/>
        <w:spacing w:line="360" w:lineRule="auto"/>
        <w:ind w:left="0" w:firstLine="0" w:firstLineChars="0"/>
        <w:textAlignment w:val="auto"/>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6.3接口规则</w:t>
      </w:r>
    </w:p>
    <w:p w14:paraId="5241D04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6.3.1</w:t>
      </w:r>
      <w:r>
        <w:rPr>
          <w:rFonts w:hint="eastAsia" w:ascii="宋体" w:hAnsi="宋体" w:eastAsia="宋体" w:cs="宋体"/>
          <w:b w:val="0"/>
          <w:bCs w:val="0"/>
          <w:sz w:val="24"/>
          <w:szCs w:val="24"/>
          <w:highlight w:val="none"/>
          <w:lang w:val="en-US" w:eastAsia="zh-CN"/>
        </w:rPr>
        <w:t>《日常消缺物资明细表》中所列灯具，若</w:t>
      </w:r>
      <w:r>
        <w:rPr>
          <w:rFonts w:hint="eastAsia" w:ascii="宋体" w:hAnsi="宋体" w:cs="宋体"/>
          <w:b w:val="0"/>
          <w:bCs w:val="0"/>
          <w:sz w:val="24"/>
          <w:szCs w:val="24"/>
          <w:highlight w:val="none"/>
          <w:lang w:val="en-US" w:eastAsia="zh-CN"/>
        </w:rPr>
        <w:t>存在</w:t>
      </w:r>
      <w:r>
        <w:rPr>
          <w:rFonts w:hint="eastAsia" w:ascii="宋体" w:hAnsi="宋体" w:eastAsia="宋体" w:cs="宋体"/>
          <w:b w:val="0"/>
          <w:bCs w:val="0"/>
          <w:sz w:val="24"/>
          <w:szCs w:val="24"/>
          <w:highlight w:val="none"/>
          <w:lang w:val="en-US" w:eastAsia="zh-CN"/>
        </w:rPr>
        <w:t>型号已停产、或存在性能更优且能完美兼容现场安装的替代型号、或现有型号不满足现行标准规范，</w:t>
      </w:r>
      <w:r>
        <w:rPr>
          <w:rFonts w:hint="eastAsia" w:ascii="宋体" w:hAnsi="宋体" w:cs="宋体"/>
          <w:b w:val="0"/>
          <w:bCs w:val="0"/>
          <w:sz w:val="24"/>
          <w:szCs w:val="24"/>
          <w:highlight w:val="none"/>
          <w:lang w:val="en-US" w:eastAsia="zh-CN"/>
        </w:rPr>
        <w:t>投标人</w:t>
      </w:r>
      <w:r>
        <w:rPr>
          <w:rFonts w:hint="eastAsia" w:ascii="宋体" w:hAnsi="宋体" w:eastAsia="宋体" w:cs="宋体"/>
          <w:b w:val="0"/>
          <w:bCs w:val="0"/>
          <w:sz w:val="24"/>
          <w:szCs w:val="24"/>
          <w:highlight w:val="none"/>
          <w:lang w:val="en-US" w:eastAsia="zh-CN"/>
        </w:rPr>
        <w:t>可提出淘汰</w:t>
      </w:r>
      <w:r>
        <w:rPr>
          <w:rFonts w:hint="eastAsia" w:ascii="宋体" w:hAnsi="宋体" w:cs="宋体"/>
          <w:b w:val="0"/>
          <w:bCs w:val="0"/>
          <w:sz w:val="24"/>
          <w:szCs w:val="24"/>
          <w:highlight w:val="none"/>
          <w:lang w:val="en-US" w:eastAsia="zh-CN"/>
        </w:rPr>
        <w:t>及</w:t>
      </w:r>
      <w:r>
        <w:rPr>
          <w:rFonts w:hint="eastAsia" w:ascii="宋体" w:hAnsi="宋体" w:eastAsia="宋体" w:cs="宋体"/>
          <w:b w:val="0"/>
          <w:bCs w:val="0"/>
          <w:sz w:val="24"/>
          <w:szCs w:val="24"/>
          <w:highlight w:val="none"/>
          <w:lang w:val="en-US" w:eastAsia="zh-CN"/>
        </w:rPr>
        <w:t>替代方案供</w:t>
      </w:r>
      <w:r>
        <w:rPr>
          <w:rFonts w:hint="eastAsia" w:ascii="宋体" w:hAnsi="宋体" w:cs="宋体"/>
          <w:b w:val="0"/>
          <w:bCs w:val="0"/>
          <w:sz w:val="24"/>
          <w:szCs w:val="24"/>
          <w:highlight w:val="none"/>
          <w:lang w:val="en-US" w:eastAsia="zh-CN"/>
        </w:rPr>
        <w:t>招标人</w:t>
      </w:r>
      <w:r>
        <w:rPr>
          <w:rFonts w:hint="eastAsia" w:ascii="宋体" w:hAnsi="宋体" w:eastAsia="宋体" w:cs="宋体"/>
          <w:b w:val="0"/>
          <w:bCs w:val="0"/>
          <w:sz w:val="24"/>
          <w:szCs w:val="24"/>
          <w:highlight w:val="none"/>
          <w:lang w:val="en-US" w:eastAsia="zh-CN"/>
        </w:rPr>
        <w:t>选择，并承诺不因此增加任何费用。</w:t>
      </w:r>
    </w:p>
    <w:p w14:paraId="1DA72259">
      <w:pPr>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b w:val="0"/>
          <w:sz w:val="24"/>
          <w:szCs w:val="24"/>
          <w:highlight w:val="none"/>
          <w:lang w:val="en-US" w:eastAsia="zh-CN"/>
        </w:rPr>
      </w:pPr>
      <w:r>
        <w:rPr>
          <w:rFonts w:hint="eastAsia" w:ascii="宋体" w:hAnsi="宋体" w:cs="宋体"/>
          <w:sz w:val="24"/>
          <w:szCs w:val="24"/>
          <w:highlight w:val="none"/>
          <w:lang w:val="en-US" w:eastAsia="zh-CN"/>
        </w:rPr>
        <w:t>6.3.2</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应在</w:t>
      </w:r>
      <w:r>
        <w:rPr>
          <w:rFonts w:hint="eastAsia" w:ascii="宋体" w:hAnsi="宋体" w:eastAsia="宋体" w:cs="宋体"/>
          <w:b w:val="0"/>
          <w:sz w:val="24"/>
          <w:szCs w:val="24"/>
          <w:highlight w:val="none"/>
          <w:lang w:val="en-US" w:eastAsia="zh-CN"/>
        </w:rPr>
        <w:t>投标</w:t>
      </w:r>
      <w:r>
        <w:rPr>
          <w:rFonts w:hint="eastAsia" w:ascii="宋体" w:hAnsi="宋体" w:eastAsia="宋体" w:cs="宋体"/>
          <w:b w:val="0"/>
          <w:sz w:val="24"/>
          <w:szCs w:val="24"/>
          <w:highlight w:val="none"/>
        </w:rPr>
        <w:t>前至工程现场进行实地勘察，勘察结果作为后续投标、制造、供货的依据</w:t>
      </w:r>
      <w:r>
        <w:rPr>
          <w:rFonts w:hint="eastAsia" w:ascii="宋体" w:hAnsi="宋体" w:eastAsia="宋体" w:cs="宋体"/>
          <w:b w:val="0"/>
          <w:sz w:val="24"/>
          <w:szCs w:val="24"/>
          <w:highlight w:val="none"/>
          <w:lang w:eastAsia="zh-CN"/>
        </w:rPr>
        <w:t>，</w:t>
      </w:r>
      <w:r>
        <w:rPr>
          <w:rFonts w:hint="eastAsia" w:ascii="宋体" w:hAnsi="宋体" w:eastAsia="宋体" w:cs="宋体"/>
          <w:b w:val="0"/>
          <w:sz w:val="24"/>
          <w:szCs w:val="24"/>
          <w:highlight w:val="none"/>
          <w:lang w:val="en-US" w:eastAsia="zh-CN"/>
        </w:rPr>
        <w:t>确认安装附件适配性。</w:t>
      </w:r>
    </w:p>
    <w:p w14:paraId="0CBE1537">
      <w:pPr>
        <w:kinsoku/>
        <w:wordWrap/>
        <w:overflowPunct/>
        <w:topLinePunct w:val="0"/>
        <w:autoSpaceDE/>
        <w:autoSpaceDN/>
        <w:bidi w:val="0"/>
        <w:adjustRightInd/>
        <w:spacing w:line="360" w:lineRule="auto"/>
        <w:ind w:left="0" w:firstLine="0" w:firstLineChars="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6.3.3热电装置区照明节能改造项目中，所有安装附件以距离灯具最近的照明接线盒（或原金卤灯接线端子）为接口基准。投标人须提供从该接口至灯具所需的全部安装附件（指因与现场安装条件不适配而必需的附件），并在投标文件中明确其规格。同时，投标人应根据招标人实际需求，足量提供满足工程所需数量、种类及安装兼容性的全部附件，且不得因此增加任何额外费用。</w:t>
      </w:r>
    </w:p>
    <w:p w14:paraId="18A7262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7 清洁、油漆、包装、装卸、运输与储存</w:t>
      </w:r>
    </w:p>
    <w:p w14:paraId="54AB49A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 清洁和油漆</w:t>
      </w:r>
    </w:p>
    <w:p w14:paraId="54B9531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组装前应从每个零部件内部清除全部加工垃圾，如金属切屑、填充物等，应从内外表面清除所有轧屑、锈皮油脂等。油漆颜色由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提供色标，</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确认。油漆应选用国内较先进的漆种，并能适应当地环境条件。</w:t>
      </w:r>
    </w:p>
    <w:p w14:paraId="605E715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 包装、运输</w:t>
      </w:r>
    </w:p>
    <w:p w14:paraId="1393671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7.2.1 产品制造完成并通过试验后应及时包装，否则应得到切实的保护，并符合铁路、公路和海运部门的有关规定。</w:t>
      </w:r>
    </w:p>
    <w:p w14:paraId="41868E0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7.2.2 包装箱上应有明显的包装储运图示标志，并应标明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的订货号和发货号。</w:t>
      </w:r>
    </w:p>
    <w:p w14:paraId="783E6DC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7.2.3 产品在运输过程中，使内部结构相互位置不变，紧固件不松动。</w:t>
      </w:r>
    </w:p>
    <w:p w14:paraId="394D871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7.2.4 运输时产品的所有组件、部件及备品备件、专用工具等不丢失、不损坏、不受潮和不腐蚀。</w:t>
      </w:r>
    </w:p>
    <w:p w14:paraId="2340FA3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7.2.5 设备标志</w:t>
      </w:r>
    </w:p>
    <w:p w14:paraId="05F9916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每台设备都有固定不锈钢铭牌，铭牌应耐腐蚀，并安装在照明灯具明显的位置上。铭牌至少包括下列内容：设备制造厂名称、制造年月、制造厂产品编号、制造许可证编号、电厂标识系统编码、设备型号等信息。</w:t>
      </w:r>
    </w:p>
    <w:p w14:paraId="7FF10C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（2）重要部件根据图纸规定，在一定位置上标有装配编号，使用材料和检验合格的标志。</w:t>
      </w:r>
    </w:p>
    <w:p w14:paraId="17969E53">
      <w:pPr>
        <w:widowControl w:val="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7.2.6 包装标志</w:t>
      </w:r>
    </w:p>
    <w:p w14:paraId="33514694">
      <w:pPr>
        <w:widowControl w:val="0"/>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（1）投标人供给的设备（无论装在箱内或成捆的散件）的包装，都贴有标明合同号、主要设备名称、部件名称和组装图上的部件位置号的标签，备品备件和专用工具还应标明“备品配件”和“工具”的字样。</w:t>
      </w:r>
    </w:p>
    <w:p w14:paraId="098F05CE">
      <w:pPr>
        <w:kinsoku/>
        <w:wordWrap/>
        <w:overflowPunct/>
        <w:topLinePunct w:val="0"/>
        <w:autoSpaceDE/>
        <w:autoSpaceDN/>
        <w:bidi w:val="0"/>
        <w:adjustRightInd/>
        <w:spacing w:line="360" w:lineRule="auto"/>
        <w:ind w:left="0" w:firstLine="0" w:firstLineChars="0"/>
        <w:textAlignment w:val="auto"/>
        <w:rPr>
          <w:rFonts w:hint="eastAsia" w:ascii="宋体" w:hAnsi="宋体" w:cs="宋体"/>
          <w:szCs w:val="24"/>
          <w:highlight w:val="none"/>
        </w:rPr>
      </w:pPr>
      <w:r>
        <w:rPr>
          <w:rFonts w:hint="eastAsia" w:ascii="宋体" w:hAnsi="宋体" w:eastAsia="宋体" w:cs="宋体"/>
          <w:sz w:val="24"/>
          <w:szCs w:val="24"/>
          <w:highlight w:val="none"/>
        </w:rPr>
        <w:t>（2）</w:t>
      </w:r>
      <w:r>
        <w:rPr>
          <w:rFonts w:hint="eastAsia" w:ascii="宋体" w:hAnsi="宋体" w:cs="宋体"/>
          <w:szCs w:val="24"/>
          <w:highlight w:val="none"/>
        </w:rPr>
        <w:t>对装箱供给的设备，</w:t>
      </w:r>
      <w:r>
        <w:rPr>
          <w:rFonts w:hint="eastAsia" w:ascii="宋体" w:hAnsi="宋体" w:cs="宋体"/>
          <w:szCs w:val="24"/>
          <w:highlight w:val="none"/>
          <w:lang w:eastAsia="zh-CN"/>
        </w:rPr>
        <w:t>投标人</w:t>
      </w:r>
      <w:r>
        <w:rPr>
          <w:rFonts w:hint="eastAsia" w:ascii="宋体" w:hAnsi="宋体" w:cs="宋体"/>
          <w:szCs w:val="24"/>
          <w:highlight w:val="none"/>
        </w:rPr>
        <w:t>在每个箱子的两面用油漆写下如下内容：</w:t>
      </w:r>
    </w:p>
    <w:p w14:paraId="69109180">
      <w:pPr>
        <w:kinsoku/>
        <w:wordWrap/>
        <w:overflowPunct/>
        <w:topLinePunct w:val="0"/>
        <w:autoSpaceDE/>
        <w:autoSpaceDN/>
        <w:bidi w:val="0"/>
        <w:adjustRightInd/>
        <w:spacing w:line="360" w:lineRule="auto"/>
        <w:ind w:left="0" w:firstLine="0" w:firstLineChars="0"/>
        <w:textAlignment w:val="auto"/>
        <w:rPr>
          <w:rFonts w:hint="eastAsia" w:ascii="宋体" w:hAnsi="宋体" w:cs="宋体"/>
          <w:szCs w:val="24"/>
          <w:highlight w:val="none"/>
        </w:rPr>
      </w:pPr>
      <w:r>
        <w:rPr>
          <w:rFonts w:hint="eastAsia" w:ascii="宋体" w:hAnsi="宋体" w:cs="宋体"/>
          <w:szCs w:val="24"/>
          <w:highlight w:val="none"/>
        </w:rPr>
        <w:t>合同号、装运标志、目的港、收货人代码、设备名称和项目号（箱号、箱的序号设备总件数）、毛重、净重、外形尺寸、长          宽          高         。</w:t>
      </w:r>
    </w:p>
    <w:p w14:paraId="49636580">
      <w:pPr>
        <w:kinsoku/>
        <w:wordWrap/>
        <w:overflowPunct/>
        <w:topLinePunct w:val="0"/>
        <w:autoSpaceDE/>
        <w:autoSpaceDN/>
        <w:bidi w:val="0"/>
        <w:adjustRightInd/>
        <w:spacing w:line="360" w:lineRule="auto"/>
        <w:ind w:left="0" w:firstLine="0" w:firstLineChars="0"/>
        <w:textAlignment w:val="auto"/>
        <w:rPr>
          <w:rFonts w:hint="eastAsia" w:ascii="宋体" w:hAnsi="宋体" w:cs="宋体"/>
          <w:szCs w:val="24"/>
          <w:highlight w:val="none"/>
        </w:rPr>
      </w:pPr>
      <w:r>
        <w:rPr>
          <w:rFonts w:hint="eastAsia" w:ascii="宋体" w:hAnsi="宋体" w:cs="宋体"/>
          <w:szCs w:val="24"/>
          <w:highlight w:val="none"/>
        </w:rPr>
        <w:t>按照设备各特性和不同的运输及装卸要求，在箱上明显位置标上“小心”、“向上”、“防潮”、“勿倒”等通用标志，并符合GB191和GB6388的规定。</w:t>
      </w:r>
    </w:p>
    <w:p w14:paraId="420DC70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Cs w:val="24"/>
          <w:highlight w:val="none"/>
        </w:rPr>
        <w:t>包装箱连续编号，而且在全部装运的过程中，装箱编号的顺序始终是连贯的。</w:t>
      </w:r>
    </w:p>
    <w:p w14:paraId="1119EFA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）对超大、超重货物标注吊钩、重心和支点的位置。</w:t>
      </w:r>
    </w:p>
    <w:p w14:paraId="35FBAEE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）货运标志符合国际物运协定规定。</w:t>
      </w:r>
    </w:p>
    <w:p w14:paraId="01E0B0E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）包装箱上必须附有电厂标识系统编码（至部套）。</w:t>
      </w:r>
    </w:p>
    <w:p w14:paraId="4EB9E57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7.3 运输与储存</w:t>
      </w:r>
    </w:p>
    <w:p w14:paraId="56711FB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大部件尺寸表格见附件9；储存要求参见国家有关标准。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在投标时提供包装标准及示意图。</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应保证提供设备的包装至少满足现场露天存放6个月的要求。</w:t>
      </w:r>
    </w:p>
    <w:p w14:paraId="33B13D9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8 技术数据表</w:t>
      </w:r>
    </w:p>
    <w:p w14:paraId="4B7857E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 照明灯具技术数据表（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填写，</w:t>
      </w:r>
      <w:r>
        <w:rPr>
          <w:rFonts w:hint="eastAsia" w:ascii="宋体" w:hAnsi="宋体" w:cs="宋体"/>
          <w:sz w:val="24"/>
          <w:szCs w:val="24"/>
          <w:highlight w:val="none"/>
          <w:lang w:val="en-US" w:eastAsia="zh-CN"/>
        </w:rPr>
        <w:t>每类灯具一个表格，</w:t>
      </w:r>
      <w:r>
        <w:rPr>
          <w:rFonts w:hint="eastAsia" w:ascii="宋体" w:hAnsi="宋体" w:eastAsia="宋体" w:cs="宋体"/>
          <w:sz w:val="24"/>
          <w:szCs w:val="24"/>
          <w:highlight w:val="none"/>
        </w:rPr>
        <w:t>可不仅限于此）</w:t>
      </w:r>
    </w:p>
    <w:p w14:paraId="29B44501">
      <w:pPr>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eastAsia="zh-CN"/>
        </w:rPr>
        <w:t>表１　</w:t>
      </w:r>
      <w:r>
        <w:rPr>
          <w:rFonts w:hint="default" w:ascii="宋体" w:hAnsi="宋体" w:cs="宋体"/>
          <w:sz w:val="24"/>
          <w:szCs w:val="24"/>
          <w:highlight w:val="none"/>
          <w:lang w:val="en-US" w:eastAsia="zh-CN"/>
        </w:rPr>
        <w:t>LED</w:t>
      </w:r>
      <w:r>
        <w:rPr>
          <w:rFonts w:hint="eastAsia" w:ascii="宋体" w:hAnsi="宋体" w:cs="宋体"/>
          <w:sz w:val="24"/>
          <w:szCs w:val="24"/>
          <w:highlight w:val="none"/>
          <w:lang w:val="en-US" w:eastAsia="zh-CN"/>
        </w:rPr>
        <w:t>灯具技术参数相应表</w:t>
      </w:r>
    </w:p>
    <w:tbl>
      <w:tblPr>
        <w:tblStyle w:val="14"/>
        <w:tblW w:w="44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87"/>
        <w:gridCol w:w="1026"/>
        <w:gridCol w:w="21"/>
        <w:gridCol w:w="1283"/>
        <w:gridCol w:w="35"/>
        <w:gridCol w:w="2677"/>
        <w:gridCol w:w="1661"/>
      </w:tblGrid>
      <w:tr w14:paraId="595E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shd w:val="clear" w:color="auto" w:fill="F0F0F0"/>
            <w:tcMar>
              <w:top w:w="80" w:type="dxa"/>
              <w:left w:w="80" w:type="dxa"/>
              <w:bottom w:w="80" w:type="dxa"/>
              <w:right w:w="80" w:type="dxa"/>
            </w:tcMar>
            <w:vAlign w:val="center"/>
          </w:tcPr>
          <w:p w14:paraId="1E2A1790">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灯具类型</w:t>
            </w:r>
          </w:p>
        </w:tc>
        <w:tc>
          <w:tcPr>
            <w:tcW w:w="650" w:type="pct"/>
            <w:shd w:val="clear" w:color="auto" w:fill="F0F0F0"/>
            <w:tcMar>
              <w:top w:w="80" w:type="dxa"/>
              <w:left w:w="80" w:type="dxa"/>
              <w:bottom w:w="80" w:type="dxa"/>
              <w:right w:w="80" w:type="dxa"/>
            </w:tcMar>
            <w:vAlign w:val="center"/>
          </w:tcPr>
          <w:p w14:paraId="6A2D95F7">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序号</w:t>
            </w:r>
          </w:p>
        </w:tc>
        <w:tc>
          <w:tcPr>
            <w:tcW w:w="826" w:type="pct"/>
            <w:gridSpan w:val="2"/>
            <w:shd w:val="clear" w:color="auto" w:fill="F0F0F0"/>
            <w:tcMar>
              <w:top w:w="80" w:type="dxa"/>
              <w:left w:w="80" w:type="dxa"/>
              <w:bottom w:w="80" w:type="dxa"/>
              <w:right w:w="80" w:type="dxa"/>
            </w:tcMar>
            <w:vAlign w:val="center"/>
          </w:tcPr>
          <w:p w14:paraId="3B049C8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项目</w:t>
            </w:r>
          </w:p>
        </w:tc>
        <w:tc>
          <w:tcPr>
            <w:tcW w:w="1718" w:type="pct"/>
            <w:gridSpan w:val="2"/>
            <w:shd w:val="clear" w:color="auto" w:fill="F0F0F0"/>
            <w:tcMar>
              <w:top w:w="80" w:type="dxa"/>
              <w:left w:w="80" w:type="dxa"/>
              <w:bottom w:w="80" w:type="dxa"/>
              <w:right w:w="80" w:type="dxa"/>
            </w:tcMar>
            <w:vAlign w:val="center"/>
          </w:tcPr>
          <w:p w14:paraId="21ACE61A">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lang w:eastAsia="zh-CN"/>
              </w:rPr>
              <w:t>投标人</w:t>
            </w:r>
            <w:r>
              <w:rPr>
                <w:rFonts w:hint="eastAsia" w:asciiTheme="minorEastAsia" w:hAnsiTheme="minorEastAsia" w:eastAsiaTheme="minorEastAsia" w:cstheme="minorEastAsia"/>
                <w:b w:val="0"/>
                <w:sz w:val="18"/>
                <w:szCs w:val="18"/>
                <w:highlight w:val="none"/>
              </w:rPr>
              <w:t>响应/保证值</w:t>
            </w:r>
          </w:p>
        </w:tc>
        <w:tc>
          <w:tcPr>
            <w:tcW w:w="1052" w:type="pct"/>
            <w:shd w:val="clear" w:color="auto" w:fill="F0F0F0"/>
            <w:tcMar>
              <w:top w:w="80" w:type="dxa"/>
              <w:left w:w="80" w:type="dxa"/>
              <w:bottom w:w="80" w:type="dxa"/>
              <w:right w:w="80" w:type="dxa"/>
            </w:tcMar>
            <w:vAlign w:val="center"/>
          </w:tcPr>
          <w:p w14:paraId="7E84D65F">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备注/依据</w:t>
            </w:r>
          </w:p>
        </w:tc>
      </w:tr>
      <w:tr w14:paraId="40C1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restart"/>
            <w:tcMar>
              <w:top w:w="80" w:type="dxa"/>
              <w:left w:w="80" w:type="dxa"/>
              <w:bottom w:w="80" w:type="dxa"/>
              <w:right w:w="80" w:type="dxa"/>
            </w:tcMar>
            <w:vAlign w:val="center"/>
          </w:tcPr>
          <w:p w14:paraId="65B0301F">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普通LED灯具</w:t>
            </w:r>
          </w:p>
        </w:tc>
        <w:tc>
          <w:tcPr>
            <w:tcW w:w="663" w:type="pct"/>
            <w:gridSpan w:val="2"/>
            <w:tcMar>
              <w:top w:w="80" w:type="dxa"/>
              <w:left w:w="80" w:type="dxa"/>
              <w:bottom w:w="80" w:type="dxa"/>
              <w:right w:w="80" w:type="dxa"/>
            </w:tcMar>
            <w:vAlign w:val="center"/>
          </w:tcPr>
          <w:p w14:paraId="0F40FD6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7</w:t>
            </w:r>
          </w:p>
        </w:tc>
        <w:tc>
          <w:tcPr>
            <w:tcW w:w="835" w:type="pct"/>
            <w:gridSpan w:val="2"/>
            <w:tcMar>
              <w:top w:w="80" w:type="dxa"/>
              <w:left w:w="80" w:type="dxa"/>
              <w:bottom w:w="80" w:type="dxa"/>
              <w:right w:w="80" w:type="dxa"/>
            </w:tcMar>
            <w:vAlign w:val="center"/>
          </w:tcPr>
          <w:p w14:paraId="1AB8726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色温/显色指数</w:t>
            </w:r>
          </w:p>
        </w:tc>
        <w:tc>
          <w:tcPr>
            <w:tcW w:w="1696" w:type="pct"/>
            <w:tcMar>
              <w:top w:w="80" w:type="dxa"/>
              <w:left w:w="80" w:type="dxa"/>
              <w:bottom w:w="80" w:type="dxa"/>
              <w:right w:w="80" w:type="dxa"/>
            </w:tcMar>
            <w:vAlign w:val="center"/>
          </w:tcPr>
          <w:p w14:paraId="1680A0D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00E370B2">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7C50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64A593C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5B3A8C64">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8</w:t>
            </w:r>
          </w:p>
        </w:tc>
        <w:tc>
          <w:tcPr>
            <w:tcW w:w="835" w:type="pct"/>
            <w:gridSpan w:val="2"/>
            <w:tcMar>
              <w:top w:w="80" w:type="dxa"/>
              <w:left w:w="80" w:type="dxa"/>
              <w:bottom w:w="80" w:type="dxa"/>
              <w:right w:w="80" w:type="dxa"/>
            </w:tcMar>
            <w:vAlign w:val="center"/>
          </w:tcPr>
          <w:p w14:paraId="74CD7360">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光源寿命/光衰</w:t>
            </w:r>
          </w:p>
        </w:tc>
        <w:tc>
          <w:tcPr>
            <w:tcW w:w="1696" w:type="pct"/>
            <w:tcMar>
              <w:top w:w="80" w:type="dxa"/>
              <w:left w:w="80" w:type="dxa"/>
              <w:bottom w:w="80" w:type="dxa"/>
              <w:right w:w="80" w:type="dxa"/>
            </w:tcMar>
            <w:vAlign w:val="center"/>
          </w:tcPr>
          <w:p w14:paraId="1BFC9F68">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6EBDCCB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7C62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6356979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330CD617">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9</w:t>
            </w:r>
          </w:p>
        </w:tc>
        <w:tc>
          <w:tcPr>
            <w:tcW w:w="835" w:type="pct"/>
            <w:gridSpan w:val="2"/>
            <w:tcMar>
              <w:top w:w="80" w:type="dxa"/>
              <w:left w:w="80" w:type="dxa"/>
              <w:bottom w:w="80" w:type="dxa"/>
              <w:right w:w="80" w:type="dxa"/>
            </w:tcMar>
            <w:vAlign w:val="center"/>
          </w:tcPr>
          <w:p w14:paraId="3A38A26F">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工作温度范围</w:t>
            </w:r>
          </w:p>
        </w:tc>
        <w:tc>
          <w:tcPr>
            <w:tcW w:w="1696" w:type="pct"/>
            <w:tcMar>
              <w:top w:w="80" w:type="dxa"/>
              <w:left w:w="80" w:type="dxa"/>
              <w:bottom w:w="80" w:type="dxa"/>
              <w:right w:w="80" w:type="dxa"/>
            </w:tcMar>
            <w:vAlign w:val="center"/>
          </w:tcPr>
          <w:p w14:paraId="280825E5">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31F63EC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277E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53B3722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211DB65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10</w:t>
            </w:r>
          </w:p>
        </w:tc>
        <w:tc>
          <w:tcPr>
            <w:tcW w:w="835" w:type="pct"/>
            <w:gridSpan w:val="2"/>
            <w:tcMar>
              <w:top w:w="80" w:type="dxa"/>
              <w:left w:w="80" w:type="dxa"/>
              <w:bottom w:w="80" w:type="dxa"/>
              <w:right w:w="80" w:type="dxa"/>
            </w:tcMar>
            <w:vAlign w:val="center"/>
          </w:tcPr>
          <w:p w14:paraId="75F8BA0A">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电压适应性</w:t>
            </w:r>
          </w:p>
        </w:tc>
        <w:tc>
          <w:tcPr>
            <w:tcW w:w="1696" w:type="pct"/>
            <w:tcMar>
              <w:top w:w="80" w:type="dxa"/>
              <w:left w:w="80" w:type="dxa"/>
              <w:bottom w:w="80" w:type="dxa"/>
              <w:right w:w="80" w:type="dxa"/>
            </w:tcMar>
            <w:vAlign w:val="center"/>
          </w:tcPr>
          <w:p w14:paraId="6BBF4FD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215F6734">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0653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1022DEA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623B69D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11</w:t>
            </w:r>
          </w:p>
        </w:tc>
        <w:tc>
          <w:tcPr>
            <w:tcW w:w="835" w:type="pct"/>
            <w:gridSpan w:val="2"/>
            <w:tcMar>
              <w:top w:w="80" w:type="dxa"/>
              <w:left w:w="80" w:type="dxa"/>
              <w:bottom w:w="80" w:type="dxa"/>
              <w:right w:w="80" w:type="dxa"/>
            </w:tcMar>
            <w:vAlign w:val="center"/>
          </w:tcPr>
          <w:p w14:paraId="57F15148">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灯具壳体寿命</w:t>
            </w:r>
          </w:p>
        </w:tc>
        <w:tc>
          <w:tcPr>
            <w:tcW w:w="1696" w:type="pct"/>
            <w:tcMar>
              <w:top w:w="80" w:type="dxa"/>
              <w:left w:w="80" w:type="dxa"/>
              <w:bottom w:w="80" w:type="dxa"/>
              <w:right w:w="80" w:type="dxa"/>
            </w:tcMar>
            <w:vAlign w:val="center"/>
          </w:tcPr>
          <w:p w14:paraId="49C312BB">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4D784492">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6C8D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14D67CD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59EFE90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12</w:t>
            </w:r>
          </w:p>
        </w:tc>
        <w:tc>
          <w:tcPr>
            <w:tcW w:w="835" w:type="pct"/>
            <w:gridSpan w:val="2"/>
            <w:tcMar>
              <w:top w:w="80" w:type="dxa"/>
              <w:left w:w="80" w:type="dxa"/>
              <w:bottom w:w="80" w:type="dxa"/>
              <w:right w:w="80" w:type="dxa"/>
            </w:tcMar>
            <w:vAlign w:val="center"/>
          </w:tcPr>
          <w:p w14:paraId="350B0BB4">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防触电保护</w:t>
            </w:r>
          </w:p>
        </w:tc>
        <w:tc>
          <w:tcPr>
            <w:tcW w:w="1696" w:type="pct"/>
            <w:tcMar>
              <w:top w:w="80" w:type="dxa"/>
              <w:left w:w="80" w:type="dxa"/>
              <w:bottom w:w="80" w:type="dxa"/>
              <w:right w:w="80" w:type="dxa"/>
            </w:tcMar>
            <w:vAlign w:val="center"/>
          </w:tcPr>
          <w:p w14:paraId="7D4E9E85">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09E5248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537F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4757DFC8">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shd w:val="clear" w:color="auto" w:fill="auto"/>
            <w:tcMar>
              <w:top w:w="80" w:type="dxa"/>
              <w:left w:w="80" w:type="dxa"/>
              <w:bottom w:w="80" w:type="dxa"/>
              <w:right w:w="80" w:type="dxa"/>
            </w:tcMar>
            <w:vAlign w:val="center"/>
          </w:tcPr>
          <w:p w14:paraId="4D14D9E1">
            <w:pPr>
              <w:kinsoku/>
              <w:wordWrap/>
              <w:overflowPunct/>
              <w:topLinePunct w:val="0"/>
              <w:autoSpaceDE/>
              <w:autoSpaceDN/>
              <w:bidi w:val="0"/>
              <w:adjustRightInd/>
              <w:spacing w:after="60" w:line="360" w:lineRule="auto"/>
              <w:ind w:left="0" w:leftChars="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13</w:t>
            </w:r>
          </w:p>
        </w:tc>
        <w:tc>
          <w:tcPr>
            <w:tcW w:w="835" w:type="pct"/>
            <w:gridSpan w:val="2"/>
            <w:shd w:val="clear" w:color="auto" w:fill="auto"/>
            <w:tcMar>
              <w:top w:w="80" w:type="dxa"/>
              <w:left w:w="80" w:type="dxa"/>
              <w:bottom w:w="80" w:type="dxa"/>
              <w:right w:w="80" w:type="dxa"/>
            </w:tcMar>
            <w:vAlign w:val="center"/>
          </w:tcPr>
          <w:p w14:paraId="5622897C">
            <w:pPr>
              <w:kinsoku/>
              <w:wordWrap/>
              <w:overflowPunct/>
              <w:topLinePunct w:val="0"/>
              <w:autoSpaceDE/>
              <w:autoSpaceDN/>
              <w:bidi w:val="0"/>
              <w:adjustRightInd/>
              <w:spacing w:after="60" w:line="360" w:lineRule="auto"/>
              <w:ind w:left="0" w:leftChars="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型式试验报告</w:t>
            </w:r>
          </w:p>
        </w:tc>
        <w:tc>
          <w:tcPr>
            <w:tcW w:w="1696" w:type="pct"/>
            <w:shd w:val="clear" w:color="auto" w:fill="auto"/>
            <w:tcMar>
              <w:top w:w="80" w:type="dxa"/>
              <w:left w:w="80" w:type="dxa"/>
              <w:bottom w:w="80" w:type="dxa"/>
              <w:right w:w="80" w:type="dxa"/>
            </w:tcMar>
            <w:vAlign w:val="center"/>
          </w:tcPr>
          <w:p w14:paraId="63EE65D2">
            <w:pPr>
              <w:kinsoku/>
              <w:wordWrap/>
              <w:overflowPunct/>
              <w:topLinePunct w:val="0"/>
              <w:autoSpaceDE/>
              <w:autoSpaceDN/>
              <w:bidi w:val="0"/>
              <w:adjustRightInd/>
              <w:spacing w:after="60" w:line="360" w:lineRule="auto"/>
              <w:ind w:left="0" w:leftChars="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（填写报告编号）</w:t>
            </w:r>
          </w:p>
        </w:tc>
        <w:tc>
          <w:tcPr>
            <w:tcW w:w="1052" w:type="pct"/>
            <w:shd w:val="clear" w:color="auto" w:fill="auto"/>
            <w:tcMar>
              <w:top w:w="80" w:type="dxa"/>
              <w:left w:w="80" w:type="dxa"/>
              <w:bottom w:w="80" w:type="dxa"/>
              <w:right w:w="80" w:type="dxa"/>
            </w:tcMar>
            <w:vAlign w:val="center"/>
          </w:tcPr>
          <w:p w14:paraId="462FB569">
            <w:pPr>
              <w:kinsoku/>
              <w:wordWrap/>
              <w:overflowPunct/>
              <w:topLinePunct w:val="0"/>
              <w:autoSpaceDE/>
              <w:autoSpaceDN/>
              <w:bidi w:val="0"/>
              <w:adjustRightInd/>
              <w:spacing w:after="60" w:line="360" w:lineRule="auto"/>
              <w:ind w:left="0" w:leftChars="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附报告复印件</w:t>
            </w:r>
          </w:p>
        </w:tc>
      </w:tr>
      <w:tr w14:paraId="4C1A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095E702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64BF31F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lang w:val="en-US" w:eastAsia="zh-CN"/>
              </w:rPr>
            </w:pPr>
            <w:r>
              <w:rPr>
                <w:rFonts w:hint="eastAsia" w:asciiTheme="minorEastAsia" w:hAnsiTheme="minorEastAsia" w:eastAsiaTheme="minorEastAsia" w:cstheme="minorEastAsia"/>
                <w:b w:val="0"/>
                <w:sz w:val="18"/>
                <w:szCs w:val="18"/>
                <w:highlight w:val="none"/>
                <w:lang w:val="en-US" w:eastAsia="zh-CN"/>
              </w:rPr>
              <w:t>14</w:t>
            </w:r>
          </w:p>
        </w:tc>
        <w:tc>
          <w:tcPr>
            <w:tcW w:w="835" w:type="pct"/>
            <w:gridSpan w:val="2"/>
            <w:tcMar>
              <w:top w:w="80" w:type="dxa"/>
              <w:left w:w="80" w:type="dxa"/>
              <w:bottom w:w="80" w:type="dxa"/>
              <w:right w:w="80" w:type="dxa"/>
            </w:tcMar>
            <w:vAlign w:val="center"/>
          </w:tcPr>
          <w:p w14:paraId="3C45F7AB">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lang w:eastAsia="zh-CN"/>
              </w:rPr>
            </w:pPr>
            <w:r>
              <w:rPr>
                <w:rFonts w:hint="eastAsia" w:asciiTheme="minorEastAsia" w:hAnsiTheme="minorEastAsia" w:eastAsiaTheme="minorEastAsia" w:cstheme="minorEastAsia"/>
                <w:b w:val="0"/>
                <w:sz w:val="18"/>
                <w:szCs w:val="18"/>
                <w:highlight w:val="none"/>
                <w:lang w:eastAsia="zh-CN"/>
              </w:rPr>
              <w:t>防爆等级</w:t>
            </w:r>
          </w:p>
        </w:tc>
        <w:tc>
          <w:tcPr>
            <w:tcW w:w="1696" w:type="pct"/>
            <w:tcMar>
              <w:top w:w="80" w:type="dxa"/>
              <w:left w:w="80" w:type="dxa"/>
              <w:bottom w:w="80" w:type="dxa"/>
              <w:right w:w="80" w:type="dxa"/>
            </w:tcMar>
            <w:vAlign w:val="center"/>
          </w:tcPr>
          <w:p w14:paraId="1ACC0B4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53AF78A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0E52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restart"/>
            <w:tcMar>
              <w:top w:w="80" w:type="dxa"/>
              <w:left w:w="80" w:type="dxa"/>
              <w:bottom w:w="80" w:type="dxa"/>
              <w:right w:w="80" w:type="dxa"/>
            </w:tcMar>
            <w:vAlign w:val="center"/>
          </w:tcPr>
          <w:p w14:paraId="44DDEECA">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耐高温三防LED平台灯</w:t>
            </w:r>
          </w:p>
        </w:tc>
        <w:tc>
          <w:tcPr>
            <w:tcW w:w="663" w:type="pct"/>
            <w:gridSpan w:val="2"/>
            <w:tcMar>
              <w:top w:w="80" w:type="dxa"/>
              <w:left w:w="80" w:type="dxa"/>
              <w:bottom w:w="80" w:type="dxa"/>
              <w:right w:w="80" w:type="dxa"/>
            </w:tcMar>
            <w:vAlign w:val="center"/>
          </w:tcPr>
          <w:p w14:paraId="72742767">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1</w:t>
            </w:r>
          </w:p>
        </w:tc>
        <w:tc>
          <w:tcPr>
            <w:tcW w:w="835" w:type="pct"/>
            <w:gridSpan w:val="2"/>
            <w:tcMar>
              <w:top w:w="80" w:type="dxa"/>
              <w:left w:w="80" w:type="dxa"/>
              <w:bottom w:w="80" w:type="dxa"/>
              <w:right w:w="80" w:type="dxa"/>
            </w:tcMar>
            <w:vAlign w:val="center"/>
          </w:tcPr>
          <w:p w14:paraId="541B2D4A">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光源芯片品牌</w:t>
            </w:r>
          </w:p>
        </w:tc>
        <w:tc>
          <w:tcPr>
            <w:tcW w:w="1696" w:type="pct"/>
            <w:tcMar>
              <w:top w:w="80" w:type="dxa"/>
              <w:left w:w="80" w:type="dxa"/>
              <w:bottom w:w="80" w:type="dxa"/>
              <w:right w:w="80" w:type="dxa"/>
            </w:tcMar>
            <w:vAlign w:val="center"/>
          </w:tcPr>
          <w:p w14:paraId="700BB58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5A079580">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5D37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71CA7D6F">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3B84C70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2</w:t>
            </w:r>
          </w:p>
        </w:tc>
        <w:tc>
          <w:tcPr>
            <w:tcW w:w="835" w:type="pct"/>
            <w:gridSpan w:val="2"/>
            <w:tcMar>
              <w:top w:w="80" w:type="dxa"/>
              <w:left w:w="80" w:type="dxa"/>
              <w:bottom w:w="80" w:type="dxa"/>
              <w:right w:w="80" w:type="dxa"/>
            </w:tcMar>
            <w:vAlign w:val="center"/>
          </w:tcPr>
          <w:p w14:paraId="4A8AF6F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整灯光效</w:t>
            </w:r>
          </w:p>
        </w:tc>
        <w:tc>
          <w:tcPr>
            <w:tcW w:w="1696" w:type="pct"/>
            <w:tcMar>
              <w:top w:w="80" w:type="dxa"/>
              <w:left w:w="80" w:type="dxa"/>
              <w:bottom w:w="80" w:type="dxa"/>
              <w:right w:w="80" w:type="dxa"/>
            </w:tcMar>
            <w:vAlign w:val="center"/>
          </w:tcPr>
          <w:p w14:paraId="6195F6B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71ED7AA7">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5D1B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415AE472">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5C1954B8">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3</w:t>
            </w:r>
          </w:p>
        </w:tc>
        <w:tc>
          <w:tcPr>
            <w:tcW w:w="835" w:type="pct"/>
            <w:gridSpan w:val="2"/>
            <w:tcMar>
              <w:top w:w="80" w:type="dxa"/>
              <w:left w:w="80" w:type="dxa"/>
              <w:bottom w:w="80" w:type="dxa"/>
              <w:right w:w="80" w:type="dxa"/>
            </w:tcMar>
            <w:vAlign w:val="center"/>
          </w:tcPr>
          <w:p w14:paraId="63C1A378">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工作温度范围</w:t>
            </w:r>
          </w:p>
        </w:tc>
        <w:tc>
          <w:tcPr>
            <w:tcW w:w="1696" w:type="pct"/>
            <w:tcMar>
              <w:top w:w="80" w:type="dxa"/>
              <w:left w:w="80" w:type="dxa"/>
              <w:bottom w:w="80" w:type="dxa"/>
              <w:right w:w="80" w:type="dxa"/>
            </w:tcMar>
            <w:vAlign w:val="center"/>
          </w:tcPr>
          <w:p w14:paraId="721355E7">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14C74EC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4070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727664B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712AC47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4</w:t>
            </w:r>
          </w:p>
        </w:tc>
        <w:tc>
          <w:tcPr>
            <w:tcW w:w="835" w:type="pct"/>
            <w:gridSpan w:val="2"/>
            <w:tcMar>
              <w:top w:w="80" w:type="dxa"/>
              <w:left w:w="80" w:type="dxa"/>
              <w:bottom w:w="80" w:type="dxa"/>
              <w:right w:w="80" w:type="dxa"/>
            </w:tcMar>
            <w:vAlign w:val="center"/>
          </w:tcPr>
          <w:p w14:paraId="689427C5">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散热结构及材质</w:t>
            </w:r>
          </w:p>
        </w:tc>
        <w:tc>
          <w:tcPr>
            <w:tcW w:w="1696" w:type="pct"/>
            <w:tcMar>
              <w:top w:w="80" w:type="dxa"/>
              <w:left w:w="80" w:type="dxa"/>
              <w:bottom w:w="80" w:type="dxa"/>
              <w:right w:w="80" w:type="dxa"/>
            </w:tcMar>
            <w:vAlign w:val="center"/>
          </w:tcPr>
          <w:p w14:paraId="11B65C5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58FF9E0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7678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6D78B6FB">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2E5FFF94">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5</w:t>
            </w:r>
          </w:p>
        </w:tc>
        <w:tc>
          <w:tcPr>
            <w:tcW w:w="835" w:type="pct"/>
            <w:gridSpan w:val="2"/>
            <w:tcMar>
              <w:top w:w="80" w:type="dxa"/>
              <w:left w:w="80" w:type="dxa"/>
              <w:bottom w:w="80" w:type="dxa"/>
              <w:right w:w="80" w:type="dxa"/>
            </w:tcMar>
            <w:vAlign w:val="center"/>
          </w:tcPr>
          <w:p w14:paraId="33C3C21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防护/防腐等级</w:t>
            </w:r>
          </w:p>
        </w:tc>
        <w:tc>
          <w:tcPr>
            <w:tcW w:w="1696" w:type="pct"/>
            <w:tcMar>
              <w:top w:w="80" w:type="dxa"/>
              <w:left w:w="80" w:type="dxa"/>
              <w:bottom w:w="80" w:type="dxa"/>
              <w:right w:w="80" w:type="dxa"/>
            </w:tcMar>
            <w:vAlign w:val="center"/>
          </w:tcPr>
          <w:p w14:paraId="40F8200D">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1A04207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3B91F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753FA69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7C16A419">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6</w:t>
            </w:r>
          </w:p>
        </w:tc>
        <w:tc>
          <w:tcPr>
            <w:tcW w:w="835" w:type="pct"/>
            <w:gridSpan w:val="2"/>
            <w:tcMar>
              <w:top w:w="80" w:type="dxa"/>
              <w:left w:w="80" w:type="dxa"/>
              <w:bottom w:w="80" w:type="dxa"/>
              <w:right w:w="80" w:type="dxa"/>
            </w:tcMar>
            <w:vAlign w:val="center"/>
          </w:tcPr>
          <w:p w14:paraId="1AE63E7E">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额定功率</w:t>
            </w:r>
          </w:p>
        </w:tc>
        <w:tc>
          <w:tcPr>
            <w:tcW w:w="1696" w:type="pct"/>
            <w:tcMar>
              <w:top w:w="80" w:type="dxa"/>
              <w:left w:w="80" w:type="dxa"/>
              <w:bottom w:w="80" w:type="dxa"/>
              <w:right w:w="80" w:type="dxa"/>
            </w:tcMar>
            <w:vAlign w:val="center"/>
          </w:tcPr>
          <w:p w14:paraId="09E9DDFC">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52FCD361">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62A0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2" w:type="pct"/>
            <w:vMerge w:val="continue"/>
            <w:tcMar>
              <w:top w:w="80" w:type="dxa"/>
              <w:left w:w="80" w:type="dxa"/>
              <w:bottom w:w="80" w:type="dxa"/>
              <w:right w:w="80" w:type="dxa"/>
            </w:tcMar>
            <w:vAlign w:val="center"/>
          </w:tcPr>
          <w:p w14:paraId="3F41EF6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32F1FA4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7</w:t>
            </w:r>
          </w:p>
        </w:tc>
        <w:tc>
          <w:tcPr>
            <w:tcW w:w="835" w:type="pct"/>
            <w:gridSpan w:val="2"/>
            <w:tcMar>
              <w:top w:w="80" w:type="dxa"/>
              <w:left w:w="80" w:type="dxa"/>
              <w:bottom w:w="80" w:type="dxa"/>
              <w:right w:w="80" w:type="dxa"/>
            </w:tcMar>
            <w:vAlign w:val="center"/>
          </w:tcPr>
          <w:p w14:paraId="1283BA02">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功率因数</w:t>
            </w:r>
          </w:p>
        </w:tc>
        <w:tc>
          <w:tcPr>
            <w:tcW w:w="1696" w:type="pct"/>
            <w:tcMar>
              <w:top w:w="80" w:type="dxa"/>
              <w:left w:w="80" w:type="dxa"/>
              <w:bottom w:w="80" w:type="dxa"/>
              <w:right w:w="80" w:type="dxa"/>
            </w:tcMar>
            <w:vAlign w:val="center"/>
          </w:tcPr>
          <w:p w14:paraId="6CEE735B">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1052" w:type="pct"/>
            <w:tcMar>
              <w:top w:w="80" w:type="dxa"/>
              <w:left w:w="80" w:type="dxa"/>
              <w:bottom w:w="80" w:type="dxa"/>
              <w:right w:w="80" w:type="dxa"/>
            </w:tcMar>
            <w:vAlign w:val="center"/>
          </w:tcPr>
          <w:p w14:paraId="3C55D47F">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r w14:paraId="718D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2" w:type="pct"/>
            <w:vMerge w:val="continue"/>
            <w:tcMar>
              <w:top w:w="80" w:type="dxa"/>
              <w:left w:w="80" w:type="dxa"/>
              <w:bottom w:w="80" w:type="dxa"/>
              <w:right w:w="80" w:type="dxa"/>
            </w:tcMar>
            <w:vAlign w:val="center"/>
          </w:tcPr>
          <w:p w14:paraId="57FD7AF3">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c>
          <w:tcPr>
            <w:tcW w:w="663" w:type="pct"/>
            <w:gridSpan w:val="2"/>
            <w:tcMar>
              <w:top w:w="80" w:type="dxa"/>
              <w:left w:w="80" w:type="dxa"/>
              <w:bottom w:w="80" w:type="dxa"/>
              <w:right w:w="80" w:type="dxa"/>
            </w:tcMar>
            <w:vAlign w:val="center"/>
          </w:tcPr>
          <w:p w14:paraId="6485A706">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8</w:t>
            </w:r>
          </w:p>
        </w:tc>
        <w:tc>
          <w:tcPr>
            <w:tcW w:w="835" w:type="pct"/>
            <w:gridSpan w:val="2"/>
            <w:tcMar>
              <w:top w:w="80" w:type="dxa"/>
              <w:left w:w="80" w:type="dxa"/>
              <w:bottom w:w="80" w:type="dxa"/>
              <w:right w:w="80" w:type="dxa"/>
            </w:tcMar>
            <w:vAlign w:val="center"/>
          </w:tcPr>
          <w:p w14:paraId="28866ECA">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型式试验报告</w:t>
            </w:r>
          </w:p>
        </w:tc>
        <w:tc>
          <w:tcPr>
            <w:tcW w:w="1696" w:type="pct"/>
            <w:tcMar>
              <w:top w:w="80" w:type="dxa"/>
              <w:left w:w="80" w:type="dxa"/>
              <w:bottom w:w="80" w:type="dxa"/>
              <w:right w:w="80" w:type="dxa"/>
            </w:tcMar>
            <w:vAlign w:val="center"/>
          </w:tcPr>
          <w:p w14:paraId="159D5C1B">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r>
              <w:rPr>
                <w:rFonts w:hint="eastAsia" w:asciiTheme="minorEastAsia" w:hAnsiTheme="minorEastAsia" w:eastAsiaTheme="minorEastAsia" w:cstheme="minorEastAsia"/>
                <w:b w:val="0"/>
                <w:sz w:val="18"/>
                <w:szCs w:val="18"/>
                <w:highlight w:val="none"/>
              </w:rPr>
              <w:t>（填写报告编号）</w:t>
            </w:r>
          </w:p>
        </w:tc>
        <w:tc>
          <w:tcPr>
            <w:tcW w:w="1052" w:type="pct"/>
            <w:tcMar>
              <w:top w:w="80" w:type="dxa"/>
              <w:left w:w="80" w:type="dxa"/>
              <w:bottom w:w="80" w:type="dxa"/>
              <w:right w:w="80" w:type="dxa"/>
            </w:tcMar>
            <w:vAlign w:val="center"/>
          </w:tcPr>
          <w:p w14:paraId="74A01F50">
            <w:pPr>
              <w:kinsoku/>
              <w:wordWrap/>
              <w:overflowPunct/>
              <w:topLinePunct w:val="0"/>
              <w:autoSpaceDE/>
              <w:autoSpaceDN/>
              <w:bidi w:val="0"/>
              <w:adjustRightInd/>
              <w:spacing w:after="60" w:line="360" w:lineRule="auto"/>
              <w:ind w:left="0" w:firstLine="0" w:firstLineChars="0"/>
              <w:jc w:val="center"/>
              <w:textAlignment w:val="auto"/>
              <w:rPr>
                <w:rFonts w:hint="eastAsia" w:asciiTheme="minorEastAsia" w:hAnsiTheme="minorEastAsia" w:eastAsiaTheme="minorEastAsia" w:cstheme="minorEastAsia"/>
                <w:b w:val="0"/>
                <w:sz w:val="18"/>
                <w:szCs w:val="18"/>
                <w:highlight w:val="none"/>
              </w:rPr>
            </w:pPr>
          </w:p>
        </w:tc>
      </w:tr>
    </w:tbl>
    <w:p w14:paraId="50C94071">
      <w:pPr>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eastAsia="zh-CN"/>
        </w:rPr>
        <w:t>表</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　</w:t>
      </w:r>
      <w:r>
        <w:rPr>
          <w:rFonts w:hint="eastAsia" w:ascii="宋体" w:hAnsi="宋体" w:cs="宋体"/>
          <w:sz w:val="24"/>
          <w:szCs w:val="24"/>
          <w:highlight w:val="none"/>
          <w:lang w:val="en-US" w:eastAsia="zh-CN"/>
        </w:rPr>
        <w:t>金卤灯技术参数相应表</w:t>
      </w:r>
    </w:p>
    <w:tbl>
      <w:tblPr>
        <w:tblStyle w:val="14"/>
        <w:tblW w:w="43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9"/>
        <w:gridCol w:w="2320"/>
        <w:gridCol w:w="2633"/>
        <w:gridCol w:w="1634"/>
      </w:tblGrid>
      <w:tr w14:paraId="2D5A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shd w:val="clear" w:color="auto" w:fill="F0F0F0"/>
            <w:tcMar>
              <w:top w:w="80" w:type="dxa"/>
              <w:left w:w="80" w:type="dxa"/>
              <w:bottom w:w="80" w:type="dxa"/>
              <w:right w:w="80" w:type="dxa"/>
            </w:tcMar>
            <w:vAlign w:val="center"/>
          </w:tcPr>
          <w:p w14:paraId="07C32CAE">
            <w:pPr>
              <w:spacing w:beforeAutospacing="0" w:afterAutospacing="0"/>
              <w:ind w:right="0"/>
              <w:jc w:val="center"/>
              <w:rPr>
                <w:rFonts w:hint="eastAsia" w:asciiTheme="minorEastAsia" w:hAnsiTheme="minorEastAsia" w:eastAsiaTheme="minorEastAsia" w:cstheme="minorEastAsia"/>
                <w:b/>
                <w:bCs/>
                <w:sz w:val="18"/>
                <w:szCs w:val="18"/>
                <w:highlight w:val="none"/>
              </w:rPr>
            </w:pPr>
            <w:r>
              <w:rPr>
                <w:rFonts w:hint="eastAsia" w:asciiTheme="minorEastAsia" w:hAnsiTheme="minorEastAsia" w:eastAsiaTheme="minorEastAsia" w:cstheme="minorEastAsia"/>
                <w:b/>
                <w:bCs/>
                <w:sz w:val="18"/>
                <w:szCs w:val="18"/>
                <w:highlight w:val="none"/>
              </w:rPr>
              <w:t>序号</w:t>
            </w:r>
          </w:p>
        </w:tc>
        <w:tc>
          <w:tcPr>
            <w:tcW w:w="1493" w:type="pct"/>
            <w:shd w:val="clear" w:color="auto" w:fill="F0F0F0"/>
            <w:tcMar>
              <w:top w:w="80" w:type="dxa"/>
              <w:left w:w="80" w:type="dxa"/>
              <w:bottom w:w="80" w:type="dxa"/>
              <w:right w:w="80" w:type="dxa"/>
            </w:tcMar>
            <w:vAlign w:val="center"/>
          </w:tcPr>
          <w:p w14:paraId="4352B381">
            <w:pPr>
              <w:spacing w:beforeAutospacing="0" w:afterAutospacing="0"/>
              <w:ind w:right="0"/>
              <w:jc w:val="center"/>
              <w:rPr>
                <w:rFonts w:hint="eastAsia" w:asciiTheme="minorEastAsia" w:hAnsiTheme="minorEastAsia" w:eastAsiaTheme="minorEastAsia" w:cstheme="minorEastAsia"/>
                <w:b/>
                <w:bCs/>
                <w:sz w:val="18"/>
                <w:szCs w:val="18"/>
                <w:highlight w:val="none"/>
              </w:rPr>
            </w:pPr>
            <w:r>
              <w:rPr>
                <w:rFonts w:hint="eastAsia" w:asciiTheme="minorEastAsia" w:hAnsiTheme="minorEastAsia" w:eastAsiaTheme="minorEastAsia" w:cstheme="minorEastAsia"/>
                <w:b/>
                <w:bCs/>
                <w:sz w:val="18"/>
                <w:szCs w:val="18"/>
                <w:highlight w:val="none"/>
              </w:rPr>
              <w:t>项目</w:t>
            </w:r>
          </w:p>
        </w:tc>
        <w:tc>
          <w:tcPr>
            <w:tcW w:w="1695" w:type="pct"/>
            <w:shd w:val="clear" w:color="auto" w:fill="F0F0F0"/>
            <w:tcMar>
              <w:top w:w="80" w:type="dxa"/>
              <w:left w:w="80" w:type="dxa"/>
              <w:bottom w:w="80" w:type="dxa"/>
              <w:right w:w="80" w:type="dxa"/>
            </w:tcMar>
            <w:vAlign w:val="center"/>
          </w:tcPr>
          <w:p w14:paraId="21751D06">
            <w:pPr>
              <w:spacing w:beforeAutospacing="0" w:afterAutospacing="0"/>
              <w:ind w:right="0"/>
              <w:jc w:val="center"/>
              <w:rPr>
                <w:rFonts w:hint="eastAsia" w:asciiTheme="minorEastAsia" w:hAnsiTheme="minorEastAsia" w:eastAsiaTheme="minorEastAsia" w:cstheme="minorEastAsia"/>
                <w:b/>
                <w:bCs/>
                <w:sz w:val="18"/>
                <w:szCs w:val="18"/>
                <w:highlight w:val="none"/>
              </w:rPr>
            </w:pPr>
            <w:r>
              <w:rPr>
                <w:rFonts w:hint="eastAsia" w:asciiTheme="minorEastAsia" w:hAnsiTheme="minorEastAsia" w:eastAsiaTheme="minorEastAsia" w:cstheme="minorEastAsia"/>
                <w:b/>
                <w:bCs/>
                <w:sz w:val="18"/>
                <w:szCs w:val="18"/>
                <w:highlight w:val="none"/>
                <w:lang w:eastAsia="zh-CN"/>
              </w:rPr>
              <w:t>投标人</w:t>
            </w:r>
            <w:r>
              <w:rPr>
                <w:rFonts w:hint="eastAsia" w:asciiTheme="minorEastAsia" w:hAnsiTheme="minorEastAsia" w:eastAsiaTheme="minorEastAsia" w:cstheme="minorEastAsia"/>
                <w:b/>
                <w:bCs/>
                <w:sz w:val="18"/>
                <w:szCs w:val="18"/>
                <w:highlight w:val="none"/>
              </w:rPr>
              <w:t>响应/保证值</w:t>
            </w:r>
          </w:p>
        </w:tc>
        <w:tc>
          <w:tcPr>
            <w:tcW w:w="1052" w:type="pct"/>
            <w:shd w:val="clear" w:color="auto" w:fill="F0F0F0"/>
            <w:tcMar>
              <w:top w:w="80" w:type="dxa"/>
              <w:left w:w="80" w:type="dxa"/>
              <w:bottom w:w="80" w:type="dxa"/>
              <w:right w:w="80" w:type="dxa"/>
            </w:tcMar>
            <w:vAlign w:val="center"/>
          </w:tcPr>
          <w:p w14:paraId="4A0026B2">
            <w:pPr>
              <w:spacing w:beforeAutospacing="0" w:afterAutospacing="0"/>
              <w:ind w:right="0"/>
              <w:jc w:val="center"/>
              <w:rPr>
                <w:rFonts w:hint="eastAsia" w:asciiTheme="minorEastAsia" w:hAnsiTheme="minorEastAsia" w:eastAsiaTheme="minorEastAsia" w:cstheme="minorEastAsia"/>
                <w:b/>
                <w:bCs/>
                <w:sz w:val="18"/>
                <w:szCs w:val="18"/>
                <w:highlight w:val="none"/>
              </w:rPr>
            </w:pPr>
            <w:r>
              <w:rPr>
                <w:rFonts w:hint="eastAsia" w:asciiTheme="minorEastAsia" w:hAnsiTheme="minorEastAsia" w:eastAsiaTheme="minorEastAsia" w:cstheme="minorEastAsia"/>
                <w:b/>
                <w:bCs/>
                <w:sz w:val="18"/>
                <w:szCs w:val="18"/>
                <w:highlight w:val="none"/>
              </w:rPr>
              <w:t>备注</w:t>
            </w:r>
          </w:p>
        </w:tc>
      </w:tr>
      <w:tr w14:paraId="50A93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5BF729B9">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1493" w:type="pct"/>
            <w:tcMar>
              <w:top w:w="80" w:type="dxa"/>
              <w:left w:w="80" w:type="dxa"/>
              <w:bottom w:w="80" w:type="dxa"/>
              <w:right w:w="80" w:type="dxa"/>
            </w:tcMar>
            <w:vAlign w:val="center"/>
          </w:tcPr>
          <w:p w14:paraId="6457EF4A">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光效</w:t>
            </w:r>
          </w:p>
        </w:tc>
        <w:tc>
          <w:tcPr>
            <w:tcW w:w="1695" w:type="pct"/>
            <w:tcMar>
              <w:top w:w="80" w:type="dxa"/>
              <w:left w:w="80" w:type="dxa"/>
              <w:bottom w:w="80" w:type="dxa"/>
              <w:right w:w="80" w:type="dxa"/>
            </w:tcMar>
            <w:vAlign w:val="center"/>
          </w:tcPr>
          <w:p w14:paraId="085DE81E">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55D4519E">
            <w:pPr>
              <w:spacing w:beforeAutospacing="0" w:afterAutospacing="0"/>
              <w:ind w:right="0"/>
              <w:jc w:val="center"/>
              <w:rPr>
                <w:rFonts w:hint="eastAsia" w:asciiTheme="minorEastAsia" w:hAnsiTheme="minorEastAsia" w:eastAsiaTheme="minorEastAsia" w:cstheme="minorEastAsia"/>
                <w:sz w:val="18"/>
                <w:szCs w:val="18"/>
                <w:highlight w:val="none"/>
              </w:rPr>
            </w:pPr>
          </w:p>
        </w:tc>
      </w:tr>
      <w:tr w14:paraId="5493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27C69E72">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1493" w:type="pct"/>
            <w:tcMar>
              <w:top w:w="80" w:type="dxa"/>
              <w:left w:w="80" w:type="dxa"/>
              <w:bottom w:w="80" w:type="dxa"/>
              <w:right w:w="80" w:type="dxa"/>
            </w:tcMar>
            <w:vAlign w:val="center"/>
          </w:tcPr>
          <w:p w14:paraId="56C5257B">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显色指数/色温</w:t>
            </w:r>
          </w:p>
        </w:tc>
        <w:tc>
          <w:tcPr>
            <w:tcW w:w="1695" w:type="pct"/>
            <w:tcMar>
              <w:top w:w="80" w:type="dxa"/>
              <w:left w:w="80" w:type="dxa"/>
              <w:bottom w:w="80" w:type="dxa"/>
              <w:right w:w="80" w:type="dxa"/>
            </w:tcMar>
            <w:vAlign w:val="center"/>
          </w:tcPr>
          <w:p w14:paraId="7BC8761F">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1D993361">
            <w:pPr>
              <w:spacing w:beforeAutospacing="0" w:afterAutospacing="0"/>
              <w:ind w:right="0"/>
              <w:jc w:val="center"/>
              <w:rPr>
                <w:rFonts w:hint="eastAsia" w:asciiTheme="minorEastAsia" w:hAnsiTheme="minorEastAsia" w:eastAsiaTheme="minorEastAsia" w:cstheme="minorEastAsia"/>
                <w:sz w:val="18"/>
                <w:szCs w:val="18"/>
                <w:highlight w:val="none"/>
              </w:rPr>
            </w:pPr>
          </w:p>
        </w:tc>
      </w:tr>
      <w:tr w14:paraId="4F54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4FC22B82">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1493" w:type="pct"/>
            <w:tcMar>
              <w:top w:w="80" w:type="dxa"/>
              <w:left w:w="80" w:type="dxa"/>
              <w:bottom w:w="80" w:type="dxa"/>
              <w:right w:w="80" w:type="dxa"/>
            </w:tcMar>
            <w:vAlign w:val="center"/>
          </w:tcPr>
          <w:p w14:paraId="3C6B9A8A">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镇流器品牌</w:t>
            </w:r>
          </w:p>
        </w:tc>
        <w:tc>
          <w:tcPr>
            <w:tcW w:w="1695" w:type="pct"/>
            <w:tcMar>
              <w:top w:w="80" w:type="dxa"/>
              <w:left w:w="80" w:type="dxa"/>
              <w:bottom w:w="80" w:type="dxa"/>
              <w:right w:w="80" w:type="dxa"/>
            </w:tcMar>
            <w:vAlign w:val="center"/>
          </w:tcPr>
          <w:p w14:paraId="5F792993">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57FFCCEB">
            <w:pPr>
              <w:spacing w:beforeAutospacing="0" w:afterAutospacing="0"/>
              <w:ind w:right="0"/>
              <w:jc w:val="center"/>
              <w:rPr>
                <w:rFonts w:hint="eastAsia" w:asciiTheme="minorEastAsia" w:hAnsiTheme="minorEastAsia" w:eastAsiaTheme="minorEastAsia" w:cstheme="minorEastAsia"/>
                <w:sz w:val="18"/>
                <w:szCs w:val="18"/>
                <w:highlight w:val="none"/>
              </w:rPr>
            </w:pPr>
          </w:p>
        </w:tc>
      </w:tr>
      <w:tr w14:paraId="6D99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3D453D21">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1493" w:type="pct"/>
            <w:tcMar>
              <w:top w:w="80" w:type="dxa"/>
              <w:left w:w="80" w:type="dxa"/>
              <w:bottom w:w="80" w:type="dxa"/>
              <w:right w:w="80" w:type="dxa"/>
            </w:tcMar>
            <w:vAlign w:val="center"/>
          </w:tcPr>
          <w:p w14:paraId="5FE76CDF">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镇流器类型</w:t>
            </w:r>
          </w:p>
        </w:tc>
        <w:tc>
          <w:tcPr>
            <w:tcW w:w="1695" w:type="pct"/>
            <w:tcMar>
              <w:top w:w="80" w:type="dxa"/>
              <w:left w:w="80" w:type="dxa"/>
              <w:bottom w:w="80" w:type="dxa"/>
              <w:right w:w="80" w:type="dxa"/>
            </w:tcMar>
            <w:vAlign w:val="center"/>
          </w:tcPr>
          <w:p w14:paraId="4CD50BC3">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383F58C8">
            <w:pPr>
              <w:spacing w:beforeAutospacing="0" w:afterAutospacing="0"/>
              <w:ind w:right="0"/>
              <w:jc w:val="center"/>
              <w:rPr>
                <w:rFonts w:hint="eastAsia" w:asciiTheme="minorEastAsia" w:hAnsiTheme="minorEastAsia" w:eastAsiaTheme="minorEastAsia" w:cstheme="minorEastAsia"/>
                <w:sz w:val="18"/>
                <w:szCs w:val="18"/>
                <w:highlight w:val="none"/>
              </w:rPr>
            </w:pPr>
          </w:p>
        </w:tc>
      </w:tr>
      <w:tr w14:paraId="0A88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6A51D857">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c>
          <w:tcPr>
            <w:tcW w:w="1493" w:type="pct"/>
            <w:tcMar>
              <w:top w:w="80" w:type="dxa"/>
              <w:left w:w="80" w:type="dxa"/>
              <w:bottom w:w="80" w:type="dxa"/>
              <w:right w:w="80" w:type="dxa"/>
            </w:tcMar>
            <w:vAlign w:val="center"/>
          </w:tcPr>
          <w:p w14:paraId="037DB47E">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功率因数</w:t>
            </w:r>
          </w:p>
        </w:tc>
        <w:tc>
          <w:tcPr>
            <w:tcW w:w="1695" w:type="pct"/>
            <w:tcMar>
              <w:top w:w="80" w:type="dxa"/>
              <w:left w:w="80" w:type="dxa"/>
              <w:bottom w:w="80" w:type="dxa"/>
              <w:right w:w="80" w:type="dxa"/>
            </w:tcMar>
            <w:vAlign w:val="center"/>
          </w:tcPr>
          <w:p w14:paraId="1EDE3210">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33C27970">
            <w:pPr>
              <w:spacing w:beforeAutospacing="0" w:afterAutospacing="0"/>
              <w:ind w:right="0"/>
              <w:jc w:val="center"/>
              <w:rPr>
                <w:rFonts w:hint="eastAsia" w:asciiTheme="minorEastAsia" w:hAnsiTheme="minorEastAsia" w:eastAsiaTheme="minorEastAsia" w:cstheme="minorEastAsia"/>
                <w:sz w:val="18"/>
                <w:szCs w:val="18"/>
                <w:highlight w:val="none"/>
              </w:rPr>
            </w:pPr>
          </w:p>
        </w:tc>
      </w:tr>
      <w:tr w14:paraId="59F6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59" w:type="pct"/>
            <w:tcMar>
              <w:top w:w="80" w:type="dxa"/>
              <w:left w:w="80" w:type="dxa"/>
              <w:bottom w:w="80" w:type="dxa"/>
              <w:right w:w="80" w:type="dxa"/>
            </w:tcMar>
            <w:vAlign w:val="center"/>
          </w:tcPr>
          <w:p w14:paraId="5D191B6E">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w:t>
            </w:r>
          </w:p>
        </w:tc>
        <w:tc>
          <w:tcPr>
            <w:tcW w:w="1493" w:type="pct"/>
            <w:tcMar>
              <w:top w:w="80" w:type="dxa"/>
              <w:left w:w="80" w:type="dxa"/>
              <w:bottom w:w="80" w:type="dxa"/>
              <w:right w:w="80" w:type="dxa"/>
            </w:tcMar>
            <w:vAlign w:val="center"/>
          </w:tcPr>
          <w:p w14:paraId="25479395">
            <w:pPr>
              <w:spacing w:beforeAutospacing="0" w:afterAutospacing="0"/>
              <w:ind w:right="0"/>
              <w:jc w:val="center"/>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谐波失真</w:t>
            </w:r>
          </w:p>
        </w:tc>
        <w:tc>
          <w:tcPr>
            <w:tcW w:w="1695" w:type="pct"/>
            <w:tcMar>
              <w:top w:w="80" w:type="dxa"/>
              <w:left w:w="80" w:type="dxa"/>
              <w:bottom w:w="80" w:type="dxa"/>
              <w:right w:w="80" w:type="dxa"/>
            </w:tcMar>
            <w:vAlign w:val="center"/>
          </w:tcPr>
          <w:p w14:paraId="7C71D3FE">
            <w:pPr>
              <w:spacing w:beforeAutospacing="0" w:afterAutospacing="0"/>
              <w:ind w:right="0"/>
              <w:jc w:val="center"/>
              <w:rPr>
                <w:rFonts w:hint="eastAsia" w:asciiTheme="minorEastAsia" w:hAnsiTheme="minorEastAsia" w:eastAsiaTheme="minorEastAsia" w:cstheme="minorEastAsia"/>
                <w:sz w:val="18"/>
                <w:szCs w:val="18"/>
                <w:highlight w:val="none"/>
              </w:rPr>
            </w:pPr>
          </w:p>
        </w:tc>
        <w:tc>
          <w:tcPr>
            <w:tcW w:w="1052" w:type="pct"/>
            <w:tcMar>
              <w:top w:w="80" w:type="dxa"/>
              <w:left w:w="80" w:type="dxa"/>
              <w:bottom w:w="80" w:type="dxa"/>
              <w:right w:w="80" w:type="dxa"/>
            </w:tcMar>
            <w:vAlign w:val="center"/>
          </w:tcPr>
          <w:p w14:paraId="525CAD83">
            <w:pPr>
              <w:spacing w:beforeAutospacing="0" w:after="0" w:afterAutospacing="0"/>
              <w:ind w:right="0"/>
              <w:jc w:val="center"/>
              <w:rPr>
                <w:rFonts w:hint="eastAsia" w:asciiTheme="minorEastAsia" w:hAnsiTheme="minorEastAsia" w:eastAsiaTheme="minorEastAsia" w:cstheme="minorEastAsia"/>
                <w:sz w:val="18"/>
                <w:szCs w:val="18"/>
                <w:highlight w:val="none"/>
              </w:rPr>
            </w:pPr>
          </w:p>
        </w:tc>
      </w:tr>
    </w:tbl>
    <w:p w14:paraId="766AC71E">
      <w:pPr>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eastAsia="zh-CN"/>
        </w:rPr>
        <w:t>表</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　</w:t>
      </w:r>
      <w:r>
        <w:rPr>
          <w:rFonts w:hint="eastAsia" w:ascii="宋体" w:hAnsi="宋体" w:cs="宋体"/>
          <w:sz w:val="24"/>
          <w:szCs w:val="24"/>
          <w:highlight w:val="none"/>
          <w:lang w:val="en-US" w:eastAsia="zh-CN"/>
        </w:rPr>
        <w:t>消防应急灯具技术参数相应表</w:t>
      </w:r>
    </w:p>
    <w:tbl>
      <w:tblPr>
        <w:tblStyle w:val="14"/>
        <w:tblW w:w="43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63"/>
        <w:gridCol w:w="2357"/>
        <w:gridCol w:w="2453"/>
        <w:gridCol w:w="1788"/>
      </w:tblGrid>
      <w:tr w14:paraId="6097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shd w:val="clear" w:color="auto" w:fill="F0F0F0"/>
            <w:tcMar>
              <w:top w:w="80" w:type="dxa"/>
              <w:left w:w="80" w:type="dxa"/>
              <w:bottom w:w="80" w:type="dxa"/>
              <w:right w:w="80" w:type="dxa"/>
            </w:tcMar>
            <w:vAlign w:val="center"/>
          </w:tcPr>
          <w:p w14:paraId="4478B712">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序号</w:t>
            </w:r>
          </w:p>
        </w:tc>
        <w:tc>
          <w:tcPr>
            <w:tcW w:w="1518" w:type="pct"/>
            <w:shd w:val="clear" w:color="auto" w:fill="F0F0F0"/>
            <w:tcMar>
              <w:top w:w="80" w:type="dxa"/>
              <w:left w:w="80" w:type="dxa"/>
              <w:bottom w:w="80" w:type="dxa"/>
              <w:right w:w="80" w:type="dxa"/>
            </w:tcMar>
            <w:vAlign w:val="center"/>
          </w:tcPr>
          <w:p w14:paraId="149F1753">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项目</w:t>
            </w:r>
          </w:p>
        </w:tc>
        <w:tc>
          <w:tcPr>
            <w:tcW w:w="1580" w:type="pct"/>
            <w:shd w:val="clear" w:color="auto" w:fill="F0F0F0"/>
            <w:tcMar>
              <w:top w:w="80" w:type="dxa"/>
              <w:left w:w="80" w:type="dxa"/>
              <w:bottom w:w="80" w:type="dxa"/>
              <w:right w:w="80" w:type="dxa"/>
            </w:tcMar>
            <w:vAlign w:val="center"/>
          </w:tcPr>
          <w:p w14:paraId="61DB0216">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cs="宋体"/>
                <w:b w:val="0"/>
                <w:sz w:val="18"/>
                <w:szCs w:val="18"/>
                <w:highlight w:val="none"/>
                <w:lang w:eastAsia="zh-CN"/>
              </w:rPr>
              <w:t>投标人</w:t>
            </w:r>
            <w:r>
              <w:rPr>
                <w:rFonts w:hint="eastAsia" w:ascii="宋体" w:hAnsi="宋体" w:eastAsia="宋体" w:cs="宋体"/>
                <w:b w:val="0"/>
                <w:sz w:val="18"/>
                <w:szCs w:val="18"/>
                <w:highlight w:val="none"/>
              </w:rPr>
              <w:t>响应/保证值</w:t>
            </w:r>
          </w:p>
        </w:tc>
        <w:tc>
          <w:tcPr>
            <w:tcW w:w="1151" w:type="pct"/>
            <w:shd w:val="clear" w:color="auto" w:fill="F0F0F0"/>
            <w:tcMar>
              <w:top w:w="80" w:type="dxa"/>
              <w:left w:w="80" w:type="dxa"/>
              <w:bottom w:w="80" w:type="dxa"/>
              <w:right w:w="80" w:type="dxa"/>
            </w:tcMar>
            <w:vAlign w:val="center"/>
          </w:tcPr>
          <w:p w14:paraId="342DCA88">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备注</w:t>
            </w:r>
          </w:p>
        </w:tc>
      </w:tr>
      <w:tr w14:paraId="0EE7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482ABB4D">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1</w:t>
            </w:r>
          </w:p>
        </w:tc>
        <w:tc>
          <w:tcPr>
            <w:tcW w:w="1518" w:type="pct"/>
            <w:tcMar>
              <w:top w:w="80" w:type="dxa"/>
              <w:left w:w="80" w:type="dxa"/>
              <w:bottom w:w="80" w:type="dxa"/>
              <w:right w:w="80" w:type="dxa"/>
            </w:tcMar>
            <w:vAlign w:val="center"/>
          </w:tcPr>
          <w:p w14:paraId="3619190A">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应急时间</w:t>
            </w:r>
          </w:p>
        </w:tc>
        <w:tc>
          <w:tcPr>
            <w:tcW w:w="1580" w:type="pct"/>
            <w:tcMar>
              <w:top w:w="80" w:type="dxa"/>
              <w:left w:w="80" w:type="dxa"/>
              <w:bottom w:w="80" w:type="dxa"/>
              <w:right w:w="80" w:type="dxa"/>
            </w:tcMar>
            <w:vAlign w:val="center"/>
          </w:tcPr>
          <w:p w14:paraId="3D57FE9C">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33E404F5">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r w14:paraId="2A3D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551E1F42">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2</w:t>
            </w:r>
          </w:p>
        </w:tc>
        <w:tc>
          <w:tcPr>
            <w:tcW w:w="1518" w:type="pct"/>
            <w:tcMar>
              <w:top w:w="80" w:type="dxa"/>
              <w:left w:w="80" w:type="dxa"/>
              <w:bottom w:w="80" w:type="dxa"/>
              <w:right w:w="80" w:type="dxa"/>
            </w:tcMar>
            <w:vAlign w:val="center"/>
          </w:tcPr>
          <w:p w14:paraId="2FBD76C9">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光源类型/光效</w:t>
            </w:r>
          </w:p>
        </w:tc>
        <w:tc>
          <w:tcPr>
            <w:tcW w:w="1580" w:type="pct"/>
            <w:tcMar>
              <w:top w:w="80" w:type="dxa"/>
              <w:left w:w="80" w:type="dxa"/>
              <w:bottom w:w="80" w:type="dxa"/>
              <w:right w:w="80" w:type="dxa"/>
            </w:tcMar>
            <w:vAlign w:val="center"/>
          </w:tcPr>
          <w:p w14:paraId="2DE07A6C">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4FBE3629">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r w14:paraId="3F1C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749" w:type="pct"/>
            <w:tcMar>
              <w:top w:w="80" w:type="dxa"/>
              <w:left w:w="80" w:type="dxa"/>
              <w:bottom w:w="80" w:type="dxa"/>
              <w:right w:w="80" w:type="dxa"/>
            </w:tcMar>
            <w:vAlign w:val="center"/>
          </w:tcPr>
          <w:p w14:paraId="72E88FD3">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3</w:t>
            </w:r>
          </w:p>
        </w:tc>
        <w:tc>
          <w:tcPr>
            <w:tcW w:w="1518" w:type="pct"/>
            <w:tcMar>
              <w:top w:w="80" w:type="dxa"/>
              <w:left w:w="80" w:type="dxa"/>
              <w:bottom w:w="80" w:type="dxa"/>
              <w:right w:w="80" w:type="dxa"/>
            </w:tcMar>
            <w:vAlign w:val="center"/>
          </w:tcPr>
          <w:p w14:paraId="0A929C33">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防爆等级（防爆型）</w:t>
            </w:r>
          </w:p>
        </w:tc>
        <w:tc>
          <w:tcPr>
            <w:tcW w:w="1580" w:type="pct"/>
            <w:tcMar>
              <w:top w:w="80" w:type="dxa"/>
              <w:left w:w="80" w:type="dxa"/>
              <w:bottom w:w="80" w:type="dxa"/>
              <w:right w:w="80" w:type="dxa"/>
            </w:tcMar>
            <w:vAlign w:val="center"/>
          </w:tcPr>
          <w:p w14:paraId="52CFA666">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292C1CEC">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需提供3C和防爆证</w:t>
            </w:r>
          </w:p>
        </w:tc>
      </w:tr>
      <w:tr w14:paraId="2BE4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7CB5E8D7">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4</w:t>
            </w:r>
          </w:p>
        </w:tc>
        <w:tc>
          <w:tcPr>
            <w:tcW w:w="1518" w:type="pct"/>
            <w:tcMar>
              <w:top w:w="80" w:type="dxa"/>
              <w:left w:w="80" w:type="dxa"/>
              <w:bottom w:w="80" w:type="dxa"/>
              <w:right w:w="80" w:type="dxa"/>
            </w:tcMar>
            <w:vAlign w:val="center"/>
          </w:tcPr>
          <w:p w14:paraId="04B1F121">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防护等级</w:t>
            </w:r>
          </w:p>
        </w:tc>
        <w:tc>
          <w:tcPr>
            <w:tcW w:w="1580" w:type="pct"/>
            <w:tcMar>
              <w:top w:w="80" w:type="dxa"/>
              <w:left w:w="80" w:type="dxa"/>
              <w:bottom w:w="80" w:type="dxa"/>
              <w:right w:w="80" w:type="dxa"/>
            </w:tcMar>
            <w:vAlign w:val="center"/>
          </w:tcPr>
          <w:p w14:paraId="67DB2682">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5D022BDE">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r w14:paraId="78C1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3E633B7B">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5</w:t>
            </w:r>
          </w:p>
        </w:tc>
        <w:tc>
          <w:tcPr>
            <w:tcW w:w="1518" w:type="pct"/>
            <w:tcMar>
              <w:top w:w="80" w:type="dxa"/>
              <w:left w:w="80" w:type="dxa"/>
              <w:bottom w:w="80" w:type="dxa"/>
              <w:right w:w="80" w:type="dxa"/>
            </w:tcMar>
            <w:vAlign w:val="center"/>
          </w:tcPr>
          <w:p w14:paraId="4946178F">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阻燃等级</w:t>
            </w:r>
          </w:p>
        </w:tc>
        <w:tc>
          <w:tcPr>
            <w:tcW w:w="1580" w:type="pct"/>
            <w:tcMar>
              <w:top w:w="80" w:type="dxa"/>
              <w:left w:w="80" w:type="dxa"/>
              <w:bottom w:w="80" w:type="dxa"/>
              <w:right w:w="80" w:type="dxa"/>
            </w:tcMar>
            <w:vAlign w:val="center"/>
          </w:tcPr>
          <w:p w14:paraId="683D2179">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2B81648A">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r w14:paraId="1D03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56B494B0">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6</w:t>
            </w:r>
          </w:p>
        </w:tc>
        <w:tc>
          <w:tcPr>
            <w:tcW w:w="1518" w:type="pct"/>
            <w:tcMar>
              <w:top w:w="80" w:type="dxa"/>
              <w:left w:w="80" w:type="dxa"/>
              <w:bottom w:w="80" w:type="dxa"/>
              <w:right w:w="80" w:type="dxa"/>
            </w:tcMar>
            <w:vAlign w:val="center"/>
          </w:tcPr>
          <w:p w14:paraId="3C8702B5">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可视距离</w:t>
            </w:r>
          </w:p>
        </w:tc>
        <w:tc>
          <w:tcPr>
            <w:tcW w:w="1580" w:type="pct"/>
            <w:tcMar>
              <w:top w:w="80" w:type="dxa"/>
              <w:left w:w="80" w:type="dxa"/>
              <w:bottom w:w="80" w:type="dxa"/>
              <w:right w:w="80" w:type="dxa"/>
            </w:tcMar>
            <w:vAlign w:val="center"/>
          </w:tcPr>
          <w:p w14:paraId="378141EC">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7C5A4912">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r w14:paraId="1BFA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49" w:type="pct"/>
            <w:tcMar>
              <w:top w:w="80" w:type="dxa"/>
              <w:left w:w="80" w:type="dxa"/>
              <w:bottom w:w="80" w:type="dxa"/>
              <w:right w:w="80" w:type="dxa"/>
            </w:tcMar>
            <w:vAlign w:val="center"/>
          </w:tcPr>
          <w:p w14:paraId="026BB1B7">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7</w:t>
            </w:r>
          </w:p>
        </w:tc>
        <w:tc>
          <w:tcPr>
            <w:tcW w:w="1518" w:type="pct"/>
            <w:tcMar>
              <w:top w:w="80" w:type="dxa"/>
              <w:left w:w="80" w:type="dxa"/>
              <w:bottom w:w="80" w:type="dxa"/>
              <w:right w:w="80" w:type="dxa"/>
            </w:tcMar>
            <w:vAlign w:val="center"/>
          </w:tcPr>
          <w:p w14:paraId="0F0AE091">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r>
              <w:rPr>
                <w:rFonts w:hint="eastAsia" w:ascii="宋体" w:hAnsi="宋体" w:eastAsia="宋体" w:cs="宋体"/>
                <w:b w:val="0"/>
                <w:sz w:val="18"/>
                <w:szCs w:val="18"/>
                <w:highlight w:val="none"/>
              </w:rPr>
              <w:t>符合标准</w:t>
            </w:r>
          </w:p>
        </w:tc>
        <w:tc>
          <w:tcPr>
            <w:tcW w:w="1580" w:type="pct"/>
            <w:tcMar>
              <w:top w:w="80" w:type="dxa"/>
              <w:left w:w="80" w:type="dxa"/>
              <w:bottom w:w="80" w:type="dxa"/>
              <w:right w:w="80" w:type="dxa"/>
            </w:tcMar>
            <w:vAlign w:val="center"/>
          </w:tcPr>
          <w:p w14:paraId="3C9B6807">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c>
          <w:tcPr>
            <w:tcW w:w="1151" w:type="pct"/>
            <w:tcMar>
              <w:top w:w="80" w:type="dxa"/>
              <w:left w:w="80" w:type="dxa"/>
              <w:bottom w:w="80" w:type="dxa"/>
              <w:right w:w="80" w:type="dxa"/>
            </w:tcMar>
            <w:vAlign w:val="center"/>
          </w:tcPr>
          <w:p w14:paraId="0E3439B3">
            <w:pPr>
              <w:kinsoku/>
              <w:wordWrap/>
              <w:overflowPunct/>
              <w:topLinePunct w:val="0"/>
              <w:autoSpaceDE/>
              <w:autoSpaceDN/>
              <w:bidi w:val="0"/>
              <w:adjustRightInd/>
              <w:spacing w:after="60" w:line="360" w:lineRule="auto"/>
              <w:ind w:left="0" w:firstLine="0" w:firstLineChars="0"/>
              <w:jc w:val="center"/>
              <w:textAlignment w:val="auto"/>
              <w:rPr>
                <w:rFonts w:hint="eastAsia" w:ascii="宋体" w:hAnsi="宋体" w:eastAsia="宋体" w:cs="宋体"/>
                <w:b w:val="0"/>
                <w:sz w:val="18"/>
                <w:szCs w:val="18"/>
                <w:highlight w:val="none"/>
              </w:rPr>
            </w:pPr>
          </w:p>
        </w:tc>
      </w:tr>
    </w:tbl>
    <w:p w14:paraId="546D51FC">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p>
    <w:p w14:paraId="62A904DA">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p>
    <w:p w14:paraId="2E47C9D5">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p>
    <w:p w14:paraId="0DCD912C">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p>
    <w:p w14:paraId="435F4D16">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37BE7D1D">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3CECFEB3">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779F5C9D">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1CAF7F43">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3856DB83">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2D32AB5C">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12DD0C31">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4CE82B55">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1792A692">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24C5ECEF">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46C3A8B4">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7382741B">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p>
    <w:p w14:paraId="3697F741">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8"/>
          <w:szCs w:val="28"/>
          <w:highlight w:val="none"/>
        </w:rPr>
      </w:pPr>
    </w:p>
    <w:p w14:paraId="483C6CB2">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8"/>
          <w:szCs w:val="28"/>
          <w:highlight w:val="none"/>
        </w:rPr>
      </w:pPr>
    </w:p>
    <w:p w14:paraId="5146E13A">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8"/>
          <w:szCs w:val="28"/>
          <w:highlight w:val="none"/>
        </w:rPr>
      </w:pPr>
    </w:p>
    <w:p w14:paraId="0EABFFEC">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附件2 供货范围</w:t>
      </w:r>
    </w:p>
    <w:p w14:paraId="091F2167">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一般要求</w:t>
      </w:r>
    </w:p>
    <w:p w14:paraId="6EBB9398">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 xml:space="preserve">1.1 </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应确保供货范围完整，以能满足用户安装、运行要求为原则，在技术规范中涉及的供货要求也作为本供货范围的补充，若在</w:t>
      </w:r>
      <w:r>
        <w:rPr>
          <w:rFonts w:hint="eastAsia" w:ascii="宋体" w:hAnsi="宋体" w:eastAsia="宋体" w:cs="宋体"/>
          <w:b w:val="0"/>
          <w:sz w:val="24"/>
          <w:szCs w:val="24"/>
          <w:highlight w:val="none"/>
          <w:lang w:val="en-US" w:eastAsia="zh-CN"/>
        </w:rPr>
        <w:t>到货验收或安装过程</w:t>
      </w:r>
      <w:r>
        <w:rPr>
          <w:rFonts w:hint="eastAsia" w:ascii="宋体" w:hAnsi="宋体" w:eastAsia="宋体" w:cs="宋体"/>
          <w:b w:val="0"/>
          <w:sz w:val="24"/>
          <w:szCs w:val="24"/>
          <w:highlight w:val="none"/>
        </w:rPr>
        <w:t>中发现缺项（属</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供货范围）由</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补充，并不增加任何费用。</w:t>
      </w:r>
    </w:p>
    <w:p w14:paraId="27BF6298">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1.2 本工程照明改造及框架采购电气照明框架采购及热电装置区照明节能改造项目所需的全部照明设备与附件。</w:t>
      </w:r>
    </w:p>
    <w:p w14:paraId="58313D66">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b w:val="0"/>
          <w:sz w:val="24"/>
          <w:szCs w:val="24"/>
          <w:highlight w:val="none"/>
        </w:rPr>
        <w:t>1.3 除有特别注明外，所列数量包括框架采购及改造项目所需，实际数量以设计院最终设计为准，中标单价不作调整，</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应充分考虑并承担相关风险。</w:t>
      </w:r>
    </w:p>
    <w:p w14:paraId="3922B21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应提供所有安装和检修所需专用工具和消耗材料等，并提供详细供货清单。</w:t>
      </w:r>
    </w:p>
    <w:p w14:paraId="6976A84A">
      <w:pPr>
        <w:kinsoku/>
        <w:wordWrap/>
        <w:overflowPunct/>
        <w:topLinePunct w:val="0"/>
        <w:autoSpaceDE/>
        <w:autoSpaceDN/>
        <w:bidi w:val="0"/>
        <w:adjustRightInd/>
        <w:spacing w:after="60" w:line="360" w:lineRule="auto"/>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.5</w:t>
      </w:r>
      <w:r>
        <w:rPr>
          <w:rFonts w:hint="eastAsia" w:ascii="宋体" w:hAnsi="宋体" w:eastAsia="宋体" w:cs="宋体"/>
          <w:b w:val="0"/>
          <w:sz w:val="24"/>
          <w:szCs w:val="24"/>
          <w:highlight w:val="none"/>
        </w:rPr>
        <w:t>本次照明改造及框架采购为整体采购，</w:t>
      </w:r>
      <w:r>
        <w:rPr>
          <w:rFonts w:hint="eastAsia" w:ascii="宋体" w:hAnsi="宋体" w:cs="宋体"/>
          <w:b w:val="0"/>
          <w:sz w:val="24"/>
          <w:szCs w:val="24"/>
          <w:highlight w:val="none"/>
          <w:lang w:eastAsia="zh-CN"/>
        </w:rPr>
        <w:t>投标人</w:t>
      </w:r>
      <w:r>
        <w:rPr>
          <w:rFonts w:hint="eastAsia" w:ascii="宋体" w:hAnsi="宋体" w:eastAsia="宋体" w:cs="宋体"/>
          <w:b w:val="0"/>
          <w:sz w:val="24"/>
          <w:szCs w:val="24"/>
          <w:highlight w:val="none"/>
        </w:rPr>
        <w:t>应负责所有灯具及辅材的供货。</w:t>
      </w:r>
    </w:p>
    <w:p w14:paraId="6577E4D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提供的技术资料清单见附件3。</w:t>
      </w:r>
    </w:p>
    <w:p w14:paraId="7C63F73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val="en-US" w:eastAsia="zh-CN"/>
        </w:rPr>
        <w:t>7</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应提供照明系统各部件需要更换的预期时间，并提供安装、维修及易损件的有关图纸。</w:t>
      </w:r>
    </w:p>
    <w:p w14:paraId="1EDC584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 供货范围</w:t>
      </w:r>
    </w:p>
    <w:p w14:paraId="1CEC26F5">
      <w:pPr>
        <w:spacing w:line="500" w:lineRule="exact"/>
        <w:ind w:firstLine="480" w:firstLineChars="200"/>
        <w:rPr>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的基本供货范围是提供满足本技术规范书要求的功能完整的照明系统相关的设备与附件，包括日常消缺物资及热电装置区照明节能改造所需全部物资。</w:t>
      </w:r>
      <w:r>
        <w:rPr>
          <w:rFonts w:hint="eastAsia"/>
          <w:highlight w:val="none"/>
          <w:lang w:eastAsia="zh-CN"/>
        </w:rPr>
        <w:t>投标人</w:t>
      </w:r>
      <w:r>
        <w:rPr>
          <w:highlight w:val="none"/>
        </w:rPr>
        <w:t>应确保供货范围完整，以能满足用户安装、运行要求为原则，在技术规范中涉及的供货要求也作为本供货范围的补充，若在安装、调试、运行中发现缺项(属</w:t>
      </w:r>
      <w:r>
        <w:rPr>
          <w:rFonts w:hint="eastAsia"/>
          <w:highlight w:val="none"/>
          <w:lang w:eastAsia="zh-CN"/>
        </w:rPr>
        <w:t>投标人</w:t>
      </w:r>
      <w:r>
        <w:rPr>
          <w:highlight w:val="none"/>
        </w:rPr>
        <w:t>供货范围)由</w:t>
      </w:r>
      <w:r>
        <w:rPr>
          <w:rFonts w:hint="eastAsia"/>
          <w:highlight w:val="none"/>
          <w:lang w:eastAsia="zh-CN"/>
        </w:rPr>
        <w:t>投标人</w:t>
      </w:r>
      <w:r>
        <w:rPr>
          <w:highlight w:val="none"/>
        </w:rPr>
        <w:t>补充</w:t>
      </w:r>
      <w:r>
        <w:rPr>
          <w:rFonts w:hint="eastAsia"/>
          <w:highlight w:val="none"/>
        </w:rPr>
        <w:t>，并不增加任何费用</w:t>
      </w:r>
      <w:r>
        <w:rPr>
          <w:highlight w:val="none"/>
        </w:rPr>
        <w:t>。</w:t>
      </w:r>
      <w:r>
        <w:rPr>
          <w:rFonts w:hint="eastAsia"/>
          <w:highlight w:val="none"/>
        </w:rPr>
        <w:t>设备范围</w:t>
      </w:r>
      <w:r>
        <w:rPr>
          <w:highlight w:val="none"/>
        </w:rPr>
        <w:t>（</w:t>
      </w:r>
      <w:r>
        <w:rPr>
          <w:rFonts w:hint="eastAsia"/>
          <w:highlight w:val="none"/>
        </w:rPr>
        <w:t>但不限于此</w:t>
      </w:r>
      <w:r>
        <w:rPr>
          <w:highlight w:val="none"/>
        </w:rPr>
        <w:t>）</w:t>
      </w:r>
    </w:p>
    <w:p w14:paraId="6A0C2AC6">
      <w:pPr>
        <w:spacing w:line="500" w:lineRule="exact"/>
        <w:ind w:firstLine="0"/>
        <w:rPr>
          <w:rFonts w:hint="default" w:eastAsia="宋体"/>
          <w:highlight w:val="none"/>
        </w:rPr>
      </w:pPr>
      <w:r>
        <w:rPr>
          <w:rFonts w:hint="default" w:eastAsia="宋体"/>
          <w:highlight w:val="none"/>
        </w:rPr>
        <w:t>2.1</w:t>
      </w:r>
      <w:r>
        <w:rPr>
          <w:rFonts w:hint="eastAsia"/>
          <w:highlight w:val="none"/>
          <w:lang w:eastAsia="zh-CN"/>
        </w:rPr>
        <w:t>投标人</w:t>
      </w:r>
      <w:r>
        <w:rPr>
          <w:rFonts w:hint="default" w:eastAsia="宋体"/>
          <w:highlight w:val="none"/>
        </w:rPr>
        <w:t>保证提供设备为全新的、先进的、成熟的、完整的和安全可靠的照明灯具及附件（吊杆、弯管、灯具固定支架），且设备的技术经济性能符合要求。</w:t>
      </w:r>
    </w:p>
    <w:p w14:paraId="04C72555">
      <w:pPr>
        <w:spacing w:line="500" w:lineRule="exact"/>
        <w:ind w:firstLine="0"/>
        <w:rPr>
          <w:highlight w:val="none"/>
        </w:rPr>
      </w:pPr>
      <w:r>
        <w:rPr>
          <w:rFonts w:hint="eastAsia"/>
          <w:highlight w:val="none"/>
        </w:rPr>
        <w:t>2.2</w:t>
      </w:r>
      <w:r>
        <w:rPr>
          <w:rFonts w:hint="eastAsia"/>
          <w:highlight w:val="none"/>
          <w:lang w:eastAsia="zh-CN"/>
        </w:rPr>
        <w:t>投标人</w:t>
      </w:r>
      <w:r>
        <w:rPr>
          <w:rFonts w:hint="eastAsia"/>
          <w:highlight w:val="none"/>
        </w:rPr>
        <w:t>应提供详细供货清单，清单中依次说明型号、数量、产地、生产厂家等内容。对于属于整套设备运行和施工所必需的部件，即使本合同未列出或数目不足，</w:t>
      </w:r>
      <w:r>
        <w:rPr>
          <w:rFonts w:hint="eastAsia"/>
          <w:highlight w:val="none"/>
          <w:lang w:eastAsia="zh-CN"/>
        </w:rPr>
        <w:t>投标人</w:t>
      </w:r>
      <w:r>
        <w:rPr>
          <w:rFonts w:hint="eastAsia"/>
          <w:highlight w:val="none"/>
        </w:rPr>
        <w:t>仍须在执行合同时补足。</w:t>
      </w:r>
    </w:p>
    <w:p w14:paraId="5CB21228">
      <w:pPr>
        <w:spacing w:line="500" w:lineRule="exact"/>
        <w:ind w:firstLine="0"/>
        <w:rPr>
          <w:highlight w:val="none"/>
        </w:rPr>
      </w:pPr>
      <w:r>
        <w:rPr>
          <w:rFonts w:hint="eastAsia"/>
          <w:highlight w:val="none"/>
          <w:lang w:eastAsia="zh-CN"/>
        </w:rPr>
        <w:t>投标人</w:t>
      </w:r>
      <w:r>
        <w:rPr>
          <w:rFonts w:hint="eastAsia"/>
          <w:highlight w:val="none"/>
        </w:rPr>
        <w:t>应提供所有安装和检修所需专用工具和消耗材料等，并提供详细供货清单。</w:t>
      </w:r>
    </w:p>
    <w:p w14:paraId="0257853C">
      <w:pPr>
        <w:spacing w:line="500" w:lineRule="exact"/>
        <w:ind w:firstLine="0"/>
        <w:rPr>
          <w:highlight w:val="none"/>
        </w:rPr>
      </w:pPr>
      <w:r>
        <w:rPr>
          <w:rFonts w:hint="eastAsia"/>
          <w:highlight w:val="none"/>
        </w:rPr>
        <w:t>2.3提供所供设备中的进口件清单。</w:t>
      </w:r>
    </w:p>
    <w:p w14:paraId="377A9454">
      <w:pPr>
        <w:spacing w:line="500" w:lineRule="exact"/>
        <w:ind w:firstLine="0"/>
        <w:rPr>
          <w:rFonts w:hint="eastAsia"/>
          <w:highlight w:val="none"/>
        </w:rPr>
      </w:pPr>
      <w:r>
        <w:rPr>
          <w:rFonts w:hint="eastAsia"/>
          <w:highlight w:val="none"/>
        </w:rPr>
        <w:t>2.4</w:t>
      </w:r>
      <w:r>
        <w:rPr>
          <w:rFonts w:hint="eastAsia"/>
          <w:highlight w:val="none"/>
          <w:lang w:eastAsia="zh-CN"/>
        </w:rPr>
        <w:t>投标人</w:t>
      </w:r>
      <w:r>
        <w:rPr>
          <w:rFonts w:hint="eastAsia"/>
          <w:highlight w:val="none"/>
        </w:rPr>
        <w:t>需提供详细技术资料清单</w:t>
      </w:r>
    </w:p>
    <w:p w14:paraId="012AF696">
      <w:pPr>
        <w:kinsoku/>
        <w:wordWrap/>
        <w:overflowPunct/>
        <w:topLinePunct w:val="0"/>
        <w:autoSpaceDE/>
        <w:autoSpaceDN/>
        <w:bidi w:val="0"/>
        <w:adjustRightInd/>
        <w:spacing w:line="360" w:lineRule="auto"/>
        <w:ind w:left="0" w:firstLine="0" w:firstLineChars="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 xml:space="preserve">3 </w:t>
      </w:r>
      <w:r>
        <w:rPr>
          <w:rFonts w:hint="eastAsia" w:ascii="宋体" w:hAnsi="宋体" w:cs="宋体"/>
          <w:b/>
          <w:bCs/>
          <w:strike w:val="0"/>
          <w:sz w:val="24"/>
          <w:szCs w:val="24"/>
          <w:highlight w:val="none"/>
          <w:lang w:val="en-US" w:eastAsia="zh-CN"/>
        </w:rPr>
        <w:t>照明框架供货范围：</w:t>
      </w:r>
    </w:p>
    <w:p w14:paraId="1EC9578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以下清单为日常消缺维护所需物资，</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须按清单要求供货</w:t>
      </w:r>
    </w:p>
    <w:tbl>
      <w:tblPr>
        <w:tblStyle w:val="14"/>
        <w:tblW w:w="46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1"/>
        <w:gridCol w:w="3126"/>
        <w:gridCol w:w="1248"/>
        <w:gridCol w:w="652"/>
        <w:gridCol w:w="2465"/>
      </w:tblGrid>
      <w:tr w14:paraId="1932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shd w:val="clear" w:color="auto" w:fill="auto"/>
            <w:vAlign w:val="center"/>
          </w:tcPr>
          <w:p w14:paraId="0636C640">
            <w:pPr>
              <w:kinsoku/>
              <w:wordWrap/>
              <w:overflowPunct/>
              <w:topLinePunct w:val="0"/>
              <w:autoSpaceDE/>
              <w:autoSpaceDN/>
              <w:bidi w:val="0"/>
              <w:adjustRightInd/>
              <w:spacing w:before="40" w:after="40" w:line="24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序号</w:t>
            </w:r>
          </w:p>
        </w:tc>
        <w:tc>
          <w:tcPr>
            <w:tcW w:w="1919" w:type="pct"/>
            <w:shd w:val="clear" w:color="auto" w:fill="auto"/>
            <w:vAlign w:val="center"/>
          </w:tcPr>
          <w:p w14:paraId="2B036777">
            <w:pPr>
              <w:kinsoku/>
              <w:wordWrap/>
              <w:overflowPunct/>
              <w:topLinePunct w:val="0"/>
              <w:autoSpaceDE/>
              <w:autoSpaceDN/>
              <w:bidi w:val="0"/>
              <w:adjustRightInd/>
              <w:spacing w:before="40" w:after="40" w:line="24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物资名称</w:t>
            </w:r>
          </w:p>
        </w:tc>
        <w:tc>
          <w:tcPr>
            <w:tcW w:w="766" w:type="pct"/>
            <w:shd w:val="clear" w:color="auto" w:fill="auto"/>
            <w:vAlign w:val="center"/>
          </w:tcPr>
          <w:p w14:paraId="27A0107D">
            <w:pPr>
              <w:kinsoku/>
              <w:wordWrap/>
              <w:overflowPunct/>
              <w:topLinePunct w:val="0"/>
              <w:autoSpaceDE/>
              <w:autoSpaceDN/>
              <w:bidi w:val="0"/>
              <w:adjustRightInd/>
              <w:spacing w:before="40" w:after="40" w:line="24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数量</w:t>
            </w:r>
          </w:p>
        </w:tc>
        <w:tc>
          <w:tcPr>
            <w:tcW w:w="400" w:type="pct"/>
            <w:shd w:val="clear" w:color="auto" w:fill="auto"/>
            <w:vAlign w:val="center"/>
          </w:tcPr>
          <w:p w14:paraId="558D57AC">
            <w:pPr>
              <w:kinsoku/>
              <w:wordWrap/>
              <w:overflowPunct/>
              <w:topLinePunct w:val="0"/>
              <w:autoSpaceDE/>
              <w:autoSpaceDN/>
              <w:bidi w:val="0"/>
              <w:adjustRightInd/>
              <w:spacing w:before="40" w:after="40" w:line="24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单位</w:t>
            </w:r>
          </w:p>
        </w:tc>
        <w:tc>
          <w:tcPr>
            <w:tcW w:w="1513" w:type="pct"/>
            <w:shd w:val="clear" w:color="auto" w:fill="auto"/>
            <w:vAlign w:val="center"/>
          </w:tcPr>
          <w:p w14:paraId="5888B6DE">
            <w:pPr>
              <w:kinsoku/>
              <w:wordWrap/>
              <w:overflowPunct/>
              <w:topLinePunct w:val="0"/>
              <w:autoSpaceDE/>
              <w:autoSpaceDN/>
              <w:bidi w:val="0"/>
              <w:adjustRightInd/>
              <w:spacing w:before="40" w:after="40" w:line="24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备注</w:t>
            </w:r>
          </w:p>
        </w:tc>
      </w:tr>
      <w:tr w14:paraId="3506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8A0482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1</w:t>
            </w:r>
          </w:p>
        </w:tc>
        <w:tc>
          <w:tcPr>
            <w:tcW w:w="1919" w:type="pct"/>
            <w:vAlign w:val="center"/>
          </w:tcPr>
          <w:p w14:paraId="3EC2DE38">
            <w:pPr>
              <w:keepNext w:val="0"/>
              <w:keepLines w:val="0"/>
              <w:widowControl/>
              <w:suppressLineNumbers w:val="0"/>
              <w:spacing w:line="240" w:lineRule="auto"/>
              <w:ind w:firstLine="0" w:firstLineChars="0"/>
              <w:jc w:val="both"/>
              <w:textAlignment w:val="center"/>
              <w:rPr>
                <w:rFonts w:hint="eastAsia" w:ascii="宋体" w:hAnsi="宋体" w:eastAsia="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LED平板灯\1200×150mm\40W\AC220V\插脚式\户内\白</w:t>
            </w:r>
          </w:p>
        </w:tc>
        <w:tc>
          <w:tcPr>
            <w:tcW w:w="766" w:type="pct"/>
            <w:vAlign w:val="center"/>
          </w:tcPr>
          <w:p w14:paraId="3C6B9FEE">
            <w:pPr>
              <w:keepNext w:val="0"/>
              <w:keepLines w:val="0"/>
              <w:widowControl/>
              <w:suppressLineNumbers w:val="0"/>
              <w:spacing w:line="240" w:lineRule="auto"/>
              <w:ind w:firstLine="480" w:firstLineChars="0"/>
              <w:jc w:val="both"/>
              <w:textAlignment w:val="center"/>
              <w:rPr>
                <w:rFonts w:hint="eastAsia" w:ascii="宋体" w:hAnsi="宋体" w:eastAsia="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70</w:t>
            </w:r>
          </w:p>
        </w:tc>
        <w:tc>
          <w:tcPr>
            <w:tcW w:w="400" w:type="pct"/>
            <w:vAlign w:val="center"/>
          </w:tcPr>
          <w:p w14:paraId="6583423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633818A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3656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816BE2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919" w:type="pct"/>
            <w:vAlign w:val="center"/>
          </w:tcPr>
          <w:p w14:paraId="7F9C2A0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LED工作灯\SZSW7150-60Q\60W\AC220V</w:t>
            </w:r>
          </w:p>
        </w:tc>
        <w:tc>
          <w:tcPr>
            <w:tcW w:w="766" w:type="pct"/>
            <w:vAlign w:val="center"/>
          </w:tcPr>
          <w:p w14:paraId="7849434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1200</w:t>
            </w:r>
          </w:p>
        </w:tc>
        <w:tc>
          <w:tcPr>
            <w:tcW w:w="400" w:type="pct"/>
            <w:vAlign w:val="center"/>
          </w:tcPr>
          <w:p w14:paraId="26C174F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1C87F04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p>
        </w:tc>
      </w:tr>
      <w:tr w14:paraId="4629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BA59C8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919" w:type="pct"/>
            <w:vAlign w:val="center"/>
          </w:tcPr>
          <w:p w14:paraId="071FE98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LED路灯\BRP131-LED100/CW\100W\户外\白</w:t>
            </w:r>
          </w:p>
        </w:tc>
        <w:tc>
          <w:tcPr>
            <w:tcW w:w="766" w:type="pct"/>
            <w:vAlign w:val="center"/>
          </w:tcPr>
          <w:p w14:paraId="69956E3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400" w:type="pct"/>
            <w:vAlign w:val="center"/>
          </w:tcPr>
          <w:p w14:paraId="3058B0A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24E53B1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3913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F5972E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919" w:type="pct"/>
            <w:vAlign w:val="center"/>
          </w:tcPr>
          <w:p w14:paraId="4D2C37D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LED高天棚灯\BY238P\150W\AC220V\螺口式\户内\白</w:t>
            </w:r>
          </w:p>
        </w:tc>
        <w:tc>
          <w:tcPr>
            <w:tcW w:w="766" w:type="pct"/>
            <w:vAlign w:val="center"/>
          </w:tcPr>
          <w:p w14:paraId="616FE2E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400" w:type="pct"/>
            <w:vAlign w:val="center"/>
          </w:tcPr>
          <w:p w14:paraId="097AE50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01136A5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4394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1356AB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919" w:type="pct"/>
            <w:vAlign w:val="center"/>
          </w:tcPr>
          <w:p w14:paraId="583A119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LED投光灯\SZSW7181\150W\AC220V\一体式\户外\白</w:t>
            </w:r>
          </w:p>
        </w:tc>
        <w:tc>
          <w:tcPr>
            <w:tcW w:w="766" w:type="pct"/>
            <w:vAlign w:val="center"/>
          </w:tcPr>
          <w:p w14:paraId="012A5DF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w:t>
            </w:r>
          </w:p>
        </w:tc>
        <w:tc>
          <w:tcPr>
            <w:tcW w:w="400" w:type="pct"/>
            <w:vAlign w:val="center"/>
          </w:tcPr>
          <w:p w14:paraId="707324F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66DD0B3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p>
        </w:tc>
      </w:tr>
      <w:tr w14:paraId="7DCE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1273509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1919" w:type="pct"/>
            <w:vAlign w:val="center"/>
          </w:tcPr>
          <w:p w14:paraId="64236DD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LED投光灯\BVP150\70W\AC220V\一体式\户外\白</w:t>
            </w:r>
          </w:p>
        </w:tc>
        <w:tc>
          <w:tcPr>
            <w:tcW w:w="766" w:type="pct"/>
            <w:vAlign w:val="center"/>
          </w:tcPr>
          <w:p w14:paraId="1F7E3EC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7EF92B6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688AAD1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p>
        </w:tc>
      </w:tr>
      <w:tr w14:paraId="62224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4312DFE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w:t>
            </w:r>
          </w:p>
        </w:tc>
        <w:tc>
          <w:tcPr>
            <w:tcW w:w="1919" w:type="pct"/>
            <w:vAlign w:val="center"/>
          </w:tcPr>
          <w:p w14:paraId="1D775F4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防水LED投光灯\LGFS-600\600W\AC220V\卡口式\户外\白</w:t>
            </w:r>
          </w:p>
        </w:tc>
        <w:tc>
          <w:tcPr>
            <w:tcW w:w="766" w:type="pct"/>
            <w:vAlign w:val="center"/>
          </w:tcPr>
          <w:p w14:paraId="7656A71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400" w:type="pct"/>
            <w:vAlign w:val="center"/>
          </w:tcPr>
          <w:p w14:paraId="0EBE6C3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5B9E83B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1B9F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65B2D0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1919" w:type="pct"/>
            <w:vAlign w:val="center"/>
          </w:tcPr>
          <w:p w14:paraId="5B7D274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LED吸顶灯\NLMX10215\24W\AC220V\卡口式\户内\白</w:t>
            </w:r>
          </w:p>
        </w:tc>
        <w:tc>
          <w:tcPr>
            <w:tcW w:w="766" w:type="pct"/>
            <w:vAlign w:val="center"/>
          </w:tcPr>
          <w:p w14:paraId="1DFC352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3911B50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067F9CF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4EE8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1031B8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w:t>
            </w:r>
          </w:p>
        </w:tc>
        <w:tc>
          <w:tcPr>
            <w:tcW w:w="1919" w:type="pct"/>
            <w:vAlign w:val="center"/>
          </w:tcPr>
          <w:p w14:paraId="7874DD5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LED吸顶灯\RC048B LED32S\32W\AC220\杂类\户内\白</w:t>
            </w:r>
          </w:p>
        </w:tc>
        <w:tc>
          <w:tcPr>
            <w:tcW w:w="766" w:type="pct"/>
            <w:vAlign w:val="center"/>
          </w:tcPr>
          <w:p w14:paraId="2EA67A0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400" w:type="pct"/>
            <w:vAlign w:val="center"/>
          </w:tcPr>
          <w:p w14:paraId="358B507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4C53FCD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4608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E0FB26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919" w:type="pct"/>
            <w:vAlign w:val="center"/>
          </w:tcPr>
          <w:p w14:paraId="481B10F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LED灯\BPZ2200-865E27\19W\AC220V\螺口式\户内\白</w:t>
            </w:r>
          </w:p>
        </w:tc>
        <w:tc>
          <w:tcPr>
            <w:tcW w:w="766" w:type="pct"/>
            <w:vAlign w:val="center"/>
          </w:tcPr>
          <w:p w14:paraId="0700625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2000</w:t>
            </w:r>
          </w:p>
        </w:tc>
        <w:tc>
          <w:tcPr>
            <w:tcW w:w="400" w:type="pct"/>
            <w:vAlign w:val="center"/>
          </w:tcPr>
          <w:p w14:paraId="70E4113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6E15CC1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00F2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2156A4F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w:t>
            </w:r>
          </w:p>
        </w:tc>
        <w:tc>
          <w:tcPr>
            <w:tcW w:w="1919" w:type="pct"/>
            <w:vAlign w:val="center"/>
          </w:tcPr>
          <w:p w14:paraId="7A00FC0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LED集成吊顶灯\600×600mm\30W\AC220V\嵌入式\户内\白</w:t>
            </w:r>
          </w:p>
        </w:tc>
        <w:tc>
          <w:tcPr>
            <w:tcW w:w="766" w:type="pct"/>
            <w:vAlign w:val="center"/>
          </w:tcPr>
          <w:p w14:paraId="78F18EB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400" w:type="pct"/>
            <w:vAlign w:val="center"/>
          </w:tcPr>
          <w:p w14:paraId="02400B7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付</w:t>
            </w:r>
          </w:p>
        </w:tc>
        <w:tc>
          <w:tcPr>
            <w:tcW w:w="1513" w:type="pct"/>
            <w:vAlign w:val="center"/>
          </w:tcPr>
          <w:p w14:paraId="5BA9836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飞利浦、森本、海洋王或相当于</w:t>
            </w:r>
          </w:p>
        </w:tc>
      </w:tr>
      <w:tr w14:paraId="733E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8F4BCD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1919" w:type="pct"/>
            <w:vAlign w:val="center"/>
          </w:tcPr>
          <w:p w14:paraId="66A7F2A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LED一体冷库灯\Φ155×60mm\15W\AC220V\螺口式\户内\白</w:t>
            </w:r>
          </w:p>
        </w:tc>
        <w:tc>
          <w:tcPr>
            <w:tcW w:w="766" w:type="pct"/>
            <w:vAlign w:val="center"/>
          </w:tcPr>
          <w:p w14:paraId="334D978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w:t>
            </w:r>
          </w:p>
        </w:tc>
        <w:tc>
          <w:tcPr>
            <w:tcW w:w="400" w:type="pct"/>
            <w:vAlign w:val="center"/>
          </w:tcPr>
          <w:p w14:paraId="7554FD5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0D44E85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7DB0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27954C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13</w:t>
            </w:r>
          </w:p>
        </w:tc>
        <w:tc>
          <w:tcPr>
            <w:tcW w:w="1919" w:type="pct"/>
            <w:vAlign w:val="center"/>
          </w:tcPr>
          <w:p w14:paraId="4DE62D7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LED筒灯\WHTD12\12W\AC220V\卡口式\室内\白</w:t>
            </w:r>
          </w:p>
        </w:tc>
        <w:tc>
          <w:tcPr>
            <w:tcW w:w="766" w:type="pct"/>
            <w:vAlign w:val="center"/>
          </w:tcPr>
          <w:p w14:paraId="3B9540E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7D61F3E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132400A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507E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DBF29B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14</w:t>
            </w:r>
          </w:p>
        </w:tc>
        <w:tc>
          <w:tcPr>
            <w:tcW w:w="1919" w:type="pct"/>
            <w:vAlign w:val="center"/>
          </w:tcPr>
          <w:p w14:paraId="5366D17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LED集成吊顶灯\300×300mm\22W\AC220V\插脚式\户内\白</w:t>
            </w:r>
          </w:p>
        </w:tc>
        <w:tc>
          <w:tcPr>
            <w:tcW w:w="766" w:type="pct"/>
            <w:vAlign w:val="center"/>
          </w:tcPr>
          <w:p w14:paraId="38B78F7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150</w:t>
            </w:r>
          </w:p>
        </w:tc>
        <w:tc>
          <w:tcPr>
            <w:tcW w:w="400" w:type="pct"/>
            <w:vAlign w:val="center"/>
          </w:tcPr>
          <w:p w14:paraId="34D5C3B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2AFDE9B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40D4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9BBC6D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1919" w:type="pct"/>
            <w:vAlign w:val="center"/>
          </w:tcPr>
          <w:p w14:paraId="36B43F1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LED高顶灯\SZSW8470-400\400W\AC220V\螺口式\户外\白</w:t>
            </w:r>
          </w:p>
        </w:tc>
        <w:tc>
          <w:tcPr>
            <w:tcW w:w="766" w:type="pct"/>
            <w:vAlign w:val="center"/>
          </w:tcPr>
          <w:p w14:paraId="4E6AFC4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400" w:type="pct"/>
            <w:vAlign w:val="center"/>
          </w:tcPr>
          <w:p w14:paraId="0A7AF9A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249CB8C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，备煤区域</w:t>
            </w:r>
          </w:p>
        </w:tc>
      </w:tr>
      <w:tr w14:paraId="45C5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9267BC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16</w:t>
            </w:r>
          </w:p>
        </w:tc>
        <w:tc>
          <w:tcPr>
            <w:tcW w:w="1919" w:type="pct"/>
            <w:vAlign w:val="center"/>
          </w:tcPr>
          <w:p w14:paraId="762EAD9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LED消防标志灯\M-BLZD-1LROE-I-4WADD 安全出口\4W\AC220V\一体式\户内\绿</w:t>
            </w:r>
          </w:p>
        </w:tc>
        <w:tc>
          <w:tcPr>
            <w:tcW w:w="766" w:type="pct"/>
            <w:vAlign w:val="center"/>
          </w:tcPr>
          <w:p w14:paraId="3F7CE50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036F166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769A39D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3776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CE239A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17</w:t>
            </w:r>
          </w:p>
        </w:tc>
        <w:tc>
          <w:tcPr>
            <w:tcW w:w="1919" w:type="pct"/>
            <w:vAlign w:val="center"/>
          </w:tcPr>
          <w:p w14:paraId="3582B22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LED消防标志灯\M-BLZD-1LROE-I-4WADD 右指向\4W\AC220V\一体式\户内\绿</w:t>
            </w:r>
          </w:p>
        </w:tc>
        <w:tc>
          <w:tcPr>
            <w:tcW w:w="766" w:type="pct"/>
            <w:vAlign w:val="center"/>
          </w:tcPr>
          <w:p w14:paraId="3FAFF04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243AC5D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2FC93F6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3DBE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9698A5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18</w:t>
            </w:r>
          </w:p>
        </w:tc>
        <w:tc>
          <w:tcPr>
            <w:tcW w:w="1919" w:type="pct"/>
            <w:vAlign w:val="center"/>
          </w:tcPr>
          <w:p w14:paraId="75469EB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LED消防标志灯\M-BLZD-1LROE-I-4WADD 左方向\4W\AC220V\一体式\户内\绿</w:t>
            </w:r>
          </w:p>
        </w:tc>
        <w:tc>
          <w:tcPr>
            <w:tcW w:w="766" w:type="pct"/>
            <w:vAlign w:val="center"/>
          </w:tcPr>
          <w:p w14:paraId="4078627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3FE32BB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2B650FB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4E88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B29A0B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19</w:t>
            </w:r>
          </w:p>
        </w:tc>
        <w:tc>
          <w:tcPr>
            <w:tcW w:w="1919" w:type="pct"/>
            <w:vAlign w:val="center"/>
          </w:tcPr>
          <w:p w14:paraId="567EE24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LED向左消防标志灯\BLZD-1LROE I 1W\1W\DC36V\杂类\绿</w:t>
            </w:r>
          </w:p>
        </w:tc>
        <w:tc>
          <w:tcPr>
            <w:tcW w:w="766" w:type="pct"/>
            <w:vAlign w:val="center"/>
          </w:tcPr>
          <w:p w14:paraId="2B62694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58C8698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30333A3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61AF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1ED2EDB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w:t>
            </w:r>
          </w:p>
        </w:tc>
        <w:tc>
          <w:tcPr>
            <w:tcW w:w="1919" w:type="pct"/>
            <w:vAlign w:val="center"/>
          </w:tcPr>
          <w:p w14:paraId="5FEF05F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LED向右消防标志灯\BLZD-1LROE I 1W\1W\DC36V\杂类\绿</w:t>
            </w:r>
          </w:p>
        </w:tc>
        <w:tc>
          <w:tcPr>
            <w:tcW w:w="766" w:type="pct"/>
            <w:vAlign w:val="center"/>
          </w:tcPr>
          <w:p w14:paraId="0B022AC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762E0EF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666149A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59F6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39C485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21</w:t>
            </w:r>
          </w:p>
        </w:tc>
        <w:tc>
          <w:tcPr>
            <w:tcW w:w="1919" w:type="pct"/>
            <w:vAlign w:val="center"/>
          </w:tcPr>
          <w:p w14:paraId="6510C01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LED安全出口消防标志灯\BLZD-1LROE I 1W\1W\DC36V\绿</w:t>
            </w:r>
          </w:p>
        </w:tc>
        <w:tc>
          <w:tcPr>
            <w:tcW w:w="766" w:type="pct"/>
            <w:vAlign w:val="center"/>
          </w:tcPr>
          <w:p w14:paraId="1D9EADE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450A712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28E3919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3A20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13584D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22</w:t>
            </w:r>
          </w:p>
        </w:tc>
        <w:tc>
          <w:tcPr>
            <w:tcW w:w="1919" w:type="pct"/>
            <w:vAlign w:val="center"/>
          </w:tcPr>
          <w:p w14:paraId="26B8A57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LED消防应急照明灯\ZFZD-E3W\3W\DC36V\杂类\白</w:t>
            </w:r>
          </w:p>
        </w:tc>
        <w:tc>
          <w:tcPr>
            <w:tcW w:w="766" w:type="pct"/>
            <w:vAlign w:val="center"/>
          </w:tcPr>
          <w:p w14:paraId="3D4CF21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04E17E2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7AF421F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394B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400CAE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1919" w:type="pct"/>
            <w:vAlign w:val="center"/>
          </w:tcPr>
          <w:p w14:paraId="76AC9C3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防爆LED消防应急照明灯\SW-BLZD-I LROE3W-8242\3W\AC220V\一体式\户外\白</w:t>
            </w:r>
          </w:p>
        </w:tc>
        <w:tc>
          <w:tcPr>
            <w:tcW w:w="766" w:type="pct"/>
            <w:vAlign w:val="center"/>
          </w:tcPr>
          <w:p w14:paraId="46E6A5A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0CF2F9C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3FB6A42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1997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A83AEA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24</w:t>
            </w:r>
          </w:p>
        </w:tc>
        <w:tc>
          <w:tcPr>
            <w:tcW w:w="1919" w:type="pct"/>
            <w:vAlign w:val="center"/>
          </w:tcPr>
          <w:p w14:paraId="1F85106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LED防爆吸顶灯\BC9200-A\12W\AC220V\一体式\户外\白</w:t>
            </w:r>
          </w:p>
        </w:tc>
        <w:tc>
          <w:tcPr>
            <w:tcW w:w="766" w:type="pct"/>
            <w:vAlign w:val="center"/>
          </w:tcPr>
          <w:p w14:paraId="2693C2F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400" w:type="pct"/>
            <w:vAlign w:val="center"/>
          </w:tcPr>
          <w:p w14:paraId="7A5C53B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2DEBDB5F">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，备煤区域</w:t>
            </w:r>
          </w:p>
        </w:tc>
      </w:tr>
      <w:tr w14:paraId="47F7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47B59C7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1919" w:type="pct"/>
            <w:vAlign w:val="center"/>
          </w:tcPr>
          <w:p w14:paraId="7180906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LED防爆灯\FGQ1205-LED70\70W\AC220V\一体式\户外\白</w:t>
            </w:r>
          </w:p>
        </w:tc>
        <w:tc>
          <w:tcPr>
            <w:tcW w:w="766" w:type="pct"/>
            <w:vAlign w:val="center"/>
          </w:tcPr>
          <w:p w14:paraId="29DB99E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160</w:t>
            </w:r>
          </w:p>
        </w:tc>
        <w:tc>
          <w:tcPr>
            <w:tcW w:w="400" w:type="pct"/>
            <w:vAlign w:val="center"/>
          </w:tcPr>
          <w:p w14:paraId="1E3EB4E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44E61DD4">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，备煤区域</w:t>
            </w:r>
          </w:p>
        </w:tc>
      </w:tr>
      <w:tr w14:paraId="5E95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3E187E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26</w:t>
            </w:r>
          </w:p>
        </w:tc>
        <w:tc>
          <w:tcPr>
            <w:tcW w:w="1919" w:type="pct"/>
            <w:vAlign w:val="center"/>
          </w:tcPr>
          <w:p w14:paraId="3FFD6D4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LED防爆平台灯\SZSW8135\60W\AC220V\杂类\户外\白</w:t>
            </w:r>
          </w:p>
        </w:tc>
        <w:tc>
          <w:tcPr>
            <w:tcW w:w="766" w:type="pct"/>
            <w:vAlign w:val="center"/>
          </w:tcPr>
          <w:p w14:paraId="73F7283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1800</w:t>
            </w:r>
          </w:p>
        </w:tc>
        <w:tc>
          <w:tcPr>
            <w:tcW w:w="400" w:type="pct"/>
            <w:vAlign w:val="center"/>
          </w:tcPr>
          <w:p w14:paraId="1A534CC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6458D802">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720F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7836DC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27</w:t>
            </w:r>
          </w:p>
        </w:tc>
        <w:tc>
          <w:tcPr>
            <w:tcW w:w="1919" w:type="pct"/>
            <w:vAlign w:val="center"/>
          </w:tcPr>
          <w:p w14:paraId="4A35455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LED灯泡\E27\10W\AC220V\螺口式\户内\白</w:t>
            </w:r>
          </w:p>
        </w:tc>
        <w:tc>
          <w:tcPr>
            <w:tcW w:w="766" w:type="pct"/>
            <w:vAlign w:val="center"/>
          </w:tcPr>
          <w:p w14:paraId="231B565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3B592B8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751A5EC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11CD5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6B223C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28</w:t>
            </w:r>
          </w:p>
        </w:tc>
        <w:tc>
          <w:tcPr>
            <w:tcW w:w="1919" w:type="pct"/>
            <w:vAlign w:val="center"/>
          </w:tcPr>
          <w:p w14:paraId="348251B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LED灯芯片\7030—22W/DW/1088-2 Φ275mm\飞利浦</w:t>
            </w:r>
          </w:p>
        </w:tc>
        <w:tc>
          <w:tcPr>
            <w:tcW w:w="766" w:type="pct"/>
            <w:vAlign w:val="center"/>
          </w:tcPr>
          <w:p w14:paraId="7C6B7E6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094D9B8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件</w:t>
            </w:r>
          </w:p>
        </w:tc>
        <w:tc>
          <w:tcPr>
            <w:tcW w:w="1513" w:type="pct"/>
            <w:vAlign w:val="center"/>
          </w:tcPr>
          <w:p w14:paraId="5D0808B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飞利浦、森本、海洋王或相当于</w:t>
            </w:r>
          </w:p>
        </w:tc>
      </w:tr>
      <w:tr w14:paraId="6DE9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5370AB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29</w:t>
            </w:r>
          </w:p>
        </w:tc>
        <w:tc>
          <w:tcPr>
            <w:tcW w:w="1919" w:type="pct"/>
            <w:vAlign w:val="center"/>
          </w:tcPr>
          <w:p w14:paraId="4ED73A8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LED灯泡\BPZ800\9W\AC220V\螺口式\户内\白</w:t>
            </w:r>
          </w:p>
        </w:tc>
        <w:tc>
          <w:tcPr>
            <w:tcW w:w="766" w:type="pct"/>
            <w:vAlign w:val="center"/>
          </w:tcPr>
          <w:p w14:paraId="6987400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600</w:t>
            </w:r>
          </w:p>
        </w:tc>
        <w:tc>
          <w:tcPr>
            <w:tcW w:w="400" w:type="pct"/>
            <w:vAlign w:val="center"/>
          </w:tcPr>
          <w:p w14:paraId="6232A10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44BB18D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72375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E60D48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w:t>
            </w:r>
          </w:p>
        </w:tc>
        <w:tc>
          <w:tcPr>
            <w:tcW w:w="1919" w:type="pct"/>
            <w:vAlign w:val="center"/>
          </w:tcPr>
          <w:p w14:paraId="26F6E21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LED灯管\T8/1.2m\27W\AC220V\插脚式\户内\白</w:t>
            </w:r>
          </w:p>
        </w:tc>
        <w:tc>
          <w:tcPr>
            <w:tcW w:w="766" w:type="pct"/>
            <w:vAlign w:val="center"/>
          </w:tcPr>
          <w:p w14:paraId="74754D1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400</w:t>
            </w:r>
          </w:p>
        </w:tc>
        <w:tc>
          <w:tcPr>
            <w:tcW w:w="400" w:type="pct"/>
            <w:vAlign w:val="center"/>
          </w:tcPr>
          <w:p w14:paraId="0262AC8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7BAF9CA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7B4F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4580AA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31</w:t>
            </w:r>
          </w:p>
        </w:tc>
        <w:tc>
          <w:tcPr>
            <w:tcW w:w="1919" w:type="pct"/>
            <w:vAlign w:val="center"/>
          </w:tcPr>
          <w:p w14:paraId="2996889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LED灯管\1200m\16W\AC220V\插脚式\户内\白</w:t>
            </w:r>
          </w:p>
        </w:tc>
        <w:tc>
          <w:tcPr>
            <w:tcW w:w="766" w:type="pct"/>
            <w:vAlign w:val="center"/>
          </w:tcPr>
          <w:p w14:paraId="08E0717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2CCB44E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74A0CEC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45FC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4F4C771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32</w:t>
            </w:r>
          </w:p>
        </w:tc>
        <w:tc>
          <w:tcPr>
            <w:tcW w:w="1919" w:type="pct"/>
            <w:vAlign w:val="center"/>
          </w:tcPr>
          <w:p w14:paraId="7FFC1FA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LED灯管\T8/1.5m\18W\AC220V\卡口式\户内\白</w:t>
            </w:r>
          </w:p>
        </w:tc>
        <w:tc>
          <w:tcPr>
            <w:tcW w:w="766" w:type="pct"/>
            <w:vAlign w:val="center"/>
          </w:tcPr>
          <w:p w14:paraId="2DB3350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400" w:type="pct"/>
            <w:vAlign w:val="center"/>
          </w:tcPr>
          <w:p w14:paraId="397D84F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1769626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5BC9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0F9C93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33</w:t>
            </w:r>
          </w:p>
        </w:tc>
        <w:tc>
          <w:tcPr>
            <w:tcW w:w="1919" w:type="pct"/>
            <w:vAlign w:val="center"/>
          </w:tcPr>
          <w:p w14:paraId="207D476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LED灯管\T5一体化灯管 1.2m\20W\AC220V\插脚式\户内\白</w:t>
            </w:r>
          </w:p>
        </w:tc>
        <w:tc>
          <w:tcPr>
            <w:tcW w:w="766" w:type="pct"/>
            <w:vAlign w:val="center"/>
          </w:tcPr>
          <w:p w14:paraId="655D6BC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6016289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171CF1E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r w14:paraId="28CD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B5B0E9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34</w:t>
            </w:r>
          </w:p>
        </w:tc>
        <w:tc>
          <w:tcPr>
            <w:tcW w:w="1919" w:type="pct"/>
            <w:vAlign w:val="center"/>
          </w:tcPr>
          <w:p w14:paraId="6C38846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金属卤化物灯泡\MH100W-E27\100W\AC220V\螺口式\白</w:t>
            </w:r>
          </w:p>
        </w:tc>
        <w:tc>
          <w:tcPr>
            <w:tcW w:w="766" w:type="pct"/>
            <w:vAlign w:val="center"/>
          </w:tcPr>
          <w:p w14:paraId="13CCC12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800</w:t>
            </w:r>
          </w:p>
        </w:tc>
        <w:tc>
          <w:tcPr>
            <w:tcW w:w="400" w:type="pct"/>
            <w:vAlign w:val="center"/>
          </w:tcPr>
          <w:p w14:paraId="6F10487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4C6831F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合隆、新黎明、电光或相当于</w:t>
            </w:r>
          </w:p>
        </w:tc>
      </w:tr>
      <w:tr w14:paraId="1E4A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40637B9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35</w:t>
            </w:r>
          </w:p>
        </w:tc>
        <w:tc>
          <w:tcPr>
            <w:tcW w:w="1919" w:type="pct"/>
            <w:vAlign w:val="center"/>
          </w:tcPr>
          <w:p w14:paraId="47174D2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金卤灯\HPI-P\250W\AC220V\螺口式\白</w:t>
            </w:r>
          </w:p>
        </w:tc>
        <w:tc>
          <w:tcPr>
            <w:tcW w:w="766" w:type="pct"/>
            <w:vAlign w:val="center"/>
          </w:tcPr>
          <w:p w14:paraId="1E62CC6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110260E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79FA971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飞利浦、欧司朗、卡梵或相当于</w:t>
            </w:r>
          </w:p>
        </w:tc>
      </w:tr>
      <w:tr w14:paraId="4898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100DD34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36</w:t>
            </w:r>
          </w:p>
        </w:tc>
        <w:tc>
          <w:tcPr>
            <w:tcW w:w="1919" w:type="pct"/>
            <w:vAlign w:val="center"/>
          </w:tcPr>
          <w:p w14:paraId="222AF2F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安全出口防爆应急标志灯\BLZD-1LROE I 3W\3W\AC220V\绿</w:t>
            </w:r>
          </w:p>
        </w:tc>
        <w:tc>
          <w:tcPr>
            <w:tcW w:w="766" w:type="pct"/>
            <w:vAlign w:val="center"/>
          </w:tcPr>
          <w:p w14:paraId="6DF1936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5847B01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1403AA3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6E30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2EB3ED5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37</w:t>
            </w:r>
          </w:p>
        </w:tc>
        <w:tc>
          <w:tcPr>
            <w:tcW w:w="1919" w:type="pct"/>
            <w:vAlign w:val="center"/>
          </w:tcPr>
          <w:p w14:paraId="7B395D8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向右防爆应急标志灯\BLZD-1LROE I 3W\3W\AC220V\杂类\绿</w:t>
            </w:r>
          </w:p>
        </w:tc>
        <w:tc>
          <w:tcPr>
            <w:tcW w:w="766" w:type="pct"/>
            <w:vAlign w:val="center"/>
          </w:tcPr>
          <w:p w14:paraId="2FE3A49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52BB096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4C79B1B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4F98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130D5C2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38</w:t>
            </w:r>
          </w:p>
        </w:tc>
        <w:tc>
          <w:tcPr>
            <w:tcW w:w="1919" w:type="pct"/>
            <w:vAlign w:val="center"/>
          </w:tcPr>
          <w:p w14:paraId="3F29691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向左防爆应急标志灯\BLZD-1LROE I 3W\3W\AC220V\杂类\绿</w:t>
            </w:r>
          </w:p>
        </w:tc>
        <w:tc>
          <w:tcPr>
            <w:tcW w:w="766" w:type="pct"/>
            <w:vAlign w:val="center"/>
          </w:tcPr>
          <w:p w14:paraId="67D1C7E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4EFD477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1557FA5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68A9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41BAB5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39</w:t>
            </w:r>
          </w:p>
        </w:tc>
        <w:tc>
          <w:tcPr>
            <w:tcW w:w="1919" w:type="pct"/>
            <w:vAlign w:val="center"/>
          </w:tcPr>
          <w:p w14:paraId="6D5C61B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向左防爆应急标志灯\BLZD-1LROE I 3W\3W\DC36V\杂类\绿</w:t>
            </w:r>
          </w:p>
        </w:tc>
        <w:tc>
          <w:tcPr>
            <w:tcW w:w="766" w:type="pct"/>
            <w:vAlign w:val="center"/>
          </w:tcPr>
          <w:p w14:paraId="3ABDC46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44B903C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56EDF7A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179E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6F7696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1919" w:type="pct"/>
            <w:vAlign w:val="center"/>
          </w:tcPr>
          <w:p w14:paraId="1582F0E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向右防爆应急标志灯\BLZD-1LROE I 3W\3W\DC36V\杂类\绿</w:t>
            </w:r>
          </w:p>
        </w:tc>
        <w:tc>
          <w:tcPr>
            <w:tcW w:w="766" w:type="pct"/>
            <w:vAlign w:val="center"/>
          </w:tcPr>
          <w:p w14:paraId="5BD36F6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05FE63C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14A6E3B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0E4A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3AC40D5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41</w:t>
            </w:r>
          </w:p>
        </w:tc>
        <w:tc>
          <w:tcPr>
            <w:tcW w:w="1919" w:type="pct"/>
            <w:vAlign w:val="center"/>
          </w:tcPr>
          <w:p w14:paraId="2C02EB9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防爆安全出口应急标志灯\BLZD-1LROE I 3W\3W\DC36V\绿</w:t>
            </w:r>
          </w:p>
        </w:tc>
        <w:tc>
          <w:tcPr>
            <w:tcW w:w="766" w:type="pct"/>
            <w:vAlign w:val="center"/>
          </w:tcPr>
          <w:p w14:paraId="08BEA95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671812E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570B067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10FD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733129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42</w:t>
            </w:r>
          </w:p>
        </w:tc>
        <w:tc>
          <w:tcPr>
            <w:tcW w:w="1919" w:type="pct"/>
            <w:vAlign w:val="center"/>
          </w:tcPr>
          <w:p w14:paraId="189D18C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防爆消防应急照明灯\ZFZD-E5W\5W\DC36V\杂类\白</w:t>
            </w:r>
          </w:p>
        </w:tc>
        <w:tc>
          <w:tcPr>
            <w:tcW w:w="766" w:type="pct"/>
            <w:vAlign w:val="center"/>
          </w:tcPr>
          <w:p w14:paraId="21DBEE8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1C669C0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2C8D2F8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18B0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2109727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43</w:t>
            </w:r>
          </w:p>
        </w:tc>
        <w:tc>
          <w:tcPr>
            <w:tcW w:w="1919" w:type="pct"/>
            <w:vAlign w:val="center"/>
          </w:tcPr>
          <w:p w14:paraId="5739494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消防应急照明灯\SW-ZFZD-E6W-7241\6W\AC220V\卡口式\白</w:t>
            </w:r>
          </w:p>
        </w:tc>
        <w:tc>
          <w:tcPr>
            <w:tcW w:w="766" w:type="pct"/>
            <w:vAlign w:val="center"/>
          </w:tcPr>
          <w:p w14:paraId="00B9C3E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654A9DF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1B94B41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敏华、光世界、台谊或相当于</w:t>
            </w:r>
          </w:p>
        </w:tc>
      </w:tr>
      <w:tr w14:paraId="1062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10E315D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44</w:t>
            </w:r>
          </w:p>
        </w:tc>
        <w:tc>
          <w:tcPr>
            <w:tcW w:w="1919" w:type="pct"/>
            <w:vAlign w:val="center"/>
          </w:tcPr>
          <w:p w14:paraId="5B5ACB6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灯带插头\12-LE-38749/3528灯带专用\欧普照明</w:t>
            </w:r>
          </w:p>
        </w:tc>
        <w:tc>
          <w:tcPr>
            <w:tcW w:w="766" w:type="pct"/>
            <w:vAlign w:val="center"/>
          </w:tcPr>
          <w:p w14:paraId="5645794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05784B7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件</w:t>
            </w:r>
          </w:p>
        </w:tc>
        <w:tc>
          <w:tcPr>
            <w:tcW w:w="1513" w:type="pct"/>
            <w:vAlign w:val="center"/>
          </w:tcPr>
          <w:p w14:paraId="0152CDE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512A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shd w:val="clear" w:color="auto" w:fill="auto"/>
            <w:vAlign w:val="center"/>
          </w:tcPr>
          <w:p w14:paraId="02C7DE5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45</w:t>
            </w:r>
          </w:p>
        </w:tc>
        <w:tc>
          <w:tcPr>
            <w:tcW w:w="1919" w:type="pct"/>
            <w:shd w:val="clear" w:color="auto" w:fill="auto"/>
            <w:vAlign w:val="center"/>
          </w:tcPr>
          <w:p w14:paraId="67BA312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吊灯灯座\E3-E27\厂商无要求</w:t>
            </w:r>
          </w:p>
        </w:tc>
        <w:tc>
          <w:tcPr>
            <w:tcW w:w="766" w:type="pct"/>
            <w:shd w:val="clear" w:color="auto" w:fill="auto"/>
            <w:vAlign w:val="center"/>
          </w:tcPr>
          <w:p w14:paraId="3431C3F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shd w:val="clear" w:color="auto" w:fill="auto"/>
            <w:vAlign w:val="center"/>
          </w:tcPr>
          <w:p w14:paraId="398BD32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件</w:t>
            </w:r>
          </w:p>
        </w:tc>
        <w:tc>
          <w:tcPr>
            <w:tcW w:w="1513" w:type="pct"/>
            <w:shd w:val="clear" w:color="auto" w:fill="auto"/>
            <w:vAlign w:val="center"/>
          </w:tcPr>
          <w:p w14:paraId="067D85E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506D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48B12C2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46</w:t>
            </w:r>
          </w:p>
        </w:tc>
        <w:tc>
          <w:tcPr>
            <w:tcW w:w="1919" w:type="pct"/>
            <w:vAlign w:val="center"/>
          </w:tcPr>
          <w:p w14:paraId="5ACA177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荧光灯管\T5\14W\AC220V\卡口式\户内\白光</w:t>
            </w:r>
          </w:p>
        </w:tc>
        <w:tc>
          <w:tcPr>
            <w:tcW w:w="766" w:type="pct"/>
            <w:vAlign w:val="center"/>
          </w:tcPr>
          <w:p w14:paraId="4C79542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500</w:t>
            </w:r>
          </w:p>
        </w:tc>
        <w:tc>
          <w:tcPr>
            <w:tcW w:w="400" w:type="pct"/>
            <w:vAlign w:val="center"/>
          </w:tcPr>
          <w:p w14:paraId="630F938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件</w:t>
            </w:r>
          </w:p>
        </w:tc>
        <w:tc>
          <w:tcPr>
            <w:tcW w:w="1513" w:type="pct"/>
            <w:vAlign w:val="center"/>
          </w:tcPr>
          <w:p w14:paraId="0D7661AE">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2FDF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7151E1B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47</w:t>
            </w:r>
          </w:p>
        </w:tc>
        <w:tc>
          <w:tcPr>
            <w:tcW w:w="1919" w:type="pct"/>
            <w:vAlign w:val="center"/>
          </w:tcPr>
          <w:p w14:paraId="253E5F9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白炽灯\100W\DC36V\螺口式</w:t>
            </w:r>
          </w:p>
        </w:tc>
        <w:tc>
          <w:tcPr>
            <w:tcW w:w="766" w:type="pct"/>
            <w:vAlign w:val="center"/>
          </w:tcPr>
          <w:p w14:paraId="22090B2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200</w:t>
            </w:r>
          </w:p>
        </w:tc>
        <w:tc>
          <w:tcPr>
            <w:tcW w:w="400" w:type="pct"/>
            <w:vAlign w:val="center"/>
          </w:tcPr>
          <w:p w14:paraId="3EEAB3C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只</w:t>
            </w:r>
          </w:p>
        </w:tc>
        <w:tc>
          <w:tcPr>
            <w:tcW w:w="1513" w:type="pct"/>
            <w:vAlign w:val="center"/>
          </w:tcPr>
          <w:p w14:paraId="7CDEE69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欧普、雷士、飞利浦或相当于</w:t>
            </w:r>
          </w:p>
        </w:tc>
      </w:tr>
      <w:tr w14:paraId="6958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8AADDB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48</w:t>
            </w:r>
          </w:p>
        </w:tc>
        <w:tc>
          <w:tcPr>
            <w:tcW w:w="1919" w:type="pct"/>
            <w:vAlign w:val="center"/>
          </w:tcPr>
          <w:p w14:paraId="63F5629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防爆镇流器\BAZ51-L 250</w:t>
            </w:r>
          </w:p>
        </w:tc>
        <w:tc>
          <w:tcPr>
            <w:tcW w:w="766" w:type="pct"/>
            <w:vAlign w:val="center"/>
          </w:tcPr>
          <w:p w14:paraId="06A1BF0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w:t>
            </w:r>
          </w:p>
        </w:tc>
        <w:tc>
          <w:tcPr>
            <w:tcW w:w="400" w:type="pct"/>
            <w:vAlign w:val="center"/>
          </w:tcPr>
          <w:p w14:paraId="534B0A9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件</w:t>
            </w:r>
          </w:p>
        </w:tc>
        <w:tc>
          <w:tcPr>
            <w:tcW w:w="1513" w:type="pct"/>
            <w:vAlign w:val="center"/>
          </w:tcPr>
          <w:p w14:paraId="4C35DF0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尚为、森本、海洋王或相当于</w:t>
            </w:r>
            <w:r>
              <w:rPr>
                <w:rFonts w:hint="eastAsia" w:ascii="宋体" w:hAnsi="宋体" w:cs="宋体"/>
                <w:i w:val="0"/>
                <w:iCs w:val="0"/>
                <w:color w:val="000000"/>
                <w:kern w:val="0"/>
                <w:sz w:val="18"/>
                <w:szCs w:val="18"/>
                <w:highlight w:val="none"/>
                <w:u w:val="none"/>
                <w:lang w:val="en-US" w:eastAsia="zh-CN"/>
              </w:rPr>
              <w:t>，化工区域</w:t>
            </w:r>
          </w:p>
        </w:tc>
      </w:tr>
      <w:tr w14:paraId="6184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26928A8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49</w:t>
            </w:r>
          </w:p>
        </w:tc>
        <w:tc>
          <w:tcPr>
            <w:tcW w:w="1919" w:type="pct"/>
            <w:vAlign w:val="center"/>
          </w:tcPr>
          <w:p w14:paraId="0A05040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镇流器\BSN 250L 3001\飞利浦</w:t>
            </w:r>
          </w:p>
        </w:tc>
        <w:tc>
          <w:tcPr>
            <w:tcW w:w="766" w:type="pct"/>
            <w:vAlign w:val="center"/>
          </w:tcPr>
          <w:p w14:paraId="065224B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00" w:type="pct"/>
            <w:vAlign w:val="center"/>
          </w:tcPr>
          <w:p w14:paraId="1C43B3B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个</w:t>
            </w:r>
          </w:p>
        </w:tc>
        <w:tc>
          <w:tcPr>
            <w:tcW w:w="1513" w:type="pct"/>
            <w:vAlign w:val="center"/>
          </w:tcPr>
          <w:p w14:paraId="5B2D8C17">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合隆、新黎明、电光或相当于</w:t>
            </w:r>
          </w:p>
        </w:tc>
      </w:tr>
      <w:tr w14:paraId="2697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6C41C08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w:t>
            </w:r>
          </w:p>
        </w:tc>
        <w:tc>
          <w:tcPr>
            <w:tcW w:w="1919" w:type="pct"/>
            <w:vAlign w:val="center"/>
          </w:tcPr>
          <w:p w14:paraId="5B4F8E9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电子触发器\CD-7H\欧司朗</w:t>
            </w:r>
          </w:p>
        </w:tc>
        <w:tc>
          <w:tcPr>
            <w:tcW w:w="766" w:type="pct"/>
            <w:vAlign w:val="center"/>
          </w:tcPr>
          <w:p w14:paraId="68438A4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300</w:t>
            </w:r>
          </w:p>
        </w:tc>
        <w:tc>
          <w:tcPr>
            <w:tcW w:w="400" w:type="pct"/>
            <w:vAlign w:val="center"/>
          </w:tcPr>
          <w:p w14:paraId="0A90D14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套</w:t>
            </w:r>
          </w:p>
        </w:tc>
        <w:tc>
          <w:tcPr>
            <w:tcW w:w="1513" w:type="pct"/>
            <w:vAlign w:val="center"/>
          </w:tcPr>
          <w:p w14:paraId="0988CC4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飞利浦、欧司朗、卡梵或相当于</w:t>
            </w:r>
          </w:p>
        </w:tc>
      </w:tr>
      <w:tr w14:paraId="679E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57C8D8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51</w:t>
            </w:r>
          </w:p>
        </w:tc>
        <w:tc>
          <w:tcPr>
            <w:tcW w:w="1919" w:type="pct"/>
            <w:vAlign w:val="center"/>
          </w:tcPr>
          <w:p w14:paraId="061C7F9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LED投光灯\FGV6248\1000W\AC220V\螺口式\户外\白</w:t>
            </w:r>
          </w:p>
        </w:tc>
        <w:tc>
          <w:tcPr>
            <w:tcW w:w="766" w:type="pct"/>
            <w:vAlign w:val="center"/>
          </w:tcPr>
          <w:p w14:paraId="5530F01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２</w:t>
            </w:r>
          </w:p>
        </w:tc>
        <w:tc>
          <w:tcPr>
            <w:tcW w:w="400" w:type="pct"/>
            <w:vAlign w:val="center"/>
          </w:tcPr>
          <w:p w14:paraId="67E059E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件</w:t>
            </w:r>
          </w:p>
        </w:tc>
        <w:tc>
          <w:tcPr>
            <w:tcW w:w="1513" w:type="pct"/>
            <w:vAlign w:val="center"/>
          </w:tcPr>
          <w:p w14:paraId="5CCF899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尚为、森本、海洋王或相当于</w:t>
            </w:r>
          </w:p>
        </w:tc>
      </w:tr>
      <w:tr w14:paraId="5BE8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2C1B758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52</w:t>
            </w:r>
          </w:p>
        </w:tc>
        <w:tc>
          <w:tcPr>
            <w:tcW w:w="1919" w:type="pct"/>
            <w:vAlign w:val="center"/>
          </w:tcPr>
          <w:p w14:paraId="311CDF1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防爆投影灯\BLQZ-KOD\200W\AC380V\杂类\白</w:t>
            </w:r>
          </w:p>
        </w:tc>
        <w:tc>
          <w:tcPr>
            <w:tcW w:w="766" w:type="pct"/>
            <w:vAlign w:val="center"/>
          </w:tcPr>
          <w:p w14:paraId="171B3B5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kern w:val="0"/>
                <w:sz w:val="18"/>
                <w:szCs w:val="18"/>
                <w:highlight w:val="none"/>
                <w:u w:val="none"/>
                <w:lang w:val="en-US" w:eastAsia="zh-CN" w:bidi="ar-SA"/>
              </w:rPr>
              <w:t>15</w:t>
            </w:r>
          </w:p>
        </w:tc>
        <w:tc>
          <w:tcPr>
            <w:tcW w:w="400" w:type="pct"/>
            <w:vAlign w:val="center"/>
          </w:tcPr>
          <w:p w14:paraId="3FFA427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件</w:t>
            </w:r>
          </w:p>
        </w:tc>
        <w:tc>
          <w:tcPr>
            <w:tcW w:w="1513" w:type="pct"/>
            <w:vAlign w:val="center"/>
          </w:tcPr>
          <w:p w14:paraId="3AA66B9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尚为、森本、海洋王或相当于</w:t>
            </w:r>
          </w:p>
        </w:tc>
      </w:tr>
      <w:tr w14:paraId="3D5D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5BD803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53</w:t>
            </w:r>
          </w:p>
        </w:tc>
        <w:tc>
          <w:tcPr>
            <w:tcW w:w="1919" w:type="pct"/>
            <w:vAlign w:val="center"/>
          </w:tcPr>
          <w:p w14:paraId="4E0A7988">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防爆投影灯\BLQZ-KOD\300W\AC380V\杂类\白</w:t>
            </w:r>
          </w:p>
        </w:tc>
        <w:tc>
          <w:tcPr>
            <w:tcW w:w="766" w:type="pct"/>
            <w:vAlign w:val="center"/>
          </w:tcPr>
          <w:p w14:paraId="7D0DC66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kern w:val="0"/>
                <w:sz w:val="18"/>
                <w:szCs w:val="18"/>
                <w:highlight w:val="none"/>
                <w:u w:val="none"/>
                <w:lang w:val="en-US" w:eastAsia="zh-CN" w:bidi="ar-SA"/>
              </w:rPr>
              <w:t>4</w:t>
            </w:r>
          </w:p>
        </w:tc>
        <w:tc>
          <w:tcPr>
            <w:tcW w:w="400" w:type="pct"/>
            <w:vAlign w:val="center"/>
          </w:tcPr>
          <w:p w14:paraId="60A07210">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件</w:t>
            </w:r>
          </w:p>
        </w:tc>
        <w:tc>
          <w:tcPr>
            <w:tcW w:w="1513" w:type="pct"/>
            <w:vAlign w:val="center"/>
          </w:tcPr>
          <w:p w14:paraId="3F5B10E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尚为、森本、海洋王或相当于</w:t>
            </w:r>
          </w:p>
        </w:tc>
      </w:tr>
      <w:tr w14:paraId="0D28A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556B911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54</w:t>
            </w:r>
          </w:p>
        </w:tc>
        <w:tc>
          <w:tcPr>
            <w:tcW w:w="1919" w:type="pct"/>
            <w:vAlign w:val="center"/>
          </w:tcPr>
          <w:p w14:paraId="4D5AC1B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LED防爆灯\FGV1225\240W\AC220V\螺口式\户内\白</w:t>
            </w:r>
          </w:p>
        </w:tc>
        <w:tc>
          <w:tcPr>
            <w:tcW w:w="766" w:type="pct"/>
            <w:vAlign w:val="center"/>
          </w:tcPr>
          <w:p w14:paraId="3091619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kern w:val="0"/>
                <w:sz w:val="18"/>
                <w:szCs w:val="18"/>
                <w:highlight w:val="none"/>
                <w:u w:val="none"/>
                <w:lang w:val="en-US" w:eastAsia="zh-CN" w:bidi="ar-SA"/>
              </w:rPr>
              <w:t>2</w:t>
            </w:r>
          </w:p>
        </w:tc>
        <w:tc>
          <w:tcPr>
            <w:tcW w:w="400" w:type="pct"/>
            <w:vAlign w:val="center"/>
          </w:tcPr>
          <w:p w14:paraId="0467F53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件</w:t>
            </w:r>
          </w:p>
        </w:tc>
        <w:tc>
          <w:tcPr>
            <w:tcW w:w="1513" w:type="pct"/>
            <w:vAlign w:val="center"/>
          </w:tcPr>
          <w:p w14:paraId="483B620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尚为、森本、海洋王或相当于</w:t>
            </w:r>
          </w:p>
        </w:tc>
      </w:tr>
      <w:tr w14:paraId="6C36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A85975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55</w:t>
            </w:r>
          </w:p>
        </w:tc>
        <w:tc>
          <w:tcPr>
            <w:tcW w:w="1919" w:type="pct"/>
            <w:vAlign w:val="center"/>
          </w:tcPr>
          <w:p w14:paraId="7A4010B1">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LED灯\FGA6322\300W\AC220V\一体式\户外\白</w:t>
            </w:r>
          </w:p>
        </w:tc>
        <w:tc>
          <w:tcPr>
            <w:tcW w:w="766" w:type="pct"/>
            <w:vAlign w:val="center"/>
          </w:tcPr>
          <w:p w14:paraId="0934D63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５</w:t>
            </w:r>
          </w:p>
        </w:tc>
        <w:tc>
          <w:tcPr>
            <w:tcW w:w="400" w:type="pct"/>
            <w:vAlign w:val="center"/>
          </w:tcPr>
          <w:p w14:paraId="634FF203">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件</w:t>
            </w:r>
          </w:p>
        </w:tc>
        <w:tc>
          <w:tcPr>
            <w:tcW w:w="1513" w:type="pct"/>
            <w:vAlign w:val="center"/>
          </w:tcPr>
          <w:p w14:paraId="530E02FB">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color w:val="000000"/>
                <w:sz w:val="18"/>
                <w:szCs w:val="18"/>
                <w:highlight w:val="none"/>
                <w:u w:val="none"/>
                <w:lang w:val="en-US" w:eastAsia="zh-CN"/>
              </w:rPr>
              <w:t>尚为、森本、海洋王或相当于</w:t>
            </w:r>
          </w:p>
        </w:tc>
      </w:tr>
      <w:tr w14:paraId="38D9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00" w:type="pct"/>
            <w:vAlign w:val="center"/>
          </w:tcPr>
          <w:p w14:paraId="038F16BC">
            <w:pPr>
              <w:keepNext w:val="0"/>
              <w:keepLines w:val="0"/>
              <w:widowControl/>
              <w:suppressLineNumbers w:val="0"/>
              <w:spacing w:line="240" w:lineRule="auto"/>
              <w:ind w:left="0" w:leftChars="0" w:firstLine="0" w:firstLineChars="0"/>
              <w:jc w:val="center"/>
              <w:textAlignment w:val="center"/>
              <w:rPr>
                <w:rFonts w:hint="default" w:ascii="宋体" w:hAnsi="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56</w:t>
            </w:r>
          </w:p>
        </w:tc>
        <w:tc>
          <w:tcPr>
            <w:tcW w:w="1919" w:type="pct"/>
            <w:vAlign w:val="center"/>
          </w:tcPr>
          <w:p w14:paraId="15BBEC15">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color w:val="000000"/>
                <w:sz w:val="18"/>
                <w:szCs w:val="18"/>
                <w:highlight w:val="none"/>
                <w:u w:val="none"/>
                <w:lang w:val="en-US" w:eastAsia="zh-CN"/>
              </w:rPr>
            </w:pPr>
            <w:r>
              <w:rPr>
                <w:rFonts w:hint="eastAsia" w:ascii="宋体" w:hAnsi="宋体" w:eastAsia="宋体" w:cs="宋体"/>
                <w:i w:val="0"/>
                <w:iCs w:val="0"/>
                <w:caps w:val="0"/>
                <w:color w:val="000000"/>
                <w:spacing w:val="0"/>
                <w:kern w:val="0"/>
                <w:sz w:val="18"/>
                <w:szCs w:val="18"/>
                <w:highlight w:val="none"/>
                <w:u w:val="none"/>
                <w:shd w:val="clear" w:fill="auto"/>
                <w:lang w:val="en-US" w:eastAsia="zh-CN" w:bidi="ar"/>
              </w:rPr>
              <w:t>LED吸顶灯\12-XD-00623\60W\AC220V\卡口式\户内\白</w:t>
            </w:r>
          </w:p>
        </w:tc>
        <w:tc>
          <w:tcPr>
            <w:tcW w:w="766" w:type="pct"/>
            <w:vAlign w:val="center"/>
          </w:tcPr>
          <w:p w14:paraId="0275C655">
            <w:pPr>
              <w:keepNext w:val="0"/>
              <w:keepLines w:val="0"/>
              <w:widowControl/>
              <w:suppressLineNumbers w:val="0"/>
              <w:spacing w:line="240" w:lineRule="auto"/>
              <w:ind w:left="0" w:leftChars="0" w:firstLine="0" w:firstLineChars="0"/>
              <w:jc w:val="center"/>
              <w:textAlignment w:val="center"/>
              <w:rPr>
                <w:rFonts w:hint="default" w:ascii="宋体" w:hAnsi="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150</w:t>
            </w:r>
          </w:p>
        </w:tc>
        <w:tc>
          <w:tcPr>
            <w:tcW w:w="400" w:type="pct"/>
            <w:vAlign w:val="center"/>
          </w:tcPr>
          <w:p w14:paraId="1AAAA8D9">
            <w:pPr>
              <w:keepNext w:val="0"/>
              <w:keepLines w:val="0"/>
              <w:widowControl/>
              <w:suppressLineNumbers w:val="0"/>
              <w:spacing w:line="240" w:lineRule="auto"/>
              <w:ind w:left="0" w:leftChars="0" w:firstLine="0" w:firstLineChars="0"/>
              <w:jc w:val="center"/>
              <w:textAlignment w:val="center"/>
              <w:rPr>
                <w:rFonts w:hint="eastAsia" w:ascii="宋体" w:hAnsi="宋体" w:cs="宋体"/>
                <w:i w:val="0"/>
                <w:iCs w:val="0"/>
                <w:color w:val="000000"/>
                <w:kern w:val="0"/>
                <w:sz w:val="18"/>
                <w:szCs w:val="18"/>
                <w:highlight w:val="none"/>
                <w:u w:val="none"/>
                <w:lang w:val="en-US" w:eastAsia="zh-CN"/>
              </w:rPr>
            </w:pPr>
            <w:r>
              <w:rPr>
                <w:rFonts w:hint="eastAsia" w:ascii="宋体" w:hAnsi="宋体" w:cs="宋体"/>
                <w:i w:val="0"/>
                <w:iCs w:val="0"/>
                <w:color w:val="000000"/>
                <w:kern w:val="0"/>
                <w:sz w:val="18"/>
                <w:szCs w:val="18"/>
                <w:highlight w:val="none"/>
                <w:u w:val="none"/>
                <w:lang w:val="en-US" w:eastAsia="zh-CN"/>
              </w:rPr>
              <w:t>套</w:t>
            </w:r>
          </w:p>
        </w:tc>
        <w:tc>
          <w:tcPr>
            <w:tcW w:w="1513" w:type="pct"/>
            <w:vAlign w:val="center"/>
          </w:tcPr>
          <w:p w14:paraId="59A7D4F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飞利浦、欧普、雷士或相当于</w:t>
            </w:r>
          </w:p>
        </w:tc>
      </w:tr>
    </w:tbl>
    <w:p w14:paraId="6C8A348B">
      <w:pPr>
        <w:kinsoku/>
        <w:wordWrap/>
        <w:overflowPunct/>
        <w:topLinePunct w:val="0"/>
        <w:autoSpaceDE/>
        <w:autoSpaceDN/>
        <w:bidi w:val="0"/>
        <w:adjustRightInd/>
        <w:spacing w:line="360" w:lineRule="auto"/>
        <w:ind w:left="0" w:firstLine="0" w:firstLineChars="0"/>
        <w:textAlignment w:val="auto"/>
        <w:rPr>
          <w:rFonts w:hint="eastAsia" w:ascii="宋体" w:hAnsi="宋体" w:cs="宋体"/>
          <w:b/>
          <w:bCs/>
          <w:sz w:val="24"/>
          <w:szCs w:val="24"/>
          <w:highlight w:val="none"/>
          <w:lang w:val="en-US" w:eastAsia="zh-CN"/>
        </w:rPr>
      </w:pPr>
      <w:r>
        <w:rPr>
          <w:rFonts w:hint="eastAsia" w:ascii="宋体" w:hAnsi="宋体" w:eastAsia="宋体" w:cs="宋体"/>
          <w:b/>
          <w:bCs/>
          <w:sz w:val="24"/>
          <w:szCs w:val="24"/>
          <w:highlight w:val="none"/>
        </w:rPr>
        <w:t>4 热电装置区照明</w:t>
      </w:r>
      <w:r>
        <w:rPr>
          <w:rFonts w:hint="eastAsia" w:ascii="宋体" w:hAnsi="宋体" w:cs="宋体"/>
          <w:b/>
          <w:bCs/>
          <w:sz w:val="24"/>
          <w:szCs w:val="24"/>
          <w:highlight w:val="none"/>
          <w:lang w:val="en-US" w:eastAsia="zh-CN"/>
        </w:rPr>
        <w:t>节能</w:t>
      </w:r>
      <w:r>
        <w:rPr>
          <w:rFonts w:hint="eastAsia" w:ascii="宋体" w:hAnsi="宋体" w:eastAsia="宋体" w:cs="宋体"/>
          <w:b/>
          <w:bCs/>
          <w:sz w:val="24"/>
          <w:szCs w:val="24"/>
          <w:highlight w:val="none"/>
        </w:rPr>
        <w:t>改造</w:t>
      </w:r>
      <w:r>
        <w:rPr>
          <w:rFonts w:hint="eastAsia" w:ascii="宋体" w:hAnsi="宋体" w:cs="宋体"/>
          <w:b/>
          <w:bCs/>
          <w:sz w:val="24"/>
          <w:szCs w:val="24"/>
          <w:highlight w:val="none"/>
          <w:lang w:val="en-US" w:eastAsia="zh-CN"/>
        </w:rPr>
        <w:t>供货范围：</w:t>
      </w:r>
    </w:p>
    <w:p w14:paraId="1242215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以下清单为热电装置区照明节能改造项目所需物资</w:t>
      </w:r>
      <w:r>
        <w:rPr>
          <w:rFonts w:hint="eastAsia" w:ascii="宋体" w:hAnsi="宋体" w:eastAsia="宋体" w:cs="宋体"/>
          <w:sz w:val="24"/>
          <w:szCs w:val="24"/>
          <w:highlight w:val="none"/>
          <w:lang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38"/>
        <w:gridCol w:w="1662"/>
        <w:gridCol w:w="2191"/>
        <w:gridCol w:w="423"/>
        <w:gridCol w:w="451"/>
        <w:gridCol w:w="3630"/>
      </w:tblGrid>
      <w:tr w14:paraId="4944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195" w:type="pct"/>
            <w:shd w:val="clear" w:color="auto" w:fill="auto"/>
            <w:vAlign w:val="center"/>
          </w:tcPr>
          <w:p w14:paraId="41B0CD5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序号</w:t>
            </w:r>
          </w:p>
        </w:tc>
        <w:tc>
          <w:tcPr>
            <w:tcW w:w="955" w:type="pct"/>
            <w:shd w:val="clear" w:color="auto" w:fill="auto"/>
            <w:vAlign w:val="center"/>
          </w:tcPr>
          <w:p w14:paraId="4C598B98">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物资名称</w:t>
            </w:r>
          </w:p>
        </w:tc>
        <w:tc>
          <w:tcPr>
            <w:tcW w:w="1259" w:type="pct"/>
            <w:shd w:val="clear" w:color="auto" w:fill="auto"/>
            <w:vAlign w:val="center"/>
          </w:tcPr>
          <w:p w14:paraId="1F0E0C08">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规格型号</w:t>
            </w:r>
          </w:p>
        </w:tc>
        <w:tc>
          <w:tcPr>
            <w:tcW w:w="243" w:type="pct"/>
            <w:shd w:val="clear" w:color="auto" w:fill="auto"/>
            <w:vAlign w:val="center"/>
          </w:tcPr>
          <w:p w14:paraId="7219B7FF">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单位</w:t>
            </w:r>
          </w:p>
        </w:tc>
        <w:tc>
          <w:tcPr>
            <w:tcW w:w="259" w:type="pct"/>
            <w:shd w:val="clear" w:color="auto" w:fill="auto"/>
            <w:vAlign w:val="center"/>
          </w:tcPr>
          <w:p w14:paraId="4D623D74">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数量</w:t>
            </w:r>
          </w:p>
        </w:tc>
        <w:tc>
          <w:tcPr>
            <w:tcW w:w="2086" w:type="pct"/>
            <w:shd w:val="clear" w:color="auto" w:fill="auto"/>
            <w:vAlign w:val="center"/>
          </w:tcPr>
          <w:p w14:paraId="21C4C19B">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备注</w:t>
            </w:r>
          </w:p>
        </w:tc>
      </w:tr>
      <w:tr w14:paraId="12F0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3079FA6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w:t>
            </w:r>
          </w:p>
        </w:tc>
        <w:tc>
          <w:tcPr>
            <w:tcW w:w="955" w:type="pct"/>
            <w:vAlign w:val="center"/>
          </w:tcPr>
          <w:p w14:paraId="1B5E6DC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LED三防泛光灯</w:t>
            </w:r>
          </w:p>
        </w:tc>
        <w:tc>
          <w:tcPr>
            <w:tcW w:w="1259" w:type="pct"/>
            <w:vAlign w:val="center"/>
          </w:tcPr>
          <w:p w14:paraId="005CAB0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额定功率不小于100W/IP65/6000K</w:t>
            </w:r>
          </w:p>
        </w:tc>
        <w:tc>
          <w:tcPr>
            <w:tcW w:w="243" w:type="pct"/>
            <w:vAlign w:val="center"/>
          </w:tcPr>
          <w:p w14:paraId="7A6606B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004A436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113</w:t>
            </w:r>
          </w:p>
        </w:tc>
        <w:tc>
          <w:tcPr>
            <w:tcW w:w="2086" w:type="pct"/>
            <w:vAlign w:val="center"/>
          </w:tcPr>
          <w:p w14:paraId="2637711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旧灯具改造范围需供应与原灯具安装附件不匹配所需的固定支架、吊杆、弯管等安装附件</w:t>
            </w:r>
          </w:p>
        </w:tc>
      </w:tr>
      <w:tr w14:paraId="2361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3FD4AE8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w:t>
            </w:r>
          </w:p>
        </w:tc>
        <w:tc>
          <w:tcPr>
            <w:tcW w:w="955" w:type="pct"/>
            <w:vAlign w:val="center"/>
          </w:tcPr>
          <w:p w14:paraId="75B48EF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LED三防平台灯</w:t>
            </w:r>
          </w:p>
        </w:tc>
        <w:tc>
          <w:tcPr>
            <w:tcW w:w="1259" w:type="pct"/>
            <w:vAlign w:val="center"/>
          </w:tcPr>
          <w:p w14:paraId="6965854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额定功率不小于50W/IP65/6000K</w:t>
            </w:r>
          </w:p>
        </w:tc>
        <w:tc>
          <w:tcPr>
            <w:tcW w:w="243" w:type="pct"/>
            <w:vAlign w:val="center"/>
          </w:tcPr>
          <w:p w14:paraId="1CCF863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038C1C4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90</w:t>
            </w:r>
          </w:p>
        </w:tc>
        <w:tc>
          <w:tcPr>
            <w:tcW w:w="2086" w:type="pct"/>
            <w:vAlign w:val="center"/>
          </w:tcPr>
          <w:p w14:paraId="4196F6B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旧灯具改造范围需供应与原灯具安装附件不匹配所需的固定支架、吊杆、弯管等安装附件</w:t>
            </w:r>
          </w:p>
        </w:tc>
      </w:tr>
      <w:tr w14:paraId="0135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628036A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3</w:t>
            </w:r>
          </w:p>
        </w:tc>
        <w:tc>
          <w:tcPr>
            <w:tcW w:w="955" w:type="pct"/>
            <w:vAlign w:val="center"/>
          </w:tcPr>
          <w:p w14:paraId="6C17500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LED三防平台灯</w:t>
            </w:r>
          </w:p>
        </w:tc>
        <w:tc>
          <w:tcPr>
            <w:tcW w:w="1259" w:type="pct"/>
            <w:vAlign w:val="center"/>
          </w:tcPr>
          <w:p w14:paraId="1299B63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额定功率不小于50W/IP65/6000K</w:t>
            </w:r>
          </w:p>
        </w:tc>
        <w:tc>
          <w:tcPr>
            <w:tcW w:w="243" w:type="pct"/>
            <w:vAlign w:val="center"/>
          </w:tcPr>
          <w:p w14:paraId="62F93AF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6478E75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164</w:t>
            </w:r>
          </w:p>
        </w:tc>
        <w:tc>
          <w:tcPr>
            <w:tcW w:w="2086" w:type="pct"/>
            <w:vAlign w:val="center"/>
          </w:tcPr>
          <w:p w14:paraId="1A6BB25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新增灯具需配套供应固定支架、吊杆、弯管等安装附件</w:t>
            </w:r>
          </w:p>
        </w:tc>
      </w:tr>
      <w:tr w14:paraId="0DE8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130F4A2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4</w:t>
            </w:r>
          </w:p>
        </w:tc>
        <w:tc>
          <w:tcPr>
            <w:tcW w:w="955" w:type="pct"/>
            <w:vAlign w:val="center"/>
          </w:tcPr>
          <w:p w14:paraId="5F895F5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LED三防平台灯</w:t>
            </w:r>
          </w:p>
        </w:tc>
        <w:tc>
          <w:tcPr>
            <w:tcW w:w="1259" w:type="pct"/>
            <w:vAlign w:val="center"/>
          </w:tcPr>
          <w:p w14:paraId="55EE240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额定功率不小于70W/IP65/6000K</w:t>
            </w:r>
          </w:p>
        </w:tc>
        <w:tc>
          <w:tcPr>
            <w:tcW w:w="243" w:type="pct"/>
            <w:vAlign w:val="center"/>
          </w:tcPr>
          <w:p w14:paraId="049D6A3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66554F4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841</w:t>
            </w:r>
          </w:p>
        </w:tc>
        <w:tc>
          <w:tcPr>
            <w:tcW w:w="2086" w:type="pct"/>
            <w:vAlign w:val="center"/>
          </w:tcPr>
          <w:p w14:paraId="5C927256">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旧灯具改造范围需供应与原灯具安装附件不匹配所需的固定支架、吊杆、弯管等安装附件</w:t>
            </w:r>
          </w:p>
        </w:tc>
      </w:tr>
      <w:tr w14:paraId="3F2B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0BAB843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w:t>
            </w:r>
          </w:p>
        </w:tc>
        <w:tc>
          <w:tcPr>
            <w:tcW w:w="955" w:type="pct"/>
            <w:vAlign w:val="center"/>
          </w:tcPr>
          <w:p w14:paraId="75BF9EB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LED三防平台灯</w:t>
            </w:r>
          </w:p>
        </w:tc>
        <w:tc>
          <w:tcPr>
            <w:tcW w:w="1259" w:type="pct"/>
            <w:vAlign w:val="center"/>
          </w:tcPr>
          <w:p w14:paraId="64A0208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额定功率不小于70W/IP65/6000K</w:t>
            </w:r>
          </w:p>
        </w:tc>
        <w:tc>
          <w:tcPr>
            <w:tcW w:w="243" w:type="pct"/>
            <w:vAlign w:val="center"/>
          </w:tcPr>
          <w:p w14:paraId="26922A4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4F2ECF1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10</w:t>
            </w:r>
          </w:p>
        </w:tc>
        <w:tc>
          <w:tcPr>
            <w:tcW w:w="2086" w:type="pct"/>
            <w:vAlign w:val="center"/>
          </w:tcPr>
          <w:p w14:paraId="7C9A70C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新增灯具需配套供应固定支架、吊杆、弯管等安装附件</w:t>
            </w:r>
          </w:p>
        </w:tc>
      </w:tr>
      <w:tr w14:paraId="7679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0649DE1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6</w:t>
            </w:r>
          </w:p>
        </w:tc>
        <w:tc>
          <w:tcPr>
            <w:tcW w:w="955" w:type="pct"/>
            <w:vAlign w:val="center"/>
          </w:tcPr>
          <w:p w14:paraId="35B725B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耐高温LED三防平台灯</w:t>
            </w:r>
          </w:p>
        </w:tc>
        <w:tc>
          <w:tcPr>
            <w:tcW w:w="1259" w:type="pct"/>
            <w:vAlign w:val="center"/>
          </w:tcPr>
          <w:p w14:paraId="5AA244E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额定功率不小于60W/IP65/6000K</w:t>
            </w:r>
          </w:p>
        </w:tc>
        <w:tc>
          <w:tcPr>
            <w:tcW w:w="243" w:type="pct"/>
            <w:vAlign w:val="center"/>
          </w:tcPr>
          <w:p w14:paraId="5ED44BF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5FC92F2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292</w:t>
            </w:r>
          </w:p>
        </w:tc>
        <w:tc>
          <w:tcPr>
            <w:tcW w:w="2086" w:type="pct"/>
            <w:vAlign w:val="center"/>
          </w:tcPr>
          <w:p w14:paraId="668C7FD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旧灯具改造范围需供应与原灯具安装附件不匹配所需的固定支架、吊杆、弯管等安装附件</w:t>
            </w:r>
          </w:p>
        </w:tc>
      </w:tr>
      <w:tr w14:paraId="3C3E3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95" w:type="pct"/>
            <w:vAlign w:val="center"/>
          </w:tcPr>
          <w:p w14:paraId="6CA5EF6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7</w:t>
            </w:r>
          </w:p>
        </w:tc>
        <w:tc>
          <w:tcPr>
            <w:tcW w:w="955" w:type="pct"/>
            <w:vAlign w:val="center"/>
          </w:tcPr>
          <w:p w14:paraId="65C9E4A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LED三防顶棚灯</w:t>
            </w:r>
          </w:p>
        </w:tc>
        <w:tc>
          <w:tcPr>
            <w:tcW w:w="1259" w:type="pct"/>
            <w:vAlign w:val="center"/>
          </w:tcPr>
          <w:p w14:paraId="1D3096E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额定功率不小于150W/IP65/6000K</w:t>
            </w:r>
          </w:p>
        </w:tc>
        <w:tc>
          <w:tcPr>
            <w:tcW w:w="243" w:type="pct"/>
            <w:vAlign w:val="center"/>
          </w:tcPr>
          <w:p w14:paraId="1CF08DB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套</w:t>
            </w:r>
          </w:p>
        </w:tc>
        <w:tc>
          <w:tcPr>
            <w:tcW w:w="259" w:type="pct"/>
            <w:vAlign w:val="center"/>
          </w:tcPr>
          <w:p w14:paraId="69D9A62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rPr>
              <w:t>52</w:t>
            </w:r>
          </w:p>
        </w:tc>
        <w:tc>
          <w:tcPr>
            <w:tcW w:w="2086" w:type="pct"/>
            <w:vAlign w:val="center"/>
          </w:tcPr>
          <w:p w14:paraId="3F7FA99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sz w:val="18"/>
                <w:szCs w:val="18"/>
                <w:highlight w:val="none"/>
                <w:lang w:val="en-US" w:eastAsia="zh-CN"/>
              </w:rPr>
              <w:t>旧灯具改造范围需供应与原灯具安装附件不匹配所需的固定支架、吊杆、弯管等安装附件</w:t>
            </w:r>
          </w:p>
        </w:tc>
      </w:tr>
    </w:tbl>
    <w:p w14:paraId="07D9C40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p>
    <w:p w14:paraId="3ACB2DD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p>
    <w:p w14:paraId="51ADEBA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附件3 技术资料及交付进度</w:t>
      </w:r>
    </w:p>
    <w:p w14:paraId="6DEE0B8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资料提供总则</w:t>
      </w:r>
    </w:p>
    <w:p w14:paraId="0EA7562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提供的资料应使用国家法定单位制（语言为中文），进口部件的外文图纸及文件应由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免费翻译成中文。图纸资料除提供书面文件外还应提供光盘形式电子文件。图纸应为CAD格式，文本文件应为Word/Excel格式。</w:t>
      </w:r>
    </w:p>
    <w:p w14:paraId="2B05E9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 资料的组织结构清晰、逻辑性强。资料内容正确、准确、一致、清晰完整，满足工程要求，不得提供作伪复印的图纸。</w:t>
      </w:r>
    </w:p>
    <w:p w14:paraId="65F71D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 资料内容要与投标设备一致，因资料内容与所供设备不一致而给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造成损失的由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承担赔偿责任。</w:t>
      </w:r>
    </w:p>
    <w:p w14:paraId="4F4E84A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资料的提交应及时、充分、正确，满足工程进度要求。合同签订后15天内给出配合工程设计的全部技术资料和交付进度清单，并经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w:t>
      </w:r>
    </w:p>
    <w:p w14:paraId="71150B2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提供的技术资料分为投标阶段、配合设计阶段、设备监造检验、性能试验验收和运行维护等阶段。</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须满足以上各阶段的具体要求。</w:t>
      </w:r>
    </w:p>
    <w:p w14:paraId="0781143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 对于其他没有列入合同技术资料清单，却是工程所必需的文件和资料，一经发现，</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应及时免费提供。</w:t>
      </w:r>
    </w:p>
    <w:p w14:paraId="335EF38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1.7 </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要及时提供与合同设备设计制造有关的资料。</w:t>
      </w:r>
    </w:p>
    <w:p w14:paraId="08532E9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1.8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应在合同签订后15天内，向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提供满足需要的资料共10套，另加2套电子文档。</w:t>
      </w:r>
    </w:p>
    <w:p w14:paraId="0DD5748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1.9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提供运行和维护手册、培训手册6套纸质文件，另加2套电子版。其他资料（标准规范、质量计划等）提供6套。</w:t>
      </w:r>
    </w:p>
    <w:p w14:paraId="54463D2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1.10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提供的图纸应清晰，不得提供缩微复印的图纸。</w:t>
      </w:r>
    </w:p>
    <w:p w14:paraId="20E8F29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提供的所有资料（包括图纸）均应有本工程专用标识，修改版资料对修改部分应有明显的标识或标注。</w:t>
      </w:r>
    </w:p>
    <w:p w14:paraId="609B0BB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1.12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按</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的要求，编制所供设备的电厂标识系统编码。</w:t>
      </w:r>
    </w:p>
    <w:p w14:paraId="6C7C5872">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 资料提交的基本要求</w:t>
      </w:r>
    </w:p>
    <w:p w14:paraId="0FC45CE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 随投标书提供的图纸</w:t>
      </w:r>
    </w:p>
    <w:p w14:paraId="6637E92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2.1.1 照明各部件的外形尺寸、安装尺寸图。</w:t>
      </w:r>
    </w:p>
    <w:p w14:paraId="2F9483C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 技术协议签订后15天内，提供以下技术资料（带▲符号的为最终版资料）</w:t>
      </w:r>
    </w:p>
    <w:p w14:paraId="6CA2E97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2.2.1 ▲照明系统详细布置基础图（含动、静载和抗地震结构图）。</w:t>
      </w:r>
    </w:p>
    <w:p w14:paraId="001B123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2.2.2 ▲照明灯具外形尺寸图，并有详细尺寸。</w:t>
      </w:r>
    </w:p>
    <w:p w14:paraId="4F94F9A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2.2.3 ▲与有关设备配合接口图。</w:t>
      </w:r>
    </w:p>
    <w:p w14:paraId="3E4655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2.2.4 照明系统部件明细表（含规范、数量、重量和材料）。</w:t>
      </w:r>
    </w:p>
    <w:p w14:paraId="4701078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2.2.5 照明系统启、停运行联锁控制要求及说明书。</w:t>
      </w:r>
    </w:p>
    <w:p w14:paraId="09F7D6A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2.2.6 供货范围、备件及专用工具清单。</w:t>
      </w:r>
    </w:p>
    <w:p w14:paraId="7999D56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2.2.7 备件及专用工具清单。</w:t>
      </w:r>
    </w:p>
    <w:p w14:paraId="0EE62ED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2.2.8 进口设备及部件清单。</w:t>
      </w:r>
    </w:p>
    <w:p w14:paraId="1FC020E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2.2.9 供货范围系统图。</w:t>
      </w:r>
    </w:p>
    <w:p w14:paraId="7FB000D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以上所有正式资料上注明工程专用字样，并注明版次。最终资料提交后不得任意修改，设备到货后与所提资料不符所造成的一切返工和损失由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负责赔偿。</w:t>
      </w:r>
    </w:p>
    <w:p w14:paraId="4B8210C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 设备监造检验所需要的技术资料</w:t>
      </w:r>
    </w:p>
    <w:p w14:paraId="1EE64A2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应提供满足合同设备监造检验/见证所需的全部技术资料。</w:t>
      </w:r>
    </w:p>
    <w:p w14:paraId="53CDD8F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2.4 </w:t>
      </w:r>
      <w:r>
        <w:rPr>
          <w:rFonts w:hint="eastAsia" w:ascii="宋体" w:hAnsi="宋体" w:eastAsia="宋体" w:cs="宋体"/>
          <w:sz w:val="24"/>
          <w:szCs w:val="24"/>
          <w:highlight w:val="none"/>
          <w:lang w:val="en-US" w:eastAsia="zh-CN"/>
        </w:rPr>
        <w:t>安装指导、运行维护及性能试验</w:t>
      </w:r>
      <w:r>
        <w:rPr>
          <w:rFonts w:hint="eastAsia" w:ascii="宋体" w:hAnsi="宋体" w:eastAsia="宋体" w:cs="宋体"/>
          <w:sz w:val="24"/>
          <w:szCs w:val="24"/>
          <w:highlight w:val="none"/>
        </w:rPr>
        <w:t>所需的技术资料包括但不限于：</w:t>
      </w:r>
    </w:p>
    <w:p w14:paraId="4C2CE52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2.4.1 提供设备安装、调试和试运说明书，以及组装、拆卸时所需的技术资料。</w:t>
      </w:r>
    </w:p>
    <w:p w14:paraId="4967E33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2.4.2 安装、运行、维护、检修所需的详尽图纸和技术文件，包括设备总图、部件总图、分图和必要的零件图、计算资料等。</w:t>
      </w:r>
    </w:p>
    <w:p w14:paraId="5DCB846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2.4.3 设备的安装、运行、维护、检修说明书，包括设备结构特点、安装程序和工艺要求、启动调试要领、运行操作规定和控制数据、定期校验和维护说明等。</w:t>
      </w:r>
    </w:p>
    <w:p w14:paraId="4C483F7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2.4.4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应提供备品、配件总清单和易损零件图。</w:t>
      </w:r>
    </w:p>
    <w:p w14:paraId="67FE9C45">
      <w:pPr>
        <w:kinsoku/>
        <w:wordWrap/>
        <w:overflowPunct/>
        <w:topLinePunct w:val="0"/>
        <w:autoSpaceDE/>
        <w:autoSpaceDN/>
        <w:bidi w:val="0"/>
        <w:adjustRightIn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须提供的其他技术资料</w:t>
      </w:r>
    </w:p>
    <w:p w14:paraId="34F96CD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2.5.1 检验记录、试验报告及质量合格证等出厂报告。</w:t>
      </w:r>
    </w:p>
    <w:p w14:paraId="4AA0714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2.5.2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提供在设计、制造时所遵循的规范、标准和规定清单。</w:t>
      </w:r>
    </w:p>
    <w:p w14:paraId="4E9B0F1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2.5.3 设备和备品管理资料文件，包括设备和备品发运和装箱的详细资料（各种清单），设备和备品存放与保管技术要求，运输超重和超大件的明细表和外形图。</w:t>
      </w:r>
    </w:p>
    <w:p w14:paraId="1E61A44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sz w:val="24"/>
          <w:szCs w:val="24"/>
          <w:highlight w:val="none"/>
        </w:rPr>
        <w:t>2.5.4 详细的产品质量文件，包括材质、材质检验、加工质量、外形尺寸。</w:t>
      </w:r>
    </w:p>
    <w:p w14:paraId="4CF52C3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附件4 设备交货进度</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034"/>
        <w:gridCol w:w="3465"/>
        <w:gridCol w:w="4196"/>
      </w:tblGrid>
      <w:tr w14:paraId="63DF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jc w:val="center"/>
        </w:trPr>
        <w:tc>
          <w:tcPr>
            <w:tcW w:w="0" w:type="auto"/>
            <w:shd w:val="clear" w:color="auto" w:fill="auto"/>
            <w:vAlign w:val="center"/>
          </w:tcPr>
          <w:p w14:paraId="36D3A379">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序号</w:t>
            </w:r>
          </w:p>
        </w:tc>
        <w:tc>
          <w:tcPr>
            <w:tcW w:w="0" w:type="auto"/>
            <w:shd w:val="clear" w:color="auto" w:fill="auto"/>
            <w:vAlign w:val="center"/>
          </w:tcPr>
          <w:p w14:paraId="3E12707D">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设备名称</w:t>
            </w:r>
          </w:p>
        </w:tc>
        <w:tc>
          <w:tcPr>
            <w:tcW w:w="0" w:type="auto"/>
            <w:shd w:val="clear" w:color="auto" w:fill="auto"/>
            <w:vAlign w:val="center"/>
          </w:tcPr>
          <w:p w14:paraId="59C4DF11">
            <w:pPr>
              <w:kinsoku/>
              <w:wordWrap/>
              <w:overflowPunct/>
              <w:topLinePunct w:val="0"/>
              <w:autoSpaceDE/>
              <w:autoSpaceDN/>
              <w:bidi w:val="0"/>
              <w:adjustRightInd/>
              <w:spacing w:before="40" w:after="4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b/>
                <w:sz w:val="18"/>
                <w:szCs w:val="18"/>
                <w:highlight w:val="none"/>
              </w:rPr>
              <w:t>交货日期</w:t>
            </w:r>
          </w:p>
        </w:tc>
      </w:tr>
      <w:tr w14:paraId="7DB2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vAlign w:val="center"/>
          </w:tcPr>
          <w:p w14:paraId="52D88313">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1</w:t>
            </w:r>
          </w:p>
        </w:tc>
        <w:tc>
          <w:tcPr>
            <w:tcW w:w="0" w:type="auto"/>
            <w:vAlign w:val="center"/>
          </w:tcPr>
          <w:p w14:paraId="533D1F96">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灯具及配套硬件</w:t>
            </w:r>
          </w:p>
        </w:tc>
        <w:tc>
          <w:tcPr>
            <w:tcW w:w="0" w:type="auto"/>
            <w:vAlign w:val="center"/>
          </w:tcPr>
          <w:p w14:paraId="588F86EE">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合同签订后45天内</w:t>
            </w:r>
          </w:p>
        </w:tc>
      </w:tr>
      <w:tr w14:paraId="5C6A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vAlign w:val="center"/>
          </w:tcPr>
          <w:p w14:paraId="2046E055">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2</w:t>
            </w:r>
          </w:p>
        </w:tc>
        <w:tc>
          <w:tcPr>
            <w:tcW w:w="0" w:type="auto"/>
            <w:vAlign w:val="center"/>
          </w:tcPr>
          <w:p w14:paraId="0E8322B3">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配件</w:t>
            </w:r>
          </w:p>
        </w:tc>
        <w:tc>
          <w:tcPr>
            <w:tcW w:w="0" w:type="auto"/>
            <w:vAlign w:val="center"/>
          </w:tcPr>
          <w:p w14:paraId="5CBB194B">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合同签订后45天内</w:t>
            </w:r>
          </w:p>
        </w:tc>
      </w:tr>
      <w:tr w14:paraId="41A12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vAlign w:val="center"/>
          </w:tcPr>
          <w:p w14:paraId="3F457759">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3</w:t>
            </w:r>
          </w:p>
        </w:tc>
        <w:tc>
          <w:tcPr>
            <w:tcW w:w="0" w:type="auto"/>
            <w:vAlign w:val="center"/>
          </w:tcPr>
          <w:p w14:paraId="68DF13B5">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随机备品备件</w:t>
            </w:r>
          </w:p>
        </w:tc>
        <w:tc>
          <w:tcPr>
            <w:tcW w:w="0" w:type="auto"/>
            <w:vAlign w:val="center"/>
          </w:tcPr>
          <w:p w14:paraId="2DA3C6E9">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合同签订后45天内</w:t>
            </w:r>
          </w:p>
        </w:tc>
      </w:tr>
      <w:tr w14:paraId="24A75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0" w:type="auto"/>
            <w:vAlign w:val="center"/>
          </w:tcPr>
          <w:p w14:paraId="230A0A97">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4</w:t>
            </w:r>
          </w:p>
        </w:tc>
        <w:tc>
          <w:tcPr>
            <w:tcW w:w="0" w:type="auto"/>
            <w:vAlign w:val="center"/>
          </w:tcPr>
          <w:p w14:paraId="74C81D4B">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专用工具</w:t>
            </w:r>
          </w:p>
        </w:tc>
        <w:tc>
          <w:tcPr>
            <w:tcW w:w="0" w:type="auto"/>
            <w:vAlign w:val="center"/>
          </w:tcPr>
          <w:p w14:paraId="4E7ABF16">
            <w:pPr>
              <w:kinsoku/>
              <w:wordWrap/>
              <w:overflowPunct/>
              <w:topLinePunct w:val="0"/>
              <w:autoSpaceDE/>
              <w:autoSpaceDN/>
              <w:bidi w:val="0"/>
              <w:adjustRightInd/>
              <w:spacing w:before="20" w:after="20"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合同签订后45天内</w:t>
            </w:r>
          </w:p>
        </w:tc>
      </w:tr>
    </w:tbl>
    <w:p w14:paraId="269F633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val="en-US" w:eastAsia="zh-CN"/>
        </w:rPr>
        <w:t>热电照明技改项目物资：</w:t>
      </w:r>
      <w:r>
        <w:rPr>
          <w:rFonts w:hint="eastAsia" w:ascii="宋体" w:hAnsi="宋体" w:eastAsia="宋体" w:cs="宋体"/>
          <w:sz w:val="24"/>
          <w:szCs w:val="24"/>
          <w:highlight w:val="none"/>
        </w:rPr>
        <w:t>交货日期指该批设备到现场的日期，</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需在合同签订日期后45天内将所有灯具及附件运输至</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规定的地点。交货地点为伊犁新天煤化工有限责任公司仓库。</w:t>
      </w:r>
    </w:p>
    <w:p w14:paraId="2BC4CB1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设备到达现场，</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派人到现场办理交接。</w:t>
      </w:r>
    </w:p>
    <w:p w14:paraId="1EF0938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本交货时间为暂定计划，具体交货时间根据工程进度要求调整。</w:t>
      </w:r>
    </w:p>
    <w:p w14:paraId="65675E4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w:t>
      </w:r>
      <w:r>
        <w:rPr>
          <w:rFonts w:hint="eastAsia" w:ascii="宋体" w:hAnsi="宋体" w:eastAsia="宋体" w:cs="宋体"/>
          <w:sz w:val="24"/>
          <w:szCs w:val="24"/>
          <w:highlight w:val="none"/>
          <w:lang w:val="en-US" w:eastAsia="zh-CN"/>
        </w:rPr>
        <w:t>日常消缺框架物资：</w:t>
      </w:r>
      <w:r>
        <w:rPr>
          <w:rFonts w:hint="eastAsia" w:ascii="宋体" w:hAnsi="宋体" w:eastAsia="宋体" w:cs="宋体"/>
          <w:sz w:val="24"/>
          <w:szCs w:val="24"/>
          <w:highlight w:val="none"/>
        </w:rPr>
        <w:t>采购订单生效后，每批次接到招标人通知后1个月内货物到达招标人生产现场指定位置，运输及装卸货物均由投标人负责。</w:t>
      </w:r>
    </w:p>
    <w:p w14:paraId="1444F53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 紧急采购订单，到货周期为20天。</w:t>
      </w:r>
    </w:p>
    <w:p w14:paraId="04ED4E6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1F12C91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1DFC4D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74AC9D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9809ED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B86713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14FAE7F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7849596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0B0E182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1B7F912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3BFCBA3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1525298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2E08B0B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附件5 设备监造、检验和性能验收试验</w:t>
      </w:r>
    </w:p>
    <w:p w14:paraId="4B51A44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 概述</w:t>
      </w:r>
    </w:p>
    <w:p w14:paraId="27447DC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本附件用于合同执行期间对</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所提供的设备（包括对分包外购设备）进行监造、检查和性能验收试验，确保</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所提供的设备符合附件1规定的要求。</w:t>
      </w:r>
    </w:p>
    <w:p w14:paraId="1AA1914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1.2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应在合同生效后15天内，向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提供与本合同设备有关的监造、检查和性能验收试验标准。有关标准应符合附件1的规定。</w:t>
      </w:r>
    </w:p>
    <w:p w14:paraId="66CE84A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工厂检查</w:t>
      </w:r>
    </w:p>
    <w:p w14:paraId="64F05FD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 工厂检查是质量控制的一个重要组成部分。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需严格进行厂内各生产环节的检查和试验。</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提供的合同设备须签发质量证明、检验记录和测试报告，并且作为交货时质量证明文件的组成部分。</w:t>
      </w:r>
    </w:p>
    <w:p w14:paraId="3828C04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 检查的范围包括原材料和元器件的进场，部件的加工、组装、试验、出厂试验。</w:t>
      </w:r>
    </w:p>
    <w:p w14:paraId="0A71036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检验的结果要满足附件1的要求，如有不符之处或达不到标准要求，</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要采取措施处理直至满足要求，同时向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提交不一致性报告。</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发生重大质量问题时应将情况及时通知</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w:t>
      </w:r>
    </w:p>
    <w:p w14:paraId="2B3FCDD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 工厂检查的所有费用包括在合同总价中。</w:t>
      </w:r>
    </w:p>
    <w:p w14:paraId="7B4CF2E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性能验收试验</w:t>
      </w:r>
    </w:p>
    <w:p w14:paraId="392CC72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 性能验收试验的目的是检验合同设备的所有性能是否符合附件1的要求。</w:t>
      </w:r>
    </w:p>
    <w:p w14:paraId="54E3442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 性能验收试验的地点一般为</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现场。</w:t>
      </w:r>
    </w:p>
    <w:p w14:paraId="28A6AC6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3.3 性能验收试验的时间：性能试验</w:t>
      </w:r>
      <w:r>
        <w:rPr>
          <w:rFonts w:hint="eastAsia" w:ascii="宋体" w:hAnsi="宋体" w:eastAsia="宋体" w:cs="宋体"/>
          <w:sz w:val="24"/>
          <w:szCs w:val="24"/>
          <w:highlight w:val="none"/>
          <w:lang w:val="en-US" w:eastAsia="zh-CN"/>
        </w:rPr>
        <w:t>的样品在设备到货后由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随机抽取，送第三方检测。检测时间由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确定。</w:t>
      </w:r>
    </w:p>
    <w:p w14:paraId="40CCD76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3.4 性能验收试验由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主持，</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参加。试验大纲由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提供，与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讨论后确定，具体试验内容由招投标双方共同认可的测试单位进行。</w:t>
      </w:r>
    </w:p>
    <w:p w14:paraId="10E8F24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 性能验收试验的内容</w:t>
      </w:r>
    </w:p>
    <w:p w14:paraId="0B3CBAE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3.5.1 材料试验：材料应根据标准试验，提供</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非破坏性试验资料。</w:t>
      </w:r>
    </w:p>
    <w:p w14:paraId="412A019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3.5.2 工厂检验是质量控制的一个重要组成部分。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须严格进行厂内各生产环节的检验和试验。</w:t>
      </w:r>
    </w:p>
    <w:p w14:paraId="1A3B822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3.5.3 检验的范围包括原材料和元器件的进场，部件的加工、组装、试验至出厂试验。</w:t>
      </w:r>
    </w:p>
    <w:p w14:paraId="2F6C267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3.5.4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检验的结果要满足附件1的要求，如有不符之处或达不到标准要求，</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要采取措施处理直至满足要求，同时向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提交不一致性报告。</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发生重大质量问题时应及时将情况通知</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，其处理方案需经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确认后实施。</w:t>
      </w:r>
    </w:p>
    <w:p w14:paraId="0ABF1DF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 性能验收试验结果</w:t>
      </w:r>
    </w:p>
    <w:p w14:paraId="225D227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性能验收试验报告由测试单位编写，报告结论招投标双方均应认可。如双方对试验的结果有不一致意见，双方协商解决。若需进行第二次试验，费用由提出方承担。进行性能验收试验时，一方接到另一方试验通知而不派人参加试验，则被视为对验收试验结果的同意。</w:t>
      </w:r>
    </w:p>
    <w:p w14:paraId="0F25BDF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 验收</w:t>
      </w:r>
    </w:p>
    <w:p w14:paraId="6759FB7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 验收包括照明和文件资料两个部分。</w:t>
      </w:r>
    </w:p>
    <w:p w14:paraId="759C5BE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 验收至少包括以下几个部分：数量、外观、尺寸、材质、附件等具体要求按附件1相关要求。</w:t>
      </w:r>
    </w:p>
    <w:p w14:paraId="7D6801A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 文件资料的验收应至少包括以下几个部分：详见附件3相关要求。</w:t>
      </w:r>
    </w:p>
    <w:p w14:paraId="2BC7BD5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4.4 经验收符合技术要求的，</w:t>
      </w:r>
      <w:r>
        <w:rPr>
          <w:rFonts w:hint="eastAsia" w:ascii="宋体" w:hAnsi="宋体" w:eastAsia="宋体" w:cs="宋体"/>
          <w:sz w:val="24"/>
          <w:szCs w:val="24"/>
          <w:highlight w:val="none"/>
          <w:lang w:val="en-US" w:eastAsia="zh-CN"/>
        </w:rPr>
        <w:t>到货验收</w:t>
      </w:r>
      <w:r>
        <w:rPr>
          <w:rFonts w:hint="eastAsia" w:ascii="宋体" w:hAnsi="宋体" w:eastAsia="宋体" w:cs="宋体"/>
          <w:sz w:val="24"/>
          <w:szCs w:val="24"/>
          <w:highlight w:val="none"/>
        </w:rPr>
        <w:t>方为合格，</w:t>
      </w:r>
      <w:r>
        <w:rPr>
          <w:rFonts w:hint="eastAsia" w:ascii="宋体" w:hAnsi="宋体" w:eastAsia="宋体" w:cs="宋体"/>
          <w:sz w:val="24"/>
          <w:szCs w:val="24"/>
          <w:highlight w:val="none"/>
          <w:lang w:val="en-US" w:eastAsia="zh-CN"/>
        </w:rPr>
        <w:t>质量保证期内出现问题按性能考核条款处理。</w:t>
      </w:r>
    </w:p>
    <w:p w14:paraId="147758E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 验收不符合技术要求或安装后无法正常运行1个月的，投标人应当立即返修、更换，直到符合技术要求或安装后正常运行1个月。</w:t>
      </w:r>
    </w:p>
    <w:p w14:paraId="243A879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 货物到现场后投标人应委派开箱人员及时赶到现场协同开箱，否则招标人有权单独开箱检验。</w:t>
      </w:r>
    </w:p>
    <w:p w14:paraId="2A4F58F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 到货验收检验结果必须满足技术规范要求；如有不符之处或达不到标准要求，投标人要采取措施处理直至满足要求，并承担由此产生后果及相关费用。</w:t>
      </w:r>
    </w:p>
    <w:p w14:paraId="76AFD35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 灯具入库前随机检测灯具，拆开检查灯具驱动使用品牌和灯珠数量。</w:t>
      </w:r>
    </w:p>
    <w:p w14:paraId="2003A02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bookmarkStart w:id="0" w:name="_Toc488922627"/>
      <w:bookmarkStart w:id="1" w:name="_Toc197942020"/>
      <w:bookmarkStart w:id="2" w:name="_Toc515622054"/>
      <w:bookmarkStart w:id="3" w:name="_Toc515705620"/>
      <w:bookmarkStart w:id="4" w:name="_Toc12842"/>
      <w:bookmarkStart w:id="5" w:name="_Toc515332013"/>
      <w:bookmarkStart w:id="6" w:name="_Toc515335072"/>
      <w:bookmarkStart w:id="7" w:name="_Toc394471051"/>
      <w:bookmarkStart w:id="8" w:name="_Toc515727599"/>
      <w:bookmarkStart w:id="9" w:name="_Toc515697899"/>
      <w:bookmarkStart w:id="10" w:name="_Toc515708315"/>
      <w:bookmarkStart w:id="11" w:name="_Toc286159474"/>
      <w:bookmarkStart w:id="12" w:name="_Toc197941651"/>
      <w:bookmarkStart w:id="13" w:name="_Toc515785184"/>
    </w:p>
    <w:p w14:paraId="46DCD9F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p>
    <w:p w14:paraId="66705B8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p>
    <w:p w14:paraId="23BAE59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w:t>
      </w:r>
      <w:bookmarkEnd w:id="0"/>
      <w:bookmarkStart w:id="14" w:name="_Hlt515349331"/>
      <w:bookmarkEnd w:id="14"/>
      <w:r>
        <w:rPr>
          <w:rFonts w:hint="eastAsia" w:ascii="宋体" w:hAnsi="宋体" w:eastAsia="宋体" w:cs="宋体"/>
          <w:b/>
          <w:bCs/>
          <w:sz w:val="24"/>
          <w:szCs w:val="24"/>
          <w:highlight w:val="none"/>
        </w:rPr>
        <w:t>6 技术服务和联络</w:t>
      </w:r>
      <w:bookmarkEnd w:id="1"/>
      <w:bookmarkEnd w:id="2"/>
      <w:bookmarkEnd w:id="3"/>
      <w:bookmarkEnd w:id="4"/>
      <w:bookmarkEnd w:id="5"/>
      <w:bookmarkEnd w:id="6"/>
      <w:bookmarkEnd w:id="7"/>
      <w:bookmarkEnd w:id="8"/>
      <w:bookmarkEnd w:id="9"/>
      <w:bookmarkEnd w:id="10"/>
      <w:bookmarkEnd w:id="11"/>
      <w:bookmarkEnd w:id="12"/>
      <w:bookmarkEnd w:id="13"/>
      <w:bookmarkStart w:id="15" w:name="_Toc515708316"/>
      <w:bookmarkStart w:id="16" w:name="_Toc515727600"/>
      <w:bookmarkStart w:id="17" w:name="_Toc515785185"/>
      <w:bookmarkStart w:id="18" w:name="_Toc515705621"/>
      <w:bookmarkStart w:id="19" w:name="_Toc515697900"/>
    </w:p>
    <w:p w14:paraId="1FA4FBD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现场技术服务</w:t>
      </w:r>
      <w:bookmarkEnd w:id="15"/>
      <w:bookmarkEnd w:id="16"/>
      <w:bookmarkEnd w:id="17"/>
      <w:bookmarkEnd w:id="18"/>
      <w:bookmarkEnd w:id="19"/>
    </w:p>
    <w:p w14:paraId="5631B884">
      <w:pPr>
        <w:kinsoku/>
        <w:wordWrap/>
        <w:overflowPunct/>
        <w:topLinePunct w:val="0"/>
        <w:autoSpaceDE/>
        <w:autoSpaceDN/>
        <w:bidi w:val="0"/>
        <w:adjustRightInd/>
        <w:spacing w:line="360" w:lineRule="auto"/>
        <w:ind w:left="0" w:firstLine="0" w:firstLineChars="0"/>
        <w:textAlignment w:val="auto"/>
        <w:rPr>
          <w:rFonts w:hint="eastAsia" w:ascii="宋体" w:hAnsi="宋体" w:cs="宋体"/>
          <w:color w:val="000000"/>
          <w:highlight w:val="none"/>
        </w:rPr>
      </w:pPr>
      <w:bookmarkStart w:id="20" w:name="_Toc515785186"/>
      <w:bookmarkStart w:id="21" w:name="_Toc515727601"/>
      <w:bookmarkStart w:id="22" w:name="_Toc515697901"/>
      <w:bookmarkStart w:id="23" w:name="_Toc515708317"/>
      <w:bookmarkStart w:id="24" w:name="_Toc515705622"/>
      <w:r>
        <w:rPr>
          <w:rFonts w:hint="eastAsia" w:ascii="宋体" w:hAnsi="宋体" w:eastAsia="宋体" w:cs="宋体"/>
          <w:sz w:val="24"/>
          <w:szCs w:val="24"/>
          <w:highlight w:val="none"/>
        </w:rPr>
        <w:t>1.1</w:t>
      </w:r>
      <w:r>
        <w:rPr>
          <w:rFonts w:hint="eastAsia" w:ascii="宋体" w:hAnsi="宋体" w:eastAsia="宋体" w:cs="宋体"/>
          <w:sz w:val="24"/>
          <w:szCs w:val="24"/>
          <w:highlight w:val="none"/>
        </w:rPr>
        <w:tab/>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现场服务人员的目的是使所供设备安全、正常投运。</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要派合格的现场服务人员。在投标阶段应提供包括服务人月数的现场服务计划表（见格式）。如果此人月数不能满足工程需要，</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要追加人月数，但</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无须为此支付任何</w:t>
      </w:r>
      <w:r>
        <w:rPr>
          <w:rFonts w:hint="eastAsia" w:ascii="宋体" w:hAnsi="宋体" w:cs="宋体"/>
          <w:color w:val="000000"/>
          <w:highlight w:val="none"/>
        </w:rPr>
        <w:t>额外费用。</w:t>
      </w:r>
    </w:p>
    <w:p w14:paraId="61DD6247">
      <w:pPr>
        <w:pStyle w:val="6"/>
        <w:snapToGrid w:val="0"/>
        <w:spacing w:line="500" w:lineRule="exact"/>
        <w:ind w:firstLineChars="200"/>
        <w:jc w:val="center"/>
        <w:rPr>
          <w:rFonts w:hint="eastAsia" w:hAnsi="宋体" w:cs="宋体"/>
          <w:color w:val="000000"/>
          <w:highlight w:val="none"/>
        </w:rPr>
      </w:pPr>
      <w:r>
        <w:rPr>
          <w:rFonts w:hint="eastAsia" w:hAnsi="宋体" w:cs="宋体"/>
          <w:color w:val="000000"/>
          <w:highlight w:val="none"/>
        </w:rPr>
        <w:t>现 场 服 务 计 划 表 （格式）</w:t>
      </w:r>
    </w:p>
    <w:tbl>
      <w:tblPr>
        <w:tblStyle w:val="14"/>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2653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trPr>
        <w:tc>
          <w:tcPr>
            <w:tcW w:w="960" w:type="dxa"/>
            <w:vMerge w:val="restart"/>
            <w:vAlign w:val="center"/>
          </w:tcPr>
          <w:p w14:paraId="5B35A7F5">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序号</w:t>
            </w:r>
          </w:p>
        </w:tc>
        <w:tc>
          <w:tcPr>
            <w:tcW w:w="1800" w:type="dxa"/>
            <w:vMerge w:val="restart"/>
            <w:vAlign w:val="center"/>
          </w:tcPr>
          <w:p w14:paraId="5C21871C">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技术服务内容</w:t>
            </w:r>
          </w:p>
        </w:tc>
        <w:tc>
          <w:tcPr>
            <w:tcW w:w="1560" w:type="dxa"/>
            <w:vMerge w:val="restart"/>
            <w:vAlign w:val="center"/>
          </w:tcPr>
          <w:p w14:paraId="45C3F40A">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计划人月数</w:t>
            </w:r>
          </w:p>
        </w:tc>
        <w:tc>
          <w:tcPr>
            <w:tcW w:w="2880" w:type="dxa"/>
            <w:gridSpan w:val="2"/>
          </w:tcPr>
          <w:p w14:paraId="37212455">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派出人员构成</w:t>
            </w:r>
          </w:p>
        </w:tc>
        <w:tc>
          <w:tcPr>
            <w:tcW w:w="1200" w:type="dxa"/>
            <w:vMerge w:val="restart"/>
            <w:vAlign w:val="center"/>
          </w:tcPr>
          <w:p w14:paraId="1BF42B00">
            <w:pPr>
              <w:pStyle w:val="6"/>
              <w:snapToGrid w:val="0"/>
              <w:spacing w:line="500" w:lineRule="exact"/>
              <w:ind w:leftChars="-11" w:hanging="19" w:hangingChars="11"/>
              <w:jc w:val="center"/>
              <w:rPr>
                <w:rFonts w:hint="eastAsia" w:hAnsi="宋体" w:cs="宋体"/>
                <w:color w:val="000000"/>
                <w:sz w:val="18"/>
                <w:szCs w:val="18"/>
                <w:highlight w:val="none"/>
              </w:rPr>
            </w:pPr>
            <w:r>
              <w:rPr>
                <w:rFonts w:hint="eastAsia" w:hAnsi="宋体" w:cs="宋体"/>
                <w:color w:val="000000"/>
                <w:sz w:val="18"/>
                <w:szCs w:val="18"/>
                <w:highlight w:val="none"/>
              </w:rPr>
              <w:t>备注</w:t>
            </w:r>
          </w:p>
        </w:tc>
      </w:tr>
      <w:tr w14:paraId="1F72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960" w:type="dxa"/>
            <w:vMerge w:val="continue"/>
          </w:tcPr>
          <w:p w14:paraId="496E67A6">
            <w:pPr>
              <w:pStyle w:val="6"/>
              <w:snapToGrid w:val="0"/>
              <w:spacing w:line="500" w:lineRule="exact"/>
              <w:ind w:firstLineChars="200"/>
              <w:rPr>
                <w:rFonts w:hint="eastAsia" w:hAnsi="宋体" w:cs="宋体"/>
                <w:color w:val="000000"/>
                <w:sz w:val="18"/>
                <w:szCs w:val="18"/>
                <w:highlight w:val="none"/>
              </w:rPr>
            </w:pPr>
          </w:p>
        </w:tc>
        <w:tc>
          <w:tcPr>
            <w:tcW w:w="1800" w:type="dxa"/>
            <w:vMerge w:val="continue"/>
          </w:tcPr>
          <w:p w14:paraId="6BED00B7">
            <w:pPr>
              <w:pStyle w:val="6"/>
              <w:snapToGrid w:val="0"/>
              <w:spacing w:line="500" w:lineRule="exact"/>
              <w:ind w:firstLineChars="200"/>
              <w:rPr>
                <w:rFonts w:hint="eastAsia" w:hAnsi="宋体" w:cs="宋体"/>
                <w:color w:val="000000"/>
                <w:sz w:val="18"/>
                <w:szCs w:val="18"/>
                <w:highlight w:val="none"/>
              </w:rPr>
            </w:pPr>
          </w:p>
        </w:tc>
        <w:tc>
          <w:tcPr>
            <w:tcW w:w="1560" w:type="dxa"/>
            <w:vMerge w:val="continue"/>
          </w:tcPr>
          <w:p w14:paraId="4B4C62C9">
            <w:pPr>
              <w:pStyle w:val="6"/>
              <w:snapToGrid w:val="0"/>
              <w:spacing w:line="500" w:lineRule="exact"/>
              <w:ind w:firstLineChars="200"/>
              <w:rPr>
                <w:rFonts w:hint="eastAsia" w:hAnsi="宋体" w:cs="宋体"/>
                <w:color w:val="000000"/>
                <w:sz w:val="18"/>
                <w:szCs w:val="18"/>
                <w:highlight w:val="none"/>
              </w:rPr>
            </w:pPr>
          </w:p>
        </w:tc>
        <w:tc>
          <w:tcPr>
            <w:tcW w:w="1440" w:type="dxa"/>
            <w:vAlign w:val="center"/>
          </w:tcPr>
          <w:p w14:paraId="2DF292FD">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职称</w:t>
            </w:r>
          </w:p>
        </w:tc>
        <w:tc>
          <w:tcPr>
            <w:tcW w:w="1440" w:type="dxa"/>
          </w:tcPr>
          <w:p w14:paraId="407C2993">
            <w:pPr>
              <w:pStyle w:val="6"/>
              <w:snapToGrid w:val="0"/>
              <w:spacing w:line="500" w:lineRule="exact"/>
              <w:ind w:firstLine="0"/>
              <w:jc w:val="center"/>
              <w:rPr>
                <w:rFonts w:hint="eastAsia" w:hAnsi="宋体" w:cs="宋体"/>
                <w:color w:val="000000"/>
                <w:sz w:val="18"/>
                <w:szCs w:val="18"/>
                <w:highlight w:val="none"/>
              </w:rPr>
            </w:pPr>
            <w:r>
              <w:rPr>
                <w:rFonts w:hint="eastAsia" w:hAnsi="宋体" w:cs="宋体"/>
                <w:color w:val="000000"/>
                <w:sz w:val="18"/>
                <w:szCs w:val="18"/>
                <w:highlight w:val="none"/>
              </w:rPr>
              <w:t>人数</w:t>
            </w:r>
          </w:p>
        </w:tc>
        <w:tc>
          <w:tcPr>
            <w:tcW w:w="1200" w:type="dxa"/>
            <w:vMerge w:val="continue"/>
          </w:tcPr>
          <w:p w14:paraId="4851F010">
            <w:pPr>
              <w:pStyle w:val="6"/>
              <w:snapToGrid w:val="0"/>
              <w:spacing w:line="500" w:lineRule="exact"/>
              <w:ind w:firstLineChars="200"/>
              <w:rPr>
                <w:rFonts w:hint="eastAsia" w:hAnsi="宋体" w:cs="宋体"/>
                <w:color w:val="000000"/>
                <w:sz w:val="18"/>
                <w:szCs w:val="18"/>
                <w:highlight w:val="none"/>
              </w:rPr>
            </w:pPr>
          </w:p>
        </w:tc>
      </w:tr>
      <w:tr w14:paraId="7FF6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60" w:type="dxa"/>
          </w:tcPr>
          <w:p w14:paraId="31642968">
            <w:pPr>
              <w:pStyle w:val="6"/>
              <w:snapToGrid w:val="0"/>
              <w:spacing w:line="500" w:lineRule="exact"/>
              <w:ind w:firstLineChars="200"/>
              <w:rPr>
                <w:rFonts w:hint="eastAsia" w:hAnsi="宋体" w:cs="宋体"/>
                <w:color w:val="000000"/>
                <w:sz w:val="18"/>
                <w:szCs w:val="18"/>
                <w:highlight w:val="none"/>
              </w:rPr>
            </w:pPr>
          </w:p>
        </w:tc>
        <w:tc>
          <w:tcPr>
            <w:tcW w:w="1800" w:type="dxa"/>
          </w:tcPr>
          <w:p w14:paraId="091F8911">
            <w:pPr>
              <w:pStyle w:val="6"/>
              <w:snapToGrid w:val="0"/>
              <w:spacing w:line="500" w:lineRule="exact"/>
              <w:ind w:firstLineChars="200"/>
              <w:rPr>
                <w:rFonts w:hint="eastAsia" w:hAnsi="宋体" w:cs="宋体"/>
                <w:color w:val="000000"/>
                <w:sz w:val="18"/>
                <w:szCs w:val="18"/>
                <w:highlight w:val="none"/>
              </w:rPr>
            </w:pPr>
          </w:p>
        </w:tc>
        <w:tc>
          <w:tcPr>
            <w:tcW w:w="1560" w:type="dxa"/>
          </w:tcPr>
          <w:p w14:paraId="71098958">
            <w:pPr>
              <w:pStyle w:val="6"/>
              <w:snapToGrid w:val="0"/>
              <w:spacing w:line="500" w:lineRule="exact"/>
              <w:ind w:firstLineChars="200"/>
              <w:rPr>
                <w:rFonts w:hint="eastAsia" w:hAnsi="宋体" w:cs="宋体"/>
                <w:color w:val="000000"/>
                <w:sz w:val="18"/>
                <w:szCs w:val="18"/>
                <w:highlight w:val="none"/>
              </w:rPr>
            </w:pPr>
          </w:p>
        </w:tc>
        <w:tc>
          <w:tcPr>
            <w:tcW w:w="1440" w:type="dxa"/>
          </w:tcPr>
          <w:p w14:paraId="75E5F0A3">
            <w:pPr>
              <w:pStyle w:val="6"/>
              <w:snapToGrid w:val="0"/>
              <w:spacing w:line="500" w:lineRule="exact"/>
              <w:ind w:firstLineChars="200"/>
              <w:rPr>
                <w:rFonts w:hint="eastAsia" w:hAnsi="宋体" w:cs="宋体"/>
                <w:color w:val="000000"/>
                <w:sz w:val="18"/>
                <w:szCs w:val="18"/>
                <w:highlight w:val="none"/>
              </w:rPr>
            </w:pPr>
          </w:p>
        </w:tc>
        <w:tc>
          <w:tcPr>
            <w:tcW w:w="1440" w:type="dxa"/>
          </w:tcPr>
          <w:p w14:paraId="210E6F67">
            <w:pPr>
              <w:pStyle w:val="6"/>
              <w:snapToGrid w:val="0"/>
              <w:spacing w:line="500" w:lineRule="exact"/>
              <w:ind w:firstLineChars="200"/>
              <w:rPr>
                <w:rFonts w:hint="eastAsia" w:hAnsi="宋体" w:cs="宋体"/>
                <w:color w:val="000000"/>
                <w:sz w:val="18"/>
                <w:szCs w:val="18"/>
                <w:highlight w:val="none"/>
              </w:rPr>
            </w:pPr>
          </w:p>
        </w:tc>
        <w:tc>
          <w:tcPr>
            <w:tcW w:w="1200" w:type="dxa"/>
          </w:tcPr>
          <w:p w14:paraId="42EBAE19">
            <w:pPr>
              <w:pStyle w:val="6"/>
              <w:snapToGrid w:val="0"/>
              <w:spacing w:line="500" w:lineRule="exact"/>
              <w:ind w:firstLineChars="200"/>
              <w:rPr>
                <w:rFonts w:hint="eastAsia" w:hAnsi="宋体" w:cs="宋体"/>
                <w:color w:val="000000"/>
                <w:sz w:val="18"/>
                <w:szCs w:val="18"/>
                <w:highlight w:val="none"/>
              </w:rPr>
            </w:pPr>
          </w:p>
        </w:tc>
      </w:tr>
      <w:tr w14:paraId="3741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60" w:type="dxa"/>
          </w:tcPr>
          <w:p w14:paraId="71247533">
            <w:pPr>
              <w:pStyle w:val="6"/>
              <w:snapToGrid w:val="0"/>
              <w:spacing w:line="500" w:lineRule="exact"/>
              <w:ind w:firstLineChars="200"/>
              <w:rPr>
                <w:rFonts w:hint="eastAsia" w:hAnsi="宋体" w:cs="宋体"/>
                <w:color w:val="000000"/>
                <w:sz w:val="18"/>
                <w:szCs w:val="18"/>
                <w:highlight w:val="none"/>
              </w:rPr>
            </w:pPr>
          </w:p>
        </w:tc>
        <w:tc>
          <w:tcPr>
            <w:tcW w:w="1800" w:type="dxa"/>
          </w:tcPr>
          <w:p w14:paraId="7B97A79A">
            <w:pPr>
              <w:pStyle w:val="6"/>
              <w:snapToGrid w:val="0"/>
              <w:spacing w:line="500" w:lineRule="exact"/>
              <w:ind w:firstLineChars="200"/>
              <w:rPr>
                <w:rFonts w:hint="eastAsia" w:hAnsi="宋体" w:cs="宋体"/>
                <w:color w:val="000000"/>
                <w:sz w:val="18"/>
                <w:szCs w:val="18"/>
                <w:highlight w:val="none"/>
              </w:rPr>
            </w:pPr>
          </w:p>
        </w:tc>
        <w:tc>
          <w:tcPr>
            <w:tcW w:w="1560" w:type="dxa"/>
          </w:tcPr>
          <w:p w14:paraId="3E3EBC16">
            <w:pPr>
              <w:pStyle w:val="6"/>
              <w:snapToGrid w:val="0"/>
              <w:spacing w:line="500" w:lineRule="exact"/>
              <w:ind w:firstLineChars="200"/>
              <w:rPr>
                <w:rFonts w:hint="eastAsia" w:hAnsi="宋体" w:cs="宋体"/>
                <w:color w:val="000000"/>
                <w:sz w:val="18"/>
                <w:szCs w:val="18"/>
                <w:highlight w:val="none"/>
              </w:rPr>
            </w:pPr>
          </w:p>
        </w:tc>
        <w:tc>
          <w:tcPr>
            <w:tcW w:w="1440" w:type="dxa"/>
          </w:tcPr>
          <w:p w14:paraId="4AFA175F">
            <w:pPr>
              <w:pStyle w:val="6"/>
              <w:snapToGrid w:val="0"/>
              <w:spacing w:line="500" w:lineRule="exact"/>
              <w:ind w:firstLineChars="200"/>
              <w:rPr>
                <w:rFonts w:hint="eastAsia" w:hAnsi="宋体" w:cs="宋体"/>
                <w:color w:val="000000"/>
                <w:sz w:val="18"/>
                <w:szCs w:val="18"/>
                <w:highlight w:val="none"/>
              </w:rPr>
            </w:pPr>
          </w:p>
        </w:tc>
        <w:tc>
          <w:tcPr>
            <w:tcW w:w="1440" w:type="dxa"/>
          </w:tcPr>
          <w:p w14:paraId="3D61BD39">
            <w:pPr>
              <w:pStyle w:val="6"/>
              <w:snapToGrid w:val="0"/>
              <w:spacing w:line="500" w:lineRule="exact"/>
              <w:ind w:firstLineChars="200"/>
              <w:rPr>
                <w:rFonts w:hint="eastAsia" w:hAnsi="宋体" w:cs="宋体"/>
                <w:color w:val="000000"/>
                <w:sz w:val="18"/>
                <w:szCs w:val="18"/>
                <w:highlight w:val="none"/>
              </w:rPr>
            </w:pPr>
          </w:p>
        </w:tc>
        <w:tc>
          <w:tcPr>
            <w:tcW w:w="1200" w:type="dxa"/>
          </w:tcPr>
          <w:p w14:paraId="2572F9DF">
            <w:pPr>
              <w:pStyle w:val="6"/>
              <w:snapToGrid w:val="0"/>
              <w:spacing w:line="500" w:lineRule="exact"/>
              <w:ind w:firstLineChars="200"/>
              <w:rPr>
                <w:rFonts w:hint="eastAsia" w:hAnsi="宋体" w:cs="宋体"/>
                <w:color w:val="000000"/>
                <w:sz w:val="18"/>
                <w:szCs w:val="18"/>
                <w:highlight w:val="none"/>
              </w:rPr>
            </w:pPr>
          </w:p>
        </w:tc>
      </w:tr>
      <w:tr w14:paraId="11A9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60" w:type="dxa"/>
          </w:tcPr>
          <w:p w14:paraId="0D7EFD46">
            <w:pPr>
              <w:pStyle w:val="6"/>
              <w:snapToGrid w:val="0"/>
              <w:spacing w:line="500" w:lineRule="exact"/>
              <w:ind w:firstLineChars="200"/>
              <w:rPr>
                <w:rFonts w:hint="eastAsia" w:hAnsi="宋体" w:cs="宋体"/>
                <w:color w:val="000000"/>
                <w:sz w:val="18"/>
                <w:szCs w:val="18"/>
                <w:highlight w:val="none"/>
              </w:rPr>
            </w:pPr>
          </w:p>
        </w:tc>
        <w:tc>
          <w:tcPr>
            <w:tcW w:w="1800" w:type="dxa"/>
          </w:tcPr>
          <w:p w14:paraId="55A97597">
            <w:pPr>
              <w:pStyle w:val="6"/>
              <w:snapToGrid w:val="0"/>
              <w:spacing w:line="500" w:lineRule="exact"/>
              <w:ind w:firstLineChars="200"/>
              <w:rPr>
                <w:rFonts w:hint="eastAsia" w:hAnsi="宋体" w:cs="宋体"/>
                <w:color w:val="000000"/>
                <w:sz w:val="18"/>
                <w:szCs w:val="18"/>
                <w:highlight w:val="none"/>
              </w:rPr>
            </w:pPr>
          </w:p>
        </w:tc>
        <w:tc>
          <w:tcPr>
            <w:tcW w:w="1560" w:type="dxa"/>
          </w:tcPr>
          <w:p w14:paraId="32CFAF62">
            <w:pPr>
              <w:pStyle w:val="6"/>
              <w:snapToGrid w:val="0"/>
              <w:spacing w:line="500" w:lineRule="exact"/>
              <w:ind w:firstLineChars="200"/>
              <w:rPr>
                <w:rFonts w:hint="eastAsia" w:hAnsi="宋体" w:cs="宋体"/>
                <w:color w:val="000000"/>
                <w:sz w:val="18"/>
                <w:szCs w:val="18"/>
                <w:highlight w:val="none"/>
              </w:rPr>
            </w:pPr>
          </w:p>
        </w:tc>
        <w:tc>
          <w:tcPr>
            <w:tcW w:w="1440" w:type="dxa"/>
          </w:tcPr>
          <w:p w14:paraId="569D7906">
            <w:pPr>
              <w:pStyle w:val="6"/>
              <w:snapToGrid w:val="0"/>
              <w:spacing w:line="500" w:lineRule="exact"/>
              <w:ind w:firstLineChars="200"/>
              <w:rPr>
                <w:rFonts w:hint="eastAsia" w:hAnsi="宋体" w:cs="宋体"/>
                <w:color w:val="000000"/>
                <w:sz w:val="18"/>
                <w:szCs w:val="18"/>
                <w:highlight w:val="none"/>
              </w:rPr>
            </w:pPr>
          </w:p>
        </w:tc>
        <w:tc>
          <w:tcPr>
            <w:tcW w:w="1440" w:type="dxa"/>
          </w:tcPr>
          <w:p w14:paraId="40DD268D">
            <w:pPr>
              <w:pStyle w:val="6"/>
              <w:snapToGrid w:val="0"/>
              <w:spacing w:line="500" w:lineRule="exact"/>
              <w:ind w:firstLineChars="200"/>
              <w:rPr>
                <w:rFonts w:hint="eastAsia" w:hAnsi="宋体" w:cs="宋体"/>
                <w:color w:val="000000"/>
                <w:sz w:val="18"/>
                <w:szCs w:val="18"/>
                <w:highlight w:val="none"/>
              </w:rPr>
            </w:pPr>
          </w:p>
        </w:tc>
        <w:tc>
          <w:tcPr>
            <w:tcW w:w="1200" w:type="dxa"/>
          </w:tcPr>
          <w:p w14:paraId="7AA3C6C3">
            <w:pPr>
              <w:pStyle w:val="6"/>
              <w:snapToGrid w:val="0"/>
              <w:spacing w:line="500" w:lineRule="exact"/>
              <w:ind w:firstLineChars="200"/>
              <w:rPr>
                <w:rFonts w:hint="eastAsia" w:hAnsi="宋体" w:cs="宋体"/>
                <w:color w:val="000000"/>
                <w:sz w:val="18"/>
                <w:szCs w:val="18"/>
                <w:highlight w:val="none"/>
              </w:rPr>
            </w:pPr>
          </w:p>
        </w:tc>
      </w:tr>
      <w:tr w14:paraId="4B51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60" w:type="dxa"/>
          </w:tcPr>
          <w:p w14:paraId="2A46C132">
            <w:pPr>
              <w:pStyle w:val="6"/>
              <w:snapToGrid w:val="0"/>
              <w:spacing w:line="500" w:lineRule="exact"/>
              <w:ind w:firstLineChars="200"/>
              <w:rPr>
                <w:rFonts w:hint="eastAsia" w:hAnsi="宋体" w:cs="宋体"/>
                <w:color w:val="000000"/>
                <w:sz w:val="18"/>
                <w:szCs w:val="18"/>
                <w:highlight w:val="none"/>
              </w:rPr>
            </w:pPr>
          </w:p>
        </w:tc>
        <w:tc>
          <w:tcPr>
            <w:tcW w:w="1800" w:type="dxa"/>
          </w:tcPr>
          <w:p w14:paraId="3C9D9673">
            <w:pPr>
              <w:pStyle w:val="6"/>
              <w:snapToGrid w:val="0"/>
              <w:spacing w:line="500" w:lineRule="exact"/>
              <w:ind w:firstLineChars="200"/>
              <w:rPr>
                <w:rFonts w:hint="eastAsia" w:hAnsi="宋体" w:cs="宋体"/>
                <w:color w:val="000000"/>
                <w:sz w:val="18"/>
                <w:szCs w:val="18"/>
                <w:highlight w:val="none"/>
              </w:rPr>
            </w:pPr>
          </w:p>
        </w:tc>
        <w:tc>
          <w:tcPr>
            <w:tcW w:w="1560" w:type="dxa"/>
          </w:tcPr>
          <w:p w14:paraId="00383F47">
            <w:pPr>
              <w:pStyle w:val="6"/>
              <w:snapToGrid w:val="0"/>
              <w:spacing w:line="500" w:lineRule="exact"/>
              <w:ind w:firstLineChars="200"/>
              <w:rPr>
                <w:rFonts w:hint="eastAsia" w:hAnsi="宋体" w:cs="宋体"/>
                <w:color w:val="000000"/>
                <w:sz w:val="18"/>
                <w:szCs w:val="18"/>
                <w:highlight w:val="none"/>
              </w:rPr>
            </w:pPr>
          </w:p>
        </w:tc>
        <w:tc>
          <w:tcPr>
            <w:tcW w:w="1440" w:type="dxa"/>
          </w:tcPr>
          <w:p w14:paraId="4B1A565D">
            <w:pPr>
              <w:pStyle w:val="6"/>
              <w:snapToGrid w:val="0"/>
              <w:spacing w:line="500" w:lineRule="exact"/>
              <w:ind w:firstLineChars="200"/>
              <w:rPr>
                <w:rFonts w:hint="eastAsia" w:hAnsi="宋体" w:cs="宋体"/>
                <w:color w:val="000000"/>
                <w:sz w:val="18"/>
                <w:szCs w:val="18"/>
                <w:highlight w:val="none"/>
              </w:rPr>
            </w:pPr>
          </w:p>
        </w:tc>
        <w:tc>
          <w:tcPr>
            <w:tcW w:w="1440" w:type="dxa"/>
          </w:tcPr>
          <w:p w14:paraId="629074AD">
            <w:pPr>
              <w:pStyle w:val="6"/>
              <w:snapToGrid w:val="0"/>
              <w:spacing w:line="500" w:lineRule="exact"/>
              <w:ind w:firstLineChars="200"/>
              <w:rPr>
                <w:rFonts w:hint="eastAsia" w:hAnsi="宋体" w:cs="宋体"/>
                <w:color w:val="000000"/>
                <w:sz w:val="18"/>
                <w:szCs w:val="18"/>
                <w:highlight w:val="none"/>
              </w:rPr>
            </w:pPr>
          </w:p>
        </w:tc>
        <w:tc>
          <w:tcPr>
            <w:tcW w:w="1200" w:type="dxa"/>
          </w:tcPr>
          <w:p w14:paraId="4CF54040">
            <w:pPr>
              <w:pStyle w:val="6"/>
              <w:snapToGrid w:val="0"/>
              <w:spacing w:line="500" w:lineRule="exact"/>
              <w:ind w:firstLineChars="200"/>
              <w:rPr>
                <w:rFonts w:hint="eastAsia" w:hAnsi="宋体" w:cs="宋体"/>
                <w:color w:val="000000"/>
                <w:sz w:val="18"/>
                <w:szCs w:val="18"/>
                <w:highlight w:val="none"/>
              </w:rPr>
            </w:pPr>
          </w:p>
        </w:tc>
      </w:tr>
    </w:tbl>
    <w:p w14:paraId="45EDFDB3">
      <w:pPr>
        <w:spacing w:line="500" w:lineRule="exact"/>
        <w:rPr>
          <w:rFonts w:hint="eastAsia" w:ascii="宋体" w:hAnsi="宋体" w:cs="宋体"/>
          <w:color w:val="000000"/>
          <w:highlight w:val="none"/>
        </w:rPr>
      </w:pPr>
      <w:r>
        <w:rPr>
          <w:rFonts w:hint="eastAsia" w:ascii="宋体" w:hAnsi="宋体" w:cs="宋体"/>
          <w:color w:val="000000"/>
          <w:highlight w:val="none"/>
        </w:rPr>
        <w:t>1.2</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现场服务人员应具有下列资格：</w:t>
      </w:r>
    </w:p>
    <w:p w14:paraId="2DB67591">
      <w:pPr>
        <w:spacing w:line="500" w:lineRule="exact"/>
        <w:rPr>
          <w:rFonts w:hint="eastAsia" w:ascii="宋体" w:hAnsi="宋体" w:cs="宋体"/>
          <w:color w:val="000000"/>
          <w:highlight w:val="none"/>
        </w:rPr>
      </w:pPr>
      <w:r>
        <w:rPr>
          <w:rFonts w:hint="eastAsia" w:ascii="宋体" w:hAnsi="宋体" w:cs="宋体"/>
          <w:color w:val="000000"/>
          <w:highlight w:val="none"/>
        </w:rPr>
        <w:t>1.2.1遵守法纪，遵守现场的各项规章和制度；</w:t>
      </w:r>
    </w:p>
    <w:p w14:paraId="7A2C5439">
      <w:pPr>
        <w:spacing w:line="500" w:lineRule="exact"/>
        <w:rPr>
          <w:rFonts w:hint="eastAsia" w:ascii="宋体" w:hAnsi="宋体" w:cs="宋体"/>
          <w:color w:val="000000"/>
          <w:highlight w:val="none"/>
        </w:rPr>
      </w:pPr>
      <w:r>
        <w:rPr>
          <w:rFonts w:hint="eastAsia" w:ascii="宋体" w:hAnsi="宋体" w:cs="宋体"/>
          <w:color w:val="000000"/>
          <w:highlight w:val="none"/>
        </w:rPr>
        <w:t>1.2.2有较强的责任感和事业心，按时到位；</w:t>
      </w:r>
    </w:p>
    <w:p w14:paraId="24A7F596">
      <w:pPr>
        <w:spacing w:line="500" w:lineRule="exact"/>
        <w:rPr>
          <w:rFonts w:hint="eastAsia" w:ascii="宋体" w:hAnsi="宋体" w:cs="宋体"/>
          <w:color w:val="000000"/>
          <w:highlight w:val="none"/>
        </w:rPr>
      </w:pPr>
      <w:r>
        <w:rPr>
          <w:rFonts w:hint="eastAsia" w:ascii="宋体" w:hAnsi="宋体" w:cs="宋体"/>
          <w:color w:val="000000"/>
          <w:highlight w:val="none"/>
        </w:rPr>
        <w:t>1.2.3了解合同设备的设计，熟悉其结构</w:t>
      </w:r>
      <w:r>
        <w:rPr>
          <w:rFonts w:hint="eastAsia" w:ascii="宋体" w:hAnsi="宋体" w:cs="宋体"/>
          <w:color w:val="000000"/>
          <w:highlight w:val="none"/>
          <w:lang w:eastAsia="zh-CN"/>
        </w:rPr>
        <w:t>，具</w:t>
      </w:r>
      <w:r>
        <w:rPr>
          <w:rFonts w:hint="eastAsia" w:ascii="宋体" w:hAnsi="宋体" w:cs="宋体"/>
          <w:color w:val="000000"/>
          <w:highlight w:val="none"/>
        </w:rPr>
        <w:t>有相同或相近机组的现场工作经验，能够正确地进行现场指导；</w:t>
      </w:r>
    </w:p>
    <w:p w14:paraId="31717B2B">
      <w:pPr>
        <w:spacing w:line="500" w:lineRule="exact"/>
        <w:rPr>
          <w:rFonts w:hint="eastAsia" w:ascii="宋体" w:hAnsi="宋体" w:cs="宋体"/>
          <w:color w:val="000000"/>
          <w:highlight w:val="none"/>
        </w:rPr>
      </w:pPr>
      <w:r>
        <w:rPr>
          <w:rFonts w:hint="eastAsia" w:ascii="宋体" w:hAnsi="宋体" w:cs="宋体"/>
          <w:color w:val="000000"/>
          <w:highlight w:val="none"/>
        </w:rPr>
        <w:t>1.2.4身体健康，适应现场工作的条件；</w:t>
      </w:r>
    </w:p>
    <w:p w14:paraId="0114EA91">
      <w:pPr>
        <w:spacing w:line="500" w:lineRule="exact"/>
        <w:rPr>
          <w:rFonts w:hint="eastAsia" w:ascii="宋体" w:hAnsi="宋体" w:cs="宋体"/>
          <w:color w:val="000000"/>
          <w:highlight w:val="none"/>
        </w:rPr>
      </w:pPr>
      <w:r>
        <w:rPr>
          <w:rFonts w:hint="eastAsia" w:ascii="宋体" w:hAnsi="宋体" w:cs="宋体"/>
          <w:color w:val="000000"/>
          <w:highlight w:val="none"/>
        </w:rPr>
        <w:t>1.2.5</w:t>
      </w:r>
      <w:r>
        <w:rPr>
          <w:rFonts w:hint="eastAsia" w:ascii="宋体" w:hAnsi="宋体" w:cs="宋体"/>
          <w:color w:val="000000"/>
          <w:highlight w:val="none"/>
          <w:lang w:eastAsia="zh-CN"/>
        </w:rPr>
        <w:t>投标人需</w:t>
      </w:r>
      <w:r>
        <w:rPr>
          <w:rFonts w:hint="eastAsia" w:ascii="宋体" w:hAnsi="宋体" w:cs="宋体"/>
          <w:color w:val="000000"/>
          <w:highlight w:val="none"/>
        </w:rPr>
        <w:t>更换</w:t>
      </w:r>
      <w:r>
        <w:rPr>
          <w:rFonts w:hint="eastAsia" w:ascii="宋体" w:hAnsi="宋体" w:cs="宋体"/>
          <w:color w:val="000000"/>
          <w:highlight w:val="none"/>
          <w:lang w:eastAsia="zh-CN"/>
        </w:rPr>
        <w:t>招标人</w:t>
      </w:r>
      <w:r>
        <w:rPr>
          <w:rFonts w:hint="eastAsia" w:ascii="宋体" w:hAnsi="宋体" w:cs="宋体"/>
          <w:color w:val="000000"/>
          <w:highlight w:val="none"/>
        </w:rPr>
        <w:t>认为不合格的</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w:t>
      </w:r>
    </w:p>
    <w:p w14:paraId="68A94BF3">
      <w:pPr>
        <w:spacing w:line="500" w:lineRule="exact"/>
        <w:rPr>
          <w:rFonts w:hint="eastAsia" w:ascii="宋体" w:hAnsi="宋体" w:cs="宋体"/>
          <w:color w:val="000000"/>
          <w:highlight w:val="none"/>
        </w:rPr>
      </w:pPr>
      <w:r>
        <w:rPr>
          <w:rFonts w:hint="eastAsia" w:ascii="宋体" w:hAnsi="宋体" w:cs="宋体"/>
          <w:color w:val="000000"/>
          <w:highlight w:val="none"/>
        </w:rPr>
        <w:t>1.3</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现场服务人员的职责</w:t>
      </w:r>
    </w:p>
    <w:p w14:paraId="039580ED">
      <w:pPr>
        <w:spacing w:line="500" w:lineRule="exact"/>
        <w:rPr>
          <w:rFonts w:hint="eastAsia" w:ascii="宋体" w:hAnsi="宋体" w:cs="宋体"/>
          <w:color w:val="000000"/>
          <w:highlight w:val="none"/>
        </w:rPr>
      </w:pPr>
      <w:r>
        <w:rPr>
          <w:rFonts w:hint="eastAsia" w:ascii="宋体" w:hAnsi="宋体" w:cs="宋体"/>
          <w:color w:val="000000"/>
          <w:highlight w:val="none"/>
        </w:rPr>
        <w:t>1.3.1</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现场服务人员的任务主要包括设备催交、货物的开箱检验、设备质量问题的处理、指导安装和调试、参加试运和性能验收试验。</w:t>
      </w:r>
    </w:p>
    <w:p w14:paraId="6B61DC0C">
      <w:pPr>
        <w:spacing w:line="500" w:lineRule="exact"/>
        <w:ind w:firstLine="540" w:firstLineChars="225"/>
        <w:rPr>
          <w:rFonts w:hint="eastAsia" w:ascii="宋体" w:hAnsi="宋体" w:cs="宋体"/>
          <w:color w:val="000000"/>
          <w:highlight w:val="none"/>
        </w:rPr>
      </w:pPr>
      <w:r>
        <w:rPr>
          <w:rFonts w:hint="eastAsia" w:ascii="宋体" w:hAnsi="宋体" w:cs="宋体"/>
          <w:color w:val="000000"/>
          <w:highlight w:val="none"/>
        </w:rPr>
        <w:t>在安装和调试前，</w:t>
      </w:r>
      <w:r>
        <w:rPr>
          <w:rFonts w:hint="eastAsia" w:ascii="宋体" w:hAnsi="宋体" w:cs="宋体"/>
          <w:color w:val="000000"/>
          <w:highlight w:val="none"/>
          <w:lang w:eastAsia="zh-CN"/>
        </w:rPr>
        <w:t>投标人</w:t>
      </w:r>
      <w:r>
        <w:rPr>
          <w:rFonts w:hint="eastAsia" w:ascii="宋体" w:hAnsi="宋体" w:cs="宋体"/>
          <w:color w:val="000000"/>
          <w:highlight w:val="none"/>
        </w:rPr>
        <w:t>技术服务人员应向</w:t>
      </w:r>
      <w:r>
        <w:rPr>
          <w:rFonts w:hint="eastAsia" w:ascii="宋体" w:hAnsi="宋体" w:cs="宋体"/>
          <w:color w:val="000000"/>
          <w:highlight w:val="none"/>
          <w:lang w:eastAsia="zh-CN"/>
        </w:rPr>
        <w:t>招标人</w:t>
      </w:r>
      <w:r>
        <w:rPr>
          <w:rFonts w:hint="eastAsia" w:ascii="宋体" w:hAnsi="宋体" w:cs="宋体"/>
          <w:color w:val="000000"/>
          <w:highlight w:val="none"/>
        </w:rPr>
        <w:t>进行技术交底，讲解和示范将要进行的程序和方法。对重要工序（见下表），</w:t>
      </w:r>
      <w:r>
        <w:rPr>
          <w:rFonts w:hint="eastAsia" w:ascii="宋体" w:hAnsi="宋体" w:cs="宋体"/>
          <w:color w:val="000000"/>
          <w:highlight w:val="none"/>
          <w:lang w:eastAsia="zh-CN"/>
        </w:rPr>
        <w:t>投标人</w:t>
      </w:r>
      <w:r>
        <w:rPr>
          <w:rFonts w:hint="eastAsia" w:ascii="宋体" w:hAnsi="宋体" w:cs="宋体"/>
          <w:color w:val="000000"/>
          <w:highlight w:val="none"/>
        </w:rPr>
        <w:t>技术人员要对施工情况进行确认和签证，否则</w:t>
      </w:r>
      <w:r>
        <w:rPr>
          <w:rFonts w:hint="eastAsia" w:ascii="宋体" w:hAnsi="宋体" w:cs="宋体"/>
          <w:color w:val="000000"/>
          <w:highlight w:val="none"/>
          <w:lang w:eastAsia="zh-CN"/>
        </w:rPr>
        <w:t>招标人</w:t>
      </w:r>
      <w:r>
        <w:rPr>
          <w:rFonts w:hint="eastAsia" w:ascii="宋体" w:hAnsi="宋体" w:cs="宋体"/>
          <w:color w:val="000000"/>
          <w:highlight w:val="none"/>
        </w:rPr>
        <w:t>不能进行下一道工序。经</w:t>
      </w:r>
      <w:r>
        <w:rPr>
          <w:rFonts w:hint="eastAsia" w:ascii="宋体" w:hAnsi="宋体" w:cs="宋体"/>
          <w:color w:val="000000"/>
          <w:highlight w:val="none"/>
          <w:lang w:eastAsia="zh-CN"/>
        </w:rPr>
        <w:t>投标人</w:t>
      </w:r>
      <w:r>
        <w:rPr>
          <w:rFonts w:hint="eastAsia" w:ascii="宋体" w:hAnsi="宋体" w:cs="宋体"/>
          <w:color w:val="000000"/>
          <w:highlight w:val="none"/>
        </w:rPr>
        <w:t>确认和签证的工序如因</w:t>
      </w:r>
      <w:r>
        <w:rPr>
          <w:rFonts w:hint="eastAsia" w:ascii="宋体" w:hAnsi="宋体" w:cs="宋体"/>
          <w:color w:val="000000"/>
          <w:highlight w:val="none"/>
          <w:lang w:eastAsia="zh-CN"/>
        </w:rPr>
        <w:t>投标人</w:t>
      </w:r>
      <w:r>
        <w:rPr>
          <w:rFonts w:hint="eastAsia" w:ascii="宋体" w:hAnsi="宋体" w:cs="宋体"/>
          <w:color w:val="000000"/>
          <w:highlight w:val="none"/>
        </w:rPr>
        <w:t>技术服务人员指导错误而发生问题，</w:t>
      </w:r>
      <w:r>
        <w:rPr>
          <w:rFonts w:hint="eastAsia" w:ascii="宋体" w:hAnsi="宋体" w:cs="宋体"/>
          <w:color w:val="000000"/>
          <w:highlight w:val="none"/>
          <w:lang w:eastAsia="zh-CN"/>
        </w:rPr>
        <w:t>投标人</w:t>
      </w:r>
      <w:r>
        <w:rPr>
          <w:rFonts w:hint="eastAsia" w:ascii="宋体" w:hAnsi="宋体" w:cs="宋体"/>
          <w:color w:val="000000"/>
          <w:highlight w:val="none"/>
        </w:rPr>
        <w:t>负全部责任。</w:t>
      </w:r>
    </w:p>
    <w:p w14:paraId="3791B78D">
      <w:pPr>
        <w:pStyle w:val="6"/>
        <w:snapToGrid w:val="0"/>
        <w:spacing w:line="500" w:lineRule="exact"/>
        <w:ind w:firstLineChars="200"/>
        <w:rPr>
          <w:rFonts w:hint="eastAsia" w:hAnsi="宋体" w:cs="宋体"/>
          <w:color w:val="000000"/>
          <w:highlight w:val="none"/>
        </w:rPr>
      </w:pPr>
      <w:r>
        <w:rPr>
          <w:rFonts w:hint="eastAsia" w:hAnsi="宋体" w:cs="宋体"/>
          <w:color w:val="000000"/>
          <w:highlight w:val="none"/>
          <w:lang w:eastAsia="zh-CN"/>
        </w:rPr>
        <w:t>投标人</w:t>
      </w:r>
      <w:r>
        <w:rPr>
          <w:rFonts w:hint="eastAsia" w:hAnsi="宋体" w:cs="宋体"/>
          <w:color w:val="000000"/>
          <w:highlight w:val="none"/>
        </w:rPr>
        <w:t>提供的安装、调试监督的工序表（</w:t>
      </w:r>
      <w:r>
        <w:rPr>
          <w:rFonts w:hint="eastAsia" w:hAnsi="宋体" w:cs="宋体"/>
          <w:color w:val="000000"/>
          <w:highlight w:val="none"/>
          <w:lang w:eastAsia="zh-CN"/>
        </w:rPr>
        <w:t>投标人</w:t>
      </w:r>
      <w:r>
        <w:rPr>
          <w:rFonts w:hint="eastAsia" w:hAnsi="宋体" w:cs="宋体"/>
          <w:color w:val="000000"/>
          <w:highlight w:val="none"/>
        </w:rPr>
        <w:t>填写）</w:t>
      </w:r>
    </w:p>
    <w:tbl>
      <w:tblPr>
        <w:tblStyle w:val="14"/>
        <w:tblW w:w="0" w:type="auto"/>
        <w:tblInd w:w="2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40"/>
        <w:gridCol w:w="3060"/>
        <w:gridCol w:w="3060"/>
        <w:gridCol w:w="1440"/>
      </w:tblGrid>
      <w:tr w14:paraId="2B1588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40" w:type="dxa"/>
            <w:vAlign w:val="center"/>
          </w:tcPr>
          <w:p w14:paraId="1EF2DE5E">
            <w:pPr>
              <w:pStyle w:val="6"/>
              <w:snapToGrid w:val="0"/>
              <w:spacing w:line="500" w:lineRule="exact"/>
              <w:ind w:firstLine="0"/>
              <w:jc w:val="center"/>
              <w:rPr>
                <w:rFonts w:hint="eastAsia" w:hAnsi="宋体" w:cs="宋体"/>
                <w:color w:val="000000"/>
                <w:highlight w:val="none"/>
              </w:rPr>
            </w:pPr>
            <w:r>
              <w:rPr>
                <w:rFonts w:hint="eastAsia" w:hAnsi="宋体" w:cs="宋体"/>
                <w:color w:val="000000"/>
                <w:highlight w:val="none"/>
              </w:rPr>
              <w:t>序号</w:t>
            </w:r>
          </w:p>
        </w:tc>
        <w:tc>
          <w:tcPr>
            <w:tcW w:w="3060" w:type="dxa"/>
            <w:vAlign w:val="center"/>
          </w:tcPr>
          <w:p w14:paraId="384A705D">
            <w:pPr>
              <w:pStyle w:val="6"/>
              <w:snapToGrid w:val="0"/>
              <w:spacing w:line="500" w:lineRule="exact"/>
              <w:ind w:firstLine="0"/>
              <w:jc w:val="center"/>
              <w:rPr>
                <w:rFonts w:hint="eastAsia" w:hAnsi="宋体" w:cs="宋体"/>
                <w:color w:val="000000"/>
                <w:highlight w:val="none"/>
              </w:rPr>
            </w:pPr>
            <w:r>
              <w:rPr>
                <w:rFonts w:hint="eastAsia" w:hAnsi="宋体" w:cs="宋体"/>
                <w:color w:val="000000"/>
                <w:highlight w:val="none"/>
              </w:rPr>
              <w:t>工序名称</w:t>
            </w:r>
          </w:p>
        </w:tc>
        <w:tc>
          <w:tcPr>
            <w:tcW w:w="3060" w:type="dxa"/>
            <w:vAlign w:val="center"/>
          </w:tcPr>
          <w:p w14:paraId="3D5BFD02">
            <w:pPr>
              <w:pStyle w:val="6"/>
              <w:snapToGrid w:val="0"/>
              <w:spacing w:line="500" w:lineRule="exact"/>
              <w:ind w:firstLine="0"/>
              <w:jc w:val="center"/>
              <w:rPr>
                <w:rFonts w:hint="eastAsia" w:hAnsi="宋体" w:cs="宋体"/>
                <w:color w:val="000000"/>
                <w:highlight w:val="none"/>
              </w:rPr>
            </w:pPr>
            <w:r>
              <w:rPr>
                <w:rFonts w:hint="eastAsia" w:hAnsi="宋体" w:cs="宋体"/>
                <w:color w:val="000000"/>
                <w:highlight w:val="none"/>
              </w:rPr>
              <w:t>工序主要内容</w:t>
            </w:r>
          </w:p>
        </w:tc>
        <w:tc>
          <w:tcPr>
            <w:tcW w:w="1440" w:type="dxa"/>
            <w:vAlign w:val="center"/>
          </w:tcPr>
          <w:p w14:paraId="3D7ABEF0">
            <w:pPr>
              <w:pStyle w:val="6"/>
              <w:snapToGrid w:val="0"/>
              <w:spacing w:line="500" w:lineRule="exact"/>
              <w:ind w:firstLine="0"/>
              <w:jc w:val="center"/>
              <w:rPr>
                <w:rFonts w:hint="eastAsia" w:hAnsi="宋体" w:cs="宋体"/>
                <w:color w:val="000000"/>
                <w:highlight w:val="none"/>
              </w:rPr>
            </w:pPr>
            <w:r>
              <w:rPr>
                <w:rFonts w:hint="eastAsia" w:hAnsi="宋体" w:cs="宋体"/>
                <w:color w:val="000000"/>
                <w:highlight w:val="none"/>
              </w:rPr>
              <w:t>备注</w:t>
            </w:r>
          </w:p>
        </w:tc>
      </w:tr>
      <w:tr w14:paraId="39E74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40" w:type="dxa"/>
          </w:tcPr>
          <w:p w14:paraId="6A63F435">
            <w:pPr>
              <w:pStyle w:val="6"/>
              <w:snapToGrid w:val="0"/>
              <w:spacing w:line="500" w:lineRule="exact"/>
              <w:ind w:firstLineChars="200"/>
              <w:rPr>
                <w:rFonts w:hint="eastAsia" w:hAnsi="宋体" w:cs="宋体"/>
                <w:color w:val="000000"/>
                <w:highlight w:val="none"/>
              </w:rPr>
            </w:pPr>
          </w:p>
        </w:tc>
        <w:tc>
          <w:tcPr>
            <w:tcW w:w="3060" w:type="dxa"/>
          </w:tcPr>
          <w:p w14:paraId="1BEEB9C9">
            <w:pPr>
              <w:pStyle w:val="6"/>
              <w:snapToGrid w:val="0"/>
              <w:spacing w:line="500" w:lineRule="exact"/>
              <w:ind w:firstLineChars="200"/>
              <w:rPr>
                <w:rFonts w:hint="eastAsia" w:hAnsi="宋体" w:cs="宋体"/>
                <w:color w:val="000000"/>
                <w:highlight w:val="none"/>
              </w:rPr>
            </w:pPr>
          </w:p>
        </w:tc>
        <w:tc>
          <w:tcPr>
            <w:tcW w:w="3060" w:type="dxa"/>
          </w:tcPr>
          <w:p w14:paraId="14E30C0A">
            <w:pPr>
              <w:pStyle w:val="6"/>
              <w:snapToGrid w:val="0"/>
              <w:spacing w:line="500" w:lineRule="exact"/>
              <w:ind w:firstLineChars="200"/>
              <w:rPr>
                <w:rFonts w:hint="eastAsia" w:hAnsi="宋体" w:cs="宋体"/>
                <w:color w:val="000000"/>
                <w:highlight w:val="none"/>
              </w:rPr>
            </w:pPr>
          </w:p>
        </w:tc>
        <w:tc>
          <w:tcPr>
            <w:tcW w:w="1440" w:type="dxa"/>
          </w:tcPr>
          <w:p w14:paraId="5AB734BF">
            <w:pPr>
              <w:pStyle w:val="6"/>
              <w:snapToGrid w:val="0"/>
              <w:spacing w:line="500" w:lineRule="exact"/>
              <w:ind w:firstLineChars="200"/>
              <w:rPr>
                <w:rFonts w:hint="eastAsia" w:hAnsi="宋体" w:cs="宋体"/>
                <w:color w:val="000000"/>
                <w:highlight w:val="none"/>
              </w:rPr>
            </w:pPr>
          </w:p>
        </w:tc>
      </w:tr>
      <w:tr w14:paraId="41B6AC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40" w:type="dxa"/>
          </w:tcPr>
          <w:p w14:paraId="650E6E49">
            <w:pPr>
              <w:pStyle w:val="6"/>
              <w:snapToGrid w:val="0"/>
              <w:spacing w:line="500" w:lineRule="exact"/>
              <w:ind w:firstLineChars="200"/>
              <w:rPr>
                <w:rFonts w:hint="eastAsia" w:hAnsi="宋体" w:cs="宋体"/>
                <w:color w:val="000000"/>
                <w:highlight w:val="none"/>
              </w:rPr>
            </w:pPr>
          </w:p>
        </w:tc>
        <w:tc>
          <w:tcPr>
            <w:tcW w:w="3060" w:type="dxa"/>
          </w:tcPr>
          <w:p w14:paraId="0E2B50D0">
            <w:pPr>
              <w:pStyle w:val="6"/>
              <w:snapToGrid w:val="0"/>
              <w:spacing w:line="500" w:lineRule="exact"/>
              <w:ind w:firstLineChars="200"/>
              <w:rPr>
                <w:rFonts w:hint="eastAsia" w:hAnsi="宋体" w:cs="宋体"/>
                <w:color w:val="000000"/>
                <w:highlight w:val="none"/>
              </w:rPr>
            </w:pPr>
          </w:p>
        </w:tc>
        <w:tc>
          <w:tcPr>
            <w:tcW w:w="3060" w:type="dxa"/>
          </w:tcPr>
          <w:p w14:paraId="665A6D62">
            <w:pPr>
              <w:pStyle w:val="6"/>
              <w:snapToGrid w:val="0"/>
              <w:spacing w:line="500" w:lineRule="exact"/>
              <w:ind w:firstLineChars="200"/>
              <w:rPr>
                <w:rFonts w:hint="eastAsia" w:hAnsi="宋体" w:cs="宋体"/>
                <w:color w:val="000000"/>
                <w:highlight w:val="none"/>
              </w:rPr>
            </w:pPr>
          </w:p>
        </w:tc>
        <w:tc>
          <w:tcPr>
            <w:tcW w:w="1440" w:type="dxa"/>
          </w:tcPr>
          <w:p w14:paraId="4245CC0A">
            <w:pPr>
              <w:pStyle w:val="6"/>
              <w:snapToGrid w:val="0"/>
              <w:spacing w:line="500" w:lineRule="exact"/>
              <w:ind w:firstLineChars="200"/>
              <w:rPr>
                <w:rFonts w:hint="eastAsia" w:hAnsi="宋体" w:cs="宋体"/>
                <w:color w:val="000000"/>
                <w:highlight w:val="none"/>
              </w:rPr>
            </w:pPr>
          </w:p>
        </w:tc>
      </w:tr>
      <w:tr w14:paraId="770631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40" w:type="dxa"/>
          </w:tcPr>
          <w:p w14:paraId="3D301A8C">
            <w:pPr>
              <w:pStyle w:val="6"/>
              <w:snapToGrid w:val="0"/>
              <w:spacing w:line="500" w:lineRule="exact"/>
              <w:ind w:firstLineChars="200"/>
              <w:rPr>
                <w:rFonts w:hint="eastAsia" w:hAnsi="宋体" w:cs="宋体"/>
                <w:color w:val="000000"/>
                <w:highlight w:val="none"/>
              </w:rPr>
            </w:pPr>
          </w:p>
        </w:tc>
        <w:tc>
          <w:tcPr>
            <w:tcW w:w="3060" w:type="dxa"/>
          </w:tcPr>
          <w:p w14:paraId="78F18CFB">
            <w:pPr>
              <w:pStyle w:val="6"/>
              <w:snapToGrid w:val="0"/>
              <w:spacing w:line="500" w:lineRule="exact"/>
              <w:ind w:firstLineChars="200"/>
              <w:rPr>
                <w:rFonts w:hint="eastAsia" w:hAnsi="宋体" w:cs="宋体"/>
                <w:color w:val="000000"/>
                <w:highlight w:val="none"/>
              </w:rPr>
            </w:pPr>
          </w:p>
        </w:tc>
        <w:tc>
          <w:tcPr>
            <w:tcW w:w="3060" w:type="dxa"/>
          </w:tcPr>
          <w:p w14:paraId="5CDD9839">
            <w:pPr>
              <w:pStyle w:val="6"/>
              <w:snapToGrid w:val="0"/>
              <w:spacing w:line="500" w:lineRule="exact"/>
              <w:ind w:firstLineChars="200"/>
              <w:rPr>
                <w:rFonts w:hint="eastAsia" w:hAnsi="宋体" w:cs="宋体"/>
                <w:color w:val="000000"/>
                <w:highlight w:val="none"/>
              </w:rPr>
            </w:pPr>
          </w:p>
        </w:tc>
        <w:tc>
          <w:tcPr>
            <w:tcW w:w="1440" w:type="dxa"/>
          </w:tcPr>
          <w:p w14:paraId="1C5E72E0">
            <w:pPr>
              <w:pStyle w:val="6"/>
              <w:snapToGrid w:val="0"/>
              <w:spacing w:line="500" w:lineRule="exact"/>
              <w:ind w:firstLineChars="200"/>
              <w:rPr>
                <w:rFonts w:hint="eastAsia" w:hAnsi="宋体" w:cs="宋体"/>
                <w:color w:val="000000"/>
                <w:highlight w:val="none"/>
              </w:rPr>
            </w:pPr>
          </w:p>
        </w:tc>
      </w:tr>
    </w:tbl>
    <w:p w14:paraId="2F2375B7">
      <w:pPr>
        <w:spacing w:line="500" w:lineRule="exact"/>
        <w:rPr>
          <w:rFonts w:hint="eastAsia" w:ascii="宋体" w:hAnsi="宋体" w:cs="宋体"/>
          <w:color w:val="000000"/>
          <w:highlight w:val="none"/>
        </w:rPr>
      </w:pPr>
      <w:r>
        <w:rPr>
          <w:rFonts w:hint="eastAsia" w:ascii="宋体" w:hAnsi="宋体" w:cs="宋体"/>
          <w:color w:val="000000"/>
          <w:highlight w:val="none"/>
        </w:rPr>
        <w:t>1.3.2</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现场服务人员应有权</w:t>
      </w:r>
      <w:r>
        <w:rPr>
          <w:rFonts w:hint="eastAsia" w:ascii="宋体" w:hAnsi="宋体" w:cs="宋体"/>
          <w:color w:val="000000"/>
          <w:highlight w:val="none"/>
          <w:lang w:eastAsia="zh-CN"/>
        </w:rPr>
        <w:t>处理</w:t>
      </w:r>
      <w:r>
        <w:rPr>
          <w:rFonts w:hint="eastAsia" w:ascii="宋体" w:hAnsi="宋体" w:cs="宋体"/>
          <w:color w:val="000000"/>
          <w:highlight w:val="none"/>
        </w:rPr>
        <w:t>现场出现的一切技术和商务问题。如现场发生质量问题，</w:t>
      </w:r>
      <w:r>
        <w:rPr>
          <w:rFonts w:hint="eastAsia" w:ascii="宋体" w:hAnsi="宋体" w:cs="宋体"/>
          <w:color w:val="000000"/>
          <w:highlight w:val="none"/>
          <w:lang w:eastAsia="zh-CN"/>
        </w:rPr>
        <w:t>投标人</w:t>
      </w:r>
      <w:r>
        <w:rPr>
          <w:rFonts w:hint="eastAsia" w:ascii="宋体" w:hAnsi="宋体" w:cs="宋体"/>
          <w:color w:val="000000"/>
          <w:highlight w:val="none"/>
        </w:rPr>
        <w:t>现场人员要在</w:t>
      </w:r>
      <w:r>
        <w:rPr>
          <w:rFonts w:hint="eastAsia" w:ascii="宋体" w:hAnsi="宋体" w:cs="宋体"/>
          <w:color w:val="000000"/>
          <w:highlight w:val="none"/>
          <w:lang w:eastAsia="zh-CN"/>
        </w:rPr>
        <w:t>招标人</w:t>
      </w:r>
      <w:r>
        <w:rPr>
          <w:rFonts w:hint="eastAsia" w:ascii="宋体" w:hAnsi="宋体" w:cs="宋体"/>
          <w:color w:val="000000"/>
          <w:highlight w:val="none"/>
        </w:rPr>
        <w:t>规定的时间内处理解决。如</w:t>
      </w:r>
      <w:r>
        <w:rPr>
          <w:rFonts w:hint="eastAsia" w:ascii="宋体" w:hAnsi="宋体" w:cs="宋体"/>
          <w:color w:val="000000"/>
          <w:highlight w:val="none"/>
          <w:lang w:eastAsia="zh-CN"/>
        </w:rPr>
        <w:t>投标人</w:t>
      </w:r>
      <w:r>
        <w:rPr>
          <w:rFonts w:hint="eastAsia" w:ascii="宋体" w:hAnsi="宋体" w:cs="宋体"/>
          <w:color w:val="000000"/>
          <w:highlight w:val="none"/>
        </w:rPr>
        <w:t>委托</w:t>
      </w:r>
      <w:r>
        <w:rPr>
          <w:rFonts w:hint="eastAsia" w:ascii="宋体" w:hAnsi="宋体" w:cs="宋体"/>
          <w:color w:val="000000"/>
          <w:highlight w:val="none"/>
          <w:lang w:eastAsia="zh-CN"/>
        </w:rPr>
        <w:t>招标人</w:t>
      </w:r>
      <w:r>
        <w:rPr>
          <w:rFonts w:hint="eastAsia" w:ascii="宋体" w:hAnsi="宋体" w:cs="宋体"/>
          <w:color w:val="000000"/>
          <w:highlight w:val="none"/>
        </w:rPr>
        <w:t>进行处理，</w:t>
      </w:r>
      <w:r>
        <w:rPr>
          <w:rFonts w:hint="eastAsia" w:ascii="宋体" w:hAnsi="宋体" w:cs="宋体"/>
          <w:color w:val="000000"/>
          <w:highlight w:val="none"/>
          <w:lang w:eastAsia="zh-CN"/>
        </w:rPr>
        <w:t>投标人</w:t>
      </w:r>
      <w:r>
        <w:rPr>
          <w:rFonts w:hint="eastAsia" w:ascii="宋体" w:hAnsi="宋体" w:cs="宋体"/>
          <w:color w:val="000000"/>
          <w:highlight w:val="none"/>
        </w:rPr>
        <w:t>现场服务人员要</w:t>
      </w:r>
      <w:r>
        <w:rPr>
          <w:rFonts w:hint="eastAsia" w:ascii="宋体" w:hAnsi="宋体" w:cs="宋体"/>
          <w:color w:val="000000"/>
          <w:highlight w:val="none"/>
          <w:lang w:eastAsia="zh-CN"/>
        </w:rPr>
        <w:t>出具</w:t>
      </w:r>
      <w:r>
        <w:rPr>
          <w:rFonts w:hint="eastAsia" w:ascii="宋体" w:hAnsi="宋体" w:cs="宋体"/>
          <w:color w:val="000000"/>
          <w:highlight w:val="none"/>
        </w:rPr>
        <w:t>委托书并承担相应的经济责任。</w:t>
      </w:r>
    </w:p>
    <w:p w14:paraId="044A21E3">
      <w:pPr>
        <w:spacing w:line="500" w:lineRule="exact"/>
        <w:rPr>
          <w:rFonts w:hint="eastAsia" w:ascii="宋体" w:hAnsi="宋体" w:cs="宋体"/>
          <w:color w:val="000000"/>
          <w:highlight w:val="none"/>
        </w:rPr>
      </w:pPr>
      <w:r>
        <w:rPr>
          <w:rFonts w:hint="eastAsia" w:ascii="宋体" w:hAnsi="宋体" w:cs="宋体"/>
          <w:color w:val="000000"/>
          <w:highlight w:val="none"/>
        </w:rPr>
        <w:t>1.3.3</w:t>
      </w:r>
      <w:r>
        <w:rPr>
          <w:rFonts w:hint="eastAsia" w:ascii="宋体" w:hAnsi="宋体" w:cs="宋体"/>
          <w:color w:val="000000"/>
          <w:highlight w:val="none"/>
          <w:lang w:eastAsia="zh-CN"/>
        </w:rPr>
        <w:t>投标人</w:t>
      </w:r>
      <w:r>
        <w:rPr>
          <w:rFonts w:hint="eastAsia" w:ascii="宋体" w:hAnsi="宋体" w:cs="宋体"/>
          <w:color w:val="000000"/>
          <w:highlight w:val="none"/>
        </w:rPr>
        <w:t>对其现场服务人员的一切行为负全部责任。</w:t>
      </w:r>
    </w:p>
    <w:p w14:paraId="287412FB">
      <w:pPr>
        <w:spacing w:line="500" w:lineRule="exact"/>
        <w:rPr>
          <w:rFonts w:hint="eastAsia" w:ascii="宋体" w:hAnsi="宋体" w:cs="宋体"/>
          <w:color w:val="000000"/>
          <w:highlight w:val="none"/>
        </w:rPr>
      </w:pPr>
      <w:r>
        <w:rPr>
          <w:rFonts w:hint="eastAsia" w:ascii="宋体" w:hAnsi="宋体" w:cs="宋体"/>
          <w:color w:val="000000"/>
          <w:highlight w:val="none"/>
        </w:rPr>
        <w:t>1.</w:t>
      </w:r>
      <w:r>
        <w:rPr>
          <w:rFonts w:hint="eastAsia" w:ascii="宋体" w:hAnsi="宋体" w:cs="宋体"/>
          <w:color w:val="000000"/>
          <w:highlight w:val="none"/>
          <w:lang w:eastAsia="zh-CN"/>
        </w:rPr>
        <w:t>3.3投标人</w:t>
      </w:r>
      <w:r>
        <w:rPr>
          <w:rFonts w:hint="eastAsia" w:ascii="宋体" w:hAnsi="宋体" w:cs="宋体"/>
          <w:color w:val="000000"/>
          <w:highlight w:val="none"/>
        </w:rPr>
        <w:t>现场服务人员的正常来去和更换应事先与</w:t>
      </w:r>
      <w:r>
        <w:rPr>
          <w:rFonts w:hint="eastAsia" w:ascii="宋体" w:hAnsi="宋体" w:cs="宋体"/>
          <w:color w:val="000000"/>
          <w:highlight w:val="none"/>
          <w:lang w:eastAsia="zh-CN"/>
        </w:rPr>
        <w:t>招标人</w:t>
      </w:r>
      <w:r>
        <w:rPr>
          <w:rFonts w:hint="eastAsia" w:ascii="宋体" w:hAnsi="宋体" w:cs="宋体"/>
          <w:color w:val="000000"/>
          <w:highlight w:val="none"/>
        </w:rPr>
        <w:t>协商。</w:t>
      </w:r>
    </w:p>
    <w:p w14:paraId="14AE3742">
      <w:pPr>
        <w:spacing w:line="500" w:lineRule="exact"/>
        <w:rPr>
          <w:rFonts w:hint="eastAsia" w:ascii="宋体" w:hAnsi="宋体" w:cs="宋体"/>
          <w:color w:val="000000"/>
          <w:highlight w:val="none"/>
        </w:rPr>
      </w:pPr>
      <w:r>
        <w:rPr>
          <w:rFonts w:hint="eastAsia" w:ascii="宋体" w:hAnsi="宋体" w:cs="宋体"/>
          <w:color w:val="000000"/>
          <w:highlight w:val="none"/>
        </w:rPr>
        <w:t>1.4</w:t>
      </w:r>
      <w:r>
        <w:rPr>
          <w:rFonts w:hint="eastAsia" w:ascii="宋体" w:hAnsi="宋体" w:cs="宋体"/>
          <w:color w:val="000000"/>
          <w:highlight w:val="none"/>
          <w:lang w:eastAsia="zh-CN"/>
        </w:rPr>
        <w:t>招标人</w:t>
      </w:r>
      <w:r>
        <w:rPr>
          <w:rFonts w:hint="eastAsia" w:ascii="宋体" w:hAnsi="宋体" w:cs="宋体"/>
          <w:color w:val="000000"/>
          <w:highlight w:val="none"/>
        </w:rPr>
        <w:t>的义务</w:t>
      </w:r>
    </w:p>
    <w:p w14:paraId="005A3EE1">
      <w:pPr>
        <w:pStyle w:val="6"/>
        <w:snapToGrid w:val="0"/>
        <w:spacing w:line="500" w:lineRule="exact"/>
        <w:rPr>
          <w:rFonts w:hint="eastAsia" w:hAnsi="宋体" w:cs="宋体"/>
          <w:b/>
          <w:bCs/>
          <w:color w:val="000000"/>
          <w:sz w:val="28"/>
          <w:highlight w:val="none"/>
        </w:rPr>
      </w:pPr>
      <w:r>
        <w:rPr>
          <w:rFonts w:hint="eastAsia" w:hAnsi="宋体" w:cs="宋体"/>
          <w:color w:val="000000"/>
          <w:highlight w:val="none"/>
          <w:lang w:eastAsia="zh-CN"/>
        </w:rPr>
        <w:t>招标人</w:t>
      </w:r>
      <w:r>
        <w:rPr>
          <w:rFonts w:hint="eastAsia" w:hAnsi="宋体" w:cs="宋体"/>
          <w:color w:val="000000"/>
          <w:highlight w:val="none"/>
        </w:rPr>
        <w:t>要配合</w:t>
      </w:r>
      <w:r>
        <w:rPr>
          <w:rFonts w:hint="eastAsia" w:hAnsi="宋体" w:cs="宋体"/>
          <w:color w:val="000000"/>
          <w:highlight w:val="none"/>
          <w:lang w:eastAsia="zh-CN"/>
        </w:rPr>
        <w:t>投标人</w:t>
      </w:r>
      <w:r>
        <w:rPr>
          <w:rFonts w:hint="eastAsia" w:hAnsi="宋体" w:cs="宋体"/>
          <w:color w:val="000000"/>
          <w:highlight w:val="none"/>
        </w:rPr>
        <w:t>现场服务人员的工作，并提供</w:t>
      </w:r>
      <w:r>
        <w:rPr>
          <w:rFonts w:hint="eastAsia" w:hAnsi="宋体" w:cs="宋体"/>
          <w:color w:val="000000"/>
          <w:highlight w:val="none"/>
          <w:lang w:val="en-US" w:eastAsia="zh-CN"/>
        </w:rPr>
        <w:t>相应帮助</w:t>
      </w:r>
      <w:r>
        <w:rPr>
          <w:rFonts w:hint="eastAsia" w:hAnsi="宋体" w:cs="宋体"/>
          <w:color w:val="000000"/>
          <w:highlight w:val="none"/>
        </w:rPr>
        <w:t>。</w:t>
      </w:r>
    </w:p>
    <w:bookmarkEnd w:id="20"/>
    <w:bookmarkEnd w:id="21"/>
    <w:bookmarkEnd w:id="22"/>
    <w:bookmarkEnd w:id="23"/>
    <w:bookmarkEnd w:id="24"/>
    <w:p w14:paraId="3DF736AB">
      <w:pPr>
        <w:pStyle w:val="6"/>
        <w:snapToGrid w:val="0"/>
        <w:spacing w:line="500" w:lineRule="exact"/>
        <w:ind w:firstLine="0"/>
        <w:rPr>
          <w:rFonts w:hAnsi="宋体"/>
          <w:b/>
          <w:bCs/>
          <w:color w:val="auto"/>
          <w:sz w:val="24"/>
          <w:szCs w:val="24"/>
          <w:highlight w:val="none"/>
        </w:rPr>
      </w:pPr>
      <w:r>
        <w:rPr>
          <w:rFonts w:hAnsi="宋体"/>
          <w:b/>
          <w:bCs/>
          <w:color w:val="auto"/>
          <w:sz w:val="24"/>
          <w:szCs w:val="24"/>
          <w:highlight w:val="none"/>
        </w:rPr>
        <w:t>2.</w:t>
      </w:r>
      <w:r>
        <w:rPr>
          <w:rFonts w:hint="eastAsia" w:hAnsi="宋体"/>
          <w:b/>
          <w:bCs/>
          <w:color w:val="auto"/>
          <w:sz w:val="24"/>
          <w:szCs w:val="24"/>
          <w:highlight w:val="none"/>
        </w:rPr>
        <w:t xml:space="preserve"> 培训</w:t>
      </w:r>
    </w:p>
    <w:p w14:paraId="16317B41">
      <w:pPr>
        <w:spacing w:line="500" w:lineRule="exact"/>
        <w:rPr>
          <w:highlight w:val="none"/>
        </w:rPr>
      </w:pPr>
      <w:r>
        <w:rPr>
          <w:rFonts w:hint="eastAsia" w:ascii="宋体" w:hAnsi="宋体" w:eastAsia="宋体" w:cs="宋体"/>
          <w:highlight w:val="none"/>
        </w:rPr>
        <w:t>2.1</w:t>
      </w:r>
      <w:r>
        <w:rPr>
          <w:rFonts w:hint="eastAsia"/>
          <w:highlight w:val="none"/>
        </w:rPr>
        <w:t>为使合同设备能正常安装、调试、运行、维护及检修，</w:t>
      </w:r>
      <w:r>
        <w:rPr>
          <w:rFonts w:hint="eastAsia"/>
          <w:highlight w:val="none"/>
          <w:lang w:eastAsia="zh-CN"/>
        </w:rPr>
        <w:t>投标人</w:t>
      </w:r>
      <w:r>
        <w:rPr>
          <w:rFonts w:hint="eastAsia"/>
          <w:highlight w:val="none"/>
        </w:rPr>
        <w:t>有责任提供相应的技术培训。培训内容应与工程进度相一致。</w:t>
      </w:r>
    </w:p>
    <w:p w14:paraId="5DC71094">
      <w:pPr>
        <w:spacing w:line="500" w:lineRule="exact"/>
        <w:rPr>
          <w:highlight w:val="none"/>
        </w:rPr>
      </w:pPr>
      <w:r>
        <w:rPr>
          <w:rFonts w:hint="eastAsia" w:ascii="宋体" w:hAnsi="宋体" w:eastAsia="宋体" w:cs="宋体"/>
          <w:highlight w:val="none"/>
        </w:rPr>
        <w:t>2.2</w:t>
      </w:r>
      <w:r>
        <w:rPr>
          <w:rFonts w:hint="eastAsia"/>
          <w:highlight w:val="none"/>
        </w:rPr>
        <w:t>培训计划和内容由</w:t>
      </w:r>
      <w:r>
        <w:rPr>
          <w:rFonts w:hint="eastAsia"/>
          <w:highlight w:val="none"/>
          <w:lang w:eastAsia="zh-CN"/>
        </w:rPr>
        <w:t>投标人</w:t>
      </w:r>
      <w:r>
        <w:rPr>
          <w:rFonts w:hint="eastAsia"/>
          <w:highlight w:val="none"/>
        </w:rPr>
        <w:t>在投标文件中列出（见格式）。</w:t>
      </w:r>
    </w:p>
    <w:tbl>
      <w:tblPr>
        <w:tblStyle w:val="1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68"/>
        <w:gridCol w:w="1440"/>
        <w:gridCol w:w="1680"/>
        <w:gridCol w:w="1320"/>
        <w:gridCol w:w="1320"/>
        <w:gridCol w:w="960"/>
        <w:gridCol w:w="840"/>
      </w:tblGrid>
      <w:tr w14:paraId="04DA6F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Pr>
        <w:tc>
          <w:tcPr>
            <w:tcW w:w="868" w:type="dxa"/>
            <w:vMerge w:val="restart"/>
            <w:tcBorders>
              <w:top w:val="single" w:color="auto" w:sz="6" w:space="0"/>
              <w:left w:val="single" w:color="auto" w:sz="6" w:space="0"/>
              <w:bottom w:val="nil"/>
              <w:right w:val="nil"/>
            </w:tcBorders>
            <w:vAlign w:val="center"/>
          </w:tcPr>
          <w:p w14:paraId="148EE480">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1440" w:type="dxa"/>
            <w:vMerge w:val="restart"/>
            <w:tcBorders>
              <w:top w:val="single" w:color="auto" w:sz="6" w:space="0"/>
              <w:left w:val="single" w:color="auto" w:sz="6" w:space="0"/>
              <w:bottom w:val="nil"/>
              <w:right w:val="nil"/>
            </w:tcBorders>
            <w:vAlign w:val="center"/>
          </w:tcPr>
          <w:p w14:paraId="40941D66">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培训内容</w:t>
            </w:r>
          </w:p>
        </w:tc>
        <w:tc>
          <w:tcPr>
            <w:tcW w:w="1680" w:type="dxa"/>
            <w:vMerge w:val="restart"/>
            <w:tcBorders>
              <w:top w:val="single" w:color="auto" w:sz="6" w:space="0"/>
              <w:left w:val="single" w:color="auto" w:sz="6" w:space="0"/>
              <w:bottom w:val="nil"/>
              <w:right w:val="single" w:color="auto" w:sz="6" w:space="0"/>
            </w:tcBorders>
            <w:vAlign w:val="center"/>
          </w:tcPr>
          <w:p w14:paraId="57CCA6E8">
            <w:pPr>
              <w:pStyle w:val="6"/>
              <w:snapToGrid w:val="0"/>
              <w:spacing w:line="500" w:lineRule="exact"/>
              <w:ind w:firstLine="0"/>
              <w:jc w:val="center"/>
              <w:rPr>
                <w:rFonts w:ascii="Times New Roman"/>
                <w:color w:val="auto"/>
                <w:highlight w:val="none"/>
              </w:rPr>
            </w:pPr>
            <w:r>
              <w:rPr>
                <w:rFonts w:hint="eastAsia" w:ascii="Times New Roman"/>
                <w:color w:val="auto"/>
                <w:highlight w:val="none"/>
              </w:rPr>
              <w:t>计划人月数</w:t>
            </w:r>
          </w:p>
        </w:tc>
        <w:tc>
          <w:tcPr>
            <w:tcW w:w="2640" w:type="dxa"/>
            <w:gridSpan w:val="2"/>
            <w:tcBorders>
              <w:top w:val="single" w:color="auto" w:sz="6" w:space="0"/>
              <w:left w:val="nil"/>
              <w:bottom w:val="single" w:color="auto" w:sz="6" w:space="0"/>
              <w:right w:val="nil"/>
            </w:tcBorders>
            <w:vAlign w:val="center"/>
          </w:tcPr>
          <w:p w14:paraId="65CF5102">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培训教师构成</w:t>
            </w:r>
          </w:p>
        </w:tc>
        <w:tc>
          <w:tcPr>
            <w:tcW w:w="960" w:type="dxa"/>
            <w:vMerge w:val="restart"/>
            <w:tcBorders>
              <w:top w:val="single" w:color="auto" w:sz="6" w:space="0"/>
              <w:left w:val="single" w:color="auto" w:sz="6" w:space="0"/>
              <w:bottom w:val="nil"/>
              <w:right w:val="nil"/>
            </w:tcBorders>
            <w:vAlign w:val="center"/>
          </w:tcPr>
          <w:p w14:paraId="2DE288C5">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地点</w:t>
            </w:r>
          </w:p>
        </w:tc>
        <w:tc>
          <w:tcPr>
            <w:tcW w:w="840" w:type="dxa"/>
            <w:vMerge w:val="restart"/>
            <w:tcBorders>
              <w:top w:val="single" w:color="auto" w:sz="6" w:space="0"/>
              <w:left w:val="single" w:color="auto" w:sz="6" w:space="0"/>
              <w:bottom w:val="nil"/>
              <w:right w:val="single" w:color="auto" w:sz="6" w:space="0"/>
            </w:tcBorders>
            <w:vAlign w:val="center"/>
          </w:tcPr>
          <w:p w14:paraId="21B27498">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备注</w:t>
            </w:r>
          </w:p>
        </w:tc>
      </w:tr>
      <w:tr w14:paraId="6FB95F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Pr>
        <w:tc>
          <w:tcPr>
            <w:tcW w:w="868" w:type="dxa"/>
            <w:vMerge w:val="continue"/>
            <w:tcBorders>
              <w:top w:val="nil"/>
              <w:left w:val="single" w:color="auto" w:sz="6" w:space="0"/>
              <w:bottom w:val="single" w:color="auto" w:sz="6" w:space="0"/>
              <w:right w:val="nil"/>
            </w:tcBorders>
          </w:tcPr>
          <w:p w14:paraId="3770C3AA">
            <w:pPr>
              <w:pStyle w:val="6"/>
              <w:snapToGrid w:val="0"/>
              <w:spacing w:line="500" w:lineRule="exact"/>
              <w:ind w:firstLineChars="200"/>
              <w:rPr>
                <w:rFonts w:ascii="Times New Roman"/>
                <w:color w:val="auto"/>
                <w:highlight w:val="none"/>
              </w:rPr>
            </w:pPr>
          </w:p>
        </w:tc>
        <w:tc>
          <w:tcPr>
            <w:tcW w:w="1440" w:type="dxa"/>
            <w:vMerge w:val="continue"/>
            <w:tcBorders>
              <w:top w:val="nil"/>
              <w:left w:val="single" w:color="auto" w:sz="6" w:space="0"/>
              <w:bottom w:val="single" w:color="auto" w:sz="6" w:space="0"/>
              <w:right w:val="nil"/>
            </w:tcBorders>
          </w:tcPr>
          <w:p w14:paraId="7ABE3CF2">
            <w:pPr>
              <w:pStyle w:val="6"/>
              <w:snapToGrid w:val="0"/>
              <w:spacing w:line="500" w:lineRule="exact"/>
              <w:ind w:firstLineChars="200"/>
              <w:rPr>
                <w:rFonts w:ascii="Times New Roman"/>
                <w:color w:val="auto"/>
                <w:highlight w:val="none"/>
              </w:rPr>
            </w:pPr>
          </w:p>
        </w:tc>
        <w:tc>
          <w:tcPr>
            <w:tcW w:w="1680" w:type="dxa"/>
            <w:vMerge w:val="continue"/>
            <w:tcBorders>
              <w:top w:val="nil"/>
              <w:left w:val="single" w:color="auto" w:sz="6" w:space="0"/>
              <w:bottom w:val="single" w:color="auto" w:sz="6" w:space="0"/>
              <w:right w:val="single" w:color="auto" w:sz="6" w:space="0"/>
            </w:tcBorders>
          </w:tcPr>
          <w:p w14:paraId="625B413D">
            <w:pPr>
              <w:pStyle w:val="6"/>
              <w:snapToGrid w:val="0"/>
              <w:spacing w:line="500" w:lineRule="exact"/>
              <w:ind w:firstLineChars="200"/>
              <w:rPr>
                <w:rFonts w:ascii="Times New Roman"/>
                <w:color w:val="auto"/>
                <w:highlight w:val="none"/>
              </w:rPr>
            </w:pPr>
          </w:p>
        </w:tc>
        <w:tc>
          <w:tcPr>
            <w:tcW w:w="1320" w:type="dxa"/>
            <w:tcBorders>
              <w:top w:val="nil"/>
              <w:left w:val="nil"/>
            </w:tcBorders>
            <w:vAlign w:val="center"/>
          </w:tcPr>
          <w:p w14:paraId="213C2799">
            <w:pPr>
              <w:pStyle w:val="6"/>
              <w:snapToGrid w:val="0"/>
              <w:spacing w:line="500" w:lineRule="exact"/>
              <w:ind w:firstLine="0"/>
              <w:jc w:val="center"/>
              <w:rPr>
                <w:rFonts w:ascii="Times New Roman"/>
                <w:color w:val="auto"/>
                <w:highlight w:val="none"/>
              </w:rPr>
            </w:pPr>
            <w:r>
              <w:rPr>
                <w:rFonts w:hint="eastAsia" w:ascii="Times New Roman"/>
                <w:color w:val="auto"/>
                <w:highlight w:val="none"/>
              </w:rPr>
              <w:t>职称</w:t>
            </w:r>
          </w:p>
        </w:tc>
        <w:tc>
          <w:tcPr>
            <w:tcW w:w="1320" w:type="dxa"/>
            <w:tcBorders>
              <w:top w:val="nil"/>
              <w:right w:val="nil"/>
            </w:tcBorders>
            <w:vAlign w:val="center"/>
          </w:tcPr>
          <w:p w14:paraId="3ED0ABDB">
            <w:pPr>
              <w:pStyle w:val="6"/>
              <w:snapToGrid w:val="0"/>
              <w:spacing w:line="500" w:lineRule="exact"/>
              <w:ind w:firstLine="0"/>
              <w:jc w:val="center"/>
              <w:rPr>
                <w:rFonts w:ascii="Times New Roman"/>
                <w:color w:val="auto"/>
                <w:highlight w:val="none"/>
              </w:rPr>
            </w:pPr>
            <w:r>
              <w:rPr>
                <w:rFonts w:hint="eastAsia" w:ascii="Times New Roman"/>
                <w:color w:val="auto"/>
                <w:highlight w:val="none"/>
              </w:rPr>
              <w:t>人数</w:t>
            </w:r>
          </w:p>
        </w:tc>
        <w:tc>
          <w:tcPr>
            <w:tcW w:w="960" w:type="dxa"/>
            <w:vMerge w:val="continue"/>
            <w:tcBorders>
              <w:top w:val="nil"/>
              <w:left w:val="single" w:color="auto" w:sz="6" w:space="0"/>
              <w:bottom w:val="single" w:color="auto" w:sz="6" w:space="0"/>
              <w:right w:val="nil"/>
            </w:tcBorders>
            <w:vAlign w:val="center"/>
          </w:tcPr>
          <w:p w14:paraId="58AE8BEF">
            <w:pPr>
              <w:pStyle w:val="6"/>
              <w:snapToGrid w:val="0"/>
              <w:spacing w:line="500" w:lineRule="exact"/>
              <w:ind w:firstLineChars="200"/>
              <w:rPr>
                <w:rFonts w:ascii="Times New Roman"/>
                <w:color w:val="auto"/>
                <w:highlight w:val="none"/>
              </w:rPr>
            </w:pPr>
          </w:p>
        </w:tc>
        <w:tc>
          <w:tcPr>
            <w:tcW w:w="840" w:type="dxa"/>
            <w:vMerge w:val="continue"/>
            <w:tcBorders>
              <w:top w:val="nil"/>
              <w:left w:val="single" w:color="auto" w:sz="6" w:space="0"/>
              <w:bottom w:val="single" w:color="auto" w:sz="6" w:space="0"/>
              <w:right w:val="single" w:color="auto" w:sz="6" w:space="0"/>
            </w:tcBorders>
            <w:vAlign w:val="center"/>
          </w:tcPr>
          <w:p w14:paraId="4272CB6C">
            <w:pPr>
              <w:pStyle w:val="6"/>
              <w:snapToGrid w:val="0"/>
              <w:spacing w:line="500" w:lineRule="exact"/>
              <w:ind w:firstLineChars="200"/>
              <w:rPr>
                <w:rFonts w:ascii="Times New Roman"/>
                <w:color w:val="auto"/>
                <w:highlight w:val="none"/>
              </w:rPr>
            </w:pPr>
          </w:p>
        </w:tc>
      </w:tr>
      <w:tr w14:paraId="6B0A2E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68" w:type="dxa"/>
            <w:tcBorders>
              <w:top w:val="nil"/>
            </w:tcBorders>
          </w:tcPr>
          <w:p w14:paraId="63307ABB">
            <w:pPr>
              <w:pStyle w:val="6"/>
              <w:snapToGrid w:val="0"/>
              <w:spacing w:line="500" w:lineRule="exact"/>
              <w:ind w:firstLine="0"/>
              <w:jc w:val="center"/>
              <w:rPr>
                <w:rFonts w:ascii="Times New Roman"/>
                <w:color w:val="auto"/>
                <w:highlight w:val="none"/>
              </w:rPr>
            </w:pPr>
          </w:p>
        </w:tc>
        <w:tc>
          <w:tcPr>
            <w:tcW w:w="1440" w:type="dxa"/>
            <w:tcBorders>
              <w:top w:val="nil"/>
            </w:tcBorders>
          </w:tcPr>
          <w:p w14:paraId="3B5150E2">
            <w:pPr>
              <w:pStyle w:val="6"/>
              <w:snapToGrid w:val="0"/>
              <w:spacing w:line="500" w:lineRule="exact"/>
              <w:ind w:firstLine="0"/>
              <w:jc w:val="center"/>
              <w:rPr>
                <w:rFonts w:ascii="Times New Roman"/>
                <w:color w:val="auto"/>
                <w:highlight w:val="none"/>
              </w:rPr>
            </w:pPr>
          </w:p>
        </w:tc>
        <w:tc>
          <w:tcPr>
            <w:tcW w:w="1680" w:type="dxa"/>
            <w:tcBorders>
              <w:top w:val="nil"/>
            </w:tcBorders>
          </w:tcPr>
          <w:p w14:paraId="5BE51AB5">
            <w:pPr>
              <w:pStyle w:val="6"/>
              <w:snapToGrid w:val="0"/>
              <w:spacing w:line="500" w:lineRule="exact"/>
              <w:ind w:firstLine="0"/>
              <w:jc w:val="center"/>
              <w:rPr>
                <w:rFonts w:ascii="Times New Roman"/>
                <w:color w:val="auto"/>
                <w:highlight w:val="none"/>
              </w:rPr>
            </w:pPr>
          </w:p>
        </w:tc>
        <w:tc>
          <w:tcPr>
            <w:tcW w:w="1320" w:type="dxa"/>
            <w:vAlign w:val="center"/>
          </w:tcPr>
          <w:p w14:paraId="3B16947E">
            <w:pPr>
              <w:pStyle w:val="6"/>
              <w:snapToGrid w:val="0"/>
              <w:spacing w:line="500" w:lineRule="exact"/>
              <w:ind w:firstLine="0"/>
              <w:jc w:val="center"/>
              <w:rPr>
                <w:rFonts w:ascii="Times New Roman"/>
                <w:color w:val="auto"/>
                <w:highlight w:val="none"/>
              </w:rPr>
            </w:pPr>
          </w:p>
        </w:tc>
        <w:tc>
          <w:tcPr>
            <w:tcW w:w="1320" w:type="dxa"/>
            <w:vAlign w:val="center"/>
          </w:tcPr>
          <w:p w14:paraId="2430A6C0">
            <w:pPr>
              <w:pStyle w:val="6"/>
              <w:snapToGrid w:val="0"/>
              <w:spacing w:line="500" w:lineRule="exact"/>
              <w:ind w:firstLine="0"/>
              <w:jc w:val="center"/>
              <w:rPr>
                <w:rFonts w:ascii="Times New Roman"/>
                <w:color w:val="auto"/>
                <w:highlight w:val="none"/>
              </w:rPr>
            </w:pPr>
          </w:p>
        </w:tc>
        <w:tc>
          <w:tcPr>
            <w:tcW w:w="960" w:type="dxa"/>
            <w:tcBorders>
              <w:top w:val="nil"/>
            </w:tcBorders>
            <w:vAlign w:val="center"/>
          </w:tcPr>
          <w:p w14:paraId="3A656171">
            <w:pPr>
              <w:pStyle w:val="6"/>
              <w:snapToGrid w:val="0"/>
              <w:spacing w:line="500" w:lineRule="exact"/>
              <w:ind w:firstLine="0"/>
              <w:jc w:val="center"/>
              <w:rPr>
                <w:rFonts w:ascii="Times New Roman"/>
                <w:color w:val="auto"/>
                <w:highlight w:val="none"/>
              </w:rPr>
            </w:pPr>
          </w:p>
        </w:tc>
        <w:tc>
          <w:tcPr>
            <w:tcW w:w="840" w:type="dxa"/>
            <w:tcBorders>
              <w:top w:val="nil"/>
            </w:tcBorders>
            <w:vAlign w:val="center"/>
          </w:tcPr>
          <w:p w14:paraId="4B865E7B">
            <w:pPr>
              <w:pStyle w:val="6"/>
              <w:snapToGrid w:val="0"/>
              <w:spacing w:line="500" w:lineRule="exact"/>
              <w:ind w:firstLine="0"/>
              <w:jc w:val="center"/>
              <w:rPr>
                <w:rFonts w:ascii="Times New Roman"/>
                <w:color w:val="auto"/>
                <w:highlight w:val="none"/>
              </w:rPr>
            </w:pPr>
          </w:p>
        </w:tc>
      </w:tr>
      <w:tr w14:paraId="281979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68" w:type="dxa"/>
            <w:tcBorders>
              <w:top w:val="nil"/>
            </w:tcBorders>
          </w:tcPr>
          <w:p w14:paraId="2D6622FD">
            <w:pPr>
              <w:pStyle w:val="6"/>
              <w:snapToGrid w:val="0"/>
              <w:spacing w:line="500" w:lineRule="exact"/>
              <w:ind w:firstLine="0"/>
              <w:jc w:val="center"/>
              <w:rPr>
                <w:rFonts w:ascii="Times New Roman"/>
                <w:color w:val="auto"/>
                <w:highlight w:val="none"/>
              </w:rPr>
            </w:pPr>
          </w:p>
        </w:tc>
        <w:tc>
          <w:tcPr>
            <w:tcW w:w="1440" w:type="dxa"/>
            <w:tcBorders>
              <w:top w:val="nil"/>
            </w:tcBorders>
          </w:tcPr>
          <w:p w14:paraId="2A1F1F4E">
            <w:pPr>
              <w:pStyle w:val="6"/>
              <w:snapToGrid w:val="0"/>
              <w:spacing w:line="500" w:lineRule="exact"/>
              <w:ind w:firstLine="0"/>
              <w:jc w:val="center"/>
              <w:rPr>
                <w:rFonts w:ascii="Times New Roman"/>
                <w:color w:val="auto"/>
                <w:highlight w:val="none"/>
              </w:rPr>
            </w:pPr>
          </w:p>
        </w:tc>
        <w:tc>
          <w:tcPr>
            <w:tcW w:w="1680" w:type="dxa"/>
            <w:tcBorders>
              <w:top w:val="nil"/>
            </w:tcBorders>
          </w:tcPr>
          <w:p w14:paraId="7B6BA073">
            <w:pPr>
              <w:pStyle w:val="6"/>
              <w:snapToGrid w:val="0"/>
              <w:spacing w:line="500" w:lineRule="exact"/>
              <w:ind w:firstLine="0"/>
              <w:jc w:val="center"/>
              <w:rPr>
                <w:rFonts w:ascii="Times New Roman"/>
                <w:color w:val="auto"/>
                <w:highlight w:val="none"/>
              </w:rPr>
            </w:pPr>
          </w:p>
        </w:tc>
        <w:tc>
          <w:tcPr>
            <w:tcW w:w="1320" w:type="dxa"/>
            <w:vAlign w:val="center"/>
          </w:tcPr>
          <w:p w14:paraId="46E8F4FA">
            <w:pPr>
              <w:pStyle w:val="6"/>
              <w:snapToGrid w:val="0"/>
              <w:spacing w:line="500" w:lineRule="exact"/>
              <w:ind w:firstLine="0"/>
              <w:jc w:val="center"/>
              <w:rPr>
                <w:rFonts w:ascii="Times New Roman"/>
                <w:color w:val="auto"/>
                <w:highlight w:val="none"/>
              </w:rPr>
            </w:pPr>
          </w:p>
        </w:tc>
        <w:tc>
          <w:tcPr>
            <w:tcW w:w="1320" w:type="dxa"/>
            <w:vAlign w:val="center"/>
          </w:tcPr>
          <w:p w14:paraId="1C3A925F">
            <w:pPr>
              <w:pStyle w:val="6"/>
              <w:snapToGrid w:val="0"/>
              <w:spacing w:line="500" w:lineRule="exact"/>
              <w:ind w:firstLine="0"/>
              <w:jc w:val="center"/>
              <w:rPr>
                <w:rFonts w:ascii="Times New Roman"/>
                <w:color w:val="auto"/>
                <w:highlight w:val="none"/>
              </w:rPr>
            </w:pPr>
          </w:p>
        </w:tc>
        <w:tc>
          <w:tcPr>
            <w:tcW w:w="960" w:type="dxa"/>
            <w:tcBorders>
              <w:top w:val="nil"/>
            </w:tcBorders>
            <w:vAlign w:val="center"/>
          </w:tcPr>
          <w:p w14:paraId="1A746EE3">
            <w:pPr>
              <w:pStyle w:val="6"/>
              <w:snapToGrid w:val="0"/>
              <w:spacing w:line="500" w:lineRule="exact"/>
              <w:ind w:firstLine="0"/>
              <w:jc w:val="center"/>
              <w:rPr>
                <w:rFonts w:ascii="Times New Roman"/>
                <w:color w:val="auto"/>
                <w:highlight w:val="none"/>
              </w:rPr>
            </w:pPr>
          </w:p>
        </w:tc>
        <w:tc>
          <w:tcPr>
            <w:tcW w:w="840" w:type="dxa"/>
            <w:tcBorders>
              <w:top w:val="nil"/>
            </w:tcBorders>
            <w:vAlign w:val="center"/>
          </w:tcPr>
          <w:p w14:paraId="737DF553">
            <w:pPr>
              <w:pStyle w:val="6"/>
              <w:snapToGrid w:val="0"/>
              <w:spacing w:line="500" w:lineRule="exact"/>
              <w:ind w:firstLine="0"/>
              <w:jc w:val="center"/>
              <w:rPr>
                <w:rFonts w:ascii="Times New Roman"/>
                <w:color w:val="auto"/>
                <w:highlight w:val="none"/>
              </w:rPr>
            </w:pPr>
          </w:p>
        </w:tc>
      </w:tr>
      <w:tr w14:paraId="56B2C2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868" w:type="dxa"/>
          </w:tcPr>
          <w:p w14:paraId="4AE0BAA8">
            <w:pPr>
              <w:pStyle w:val="6"/>
              <w:snapToGrid w:val="0"/>
              <w:spacing w:line="500" w:lineRule="exact"/>
              <w:ind w:firstLine="0"/>
              <w:jc w:val="center"/>
              <w:rPr>
                <w:rFonts w:ascii="Times New Roman"/>
                <w:color w:val="auto"/>
                <w:highlight w:val="none"/>
              </w:rPr>
            </w:pPr>
          </w:p>
        </w:tc>
        <w:tc>
          <w:tcPr>
            <w:tcW w:w="1440" w:type="dxa"/>
          </w:tcPr>
          <w:p w14:paraId="17249D4E">
            <w:pPr>
              <w:pStyle w:val="6"/>
              <w:snapToGrid w:val="0"/>
              <w:spacing w:line="500" w:lineRule="exact"/>
              <w:ind w:firstLine="0"/>
              <w:jc w:val="center"/>
              <w:rPr>
                <w:rFonts w:ascii="Times New Roman"/>
                <w:color w:val="auto"/>
                <w:highlight w:val="none"/>
              </w:rPr>
            </w:pPr>
          </w:p>
        </w:tc>
        <w:tc>
          <w:tcPr>
            <w:tcW w:w="1680" w:type="dxa"/>
          </w:tcPr>
          <w:p w14:paraId="3AD7DBF5">
            <w:pPr>
              <w:pStyle w:val="6"/>
              <w:snapToGrid w:val="0"/>
              <w:spacing w:line="500" w:lineRule="exact"/>
              <w:ind w:firstLine="0"/>
              <w:jc w:val="center"/>
              <w:rPr>
                <w:rFonts w:ascii="Times New Roman"/>
                <w:color w:val="auto"/>
                <w:highlight w:val="none"/>
              </w:rPr>
            </w:pPr>
          </w:p>
        </w:tc>
        <w:tc>
          <w:tcPr>
            <w:tcW w:w="1320" w:type="dxa"/>
            <w:vAlign w:val="center"/>
          </w:tcPr>
          <w:p w14:paraId="4C733D42">
            <w:pPr>
              <w:pStyle w:val="6"/>
              <w:snapToGrid w:val="0"/>
              <w:spacing w:line="500" w:lineRule="exact"/>
              <w:ind w:firstLine="0"/>
              <w:jc w:val="center"/>
              <w:rPr>
                <w:rFonts w:ascii="Times New Roman"/>
                <w:color w:val="auto"/>
                <w:highlight w:val="none"/>
              </w:rPr>
            </w:pPr>
          </w:p>
        </w:tc>
        <w:tc>
          <w:tcPr>
            <w:tcW w:w="1320" w:type="dxa"/>
            <w:vAlign w:val="center"/>
          </w:tcPr>
          <w:p w14:paraId="362A8C1D">
            <w:pPr>
              <w:pStyle w:val="6"/>
              <w:snapToGrid w:val="0"/>
              <w:spacing w:line="500" w:lineRule="exact"/>
              <w:ind w:firstLine="0"/>
              <w:jc w:val="center"/>
              <w:rPr>
                <w:rFonts w:ascii="Times New Roman"/>
                <w:color w:val="auto"/>
                <w:highlight w:val="none"/>
              </w:rPr>
            </w:pPr>
          </w:p>
        </w:tc>
        <w:tc>
          <w:tcPr>
            <w:tcW w:w="960" w:type="dxa"/>
            <w:vAlign w:val="center"/>
          </w:tcPr>
          <w:p w14:paraId="19C45C91">
            <w:pPr>
              <w:pStyle w:val="6"/>
              <w:snapToGrid w:val="0"/>
              <w:spacing w:line="500" w:lineRule="exact"/>
              <w:ind w:firstLine="0"/>
              <w:jc w:val="center"/>
              <w:rPr>
                <w:rFonts w:ascii="Times New Roman"/>
                <w:color w:val="auto"/>
                <w:highlight w:val="none"/>
              </w:rPr>
            </w:pPr>
          </w:p>
        </w:tc>
        <w:tc>
          <w:tcPr>
            <w:tcW w:w="840" w:type="dxa"/>
            <w:vAlign w:val="center"/>
          </w:tcPr>
          <w:p w14:paraId="58BC3BFA">
            <w:pPr>
              <w:pStyle w:val="6"/>
              <w:snapToGrid w:val="0"/>
              <w:spacing w:line="500" w:lineRule="exact"/>
              <w:ind w:firstLine="0"/>
              <w:jc w:val="center"/>
              <w:rPr>
                <w:rFonts w:ascii="Times New Roman"/>
                <w:color w:val="auto"/>
                <w:highlight w:val="none"/>
              </w:rPr>
            </w:pPr>
          </w:p>
        </w:tc>
      </w:tr>
    </w:tbl>
    <w:p w14:paraId="127268DC">
      <w:pPr>
        <w:spacing w:line="500" w:lineRule="exact"/>
        <w:rPr>
          <w:highlight w:val="none"/>
        </w:rPr>
      </w:pPr>
      <w:r>
        <w:rPr>
          <w:rFonts w:hint="eastAsia" w:ascii="宋体" w:hAnsi="宋体" w:eastAsia="宋体" w:cs="宋体"/>
          <w:highlight w:val="none"/>
        </w:rPr>
        <w:t>2.3</w:t>
      </w:r>
      <w:r>
        <w:rPr>
          <w:rFonts w:hint="eastAsia" w:ascii="宋体" w:hAnsi="宋体" w:eastAsia="宋体" w:cs="宋体"/>
          <w:highlight w:val="none"/>
        </w:rPr>
        <w:tab/>
      </w:r>
      <w:r>
        <w:rPr>
          <w:rFonts w:hint="eastAsia"/>
          <w:highlight w:val="none"/>
        </w:rPr>
        <w:t>培训的时间、人数、地点等具体内容由招投标双方商定。</w:t>
      </w:r>
    </w:p>
    <w:p w14:paraId="6288437E">
      <w:pPr>
        <w:pStyle w:val="6"/>
        <w:snapToGrid w:val="0"/>
        <w:spacing w:line="500" w:lineRule="exact"/>
        <w:ind w:left="0" w:leftChars="0" w:firstLine="0" w:firstLineChars="0"/>
        <w:rPr>
          <w:rFonts w:hint="eastAsia" w:hAnsi="宋体"/>
          <w:color w:val="auto"/>
          <w:highlight w:val="none"/>
        </w:rPr>
      </w:pPr>
      <w:r>
        <w:rPr>
          <w:color w:val="auto"/>
          <w:highlight w:val="none"/>
        </w:rPr>
        <w:t>2.4</w:t>
      </w:r>
      <w:r>
        <w:rPr>
          <w:color w:val="auto"/>
          <w:highlight w:val="none"/>
        </w:rPr>
        <w:tab/>
      </w:r>
      <w:r>
        <w:rPr>
          <w:rFonts w:hint="eastAsia"/>
          <w:color w:val="auto"/>
          <w:highlight w:val="none"/>
          <w:lang w:eastAsia="zh-CN"/>
        </w:rPr>
        <w:t>投标人</w:t>
      </w:r>
      <w:r>
        <w:rPr>
          <w:rFonts w:hint="eastAsia"/>
          <w:color w:val="auto"/>
          <w:highlight w:val="none"/>
        </w:rPr>
        <w:t>为</w:t>
      </w:r>
      <w:r>
        <w:rPr>
          <w:rFonts w:hint="eastAsia"/>
          <w:color w:val="auto"/>
          <w:highlight w:val="none"/>
          <w:lang w:eastAsia="zh-CN"/>
        </w:rPr>
        <w:t>招标人</w:t>
      </w:r>
      <w:r>
        <w:rPr>
          <w:rFonts w:hint="eastAsia"/>
          <w:color w:val="auto"/>
          <w:highlight w:val="none"/>
        </w:rPr>
        <w:t>培训人员提供设备、场地、资料等培训条件，并提供食宿和交通方便。</w:t>
      </w:r>
    </w:p>
    <w:p w14:paraId="1D7E0F6E">
      <w:pPr>
        <w:pStyle w:val="6"/>
        <w:widowControl w:val="0"/>
        <w:snapToGrid w:val="0"/>
        <w:spacing w:line="500" w:lineRule="exact"/>
        <w:ind w:firstLine="0"/>
        <w:rPr>
          <w:rFonts w:hint="eastAsia" w:hAnsi="宋体"/>
          <w:b/>
          <w:bCs/>
          <w:color w:val="auto"/>
          <w:sz w:val="24"/>
          <w:szCs w:val="24"/>
          <w:highlight w:val="none"/>
        </w:rPr>
      </w:pPr>
      <w:bookmarkStart w:id="25" w:name="_Toc515705623"/>
      <w:bookmarkStart w:id="26" w:name="_Toc515785187"/>
      <w:bookmarkStart w:id="27" w:name="_Toc515697902"/>
      <w:bookmarkStart w:id="28" w:name="_Toc515727602"/>
      <w:bookmarkStart w:id="29" w:name="_Toc515708318"/>
      <w:r>
        <w:rPr>
          <w:rFonts w:hAnsi="宋体"/>
          <w:b/>
          <w:bCs/>
          <w:color w:val="auto"/>
          <w:sz w:val="24"/>
          <w:szCs w:val="24"/>
          <w:highlight w:val="none"/>
        </w:rPr>
        <w:t>3.</w:t>
      </w:r>
      <w:r>
        <w:rPr>
          <w:rFonts w:hint="eastAsia" w:hAnsi="宋体"/>
          <w:b/>
          <w:bCs/>
          <w:color w:val="auto"/>
          <w:sz w:val="24"/>
          <w:szCs w:val="24"/>
          <w:highlight w:val="none"/>
        </w:rPr>
        <w:t xml:space="preserve"> 设计联络会</w:t>
      </w:r>
      <w:bookmarkEnd w:id="25"/>
      <w:bookmarkEnd w:id="26"/>
      <w:bookmarkEnd w:id="27"/>
      <w:bookmarkEnd w:id="28"/>
      <w:bookmarkEnd w:id="29"/>
      <w:r>
        <w:rPr>
          <w:rFonts w:hint="eastAsia" w:hAnsi="宋体"/>
          <w:b/>
          <w:bCs/>
          <w:color w:val="auto"/>
          <w:sz w:val="24"/>
          <w:szCs w:val="24"/>
          <w:highlight w:val="none"/>
        </w:rPr>
        <w:t>（如有需要）</w:t>
      </w:r>
    </w:p>
    <w:p w14:paraId="4D7B0EBE">
      <w:pPr>
        <w:widowControl w:val="0"/>
        <w:spacing w:line="500" w:lineRule="exact"/>
        <w:ind w:firstLine="420"/>
        <w:rPr>
          <w:rFonts w:hint="eastAsia"/>
          <w:highlight w:val="none"/>
        </w:rPr>
      </w:pPr>
      <w:r>
        <w:rPr>
          <w:rFonts w:hint="eastAsia"/>
          <w:highlight w:val="none"/>
        </w:rPr>
        <w:t>设计联络会安排</w:t>
      </w:r>
      <w:r>
        <w:rPr>
          <w:rFonts w:hint="eastAsia"/>
          <w:highlight w:val="none"/>
          <w:lang w:eastAsia="zh-CN"/>
        </w:rPr>
        <w:t>两次</w:t>
      </w:r>
      <w:r>
        <w:rPr>
          <w:rFonts w:hint="eastAsia"/>
          <w:highlight w:val="none"/>
        </w:rPr>
        <w:t>，第一次会务组织及费用由</w:t>
      </w:r>
      <w:r>
        <w:rPr>
          <w:rFonts w:hint="eastAsia"/>
          <w:highlight w:val="none"/>
          <w:lang w:eastAsia="zh-CN"/>
        </w:rPr>
        <w:t>投标人</w:t>
      </w:r>
      <w:r>
        <w:rPr>
          <w:rFonts w:hint="eastAsia"/>
          <w:highlight w:val="none"/>
        </w:rPr>
        <w:t>负责，第二次会务组织及费</w:t>
      </w:r>
      <w:r>
        <w:rPr>
          <w:rFonts w:hint="eastAsia"/>
          <w:highlight w:val="none"/>
          <w:lang w:eastAsia="zh-CN"/>
        </w:rPr>
        <w:t>用由招标人</w:t>
      </w:r>
      <w:r>
        <w:rPr>
          <w:rFonts w:hint="eastAsia"/>
          <w:highlight w:val="none"/>
        </w:rPr>
        <w:t>负责，但差旅费均各自理。有关设计联络的计划、时间、地点和内容要求由招标投标双方商定。</w:t>
      </w:r>
    </w:p>
    <w:p w14:paraId="7D9579FE">
      <w:pPr>
        <w:spacing w:line="500" w:lineRule="exact"/>
        <w:jc w:val="center"/>
        <w:rPr>
          <w:highlight w:val="none"/>
        </w:rPr>
      </w:pPr>
      <w:r>
        <w:rPr>
          <w:rFonts w:hint="eastAsia"/>
          <w:highlight w:val="none"/>
        </w:rPr>
        <w:t>设计联络计划表</w:t>
      </w:r>
    </w:p>
    <w:tbl>
      <w:tblPr>
        <w:tblStyle w:val="1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17"/>
        <w:gridCol w:w="1818"/>
        <w:gridCol w:w="1968"/>
        <w:gridCol w:w="1378"/>
        <w:gridCol w:w="1722"/>
        <w:gridCol w:w="1128"/>
      </w:tblGrid>
      <w:tr w14:paraId="197FA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717" w:type="dxa"/>
          </w:tcPr>
          <w:p w14:paraId="716F4C34">
            <w:pPr>
              <w:pStyle w:val="6"/>
              <w:snapToGrid w:val="0"/>
              <w:spacing w:line="500" w:lineRule="exact"/>
              <w:ind w:firstLine="0"/>
              <w:jc w:val="center"/>
              <w:rPr>
                <w:rFonts w:ascii="Times New Roman"/>
                <w:color w:val="auto"/>
                <w:highlight w:val="none"/>
              </w:rPr>
            </w:pPr>
            <w:r>
              <w:rPr>
                <w:rFonts w:hint="eastAsia" w:ascii="Times New Roman"/>
                <w:color w:val="auto"/>
                <w:highlight w:val="none"/>
              </w:rPr>
              <w:t>序号</w:t>
            </w:r>
          </w:p>
        </w:tc>
        <w:tc>
          <w:tcPr>
            <w:tcW w:w="1818" w:type="dxa"/>
          </w:tcPr>
          <w:p w14:paraId="029B144B">
            <w:pPr>
              <w:pStyle w:val="6"/>
              <w:snapToGrid w:val="0"/>
              <w:spacing w:line="500" w:lineRule="exact"/>
              <w:ind w:firstLine="0"/>
              <w:jc w:val="center"/>
              <w:rPr>
                <w:rFonts w:ascii="Times New Roman"/>
                <w:color w:val="auto"/>
                <w:highlight w:val="none"/>
              </w:rPr>
            </w:pPr>
            <w:r>
              <w:rPr>
                <w:rFonts w:hint="eastAsia" w:ascii="Times New Roman"/>
                <w:color w:val="auto"/>
                <w:highlight w:val="none"/>
              </w:rPr>
              <w:t>次数</w:t>
            </w:r>
          </w:p>
        </w:tc>
        <w:tc>
          <w:tcPr>
            <w:tcW w:w="1968" w:type="dxa"/>
          </w:tcPr>
          <w:p w14:paraId="0C94DEE1">
            <w:pPr>
              <w:spacing w:line="500" w:lineRule="exact"/>
              <w:jc w:val="center"/>
              <w:rPr>
                <w:kern w:val="0"/>
                <w:szCs w:val="20"/>
                <w:highlight w:val="none"/>
              </w:rPr>
            </w:pPr>
            <w:r>
              <w:rPr>
                <w:rFonts w:hint="eastAsia"/>
                <w:kern w:val="0"/>
                <w:szCs w:val="20"/>
                <w:highlight w:val="none"/>
              </w:rPr>
              <w:t>内</w:t>
            </w:r>
            <w:r>
              <w:rPr>
                <w:kern w:val="0"/>
                <w:szCs w:val="20"/>
                <w:highlight w:val="none"/>
              </w:rPr>
              <w:t xml:space="preserve">    </w:t>
            </w:r>
            <w:r>
              <w:rPr>
                <w:rFonts w:hint="eastAsia"/>
                <w:kern w:val="0"/>
                <w:szCs w:val="20"/>
                <w:highlight w:val="none"/>
              </w:rPr>
              <w:t>容</w:t>
            </w:r>
          </w:p>
        </w:tc>
        <w:tc>
          <w:tcPr>
            <w:tcW w:w="1378" w:type="dxa"/>
          </w:tcPr>
          <w:p w14:paraId="5F2C111C">
            <w:pPr>
              <w:spacing w:line="500" w:lineRule="exact"/>
              <w:jc w:val="center"/>
              <w:rPr>
                <w:kern w:val="0"/>
                <w:szCs w:val="20"/>
                <w:highlight w:val="none"/>
              </w:rPr>
            </w:pPr>
            <w:r>
              <w:rPr>
                <w:rFonts w:hint="eastAsia"/>
                <w:kern w:val="0"/>
                <w:szCs w:val="20"/>
                <w:highlight w:val="none"/>
              </w:rPr>
              <w:t>时间</w:t>
            </w:r>
          </w:p>
        </w:tc>
        <w:tc>
          <w:tcPr>
            <w:tcW w:w="1722" w:type="dxa"/>
          </w:tcPr>
          <w:p w14:paraId="5A497D84">
            <w:pPr>
              <w:spacing w:line="500" w:lineRule="exact"/>
              <w:jc w:val="center"/>
              <w:rPr>
                <w:kern w:val="0"/>
                <w:szCs w:val="20"/>
                <w:highlight w:val="none"/>
              </w:rPr>
            </w:pPr>
            <w:r>
              <w:rPr>
                <w:rFonts w:hint="eastAsia"/>
                <w:kern w:val="0"/>
                <w:szCs w:val="20"/>
                <w:highlight w:val="none"/>
              </w:rPr>
              <w:t>地点</w:t>
            </w:r>
          </w:p>
        </w:tc>
        <w:tc>
          <w:tcPr>
            <w:tcW w:w="1128" w:type="dxa"/>
          </w:tcPr>
          <w:p w14:paraId="00691194">
            <w:pPr>
              <w:spacing w:line="500" w:lineRule="exact"/>
              <w:jc w:val="center"/>
              <w:rPr>
                <w:kern w:val="0"/>
                <w:szCs w:val="20"/>
                <w:highlight w:val="none"/>
              </w:rPr>
            </w:pPr>
            <w:r>
              <w:rPr>
                <w:rFonts w:hint="eastAsia"/>
                <w:kern w:val="0"/>
                <w:szCs w:val="20"/>
                <w:highlight w:val="none"/>
              </w:rPr>
              <w:t>人数</w:t>
            </w:r>
          </w:p>
        </w:tc>
      </w:tr>
      <w:tr w14:paraId="7F4FF5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717" w:type="dxa"/>
          </w:tcPr>
          <w:p w14:paraId="615B1C4D">
            <w:pPr>
              <w:pStyle w:val="6"/>
              <w:snapToGrid w:val="0"/>
              <w:spacing w:line="500" w:lineRule="exact"/>
              <w:ind w:firstLine="0"/>
              <w:jc w:val="center"/>
              <w:rPr>
                <w:rFonts w:ascii="Times New Roman"/>
                <w:color w:val="auto"/>
                <w:highlight w:val="none"/>
              </w:rPr>
            </w:pPr>
          </w:p>
        </w:tc>
        <w:tc>
          <w:tcPr>
            <w:tcW w:w="1818" w:type="dxa"/>
          </w:tcPr>
          <w:p w14:paraId="1871A22D">
            <w:pPr>
              <w:pStyle w:val="6"/>
              <w:snapToGrid w:val="0"/>
              <w:spacing w:line="500" w:lineRule="exact"/>
              <w:ind w:firstLine="0"/>
              <w:jc w:val="center"/>
              <w:rPr>
                <w:rFonts w:ascii="Times New Roman"/>
                <w:color w:val="auto"/>
                <w:highlight w:val="none"/>
              </w:rPr>
            </w:pPr>
            <w:r>
              <w:rPr>
                <w:rFonts w:hint="eastAsia" w:ascii="Times New Roman"/>
                <w:color w:val="auto"/>
                <w:highlight w:val="none"/>
              </w:rPr>
              <w:t>第一次</w:t>
            </w:r>
          </w:p>
        </w:tc>
        <w:tc>
          <w:tcPr>
            <w:tcW w:w="1968" w:type="dxa"/>
          </w:tcPr>
          <w:p w14:paraId="4937CD61">
            <w:pPr>
              <w:pStyle w:val="6"/>
              <w:snapToGrid w:val="0"/>
              <w:spacing w:line="500" w:lineRule="exact"/>
              <w:ind w:firstLine="0"/>
              <w:jc w:val="center"/>
              <w:rPr>
                <w:rFonts w:ascii="Times New Roman"/>
                <w:color w:val="auto"/>
                <w:highlight w:val="none"/>
              </w:rPr>
            </w:pPr>
          </w:p>
        </w:tc>
        <w:tc>
          <w:tcPr>
            <w:tcW w:w="1378" w:type="dxa"/>
          </w:tcPr>
          <w:p w14:paraId="3041B733">
            <w:pPr>
              <w:pStyle w:val="6"/>
              <w:snapToGrid w:val="0"/>
              <w:spacing w:line="500" w:lineRule="exact"/>
              <w:ind w:firstLine="0"/>
              <w:jc w:val="center"/>
              <w:rPr>
                <w:rFonts w:ascii="Times New Roman"/>
                <w:color w:val="auto"/>
                <w:highlight w:val="none"/>
              </w:rPr>
            </w:pPr>
          </w:p>
        </w:tc>
        <w:tc>
          <w:tcPr>
            <w:tcW w:w="1722" w:type="dxa"/>
          </w:tcPr>
          <w:p w14:paraId="22744D37">
            <w:pPr>
              <w:pStyle w:val="6"/>
              <w:snapToGrid w:val="0"/>
              <w:spacing w:line="500" w:lineRule="exact"/>
              <w:ind w:firstLine="0"/>
              <w:jc w:val="center"/>
              <w:rPr>
                <w:rFonts w:ascii="Times New Roman"/>
                <w:color w:val="auto"/>
                <w:highlight w:val="none"/>
              </w:rPr>
            </w:pPr>
            <w:r>
              <w:rPr>
                <w:rFonts w:hint="eastAsia" w:ascii="Times New Roman"/>
                <w:color w:val="auto"/>
                <w:highlight w:val="none"/>
                <w:lang w:eastAsia="zh-CN"/>
              </w:rPr>
              <w:t>投标人</w:t>
            </w:r>
            <w:r>
              <w:rPr>
                <w:rFonts w:hint="eastAsia" w:ascii="Times New Roman"/>
                <w:color w:val="auto"/>
                <w:highlight w:val="none"/>
              </w:rPr>
              <w:t>所在地</w:t>
            </w:r>
          </w:p>
        </w:tc>
        <w:tc>
          <w:tcPr>
            <w:tcW w:w="1128" w:type="dxa"/>
          </w:tcPr>
          <w:p w14:paraId="62D062A2">
            <w:pPr>
              <w:pStyle w:val="6"/>
              <w:snapToGrid w:val="0"/>
              <w:spacing w:line="500" w:lineRule="exact"/>
              <w:ind w:firstLine="0"/>
              <w:jc w:val="center"/>
              <w:rPr>
                <w:rFonts w:ascii="Times New Roman"/>
                <w:color w:val="auto"/>
                <w:highlight w:val="none"/>
              </w:rPr>
            </w:pPr>
          </w:p>
        </w:tc>
      </w:tr>
      <w:tr w14:paraId="39DFE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717" w:type="dxa"/>
          </w:tcPr>
          <w:p w14:paraId="46E62FCA">
            <w:pPr>
              <w:pStyle w:val="6"/>
              <w:snapToGrid w:val="0"/>
              <w:spacing w:line="500" w:lineRule="exact"/>
              <w:ind w:firstLine="0"/>
              <w:jc w:val="center"/>
              <w:rPr>
                <w:rFonts w:ascii="Times New Roman"/>
                <w:color w:val="auto"/>
                <w:highlight w:val="none"/>
              </w:rPr>
            </w:pPr>
          </w:p>
        </w:tc>
        <w:tc>
          <w:tcPr>
            <w:tcW w:w="1818" w:type="dxa"/>
          </w:tcPr>
          <w:p w14:paraId="2DA03CFF">
            <w:pPr>
              <w:pStyle w:val="6"/>
              <w:snapToGrid w:val="0"/>
              <w:spacing w:line="500" w:lineRule="exact"/>
              <w:ind w:firstLine="0"/>
              <w:jc w:val="center"/>
              <w:rPr>
                <w:rFonts w:ascii="Times New Roman"/>
                <w:color w:val="auto"/>
                <w:highlight w:val="none"/>
              </w:rPr>
            </w:pPr>
            <w:r>
              <w:rPr>
                <w:rFonts w:hint="eastAsia" w:ascii="Times New Roman"/>
                <w:color w:val="auto"/>
                <w:highlight w:val="none"/>
              </w:rPr>
              <w:t>第二次</w:t>
            </w:r>
          </w:p>
        </w:tc>
        <w:tc>
          <w:tcPr>
            <w:tcW w:w="1968" w:type="dxa"/>
          </w:tcPr>
          <w:p w14:paraId="5118B2F1">
            <w:pPr>
              <w:pStyle w:val="6"/>
              <w:snapToGrid w:val="0"/>
              <w:spacing w:line="500" w:lineRule="exact"/>
              <w:ind w:firstLine="0"/>
              <w:jc w:val="center"/>
              <w:rPr>
                <w:rFonts w:ascii="Times New Roman"/>
                <w:color w:val="auto"/>
                <w:highlight w:val="none"/>
              </w:rPr>
            </w:pPr>
          </w:p>
        </w:tc>
        <w:tc>
          <w:tcPr>
            <w:tcW w:w="1378" w:type="dxa"/>
          </w:tcPr>
          <w:p w14:paraId="7609CEE7">
            <w:pPr>
              <w:pStyle w:val="6"/>
              <w:snapToGrid w:val="0"/>
              <w:spacing w:line="500" w:lineRule="exact"/>
              <w:ind w:firstLine="0"/>
              <w:jc w:val="center"/>
              <w:rPr>
                <w:rFonts w:ascii="Times New Roman"/>
                <w:color w:val="auto"/>
                <w:highlight w:val="none"/>
              </w:rPr>
            </w:pPr>
          </w:p>
        </w:tc>
        <w:tc>
          <w:tcPr>
            <w:tcW w:w="1722" w:type="dxa"/>
          </w:tcPr>
          <w:p w14:paraId="615FA7AA">
            <w:pPr>
              <w:pStyle w:val="6"/>
              <w:snapToGrid w:val="0"/>
              <w:spacing w:line="500" w:lineRule="exact"/>
              <w:ind w:firstLine="0"/>
              <w:jc w:val="center"/>
              <w:rPr>
                <w:rFonts w:ascii="Times New Roman"/>
                <w:color w:val="auto"/>
                <w:highlight w:val="none"/>
              </w:rPr>
            </w:pPr>
            <w:r>
              <w:rPr>
                <w:rFonts w:hint="eastAsia" w:ascii="Times New Roman"/>
                <w:color w:val="auto"/>
                <w:highlight w:val="none"/>
                <w:lang w:eastAsia="zh-CN"/>
              </w:rPr>
              <w:t>招标人</w:t>
            </w:r>
            <w:r>
              <w:rPr>
                <w:rFonts w:hint="eastAsia" w:ascii="Times New Roman"/>
                <w:color w:val="auto"/>
                <w:highlight w:val="none"/>
              </w:rPr>
              <w:t>所在地</w:t>
            </w:r>
          </w:p>
        </w:tc>
        <w:tc>
          <w:tcPr>
            <w:tcW w:w="1128" w:type="dxa"/>
          </w:tcPr>
          <w:p w14:paraId="71D496EC">
            <w:pPr>
              <w:pStyle w:val="6"/>
              <w:snapToGrid w:val="0"/>
              <w:spacing w:line="500" w:lineRule="exact"/>
              <w:ind w:firstLine="0"/>
              <w:jc w:val="center"/>
              <w:rPr>
                <w:rFonts w:ascii="Times New Roman"/>
                <w:color w:val="auto"/>
                <w:highlight w:val="none"/>
              </w:rPr>
            </w:pPr>
          </w:p>
        </w:tc>
      </w:tr>
    </w:tbl>
    <w:p w14:paraId="14044CD2">
      <w:pPr>
        <w:pStyle w:val="6"/>
        <w:snapToGrid w:val="0"/>
        <w:spacing w:line="500" w:lineRule="exact"/>
        <w:ind w:firstLine="0"/>
        <w:rPr>
          <w:rFonts w:hint="eastAsia" w:hAnsi="宋体"/>
          <w:b/>
          <w:bCs/>
          <w:color w:val="auto"/>
          <w:sz w:val="24"/>
          <w:szCs w:val="24"/>
          <w:highlight w:val="none"/>
        </w:rPr>
      </w:pPr>
      <w:r>
        <w:rPr>
          <w:rFonts w:hint="eastAsia" w:hAnsi="宋体"/>
          <w:b/>
          <w:bCs/>
          <w:color w:val="auto"/>
          <w:sz w:val="24"/>
          <w:szCs w:val="24"/>
          <w:highlight w:val="none"/>
        </w:rPr>
        <w:t>4</w:t>
      </w:r>
      <w:r>
        <w:rPr>
          <w:rFonts w:hAnsi="宋体"/>
          <w:b/>
          <w:bCs/>
          <w:color w:val="auto"/>
          <w:sz w:val="24"/>
          <w:szCs w:val="24"/>
          <w:highlight w:val="none"/>
        </w:rPr>
        <w:t>.</w:t>
      </w:r>
      <w:r>
        <w:rPr>
          <w:rFonts w:hint="eastAsia" w:hAnsi="宋体"/>
          <w:b/>
          <w:bCs/>
          <w:color w:val="auto"/>
          <w:sz w:val="24"/>
          <w:szCs w:val="24"/>
          <w:highlight w:val="none"/>
        </w:rPr>
        <w:t xml:space="preserve"> 技术联络人</w:t>
      </w:r>
    </w:p>
    <w:p w14:paraId="7C8AD9B3">
      <w:pPr>
        <w:spacing w:line="360" w:lineRule="auto"/>
        <w:ind w:firstLine="420"/>
        <w:rPr>
          <w:rFonts w:hint="eastAsia"/>
          <w:highlight w:val="none"/>
        </w:rPr>
      </w:pPr>
      <w:r>
        <w:rPr>
          <w:rFonts w:hint="eastAsia"/>
          <w:highlight w:val="none"/>
          <w:lang w:eastAsia="zh-CN"/>
        </w:rPr>
        <w:t>投标人</w:t>
      </w:r>
      <w:r>
        <w:rPr>
          <w:rFonts w:hint="eastAsia"/>
          <w:highlight w:val="none"/>
        </w:rPr>
        <w:t>应指定专人负责技术联络，具体联络方式：</w:t>
      </w:r>
    </w:p>
    <w:p w14:paraId="1A190B4B">
      <w:pPr>
        <w:spacing w:line="360" w:lineRule="auto"/>
        <w:ind w:firstLine="420"/>
        <w:rPr>
          <w:rFonts w:hint="eastAsia"/>
          <w:highlight w:val="none"/>
        </w:rPr>
      </w:pPr>
      <w:r>
        <w:rPr>
          <w:rFonts w:hint="eastAsia"/>
          <w:highlight w:val="none"/>
        </w:rPr>
        <w:t>姓名：</w:t>
      </w:r>
    </w:p>
    <w:p w14:paraId="1F1A18B7">
      <w:pPr>
        <w:spacing w:line="360" w:lineRule="auto"/>
        <w:ind w:firstLine="420"/>
        <w:rPr>
          <w:rFonts w:hint="eastAsia"/>
          <w:highlight w:val="none"/>
        </w:rPr>
      </w:pPr>
      <w:r>
        <w:rPr>
          <w:rFonts w:hint="eastAsia"/>
          <w:highlight w:val="none"/>
        </w:rPr>
        <w:t>电话：</w:t>
      </w:r>
    </w:p>
    <w:p w14:paraId="222B10B1">
      <w:pPr>
        <w:spacing w:line="360" w:lineRule="auto"/>
        <w:ind w:firstLine="420"/>
        <w:rPr>
          <w:rFonts w:hint="eastAsia"/>
          <w:color w:val="000000"/>
          <w:highlight w:val="none"/>
        </w:rPr>
      </w:pPr>
      <w:r>
        <w:rPr>
          <w:rFonts w:hint="eastAsia"/>
          <w:highlight w:val="none"/>
        </w:rPr>
        <w:t>邮箱：</w:t>
      </w:r>
    </w:p>
    <w:p w14:paraId="5E691F1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5CD3C63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53E6044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18B7C36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1288F15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455C4A8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4670DF5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4E9E3FD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794E8FC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719DEE4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39AE365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40315F9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25EC7F0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3752277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p>
    <w:p w14:paraId="3D42420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附件7 分包与外购</w:t>
      </w:r>
    </w:p>
    <w:p w14:paraId="1BA6203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应根据技术要求在下列表格中填写分包情况表，并报送各分包厂家的简要资质业绩情况。</w:t>
      </w:r>
    </w:p>
    <w:p w14:paraId="24AA62E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 对外购件的质量管理内容进行情况说明。</w:t>
      </w:r>
    </w:p>
    <w:p w14:paraId="2C0E63D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主要外购件制造商情况（国产）（</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填写）</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68"/>
        <w:gridCol w:w="1496"/>
        <w:gridCol w:w="1860"/>
        <w:gridCol w:w="768"/>
        <w:gridCol w:w="768"/>
        <w:gridCol w:w="1497"/>
        <w:gridCol w:w="769"/>
        <w:gridCol w:w="769"/>
      </w:tblGrid>
      <w:tr w14:paraId="765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0" w:type="auto"/>
            <w:shd w:val="clear" w:color="auto" w:fill="auto"/>
            <w:vAlign w:val="center"/>
          </w:tcPr>
          <w:p w14:paraId="4403CE98">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序号</w:t>
            </w:r>
          </w:p>
        </w:tc>
        <w:tc>
          <w:tcPr>
            <w:tcW w:w="0" w:type="auto"/>
            <w:shd w:val="clear" w:color="auto" w:fill="auto"/>
            <w:vAlign w:val="center"/>
          </w:tcPr>
          <w:p w14:paraId="7D30C068">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部件名称</w:t>
            </w:r>
          </w:p>
        </w:tc>
        <w:tc>
          <w:tcPr>
            <w:tcW w:w="0" w:type="auto"/>
            <w:shd w:val="clear" w:color="auto" w:fill="auto"/>
            <w:vAlign w:val="center"/>
          </w:tcPr>
          <w:p w14:paraId="1350083C">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型号和规范</w:t>
            </w:r>
          </w:p>
        </w:tc>
        <w:tc>
          <w:tcPr>
            <w:tcW w:w="0" w:type="auto"/>
            <w:shd w:val="clear" w:color="auto" w:fill="auto"/>
            <w:vAlign w:val="center"/>
          </w:tcPr>
          <w:p w14:paraId="3EB6E106">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单位</w:t>
            </w:r>
          </w:p>
        </w:tc>
        <w:tc>
          <w:tcPr>
            <w:tcW w:w="0" w:type="auto"/>
            <w:shd w:val="clear" w:color="auto" w:fill="auto"/>
            <w:vAlign w:val="center"/>
          </w:tcPr>
          <w:p w14:paraId="7735BC14">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数量</w:t>
            </w:r>
          </w:p>
        </w:tc>
        <w:tc>
          <w:tcPr>
            <w:tcW w:w="0" w:type="auto"/>
            <w:shd w:val="clear" w:color="auto" w:fill="auto"/>
            <w:vAlign w:val="center"/>
          </w:tcPr>
          <w:p w14:paraId="6F4CB1A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厂家名称</w:t>
            </w:r>
          </w:p>
        </w:tc>
        <w:tc>
          <w:tcPr>
            <w:tcW w:w="0" w:type="auto"/>
            <w:shd w:val="clear" w:color="auto" w:fill="auto"/>
            <w:vAlign w:val="center"/>
          </w:tcPr>
          <w:p w14:paraId="1D877D72">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产地</w:t>
            </w:r>
          </w:p>
        </w:tc>
        <w:tc>
          <w:tcPr>
            <w:tcW w:w="0" w:type="auto"/>
            <w:shd w:val="clear" w:color="auto" w:fill="auto"/>
            <w:vAlign w:val="center"/>
          </w:tcPr>
          <w:p w14:paraId="09702D85">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p>
        </w:tc>
      </w:tr>
      <w:tr w14:paraId="53B9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0980841B">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F65E804">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70BA66C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139BFCA">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6C6BE43">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230E58A">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FF8E29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3C58A8DC">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r w14:paraId="6BE5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1B9E907A">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8ACF165">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7A833DF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FD041A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BF9FE74">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6C4DE58">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2939D44">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352A32E2">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r w14:paraId="2F8D1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7D24CEB">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C09F490">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3F9E247">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63E75332">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73FFE03">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77A1E62E">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04C581A">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19299F9">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bl>
    <w:p w14:paraId="10BEBCE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主要外购件制造商情况（进口）（</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填写）</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68"/>
        <w:gridCol w:w="1496"/>
        <w:gridCol w:w="1860"/>
        <w:gridCol w:w="768"/>
        <w:gridCol w:w="768"/>
        <w:gridCol w:w="1497"/>
        <w:gridCol w:w="769"/>
        <w:gridCol w:w="769"/>
      </w:tblGrid>
      <w:tr w14:paraId="485D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0" w:type="auto"/>
            <w:shd w:val="clear" w:color="auto" w:fill="auto"/>
            <w:vAlign w:val="center"/>
          </w:tcPr>
          <w:p w14:paraId="140D9A3E">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序号</w:t>
            </w:r>
          </w:p>
        </w:tc>
        <w:tc>
          <w:tcPr>
            <w:tcW w:w="0" w:type="auto"/>
            <w:shd w:val="clear" w:color="auto" w:fill="auto"/>
            <w:vAlign w:val="center"/>
          </w:tcPr>
          <w:p w14:paraId="0E131BD0">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部件名称</w:t>
            </w:r>
          </w:p>
        </w:tc>
        <w:tc>
          <w:tcPr>
            <w:tcW w:w="0" w:type="auto"/>
            <w:shd w:val="clear" w:color="auto" w:fill="auto"/>
            <w:vAlign w:val="center"/>
          </w:tcPr>
          <w:p w14:paraId="2321BC95">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型号和规范</w:t>
            </w:r>
          </w:p>
        </w:tc>
        <w:tc>
          <w:tcPr>
            <w:tcW w:w="0" w:type="auto"/>
            <w:shd w:val="clear" w:color="auto" w:fill="auto"/>
            <w:vAlign w:val="center"/>
          </w:tcPr>
          <w:p w14:paraId="67E0B54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单位</w:t>
            </w:r>
          </w:p>
        </w:tc>
        <w:tc>
          <w:tcPr>
            <w:tcW w:w="0" w:type="auto"/>
            <w:shd w:val="clear" w:color="auto" w:fill="auto"/>
            <w:vAlign w:val="center"/>
          </w:tcPr>
          <w:p w14:paraId="0694E25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数量</w:t>
            </w:r>
          </w:p>
        </w:tc>
        <w:tc>
          <w:tcPr>
            <w:tcW w:w="0" w:type="auto"/>
            <w:shd w:val="clear" w:color="auto" w:fill="auto"/>
            <w:vAlign w:val="center"/>
          </w:tcPr>
          <w:p w14:paraId="0DD0376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厂家名称</w:t>
            </w:r>
          </w:p>
        </w:tc>
        <w:tc>
          <w:tcPr>
            <w:tcW w:w="0" w:type="auto"/>
            <w:shd w:val="clear" w:color="auto" w:fill="auto"/>
            <w:vAlign w:val="center"/>
          </w:tcPr>
          <w:p w14:paraId="771A89A1">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产地</w:t>
            </w:r>
          </w:p>
        </w:tc>
        <w:tc>
          <w:tcPr>
            <w:tcW w:w="0" w:type="auto"/>
            <w:shd w:val="clear" w:color="auto" w:fill="auto"/>
            <w:vAlign w:val="center"/>
          </w:tcPr>
          <w:p w14:paraId="5DD2D9A6">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p>
        </w:tc>
      </w:tr>
      <w:tr w14:paraId="36DD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DC53921">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0F043F7">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4F1EDE9">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0ED71C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6B4A2678">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283A1D1">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6906556">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3A605253">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r w14:paraId="6C68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361BDBA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63A8636">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6068793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BE4327D">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645C70C9">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50A746F">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C0553B2">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F950BD0">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r w14:paraId="57C6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28522227">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76C29753">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928718E">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11EBE858">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0139637E">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57BD89A5">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4CF46066">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c>
          <w:tcPr>
            <w:tcW w:w="0" w:type="auto"/>
            <w:vAlign w:val="center"/>
          </w:tcPr>
          <w:p w14:paraId="25FC0DBB">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18"/>
                <w:szCs w:val="18"/>
                <w:highlight w:val="none"/>
              </w:rPr>
            </w:pPr>
          </w:p>
        </w:tc>
      </w:tr>
    </w:tbl>
    <w:p w14:paraId="014424AD">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4EA1A7FA">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79538B8B">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707F2847">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3502C8F3">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4794DF11">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615FF0C0">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7C573D88">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00EE2B2E">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6FE93B11">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315C5BA1">
      <w:pPr>
        <w:kinsoku/>
        <w:wordWrap/>
        <w:overflowPunct/>
        <w:topLinePunct w:val="0"/>
        <w:autoSpaceDE/>
        <w:autoSpaceDN/>
        <w:bidi w:val="0"/>
        <w:adjustRightInd/>
        <w:spacing w:line="360" w:lineRule="auto"/>
        <w:ind w:left="0" w:firstLineChars="0"/>
        <w:textAlignment w:val="auto"/>
        <w:rPr>
          <w:rFonts w:hint="eastAsia" w:ascii="宋体" w:hAnsi="宋体" w:eastAsia="宋体" w:cs="宋体"/>
          <w:sz w:val="28"/>
          <w:szCs w:val="28"/>
          <w:highlight w:val="none"/>
        </w:rPr>
      </w:pPr>
    </w:p>
    <w:p w14:paraId="44CB681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p>
    <w:p w14:paraId="1557CC3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附件8 运行维护手册</w:t>
      </w:r>
    </w:p>
    <w:p w14:paraId="723CFB1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运行维护手册格式要求如下：</w:t>
      </w:r>
    </w:p>
    <w:p w14:paraId="0C145A53">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伊犁新天煤化工有限责任公司</w:t>
      </w:r>
    </w:p>
    <w:p w14:paraId="0DD69531">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电气照明框架采购及热电装置区照明节能改造</w:t>
      </w:r>
    </w:p>
    <w:p w14:paraId="7FBF41A2">
      <w:pPr>
        <w:kinsoku/>
        <w:wordWrap/>
        <w:overflowPunct/>
        <w:topLinePunct w:val="0"/>
        <w:autoSpaceDE/>
        <w:autoSpaceDN/>
        <w:bidi w:val="0"/>
        <w:adjustRightInd/>
        <w:spacing w:line="360" w:lineRule="auto"/>
        <w:ind w:lef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运 行 维 护 手 册</w:t>
      </w:r>
    </w:p>
    <w:p w14:paraId="143FEA9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要求：一式10套</w:t>
      </w:r>
    </w:p>
    <w:p w14:paraId="6B8CE27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纸张：A4</w:t>
      </w:r>
    </w:p>
    <w:p w14:paraId="7A49CBF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字体：宋体，小四号</w:t>
      </w:r>
    </w:p>
    <w:p w14:paraId="5585C56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行间距：1.5倍</w:t>
      </w:r>
    </w:p>
    <w:p w14:paraId="19A99EF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页边距（mm）：左-30 右-25 上-30 下-40</w:t>
      </w:r>
    </w:p>
    <w:p w14:paraId="2D015DB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页眉：XX设备运行维护手册</w:t>
      </w:r>
    </w:p>
    <w:p w14:paraId="0AB0A65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注：在正式提交前，先由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审定。</w:t>
      </w:r>
    </w:p>
    <w:p w14:paraId="77CC0C8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设备运行和维护手册的目的是将全部必要的数据和说明装订成册，这样，运行人员可以较好地查阅和理解最初调试及试运行工作、有效操作，以及在正常、事故和异常（非设计情况）下怎样正确操作设备和停机。</w:t>
      </w:r>
    </w:p>
    <w:p w14:paraId="0C3FD7D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该手册应详细地叙述和说明设备构造，使新来的操作和维护人员能够研究和理解设备功能的控制方法。手册中应便于快速查阅运行参数、设备说明书、操作、维护和安全信息。</w:t>
      </w:r>
    </w:p>
    <w:p w14:paraId="3E97610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运行和维护手册应包括但不限于下述内容：</w:t>
      </w:r>
    </w:p>
    <w:p w14:paraId="7A2BE60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（1）设备概述，包括设备、系统说明、设备结构、功能说明、技术规范等。</w:t>
      </w:r>
    </w:p>
    <w:p w14:paraId="6FD132E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（2）设备启动、运行和停运的操作程序及注意事项。</w:t>
      </w:r>
    </w:p>
    <w:p w14:paraId="3F34731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（3）设备联锁和保护功能说明。</w:t>
      </w:r>
    </w:p>
    <w:p w14:paraId="4E4E572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（4）设备安装、拆卸、维护的程序及注意事项。</w:t>
      </w:r>
    </w:p>
    <w:p w14:paraId="428886E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（5）设备零、部件清单，包括名称、图号、规格、材质、制造厂家全称等。</w:t>
      </w:r>
    </w:p>
    <w:p w14:paraId="674C871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（6）设备易损件、消耗性材料清单，包括名称、规格、制造厂家全称等。</w:t>
      </w:r>
    </w:p>
    <w:p w14:paraId="2EF69C2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为便于使用和查阅，手册应分成卷，每一卷包括封面的最大厚度为50mm。每一卷的版式应尽可能地一致，每一部分的系统、设备等描述顺序也应一致。</w:t>
      </w:r>
    </w:p>
    <w:p w14:paraId="3C253D28">
      <w:pPr>
        <w:pStyle w:val="2"/>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附件9 大（部）件情况</w:t>
      </w:r>
    </w:p>
    <w:p w14:paraId="7ECA8D5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应详细说明超重超限的情况。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56"/>
        <w:gridCol w:w="668"/>
        <w:gridCol w:w="357"/>
        <w:gridCol w:w="1160"/>
        <w:gridCol w:w="1316"/>
        <w:gridCol w:w="1005"/>
        <w:gridCol w:w="1160"/>
        <w:gridCol w:w="668"/>
        <w:gridCol w:w="980"/>
        <w:gridCol w:w="668"/>
        <w:gridCol w:w="357"/>
      </w:tblGrid>
      <w:tr w14:paraId="211F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0" w:type="auto"/>
            <w:shd w:val="clear" w:color="auto" w:fill="auto"/>
            <w:vAlign w:val="center"/>
          </w:tcPr>
          <w:p w14:paraId="754B50BC">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序号</w:t>
            </w:r>
          </w:p>
        </w:tc>
        <w:tc>
          <w:tcPr>
            <w:tcW w:w="0" w:type="auto"/>
            <w:shd w:val="clear" w:color="auto" w:fill="auto"/>
            <w:vAlign w:val="center"/>
          </w:tcPr>
          <w:p w14:paraId="580BD6D2">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部件名称</w:t>
            </w:r>
          </w:p>
        </w:tc>
        <w:tc>
          <w:tcPr>
            <w:tcW w:w="0" w:type="auto"/>
            <w:shd w:val="clear" w:color="auto" w:fill="auto"/>
            <w:vAlign w:val="center"/>
          </w:tcPr>
          <w:p w14:paraId="51D2E45B">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数量</w:t>
            </w:r>
          </w:p>
        </w:tc>
        <w:tc>
          <w:tcPr>
            <w:tcW w:w="0" w:type="auto"/>
            <w:shd w:val="clear" w:color="auto" w:fill="auto"/>
            <w:vAlign w:val="center"/>
          </w:tcPr>
          <w:p w14:paraId="088EC7A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长宽高（包装）</w:t>
            </w:r>
          </w:p>
        </w:tc>
        <w:tc>
          <w:tcPr>
            <w:tcW w:w="0" w:type="auto"/>
            <w:shd w:val="clear" w:color="auto" w:fill="auto"/>
            <w:vAlign w:val="center"/>
          </w:tcPr>
          <w:p w14:paraId="08A2BD8D">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长宽高（未包装）</w:t>
            </w:r>
          </w:p>
        </w:tc>
        <w:tc>
          <w:tcPr>
            <w:tcW w:w="0" w:type="auto"/>
            <w:shd w:val="clear" w:color="auto" w:fill="auto"/>
            <w:vAlign w:val="center"/>
          </w:tcPr>
          <w:p w14:paraId="1174FAB0">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重量（包装）</w:t>
            </w:r>
          </w:p>
        </w:tc>
        <w:tc>
          <w:tcPr>
            <w:tcW w:w="0" w:type="auto"/>
            <w:shd w:val="clear" w:color="auto" w:fill="auto"/>
            <w:vAlign w:val="center"/>
          </w:tcPr>
          <w:p w14:paraId="4F00AF90">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重量（未包装）</w:t>
            </w:r>
          </w:p>
        </w:tc>
        <w:tc>
          <w:tcPr>
            <w:tcW w:w="0" w:type="auto"/>
            <w:shd w:val="clear" w:color="auto" w:fill="auto"/>
            <w:vAlign w:val="center"/>
          </w:tcPr>
          <w:p w14:paraId="115FFB3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厂家名称</w:t>
            </w:r>
          </w:p>
        </w:tc>
        <w:tc>
          <w:tcPr>
            <w:tcW w:w="0" w:type="auto"/>
            <w:shd w:val="clear" w:color="auto" w:fill="auto"/>
            <w:vAlign w:val="center"/>
          </w:tcPr>
          <w:p w14:paraId="02620541">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货物发运地点</w:t>
            </w:r>
          </w:p>
        </w:tc>
        <w:tc>
          <w:tcPr>
            <w:tcW w:w="0" w:type="auto"/>
            <w:shd w:val="clear" w:color="auto" w:fill="auto"/>
            <w:vAlign w:val="center"/>
          </w:tcPr>
          <w:p w14:paraId="3C8EBB9E">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运输方式</w:t>
            </w:r>
          </w:p>
        </w:tc>
        <w:tc>
          <w:tcPr>
            <w:tcW w:w="0" w:type="auto"/>
            <w:shd w:val="clear" w:color="auto" w:fill="auto"/>
            <w:vAlign w:val="center"/>
          </w:tcPr>
          <w:p w14:paraId="715B91AA">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备注</w:t>
            </w:r>
          </w:p>
        </w:tc>
      </w:tr>
      <w:tr w14:paraId="76D3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4DEC809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72E7B9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B3A9A9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B1658C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F47B10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0023B7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B31F0EF">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D16944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67C1C9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9FFA98D">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1BC588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3AD5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21988DD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DD3582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37FC34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6F69B5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6D3B33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BD945D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3664F2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68C5414">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DEE5A1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D3A8B1C">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DB1622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6E17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767460B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E4BA37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1198DB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4D3223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07DB2267">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81904C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3199A9E">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3CC5A8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3D72B8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16E8BE5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2812D963">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r w14:paraId="19BB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vAlign w:val="center"/>
          </w:tcPr>
          <w:p w14:paraId="7D86E79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102EB7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827999B">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70A92438">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C550A4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6DB1F065">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5E61DE19">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2A878C2">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4936AF0">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3DB1B8C1">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c>
          <w:tcPr>
            <w:tcW w:w="0" w:type="auto"/>
            <w:vAlign w:val="center"/>
          </w:tcPr>
          <w:p w14:paraId="483D33BA">
            <w:pPr>
              <w:kinsoku/>
              <w:wordWrap/>
              <w:overflowPunct/>
              <w:topLinePunct w:val="0"/>
              <w:autoSpaceDE/>
              <w:autoSpaceDN/>
              <w:bidi w:val="0"/>
              <w:adjustRightInd/>
              <w:spacing w:before="20" w:after="2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p>
        </w:tc>
      </w:tr>
    </w:tbl>
    <w:p w14:paraId="1D364EA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5B1259C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应在投标文件中按附表要求提供设备各大件的运输尺寸（长宽高）、重量，并附运输外形尺寸图及其重心位置。</w:t>
      </w:r>
    </w:p>
    <w:p w14:paraId="1714052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设备运输尺寸，指设备包装后的各部分尺寸。</w:t>
      </w:r>
    </w:p>
    <w:p w14:paraId="0A604E8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当采用铁路运输时，设备的运输外形尺寸，应考虑该设备拟采用的运输车辆装载面至轨面的高度要求。</w:t>
      </w:r>
    </w:p>
    <w:p w14:paraId="4FB485F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应根据大件运输的线路及运输方式，对沿途经过的涵洞、桥梁等构筑物进行充分的调查和论证，在投标文件中提出大件运输的方案。</w:t>
      </w:r>
    </w:p>
    <w:p w14:paraId="71BA1AC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还应在投标文件中说明所有其他设备的运输方案，包括车辆、船舶型号、数量、运输路线等。</w:t>
      </w:r>
    </w:p>
    <w:p w14:paraId="547E2F7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 当</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设备的运输尺寸超出上述给定的铁路运输界限要求时，</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应承担由于采取必要措施进行运输而发生的费用。</w:t>
      </w:r>
    </w:p>
    <w:p w14:paraId="6D8DE27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2EB0DE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054104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374C30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4D499F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45024A7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40A9F6F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附件10 技术差异表</w:t>
      </w:r>
    </w:p>
    <w:p w14:paraId="1711450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要将投标文件和招标文件的差异之处汇集成表。技术部分和商务部分要单独列表。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01"/>
        <w:gridCol w:w="1739"/>
        <w:gridCol w:w="2308"/>
        <w:gridCol w:w="1739"/>
        <w:gridCol w:w="2308"/>
      </w:tblGrid>
      <w:tr w14:paraId="3D0E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0" w:type="auto"/>
            <w:shd w:val="clear" w:color="auto" w:fill="auto"/>
          </w:tcPr>
          <w:p w14:paraId="1EB9ABD5">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序号</w:t>
            </w:r>
          </w:p>
        </w:tc>
        <w:tc>
          <w:tcPr>
            <w:tcW w:w="0" w:type="auto"/>
            <w:shd w:val="clear" w:color="auto" w:fill="auto"/>
          </w:tcPr>
          <w:p w14:paraId="1DE1AA23">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招标文件条目</w:t>
            </w:r>
          </w:p>
        </w:tc>
        <w:tc>
          <w:tcPr>
            <w:tcW w:w="0" w:type="auto"/>
            <w:shd w:val="clear" w:color="auto" w:fill="auto"/>
          </w:tcPr>
          <w:p w14:paraId="2C56D959">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招标文件简要内容</w:t>
            </w:r>
          </w:p>
        </w:tc>
        <w:tc>
          <w:tcPr>
            <w:tcW w:w="0" w:type="auto"/>
            <w:shd w:val="clear" w:color="auto" w:fill="auto"/>
          </w:tcPr>
          <w:p w14:paraId="15D5D4F9">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投标文件条目</w:t>
            </w:r>
          </w:p>
        </w:tc>
        <w:tc>
          <w:tcPr>
            <w:tcW w:w="0" w:type="auto"/>
            <w:shd w:val="clear" w:color="auto" w:fill="auto"/>
          </w:tcPr>
          <w:p w14:paraId="381A475D">
            <w:pPr>
              <w:kinsoku/>
              <w:wordWrap/>
              <w:overflowPunct/>
              <w:topLinePunct w:val="0"/>
              <w:autoSpaceDE/>
              <w:autoSpaceDN/>
              <w:bidi w:val="0"/>
              <w:adjustRightInd/>
              <w:spacing w:before="40" w:after="40" w:line="360" w:lineRule="auto"/>
              <w:ind w:left="0" w:firstLine="0" w:firstLineChars="0"/>
              <w:jc w:val="center"/>
              <w:textAlignment w:val="auto"/>
              <w:rPr>
                <w:rFonts w:hint="eastAsia" w:asciiTheme="minorEastAsia" w:hAnsiTheme="minorEastAsia" w:eastAsiaTheme="minorEastAsia" w:cstheme="minorEastAsia"/>
                <w:sz w:val="18"/>
                <w:szCs w:val="18"/>
                <w:highlight w:val="none"/>
              </w:rPr>
            </w:pPr>
            <w:r>
              <w:rPr>
                <w:rFonts w:hint="eastAsia" w:asciiTheme="minorEastAsia" w:hAnsiTheme="minorEastAsia" w:eastAsiaTheme="minorEastAsia" w:cstheme="minorEastAsia"/>
                <w:b/>
                <w:sz w:val="18"/>
                <w:szCs w:val="18"/>
                <w:highlight w:val="none"/>
              </w:rPr>
              <w:t>投标文件简要内容</w:t>
            </w:r>
          </w:p>
        </w:tc>
      </w:tr>
      <w:tr w14:paraId="02D4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7431D11C">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72F1E0B7">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2A3DC275">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79CF53C0">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6D75BC0">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03B2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0C0420CA">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45AA284">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631F195E">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1D56DA5F">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02897244">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41B8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5F5B923C">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7D5BBAB">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07D0D310">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0B977463">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17CF83D">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278E3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23C1C1DB">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2DA05D7C">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3972E947">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45A2309">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6932CAEE">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5DA99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6E6A9945">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16082CAA">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234C23E6">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BC206C8">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639D15CA">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5849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5EF1D308">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2580EBC2">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30D70138">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350C3977">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1A0F99DE">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376D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7009F897">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38B3FFA">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46FDEBF5">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990CE74">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1F04483">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r w14:paraId="7D82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Pr>
          <w:p w14:paraId="7E7D58B9">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6540350">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52C1BE0A">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34C46742">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c>
          <w:tcPr>
            <w:tcW w:w="0" w:type="auto"/>
          </w:tcPr>
          <w:p w14:paraId="260347F2">
            <w:pPr>
              <w:kinsoku/>
              <w:wordWrap/>
              <w:overflowPunct/>
              <w:topLinePunct w:val="0"/>
              <w:autoSpaceDE/>
              <w:autoSpaceDN/>
              <w:bidi w:val="0"/>
              <w:adjustRightInd/>
              <w:spacing w:before="20" w:after="20" w:line="360" w:lineRule="auto"/>
              <w:ind w:left="0" w:firstLine="0" w:firstLineChars="0"/>
              <w:textAlignment w:val="auto"/>
              <w:rPr>
                <w:rFonts w:hint="eastAsia" w:asciiTheme="minorEastAsia" w:hAnsiTheme="minorEastAsia" w:eastAsiaTheme="minorEastAsia" w:cstheme="minorEastAsia"/>
                <w:sz w:val="18"/>
                <w:szCs w:val="18"/>
                <w:highlight w:val="none"/>
              </w:rPr>
            </w:pPr>
          </w:p>
        </w:tc>
      </w:tr>
    </w:tbl>
    <w:p w14:paraId="588A04C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45E04E3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6DCA1E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67F9E4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2BBD9B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80107D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E9AF47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0660A27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142933F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1A085B8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3E38C0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06CD86F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F3E3EA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437A962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49D765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868BEC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E1B5C3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附件11 附图</w:t>
      </w:r>
    </w:p>
    <w:p w14:paraId="38DC46D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提供详细的投标设备图纸，并另行装订成册，图纸清册、数量和格式见招标文件附件3要求。</w:t>
      </w:r>
    </w:p>
    <w:p w14:paraId="606D62C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E2FDA0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6485DC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49746D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4635A7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081413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8D158C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CEB536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13FF7B7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986F42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355622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F84B32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64D4DB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8564AD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33C782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6EFFB8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5B4EDF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3AD3C1F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E53B57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54C5E6A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2FC60B5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73F415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7176866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0C95233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4"/>
          <w:szCs w:val="24"/>
          <w:highlight w:val="none"/>
        </w:rPr>
      </w:pPr>
    </w:p>
    <w:p w14:paraId="674DF9E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附件12 性能考核条款</w:t>
      </w:r>
    </w:p>
    <w:p w14:paraId="5F825B6E">
      <w:pPr>
        <w:spacing w:line="360" w:lineRule="auto"/>
        <w:ind w:firstLine="489" w:firstLineChars="204"/>
        <w:rPr>
          <w:rFonts w:hAnsi="宋体" w:cs="宋体"/>
          <w:highlight w:val="none"/>
        </w:rPr>
      </w:pPr>
      <w:r>
        <w:rPr>
          <w:rFonts w:hint="eastAsia" w:hAnsi="宋体" w:cs="宋体"/>
          <w:highlight w:val="none"/>
        </w:rPr>
        <w:t>若灯具的现场运行试验表明达不到保证值，该设备的合同价格应按下列条款规定的数值予以罚款处理。</w:t>
      </w:r>
    </w:p>
    <w:p w14:paraId="207CA989">
      <w:pPr>
        <w:spacing w:line="360" w:lineRule="auto"/>
        <w:rPr>
          <w:rFonts w:hAnsi="宋体" w:cs="宋体"/>
          <w:highlight w:val="none"/>
        </w:rPr>
      </w:pPr>
      <w:r>
        <w:rPr>
          <w:rFonts w:hint="eastAsia" w:hAnsi="宋体" w:cs="宋体"/>
          <w:highlight w:val="none"/>
        </w:rPr>
        <w:t>（1）防护防腐等级不满足要求，每套按</w:t>
      </w:r>
      <w:r>
        <w:rPr>
          <w:rFonts w:hint="eastAsia" w:hAnsi="宋体" w:cs="宋体"/>
          <w:highlight w:val="none"/>
          <w:u w:val="single"/>
        </w:rPr>
        <w:t>100</w:t>
      </w:r>
      <w:r>
        <w:rPr>
          <w:rFonts w:hint="eastAsia" w:hAnsi="宋体" w:cs="宋体"/>
          <w:highlight w:val="none"/>
        </w:rPr>
        <w:t>元人民币予以罚款。</w:t>
      </w:r>
    </w:p>
    <w:p w14:paraId="1E9A5BBC">
      <w:pPr>
        <w:spacing w:line="360" w:lineRule="auto"/>
        <w:rPr>
          <w:rFonts w:hAnsi="宋体" w:cs="宋体"/>
          <w:highlight w:val="none"/>
        </w:rPr>
      </w:pPr>
      <w:r>
        <w:rPr>
          <w:rFonts w:hint="eastAsia" w:hAnsi="宋体" w:cs="宋体"/>
          <w:highlight w:val="none"/>
        </w:rPr>
        <w:t>（2）显色指数每降低</w:t>
      </w:r>
      <w:r>
        <w:rPr>
          <w:rFonts w:hint="eastAsia" w:hAnsi="宋体" w:cs="宋体"/>
          <w:highlight w:val="none"/>
          <w:u w:val="single"/>
        </w:rPr>
        <w:t>5%</w:t>
      </w:r>
      <w:r>
        <w:rPr>
          <w:rFonts w:hint="eastAsia" w:hAnsi="宋体" w:cs="宋体"/>
          <w:highlight w:val="none"/>
        </w:rPr>
        <w:t>，每套按</w:t>
      </w:r>
      <w:r>
        <w:rPr>
          <w:rFonts w:hint="eastAsia" w:hAnsi="宋体" w:cs="宋体"/>
          <w:highlight w:val="none"/>
          <w:u w:val="single"/>
        </w:rPr>
        <w:t>100</w:t>
      </w:r>
      <w:r>
        <w:rPr>
          <w:rFonts w:hint="eastAsia" w:hAnsi="宋体" w:cs="宋体"/>
          <w:highlight w:val="none"/>
        </w:rPr>
        <w:t>元人民币予以罚款。</w:t>
      </w:r>
    </w:p>
    <w:p w14:paraId="159842F9">
      <w:pPr>
        <w:spacing w:line="360" w:lineRule="auto"/>
        <w:rPr>
          <w:rFonts w:hAnsi="宋体" w:cs="宋体"/>
          <w:highlight w:val="none"/>
        </w:rPr>
      </w:pPr>
      <w:r>
        <w:rPr>
          <w:rFonts w:hint="eastAsia" w:hAnsi="宋体" w:cs="宋体"/>
          <w:highlight w:val="none"/>
        </w:rPr>
        <w:t>（3）24小时亮灯情况下，常温情况下，灯壳温度：</w:t>
      </w:r>
      <w:r>
        <w:rPr>
          <w:rFonts w:hint="eastAsia" w:hAnsi="宋体" w:cs="宋体"/>
          <w:highlight w:val="none"/>
          <w:u w:val="single"/>
        </w:rPr>
        <w:t>≤50℃</w:t>
      </w:r>
      <w:r>
        <w:rPr>
          <w:rFonts w:hint="eastAsia" w:hAnsi="宋体" w:cs="宋体"/>
          <w:highlight w:val="none"/>
        </w:rPr>
        <w:t>，每提高3℃，每套按</w:t>
      </w:r>
      <w:r>
        <w:rPr>
          <w:rFonts w:hint="eastAsia" w:hAnsi="宋体" w:cs="宋体"/>
          <w:highlight w:val="none"/>
          <w:u w:val="single"/>
        </w:rPr>
        <w:t>200</w:t>
      </w:r>
      <w:r>
        <w:rPr>
          <w:rFonts w:hint="eastAsia" w:hAnsi="宋体" w:cs="宋体"/>
          <w:highlight w:val="none"/>
        </w:rPr>
        <w:t>元人民币予以罚款。</w:t>
      </w:r>
    </w:p>
    <w:p w14:paraId="5969688B">
      <w:pPr>
        <w:spacing w:line="360" w:lineRule="auto"/>
        <w:rPr>
          <w:rFonts w:ascii="宋体" w:hAnsi="宋体" w:cs="宋体"/>
          <w:highlight w:val="none"/>
        </w:rPr>
      </w:pPr>
      <w:r>
        <w:rPr>
          <w:rFonts w:hint="eastAsia" w:ascii="宋体" w:hAnsi="宋体" w:cs="宋体"/>
          <w:highlight w:val="none"/>
        </w:rPr>
        <w:t>（4）现场照度实测未达到设计规范</w:t>
      </w:r>
      <w:r>
        <w:rPr>
          <w:rFonts w:ascii="宋体" w:hAnsi="宋体"/>
          <w:bCs/>
          <w:color w:val="333333"/>
          <w:kern w:val="36"/>
          <w:highlight w:val="none"/>
        </w:rPr>
        <w:t>DL/T 5390</w:t>
      </w:r>
      <w:r>
        <w:rPr>
          <w:rFonts w:hint="eastAsia" w:ascii="宋体" w:hAnsi="宋体"/>
          <w:bCs/>
          <w:color w:val="333333"/>
          <w:kern w:val="36"/>
          <w:highlight w:val="none"/>
        </w:rPr>
        <w:t>《</w:t>
      </w:r>
      <w:r>
        <w:rPr>
          <w:rFonts w:ascii="宋体" w:hAnsi="宋体"/>
          <w:bCs/>
          <w:color w:val="333333"/>
          <w:kern w:val="36"/>
          <w:highlight w:val="none"/>
        </w:rPr>
        <w:t>火力发电厂和变电站照明设计技术规定</w:t>
      </w:r>
      <w:r>
        <w:rPr>
          <w:rFonts w:hint="eastAsia" w:ascii="宋体" w:hAnsi="宋体"/>
          <w:bCs/>
          <w:color w:val="333333"/>
          <w:kern w:val="36"/>
          <w:highlight w:val="none"/>
        </w:rPr>
        <w:t>》</w:t>
      </w:r>
      <w:r>
        <w:rPr>
          <w:rFonts w:hint="eastAsia" w:ascii="宋体" w:hAnsi="宋体" w:cs="宋体"/>
          <w:highlight w:val="none"/>
        </w:rPr>
        <w:t>要求的，每处扣合同金额</w:t>
      </w:r>
      <w:r>
        <w:rPr>
          <w:rFonts w:hint="eastAsia" w:ascii="宋体" w:hAnsi="宋体" w:cs="宋体"/>
          <w:highlight w:val="none"/>
          <w:u w:val="single"/>
        </w:rPr>
        <w:t>1</w:t>
      </w:r>
      <w:r>
        <w:rPr>
          <w:rFonts w:hint="eastAsia" w:ascii="宋体" w:hAnsi="宋体" w:cs="宋体"/>
          <w:highlight w:val="none"/>
        </w:rPr>
        <w:t>%。</w:t>
      </w:r>
    </w:p>
    <w:p w14:paraId="2D4E1D40">
      <w:pPr>
        <w:spacing w:line="360" w:lineRule="auto"/>
        <w:rPr>
          <w:rFonts w:ascii="宋体" w:hAnsi="宋体"/>
          <w:highlight w:val="none"/>
        </w:rPr>
      </w:pPr>
      <w:r>
        <w:rPr>
          <w:rFonts w:hint="eastAsia" w:ascii="宋体" w:hAnsi="宋体"/>
          <w:highlight w:val="none"/>
        </w:rPr>
        <w:t>（</w:t>
      </w:r>
      <w:r>
        <w:rPr>
          <w:rFonts w:ascii="宋体" w:hAnsi="宋体"/>
          <w:highlight w:val="none"/>
        </w:rPr>
        <w:t>5</w:t>
      </w:r>
      <w:r>
        <w:rPr>
          <w:rFonts w:hint="eastAsia" w:ascii="宋体" w:hAnsi="宋体"/>
          <w:highlight w:val="none"/>
        </w:rPr>
        <w:t>）</w:t>
      </w:r>
      <w:r>
        <w:rPr>
          <w:rFonts w:hint="eastAsia" w:ascii="宋体" w:hAnsi="宋体" w:cs="宋体"/>
          <w:highlight w:val="none"/>
        </w:rPr>
        <w:t>技术参数与本技术条件不符，且未在投标</w:t>
      </w:r>
      <w:bookmarkStart w:id="30" w:name="_GoBack"/>
      <w:bookmarkEnd w:id="30"/>
      <w:r>
        <w:rPr>
          <w:rFonts w:hint="eastAsia" w:ascii="宋体" w:hAnsi="宋体" w:cs="宋体"/>
          <w:highlight w:val="none"/>
        </w:rPr>
        <w:t>中说明，每</w:t>
      </w:r>
      <w:r>
        <w:rPr>
          <w:rFonts w:hint="eastAsia" w:ascii="宋体" w:hAnsi="宋体" w:cs="宋体"/>
          <w:highlight w:val="none"/>
          <w:lang w:eastAsia="zh-CN"/>
        </w:rPr>
        <w:t>低于</w:t>
      </w:r>
      <w:r>
        <w:rPr>
          <w:rFonts w:hint="eastAsia" w:ascii="宋体" w:hAnsi="宋体" w:cs="宋体"/>
          <w:highlight w:val="none"/>
        </w:rPr>
        <w:t>一处</w:t>
      </w:r>
      <w:r>
        <w:rPr>
          <w:rFonts w:ascii="宋体" w:hAnsi="宋体"/>
          <w:highlight w:val="none"/>
        </w:rPr>
        <w:t>(</w:t>
      </w:r>
      <w:r>
        <w:rPr>
          <w:rFonts w:hint="eastAsia" w:ascii="宋体" w:hAnsi="宋体" w:cs="宋体"/>
          <w:highlight w:val="none"/>
        </w:rPr>
        <w:t>光衰、照度、防腐等级、防护等级、电磁干扰</w:t>
      </w:r>
      <w:r>
        <w:rPr>
          <w:rFonts w:ascii="宋体" w:hAnsi="宋体"/>
          <w:highlight w:val="none"/>
        </w:rPr>
        <w:t>)</w:t>
      </w:r>
      <w:r>
        <w:rPr>
          <w:rFonts w:hint="eastAsia" w:ascii="宋体" w:hAnsi="宋体" w:cs="宋体"/>
          <w:highlight w:val="none"/>
        </w:rPr>
        <w:t>扣罚</w:t>
      </w:r>
      <w:r>
        <w:rPr>
          <w:rFonts w:hint="eastAsia" w:ascii="宋体" w:hAnsi="宋体"/>
          <w:highlight w:val="none"/>
          <w:u w:val="single"/>
        </w:rPr>
        <w:t>1</w:t>
      </w:r>
      <w:r>
        <w:rPr>
          <w:rFonts w:ascii="宋体" w:hAnsi="宋体"/>
          <w:highlight w:val="none"/>
        </w:rPr>
        <w:t>%</w:t>
      </w:r>
      <w:r>
        <w:rPr>
          <w:rFonts w:hint="eastAsia" w:ascii="宋体" w:hAnsi="宋体" w:cs="宋体"/>
          <w:highlight w:val="none"/>
        </w:rPr>
        <w:t>合同金额。</w:t>
      </w:r>
    </w:p>
    <w:p w14:paraId="16DC50D2">
      <w:pPr>
        <w:spacing w:line="360" w:lineRule="auto"/>
        <w:rPr>
          <w:rFonts w:ascii="宋体" w:hAnsi="宋体" w:cs="宋体"/>
          <w:highlight w:val="none"/>
        </w:rPr>
      </w:pPr>
      <w:r>
        <w:rPr>
          <w:rFonts w:hint="eastAsia" w:ascii="宋体" w:hAnsi="宋体" w:cs="宋体"/>
          <w:highlight w:val="none"/>
        </w:rPr>
        <w:t>（6）设备到货后光源和电源模块经检测不符合要求，考核</w:t>
      </w:r>
      <w:r>
        <w:rPr>
          <w:rFonts w:hint="eastAsia" w:ascii="宋体" w:hAnsi="宋体" w:cs="宋体"/>
          <w:highlight w:val="none"/>
          <w:u w:val="single"/>
        </w:rPr>
        <w:t>200</w:t>
      </w:r>
      <w:r>
        <w:rPr>
          <w:rFonts w:hint="eastAsia" w:ascii="宋体" w:hAnsi="宋体" w:cs="宋体"/>
          <w:highlight w:val="none"/>
        </w:rPr>
        <w:t>元/套，并要求厂家进行更换。</w:t>
      </w:r>
    </w:p>
    <w:p w14:paraId="57A17E90">
      <w:pPr>
        <w:spacing w:line="360" w:lineRule="auto"/>
        <w:ind w:firstLine="439" w:firstLineChars="183"/>
        <w:rPr>
          <w:rFonts w:hAnsi="宋体" w:cs="宋体"/>
          <w:highlight w:val="none"/>
        </w:rPr>
      </w:pPr>
      <w:r>
        <w:rPr>
          <w:rFonts w:hint="eastAsia" w:hAnsi="宋体" w:cs="宋体"/>
          <w:highlight w:val="none"/>
        </w:rPr>
        <w:t>合同设备按照上述累计计算的最大违约金总额将不超过合同设备价格的</w:t>
      </w:r>
      <w:r>
        <w:rPr>
          <w:rFonts w:hint="eastAsia" w:hAnsi="宋体" w:cs="宋体"/>
          <w:highlight w:val="none"/>
          <w:u w:val="single"/>
        </w:rPr>
        <w:t>30</w:t>
      </w:r>
      <w:r>
        <w:rPr>
          <w:rFonts w:hint="eastAsia" w:hAnsi="宋体" w:cs="宋体"/>
          <w:highlight w:val="none"/>
        </w:rPr>
        <w:t>%。卖方支付最后一笔违约金或者卖方提供的替换件被买方接受之日，即为买方承认合同设备可以签发初步验收证书之日。</w:t>
      </w:r>
    </w:p>
    <w:p w14:paraId="4B416E03">
      <w:pPr>
        <w:spacing w:line="360" w:lineRule="auto"/>
        <w:ind w:firstLine="480" w:firstLineChars="200"/>
        <w:rPr>
          <w:rFonts w:hint="eastAsia" w:ascii="宋体" w:hAnsi="宋体"/>
          <w:highlight w:val="none"/>
        </w:rPr>
        <w:sectPr>
          <w:footerReference r:id="rId5" w:type="default"/>
          <w:endnotePr>
            <w:numFmt w:val="decimal"/>
          </w:endnotePr>
          <w:pgSz w:w="11907" w:h="16840"/>
          <w:pgMar w:top="1418" w:right="1531" w:bottom="1418" w:left="1701" w:header="851" w:footer="1021" w:gutter="0"/>
          <w:pgNumType w:fmt="decimal" w:start="1"/>
          <w:cols w:space="720" w:num="1"/>
          <w:docGrid w:linePitch="326" w:charSpace="0"/>
        </w:sectPr>
      </w:pPr>
      <w:r>
        <w:rPr>
          <w:rFonts w:hint="eastAsia" w:hAnsi="宋体" w:cs="宋体"/>
          <w:highlight w:val="none"/>
        </w:rPr>
        <w:t>如合同设备在保证期内发现属卖方责任的十分严重的缺陷（如设备性能达不到要求）其保证期将自该缺陷修正后开始重新计算一年。</w:t>
      </w:r>
      <w:r>
        <w:rPr>
          <w:rFonts w:hint="eastAsia"/>
          <w:highlight w:val="none"/>
        </w:rPr>
        <w:t>。</w:t>
      </w:r>
    </w:p>
    <w:p w14:paraId="4C3AF0B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 xml:space="preserve">附件13 </w:t>
      </w:r>
      <w:r>
        <w:rPr>
          <w:rFonts w:hint="eastAsia" w:ascii="宋体" w:hAnsi="宋体" w:cs="宋体"/>
          <w:b/>
          <w:bCs/>
          <w:sz w:val="28"/>
          <w:szCs w:val="28"/>
          <w:highlight w:val="none"/>
          <w:lang w:eastAsia="zh-CN"/>
        </w:rPr>
        <w:t>投标人</w:t>
      </w:r>
      <w:r>
        <w:rPr>
          <w:rFonts w:hint="eastAsia" w:ascii="宋体" w:hAnsi="宋体" w:eastAsia="宋体" w:cs="宋体"/>
          <w:b/>
          <w:bCs/>
          <w:sz w:val="28"/>
          <w:szCs w:val="28"/>
          <w:highlight w:val="none"/>
        </w:rPr>
        <w:t>需要说明的其他问题（技术特点、质保体系及售后服务承诺等）</w:t>
      </w:r>
    </w:p>
    <w:p w14:paraId="340B01D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提供在专业技术、设备设施、人员组织、业绩经验等方面具有设计、制造、质量控制、经营管理的相应的资格和能力的资料。</w:t>
      </w:r>
    </w:p>
    <w:p w14:paraId="27FB3B8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提供完善的技术培训方案。</w:t>
      </w:r>
    </w:p>
    <w:p w14:paraId="70D9E65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提供的售后服务保障说明。</w:t>
      </w:r>
    </w:p>
    <w:p w14:paraId="048AB58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AAF9FF5">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494E58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E4AA88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0EC8617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9D68A2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50F5FC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073BEA5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74CD1D09">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E5C967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15962C8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218B700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62B17D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E38D2B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0407F5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74BC56C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1542C74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2C5BD04">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0D4F5D6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A863C76">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182344A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附件14 业绩及用户评价</w:t>
      </w:r>
    </w:p>
    <w:p w14:paraId="32C12FD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 业绩（同类型五年内投运的设备业绩）。</w:t>
      </w:r>
    </w:p>
    <w:p w14:paraId="0616FC3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 用户评价。</w:t>
      </w:r>
    </w:p>
    <w:p w14:paraId="5147AF4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732CD2F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1D63EDF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321B3E20">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27F0D0B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274991D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7B9D914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358A31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3A1471A3">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335159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848701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DA2643E">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B116448">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40AF44F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30D9C912">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B9F47A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2DE4B28D">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6931437A">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8AC833F">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26B30D3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0E9EAF7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0D8AF0D1">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58544167">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p>
    <w:p w14:paraId="7525E85B">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附件15 订货情况及排产计划说明</w:t>
      </w:r>
    </w:p>
    <w:p w14:paraId="7366D1CC">
      <w:pPr>
        <w:kinsoku/>
        <w:wordWrap/>
        <w:overflowPunct/>
        <w:topLinePunct w:val="0"/>
        <w:autoSpaceDE/>
        <w:autoSpaceDN/>
        <w:bidi w:val="0"/>
        <w:adjustRightInd/>
        <w:spacing w:line="360" w:lineRule="auto"/>
        <w:ind w:left="0" w:firstLine="0" w:firstLineChars="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w:t>
      </w:r>
      <w:r>
        <w:rPr>
          <w:rFonts w:hint="eastAsia" w:ascii="宋体" w:hAnsi="宋体" w:cs="宋体"/>
          <w:b w:val="0"/>
          <w:bCs w:val="0"/>
          <w:sz w:val="24"/>
          <w:szCs w:val="24"/>
          <w:highlight w:val="none"/>
          <w:lang w:eastAsia="zh-CN"/>
        </w:rPr>
        <w:t>投标人</w:t>
      </w:r>
      <w:r>
        <w:rPr>
          <w:rFonts w:hint="eastAsia" w:ascii="宋体" w:hAnsi="宋体" w:eastAsia="宋体" w:cs="宋体"/>
          <w:b w:val="0"/>
          <w:bCs w:val="0"/>
          <w:sz w:val="24"/>
          <w:szCs w:val="24"/>
          <w:highlight w:val="none"/>
        </w:rPr>
        <w:t>填写）</w:t>
      </w:r>
    </w:p>
    <w:p w14:paraId="19F20078">
      <w:pPr>
        <w:rPr>
          <w:highlight w:val="none"/>
        </w:rPr>
      </w:pPr>
    </w:p>
    <w:sectPr>
      <w:headerReference r:id="rId6" w:type="default"/>
      <w:footerReference r:id="rId7" w:type="default"/>
      <w:pgSz w:w="11906" w:h="16838"/>
      <w:pgMar w:top="1440" w:right="1440" w:bottom="1440" w:left="1440" w:header="720" w:footer="720"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918A">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85132">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085132">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DA0B">
    <w:r>
      <w:rPr>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40EF86D">
                          <w:pPr>
                            <w:pStyle w:val="8"/>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740EF86D">
                    <w:pPr>
                      <w:pStyle w:val="8"/>
                    </w:pPr>
                    <w:r>
                      <w:fldChar w:fldCharType="begin"/>
                    </w:r>
                    <w:r>
                      <w:instrText xml:space="preserve"> PAGE  \* MERGEFORMAT </w:instrText>
                    </w:r>
                    <w:r>
                      <w:fldChar w:fldCharType="separate"/>
                    </w:r>
                    <w:r>
                      <w:t>3</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24807">
    <w:pPr>
      <w:ind w:left="0" w:leftChars="0" w:firstLine="0" w:firstLineChars="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OGU1ZTEzNzUzZmRmYjk5ZTQ5NGFjMzMwNTYzMDgifQ=="/>
  </w:docVars>
  <w:rsids>
    <w:rsidRoot w:val="00000000"/>
    <w:rsid w:val="00675C59"/>
    <w:rsid w:val="02A44DE3"/>
    <w:rsid w:val="08292EF0"/>
    <w:rsid w:val="085413EE"/>
    <w:rsid w:val="08C21DEA"/>
    <w:rsid w:val="0BC536DC"/>
    <w:rsid w:val="102F5819"/>
    <w:rsid w:val="10AB0092"/>
    <w:rsid w:val="10B20223"/>
    <w:rsid w:val="128556B0"/>
    <w:rsid w:val="12B94EC3"/>
    <w:rsid w:val="1389797B"/>
    <w:rsid w:val="149B5DB4"/>
    <w:rsid w:val="15950AB7"/>
    <w:rsid w:val="18DF42F7"/>
    <w:rsid w:val="1E613ECB"/>
    <w:rsid w:val="1F785988"/>
    <w:rsid w:val="21D21888"/>
    <w:rsid w:val="255D7BDB"/>
    <w:rsid w:val="28D02A86"/>
    <w:rsid w:val="2C661368"/>
    <w:rsid w:val="308333A6"/>
    <w:rsid w:val="31DB1809"/>
    <w:rsid w:val="31DC148E"/>
    <w:rsid w:val="35B54F2D"/>
    <w:rsid w:val="36D65004"/>
    <w:rsid w:val="3C985175"/>
    <w:rsid w:val="3CB26C3B"/>
    <w:rsid w:val="3D8B4B09"/>
    <w:rsid w:val="3D9E965A"/>
    <w:rsid w:val="3E9B10C2"/>
    <w:rsid w:val="3FC0376B"/>
    <w:rsid w:val="42D2752E"/>
    <w:rsid w:val="470551D8"/>
    <w:rsid w:val="4A5F5A11"/>
    <w:rsid w:val="51FB670C"/>
    <w:rsid w:val="521108B0"/>
    <w:rsid w:val="5C001B87"/>
    <w:rsid w:val="5FCD77C5"/>
    <w:rsid w:val="63473BF7"/>
    <w:rsid w:val="66BB2698"/>
    <w:rsid w:val="678A786E"/>
    <w:rsid w:val="6AD964AE"/>
    <w:rsid w:val="6BFED9CE"/>
    <w:rsid w:val="6CFD4104"/>
    <w:rsid w:val="6ED572F1"/>
    <w:rsid w:val="6EF53CE0"/>
    <w:rsid w:val="70AF47ED"/>
    <w:rsid w:val="70D97BAF"/>
    <w:rsid w:val="73160514"/>
    <w:rsid w:val="73F94E0B"/>
    <w:rsid w:val="77FFD9FB"/>
    <w:rsid w:val="78EF46BD"/>
    <w:rsid w:val="7D731CBE"/>
    <w:rsid w:val="7DEC6A28"/>
    <w:rsid w:val="7EDD43BE"/>
    <w:rsid w:val="7F633A0C"/>
    <w:rsid w:val="7F9E2184"/>
    <w:rsid w:val="8FFFE916"/>
    <w:rsid w:val="CBDFBE05"/>
    <w:rsid w:val="DCBED862"/>
    <w:rsid w:val="EF2FC719"/>
    <w:rsid w:val="FEBFB64B"/>
    <w:rsid w:val="FFE390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360" w:lineRule="auto"/>
      <w:ind w:firstLine="480"/>
    </w:pPr>
    <w:rPr>
      <w:rFonts w:ascii="Times New Roman" w:hAnsi="Times New Roman" w:eastAsia="宋体" w:cs="Times New Roman"/>
      <w:sz w:val="24"/>
      <w:szCs w:val="22"/>
    </w:rPr>
  </w:style>
  <w:style w:type="paragraph" w:styleId="2">
    <w:name w:val="heading 1"/>
    <w:basedOn w:val="1"/>
    <w:next w:val="1"/>
    <w:qFormat/>
    <w:uiPriority w:val="0"/>
    <w:pPr>
      <w:keepNext/>
      <w:keepLines/>
      <w:pageBreakBefore/>
      <w:spacing w:before="400" w:after="200"/>
      <w:ind w:firstLine="0"/>
      <w:outlineLvl w:val="0"/>
    </w:pPr>
    <w:rPr>
      <w:rFonts w:ascii="Times New Roman" w:hAnsi="Times New Roman" w:eastAsia="黑体"/>
      <w:b/>
      <w:sz w:val="28"/>
    </w:rPr>
  </w:style>
  <w:style w:type="paragraph" w:styleId="3">
    <w:name w:val="heading 2"/>
    <w:basedOn w:val="1"/>
    <w:next w:val="1"/>
    <w:qFormat/>
    <w:uiPriority w:val="0"/>
    <w:pPr>
      <w:keepNext/>
      <w:keepLines/>
      <w:spacing w:before="300" w:after="120"/>
      <w:ind w:firstLine="0"/>
      <w:outlineLvl w:val="1"/>
    </w:pPr>
    <w:rPr>
      <w:rFonts w:ascii="Times New Roman" w:hAnsi="Times New Roman" w:eastAsia="黑体"/>
      <w:b/>
      <w:sz w:val="24"/>
    </w:rPr>
  </w:style>
  <w:style w:type="character" w:default="1" w:styleId="15">
    <w:name w:val="Default Paragraph Font"/>
    <w:qFormat/>
    <w:uiPriority w:val="0"/>
  </w:style>
  <w:style w:type="table" w:default="1" w:styleId="14">
    <w:name w:val="Normal Table"/>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Times New Roman" w:hAnsi="Times New Roman" w:eastAsia="宋体" w:cs="Times New Roman"/>
    </w:rPr>
  </w:style>
  <w:style w:type="paragraph" w:styleId="6">
    <w:name w:val="Body Text Indent"/>
    <w:basedOn w:val="1"/>
    <w:next w:val="7"/>
    <w:qFormat/>
    <w:uiPriority w:val="0"/>
    <w:pPr>
      <w:adjustRightInd w:val="0"/>
      <w:spacing w:line="360" w:lineRule="auto"/>
      <w:ind w:firstLine="480"/>
      <w:jc w:val="left"/>
      <w:textAlignment w:val="baseline"/>
    </w:pPr>
    <w:rPr>
      <w:rFonts w:ascii="宋体" w:hAnsi="Times New Roman" w:eastAsia="宋体" w:cs="Times New Roman"/>
      <w:color w:val="0000FF"/>
      <w:kern w:val="0"/>
      <w:sz w:val="24"/>
      <w:szCs w:val="20"/>
    </w:rPr>
  </w:style>
  <w:style w:type="paragraph" w:customStyle="1" w:styleId="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pPr>
      <w:tabs>
        <w:tab w:val="right" w:leader="dot" w:pos="9072"/>
      </w:tabs>
      <w:spacing w:before="120" w:after="60"/>
      <w:ind w:firstLine="0"/>
    </w:pPr>
    <w:rPr>
      <w:b/>
      <w:sz w:val="24"/>
    </w:rPr>
  </w:style>
  <w:style w:type="paragraph" w:styleId="11">
    <w:name w:val="toc 6"/>
    <w:basedOn w:val="1"/>
    <w:next w:val="1"/>
    <w:qFormat/>
    <w:uiPriority w:val="99"/>
    <w:pPr>
      <w:ind w:left="1400"/>
      <w:jc w:val="left"/>
    </w:pPr>
    <w:rPr>
      <w:sz w:val="18"/>
      <w:szCs w:val="20"/>
    </w:rPr>
  </w:style>
  <w:style w:type="paragraph" w:styleId="12">
    <w:name w:val="toc 2"/>
    <w:basedOn w:val="1"/>
    <w:next w:val="1"/>
    <w:qFormat/>
    <w:uiPriority w:val="0"/>
    <w:pPr>
      <w:tabs>
        <w:tab w:val="right" w:leader="dot" w:pos="9072"/>
      </w:tabs>
      <w:spacing w:before="60" w:after="40"/>
      <w:ind w:firstLine="0"/>
    </w:pPr>
    <w:rPr>
      <w:sz w:val="24"/>
    </w:rPr>
  </w:style>
  <w:style w:type="paragraph" w:styleId="13">
    <w:name w:val="Body Text First Indent"/>
    <w:basedOn w:val="5"/>
    <w:next w:val="11"/>
    <w:qFormat/>
    <w:uiPriority w:val="99"/>
    <w:pPr>
      <w:ind w:firstLine="420" w:firstLineChars="100"/>
    </w:pPr>
  </w:style>
  <w:style w:type="character" w:customStyle="1" w:styleId="16">
    <w:name w:val="font1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5132</Words>
  <Characters>6358</Characters>
  <Lines>1</Lines>
  <Paragraphs>1</Paragraphs>
  <TotalTime>0</TotalTime>
  <ScaleCrop>false</ScaleCrop>
  <LinksUpToDate>false</LinksUpToDate>
  <CharactersWithSpaces>6765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2026-04-20T17:23:00Z</dcterms:created>
  <dc:creator>zj181</dc:creator>
  <cp:lastModifiedBy>zhujuanli</cp:lastModifiedBy>
  <cp:lastPrinted>2026-04-22T11:12:00Z</cp:lastPrinted>
  <dcterms:modified xsi:type="dcterms:W3CDTF">2026-05-20T02:53:28Z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eyJoZGlkIjoiODM0MGFkZTRkMzg2NjczYzYwOTg4N2M0YzQxN2E0NTYiLCJ1c2VySWQiOiIxNTcyOTU1NTE1In0=</vt:lpwstr>
  </property>
  <property fmtid="{D5CDD505-2E9C-101B-9397-08002B2CF9AE}" pid="3" name="KSOProductBuildVer">
    <vt:lpwstr>2052-12.1.0.25865</vt:lpwstr>
  </property>
  <property fmtid="{D5CDD505-2E9C-101B-9397-08002B2CF9AE}" pid="4" name="ICV">
    <vt:lpwstr>6E31E350EFF62AE5E549056A1F4A865E_43</vt:lpwstr>
  </property>
</Properties>
</file>