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41E455">
      <w:pPr>
        <w:spacing w:line="500" w:lineRule="exact"/>
        <w:rPr>
          <w:b/>
          <w:sz w:val="44"/>
          <w:szCs w:val="44"/>
          <w:highlight w:val="none"/>
        </w:rPr>
      </w:pPr>
    </w:p>
    <w:p w14:paraId="5DE17A27">
      <w:pPr>
        <w:snapToGrid w:val="0"/>
        <w:spacing w:line="360" w:lineRule="auto"/>
        <w:ind w:left="883" w:hanging="883" w:hangingChars="200"/>
        <w:jc w:val="center"/>
        <w:rPr>
          <w:b/>
          <w:sz w:val="44"/>
          <w:highlight w:val="none"/>
        </w:rPr>
      </w:pPr>
      <w:bookmarkStart w:id="0" w:name="_Hlt55640413"/>
      <w:bookmarkEnd w:id="0"/>
      <w:bookmarkStart w:id="1" w:name="_Hlt44484371"/>
      <w:bookmarkEnd w:id="1"/>
      <w:bookmarkStart w:id="2" w:name="_第十八条__合同生效"/>
      <w:bookmarkEnd w:id="2"/>
      <w:bookmarkStart w:id="3" w:name="_Hlt44484361"/>
      <w:bookmarkEnd w:id="3"/>
      <w:bookmarkStart w:id="4" w:name="_Hlt48654370"/>
      <w:bookmarkEnd w:id="4"/>
      <w:bookmarkStart w:id="5" w:name="_Hlt40848094"/>
      <w:bookmarkEnd w:id="5"/>
      <w:bookmarkStart w:id="6" w:name="_Hlt40848148"/>
      <w:bookmarkEnd w:id="6"/>
      <w:bookmarkStart w:id="7" w:name="_Hlt40848098"/>
      <w:bookmarkEnd w:id="7"/>
      <w:bookmarkStart w:id="8" w:name="_Hlt40848088"/>
      <w:bookmarkEnd w:id="8"/>
      <w:bookmarkStart w:id="9" w:name="_Hlt41808390"/>
      <w:bookmarkEnd w:id="9"/>
      <w:bookmarkStart w:id="10" w:name="_Hlt40848084"/>
      <w:bookmarkEnd w:id="10"/>
      <w:bookmarkStart w:id="11" w:name="_Hlt40848125"/>
      <w:bookmarkEnd w:id="11"/>
      <w:bookmarkStart w:id="12" w:name="_Hlt55911795"/>
      <w:bookmarkEnd w:id="12"/>
      <w:bookmarkStart w:id="13" w:name="_Hlt55807388"/>
      <w:bookmarkEnd w:id="13"/>
      <w:bookmarkStart w:id="14" w:name="_Hlt40848120"/>
      <w:bookmarkEnd w:id="14"/>
      <w:bookmarkStart w:id="15" w:name="_Hlt55804829"/>
      <w:bookmarkEnd w:id="15"/>
      <w:bookmarkStart w:id="16" w:name="_Hlt40848142"/>
      <w:bookmarkEnd w:id="16"/>
      <w:bookmarkStart w:id="17" w:name="_Hlt48654365"/>
      <w:bookmarkEnd w:id="17"/>
      <w:bookmarkStart w:id="18" w:name="_Hlt44484417"/>
      <w:bookmarkEnd w:id="18"/>
      <w:bookmarkStart w:id="19" w:name="_Hlt44484325"/>
      <w:bookmarkEnd w:id="19"/>
      <w:bookmarkStart w:id="20" w:name="_Hlt55804739"/>
      <w:bookmarkEnd w:id="20"/>
      <w:bookmarkStart w:id="21" w:name="_第十九条__其"/>
      <w:bookmarkEnd w:id="21"/>
      <w:bookmarkStart w:id="22" w:name="_Hlt55640406"/>
      <w:bookmarkEnd w:id="22"/>
      <w:bookmarkStart w:id="23" w:name="_Hlt40848145"/>
      <w:bookmarkEnd w:id="23"/>
      <w:bookmarkStart w:id="24" w:name="_Hlt41985953"/>
      <w:bookmarkEnd w:id="24"/>
      <w:bookmarkStart w:id="25" w:name="_Hlt55804809"/>
      <w:bookmarkEnd w:id="25"/>
      <w:bookmarkStart w:id="26" w:name="_Hlt48634033"/>
      <w:bookmarkEnd w:id="26"/>
      <w:bookmarkStart w:id="27" w:name="_Hlt40848108"/>
      <w:bookmarkEnd w:id="27"/>
      <w:bookmarkStart w:id="28" w:name="_Hlt513196623"/>
      <w:bookmarkEnd w:id="28"/>
      <w:bookmarkStart w:id="29" w:name="_Hlt40848131"/>
      <w:bookmarkEnd w:id="29"/>
      <w:bookmarkStart w:id="30" w:name="_Hlt40848103"/>
      <w:bookmarkEnd w:id="30"/>
      <w:bookmarkStart w:id="31" w:name="_Hlt44484386"/>
      <w:bookmarkEnd w:id="31"/>
      <w:bookmarkStart w:id="32" w:name="_Hlt40848112"/>
      <w:bookmarkEnd w:id="32"/>
      <w:bookmarkStart w:id="33" w:name="_Hlt44484376"/>
      <w:bookmarkEnd w:id="33"/>
      <w:bookmarkStart w:id="34" w:name="_Hlt40848117"/>
      <w:bookmarkEnd w:id="34"/>
      <w:bookmarkStart w:id="35" w:name="_Hlt40848137"/>
      <w:bookmarkEnd w:id="35"/>
      <w:bookmarkStart w:id="36" w:name="_Hlt44484356"/>
      <w:bookmarkEnd w:id="36"/>
      <w:bookmarkStart w:id="37" w:name="_Hlt40848151"/>
      <w:bookmarkEnd w:id="37"/>
      <w:bookmarkStart w:id="38" w:name="_Hlt44484366"/>
      <w:bookmarkEnd w:id="38"/>
      <w:bookmarkStart w:id="39" w:name="_Hlt40848091"/>
      <w:bookmarkEnd w:id="39"/>
      <w:bookmarkStart w:id="40" w:name="_Hlt44484380"/>
      <w:bookmarkEnd w:id="40"/>
      <w:bookmarkStart w:id="41" w:name="_Hlt40848183"/>
      <w:bookmarkEnd w:id="41"/>
    </w:p>
    <w:p w14:paraId="2E180BE0">
      <w:pPr>
        <w:spacing w:line="480" w:lineRule="auto"/>
        <w:jc w:val="center"/>
        <w:rPr>
          <w:b/>
          <w:sz w:val="48"/>
          <w:szCs w:val="48"/>
          <w:highlight w:val="none"/>
        </w:rPr>
      </w:pPr>
      <w:bookmarkStart w:id="42" w:name="_Toc100049579"/>
      <w:bookmarkStart w:id="43" w:name="_Toc100059017"/>
      <w:bookmarkStart w:id="44" w:name="_Toc314573786"/>
      <w:r>
        <w:rPr>
          <w:rFonts w:hint="eastAsia"/>
          <w:b/>
          <w:sz w:val="48"/>
          <w:szCs w:val="48"/>
          <w:highlight w:val="none"/>
        </w:rPr>
        <w:t>浙能阿克苏热电有限公司</w:t>
      </w:r>
    </w:p>
    <w:p w14:paraId="6B8C64D1">
      <w:pPr>
        <w:spacing w:line="480" w:lineRule="auto"/>
        <w:jc w:val="center"/>
        <w:rPr>
          <w:b/>
          <w:sz w:val="48"/>
          <w:szCs w:val="48"/>
          <w:highlight w:val="none"/>
        </w:rPr>
      </w:pPr>
      <w:r>
        <w:rPr>
          <w:rFonts w:hint="eastAsia"/>
          <w:b/>
          <w:sz w:val="48"/>
          <w:szCs w:val="48"/>
          <w:highlight w:val="none"/>
        </w:rPr>
        <w:t>制水系统增加一套超滤、一套反渗透</w:t>
      </w:r>
    </w:p>
    <w:p w14:paraId="04049AF8">
      <w:pPr>
        <w:spacing w:line="480" w:lineRule="auto"/>
        <w:jc w:val="center"/>
        <w:rPr>
          <w:b/>
          <w:sz w:val="48"/>
          <w:szCs w:val="48"/>
          <w:highlight w:val="none"/>
        </w:rPr>
      </w:pPr>
      <w:r>
        <w:rPr>
          <w:rFonts w:hint="eastAsia"/>
          <w:b/>
          <w:sz w:val="48"/>
          <w:szCs w:val="48"/>
          <w:highlight w:val="none"/>
        </w:rPr>
        <w:t>装置改造项目</w:t>
      </w:r>
    </w:p>
    <w:p w14:paraId="3FB9C514">
      <w:pPr>
        <w:snapToGrid w:val="0"/>
        <w:spacing w:line="480" w:lineRule="auto"/>
        <w:ind w:left="883" w:hanging="883" w:hangingChars="200"/>
        <w:jc w:val="center"/>
        <w:rPr>
          <w:b/>
          <w:sz w:val="44"/>
          <w:szCs w:val="44"/>
          <w:highlight w:val="none"/>
        </w:rPr>
      </w:pPr>
    </w:p>
    <w:p w14:paraId="54CA77D1">
      <w:pPr>
        <w:pStyle w:val="52"/>
        <w:ind w:left="964" w:hanging="964" w:hangingChars="200"/>
        <w:rPr>
          <w:rFonts w:ascii="Times New Roman" w:hAnsi="Times New Roman" w:eastAsia="宋体" w:cs="Times New Roman"/>
          <w:sz w:val="48"/>
          <w:szCs w:val="48"/>
          <w:highlight w:val="none"/>
        </w:rPr>
      </w:pPr>
    </w:p>
    <w:p w14:paraId="766367D0">
      <w:pPr>
        <w:pStyle w:val="52"/>
        <w:ind w:left="964" w:hanging="964" w:hangingChars="200"/>
        <w:rPr>
          <w:rFonts w:ascii="Times New Roman" w:hAnsi="Times New Roman" w:eastAsia="宋体" w:cs="Times New Roman"/>
          <w:sz w:val="48"/>
          <w:szCs w:val="48"/>
          <w:highlight w:val="none"/>
        </w:rPr>
      </w:pPr>
    </w:p>
    <w:p w14:paraId="5E927D10">
      <w:pPr>
        <w:pStyle w:val="52"/>
        <w:ind w:left="960" w:hanging="960" w:hangingChars="200"/>
        <w:rPr>
          <w:rFonts w:ascii="Times New Roman" w:hAnsi="Times New Roman" w:eastAsia="宋体" w:cs="Times New Roman"/>
          <w:b w:val="0"/>
          <w:sz w:val="48"/>
          <w:szCs w:val="48"/>
          <w:highlight w:val="none"/>
        </w:rPr>
      </w:pPr>
      <w:r>
        <w:rPr>
          <w:rFonts w:hint="eastAsia" w:ascii="Times New Roman" w:hAnsi="Times New Roman" w:eastAsia="宋体" w:cs="Times New Roman"/>
          <w:b w:val="0"/>
          <w:sz w:val="48"/>
          <w:szCs w:val="48"/>
          <w:highlight w:val="none"/>
        </w:rPr>
        <w:t>非标设备</w:t>
      </w:r>
    </w:p>
    <w:p w14:paraId="34D4BB3C">
      <w:pPr>
        <w:pStyle w:val="52"/>
        <w:ind w:left="960" w:hanging="960" w:hangingChars="200"/>
        <w:rPr>
          <w:rFonts w:ascii="Times New Roman" w:hAnsi="Times New Roman" w:eastAsia="宋体" w:cs="Times New Roman"/>
          <w:sz w:val="52"/>
          <w:szCs w:val="52"/>
          <w:highlight w:val="none"/>
        </w:rPr>
      </w:pPr>
      <w:r>
        <w:rPr>
          <w:rFonts w:ascii="Times New Roman" w:hAnsi="Times New Roman" w:eastAsia="宋体" w:cs="Times New Roman"/>
          <w:b w:val="0"/>
          <w:sz w:val="48"/>
          <w:szCs w:val="48"/>
          <w:highlight w:val="none"/>
        </w:rPr>
        <w:t>技术规范书</w:t>
      </w:r>
    </w:p>
    <w:bookmarkEnd w:id="42"/>
    <w:bookmarkEnd w:id="43"/>
    <w:bookmarkEnd w:id="44"/>
    <w:p w14:paraId="601FC044">
      <w:pPr>
        <w:pStyle w:val="52"/>
        <w:ind w:left="1044" w:hanging="1044" w:hangingChars="200"/>
        <w:rPr>
          <w:rFonts w:ascii="Times New Roman" w:hAnsi="Times New Roman" w:eastAsia="宋体" w:cs="Times New Roman"/>
          <w:sz w:val="52"/>
          <w:szCs w:val="24"/>
          <w:highlight w:val="none"/>
        </w:rPr>
      </w:pPr>
    </w:p>
    <w:p w14:paraId="3D1FD7E1">
      <w:pPr>
        <w:pStyle w:val="52"/>
        <w:ind w:left="1044" w:hanging="1044" w:hangingChars="200"/>
        <w:rPr>
          <w:rFonts w:ascii="Times New Roman" w:hAnsi="Times New Roman" w:eastAsia="宋体" w:cs="Times New Roman"/>
          <w:sz w:val="52"/>
          <w:szCs w:val="24"/>
          <w:highlight w:val="none"/>
        </w:rPr>
      </w:pPr>
    </w:p>
    <w:p w14:paraId="09A9B127">
      <w:pPr>
        <w:pStyle w:val="52"/>
        <w:ind w:left="1044" w:hanging="1044" w:hangingChars="200"/>
        <w:rPr>
          <w:rFonts w:ascii="Times New Roman" w:hAnsi="Times New Roman" w:eastAsia="宋体" w:cs="Times New Roman"/>
          <w:sz w:val="52"/>
          <w:szCs w:val="24"/>
          <w:highlight w:val="none"/>
        </w:rPr>
      </w:pPr>
    </w:p>
    <w:p w14:paraId="4DFDD38C">
      <w:pPr>
        <w:pStyle w:val="52"/>
        <w:ind w:left="1044" w:hanging="1044" w:hangingChars="200"/>
        <w:rPr>
          <w:rFonts w:ascii="Times New Roman" w:hAnsi="Times New Roman" w:eastAsia="宋体" w:cs="Times New Roman"/>
          <w:sz w:val="52"/>
          <w:szCs w:val="24"/>
          <w:highlight w:val="none"/>
        </w:rPr>
      </w:pPr>
    </w:p>
    <w:p w14:paraId="1DA98C69">
      <w:pPr>
        <w:pStyle w:val="52"/>
        <w:ind w:left="482" w:hanging="482" w:hangingChars="200"/>
        <w:jc w:val="both"/>
        <w:rPr>
          <w:rFonts w:ascii="Times New Roman" w:hAnsi="Times New Roman" w:eastAsia="宋体" w:cs="Times New Roman"/>
          <w:sz w:val="24"/>
          <w:szCs w:val="24"/>
          <w:highlight w:val="none"/>
        </w:rPr>
      </w:pPr>
    </w:p>
    <w:p w14:paraId="0C7C56DD">
      <w:pPr>
        <w:pStyle w:val="52"/>
        <w:ind w:left="482" w:hanging="482" w:hangingChars="200"/>
        <w:jc w:val="both"/>
        <w:rPr>
          <w:rFonts w:ascii="Times New Roman" w:hAnsi="Times New Roman" w:eastAsia="宋体" w:cs="Times New Roman"/>
          <w:sz w:val="24"/>
          <w:szCs w:val="24"/>
          <w:highlight w:val="none"/>
        </w:rPr>
      </w:pPr>
    </w:p>
    <w:p w14:paraId="191D110A">
      <w:pPr>
        <w:pStyle w:val="52"/>
        <w:ind w:left="482" w:hanging="482" w:hangingChars="200"/>
        <w:jc w:val="both"/>
        <w:rPr>
          <w:rFonts w:ascii="Times New Roman" w:hAnsi="Times New Roman" w:eastAsia="宋体" w:cs="Times New Roman"/>
          <w:sz w:val="24"/>
          <w:szCs w:val="24"/>
          <w:highlight w:val="none"/>
        </w:rPr>
      </w:pPr>
    </w:p>
    <w:p w14:paraId="0B235B51">
      <w:pPr>
        <w:pStyle w:val="18"/>
        <w:ind w:firstLine="1606" w:firstLineChars="500"/>
        <w:jc w:val="both"/>
        <w:outlineLvl w:val="9"/>
        <w:rPr>
          <w:rFonts w:ascii="Times New Roman" w:hAnsi="Times New Roman"/>
          <w:szCs w:val="32"/>
          <w:highlight w:val="none"/>
        </w:rPr>
      </w:pPr>
      <w:r>
        <w:rPr>
          <w:rFonts w:ascii="Times New Roman" w:hAnsi="Times New Roman"/>
          <w:szCs w:val="32"/>
          <w:highlight w:val="none"/>
        </w:rPr>
        <w:t>招标人：</w:t>
      </w:r>
      <w:r>
        <w:rPr>
          <w:rFonts w:hint="eastAsia" w:ascii="Times New Roman" w:hAnsi="Times New Roman"/>
          <w:b w:val="0"/>
          <w:bCs/>
          <w:kern w:val="0"/>
          <w:szCs w:val="22"/>
          <w:highlight w:val="none"/>
          <w:lang w:val="en-US"/>
        </w:rPr>
        <w:t>浙江浙能科技环保集团股份有限公司</w:t>
      </w:r>
    </w:p>
    <w:p w14:paraId="6672EC1E">
      <w:pPr>
        <w:spacing w:line="360" w:lineRule="auto"/>
        <w:ind w:firstLine="1606" w:firstLineChars="500"/>
        <w:rPr>
          <w:b/>
          <w:sz w:val="32"/>
          <w:szCs w:val="32"/>
          <w:highlight w:val="none"/>
        </w:rPr>
      </w:pPr>
      <w:r>
        <w:rPr>
          <w:b/>
          <w:sz w:val="32"/>
          <w:szCs w:val="32"/>
          <w:highlight w:val="none"/>
        </w:rPr>
        <w:t>投标人：</w:t>
      </w:r>
    </w:p>
    <w:p w14:paraId="61D935DB">
      <w:pPr>
        <w:spacing w:line="480" w:lineRule="auto"/>
        <w:jc w:val="center"/>
        <w:rPr>
          <w:b/>
          <w:sz w:val="32"/>
          <w:szCs w:val="32"/>
          <w:highlight w:val="none"/>
        </w:rPr>
      </w:pPr>
      <w:r>
        <w:rPr>
          <w:b/>
          <w:sz w:val="32"/>
          <w:szCs w:val="32"/>
          <w:highlight w:val="none"/>
        </w:rPr>
        <w:t>二〇二</w:t>
      </w:r>
      <w:r>
        <w:rPr>
          <w:rFonts w:hint="eastAsia"/>
          <w:b/>
          <w:sz w:val="32"/>
          <w:szCs w:val="32"/>
          <w:highlight w:val="none"/>
        </w:rPr>
        <w:t>六</w:t>
      </w:r>
      <w:r>
        <w:rPr>
          <w:b/>
          <w:sz w:val="32"/>
          <w:szCs w:val="32"/>
          <w:highlight w:val="none"/>
        </w:rPr>
        <w:t xml:space="preserve">年 </w:t>
      </w:r>
      <w:r>
        <w:rPr>
          <w:rFonts w:hint="eastAsia"/>
          <w:b/>
          <w:sz w:val="32"/>
          <w:szCs w:val="32"/>
          <w:highlight w:val="none"/>
        </w:rPr>
        <w:t>七</w:t>
      </w:r>
      <w:r>
        <w:rPr>
          <w:b/>
          <w:sz w:val="32"/>
          <w:szCs w:val="32"/>
          <w:highlight w:val="none"/>
        </w:rPr>
        <w:t xml:space="preserve"> 月  杭州</w:t>
      </w:r>
    </w:p>
    <w:p w14:paraId="64F3EF2B">
      <w:pPr>
        <w:jc w:val="left"/>
        <w:rPr>
          <w:b/>
          <w:sz w:val="32"/>
          <w:szCs w:val="32"/>
          <w:highlight w:val="none"/>
        </w:rPr>
      </w:pPr>
      <w:r>
        <w:rPr>
          <w:b/>
          <w:sz w:val="32"/>
          <w:szCs w:val="32"/>
          <w:highlight w:val="none"/>
        </w:rPr>
        <w:br w:type="page"/>
      </w:r>
    </w:p>
    <w:p w14:paraId="7D2B31F0">
      <w:pPr>
        <w:spacing w:line="480" w:lineRule="auto"/>
        <w:jc w:val="center"/>
        <w:rPr>
          <w:b/>
          <w:sz w:val="48"/>
          <w:szCs w:val="48"/>
          <w:highlight w:val="none"/>
        </w:rPr>
      </w:pPr>
      <w:r>
        <w:rPr>
          <w:rFonts w:hint="eastAsia"/>
          <w:b/>
          <w:sz w:val="48"/>
          <w:szCs w:val="48"/>
          <w:highlight w:val="none"/>
        </w:rPr>
        <w:t>浙能阿克苏热电有限公司</w:t>
      </w:r>
    </w:p>
    <w:p w14:paraId="7D27C4E9">
      <w:pPr>
        <w:spacing w:line="480" w:lineRule="auto"/>
        <w:jc w:val="center"/>
        <w:rPr>
          <w:b/>
          <w:sz w:val="48"/>
          <w:szCs w:val="48"/>
          <w:highlight w:val="none"/>
        </w:rPr>
      </w:pPr>
      <w:r>
        <w:rPr>
          <w:rFonts w:hint="eastAsia"/>
          <w:b/>
          <w:sz w:val="48"/>
          <w:szCs w:val="48"/>
          <w:highlight w:val="none"/>
        </w:rPr>
        <w:t>制水系统增加一套超滤、一套反渗透</w:t>
      </w:r>
    </w:p>
    <w:p w14:paraId="79BA213E">
      <w:pPr>
        <w:spacing w:line="480" w:lineRule="auto"/>
        <w:jc w:val="center"/>
        <w:rPr>
          <w:b/>
          <w:sz w:val="48"/>
          <w:szCs w:val="48"/>
          <w:highlight w:val="none"/>
        </w:rPr>
      </w:pPr>
      <w:r>
        <w:rPr>
          <w:rFonts w:hint="eastAsia"/>
          <w:b/>
          <w:sz w:val="48"/>
          <w:szCs w:val="48"/>
          <w:highlight w:val="none"/>
        </w:rPr>
        <w:t>装置改造项目</w:t>
      </w:r>
    </w:p>
    <w:p w14:paraId="749A3870">
      <w:pPr>
        <w:spacing w:line="360" w:lineRule="auto"/>
        <w:jc w:val="center"/>
        <w:rPr>
          <w:b/>
          <w:sz w:val="40"/>
          <w:szCs w:val="40"/>
          <w:highlight w:val="none"/>
        </w:rPr>
      </w:pPr>
    </w:p>
    <w:p w14:paraId="5B7416B3">
      <w:pPr>
        <w:spacing w:line="360" w:lineRule="auto"/>
        <w:jc w:val="center"/>
        <w:rPr>
          <w:b/>
          <w:sz w:val="40"/>
          <w:szCs w:val="40"/>
          <w:highlight w:val="none"/>
        </w:rPr>
      </w:pPr>
    </w:p>
    <w:p w14:paraId="0F97AE2B">
      <w:pPr>
        <w:spacing w:line="360" w:lineRule="auto"/>
        <w:jc w:val="center"/>
        <w:rPr>
          <w:b/>
          <w:sz w:val="40"/>
          <w:szCs w:val="40"/>
          <w:highlight w:val="none"/>
        </w:rPr>
      </w:pPr>
    </w:p>
    <w:p w14:paraId="490152A1">
      <w:pPr>
        <w:spacing w:line="360" w:lineRule="auto"/>
        <w:jc w:val="center"/>
        <w:rPr>
          <w:b/>
          <w:sz w:val="40"/>
          <w:szCs w:val="40"/>
          <w:highlight w:val="none"/>
        </w:rPr>
      </w:pPr>
      <w:r>
        <w:rPr>
          <w:rFonts w:hint="eastAsia"/>
          <w:sz w:val="48"/>
          <w:szCs w:val="48"/>
          <w:highlight w:val="none"/>
          <w:lang w:val="en-US" w:eastAsia="zh-CN"/>
        </w:rPr>
        <w:t>非标</w:t>
      </w:r>
      <w:r>
        <w:rPr>
          <w:rFonts w:hint="eastAsia"/>
          <w:sz w:val="48"/>
          <w:szCs w:val="48"/>
          <w:highlight w:val="none"/>
        </w:rPr>
        <w:t>设备</w:t>
      </w:r>
    </w:p>
    <w:p w14:paraId="52CBCE5E">
      <w:pPr>
        <w:spacing w:line="360" w:lineRule="auto"/>
        <w:jc w:val="center"/>
        <w:rPr>
          <w:b/>
          <w:sz w:val="40"/>
          <w:szCs w:val="40"/>
          <w:highlight w:val="none"/>
        </w:rPr>
      </w:pPr>
      <w:r>
        <w:rPr>
          <w:b/>
          <w:sz w:val="40"/>
          <w:szCs w:val="40"/>
          <w:highlight w:val="none"/>
        </w:rPr>
        <w:t>技术规范书</w:t>
      </w:r>
    </w:p>
    <w:p w14:paraId="6FB8CADB">
      <w:pPr>
        <w:spacing w:line="360" w:lineRule="auto"/>
        <w:jc w:val="center"/>
        <w:rPr>
          <w:b/>
          <w:sz w:val="40"/>
          <w:szCs w:val="40"/>
          <w:highlight w:val="none"/>
        </w:rPr>
      </w:pPr>
    </w:p>
    <w:p w14:paraId="1F4B242E">
      <w:pPr>
        <w:spacing w:line="360" w:lineRule="auto"/>
        <w:jc w:val="center"/>
        <w:rPr>
          <w:b/>
          <w:sz w:val="40"/>
          <w:szCs w:val="40"/>
          <w:highlight w:val="none"/>
        </w:rPr>
      </w:pPr>
    </w:p>
    <w:p w14:paraId="20B7AC7D">
      <w:pPr>
        <w:spacing w:line="360" w:lineRule="auto"/>
        <w:jc w:val="center"/>
        <w:rPr>
          <w:b/>
          <w:sz w:val="40"/>
          <w:szCs w:val="40"/>
          <w:highlight w:val="none"/>
        </w:rPr>
      </w:pPr>
    </w:p>
    <w:p w14:paraId="4160FE98">
      <w:pPr>
        <w:spacing w:line="480" w:lineRule="auto"/>
        <w:ind w:firstLine="1928" w:firstLineChars="600"/>
        <w:rPr>
          <w:b/>
          <w:sz w:val="32"/>
          <w:szCs w:val="32"/>
          <w:highlight w:val="none"/>
        </w:rPr>
      </w:pPr>
      <w:r>
        <w:rPr>
          <w:rFonts w:hint="eastAsia"/>
          <w:b/>
          <w:sz w:val="32"/>
          <w:szCs w:val="32"/>
          <w:highlight w:val="none"/>
        </w:rPr>
        <w:t>编制：</w:t>
      </w:r>
    </w:p>
    <w:p w14:paraId="4113D620">
      <w:pPr>
        <w:spacing w:line="480" w:lineRule="auto"/>
        <w:ind w:firstLine="1928" w:firstLineChars="600"/>
        <w:rPr>
          <w:b/>
          <w:sz w:val="32"/>
          <w:szCs w:val="32"/>
          <w:highlight w:val="none"/>
        </w:rPr>
      </w:pPr>
      <w:r>
        <w:rPr>
          <w:b/>
          <w:sz w:val="32"/>
          <w:szCs w:val="32"/>
          <w:highlight w:val="none"/>
        </w:rPr>
        <w:t>校核：</w:t>
      </w:r>
    </w:p>
    <w:p w14:paraId="310A595A">
      <w:pPr>
        <w:spacing w:line="480" w:lineRule="auto"/>
        <w:ind w:firstLine="1928" w:firstLineChars="600"/>
        <w:rPr>
          <w:b/>
          <w:sz w:val="32"/>
          <w:szCs w:val="32"/>
          <w:highlight w:val="none"/>
        </w:rPr>
      </w:pPr>
      <w:r>
        <w:rPr>
          <w:b/>
          <w:sz w:val="32"/>
          <w:szCs w:val="32"/>
          <w:highlight w:val="none"/>
        </w:rPr>
        <w:t>审核：</w:t>
      </w:r>
    </w:p>
    <w:p w14:paraId="75128F5C">
      <w:pPr>
        <w:spacing w:line="480" w:lineRule="auto"/>
        <w:ind w:firstLine="1928" w:firstLineChars="600"/>
        <w:rPr>
          <w:b/>
          <w:sz w:val="32"/>
          <w:szCs w:val="32"/>
          <w:highlight w:val="none"/>
        </w:rPr>
      </w:pPr>
      <w:r>
        <w:rPr>
          <w:b/>
          <w:sz w:val="32"/>
          <w:szCs w:val="32"/>
          <w:highlight w:val="none"/>
        </w:rPr>
        <w:t>批准：</w:t>
      </w:r>
    </w:p>
    <w:p w14:paraId="6412A911">
      <w:pPr>
        <w:spacing w:line="360" w:lineRule="auto"/>
        <w:jc w:val="center"/>
        <w:rPr>
          <w:b/>
          <w:sz w:val="32"/>
          <w:szCs w:val="32"/>
          <w:highlight w:val="none"/>
        </w:rPr>
      </w:pPr>
    </w:p>
    <w:p w14:paraId="3AECD9B4">
      <w:pPr>
        <w:spacing w:line="360" w:lineRule="auto"/>
        <w:ind w:left="480" w:hanging="480" w:hangingChars="200"/>
        <w:jc w:val="center"/>
        <w:rPr>
          <w:highlight w:val="none"/>
        </w:rPr>
        <w:sectPr>
          <w:headerReference r:id="rId3" w:type="default"/>
          <w:pgSz w:w="11906" w:h="16838"/>
          <w:pgMar w:top="1440" w:right="1440" w:bottom="1440" w:left="1701" w:header="851" w:footer="992" w:gutter="0"/>
          <w:pgNumType w:fmt="upperRoman"/>
          <w:cols w:space="425" w:num="1"/>
          <w:docGrid w:type="lines" w:linePitch="312" w:charSpace="0"/>
        </w:sectPr>
      </w:pPr>
      <w:r>
        <w:rPr>
          <w:highlight w:val="none"/>
        </w:rPr>
        <w:br w:type="page"/>
      </w:r>
    </w:p>
    <w:p w14:paraId="2B6890C7">
      <w:pPr>
        <w:pStyle w:val="28"/>
        <w:rPr>
          <w:rFonts w:ascii="Times New Roman" w:hAnsi="Times New Roman"/>
          <w:highlight w:val="none"/>
        </w:rPr>
      </w:pPr>
    </w:p>
    <w:p w14:paraId="6586F995">
      <w:pPr>
        <w:tabs>
          <w:tab w:val="left" w:pos="3780"/>
          <w:tab w:val="center" w:pos="4535"/>
        </w:tabs>
        <w:autoSpaceDE w:val="0"/>
        <w:autoSpaceDN w:val="0"/>
        <w:spacing w:line="360" w:lineRule="auto"/>
        <w:jc w:val="center"/>
        <w:rPr>
          <w:b/>
          <w:sz w:val="44"/>
          <w:szCs w:val="44"/>
          <w:highlight w:val="none"/>
        </w:rPr>
      </w:pPr>
      <w:r>
        <w:rPr>
          <w:b/>
          <w:sz w:val="44"/>
          <w:szCs w:val="44"/>
          <w:highlight w:val="none"/>
        </w:rPr>
        <w:t>目  录</w:t>
      </w:r>
    </w:p>
    <w:p w14:paraId="0621BA6D">
      <w:pPr>
        <w:spacing w:line="360" w:lineRule="auto"/>
        <w:rPr>
          <w:rStyle w:val="24"/>
          <w:b/>
          <w:bCs/>
          <w:caps/>
          <w:color w:val="auto"/>
          <w:highlight w:val="none"/>
        </w:rPr>
      </w:pPr>
    </w:p>
    <w:p w14:paraId="56F98D49">
      <w:pPr>
        <w:pStyle w:val="15"/>
        <w:tabs>
          <w:tab w:val="right" w:leader="dot" w:pos="8765"/>
        </w:tabs>
        <w:rPr>
          <w:rFonts w:ascii="宋体" w:hAnsi="宋体" w:cs="宋体"/>
          <w:sz w:val="28"/>
          <w:szCs w:val="28"/>
          <w:highlight w:val="none"/>
        </w:rPr>
      </w:pPr>
      <w:r>
        <w:rPr>
          <w:rStyle w:val="24"/>
          <w:bCs/>
          <w:color w:val="auto"/>
          <w:sz w:val="28"/>
          <w:szCs w:val="28"/>
          <w:highlight w:val="none"/>
        </w:rPr>
        <w:fldChar w:fldCharType="begin"/>
      </w:r>
      <w:r>
        <w:rPr>
          <w:rStyle w:val="24"/>
          <w:bCs/>
          <w:color w:val="auto"/>
          <w:sz w:val="28"/>
          <w:szCs w:val="28"/>
          <w:highlight w:val="none"/>
        </w:rPr>
        <w:instrText xml:space="preserve"> TOC \o "1-1" \h \z \u </w:instrText>
      </w:r>
      <w:r>
        <w:rPr>
          <w:rStyle w:val="24"/>
          <w:bCs/>
          <w:color w:val="auto"/>
          <w:sz w:val="28"/>
          <w:szCs w:val="28"/>
          <w:highlight w:val="none"/>
        </w:rPr>
        <w:fldChar w:fldCharType="separate"/>
      </w:r>
      <w:r>
        <w:rPr>
          <w:rFonts w:hint="eastAsia"/>
          <w:sz w:val="28"/>
          <w:szCs w:val="28"/>
          <w:highlight w:val="none"/>
        </w:rPr>
        <w:fldChar w:fldCharType="begin"/>
      </w:r>
      <w:r>
        <w:rPr>
          <w:sz w:val="28"/>
          <w:szCs w:val="28"/>
          <w:highlight w:val="none"/>
        </w:rPr>
        <w:instrText xml:space="preserve"> HYPERLINK \l "_Toc925" </w:instrText>
      </w:r>
      <w:r>
        <w:rPr>
          <w:rFonts w:hint="eastAsia" w:ascii="Times New Roman" w:hAnsi="Times New Roman" w:cs="Times New Roman"/>
          <w:sz w:val="28"/>
          <w:szCs w:val="28"/>
          <w:highlight w:val="none"/>
        </w:rPr>
        <w:fldChar w:fldCharType="separate"/>
      </w:r>
      <w:r>
        <w:rPr>
          <w:rFonts w:hint="eastAsia" w:ascii="宋体" w:hAnsi="宋体" w:cs="宋体"/>
          <w:sz w:val="28"/>
          <w:szCs w:val="28"/>
          <w:highlight w:val="none"/>
        </w:rPr>
        <w:t>附件</w:t>
      </w:r>
      <w:r>
        <w:rPr>
          <w:rFonts w:ascii="宋体" w:hAnsi="宋体" w:cs="宋体"/>
          <w:sz w:val="28"/>
          <w:szCs w:val="28"/>
          <w:highlight w:val="none"/>
        </w:rPr>
        <w:t xml:space="preserve">1 </w:t>
      </w:r>
      <w:r>
        <w:rPr>
          <w:rFonts w:hint="eastAsia" w:ascii="宋体" w:hAnsi="宋体" w:cs="宋体"/>
          <w:sz w:val="28"/>
          <w:szCs w:val="28"/>
          <w:highlight w:val="none"/>
        </w:rPr>
        <w:t>技术规范</w:t>
      </w:r>
      <w:r>
        <w:rPr>
          <w:rFonts w:ascii="宋体" w:hAnsi="宋体" w:cs="宋体"/>
          <w:sz w:val="28"/>
          <w:szCs w:val="28"/>
          <w:highlight w:val="none"/>
        </w:rPr>
        <w:tab/>
      </w:r>
      <w:r>
        <w:rPr>
          <w:rFonts w:hint="eastAsia" w:ascii="宋体" w:hAnsi="宋体" w:cs="宋体"/>
          <w:sz w:val="28"/>
          <w:szCs w:val="28"/>
          <w:highlight w:val="none"/>
        </w:rPr>
        <w:fldChar w:fldCharType="begin"/>
      </w:r>
      <w:r>
        <w:rPr>
          <w:rFonts w:ascii="宋体" w:hAnsi="宋体" w:cs="宋体"/>
          <w:sz w:val="28"/>
          <w:szCs w:val="28"/>
          <w:highlight w:val="none"/>
        </w:rPr>
        <w:instrText xml:space="preserve"> PAGEREF _Toc925 \h </w:instrText>
      </w:r>
      <w:r>
        <w:rPr>
          <w:rFonts w:hint="eastAsia" w:ascii="宋体" w:hAnsi="宋体" w:cs="宋体"/>
          <w:sz w:val="28"/>
          <w:szCs w:val="28"/>
          <w:highlight w:val="none"/>
        </w:rPr>
        <w:fldChar w:fldCharType="separate"/>
      </w:r>
      <w:r>
        <w:rPr>
          <w:rFonts w:ascii="宋体" w:hAnsi="宋体" w:cs="宋体"/>
          <w:sz w:val="28"/>
          <w:szCs w:val="28"/>
          <w:highlight w:val="none"/>
        </w:rPr>
        <w:t>1</w:t>
      </w:r>
      <w:r>
        <w:rPr>
          <w:rFonts w:hint="eastAsia" w:ascii="宋体" w:hAnsi="宋体" w:cs="宋体"/>
          <w:sz w:val="28"/>
          <w:szCs w:val="28"/>
          <w:highlight w:val="none"/>
        </w:rPr>
        <w:fldChar w:fldCharType="end"/>
      </w:r>
      <w:r>
        <w:rPr>
          <w:rFonts w:hint="eastAsia" w:ascii="宋体" w:hAnsi="宋体" w:cs="宋体"/>
          <w:sz w:val="28"/>
          <w:szCs w:val="28"/>
          <w:highlight w:val="none"/>
        </w:rPr>
        <w:fldChar w:fldCharType="end"/>
      </w:r>
    </w:p>
    <w:p w14:paraId="3EAE115F">
      <w:pPr>
        <w:pStyle w:val="15"/>
        <w:tabs>
          <w:tab w:val="right" w:leader="dot" w:pos="8765"/>
        </w:tabs>
        <w:rPr>
          <w:rFonts w:ascii="宋体" w:hAnsi="宋体" w:cs="宋体"/>
          <w:sz w:val="28"/>
          <w:szCs w:val="28"/>
          <w:highlight w:val="none"/>
        </w:rPr>
      </w:pPr>
      <w:r>
        <w:rPr>
          <w:rFonts w:hint="eastAsia"/>
          <w:sz w:val="28"/>
          <w:szCs w:val="28"/>
          <w:highlight w:val="none"/>
        </w:rPr>
        <w:fldChar w:fldCharType="begin"/>
      </w:r>
      <w:r>
        <w:rPr>
          <w:sz w:val="28"/>
          <w:szCs w:val="28"/>
          <w:highlight w:val="none"/>
        </w:rPr>
        <w:instrText xml:space="preserve"> HYPERLINK \l "_Toc30152" </w:instrText>
      </w:r>
      <w:r>
        <w:rPr>
          <w:rFonts w:hint="eastAsia" w:ascii="Times New Roman" w:hAnsi="Times New Roman" w:cs="Times New Roman"/>
          <w:sz w:val="28"/>
          <w:szCs w:val="28"/>
          <w:highlight w:val="none"/>
        </w:rPr>
        <w:fldChar w:fldCharType="separate"/>
      </w:r>
      <w:r>
        <w:rPr>
          <w:rFonts w:hint="eastAsia" w:ascii="宋体" w:hAnsi="宋体" w:cs="宋体"/>
          <w:sz w:val="28"/>
          <w:szCs w:val="28"/>
          <w:highlight w:val="none"/>
        </w:rPr>
        <w:t>附件</w:t>
      </w:r>
      <w:r>
        <w:rPr>
          <w:rFonts w:ascii="宋体" w:hAnsi="宋体" w:cs="宋体"/>
          <w:sz w:val="28"/>
          <w:szCs w:val="28"/>
          <w:highlight w:val="none"/>
        </w:rPr>
        <w:t xml:space="preserve">2 </w:t>
      </w:r>
      <w:r>
        <w:rPr>
          <w:rFonts w:hint="eastAsia" w:ascii="宋体" w:hAnsi="宋体" w:cs="宋体"/>
          <w:sz w:val="28"/>
          <w:szCs w:val="28"/>
          <w:highlight w:val="none"/>
        </w:rPr>
        <w:t>供货范围</w:t>
      </w:r>
      <w:r>
        <w:rPr>
          <w:rFonts w:ascii="宋体" w:hAnsi="宋体" w:cs="宋体"/>
          <w:sz w:val="28"/>
          <w:szCs w:val="28"/>
          <w:highlight w:val="none"/>
        </w:rPr>
        <w:tab/>
      </w:r>
      <w:r>
        <w:rPr>
          <w:rFonts w:hint="eastAsia" w:ascii="宋体" w:hAnsi="宋体" w:cs="宋体"/>
          <w:sz w:val="28"/>
          <w:szCs w:val="28"/>
          <w:highlight w:val="none"/>
        </w:rPr>
        <w:fldChar w:fldCharType="begin"/>
      </w:r>
      <w:r>
        <w:rPr>
          <w:rFonts w:ascii="宋体" w:hAnsi="宋体" w:cs="宋体"/>
          <w:sz w:val="28"/>
          <w:szCs w:val="28"/>
          <w:highlight w:val="none"/>
        </w:rPr>
        <w:instrText xml:space="preserve"> PAGEREF _Toc30152 \h </w:instrText>
      </w:r>
      <w:r>
        <w:rPr>
          <w:rFonts w:hint="eastAsia" w:ascii="宋体" w:hAnsi="宋体" w:cs="宋体"/>
          <w:sz w:val="28"/>
          <w:szCs w:val="28"/>
          <w:highlight w:val="none"/>
        </w:rPr>
        <w:fldChar w:fldCharType="separate"/>
      </w:r>
      <w:r>
        <w:rPr>
          <w:rFonts w:ascii="宋体" w:hAnsi="宋体" w:cs="宋体"/>
          <w:sz w:val="28"/>
          <w:szCs w:val="28"/>
          <w:highlight w:val="none"/>
        </w:rPr>
        <w:t>31</w:t>
      </w:r>
      <w:r>
        <w:rPr>
          <w:rFonts w:hint="eastAsia" w:ascii="宋体" w:hAnsi="宋体" w:cs="宋体"/>
          <w:sz w:val="28"/>
          <w:szCs w:val="28"/>
          <w:highlight w:val="none"/>
        </w:rPr>
        <w:fldChar w:fldCharType="end"/>
      </w:r>
      <w:r>
        <w:rPr>
          <w:rFonts w:hint="eastAsia" w:ascii="宋体" w:hAnsi="宋体" w:cs="宋体"/>
          <w:sz w:val="28"/>
          <w:szCs w:val="28"/>
          <w:highlight w:val="none"/>
        </w:rPr>
        <w:fldChar w:fldCharType="end"/>
      </w:r>
    </w:p>
    <w:p w14:paraId="36DD39E9">
      <w:pPr>
        <w:pStyle w:val="15"/>
        <w:tabs>
          <w:tab w:val="right" w:leader="dot" w:pos="8765"/>
        </w:tabs>
        <w:rPr>
          <w:rFonts w:ascii="宋体" w:hAnsi="宋体" w:cs="宋体"/>
          <w:sz w:val="28"/>
          <w:szCs w:val="28"/>
          <w:highlight w:val="none"/>
        </w:rPr>
      </w:pPr>
      <w:r>
        <w:rPr>
          <w:rFonts w:hint="eastAsia"/>
          <w:sz w:val="28"/>
          <w:szCs w:val="28"/>
          <w:highlight w:val="none"/>
        </w:rPr>
        <w:fldChar w:fldCharType="begin"/>
      </w:r>
      <w:r>
        <w:rPr>
          <w:sz w:val="28"/>
          <w:szCs w:val="28"/>
          <w:highlight w:val="none"/>
        </w:rPr>
        <w:instrText xml:space="preserve"> HYPERLINK \l "_Toc16516" </w:instrText>
      </w:r>
      <w:r>
        <w:rPr>
          <w:rFonts w:hint="eastAsia" w:ascii="Times New Roman" w:hAnsi="Times New Roman" w:cs="Times New Roman"/>
          <w:sz w:val="28"/>
          <w:szCs w:val="28"/>
          <w:highlight w:val="none"/>
        </w:rPr>
        <w:fldChar w:fldCharType="separate"/>
      </w:r>
      <w:r>
        <w:rPr>
          <w:rFonts w:hint="eastAsia" w:ascii="宋体" w:hAnsi="宋体" w:cs="宋体"/>
          <w:sz w:val="28"/>
          <w:szCs w:val="28"/>
          <w:highlight w:val="none"/>
        </w:rPr>
        <w:t>附件</w:t>
      </w:r>
      <w:r>
        <w:rPr>
          <w:rFonts w:ascii="宋体" w:hAnsi="宋体" w:cs="宋体"/>
          <w:sz w:val="28"/>
          <w:szCs w:val="28"/>
          <w:highlight w:val="none"/>
        </w:rPr>
        <w:t xml:space="preserve">3 </w:t>
      </w:r>
      <w:r>
        <w:rPr>
          <w:rFonts w:hint="eastAsia" w:ascii="宋体" w:hAnsi="宋体" w:cs="宋体"/>
          <w:sz w:val="28"/>
          <w:szCs w:val="28"/>
          <w:highlight w:val="none"/>
        </w:rPr>
        <w:t>技术资料及交付进度</w:t>
      </w:r>
      <w:r>
        <w:rPr>
          <w:rFonts w:ascii="宋体" w:hAnsi="宋体" w:cs="宋体"/>
          <w:sz w:val="28"/>
          <w:szCs w:val="28"/>
          <w:highlight w:val="none"/>
        </w:rPr>
        <w:tab/>
      </w:r>
      <w:r>
        <w:rPr>
          <w:rFonts w:hint="eastAsia" w:ascii="宋体" w:hAnsi="宋体" w:cs="宋体"/>
          <w:sz w:val="28"/>
          <w:szCs w:val="28"/>
          <w:highlight w:val="none"/>
        </w:rPr>
        <w:fldChar w:fldCharType="begin"/>
      </w:r>
      <w:r>
        <w:rPr>
          <w:rFonts w:ascii="宋体" w:hAnsi="宋体" w:cs="宋体"/>
          <w:sz w:val="28"/>
          <w:szCs w:val="28"/>
          <w:highlight w:val="none"/>
        </w:rPr>
        <w:instrText xml:space="preserve"> PAGEREF _Toc16516 \h </w:instrText>
      </w:r>
      <w:r>
        <w:rPr>
          <w:rFonts w:hint="eastAsia" w:ascii="宋体" w:hAnsi="宋体" w:cs="宋体"/>
          <w:sz w:val="28"/>
          <w:szCs w:val="28"/>
          <w:highlight w:val="none"/>
        </w:rPr>
        <w:fldChar w:fldCharType="separate"/>
      </w:r>
      <w:r>
        <w:rPr>
          <w:rFonts w:ascii="宋体" w:hAnsi="宋体" w:cs="宋体"/>
          <w:sz w:val="28"/>
          <w:szCs w:val="28"/>
          <w:highlight w:val="none"/>
        </w:rPr>
        <w:t>36</w:t>
      </w:r>
      <w:r>
        <w:rPr>
          <w:rFonts w:hint="eastAsia" w:ascii="宋体" w:hAnsi="宋体" w:cs="宋体"/>
          <w:sz w:val="28"/>
          <w:szCs w:val="28"/>
          <w:highlight w:val="none"/>
        </w:rPr>
        <w:fldChar w:fldCharType="end"/>
      </w:r>
      <w:r>
        <w:rPr>
          <w:rFonts w:hint="eastAsia" w:ascii="宋体" w:hAnsi="宋体" w:cs="宋体"/>
          <w:sz w:val="28"/>
          <w:szCs w:val="28"/>
          <w:highlight w:val="none"/>
        </w:rPr>
        <w:fldChar w:fldCharType="end"/>
      </w:r>
    </w:p>
    <w:p w14:paraId="600375A9">
      <w:pPr>
        <w:pStyle w:val="15"/>
        <w:tabs>
          <w:tab w:val="right" w:leader="dot" w:pos="8765"/>
        </w:tabs>
        <w:rPr>
          <w:rFonts w:ascii="宋体" w:hAnsi="宋体" w:cs="宋体"/>
          <w:sz w:val="28"/>
          <w:szCs w:val="28"/>
          <w:highlight w:val="none"/>
        </w:rPr>
      </w:pPr>
      <w:r>
        <w:rPr>
          <w:rFonts w:hint="eastAsia"/>
          <w:sz w:val="28"/>
          <w:szCs w:val="28"/>
          <w:highlight w:val="none"/>
        </w:rPr>
        <w:fldChar w:fldCharType="begin"/>
      </w:r>
      <w:r>
        <w:rPr>
          <w:sz w:val="28"/>
          <w:szCs w:val="28"/>
          <w:highlight w:val="none"/>
        </w:rPr>
        <w:instrText xml:space="preserve"> HYPERLINK \l "_Toc5123" </w:instrText>
      </w:r>
      <w:r>
        <w:rPr>
          <w:rFonts w:hint="eastAsia" w:ascii="Times New Roman" w:hAnsi="Times New Roman" w:cs="Times New Roman"/>
          <w:sz w:val="28"/>
          <w:szCs w:val="28"/>
          <w:highlight w:val="none"/>
        </w:rPr>
        <w:fldChar w:fldCharType="separate"/>
      </w:r>
      <w:r>
        <w:rPr>
          <w:rFonts w:hint="eastAsia" w:ascii="宋体" w:hAnsi="宋体" w:cs="宋体"/>
          <w:sz w:val="28"/>
          <w:szCs w:val="28"/>
          <w:highlight w:val="none"/>
        </w:rPr>
        <w:t>附件</w:t>
      </w:r>
      <w:r>
        <w:rPr>
          <w:rFonts w:ascii="宋体" w:hAnsi="宋体" w:cs="宋体"/>
          <w:sz w:val="28"/>
          <w:szCs w:val="28"/>
          <w:highlight w:val="none"/>
        </w:rPr>
        <w:t xml:space="preserve">4 </w:t>
      </w:r>
      <w:r>
        <w:rPr>
          <w:rFonts w:hint="eastAsia" w:ascii="宋体" w:hAnsi="宋体" w:cs="宋体"/>
          <w:sz w:val="28"/>
          <w:szCs w:val="28"/>
          <w:highlight w:val="none"/>
        </w:rPr>
        <w:t>设备交货进度</w:t>
      </w:r>
      <w:r>
        <w:rPr>
          <w:rFonts w:ascii="宋体" w:hAnsi="宋体" w:cs="宋体"/>
          <w:sz w:val="28"/>
          <w:szCs w:val="28"/>
          <w:highlight w:val="none"/>
        </w:rPr>
        <w:tab/>
      </w:r>
      <w:r>
        <w:rPr>
          <w:rFonts w:hint="eastAsia" w:ascii="宋体" w:hAnsi="宋体" w:cs="宋体"/>
          <w:sz w:val="28"/>
          <w:szCs w:val="28"/>
          <w:highlight w:val="none"/>
        </w:rPr>
        <w:fldChar w:fldCharType="begin"/>
      </w:r>
      <w:r>
        <w:rPr>
          <w:rFonts w:ascii="宋体" w:hAnsi="宋体" w:cs="宋体"/>
          <w:sz w:val="28"/>
          <w:szCs w:val="28"/>
          <w:highlight w:val="none"/>
        </w:rPr>
        <w:instrText xml:space="preserve"> PAGEREF _Toc5123 \h </w:instrText>
      </w:r>
      <w:r>
        <w:rPr>
          <w:rFonts w:hint="eastAsia" w:ascii="宋体" w:hAnsi="宋体" w:cs="宋体"/>
          <w:sz w:val="28"/>
          <w:szCs w:val="28"/>
          <w:highlight w:val="none"/>
        </w:rPr>
        <w:fldChar w:fldCharType="separate"/>
      </w:r>
      <w:r>
        <w:rPr>
          <w:rFonts w:ascii="宋体" w:hAnsi="宋体" w:cs="宋体"/>
          <w:sz w:val="28"/>
          <w:szCs w:val="28"/>
          <w:highlight w:val="none"/>
        </w:rPr>
        <w:t>40</w:t>
      </w:r>
      <w:r>
        <w:rPr>
          <w:rFonts w:hint="eastAsia" w:ascii="宋体" w:hAnsi="宋体" w:cs="宋体"/>
          <w:sz w:val="28"/>
          <w:szCs w:val="28"/>
          <w:highlight w:val="none"/>
        </w:rPr>
        <w:fldChar w:fldCharType="end"/>
      </w:r>
      <w:r>
        <w:rPr>
          <w:rFonts w:hint="eastAsia" w:ascii="宋体" w:hAnsi="宋体" w:cs="宋体"/>
          <w:sz w:val="28"/>
          <w:szCs w:val="28"/>
          <w:highlight w:val="none"/>
        </w:rPr>
        <w:fldChar w:fldCharType="end"/>
      </w:r>
      <w:bookmarkStart w:id="207" w:name="_GoBack"/>
      <w:bookmarkEnd w:id="207"/>
    </w:p>
    <w:p w14:paraId="7FC5C250">
      <w:pPr>
        <w:pStyle w:val="15"/>
        <w:tabs>
          <w:tab w:val="right" w:leader="dot" w:pos="8765"/>
        </w:tabs>
        <w:rPr>
          <w:rFonts w:ascii="宋体" w:hAnsi="宋体" w:cs="宋体"/>
          <w:sz w:val="28"/>
          <w:szCs w:val="28"/>
          <w:highlight w:val="none"/>
        </w:rPr>
      </w:pPr>
      <w:r>
        <w:rPr>
          <w:rFonts w:hint="eastAsia"/>
          <w:sz w:val="28"/>
          <w:szCs w:val="28"/>
          <w:highlight w:val="none"/>
        </w:rPr>
        <w:fldChar w:fldCharType="begin"/>
      </w:r>
      <w:r>
        <w:rPr>
          <w:sz w:val="28"/>
          <w:szCs w:val="28"/>
          <w:highlight w:val="none"/>
        </w:rPr>
        <w:instrText xml:space="preserve"> HYPERLINK \l "_Toc30751" </w:instrText>
      </w:r>
      <w:r>
        <w:rPr>
          <w:rFonts w:hint="eastAsia" w:ascii="Times New Roman" w:hAnsi="Times New Roman" w:cs="Times New Roman"/>
          <w:sz w:val="28"/>
          <w:szCs w:val="28"/>
          <w:highlight w:val="none"/>
        </w:rPr>
        <w:fldChar w:fldCharType="separate"/>
      </w:r>
      <w:r>
        <w:rPr>
          <w:rFonts w:hint="eastAsia" w:ascii="宋体" w:hAnsi="宋体" w:cs="宋体"/>
          <w:sz w:val="28"/>
          <w:szCs w:val="28"/>
          <w:highlight w:val="none"/>
        </w:rPr>
        <w:t>附件</w:t>
      </w:r>
      <w:r>
        <w:rPr>
          <w:rFonts w:ascii="宋体" w:hAnsi="宋体" w:cs="宋体"/>
          <w:sz w:val="28"/>
          <w:szCs w:val="28"/>
          <w:highlight w:val="none"/>
        </w:rPr>
        <w:t xml:space="preserve">5 </w:t>
      </w:r>
      <w:r>
        <w:rPr>
          <w:rFonts w:hint="eastAsia" w:ascii="宋体" w:hAnsi="宋体" w:cs="宋体"/>
          <w:sz w:val="28"/>
          <w:szCs w:val="28"/>
          <w:highlight w:val="none"/>
        </w:rPr>
        <w:t>设备监造、检验和性能验收试验</w:t>
      </w:r>
      <w:r>
        <w:rPr>
          <w:rFonts w:ascii="宋体" w:hAnsi="宋体" w:cs="宋体"/>
          <w:sz w:val="28"/>
          <w:szCs w:val="28"/>
          <w:highlight w:val="none"/>
        </w:rPr>
        <w:tab/>
      </w:r>
      <w:r>
        <w:rPr>
          <w:rFonts w:hint="eastAsia" w:ascii="宋体" w:hAnsi="宋体" w:cs="宋体"/>
          <w:sz w:val="28"/>
          <w:szCs w:val="28"/>
          <w:highlight w:val="none"/>
        </w:rPr>
        <w:fldChar w:fldCharType="begin"/>
      </w:r>
      <w:r>
        <w:rPr>
          <w:rFonts w:ascii="宋体" w:hAnsi="宋体" w:cs="宋体"/>
          <w:sz w:val="28"/>
          <w:szCs w:val="28"/>
          <w:highlight w:val="none"/>
        </w:rPr>
        <w:instrText xml:space="preserve"> PAGEREF _Toc30751 \h </w:instrText>
      </w:r>
      <w:r>
        <w:rPr>
          <w:rFonts w:hint="eastAsia" w:ascii="宋体" w:hAnsi="宋体" w:cs="宋体"/>
          <w:sz w:val="28"/>
          <w:szCs w:val="28"/>
          <w:highlight w:val="none"/>
        </w:rPr>
        <w:fldChar w:fldCharType="separate"/>
      </w:r>
      <w:r>
        <w:rPr>
          <w:rFonts w:ascii="宋体" w:hAnsi="宋体" w:cs="宋体"/>
          <w:sz w:val="28"/>
          <w:szCs w:val="28"/>
          <w:highlight w:val="none"/>
        </w:rPr>
        <w:t>41</w:t>
      </w:r>
      <w:r>
        <w:rPr>
          <w:rFonts w:hint="eastAsia" w:ascii="宋体" w:hAnsi="宋体" w:cs="宋体"/>
          <w:sz w:val="28"/>
          <w:szCs w:val="28"/>
          <w:highlight w:val="none"/>
        </w:rPr>
        <w:fldChar w:fldCharType="end"/>
      </w:r>
      <w:r>
        <w:rPr>
          <w:rFonts w:hint="eastAsia" w:ascii="宋体" w:hAnsi="宋体" w:cs="宋体"/>
          <w:sz w:val="28"/>
          <w:szCs w:val="28"/>
          <w:highlight w:val="none"/>
        </w:rPr>
        <w:fldChar w:fldCharType="end"/>
      </w:r>
    </w:p>
    <w:p w14:paraId="60BC62CF">
      <w:pPr>
        <w:pStyle w:val="15"/>
        <w:tabs>
          <w:tab w:val="right" w:leader="dot" w:pos="8765"/>
        </w:tabs>
        <w:rPr>
          <w:rFonts w:ascii="宋体" w:hAnsi="宋体" w:cs="宋体"/>
          <w:sz w:val="28"/>
          <w:szCs w:val="28"/>
          <w:highlight w:val="none"/>
        </w:rPr>
      </w:pPr>
      <w:r>
        <w:rPr>
          <w:rFonts w:hint="eastAsia"/>
          <w:sz w:val="28"/>
          <w:szCs w:val="28"/>
          <w:highlight w:val="none"/>
        </w:rPr>
        <w:fldChar w:fldCharType="begin"/>
      </w:r>
      <w:r>
        <w:rPr>
          <w:sz w:val="28"/>
          <w:szCs w:val="28"/>
          <w:highlight w:val="none"/>
        </w:rPr>
        <w:instrText xml:space="preserve"> HYPERLINK \l "_Toc753" </w:instrText>
      </w:r>
      <w:r>
        <w:rPr>
          <w:rFonts w:hint="eastAsia" w:ascii="Times New Roman" w:hAnsi="Times New Roman" w:cs="Times New Roman"/>
          <w:sz w:val="28"/>
          <w:szCs w:val="28"/>
          <w:highlight w:val="none"/>
        </w:rPr>
        <w:fldChar w:fldCharType="separate"/>
      </w:r>
      <w:r>
        <w:rPr>
          <w:rFonts w:hint="eastAsia" w:ascii="宋体" w:hAnsi="宋体" w:cs="宋体"/>
          <w:sz w:val="28"/>
          <w:szCs w:val="28"/>
          <w:highlight w:val="none"/>
        </w:rPr>
        <w:t>附件</w:t>
      </w:r>
      <w:r>
        <w:rPr>
          <w:rFonts w:ascii="宋体" w:hAnsi="宋体" w:cs="宋体"/>
          <w:sz w:val="28"/>
          <w:szCs w:val="28"/>
          <w:highlight w:val="none"/>
        </w:rPr>
        <w:t xml:space="preserve">6 </w:t>
      </w:r>
      <w:r>
        <w:rPr>
          <w:rFonts w:hint="eastAsia" w:ascii="宋体" w:hAnsi="宋体" w:cs="宋体"/>
          <w:sz w:val="28"/>
          <w:szCs w:val="28"/>
          <w:highlight w:val="none"/>
        </w:rPr>
        <w:t>技术服务和联络</w:t>
      </w:r>
      <w:r>
        <w:rPr>
          <w:rFonts w:ascii="宋体" w:hAnsi="宋体" w:cs="宋体"/>
          <w:sz w:val="28"/>
          <w:szCs w:val="28"/>
          <w:highlight w:val="none"/>
        </w:rPr>
        <w:tab/>
      </w:r>
      <w:r>
        <w:rPr>
          <w:rFonts w:hint="eastAsia" w:ascii="宋体" w:hAnsi="宋体" w:cs="宋体"/>
          <w:sz w:val="28"/>
          <w:szCs w:val="28"/>
          <w:highlight w:val="none"/>
        </w:rPr>
        <w:fldChar w:fldCharType="begin"/>
      </w:r>
      <w:r>
        <w:rPr>
          <w:rFonts w:ascii="宋体" w:hAnsi="宋体" w:cs="宋体"/>
          <w:sz w:val="28"/>
          <w:szCs w:val="28"/>
          <w:highlight w:val="none"/>
        </w:rPr>
        <w:instrText xml:space="preserve"> PAGEREF _Toc753 \h </w:instrText>
      </w:r>
      <w:r>
        <w:rPr>
          <w:rFonts w:hint="eastAsia" w:ascii="宋体" w:hAnsi="宋体" w:cs="宋体"/>
          <w:sz w:val="28"/>
          <w:szCs w:val="28"/>
          <w:highlight w:val="none"/>
        </w:rPr>
        <w:fldChar w:fldCharType="separate"/>
      </w:r>
      <w:r>
        <w:rPr>
          <w:rFonts w:ascii="宋体" w:hAnsi="宋体" w:cs="宋体"/>
          <w:sz w:val="28"/>
          <w:szCs w:val="28"/>
          <w:highlight w:val="none"/>
        </w:rPr>
        <w:t>43</w:t>
      </w:r>
      <w:r>
        <w:rPr>
          <w:rFonts w:hint="eastAsia" w:ascii="宋体" w:hAnsi="宋体" w:cs="宋体"/>
          <w:sz w:val="28"/>
          <w:szCs w:val="28"/>
          <w:highlight w:val="none"/>
        </w:rPr>
        <w:fldChar w:fldCharType="end"/>
      </w:r>
      <w:r>
        <w:rPr>
          <w:rFonts w:hint="eastAsia" w:ascii="宋体" w:hAnsi="宋体" w:cs="宋体"/>
          <w:sz w:val="28"/>
          <w:szCs w:val="28"/>
          <w:highlight w:val="none"/>
        </w:rPr>
        <w:fldChar w:fldCharType="end"/>
      </w:r>
    </w:p>
    <w:p w14:paraId="362780D5">
      <w:pPr>
        <w:pStyle w:val="15"/>
        <w:tabs>
          <w:tab w:val="right" w:leader="dot" w:pos="8765"/>
        </w:tabs>
        <w:rPr>
          <w:rFonts w:ascii="宋体" w:hAnsi="宋体" w:cs="宋体"/>
          <w:sz w:val="28"/>
          <w:szCs w:val="28"/>
          <w:highlight w:val="none"/>
        </w:rPr>
      </w:pPr>
      <w:r>
        <w:rPr>
          <w:rFonts w:hint="eastAsia"/>
          <w:sz w:val="28"/>
          <w:szCs w:val="28"/>
          <w:highlight w:val="none"/>
        </w:rPr>
        <w:fldChar w:fldCharType="begin"/>
      </w:r>
      <w:r>
        <w:rPr>
          <w:sz w:val="28"/>
          <w:szCs w:val="28"/>
          <w:highlight w:val="none"/>
        </w:rPr>
        <w:instrText xml:space="preserve"> HYPERLINK \l "_Toc1075" </w:instrText>
      </w:r>
      <w:r>
        <w:rPr>
          <w:rFonts w:hint="eastAsia" w:ascii="Times New Roman" w:hAnsi="Times New Roman" w:cs="Times New Roman"/>
          <w:sz w:val="28"/>
          <w:szCs w:val="28"/>
          <w:highlight w:val="none"/>
        </w:rPr>
        <w:fldChar w:fldCharType="separate"/>
      </w:r>
      <w:r>
        <w:rPr>
          <w:rFonts w:hint="eastAsia" w:ascii="宋体" w:hAnsi="宋体" w:cs="宋体"/>
          <w:sz w:val="28"/>
          <w:szCs w:val="28"/>
          <w:highlight w:val="none"/>
        </w:rPr>
        <w:t>附件</w:t>
      </w:r>
      <w:r>
        <w:rPr>
          <w:rFonts w:ascii="宋体" w:hAnsi="宋体" w:cs="宋体"/>
          <w:sz w:val="28"/>
          <w:szCs w:val="28"/>
          <w:highlight w:val="none"/>
        </w:rPr>
        <w:t xml:space="preserve">7 </w:t>
      </w:r>
      <w:r>
        <w:rPr>
          <w:rFonts w:hint="eastAsia" w:ascii="宋体" w:hAnsi="宋体" w:cs="宋体"/>
          <w:sz w:val="28"/>
          <w:szCs w:val="28"/>
          <w:highlight w:val="none"/>
        </w:rPr>
        <w:t>分包与外购（本项目不允许分包，部分设备允许外购）</w:t>
      </w:r>
      <w:r>
        <w:rPr>
          <w:rFonts w:ascii="宋体" w:hAnsi="宋体" w:cs="宋体"/>
          <w:sz w:val="28"/>
          <w:szCs w:val="28"/>
          <w:highlight w:val="none"/>
        </w:rPr>
        <w:tab/>
      </w:r>
      <w:r>
        <w:rPr>
          <w:rFonts w:hint="eastAsia" w:ascii="宋体" w:hAnsi="宋体" w:cs="宋体"/>
          <w:sz w:val="28"/>
          <w:szCs w:val="28"/>
          <w:highlight w:val="none"/>
        </w:rPr>
        <w:fldChar w:fldCharType="begin"/>
      </w:r>
      <w:r>
        <w:rPr>
          <w:rFonts w:ascii="宋体" w:hAnsi="宋体" w:cs="宋体"/>
          <w:sz w:val="28"/>
          <w:szCs w:val="28"/>
          <w:highlight w:val="none"/>
        </w:rPr>
        <w:instrText xml:space="preserve"> PAGEREF _Toc1075 \h </w:instrText>
      </w:r>
      <w:r>
        <w:rPr>
          <w:rFonts w:hint="eastAsia" w:ascii="宋体" w:hAnsi="宋体" w:cs="宋体"/>
          <w:sz w:val="28"/>
          <w:szCs w:val="28"/>
          <w:highlight w:val="none"/>
        </w:rPr>
        <w:fldChar w:fldCharType="separate"/>
      </w:r>
      <w:r>
        <w:rPr>
          <w:rFonts w:ascii="宋体" w:hAnsi="宋体" w:cs="宋体"/>
          <w:sz w:val="28"/>
          <w:szCs w:val="28"/>
          <w:highlight w:val="none"/>
        </w:rPr>
        <w:t>45</w:t>
      </w:r>
      <w:r>
        <w:rPr>
          <w:rFonts w:hint="eastAsia" w:ascii="宋体" w:hAnsi="宋体" w:cs="宋体"/>
          <w:sz w:val="28"/>
          <w:szCs w:val="28"/>
          <w:highlight w:val="none"/>
        </w:rPr>
        <w:fldChar w:fldCharType="end"/>
      </w:r>
      <w:r>
        <w:rPr>
          <w:rFonts w:hint="eastAsia" w:ascii="宋体" w:hAnsi="宋体" w:cs="宋体"/>
          <w:sz w:val="28"/>
          <w:szCs w:val="28"/>
          <w:highlight w:val="none"/>
        </w:rPr>
        <w:fldChar w:fldCharType="end"/>
      </w:r>
    </w:p>
    <w:p w14:paraId="248638DB">
      <w:pPr>
        <w:pStyle w:val="15"/>
        <w:tabs>
          <w:tab w:val="right" w:leader="dot" w:pos="8765"/>
        </w:tabs>
        <w:rPr>
          <w:rFonts w:ascii="宋体" w:hAnsi="宋体" w:cs="宋体"/>
          <w:sz w:val="28"/>
          <w:szCs w:val="28"/>
          <w:highlight w:val="none"/>
        </w:rPr>
      </w:pPr>
      <w:r>
        <w:rPr>
          <w:rFonts w:hint="eastAsia"/>
          <w:sz w:val="28"/>
          <w:szCs w:val="28"/>
          <w:highlight w:val="none"/>
        </w:rPr>
        <w:fldChar w:fldCharType="begin"/>
      </w:r>
      <w:r>
        <w:rPr>
          <w:sz w:val="28"/>
          <w:szCs w:val="28"/>
          <w:highlight w:val="none"/>
        </w:rPr>
        <w:instrText xml:space="preserve"> HYPERLINK \l "_Toc1462" </w:instrText>
      </w:r>
      <w:r>
        <w:rPr>
          <w:rFonts w:hint="eastAsia" w:ascii="Times New Roman" w:hAnsi="Times New Roman" w:cs="Times New Roman"/>
          <w:sz w:val="28"/>
          <w:szCs w:val="28"/>
          <w:highlight w:val="none"/>
        </w:rPr>
        <w:fldChar w:fldCharType="separate"/>
      </w:r>
      <w:r>
        <w:rPr>
          <w:rFonts w:hint="eastAsia" w:ascii="宋体" w:hAnsi="宋体" w:cs="宋体"/>
          <w:sz w:val="28"/>
          <w:szCs w:val="28"/>
          <w:highlight w:val="none"/>
        </w:rPr>
        <w:t>附件</w:t>
      </w:r>
      <w:r>
        <w:rPr>
          <w:rFonts w:ascii="宋体" w:hAnsi="宋体" w:cs="宋体"/>
          <w:sz w:val="28"/>
          <w:szCs w:val="28"/>
          <w:highlight w:val="none"/>
        </w:rPr>
        <w:t xml:space="preserve">8 </w:t>
      </w:r>
      <w:r>
        <w:rPr>
          <w:rFonts w:hint="eastAsia" w:ascii="宋体" w:hAnsi="宋体" w:cs="宋体"/>
          <w:sz w:val="28"/>
          <w:szCs w:val="28"/>
          <w:highlight w:val="none"/>
        </w:rPr>
        <w:t>运行维护手册</w:t>
      </w:r>
      <w:r>
        <w:rPr>
          <w:rFonts w:ascii="宋体" w:hAnsi="宋体" w:cs="宋体"/>
          <w:sz w:val="28"/>
          <w:szCs w:val="28"/>
          <w:highlight w:val="none"/>
        </w:rPr>
        <w:tab/>
      </w:r>
      <w:r>
        <w:rPr>
          <w:rFonts w:hint="eastAsia" w:ascii="宋体" w:hAnsi="宋体" w:cs="宋体"/>
          <w:sz w:val="28"/>
          <w:szCs w:val="28"/>
          <w:highlight w:val="none"/>
        </w:rPr>
        <w:fldChar w:fldCharType="begin"/>
      </w:r>
      <w:r>
        <w:rPr>
          <w:rFonts w:ascii="宋体" w:hAnsi="宋体" w:cs="宋体"/>
          <w:sz w:val="28"/>
          <w:szCs w:val="28"/>
          <w:highlight w:val="none"/>
        </w:rPr>
        <w:instrText xml:space="preserve"> PAGEREF _Toc1462 \h </w:instrText>
      </w:r>
      <w:r>
        <w:rPr>
          <w:rFonts w:hint="eastAsia" w:ascii="宋体" w:hAnsi="宋体" w:cs="宋体"/>
          <w:sz w:val="28"/>
          <w:szCs w:val="28"/>
          <w:highlight w:val="none"/>
        </w:rPr>
        <w:fldChar w:fldCharType="separate"/>
      </w:r>
      <w:r>
        <w:rPr>
          <w:rFonts w:ascii="宋体" w:hAnsi="宋体" w:cs="宋体"/>
          <w:sz w:val="28"/>
          <w:szCs w:val="28"/>
          <w:highlight w:val="none"/>
        </w:rPr>
        <w:t>46</w:t>
      </w:r>
      <w:r>
        <w:rPr>
          <w:rFonts w:hint="eastAsia" w:ascii="宋体" w:hAnsi="宋体" w:cs="宋体"/>
          <w:sz w:val="28"/>
          <w:szCs w:val="28"/>
          <w:highlight w:val="none"/>
        </w:rPr>
        <w:fldChar w:fldCharType="end"/>
      </w:r>
      <w:r>
        <w:rPr>
          <w:rFonts w:hint="eastAsia" w:ascii="宋体" w:hAnsi="宋体" w:cs="宋体"/>
          <w:sz w:val="28"/>
          <w:szCs w:val="28"/>
          <w:highlight w:val="none"/>
        </w:rPr>
        <w:fldChar w:fldCharType="end"/>
      </w:r>
    </w:p>
    <w:p w14:paraId="4C3FFC5B">
      <w:pPr>
        <w:pStyle w:val="15"/>
        <w:tabs>
          <w:tab w:val="right" w:leader="dot" w:pos="8765"/>
        </w:tabs>
        <w:rPr>
          <w:rFonts w:ascii="宋体" w:hAnsi="宋体" w:cs="宋体"/>
          <w:sz w:val="28"/>
          <w:szCs w:val="28"/>
          <w:highlight w:val="none"/>
        </w:rPr>
      </w:pPr>
      <w:r>
        <w:rPr>
          <w:rFonts w:hint="eastAsia"/>
          <w:sz w:val="28"/>
          <w:szCs w:val="28"/>
          <w:highlight w:val="none"/>
        </w:rPr>
        <w:fldChar w:fldCharType="begin"/>
      </w:r>
      <w:r>
        <w:rPr>
          <w:sz w:val="28"/>
          <w:szCs w:val="28"/>
          <w:highlight w:val="none"/>
        </w:rPr>
        <w:instrText xml:space="preserve"> HYPERLINK \l "_Toc29189" </w:instrText>
      </w:r>
      <w:r>
        <w:rPr>
          <w:rFonts w:hint="eastAsia" w:ascii="Times New Roman" w:hAnsi="Times New Roman" w:cs="Times New Roman"/>
          <w:sz w:val="28"/>
          <w:szCs w:val="28"/>
          <w:highlight w:val="none"/>
        </w:rPr>
        <w:fldChar w:fldCharType="separate"/>
      </w:r>
      <w:r>
        <w:rPr>
          <w:rFonts w:hint="eastAsia" w:ascii="宋体" w:hAnsi="宋体" w:cs="宋体"/>
          <w:sz w:val="28"/>
          <w:szCs w:val="28"/>
          <w:highlight w:val="none"/>
        </w:rPr>
        <w:t>附件</w:t>
      </w:r>
      <w:r>
        <w:rPr>
          <w:rFonts w:ascii="宋体" w:hAnsi="宋体" w:cs="宋体"/>
          <w:sz w:val="28"/>
          <w:szCs w:val="28"/>
          <w:highlight w:val="none"/>
        </w:rPr>
        <w:t xml:space="preserve">9 </w:t>
      </w:r>
      <w:r>
        <w:rPr>
          <w:rFonts w:hint="eastAsia" w:ascii="宋体" w:hAnsi="宋体" w:cs="宋体"/>
          <w:sz w:val="28"/>
          <w:szCs w:val="28"/>
          <w:highlight w:val="none"/>
        </w:rPr>
        <w:t>大（部）件情况</w:t>
      </w:r>
      <w:r>
        <w:rPr>
          <w:rFonts w:ascii="宋体" w:hAnsi="宋体" w:cs="宋体"/>
          <w:sz w:val="28"/>
          <w:szCs w:val="28"/>
          <w:highlight w:val="none"/>
        </w:rPr>
        <w:tab/>
      </w:r>
      <w:r>
        <w:rPr>
          <w:rFonts w:hint="eastAsia" w:ascii="宋体" w:hAnsi="宋体" w:cs="宋体"/>
          <w:sz w:val="28"/>
          <w:szCs w:val="28"/>
          <w:highlight w:val="none"/>
        </w:rPr>
        <w:fldChar w:fldCharType="begin"/>
      </w:r>
      <w:r>
        <w:rPr>
          <w:rFonts w:ascii="宋体" w:hAnsi="宋体" w:cs="宋体"/>
          <w:sz w:val="28"/>
          <w:szCs w:val="28"/>
          <w:highlight w:val="none"/>
        </w:rPr>
        <w:instrText xml:space="preserve"> PAGEREF _Toc29189 \h </w:instrText>
      </w:r>
      <w:r>
        <w:rPr>
          <w:rFonts w:hint="eastAsia" w:ascii="宋体" w:hAnsi="宋体" w:cs="宋体"/>
          <w:sz w:val="28"/>
          <w:szCs w:val="28"/>
          <w:highlight w:val="none"/>
        </w:rPr>
        <w:fldChar w:fldCharType="separate"/>
      </w:r>
      <w:r>
        <w:rPr>
          <w:rFonts w:ascii="宋体" w:hAnsi="宋体" w:cs="宋体"/>
          <w:sz w:val="28"/>
          <w:szCs w:val="28"/>
          <w:highlight w:val="none"/>
        </w:rPr>
        <w:t>48</w:t>
      </w:r>
      <w:r>
        <w:rPr>
          <w:rFonts w:hint="eastAsia" w:ascii="宋体" w:hAnsi="宋体" w:cs="宋体"/>
          <w:sz w:val="28"/>
          <w:szCs w:val="28"/>
          <w:highlight w:val="none"/>
        </w:rPr>
        <w:fldChar w:fldCharType="end"/>
      </w:r>
      <w:r>
        <w:rPr>
          <w:rFonts w:hint="eastAsia" w:ascii="宋体" w:hAnsi="宋体" w:cs="宋体"/>
          <w:sz w:val="28"/>
          <w:szCs w:val="28"/>
          <w:highlight w:val="none"/>
        </w:rPr>
        <w:fldChar w:fldCharType="end"/>
      </w:r>
    </w:p>
    <w:p w14:paraId="4DC0FDE2">
      <w:pPr>
        <w:pStyle w:val="15"/>
        <w:tabs>
          <w:tab w:val="right" w:leader="dot" w:pos="8765"/>
        </w:tabs>
        <w:rPr>
          <w:rFonts w:ascii="宋体" w:hAnsi="宋体" w:cs="宋体"/>
          <w:sz w:val="28"/>
          <w:szCs w:val="28"/>
          <w:highlight w:val="none"/>
        </w:rPr>
      </w:pPr>
      <w:r>
        <w:rPr>
          <w:rFonts w:hint="eastAsia"/>
          <w:sz w:val="28"/>
          <w:szCs w:val="28"/>
          <w:highlight w:val="none"/>
        </w:rPr>
        <w:fldChar w:fldCharType="begin"/>
      </w:r>
      <w:r>
        <w:rPr>
          <w:sz w:val="28"/>
          <w:szCs w:val="28"/>
          <w:highlight w:val="none"/>
        </w:rPr>
        <w:instrText xml:space="preserve"> HYPERLINK \l "_Toc6275" </w:instrText>
      </w:r>
      <w:r>
        <w:rPr>
          <w:rFonts w:hint="eastAsia" w:ascii="Times New Roman" w:hAnsi="Times New Roman" w:cs="Times New Roman"/>
          <w:sz w:val="28"/>
          <w:szCs w:val="28"/>
          <w:highlight w:val="none"/>
        </w:rPr>
        <w:fldChar w:fldCharType="separate"/>
      </w:r>
      <w:r>
        <w:rPr>
          <w:rFonts w:hint="eastAsia" w:ascii="宋体" w:hAnsi="宋体" w:cs="宋体"/>
          <w:sz w:val="28"/>
          <w:szCs w:val="28"/>
          <w:highlight w:val="none"/>
        </w:rPr>
        <w:t>附件</w:t>
      </w:r>
      <w:r>
        <w:rPr>
          <w:rFonts w:ascii="宋体" w:hAnsi="宋体" w:cs="宋体"/>
          <w:sz w:val="28"/>
          <w:szCs w:val="28"/>
          <w:highlight w:val="none"/>
        </w:rPr>
        <w:t xml:space="preserve">10 </w:t>
      </w:r>
      <w:r>
        <w:rPr>
          <w:rFonts w:hint="eastAsia" w:ascii="宋体" w:hAnsi="宋体" w:cs="宋体"/>
          <w:sz w:val="28"/>
          <w:szCs w:val="28"/>
          <w:highlight w:val="none"/>
        </w:rPr>
        <w:t>技术差异表</w:t>
      </w:r>
      <w:r>
        <w:rPr>
          <w:rFonts w:ascii="宋体" w:hAnsi="宋体" w:cs="宋体"/>
          <w:sz w:val="28"/>
          <w:szCs w:val="28"/>
          <w:highlight w:val="none"/>
        </w:rPr>
        <w:tab/>
      </w:r>
      <w:r>
        <w:rPr>
          <w:rFonts w:hint="eastAsia" w:ascii="宋体" w:hAnsi="宋体" w:cs="宋体"/>
          <w:sz w:val="28"/>
          <w:szCs w:val="28"/>
          <w:highlight w:val="none"/>
        </w:rPr>
        <w:fldChar w:fldCharType="begin"/>
      </w:r>
      <w:r>
        <w:rPr>
          <w:rFonts w:ascii="宋体" w:hAnsi="宋体" w:cs="宋体"/>
          <w:sz w:val="28"/>
          <w:szCs w:val="28"/>
          <w:highlight w:val="none"/>
        </w:rPr>
        <w:instrText xml:space="preserve"> PAGEREF _Toc6275 \h </w:instrText>
      </w:r>
      <w:r>
        <w:rPr>
          <w:rFonts w:hint="eastAsia" w:ascii="宋体" w:hAnsi="宋体" w:cs="宋体"/>
          <w:sz w:val="28"/>
          <w:szCs w:val="28"/>
          <w:highlight w:val="none"/>
        </w:rPr>
        <w:fldChar w:fldCharType="separate"/>
      </w:r>
      <w:r>
        <w:rPr>
          <w:rFonts w:ascii="宋体" w:hAnsi="宋体" w:cs="宋体"/>
          <w:sz w:val="28"/>
          <w:szCs w:val="28"/>
          <w:highlight w:val="none"/>
        </w:rPr>
        <w:t>49</w:t>
      </w:r>
      <w:r>
        <w:rPr>
          <w:rFonts w:hint="eastAsia" w:ascii="宋体" w:hAnsi="宋体" w:cs="宋体"/>
          <w:sz w:val="28"/>
          <w:szCs w:val="28"/>
          <w:highlight w:val="none"/>
        </w:rPr>
        <w:fldChar w:fldCharType="end"/>
      </w:r>
      <w:r>
        <w:rPr>
          <w:rFonts w:hint="eastAsia" w:ascii="宋体" w:hAnsi="宋体" w:cs="宋体"/>
          <w:sz w:val="28"/>
          <w:szCs w:val="28"/>
          <w:highlight w:val="none"/>
        </w:rPr>
        <w:fldChar w:fldCharType="end"/>
      </w:r>
    </w:p>
    <w:p w14:paraId="7FD8A43C">
      <w:pPr>
        <w:pStyle w:val="15"/>
        <w:tabs>
          <w:tab w:val="right" w:leader="dot" w:pos="8765"/>
        </w:tabs>
        <w:rPr>
          <w:rFonts w:ascii="宋体" w:hAnsi="宋体" w:cs="宋体"/>
          <w:sz w:val="28"/>
          <w:szCs w:val="28"/>
          <w:highlight w:val="none"/>
        </w:rPr>
      </w:pPr>
      <w:r>
        <w:rPr>
          <w:rFonts w:hint="eastAsia"/>
          <w:sz w:val="28"/>
          <w:szCs w:val="28"/>
          <w:highlight w:val="none"/>
        </w:rPr>
        <w:fldChar w:fldCharType="begin"/>
      </w:r>
      <w:r>
        <w:rPr>
          <w:sz w:val="28"/>
          <w:szCs w:val="28"/>
          <w:highlight w:val="none"/>
        </w:rPr>
        <w:instrText xml:space="preserve"> HYPERLINK \l "_Toc26871" </w:instrText>
      </w:r>
      <w:r>
        <w:rPr>
          <w:rFonts w:hint="eastAsia" w:ascii="Times New Roman" w:hAnsi="Times New Roman" w:cs="Times New Roman"/>
          <w:sz w:val="28"/>
          <w:szCs w:val="28"/>
          <w:highlight w:val="none"/>
        </w:rPr>
        <w:fldChar w:fldCharType="separate"/>
      </w:r>
      <w:r>
        <w:rPr>
          <w:rFonts w:hint="eastAsia" w:ascii="宋体" w:hAnsi="宋体" w:cs="宋体"/>
          <w:sz w:val="28"/>
          <w:szCs w:val="28"/>
          <w:highlight w:val="none"/>
        </w:rPr>
        <w:t>附件</w:t>
      </w:r>
      <w:r>
        <w:rPr>
          <w:rFonts w:ascii="宋体" w:hAnsi="宋体" w:cs="宋体"/>
          <w:sz w:val="28"/>
          <w:szCs w:val="28"/>
          <w:highlight w:val="none"/>
        </w:rPr>
        <w:t xml:space="preserve">11 </w:t>
      </w:r>
      <w:r>
        <w:rPr>
          <w:rFonts w:hint="eastAsia" w:ascii="宋体" w:hAnsi="宋体" w:cs="宋体"/>
          <w:sz w:val="28"/>
          <w:szCs w:val="28"/>
          <w:highlight w:val="none"/>
        </w:rPr>
        <w:t>附图</w:t>
      </w:r>
      <w:r>
        <w:rPr>
          <w:rFonts w:ascii="宋体" w:hAnsi="宋体" w:cs="宋体"/>
          <w:sz w:val="28"/>
          <w:szCs w:val="28"/>
          <w:highlight w:val="none"/>
        </w:rPr>
        <w:tab/>
      </w:r>
      <w:r>
        <w:rPr>
          <w:rFonts w:hint="eastAsia" w:ascii="宋体" w:hAnsi="宋体" w:cs="宋体"/>
          <w:sz w:val="28"/>
          <w:szCs w:val="28"/>
          <w:highlight w:val="none"/>
        </w:rPr>
        <w:fldChar w:fldCharType="begin"/>
      </w:r>
      <w:r>
        <w:rPr>
          <w:rFonts w:ascii="宋体" w:hAnsi="宋体" w:cs="宋体"/>
          <w:sz w:val="28"/>
          <w:szCs w:val="28"/>
          <w:highlight w:val="none"/>
        </w:rPr>
        <w:instrText xml:space="preserve"> PAGEREF _Toc26871 \h </w:instrText>
      </w:r>
      <w:r>
        <w:rPr>
          <w:rFonts w:hint="eastAsia" w:ascii="宋体" w:hAnsi="宋体" w:cs="宋体"/>
          <w:sz w:val="28"/>
          <w:szCs w:val="28"/>
          <w:highlight w:val="none"/>
        </w:rPr>
        <w:fldChar w:fldCharType="separate"/>
      </w:r>
      <w:r>
        <w:rPr>
          <w:rFonts w:ascii="宋体" w:hAnsi="宋体" w:cs="宋体"/>
          <w:sz w:val="28"/>
          <w:szCs w:val="28"/>
          <w:highlight w:val="none"/>
        </w:rPr>
        <w:t>50</w:t>
      </w:r>
      <w:r>
        <w:rPr>
          <w:rFonts w:hint="eastAsia" w:ascii="宋体" w:hAnsi="宋体" w:cs="宋体"/>
          <w:sz w:val="28"/>
          <w:szCs w:val="28"/>
          <w:highlight w:val="none"/>
        </w:rPr>
        <w:fldChar w:fldCharType="end"/>
      </w:r>
      <w:r>
        <w:rPr>
          <w:rFonts w:hint="eastAsia" w:ascii="宋体" w:hAnsi="宋体" w:cs="宋体"/>
          <w:sz w:val="28"/>
          <w:szCs w:val="28"/>
          <w:highlight w:val="none"/>
        </w:rPr>
        <w:fldChar w:fldCharType="end"/>
      </w:r>
    </w:p>
    <w:p w14:paraId="35218989">
      <w:pPr>
        <w:pStyle w:val="15"/>
        <w:tabs>
          <w:tab w:val="right" w:leader="dot" w:pos="8765"/>
        </w:tabs>
        <w:rPr>
          <w:rFonts w:ascii="宋体" w:hAnsi="宋体" w:cs="宋体"/>
          <w:sz w:val="28"/>
          <w:szCs w:val="28"/>
          <w:highlight w:val="none"/>
        </w:rPr>
      </w:pPr>
      <w:r>
        <w:rPr>
          <w:rFonts w:hint="eastAsia"/>
          <w:sz w:val="28"/>
          <w:szCs w:val="28"/>
          <w:highlight w:val="none"/>
        </w:rPr>
        <w:fldChar w:fldCharType="begin"/>
      </w:r>
      <w:r>
        <w:rPr>
          <w:sz w:val="28"/>
          <w:szCs w:val="28"/>
          <w:highlight w:val="none"/>
        </w:rPr>
        <w:instrText xml:space="preserve"> HYPERLINK \l "_Toc6925" </w:instrText>
      </w:r>
      <w:r>
        <w:rPr>
          <w:rFonts w:hint="eastAsia" w:ascii="Times New Roman" w:hAnsi="Times New Roman" w:cs="Times New Roman"/>
          <w:sz w:val="28"/>
          <w:szCs w:val="28"/>
          <w:highlight w:val="none"/>
        </w:rPr>
        <w:fldChar w:fldCharType="separate"/>
      </w:r>
      <w:r>
        <w:rPr>
          <w:rFonts w:hint="eastAsia" w:ascii="宋体" w:hAnsi="宋体" w:cs="宋体"/>
          <w:sz w:val="28"/>
          <w:szCs w:val="28"/>
          <w:highlight w:val="none"/>
        </w:rPr>
        <w:t>附件</w:t>
      </w:r>
      <w:r>
        <w:rPr>
          <w:rFonts w:ascii="宋体" w:hAnsi="宋体" w:cs="宋体"/>
          <w:sz w:val="28"/>
          <w:szCs w:val="28"/>
          <w:highlight w:val="none"/>
        </w:rPr>
        <w:t xml:space="preserve">12 </w:t>
      </w:r>
      <w:r>
        <w:rPr>
          <w:rFonts w:hint="eastAsia" w:ascii="宋体" w:hAnsi="宋体" w:cs="宋体"/>
          <w:sz w:val="28"/>
          <w:szCs w:val="28"/>
          <w:highlight w:val="none"/>
        </w:rPr>
        <w:t>性能考核条款</w:t>
      </w:r>
      <w:r>
        <w:rPr>
          <w:rFonts w:ascii="宋体" w:hAnsi="宋体" w:cs="宋体"/>
          <w:sz w:val="28"/>
          <w:szCs w:val="28"/>
          <w:highlight w:val="none"/>
        </w:rPr>
        <w:tab/>
      </w:r>
      <w:r>
        <w:rPr>
          <w:rFonts w:hint="eastAsia" w:ascii="宋体" w:hAnsi="宋体" w:cs="宋体"/>
          <w:sz w:val="28"/>
          <w:szCs w:val="28"/>
          <w:highlight w:val="none"/>
        </w:rPr>
        <w:fldChar w:fldCharType="begin"/>
      </w:r>
      <w:r>
        <w:rPr>
          <w:rFonts w:ascii="宋体" w:hAnsi="宋体" w:cs="宋体"/>
          <w:sz w:val="28"/>
          <w:szCs w:val="28"/>
          <w:highlight w:val="none"/>
        </w:rPr>
        <w:instrText xml:space="preserve"> PAGEREF _Toc6925 \h </w:instrText>
      </w:r>
      <w:r>
        <w:rPr>
          <w:rFonts w:hint="eastAsia" w:ascii="宋体" w:hAnsi="宋体" w:cs="宋体"/>
          <w:sz w:val="28"/>
          <w:szCs w:val="28"/>
          <w:highlight w:val="none"/>
        </w:rPr>
        <w:fldChar w:fldCharType="separate"/>
      </w:r>
      <w:r>
        <w:rPr>
          <w:rFonts w:ascii="宋体" w:hAnsi="宋体" w:cs="宋体"/>
          <w:sz w:val="28"/>
          <w:szCs w:val="28"/>
          <w:highlight w:val="none"/>
        </w:rPr>
        <w:t>51</w:t>
      </w:r>
      <w:r>
        <w:rPr>
          <w:rFonts w:hint="eastAsia" w:ascii="宋体" w:hAnsi="宋体" w:cs="宋体"/>
          <w:sz w:val="28"/>
          <w:szCs w:val="28"/>
          <w:highlight w:val="none"/>
        </w:rPr>
        <w:fldChar w:fldCharType="end"/>
      </w:r>
      <w:r>
        <w:rPr>
          <w:rFonts w:hint="eastAsia" w:ascii="宋体" w:hAnsi="宋体" w:cs="宋体"/>
          <w:sz w:val="28"/>
          <w:szCs w:val="28"/>
          <w:highlight w:val="none"/>
        </w:rPr>
        <w:fldChar w:fldCharType="end"/>
      </w:r>
    </w:p>
    <w:p w14:paraId="62A60A6F">
      <w:pPr>
        <w:pStyle w:val="15"/>
        <w:tabs>
          <w:tab w:val="right" w:leader="dot" w:pos="8765"/>
        </w:tabs>
        <w:rPr>
          <w:highlight w:val="none"/>
        </w:rPr>
      </w:pPr>
      <w:r>
        <w:rPr>
          <w:rFonts w:hint="eastAsia"/>
          <w:sz w:val="28"/>
          <w:szCs w:val="28"/>
          <w:highlight w:val="none"/>
        </w:rPr>
        <w:fldChar w:fldCharType="begin"/>
      </w:r>
      <w:r>
        <w:rPr>
          <w:sz w:val="28"/>
          <w:szCs w:val="28"/>
          <w:highlight w:val="none"/>
        </w:rPr>
        <w:instrText xml:space="preserve"> HYPERLINK \l "_Toc13967" </w:instrText>
      </w:r>
      <w:r>
        <w:rPr>
          <w:rFonts w:hint="eastAsia" w:ascii="Times New Roman" w:hAnsi="Times New Roman" w:cs="Times New Roman"/>
          <w:sz w:val="28"/>
          <w:szCs w:val="28"/>
          <w:highlight w:val="none"/>
        </w:rPr>
        <w:fldChar w:fldCharType="separate"/>
      </w:r>
      <w:r>
        <w:rPr>
          <w:rFonts w:hint="eastAsia" w:ascii="宋体" w:hAnsi="宋体" w:cs="宋体"/>
          <w:sz w:val="28"/>
          <w:szCs w:val="28"/>
          <w:highlight w:val="none"/>
        </w:rPr>
        <w:t>附件</w:t>
      </w:r>
      <w:r>
        <w:rPr>
          <w:rFonts w:ascii="宋体" w:hAnsi="宋体" w:cs="宋体"/>
          <w:sz w:val="28"/>
          <w:szCs w:val="28"/>
          <w:highlight w:val="none"/>
        </w:rPr>
        <w:t xml:space="preserve">13 </w:t>
      </w:r>
      <w:r>
        <w:rPr>
          <w:rFonts w:hint="eastAsia" w:ascii="宋体" w:hAnsi="宋体" w:cs="宋体"/>
          <w:sz w:val="28"/>
          <w:szCs w:val="28"/>
          <w:highlight w:val="none"/>
        </w:rPr>
        <w:t>投标人需要说明的其他问题（质量承诺及售后服务承诺等）</w:t>
      </w:r>
      <w:r>
        <w:rPr>
          <w:rFonts w:ascii="宋体" w:hAnsi="宋体" w:cs="宋体"/>
          <w:sz w:val="28"/>
          <w:szCs w:val="28"/>
          <w:highlight w:val="none"/>
        </w:rPr>
        <w:tab/>
      </w:r>
      <w:r>
        <w:rPr>
          <w:rFonts w:hint="eastAsia" w:ascii="宋体" w:hAnsi="宋体" w:cs="宋体"/>
          <w:sz w:val="28"/>
          <w:szCs w:val="28"/>
          <w:highlight w:val="none"/>
        </w:rPr>
        <w:fldChar w:fldCharType="begin"/>
      </w:r>
      <w:r>
        <w:rPr>
          <w:rFonts w:ascii="宋体" w:hAnsi="宋体" w:cs="宋体"/>
          <w:sz w:val="28"/>
          <w:szCs w:val="28"/>
          <w:highlight w:val="none"/>
        </w:rPr>
        <w:instrText xml:space="preserve"> PAGEREF _Toc13967 \h </w:instrText>
      </w:r>
      <w:r>
        <w:rPr>
          <w:rFonts w:hint="eastAsia" w:ascii="宋体" w:hAnsi="宋体" w:cs="宋体"/>
          <w:sz w:val="28"/>
          <w:szCs w:val="28"/>
          <w:highlight w:val="none"/>
        </w:rPr>
        <w:fldChar w:fldCharType="separate"/>
      </w:r>
      <w:r>
        <w:rPr>
          <w:rFonts w:ascii="宋体" w:hAnsi="宋体" w:cs="宋体"/>
          <w:sz w:val="28"/>
          <w:szCs w:val="28"/>
          <w:highlight w:val="none"/>
        </w:rPr>
        <w:t>52</w:t>
      </w:r>
      <w:r>
        <w:rPr>
          <w:rFonts w:hint="eastAsia" w:ascii="宋体" w:hAnsi="宋体" w:cs="宋体"/>
          <w:sz w:val="28"/>
          <w:szCs w:val="28"/>
          <w:highlight w:val="none"/>
        </w:rPr>
        <w:fldChar w:fldCharType="end"/>
      </w:r>
      <w:r>
        <w:rPr>
          <w:rFonts w:hint="eastAsia" w:ascii="宋体" w:hAnsi="宋体" w:cs="宋体"/>
          <w:sz w:val="28"/>
          <w:szCs w:val="28"/>
          <w:highlight w:val="none"/>
        </w:rPr>
        <w:fldChar w:fldCharType="end"/>
      </w:r>
    </w:p>
    <w:p w14:paraId="16EB30F9">
      <w:pPr>
        <w:widowControl/>
        <w:spacing w:line="360" w:lineRule="auto"/>
        <w:jc w:val="left"/>
        <w:rPr>
          <w:rStyle w:val="24"/>
          <w:bCs/>
          <w:color w:val="auto"/>
          <w:highlight w:val="none"/>
        </w:rPr>
        <w:sectPr>
          <w:headerReference r:id="rId4" w:type="default"/>
          <w:footerReference r:id="rId5" w:type="default"/>
          <w:pgSz w:w="11906" w:h="16838"/>
          <w:pgMar w:top="1440" w:right="1440" w:bottom="1440" w:left="1701" w:header="851" w:footer="992" w:gutter="0"/>
          <w:pgNumType w:fmt="upperRoman" w:start="1"/>
          <w:cols w:space="425" w:num="1"/>
          <w:docGrid w:type="lines" w:linePitch="312" w:charSpace="0"/>
        </w:sectPr>
      </w:pPr>
      <w:r>
        <w:rPr>
          <w:rStyle w:val="24"/>
          <w:bCs/>
          <w:color w:val="auto"/>
          <w:sz w:val="28"/>
          <w:szCs w:val="28"/>
          <w:highlight w:val="none"/>
        </w:rPr>
        <w:fldChar w:fldCharType="end"/>
      </w:r>
    </w:p>
    <w:p w14:paraId="57C28278">
      <w:pPr>
        <w:pStyle w:val="4"/>
        <w:spacing w:before="156" w:beforeLines="50" w:after="156" w:afterLines="50" w:line="360" w:lineRule="auto"/>
        <w:jc w:val="left"/>
        <w:rPr>
          <w:sz w:val="32"/>
          <w:szCs w:val="32"/>
          <w:highlight w:val="none"/>
        </w:rPr>
      </w:pPr>
      <w:bookmarkStart w:id="45" w:name="_Toc515953160"/>
      <w:bookmarkStart w:id="46" w:name="_Toc925"/>
      <w:r>
        <w:rPr>
          <w:sz w:val="32"/>
          <w:szCs w:val="32"/>
          <w:highlight w:val="none"/>
        </w:rPr>
        <w:t>附件1 技术规范</w:t>
      </w:r>
      <w:bookmarkEnd w:id="45"/>
      <w:bookmarkEnd w:id="46"/>
    </w:p>
    <w:p w14:paraId="5C141068">
      <w:pPr>
        <w:pStyle w:val="53"/>
        <w:adjustRightInd w:val="0"/>
        <w:spacing w:before="156" w:beforeLines="50" w:after="156" w:afterLines="50" w:line="360" w:lineRule="auto"/>
        <w:ind w:firstLine="0" w:firstLineChars="0"/>
        <w:jc w:val="left"/>
        <w:textAlignment w:val="baseline"/>
        <w:outlineLvl w:val="1"/>
        <w:rPr>
          <w:rFonts w:ascii="Times New Roman" w:hAnsi="Times New Roman" w:eastAsia="宋体"/>
          <w:b/>
          <w:sz w:val="28"/>
          <w:szCs w:val="28"/>
          <w:highlight w:val="none"/>
        </w:rPr>
      </w:pPr>
      <w:bookmarkStart w:id="47" w:name="_Toc96238072"/>
      <w:bookmarkStart w:id="48" w:name="_Toc170462597"/>
      <w:bookmarkStart w:id="49" w:name="_Toc170270571"/>
      <w:bookmarkStart w:id="50" w:name="_Toc223835839"/>
      <w:bookmarkStart w:id="51" w:name="_Toc513001933"/>
      <w:bookmarkStart w:id="52" w:name="_Toc513261526"/>
      <w:bookmarkStart w:id="53" w:name="_Toc501817560"/>
      <w:bookmarkStart w:id="54" w:name="_Toc529267697"/>
      <w:bookmarkStart w:id="55" w:name="_Toc536410859"/>
      <w:bookmarkStart w:id="56" w:name="_Toc223320089"/>
      <w:bookmarkStart w:id="57" w:name="_Toc512332294"/>
      <w:r>
        <w:rPr>
          <w:rFonts w:ascii="Times New Roman" w:hAnsi="Times New Roman" w:eastAsia="宋体"/>
          <w:b/>
          <w:sz w:val="28"/>
          <w:szCs w:val="28"/>
          <w:highlight w:val="none"/>
        </w:rPr>
        <w:t>1 总则</w:t>
      </w:r>
      <w:bookmarkEnd w:id="47"/>
      <w:bookmarkEnd w:id="48"/>
      <w:bookmarkEnd w:id="49"/>
    </w:p>
    <w:p w14:paraId="08C64552">
      <w:pPr>
        <w:adjustRightInd w:val="0"/>
        <w:snapToGrid w:val="0"/>
        <w:spacing w:line="360" w:lineRule="auto"/>
        <w:jc w:val="left"/>
        <w:textAlignment w:val="baseline"/>
        <w:rPr>
          <w:highlight w:val="none"/>
        </w:rPr>
      </w:pPr>
      <w:r>
        <w:rPr>
          <w:highlight w:val="none"/>
        </w:rPr>
        <w:t>1.1 本技术规范适用于</w:t>
      </w:r>
      <w:r>
        <w:rPr>
          <w:rFonts w:hint="eastAsia"/>
          <w:bCs/>
          <w:highlight w:val="none"/>
        </w:rPr>
        <w:t>浙能阿克苏热电有限公司制水系统增加一套超滤、一套反渗透装置改造项目非标设备</w:t>
      </w:r>
      <w:r>
        <w:rPr>
          <w:bCs/>
          <w:highlight w:val="none"/>
        </w:rPr>
        <w:t>的采</w:t>
      </w:r>
      <w:r>
        <w:rPr>
          <w:highlight w:val="none"/>
        </w:rPr>
        <w:t>购</w:t>
      </w:r>
      <w:r>
        <w:rPr>
          <w:rFonts w:hint="eastAsia"/>
          <w:highlight w:val="none"/>
        </w:rPr>
        <w:t>，</w:t>
      </w:r>
      <w:r>
        <w:rPr>
          <w:highlight w:val="none"/>
        </w:rPr>
        <w:t>它提出了</w:t>
      </w:r>
      <w:r>
        <w:rPr>
          <w:rFonts w:hint="eastAsia"/>
          <w:szCs w:val="21"/>
          <w:highlight w:val="none"/>
        </w:rPr>
        <w:t>超滤和</w:t>
      </w:r>
      <w:r>
        <w:rPr>
          <w:rFonts w:hint="eastAsia"/>
          <w:kern w:val="0"/>
          <w:szCs w:val="21"/>
          <w:highlight w:val="none"/>
        </w:rPr>
        <w:t>反渗透</w:t>
      </w:r>
      <w:r>
        <w:rPr>
          <w:rFonts w:hint="eastAsia"/>
          <w:highlight w:val="none"/>
        </w:rPr>
        <w:t>滑架</w:t>
      </w:r>
      <w:r>
        <w:rPr>
          <w:rFonts w:hint="eastAsia"/>
          <w:b/>
          <w:bCs/>
          <w:highlight w:val="none"/>
        </w:rPr>
        <w:t>（不含远传仪表）</w:t>
      </w:r>
      <w:r>
        <w:rPr>
          <w:rFonts w:hint="eastAsia"/>
          <w:highlight w:val="none"/>
        </w:rPr>
        <w:t>、反渗透高压泵、自清洗过滤器及保安过滤器等设备</w:t>
      </w:r>
      <w:r>
        <w:rPr>
          <w:highlight w:val="none"/>
        </w:rPr>
        <w:t>的功能设计、结构、性能现场拼装和试验等方面的技术要求。</w:t>
      </w:r>
    </w:p>
    <w:p w14:paraId="395DFE9B">
      <w:pPr>
        <w:tabs>
          <w:tab w:val="left" w:pos="3195"/>
        </w:tabs>
        <w:spacing w:line="360" w:lineRule="auto"/>
        <w:jc w:val="left"/>
        <w:rPr>
          <w:highlight w:val="none"/>
        </w:rPr>
      </w:pPr>
      <w:r>
        <w:rPr>
          <w:highlight w:val="none"/>
        </w:rPr>
        <w:t>1.2 本技术规范所提出的是最低限度的技术要求，并未对一切技术细节作出规定，也未充分引述有关标准和规范的条文。投标人应保证提供符合本技术规范要求和现行中国或国际通用标准的优质产品。</w:t>
      </w:r>
    </w:p>
    <w:p w14:paraId="65FD5367">
      <w:pPr>
        <w:tabs>
          <w:tab w:val="left" w:pos="3195"/>
        </w:tabs>
        <w:spacing w:line="360" w:lineRule="auto"/>
        <w:jc w:val="left"/>
        <w:rPr>
          <w:highlight w:val="none"/>
        </w:rPr>
      </w:pPr>
      <w:r>
        <w:rPr>
          <w:highlight w:val="none"/>
        </w:rPr>
        <w:t>1.3 投标人提供的设备应是全新的和先进的，并经过运行实践已证明是完全成熟可靠的产品。同时满足国家有关安全、职业健康、环保等强制性法规、标准的要求。</w:t>
      </w:r>
    </w:p>
    <w:p w14:paraId="4275811E">
      <w:pPr>
        <w:tabs>
          <w:tab w:val="left" w:pos="3195"/>
        </w:tabs>
        <w:spacing w:line="360" w:lineRule="auto"/>
        <w:jc w:val="left"/>
        <w:rPr>
          <w:highlight w:val="none"/>
        </w:rPr>
      </w:pPr>
      <w:r>
        <w:rPr>
          <w:highlight w:val="none"/>
        </w:rPr>
        <w:t>1.4 凡在投标人设计范围之内的外购件或外购设备，技术上均由投标人负责归口协调，系统性能由投标人保证。</w:t>
      </w:r>
    </w:p>
    <w:p w14:paraId="30E7288D">
      <w:pPr>
        <w:tabs>
          <w:tab w:val="left" w:pos="3195"/>
        </w:tabs>
        <w:spacing w:line="360" w:lineRule="auto"/>
        <w:jc w:val="left"/>
        <w:rPr>
          <w:highlight w:val="none"/>
        </w:rPr>
      </w:pPr>
      <w:r>
        <w:rPr>
          <w:highlight w:val="none"/>
        </w:rPr>
        <w:t>1.5 在签订合同之后，到投标人开始制造之日的这段时间内，招标人有权提出因参数、规范、标准和规程发生变化而产生的一些补充修改要求，投标人应遵守这个要求，具体款项内容由双方共同商定，而投标人不提出商务修改要求。</w:t>
      </w:r>
    </w:p>
    <w:p w14:paraId="2F0B7C18">
      <w:pPr>
        <w:tabs>
          <w:tab w:val="left" w:pos="3195"/>
        </w:tabs>
        <w:spacing w:line="360" w:lineRule="auto"/>
        <w:jc w:val="left"/>
        <w:rPr>
          <w:highlight w:val="none"/>
        </w:rPr>
      </w:pPr>
      <w:r>
        <w:rPr>
          <w:highlight w:val="none"/>
        </w:rPr>
        <w:t>1.6 本技术规范所使用的标准，如遇到与投标人所执行的标准不一致时，按较高的标准执行，但不应低于最新中国国家标准。如果本技术规范与现行使用的有关中国标准以及中国部颁标准有明显抵触的条文，投标人应及时书面通知招标人，并经双方协商解决。</w:t>
      </w:r>
    </w:p>
    <w:p w14:paraId="66A47A82">
      <w:pPr>
        <w:tabs>
          <w:tab w:val="left" w:pos="960"/>
        </w:tabs>
        <w:spacing w:line="360" w:lineRule="auto"/>
        <w:jc w:val="left"/>
        <w:rPr>
          <w:highlight w:val="none"/>
        </w:rPr>
      </w:pPr>
      <w:r>
        <w:rPr>
          <w:highlight w:val="none"/>
        </w:rPr>
        <w:t>1.7 所有技术资料和文件中的单位采用国际单位制。</w:t>
      </w:r>
    </w:p>
    <w:p w14:paraId="4EFCCC9B">
      <w:pPr>
        <w:tabs>
          <w:tab w:val="left" w:pos="960"/>
        </w:tabs>
        <w:spacing w:line="360" w:lineRule="auto"/>
        <w:jc w:val="left"/>
        <w:rPr>
          <w:highlight w:val="none"/>
        </w:rPr>
      </w:pPr>
      <w:r>
        <w:rPr>
          <w:highlight w:val="none"/>
        </w:rPr>
        <w:t>1.8 本工程采用国家编码标识系统，编码按照GB/T 50549《电厂标识系统编码标准》执行。设备的具体编码由双方在设计联络会上确定。</w:t>
      </w:r>
    </w:p>
    <w:p w14:paraId="5342280E">
      <w:pPr>
        <w:tabs>
          <w:tab w:val="left" w:pos="960"/>
        </w:tabs>
        <w:spacing w:line="360" w:lineRule="auto"/>
        <w:jc w:val="left"/>
        <w:rPr>
          <w:highlight w:val="none"/>
        </w:rPr>
      </w:pPr>
      <w:r>
        <w:rPr>
          <w:highlight w:val="none"/>
        </w:rPr>
        <w:t>1.9 投标人在合同谈判及合同执行过程中的一切图纸、技术文件、商务信函等必须使用中文，如果投标人提供的文件中使用另一种文字，则需有中文译本，在这种情况下，以中文译本解释为准。</w:t>
      </w:r>
    </w:p>
    <w:p w14:paraId="2C078172">
      <w:pPr>
        <w:spacing w:line="360" w:lineRule="auto"/>
        <w:jc w:val="left"/>
        <w:rPr>
          <w:highlight w:val="none"/>
        </w:rPr>
      </w:pPr>
      <w:r>
        <w:rPr>
          <w:highlight w:val="none"/>
        </w:rPr>
        <w:t>1.10 投标人提供高质量的设备。这些设备是成熟可靠、技术先进的产品，且制造厂已有同类型产品供货业绩（提供近三年的业绩表）。</w:t>
      </w:r>
    </w:p>
    <w:p w14:paraId="36FDBC85">
      <w:pPr>
        <w:spacing w:line="360" w:lineRule="auto"/>
        <w:jc w:val="left"/>
        <w:rPr>
          <w:highlight w:val="none"/>
        </w:rPr>
      </w:pPr>
      <w:r>
        <w:rPr>
          <w:highlight w:val="none"/>
        </w:rPr>
        <w:t>1.11 合同中同一参数和/或技术要求出现不一致时，将按照满足工程质量及有利于招标人要求的原则修改确定。</w:t>
      </w:r>
    </w:p>
    <w:p w14:paraId="3F360672">
      <w:pPr>
        <w:tabs>
          <w:tab w:val="left" w:pos="1440"/>
        </w:tabs>
        <w:spacing w:line="360" w:lineRule="auto"/>
        <w:jc w:val="left"/>
        <w:rPr>
          <w:highlight w:val="none"/>
        </w:rPr>
      </w:pPr>
      <w:r>
        <w:rPr>
          <w:highlight w:val="none"/>
        </w:rPr>
        <w:t>1.12 如未对招标文件提出差异，招标人可认为投标人提供的设备符合原招标文件和标准的要求。如与招标文件的要求有偏差(不管多么微小</w:t>
      </w:r>
      <w:r>
        <w:rPr>
          <w:rFonts w:hint="eastAsia"/>
          <w:highlight w:val="none"/>
        </w:rPr>
        <w:t>）</w:t>
      </w:r>
      <w:r>
        <w:rPr>
          <w:highlight w:val="none"/>
        </w:rPr>
        <w:t xml:space="preserve">，都应清楚地表示在投标文件的“差异表”中。 </w:t>
      </w:r>
    </w:p>
    <w:p w14:paraId="16A20BDF">
      <w:pPr>
        <w:spacing w:line="360" w:lineRule="auto"/>
        <w:jc w:val="left"/>
        <w:rPr>
          <w:highlight w:val="none"/>
        </w:rPr>
      </w:pPr>
      <w:r>
        <w:rPr>
          <w:highlight w:val="none"/>
        </w:rPr>
        <w:t>1.13 所有与本工程有关的技术资料仅用于投标人提供合同设备，未经招标人允许，投标人不得向第三方提供任何与本工程和本招标设备有关的资料或信息。</w:t>
      </w:r>
    </w:p>
    <w:p w14:paraId="61AE3649">
      <w:pPr>
        <w:pStyle w:val="53"/>
        <w:adjustRightInd w:val="0"/>
        <w:spacing w:before="156" w:beforeLines="50" w:after="156" w:afterLines="50" w:line="360" w:lineRule="auto"/>
        <w:ind w:firstLine="0" w:firstLineChars="0"/>
        <w:jc w:val="left"/>
        <w:textAlignment w:val="baseline"/>
        <w:outlineLvl w:val="1"/>
        <w:rPr>
          <w:rFonts w:ascii="Times New Roman" w:hAnsi="Times New Roman" w:eastAsia="宋体"/>
          <w:b/>
          <w:sz w:val="28"/>
          <w:szCs w:val="28"/>
          <w:highlight w:val="none"/>
        </w:rPr>
      </w:pPr>
      <w:bookmarkStart w:id="58" w:name="_Toc25872"/>
      <w:bookmarkStart w:id="59" w:name="_Toc15998"/>
      <w:bookmarkStart w:id="60" w:name="_Toc13371"/>
      <w:bookmarkStart w:id="61" w:name="_Toc25004"/>
      <w:bookmarkStart w:id="62" w:name="_Toc19682"/>
      <w:bookmarkStart w:id="63" w:name="_Toc8352"/>
      <w:r>
        <w:rPr>
          <w:rFonts w:ascii="Times New Roman" w:hAnsi="Times New Roman" w:eastAsia="宋体"/>
          <w:b/>
          <w:sz w:val="28"/>
          <w:szCs w:val="28"/>
          <w:highlight w:val="none"/>
        </w:rPr>
        <w:t>2 工程概况</w:t>
      </w:r>
      <w:bookmarkEnd w:id="58"/>
    </w:p>
    <w:bookmarkEnd w:id="59"/>
    <w:bookmarkEnd w:id="60"/>
    <w:bookmarkEnd w:id="61"/>
    <w:bookmarkEnd w:id="62"/>
    <w:bookmarkEnd w:id="63"/>
    <w:p w14:paraId="73658B46">
      <w:pPr>
        <w:spacing w:line="360" w:lineRule="auto"/>
        <w:ind w:firstLine="480" w:firstLineChars="200"/>
        <w:rPr>
          <w:rFonts w:ascii="宋体" w:hAnsi="宋体"/>
          <w:highlight w:val="none"/>
        </w:rPr>
      </w:pPr>
      <w:r>
        <w:rPr>
          <w:rFonts w:hint="eastAsia"/>
          <w:highlight w:val="none"/>
        </w:rPr>
        <w:t>浙能阿克苏热电有限公司锅炉补给水处理系统由超滤、反渗透预脱盐、离子交换化学除盐等系统组成，提供满足</w:t>
      </w:r>
      <w:r>
        <w:rPr>
          <w:highlight w:val="none"/>
        </w:rPr>
        <w:t>2×350MW</w:t>
      </w:r>
      <w:r>
        <w:rPr>
          <w:rFonts w:hint="eastAsia"/>
          <w:highlight w:val="none"/>
        </w:rPr>
        <w:t>超临界燃煤机组运行所需的补给水和对外供热的水质和水量。预脱盐系统现有超滤</w:t>
      </w:r>
      <w:r>
        <w:rPr>
          <w:highlight w:val="none"/>
        </w:rPr>
        <w:t>5</w:t>
      </w:r>
      <w:r>
        <w:rPr>
          <w:rFonts w:hint="eastAsia"/>
          <w:highlight w:val="none"/>
        </w:rPr>
        <w:t>套、反渗透</w:t>
      </w:r>
      <w:r>
        <w:rPr>
          <w:highlight w:val="none"/>
        </w:rPr>
        <w:t>5</w:t>
      </w:r>
      <w:r>
        <w:rPr>
          <w:rFonts w:hint="eastAsia"/>
          <w:highlight w:val="none"/>
        </w:rPr>
        <w:t>套、浓水反渗透</w:t>
      </w:r>
      <w:r>
        <w:rPr>
          <w:highlight w:val="none"/>
        </w:rPr>
        <w:t>2</w:t>
      </w:r>
      <w:r>
        <w:rPr>
          <w:rFonts w:hint="eastAsia"/>
          <w:highlight w:val="none"/>
        </w:rPr>
        <w:t>套。为满足</w:t>
      </w:r>
      <w:r>
        <w:rPr>
          <w:highlight w:val="none"/>
        </w:rPr>
        <w:t>2026</w:t>
      </w:r>
      <w:r>
        <w:rPr>
          <w:rFonts w:hint="eastAsia"/>
          <w:highlight w:val="none"/>
        </w:rPr>
        <w:t>年冬季对外供汽的用水需求，以及后续年份园区持续增长的供热用汽制水需求，对</w:t>
      </w:r>
      <w:r>
        <w:rPr>
          <w:highlight w:val="none"/>
        </w:rPr>
        <w:t>除盐系统增加一套超滤装置、一套反渗透装置及附设设备优化改造</w:t>
      </w:r>
      <w:r>
        <w:rPr>
          <w:rFonts w:hint="eastAsia"/>
          <w:highlight w:val="none"/>
        </w:rPr>
        <w:t>。</w:t>
      </w:r>
    </w:p>
    <w:p w14:paraId="199CE6D5">
      <w:pPr>
        <w:spacing w:line="360" w:lineRule="auto"/>
        <w:ind w:firstLine="480" w:firstLineChars="200"/>
        <w:jc w:val="left"/>
        <w:rPr>
          <w:highlight w:val="none"/>
        </w:rPr>
      </w:pPr>
    </w:p>
    <w:p w14:paraId="33502A29">
      <w:pPr>
        <w:pStyle w:val="53"/>
        <w:adjustRightInd w:val="0"/>
        <w:spacing w:before="156" w:beforeLines="50" w:after="156" w:afterLines="50" w:line="360" w:lineRule="auto"/>
        <w:ind w:firstLine="0" w:firstLineChars="0"/>
        <w:jc w:val="left"/>
        <w:textAlignment w:val="baseline"/>
        <w:outlineLvl w:val="1"/>
        <w:rPr>
          <w:rFonts w:ascii="Times New Roman" w:hAnsi="Times New Roman" w:eastAsia="宋体"/>
          <w:b/>
          <w:sz w:val="28"/>
          <w:szCs w:val="28"/>
          <w:highlight w:val="none"/>
        </w:rPr>
      </w:pPr>
      <w:bookmarkStart w:id="64" w:name="_Toc381789335"/>
      <w:bookmarkStart w:id="65" w:name="_Toc73953256"/>
      <w:bookmarkStart w:id="66" w:name="_Toc381901711"/>
      <w:bookmarkStart w:id="67" w:name="_Toc369620177"/>
      <w:bookmarkStart w:id="68" w:name="_Toc381788901"/>
      <w:r>
        <w:rPr>
          <w:rFonts w:ascii="Times New Roman" w:hAnsi="Times New Roman" w:eastAsia="宋体"/>
          <w:b/>
          <w:sz w:val="28"/>
          <w:szCs w:val="28"/>
          <w:highlight w:val="none"/>
        </w:rPr>
        <w:t>3 设计和运行条件</w:t>
      </w:r>
    </w:p>
    <w:bookmarkEnd w:id="64"/>
    <w:bookmarkEnd w:id="65"/>
    <w:bookmarkEnd w:id="66"/>
    <w:bookmarkEnd w:id="67"/>
    <w:bookmarkEnd w:id="68"/>
    <w:p w14:paraId="256E23E3">
      <w:pPr>
        <w:pStyle w:val="40"/>
        <w:keepNext w:val="0"/>
        <w:keepLines w:val="0"/>
        <w:numPr>
          <w:ilvl w:val="1"/>
          <w:numId w:val="0"/>
        </w:numPr>
        <w:jc w:val="left"/>
        <w:outlineLvl w:val="2"/>
        <w:rPr>
          <w:rFonts w:ascii="Times New Roman" w:hAnsi="Times New Roman" w:cs="Times New Roman"/>
          <w:highlight w:val="none"/>
          <w:lang w:val="en-US"/>
        </w:rPr>
      </w:pPr>
      <w:bookmarkStart w:id="69" w:name="_Toc401131235"/>
      <w:bookmarkStart w:id="70" w:name="_Toc401134799"/>
      <w:bookmarkStart w:id="71" w:name="_Toc381901712"/>
      <w:bookmarkStart w:id="72" w:name="_Toc73953257"/>
      <w:bookmarkStart w:id="73" w:name="_Toc369620178"/>
      <w:bookmarkStart w:id="74" w:name="_Toc381272085"/>
      <w:bookmarkStart w:id="75" w:name="_Toc381788902"/>
      <w:bookmarkStart w:id="76" w:name="_Toc381789336"/>
      <w:r>
        <w:rPr>
          <w:rFonts w:hint="eastAsia" w:ascii="Times New Roman" w:hAnsi="Times New Roman" w:cs="Times New Roman"/>
          <w:highlight w:val="none"/>
          <w:lang w:val="en-US"/>
        </w:rPr>
        <w:t xml:space="preserve">3.1 </w:t>
      </w:r>
      <w:r>
        <w:rPr>
          <w:rFonts w:ascii="Times New Roman" w:hAnsi="Times New Roman" w:cs="Times New Roman"/>
          <w:highlight w:val="none"/>
          <w:lang w:val="en-US"/>
        </w:rPr>
        <w:t>系统概况</w:t>
      </w:r>
    </w:p>
    <w:bookmarkEnd w:id="69"/>
    <w:bookmarkEnd w:id="70"/>
    <w:p w14:paraId="0D638FC3">
      <w:pPr>
        <w:spacing w:line="360" w:lineRule="auto"/>
        <w:rPr>
          <w:highlight w:val="none"/>
        </w:rPr>
      </w:pPr>
      <w:r>
        <w:rPr>
          <w:rFonts w:hint="eastAsia"/>
          <w:szCs w:val="22"/>
          <w:highlight w:val="none"/>
        </w:rPr>
        <w:t>3.</w:t>
      </w:r>
      <w:r>
        <w:rPr>
          <w:szCs w:val="22"/>
          <w:highlight w:val="none"/>
        </w:rPr>
        <w:t>1.1</w:t>
      </w:r>
      <w:r>
        <w:rPr>
          <w:rFonts w:hint="eastAsia"/>
          <w:szCs w:val="22"/>
          <w:highlight w:val="none"/>
        </w:rPr>
        <w:t>工艺流程</w:t>
      </w:r>
    </w:p>
    <w:p w14:paraId="3F8EEC94">
      <w:pPr>
        <w:spacing w:line="360" w:lineRule="auto"/>
        <w:ind w:firstLine="480" w:firstLineChars="200"/>
        <w:rPr>
          <w:highlight w:val="none"/>
        </w:rPr>
      </w:pPr>
      <w:r>
        <w:rPr>
          <w:rFonts w:hint="eastAsia"/>
          <w:highlight w:val="none"/>
        </w:rPr>
        <w:t>本次制水系统增加一套超滤装置、一套反渗透装置</w:t>
      </w:r>
      <w:r>
        <w:rPr>
          <w:highlight w:val="none"/>
        </w:rPr>
        <w:t>工艺</w:t>
      </w:r>
      <w:r>
        <w:rPr>
          <w:rFonts w:hint="eastAsia"/>
          <w:highlight w:val="none"/>
        </w:rPr>
        <w:t>流程（具体项目不限于此）为：工业及消防水池→超滤给水泵（2大2小）→</w:t>
      </w:r>
      <w:r>
        <w:rPr>
          <w:rFonts w:hint="eastAsia"/>
          <w:b/>
          <w:bCs/>
          <w:highlight w:val="none"/>
        </w:rPr>
        <w:t>自清洗过滤器（本项目新增</w:t>
      </w:r>
      <w:r>
        <w:rPr>
          <w:b/>
          <w:bCs/>
          <w:highlight w:val="none"/>
        </w:rPr>
        <w:t>1</w:t>
      </w:r>
      <w:r>
        <w:rPr>
          <w:rFonts w:hint="eastAsia"/>
          <w:b/>
          <w:bCs/>
          <w:highlight w:val="none"/>
        </w:rPr>
        <w:t>套）</w:t>
      </w:r>
      <w:r>
        <w:rPr>
          <w:rFonts w:hint="eastAsia"/>
          <w:highlight w:val="none"/>
        </w:rPr>
        <w:t>→</w:t>
      </w:r>
      <w:r>
        <w:rPr>
          <w:rFonts w:hint="eastAsia"/>
          <w:b/>
          <w:bCs/>
          <w:highlight w:val="none"/>
        </w:rPr>
        <w:t>超滤装置（本项目新增</w:t>
      </w:r>
      <w:r>
        <w:rPr>
          <w:b/>
          <w:bCs/>
          <w:highlight w:val="none"/>
        </w:rPr>
        <w:t>1</w:t>
      </w:r>
      <w:r>
        <w:rPr>
          <w:rFonts w:hint="eastAsia"/>
          <w:b/>
          <w:bCs/>
          <w:highlight w:val="none"/>
        </w:rPr>
        <w:t>套）</w:t>
      </w:r>
      <w:r>
        <w:rPr>
          <w:rFonts w:hint="eastAsia"/>
          <w:highlight w:val="none"/>
        </w:rPr>
        <w:t>→超滤水箱→清水泵（2大2小）→</w:t>
      </w:r>
      <w:r>
        <w:rPr>
          <w:rFonts w:hint="eastAsia"/>
          <w:b/>
          <w:bCs/>
          <w:highlight w:val="none"/>
        </w:rPr>
        <w:t>保安过滤器（本项目新增</w:t>
      </w:r>
      <w:r>
        <w:rPr>
          <w:b/>
          <w:bCs/>
          <w:highlight w:val="none"/>
        </w:rPr>
        <w:t>1</w:t>
      </w:r>
      <w:r>
        <w:rPr>
          <w:rFonts w:hint="eastAsia"/>
          <w:b/>
          <w:bCs/>
          <w:highlight w:val="none"/>
        </w:rPr>
        <w:t>套）</w:t>
      </w:r>
      <w:r>
        <w:rPr>
          <w:rFonts w:hint="eastAsia"/>
          <w:highlight w:val="none"/>
        </w:rPr>
        <w:t>→</w:t>
      </w:r>
      <w:r>
        <w:rPr>
          <w:rFonts w:hint="eastAsia"/>
          <w:b/>
          <w:bCs/>
          <w:highlight w:val="none"/>
        </w:rPr>
        <w:t>高压泵（本项目新增</w:t>
      </w:r>
      <w:r>
        <w:rPr>
          <w:b/>
          <w:bCs/>
          <w:highlight w:val="none"/>
        </w:rPr>
        <w:t>1</w:t>
      </w:r>
      <w:r>
        <w:rPr>
          <w:rFonts w:hint="eastAsia"/>
          <w:b/>
          <w:bCs/>
          <w:highlight w:val="none"/>
        </w:rPr>
        <w:t>台）</w:t>
      </w:r>
      <w:r>
        <w:rPr>
          <w:rFonts w:hint="eastAsia"/>
          <w:highlight w:val="none"/>
        </w:rPr>
        <w:t>→</w:t>
      </w:r>
      <w:r>
        <w:rPr>
          <w:rFonts w:hint="eastAsia"/>
          <w:b/>
          <w:bCs/>
          <w:highlight w:val="none"/>
        </w:rPr>
        <w:t>反渗透装置（本项目新增</w:t>
      </w:r>
      <w:r>
        <w:rPr>
          <w:b/>
          <w:bCs/>
          <w:highlight w:val="none"/>
        </w:rPr>
        <w:t>1</w:t>
      </w:r>
      <w:r>
        <w:rPr>
          <w:rFonts w:hint="eastAsia"/>
          <w:b/>
          <w:bCs/>
          <w:highlight w:val="none"/>
        </w:rPr>
        <w:t>套）</w:t>
      </w:r>
      <w:r>
        <w:rPr>
          <w:rFonts w:hint="eastAsia"/>
          <w:highlight w:val="none"/>
        </w:rPr>
        <w:t>→淡水箱→淡水泵→现有离子交换除盐系统。</w:t>
      </w:r>
    </w:p>
    <w:p w14:paraId="6916C134">
      <w:pPr>
        <w:spacing w:line="360" w:lineRule="auto"/>
        <w:ind w:firstLine="480" w:firstLineChars="200"/>
        <w:rPr>
          <w:highlight w:val="none"/>
        </w:rPr>
      </w:pPr>
      <w:r>
        <w:rPr>
          <w:rFonts w:hint="eastAsia"/>
          <w:highlight w:val="none"/>
        </w:rPr>
        <w:t>本工程设备均在室内，新增</w:t>
      </w:r>
      <w:r>
        <w:rPr>
          <w:highlight w:val="none"/>
        </w:rPr>
        <w:t>自清洗</w:t>
      </w:r>
      <w:r>
        <w:rPr>
          <w:rFonts w:hint="eastAsia"/>
          <w:highlight w:val="none"/>
        </w:rPr>
        <w:t>过滤器、超滤装置、保安过滤器</w:t>
      </w:r>
      <w:r>
        <w:rPr>
          <w:highlight w:val="none"/>
        </w:rPr>
        <w:t>、高压泵、</w:t>
      </w:r>
      <w:r>
        <w:rPr>
          <w:rFonts w:hint="eastAsia"/>
          <w:highlight w:val="none"/>
        </w:rPr>
        <w:t>反渗透装置等基础已制作预留完成，管道接口等也已预留。</w:t>
      </w:r>
    </w:p>
    <w:p w14:paraId="28FEE71F">
      <w:pPr>
        <w:spacing w:line="360" w:lineRule="auto"/>
        <w:rPr>
          <w:highlight w:val="none"/>
        </w:rPr>
      </w:pPr>
      <w:r>
        <w:rPr>
          <w:rFonts w:hint="eastAsia"/>
          <w:szCs w:val="22"/>
          <w:highlight w:val="none"/>
        </w:rPr>
        <w:t>3.</w:t>
      </w:r>
      <w:r>
        <w:rPr>
          <w:szCs w:val="22"/>
          <w:highlight w:val="none"/>
        </w:rPr>
        <w:t>1</w:t>
      </w:r>
      <w:r>
        <w:rPr>
          <w:highlight w:val="none"/>
        </w:rPr>
        <w:t>.2</w:t>
      </w:r>
      <w:r>
        <w:rPr>
          <w:rFonts w:hint="eastAsia"/>
          <w:highlight w:val="none"/>
        </w:rPr>
        <w:t>系统要求</w:t>
      </w:r>
    </w:p>
    <w:p w14:paraId="55F55412">
      <w:pPr>
        <w:spacing w:line="360" w:lineRule="auto"/>
        <w:ind w:firstLine="480" w:firstLineChars="200"/>
        <w:rPr>
          <w:highlight w:val="none"/>
        </w:rPr>
      </w:pPr>
      <w:r>
        <w:rPr>
          <w:rFonts w:hint="eastAsia"/>
          <w:highlight w:val="none"/>
        </w:rPr>
        <w:t>本工程范围内超滤部分的设计净产水出力为</w:t>
      </w:r>
      <w:r>
        <w:rPr>
          <w:highlight w:val="none"/>
        </w:rPr>
        <w:t xml:space="preserve">1×160 </w:t>
      </w:r>
      <w:r>
        <w:rPr>
          <w:rFonts w:hint="eastAsia"/>
          <w:highlight w:val="none"/>
        </w:rPr>
        <w:t>m³</w:t>
      </w:r>
      <w:r>
        <w:rPr>
          <w:highlight w:val="none"/>
        </w:rPr>
        <w:t>/h</w:t>
      </w:r>
      <w:r>
        <w:rPr>
          <w:rFonts w:hint="eastAsia"/>
          <w:highlight w:val="none"/>
        </w:rPr>
        <w:t>，反渗透装置的设计产水出力为</w:t>
      </w:r>
      <w:r>
        <w:rPr>
          <w:highlight w:val="none"/>
        </w:rPr>
        <w:t xml:space="preserve">1×120 </w:t>
      </w:r>
      <w:r>
        <w:rPr>
          <w:rFonts w:hint="eastAsia"/>
          <w:highlight w:val="none"/>
        </w:rPr>
        <w:t>m³</w:t>
      </w:r>
      <w:r>
        <w:rPr>
          <w:highlight w:val="none"/>
        </w:rPr>
        <w:t>/h</w:t>
      </w:r>
      <w:r>
        <w:rPr>
          <w:rFonts w:hint="eastAsia"/>
          <w:highlight w:val="none"/>
        </w:rPr>
        <w:t>。预脱盐系统正常运行时，超滤装置、反渗透装置均采用并联运行的方式。</w:t>
      </w:r>
    </w:p>
    <w:p w14:paraId="3FA71F24">
      <w:pPr>
        <w:spacing w:line="360" w:lineRule="auto"/>
        <w:rPr>
          <w:highlight w:val="none"/>
        </w:rPr>
      </w:pPr>
      <w:r>
        <w:rPr>
          <w:rFonts w:hint="eastAsia"/>
          <w:szCs w:val="22"/>
          <w:highlight w:val="none"/>
        </w:rPr>
        <w:t>3.</w:t>
      </w:r>
      <w:r>
        <w:rPr>
          <w:szCs w:val="22"/>
          <w:highlight w:val="none"/>
        </w:rPr>
        <w:t>1</w:t>
      </w:r>
      <w:r>
        <w:rPr>
          <w:highlight w:val="none"/>
        </w:rPr>
        <w:t>.3</w:t>
      </w:r>
      <w:r>
        <w:rPr>
          <w:rFonts w:hint="eastAsia"/>
          <w:highlight w:val="none"/>
        </w:rPr>
        <w:t>工作范围</w:t>
      </w:r>
    </w:p>
    <w:p w14:paraId="09627170">
      <w:pPr>
        <w:spacing w:line="360" w:lineRule="auto"/>
        <w:ind w:firstLine="480" w:firstLineChars="200"/>
        <w:rPr>
          <w:highlight w:val="none"/>
        </w:rPr>
      </w:pPr>
      <w:r>
        <w:rPr>
          <w:rFonts w:hint="eastAsia"/>
          <w:highlight w:val="none"/>
        </w:rPr>
        <w:t>本项目为供货项目，投标人负责合同范围内的</w:t>
      </w:r>
      <w:r>
        <w:rPr>
          <w:rFonts w:hint="eastAsia"/>
          <w:szCs w:val="22"/>
          <w:highlight w:val="none"/>
        </w:rPr>
        <w:t>非标设备供货</w:t>
      </w:r>
      <w:r>
        <w:rPr>
          <w:rFonts w:hint="eastAsia"/>
          <w:highlight w:val="none"/>
        </w:rPr>
        <w:t>。投标人工作范围包括工艺设备的设计、生产、供货、安装指导、反渗透装置现场拼装和协助系统调试。</w:t>
      </w:r>
    </w:p>
    <w:p w14:paraId="20A6827F">
      <w:pPr>
        <w:spacing w:line="360" w:lineRule="auto"/>
        <w:ind w:firstLine="451" w:firstLineChars="188"/>
        <w:rPr>
          <w:highlight w:val="none"/>
        </w:rPr>
      </w:pPr>
      <w:r>
        <w:rPr>
          <w:rFonts w:hint="eastAsia"/>
          <w:highlight w:val="none"/>
        </w:rPr>
        <w:t>投标人负责提供新增超滤、反渗透系统所需设备，并包括附件及所供设备系统内所有的管道和阀门、支架工作平台。</w:t>
      </w:r>
    </w:p>
    <w:p w14:paraId="2EE90D71">
      <w:pPr>
        <w:spacing w:line="360" w:lineRule="auto"/>
        <w:ind w:firstLine="451" w:firstLineChars="188"/>
        <w:rPr>
          <w:highlight w:val="none"/>
        </w:rPr>
      </w:pPr>
      <w:r>
        <w:rPr>
          <w:rFonts w:hint="eastAsia"/>
          <w:highlight w:val="none"/>
        </w:rPr>
        <w:t>投标人负责新增</w:t>
      </w:r>
      <w:r>
        <w:rPr>
          <w:highlight w:val="none"/>
        </w:rPr>
        <w:t>1</w:t>
      </w:r>
      <w:r>
        <w:rPr>
          <w:rFonts w:hint="eastAsia"/>
          <w:highlight w:val="none"/>
        </w:rPr>
        <w:t>套超滤装置、</w:t>
      </w:r>
      <w:r>
        <w:rPr>
          <w:highlight w:val="none"/>
        </w:rPr>
        <w:t>1</w:t>
      </w:r>
      <w:r>
        <w:rPr>
          <w:rFonts w:hint="eastAsia"/>
          <w:highlight w:val="none"/>
        </w:rPr>
        <w:t>套反渗透装置；</w:t>
      </w:r>
      <w:r>
        <w:rPr>
          <w:highlight w:val="none"/>
        </w:rPr>
        <w:t>负责</w:t>
      </w:r>
      <w:r>
        <w:rPr>
          <w:rFonts w:hint="eastAsia"/>
          <w:highlight w:val="none"/>
        </w:rPr>
        <w:t>协助新增系统设备、阀门、仪表等接入厂区DCS控制系统的调试。</w:t>
      </w:r>
    </w:p>
    <w:p w14:paraId="3DB57095">
      <w:pPr>
        <w:spacing w:line="360" w:lineRule="auto"/>
        <w:ind w:firstLine="451" w:firstLineChars="188"/>
        <w:rPr>
          <w:highlight w:val="none"/>
        </w:rPr>
      </w:pPr>
      <w:r>
        <w:rPr>
          <w:rFonts w:hint="eastAsia"/>
          <w:szCs w:val="21"/>
          <w:highlight w:val="none"/>
        </w:rPr>
        <w:t>投标人应完全承担并满足</w:t>
      </w:r>
      <w:r>
        <w:rPr>
          <w:rFonts w:hint="eastAsia"/>
          <w:highlight w:val="none"/>
        </w:rPr>
        <w:t>制水系统增加一套超滤装置、一套反渗透装置改造</w:t>
      </w:r>
      <w:r>
        <w:rPr>
          <w:highlight w:val="none"/>
        </w:rPr>
        <w:t>工程</w:t>
      </w:r>
      <w:r>
        <w:rPr>
          <w:rFonts w:hint="eastAsia"/>
          <w:szCs w:val="21"/>
          <w:highlight w:val="none"/>
        </w:rPr>
        <w:t>中工艺系统的设计、</w:t>
      </w:r>
      <w:r>
        <w:rPr>
          <w:rFonts w:hint="eastAsia"/>
          <w:bCs/>
          <w:szCs w:val="21"/>
          <w:highlight w:val="none"/>
        </w:rPr>
        <w:t>制造、采购、运输、反渗透装置现场拼装、调试、试验及检查</w:t>
      </w:r>
      <w:r>
        <w:rPr>
          <w:rFonts w:hint="eastAsia"/>
          <w:szCs w:val="21"/>
          <w:highlight w:val="none"/>
        </w:rPr>
        <w:t>、考核验收、消缺、培训和最终交付生产及性能测试验收等全部工作。</w:t>
      </w:r>
    </w:p>
    <w:p w14:paraId="74ACD75F">
      <w:pPr>
        <w:spacing w:line="360" w:lineRule="auto"/>
        <w:rPr>
          <w:highlight w:val="none"/>
        </w:rPr>
      </w:pPr>
      <w:r>
        <w:rPr>
          <w:rFonts w:hint="eastAsia"/>
          <w:szCs w:val="22"/>
          <w:highlight w:val="none"/>
        </w:rPr>
        <w:t>3.</w:t>
      </w:r>
      <w:r>
        <w:rPr>
          <w:szCs w:val="22"/>
          <w:highlight w:val="none"/>
        </w:rPr>
        <w:t>1</w:t>
      </w:r>
      <w:r>
        <w:rPr>
          <w:highlight w:val="none"/>
        </w:rPr>
        <w:t xml:space="preserve">.4 </w:t>
      </w:r>
      <w:r>
        <w:rPr>
          <w:rFonts w:hint="eastAsia"/>
          <w:highlight w:val="none"/>
        </w:rPr>
        <w:t>接口</w:t>
      </w:r>
    </w:p>
    <w:p w14:paraId="25CF5026">
      <w:pPr>
        <w:snapToGrid/>
        <w:spacing w:line="360" w:lineRule="auto"/>
        <w:ind w:firstLine="480" w:firstLineChars="200"/>
        <w:rPr>
          <w:highlight w:val="none"/>
        </w:rPr>
      </w:pPr>
      <w:r>
        <w:rPr>
          <w:rFonts w:hint="eastAsia"/>
          <w:highlight w:val="none"/>
        </w:rPr>
        <w:t>投标人负责提供的超滤装置、反渗透装置</w:t>
      </w:r>
      <w:r>
        <w:rPr>
          <w:rFonts w:hint="eastAsia"/>
          <w:highlight w:val="none"/>
          <w:lang w:val="en-US"/>
        </w:rPr>
        <w:t>布置在</w:t>
      </w:r>
      <w:r>
        <w:rPr>
          <w:rFonts w:hint="eastAsia"/>
          <w:highlight w:val="none"/>
        </w:rPr>
        <w:t>化学水处理车间构筑物内。</w:t>
      </w:r>
    </w:p>
    <w:p w14:paraId="1D42865E">
      <w:pPr>
        <w:spacing w:line="360" w:lineRule="auto"/>
        <w:ind w:firstLine="480" w:firstLineChars="200"/>
        <w:rPr>
          <w:highlight w:val="none"/>
        </w:rPr>
      </w:pPr>
      <w:r>
        <w:rPr>
          <w:rFonts w:hint="eastAsia"/>
          <w:highlight w:val="none"/>
        </w:rPr>
        <w:t>自清洗过滤器及超滤装置反洗排水经室内排水沟直接排入工业废水下水道，反渗透装置的浓水采用管道方式排至室外浓水箱。超滤、反渗透装置的</w:t>
      </w:r>
      <w:r>
        <w:rPr>
          <w:rFonts w:hint="eastAsia"/>
          <w:highlight w:val="none"/>
          <w:lang w:val="en-GB"/>
        </w:rPr>
        <w:t>化学清洗排水</w:t>
      </w:r>
      <w:r>
        <w:rPr>
          <w:rFonts w:hint="eastAsia"/>
          <w:highlight w:val="none"/>
        </w:rPr>
        <w:t>至室内排水沟，收集至锅炉补给水除盐系统的中和水池。</w:t>
      </w:r>
    </w:p>
    <w:p w14:paraId="1C297F58">
      <w:pPr>
        <w:snapToGrid w:val="0"/>
        <w:spacing w:line="360" w:lineRule="auto"/>
        <w:ind w:firstLine="420"/>
        <w:rPr>
          <w:szCs w:val="22"/>
          <w:highlight w:val="none"/>
        </w:rPr>
      </w:pPr>
      <w:r>
        <w:rPr>
          <w:rFonts w:hint="eastAsia"/>
          <w:highlight w:val="none"/>
        </w:rPr>
        <w:t>上述分界点主要是指完整的超滤、反渗透系统</w:t>
      </w:r>
      <w:r>
        <w:rPr>
          <w:rFonts w:hint="eastAsia"/>
          <w:highlight w:val="none"/>
          <w:lang w:val="en-GB"/>
        </w:rPr>
        <w:t>进出水管接口，完整的加药、化学清洗装置与药品来源管道接口及系统内的控制、电气与外部的接口。</w:t>
      </w:r>
    </w:p>
    <w:p w14:paraId="7F071979">
      <w:pPr>
        <w:snapToGrid w:val="0"/>
        <w:spacing w:line="360" w:lineRule="auto"/>
        <w:ind w:firstLine="420"/>
        <w:rPr>
          <w:szCs w:val="22"/>
          <w:highlight w:val="none"/>
        </w:rPr>
      </w:pPr>
      <w:r>
        <w:rPr>
          <w:rFonts w:hint="eastAsia"/>
          <w:highlight w:val="none"/>
        </w:rPr>
        <w:t>投标人应根据现场水质及系统运行情况，提供整体水平衡图、单元设备水平衡图、</w:t>
      </w:r>
      <w:r>
        <w:rPr>
          <w:rFonts w:hint="eastAsia"/>
          <w:szCs w:val="22"/>
          <w:highlight w:val="none"/>
        </w:rPr>
        <w:t>用电负荷的清单等。</w:t>
      </w:r>
    </w:p>
    <w:p w14:paraId="4E69343D">
      <w:pPr>
        <w:snapToGrid w:val="0"/>
        <w:spacing w:line="360" w:lineRule="auto"/>
        <w:rPr>
          <w:szCs w:val="22"/>
          <w:highlight w:val="none"/>
        </w:rPr>
      </w:pPr>
      <w:r>
        <w:rPr>
          <w:rFonts w:hint="eastAsia"/>
          <w:szCs w:val="22"/>
          <w:highlight w:val="none"/>
        </w:rPr>
        <w:t>3.</w:t>
      </w:r>
      <w:r>
        <w:rPr>
          <w:szCs w:val="22"/>
          <w:highlight w:val="none"/>
        </w:rPr>
        <w:t xml:space="preserve">1.5 </w:t>
      </w:r>
      <w:r>
        <w:rPr>
          <w:rFonts w:hint="eastAsia"/>
          <w:szCs w:val="22"/>
          <w:highlight w:val="none"/>
        </w:rPr>
        <w:t>超滤、反渗透系统进水水质特征</w:t>
      </w:r>
    </w:p>
    <w:p w14:paraId="3505D69C">
      <w:pPr>
        <w:spacing w:line="360" w:lineRule="auto"/>
        <w:rPr>
          <w:highlight w:val="none"/>
        </w:rPr>
      </w:pPr>
      <w:r>
        <w:rPr>
          <w:rFonts w:hint="eastAsia"/>
          <w:szCs w:val="22"/>
          <w:highlight w:val="none"/>
        </w:rPr>
        <w:t>3.</w:t>
      </w:r>
      <w:r>
        <w:rPr>
          <w:szCs w:val="22"/>
          <w:highlight w:val="none"/>
        </w:rPr>
        <w:t>1</w:t>
      </w:r>
      <w:r>
        <w:rPr>
          <w:highlight w:val="none"/>
        </w:rPr>
        <w:t xml:space="preserve">.5.1 </w:t>
      </w:r>
      <w:r>
        <w:rPr>
          <w:rFonts w:hint="eastAsia"/>
          <w:highlight w:val="none"/>
        </w:rPr>
        <w:t>设计水源：电厂取水自</w:t>
      </w:r>
      <w:r>
        <w:rPr>
          <w:rFonts w:hint="eastAsia" w:hAnsi="宋体"/>
          <w:highlight w:val="none"/>
        </w:rPr>
        <w:t>阿克苏市污水处理厂中水，原水参考水质见“第二章</w:t>
      </w:r>
      <w:r>
        <w:rPr>
          <w:rFonts w:hAnsi="宋体"/>
          <w:highlight w:val="none"/>
        </w:rPr>
        <w:t xml:space="preserve"> </w:t>
      </w:r>
      <w:r>
        <w:rPr>
          <w:rFonts w:hint="eastAsia" w:hAnsi="宋体"/>
          <w:highlight w:val="none"/>
        </w:rPr>
        <w:t>3</w:t>
      </w:r>
      <w:r>
        <w:rPr>
          <w:rFonts w:hAnsi="宋体"/>
          <w:highlight w:val="none"/>
        </w:rPr>
        <w:t>.4</w:t>
      </w:r>
      <w:r>
        <w:rPr>
          <w:rFonts w:hint="eastAsia" w:hAnsi="宋体"/>
          <w:highlight w:val="none"/>
        </w:rPr>
        <w:t xml:space="preserve"> 中表</w:t>
      </w:r>
      <w:r>
        <w:rPr>
          <w:rFonts w:hAnsi="宋体"/>
          <w:highlight w:val="none"/>
        </w:rPr>
        <w:t>-1阿克苏市污水厂来水水质分析资料</w:t>
      </w:r>
      <w:r>
        <w:rPr>
          <w:rFonts w:hint="eastAsia" w:hAnsi="宋体"/>
          <w:highlight w:val="none"/>
        </w:rPr>
        <w:t>，</w:t>
      </w:r>
      <w:r>
        <w:rPr>
          <w:rFonts w:hint="eastAsia"/>
          <w:highlight w:val="none"/>
        </w:rPr>
        <w:t>中水经深度处理后进入超滤反渗透预脱盐系统，</w:t>
      </w:r>
      <w:r>
        <w:rPr>
          <w:rFonts w:hint="eastAsia" w:ascii="宋体" w:hAnsi="宋体"/>
          <w:highlight w:val="none"/>
        </w:rPr>
        <w:t>超滤给水泵进水取自</w:t>
      </w:r>
      <w:r>
        <w:rPr>
          <w:rFonts w:hint="eastAsia" w:hAnsi="宋体"/>
          <w:snapToGrid w:val="0"/>
          <w:highlight w:val="none"/>
        </w:rPr>
        <w:t>工业及消防水池，工业及消防水池水质见</w:t>
      </w:r>
      <w:r>
        <w:rPr>
          <w:rFonts w:hint="eastAsia" w:hAnsi="宋体"/>
          <w:highlight w:val="none"/>
        </w:rPr>
        <w:t>“3</w:t>
      </w:r>
      <w:r>
        <w:rPr>
          <w:rFonts w:hAnsi="宋体"/>
          <w:highlight w:val="none"/>
        </w:rPr>
        <w:t xml:space="preserve">.4 </w:t>
      </w:r>
      <w:r>
        <w:rPr>
          <w:rFonts w:hint="eastAsia" w:hAnsi="宋体"/>
          <w:highlight w:val="none"/>
        </w:rPr>
        <w:t>中表</w:t>
      </w:r>
      <w:r>
        <w:rPr>
          <w:rFonts w:hAnsi="宋体"/>
          <w:highlight w:val="none"/>
        </w:rPr>
        <w:t>-2超滤装置进水（A工业水池）水质分析资料”</w:t>
      </w:r>
      <w:r>
        <w:rPr>
          <w:rFonts w:hint="eastAsia"/>
          <w:highlight w:val="none"/>
        </w:rPr>
        <w:t>。</w:t>
      </w:r>
    </w:p>
    <w:p w14:paraId="188FF09D">
      <w:pPr>
        <w:spacing w:line="360" w:lineRule="auto"/>
        <w:rPr>
          <w:highlight w:val="none"/>
        </w:rPr>
      </w:pPr>
      <w:r>
        <w:rPr>
          <w:rFonts w:hint="eastAsia"/>
          <w:szCs w:val="22"/>
          <w:highlight w:val="none"/>
        </w:rPr>
        <w:t>3.</w:t>
      </w:r>
      <w:r>
        <w:rPr>
          <w:szCs w:val="22"/>
          <w:highlight w:val="none"/>
        </w:rPr>
        <w:t>1</w:t>
      </w:r>
      <w:r>
        <w:rPr>
          <w:highlight w:val="none"/>
        </w:rPr>
        <w:t>.6</w:t>
      </w:r>
      <w:r>
        <w:rPr>
          <w:rFonts w:hint="eastAsia"/>
          <w:highlight w:val="none"/>
        </w:rPr>
        <w:t>系统出水水质要求：</w:t>
      </w:r>
    </w:p>
    <w:tbl>
      <w:tblPr>
        <w:tblStyle w:val="21"/>
        <w:tblW w:w="4706"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962"/>
        <w:gridCol w:w="4732"/>
        <w:gridCol w:w="2759"/>
      </w:tblGrid>
      <w:tr w14:paraId="5845752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tblHeader/>
          <w:jc w:val="center"/>
        </w:trPr>
        <w:tc>
          <w:tcPr>
            <w:tcW w:w="569" w:type="pct"/>
            <w:vAlign w:val="center"/>
          </w:tcPr>
          <w:p w14:paraId="650E7539">
            <w:pPr>
              <w:spacing w:line="360" w:lineRule="auto"/>
              <w:rPr>
                <w:b/>
                <w:highlight w:val="none"/>
              </w:rPr>
            </w:pPr>
            <w:r>
              <w:rPr>
                <w:rFonts w:hint="eastAsia"/>
                <w:b/>
                <w:highlight w:val="none"/>
              </w:rPr>
              <w:t>序号</w:t>
            </w:r>
          </w:p>
        </w:tc>
        <w:tc>
          <w:tcPr>
            <w:tcW w:w="2799" w:type="pct"/>
            <w:vAlign w:val="center"/>
          </w:tcPr>
          <w:p w14:paraId="76B402C4">
            <w:pPr>
              <w:spacing w:line="360" w:lineRule="auto"/>
              <w:rPr>
                <w:b/>
                <w:highlight w:val="none"/>
              </w:rPr>
            </w:pPr>
            <w:r>
              <w:rPr>
                <w:rFonts w:hint="eastAsia"/>
                <w:b/>
                <w:highlight w:val="none"/>
              </w:rPr>
              <w:t>项目</w:t>
            </w:r>
          </w:p>
        </w:tc>
        <w:tc>
          <w:tcPr>
            <w:tcW w:w="1632" w:type="pct"/>
            <w:vAlign w:val="center"/>
          </w:tcPr>
          <w:p w14:paraId="72DB0B17">
            <w:pPr>
              <w:spacing w:line="360" w:lineRule="auto"/>
              <w:rPr>
                <w:b/>
                <w:highlight w:val="none"/>
              </w:rPr>
            </w:pPr>
            <w:r>
              <w:rPr>
                <w:rFonts w:hint="eastAsia"/>
                <w:b/>
                <w:highlight w:val="none"/>
              </w:rPr>
              <w:t>性能指标</w:t>
            </w:r>
          </w:p>
        </w:tc>
      </w:tr>
      <w:tr w14:paraId="4490FF1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569" w:type="pct"/>
            <w:vAlign w:val="center"/>
          </w:tcPr>
          <w:p w14:paraId="7BAC467C">
            <w:pPr>
              <w:spacing w:line="360" w:lineRule="auto"/>
              <w:rPr>
                <w:highlight w:val="none"/>
              </w:rPr>
            </w:pPr>
            <w:r>
              <w:rPr>
                <w:rFonts w:hint="eastAsia"/>
                <w:highlight w:val="none"/>
              </w:rPr>
              <w:t>（一）</w:t>
            </w:r>
          </w:p>
        </w:tc>
        <w:tc>
          <w:tcPr>
            <w:tcW w:w="2799" w:type="pct"/>
            <w:vAlign w:val="center"/>
          </w:tcPr>
          <w:p w14:paraId="1B1903C7">
            <w:pPr>
              <w:spacing w:line="360" w:lineRule="auto"/>
              <w:rPr>
                <w:highlight w:val="none"/>
              </w:rPr>
            </w:pPr>
            <w:r>
              <w:rPr>
                <w:rFonts w:hint="eastAsia"/>
                <w:highlight w:val="none"/>
              </w:rPr>
              <w:t>超滤装置</w:t>
            </w:r>
          </w:p>
        </w:tc>
        <w:tc>
          <w:tcPr>
            <w:tcW w:w="1632" w:type="pct"/>
            <w:vAlign w:val="center"/>
          </w:tcPr>
          <w:p w14:paraId="29B29F2B">
            <w:pPr>
              <w:spacing w:line="360" w:lineRule="auto"/>
              <w:rPr>
                <w:highlight w:val="none"/>
              </w:rPr>
            </w:pPr>
          </w:p>
        </w:tc>
      </w:tr>
      <w:tr w14:paraId="4286206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569" w:type="pct"/>
            <w:vAlign w:val="center"/>
          </w:tcPr>
          <w:p w14:paraId="0997510E">
            <w:pPr>
              <w:spacing w:line="360" w:lineRule="auto"/>
              <w:rPr>
                <w:highlight w:val="none"/>
              </w:rPr>
            </w:pPr>
            <w:r>
              <w:rPr>
                <w:highlight w:val="none"/>
              </w:rPr>
              <w:t>1</w:t>
            </w:r>
          </w:p>
        </w:tc>
        <w:tc>
          <w:tcPr>
            <w:tcW w:w="2799" w:type="pct"/>
            <w:vAlign w:val="center"/>
          </w:tcPr>
          <w:p w14:paraId="0D0D39F1">
            <w:pPr>
              <w:spacing w:line="360" w:lineRule="auto"/>
              <w:rPr>
                <w:highlight w:val="none"/>
              </w:rPr>
            </w:pPr>
            <w:r>
              <w:rPr>
                <w:rFonts w:hint="eastAsia"/>
                <w:highlight w:val="none"/>
              </w:rPr>
              <w:t>超滤装置胶体硅去除率</w:t>
            </w:r>
          </w:p>
        </w:tc>
        <w:tc>
          <w:tcPr>
            <w:tcW w:w="1632" w:type="pct"/>
            <w:vAlign w:val="center"/>
          </w:tcPr>
          <w:p w14:paraId="4F747A56">
            <w:pPr>
              <w:spacing w:line="360" w:lineRule="auto"/>
              <w:rPr>
                <w:highlight w:val="none"/>
              </w:rPr>
            </w:pPr>
            <w:r>
              <w:rPr>
                <w:rFonts w:hint="eastAsia"/>
                <w:highlight w:val="none"/>
              </w:rPr>
              <w:t>≥</w:t>
            </w:r>
            <w:r>
              <w:rPr>
                <w:highlight w:val="none"/>
              </w:rPr>
              <w:t>95%</w:t>
            </w:r>
          </w:p>
        </w:tc>
      </w:tr>
      <w:tr w14:paraId="401A681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569" w:type="pct"/>
            <w:vAlign w:val="center"/>
          </w:tcPr>
          <w:p w14:paraId="2E956C6E">
            <w:pPr>
              <w:spacing w:line="360" w:lineRule="auto"/>
              <w:rPr>
                <w:highlight w:val="none"/>
              </w:rPr>
            </w:pPr>
            <w:r>
              <w:rPr>
                <w:highlight w:val="none"/>
              </w:rPr>
              <w:t>2</w:t>
            </w:r>
          </w:p>
        </w:tc>
        <w:tc>
          <w:tcPr>
            <w:tcW w:w="2799" w:type="pct"/>
            <w:vAlign w:val="center"/>
          </w:tcPr>
          <w:p w14:paraId="356D721B">
            <w:pPr>
              <w:spacing w:line="360" w:lineRule="auto"/>
              <w:rPr>
                <w:highlight w:val="none"/>
              </w:rPr>
            </w:pPr>
            <w:r>
              <w:rPr>
                <w:rFonts w:hint="eastAsia"/>
                <w:highlight w:val="none"/>
              </w:rPr>
              <w:t>超滤装置出水</w:t>
            </w:r>
            <w:r>
              <w:rPr>
                <w:highlight w:val="none"/>
              </w:rPr>
              <w:t>SDI</w:t>
            </w:r>
          </w:p>
        </w:tc>
        <w:tc>
          <w:tcPr>
            <w:tcW w:w="1632" w:type="pct"/>
            <w:vAlign w:val="center"/>
          </w:tcPr>
          <w:p w14:paraId="42BF4DD9">
            <w:pPr>
              <w:spacing w:line="360" w:lineRule="auto"/>
              <w:rPr>
                <w:highlight w:val="none"/>
              </w:rPr>
            </w:pPr>
            <w:r>
              <w:rPr>
                <w:rFonts w:hint="eastAsia"/>
                <w:highlight w:val="none"/>
              </w:rPr>
              <w:t>≤</w:t>
            </w:r>
            <w:r>
              <w:rPr>
                <w:highlight w:val="none"/>
              </w:rPr>
              <w:t>3</w:t>
            </w:r>
          </w:p>
        </w:tc>
      </w:tr>
      <w:tr w14:paraId="263453E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569" w:type="pct"/>
            <w:vAlign w:val="center"/>
          </w:tcPr>
          <w:p w14:paraId="5017B6D5">
            <w:pPr>
              <w:spacing w:line="360" w:lineRule="auto"/>
              <w:rPr>
                <w:highlight w:val="none"/>
              </w:rPr>
            </w:pPr>
            <w:r>
              <w:rPr>
                <w:highlight w:val="none"/>
              </w:rPr>
              <w:t>3</w:t>
            </w:r>
          </w:p>
        </w:tc>
        <w:tc>
          <w:tcPr>
            <w:tcW w:w="2799" w:type="pct"/>
            <w:vAlign w:val="center"/>
          </w:tcPr>
          <w:p w14:paraId="38CDF4FA">
            <w:pPr>
              <w:spacing w:line="360" w:lineRule="auto"/>
              <w:rPr>
                <w:highlight w:val="none"/>
              </w:rPr>
            </w:pPr>
            <w:r>
              <w:rPr>
                <w:rFonts w:hint="eastAsia"/>
                <w:highlight w:val="none"/>
              </w:rPr>
              <w:t>超滤装置出水浊度</w:t>
            </w:r>
          </w:p>
        </w:tc>
        <w:tc>
          <w:tcPr>
            <w:tcW w:w="1632" w:type="pct"/>
            <w:vAlign w:val="center"/>
          </w:tcPr>
          <w:p w14:paraId="503BEE5D">
            <w:pPr>
              <w:spacing w:line="360" w:lineRule="auto"/>
              <w:rPr>
                <w:highlight w:val="none"/>
              </w:rPr>
            </w:pPr>
            <w:r>
              <w:rPr>
                <w:rFonts w:hint="eastAsia"/>
                <w:highlight w:val="none"/>
              </w:rPr>
              <w:t>≤</w:t>
            </w:r>
            <w:r>
              <w:rPr>
                <w:highlight w:val="none"/>
              </w:rPr>
              <w:t>0.10NTU</w:t>
            </w:r>
          </w:p>
        </w:tc>
      </w:tr>
      <w:tr w14:paraId="1ED99D5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569" w:type="pct"/>
            <w:vAlign w:val="center"/>
          </w:tcPr>
          <w:p w14:paraId="4084ABC0">
            <w:pPr>
              <w:spacing w:line="360" w:lineRule="auto"/>
              <w:rPr>
                <w:highlight w:val="none"/>
              </w:rPr>
            </w:pPr>
            <w:r>
              <w:rPr>
                <w:highlight w:val="none"/>
              </w:rPr>
              <w:t>4</w:t>
            </w:r>
          </w:p>
        </w:tc>
        <w:tc>
          <w:tcPr>
            <w:tcW w:w="2799" w:type="pct"/>
            <w:vAlign w:val="center"/>
          </w:tcPr>
          <w:p w14:paraId="3CBDB9DE">
            <w:pPr>
              <w:spacing w:line="360" w:lineRule="auto"/>
              <w:rPr>
                <w:highlight w:val="none"/>
              </w:rPr>
            </w:pPr>
            <w:r>
              <w:rPr>
                <w:rFonts w:hint="eastAsia"/>
                <w:highlight w:val="none"/>
              </w:rPr>
              <w:t>超滤装置出水悬浮物</w:t>
            </w:r>
          </w:p>
        </w:tc>
        <w:tc>
          <w:tcPr>
            <w:tcW w:w="1632" w:type="pct"/>
            <w:vAlign w:val="center"/>
          </w:tcPr>
          <w:p w14:paraId="559060AD">
            <w:pPr>
              <w:spacing w:line="360" w:lineRule="auto"/>
              <w:rPr>
                <w:highlight w:val="none"/>
              </w:rPr>
            </w:pPr>
            <w:r>
              <w:rPr>
                <w:rFonts w:hint="eastAsia"/>
                <w:highlight w:val="none"/>
              </w:rPr>
              <w:t>检测不出</w:t>
            </w:r>
          </w:p>
        </w:tc>
      </w:tr>
    </w:tbl>
    <w:p w14:paraId="7AFC5001">
      <w:pPr>
        <w:rPr>
          <w:highlight w:val="none"/>
        </w:rPr>
      </w:pPr>
    </w:p>
    <w:p w14:paraId="3C961DEA">
      <w:pPr>
        <w:spacing w:line="360" w:lineRule="auto"/>
        <w:rPr>
          <w:highlight w:val="none"/>
        </w:rPr>
      </w:pPr>
      <w:r>
        <w:rPr>
          <w:rFonts w:hint="eastAsia"/>
          <w:szCs w:val="22"/>
          <w:highlight w:val="none"/>
        </w:rPr>
        <w:t>3.</w:t>
      </w:r>
      <w:r>
        <w:rPr>
          <w:szCs w:val="22"/>
          <w:highlight w:val="none"/>
        </w:rPr>
        <w:t>1</w:t>
      </w:r>
      <w:r>
        <w:rPr>
          <w:highlight w:val="none"/>
        </w:rPr>
        <w:t>.7</w:t>
      </w:r>
      <w:r>
        <w:rPr>
          <w:rFonts w:hint="eastAsia"/>
          <w:highlight w:val="none"/>
        </w:rPr>
        <w:t>化学药品规格</w:t>
      </w:r>
    </w:p>
    <w:p w14:paraId="6606750B">
      <w:pPr>
        <w:spacing w:line="360" w:lineRule="auto"/>
        <w:ind w:firstLine="420"/>
        <w:rPr>
          <w:highlight w:val="none"/>
        </w:rPr>
      </w:pPr>
      <w:r>
        <w:rPr>
          <w:rFonts w:hint="eastAsia"/>
          <w:highlight w:val="none"/>
        </w:rPr>
        <w:t>本技术规范中加药和化学清洗系统涉及的药品种类和注入方式均为常规技术。</w:t>
      </w:r>
    </w:p>
    <w:p w14:paraId="20C51B70">
      <w:pPr>
        <w:spacing w:line="360" w:lineRule="auto"/>
        <w:ind w:firstLine="420"/>
        <w:rPr>
          <w:highlight w:val="none"/>
        </w:rPr>
      </w:pPr>
      <w:r>
        <w:rPr>
          <w:rFonts w:hint="eastAsia"/>
          <w:highlight w:val="none"/>
        </w:rPr>
        <w:t>调试使用的药剂含：阻垢剂、盐酸、液碱、次氯酸钠、亚硫酸氢钠等均由招标人负责提供。</w:t>
      </w:r>
    </w:p>
    <w:p w14:paraId="44BA5581">
      <w:pPr>
        <w:spacing w:line="360" w:lineRule="auto"/>
        <w:rPr>
          <w:highlight w:val="none"/>
        </w:rPr>
      </w:pPr>
      <w:r>
        <w:rPr>
          <w:rFonts w:hint="eastAsia"/>
          <w:szCs w:val="22"/>
          <w:highlight w:val="none"/>
        </w:rPr>
        <w:t>3.</w:t>
      </w:r>
      <w:r>
        <w:rPr>
          <w:szCs w:val="22"/>
          <w:highlight w:val="none"/>
        </w:rPr>
        <w:t>1</w:t>
      </w:r>
      <w:r>
        <w:rPr>
          <w:highlight w:val="none"/>
        </w:rPr>
        <w:t xml:space="preserve">.8 </w:t>
      </w:r>
      <w:r>
        <w:rPr>
          <w:rFonts w:hint="eastAsia"/>
          <w:highlight w:val="none"/>
        </w:rPr>
        <w:t>公共设施条件</w:t>
      </w:r>
    </w:p>
    <w:p w14:paraId="3B6F0A15">
      <w:pPr>
        <w:spacing w:line="360" w:lineRule="auto"/>
        <w:rPr>
          <w:highlight w:val="none"/>
        </w:rPr>
      </w:pPr>
      <w:r>
        <w:rPr>
          <w:rFonts w:hint="eastAsia"/>
          <w:highlight w:val="none"/>
        </w:rPr>
        <w:t>（</w:t>
      </w:r>
      <w:r>
        <w:rPr>
          <w:highlight w:val="none"/>
        </w:rPr>
        <w:t>1</w:t>
      </w:r>
      <w:r>
        <w:rPr>
          <w:rFonts w:hint="eastAsia"/>
          <w:highlight w:val="none"/>
        </w:rPr>
        <w:t>）电源：</w:t>
      </w:r>
    </w:p>
    <w:p w14:paraId="2DE2A7C3">
      <w:pPr>
        <w:pStyle w:val="55"/>
        <w:numPr>
          <w:ilvl w:val="0"/>
          <w:numId w:val="2"/>
        </w:numPr>
        <w:adjustRightInd w:val="0"/>
        <w:snapToGrid w:val="0"/>
        <w:spacing w:line="360" w:lineRule="auto"/>
        <w:ind w:firstLineChars="0"/>
        <w:jc w:val="left"/>
        <w:rPr>
          <w:sz w:val="24"/>
          <w:highlight w:val="none"/>
        </w:rPr>
      </w:pPr>
      <w:r>
        <w:rPr>
          <w:rFonts w:hint="eastAsia"/>
          <w:sz w:val="24"/>
          <w:highlight w:val="none"/>
        </w:rPr>
        <w:t>低压：</w:t>
      </w:r>
    </w:p>
    <w:p w14:paraId="6B4ABF66">
      <w:pPr>
        <w:snapToGrid w:val="0"/>
        <w:spacing w:line="360" w:lineRule="auto"/>
        <w:ind w:firstLine="480" w:firstLineChars="200"/>
        <w:rPr>
          <w:highlight w:val="none"/>
        </w:rPr>
      </w:pPr>
      <w:r>
        <w:rPr>
          <w:rFonts w:hint="eastAsia"/>
          <w:highlight w:val="none"/>
        </w:rPr>
        <w:t>低压为</w:t>
      </w:r>
      <w:r>
        <w:rPr>
          <w:highlight w:val="none"/>
        </w:rPr>
        <w:t>380V</w:t>
      </w:r>
      <w:r>
        <w:rPr>
          <w:rFonts w:hint="eastAsia"/>
          <w:highlight w:val="none"/>
        </w:rPr>
        <w:t>三相</w:t>
      </w:r>
      <w:r>
        <w:rPr>
          <w:highlight w:val="none"/>
        </w:rPr>
        <w:t>50Hz</w:t>
      </w:r>
      <w:r>
        <w:rPr>
          <w:rFonts w:hint="eastAsia"/>
          <w:highlight w:val="none"/>
        </w:rPr>
        <w:t>；额定值</w:t>
      </w:r>
      <w:r>
        <w:rPr>
          <w:highlight w:val="none"/>
        </w:rPr>
        <w:t>200kW</w:t>
      </w:r>
      <w:r>
        <w:rPr>
          <w:rFonts w:hint="eastAsia"/>
          <w:highlight w:val="none"/>
        </w:rPr>
        <w:t>以下电动机的额定电压为</w:t>
      </w:r>
      <w:r>
        <w:rPr>
          <w:highlight w:val="none"/>
        </w:rPr>
        <w:t>380V</w:t>
      </w:r>
      <w:r>
        <w:rPr>
          <w:rFonts w:hint="eastAsia"/>
          <w:highlight w:val="none"/>
        </w:rPr>
        <w:t>；交流控制电压为单相</w:t>
      </w:r>
      <w:r>
        <w:rPr>
          <w:highlight w:val="none"/>
        </w:rPr>
        <w:t>220V</w:t>
      </w:r>
      <w:r>
        <w:rPr>
          <w:rFonts w:hint="eastAsia"/>
          <w:highlight w:val="none"/>
        </w:rPr>
        <w:t>。</w:t>
      </w:r>
    </w:p>
    <w:p w14:paraId="2D9DAAE9">
      <w:pPr>
        <w:snapToGrid w:val="0"/>
        <w:spacing w:line="360" w:lineRule="auto"/>
        <w:ind w:firstLine="480" w:firstLineChars="200"/>
        <w:rPr>
          <w:highlight w:val="none"/>
        </w:rPr>
      </w:pPr>
      <w:r>
        <w:rPr>
          <w:rFonts w:hint="eastAsia"/>
          <w:highlight w:val="none"/>
        </w:rPr>
        <w:t>额定功率</w:t>
      </w:r>
      <w:r>
        <w:rPr>
          <w:highlight w:val="none"/>
        </w:rPr>
        <w:t>75kW</w:t>
      </w:r>
      <w:r>
        <w:rPr>
          <w:rFonts w:hint="eastAsia"/>
          <w:highlight w:val="none"/>
        </w:rPr>
        <w:t>及以上电动机由</w:t>
      </w:r>
      <w:r>
        <w:rPr>
          <w:highlight w:val="none"/>
        </w:rPr>
        <w:t>PC</w:t>
      </w:r>
      <w:r>
        <w:rPr>
          <w:rFonts w:hint="eastAsia"/>
          <w:highlight w:val="none"/>
        </w:rPr>
        <w:t>供电，</w:t>
      </w:r>
      <w:r>
        <w:rPr>
          <w:highlight w:val="none"/>
        </w:rPr>
        <w:t>75kW</w:t>
      </w:r>
      <w:r>
        <w:rPr>
          <w:rFonts w:hint="eastAsia"/>
          <w:highlight w:val="none"/>
        </w:rPr>
        <w:t>以下电动机由</w:t>
      </w:r>
      <w:r>
        <w:rPr>
          <w:highlight w:val="none"/>
        </w:rPr>
        <w:t>MCC</w:t>
      </w:r>
      <w:r>
        <w:rPr>
          <w:rFonts w:hint="eastAsia"/>
          <w:highlight w:val="none"/>
        </w:rPr>
        <w:t>供电。</w:t>
      </w:r>
    </w:p>
    <w:p w14:paraId="14B2740E">
      <w:pPr>
        <w:snapToGrid w:val="0"/>
        <w:spacing w:line="360" w:lineRule="auto"/>
        <w:ind w:firstLine="480" w:firstLineChars="200"/>
        <w:rPr>
          <w:highlight w:val="none"/>
        </w:rPr>
      </w:pPr>
      <w:r>
        <w:rPr>
          <w:rFonts w:hint="eastAsia"/>
          <w:highlight w:val="none"/>
        </w:rPr>
        <w:t>直流控制电压为</w:t>
      </w:r>
      <w:r>
        <w:rPr>
          <w:highlight w:val="none"/>
        </w:rPr>
        <w:t>220V</w:t>
      </w:r>
      <w:r>
        <w:rPr>
          <w:rFonts w:hint="eastAsia"/>
          <w:highlight w:val="none"/>
        </w:rPr>
        <w:t>，来自</w:t>
      </w:r>
      <w:r>
        <w:rPr>
          <w:highlight w:val="none"/>
        </w:rPr>
        <w:t>220V</w:t>
      </w:r>
      <w:r>
        <w:rPr>
          <w:rFonts w:hint="eastAsia"/>
          <w:highlight w:val="none"/>
        </w:rPr>
        <w:t>直流系统，电压允许变化范围从</w:t>
      </w:r>
      <w:r>
        <w:rPr>
          <w:highlight w:val="none"/>
        </w:rPr>
        <w:t>192</w:t>
      </w:r>
      <w:r>
        <w:rPr>
          <w:rFonts w:hint="eastAsia"/>
          <w:highlight w:val="none"/>
        </w:rPr>
        <w:t>V～</w:t>
      </w:r>
      <w:r>
        <w:rPr>
          <w:highlight w:val="none"/>
        </w:rPr>
        <w:t>242V</w:t>
      </w:r>
      <w:r>
        <w:rPr>
          <w:rFonts w:hint="eastAsia"/>
          <w:highlight w:val="none"/>
        </w:rPr>
        <w:t>。</w:t>
      </w:r>
    </w:p>
    <w:p w14:paraId="1D1AF489">
      <w:pPr>
        <w:snapToGrid w:val="0"/>
        <w:spacing w:line="360" w:lineRule="auto"/>
        <w:ind w:firstLine="480" w:firstLineChars="200"/>
        <w:rPr>
          <w:highlight w:val="none"/>
        </w:rPr>
      </w:pPr>
      <w:r>
        <w:rPr>
          <w:highlight w:val="none"/>
        </w:rPr>
        <w:t>UPS</w:t>
      </w:r>
      <w:r>
        <w:rPr>
          <w:rFonts w:hint="eastAsia"/>
          <w:highlight w:val="none"/>
        </w:rPr>
        <w:t>额定电压为</w:t>
      </w:r>
      <w:r>
        <w:rPr>
          <w:highlight w:val="none"/>
        </w:rPr>
        <w:t>220VAC</w:t>
      </w:r>
      <w:r>
        <w:rPr>
          <w:rFonts w:hint="eastAsia"/>
          <w:highlight w:val="none"/>
        </w:rPr>
        <w:t>。</w:t>
      </w:r>
    </w:p>
    <w:p w14:paraId="2E23EF22">
      <w:pPr>
        <w:snapToGrid w:val="0"/>
        <w:spacing w:line="360" w:lineRule="auto"/>
        <w:ind w:firstLine="480" w:firstLineChars="200"/>
        <w:rPr>
          <w:highlight w:val="none"/>
        </w:rPr>
      </w:pPr>
      <w:r>
        <w:rPr>
          <w:rFonts w:hint="eastAsia"/>
          <w:highlight w:val="none"/>
        </w:rPr>
        <w:t>保安直流油泵电机的额定电压：</w:t>
      </w:r>
      <w:r>
        <w:rPr>
          <w:highlight w:val="none"/>
        </w:rPr>
        <w:t>220VDC</w:t>
      </w:r>
      <w:r>
        <w:rPr>
          <w:rFonts w:hint="eastAsia"/>
          <w:highlight w:val="none"/>
        </w:rPr>
        <w:t>。</w:t>
      </w:r>
    </w:p>
    <w:p w14:paraId="3399AA24">
      <w:pPr>
        <w:snapToGrid w:val="0"/>
        <w:spacing w:line="360" w:lineRule="auto"/>
        <w:ind w:firstLine="480" w:firstLineChars="200"/>
        <w:rPr>
          <w:highlight w:val="none"/>
        </w:rPr>
      </w:pPr>
      <w:r>
        <w:rPr>
          <w:rFonts w:hint="eastAsia"/>
          <w:highlight w:val="none"/>
        </w:rPr>
        <w:t>应急直流油泵电机额定工作电压为</w:t>
      </w:r>
      <w:r>
        <w:rPr>
          <w:highlight w:val="none"/>
        </w:rPr>
        <w:t>220V</w:t>
      </w:r>
      <w:r>
        <w:rPr>
          <w:rFonts w:hint="eastAsia"/>
          <w:highlight w:val="none"/>
        </w:rPr>
        <w:t>直流，由动力</w:t>
      </w:r>
      <w:r>
        <w:rPr>
          <w:highlight w:val="none"/>
        </w:rPr>
        <w:t>220V</w:t>
      </w:r>
      <w:r>
        <w:rPr>
          <w:rFonts w:hint="eastAsia"/>
          <w:highlight w:val="none"/>
        </w:rPr>
        <w:t>直流系统供电，电压允许变化范围从</w:t>
      </w:r>
      <w:r>
        <w:rPr>
          <w:highlight w:val="none"/>
        </w:rPr>
        <w:t>192</w:t>
      </w:r>
      <w:r>
        <w:rPr>
          <w:rFonts w:hint="eastAsia"/>
          <w:highlight w:val="none"/>
        </w:rPr>
        <w:t>V～</w:t>
      </w:r>
      <w:r>
        <w:rPr>
          <w:highlight w:val="none"/>
        </w:rPr>
        <w:t>242V</w:t>
      </w:r>
      <w:r>
        <w:rPr>
          <w:rFonts w:hint="eastAsia"/>
          <w:highlight w:val="none"/>
        </w:rPr>
        <w:t>。</w:t>
      </w:r>
    </w:p>
    <w:p w14:paraId="29210929">
      <w:pPr>
        <w:pStyle w:val="55"/>
        <w:numPr>
          <w:ilvl w:val="0"/>
          <w:numId w:val="2"/>
        </w:numPr>
        <w:adjustRightInd w:val="0"/>
        <w:snapToGrid w:val="0"/>
        <w:spacing w:line="360" w:lineRule="auto"/>
        <w:ind w:firstLineChars="0"/>
        <w:jc w:val="left"/>
        <w:rPr>
          <w:sz w:val="24"/>
          <w:highlight w:val="none"/>
        </w:rPr>
      </w:pPr>
      <w:r>
        <w:rPr>
          <w:rFonts w:hint="eastAsia"/>
          <w:sz w:val="24"/>
          <w:highlight w:val="none"/>
        </w:rPr>
        <w:t>设备照明和维修电压：</w:t>
      </w:r>
    </w:p>
    <w:p w14:paraId="73693AD0">
      <w:pPr>
        <w:snapToGrid w:val="0"/>
        <w:spacing w:line="360" w:lineRule="auto"/>
        <w:ind w:firstLine="480" w:firstLineChars="200"/>
        <w:rPr>
          <w:highlight w:val="none"/>
        </w:rPr>
      </w:pPr>
      <w:r>
        <w:rPr>
          <w:rFonts w:hint="eastAsia"/>
          <w:highlight w:val="none"/>
        </w:rPr>
        <w:t>设备照明由单独的</w:t>
      </w:r>
      <w:r>
        <w:rPr>
          <w:highlight w:val="none"/>
        </w:rPr>
        <w:t>380/200V</w:t>
      </w:r>
      <w:r>
        <w:rPr>
          <w:rFonts w:hint="eastAsia"/>
          <w:highlight w:val="none"/>
        </w:rPr>
        <w:t>照明变压器引出；维修插座电源额定电压为</w:t>
      </w:r>
      <w:r>
        <w:rPr>
          <w:highlight w:val="none"/>
        </w:rPr>
        <w:t>380/220V</w:t>
      </w:r>
      <w:r>
        <w:rPr>
          <w:rFonts w:hint="eastAsia"/>
          <w:highlight w:val="none"/>
        </w:rPr>
        <w:t>、</w:t>
      </w:r>
      <w:r>
        <w:rPr>
          <w:highlight w:val="none"/>
        </w:rPr>
        <w:t>50Hz</w:t>
      </w:r>
      <w:r>
        <w:rPr>
          <w:rFonts w:hint="eastAsia"/>
          <w:highlight w:val="none"/>
        </w:rPr>
        <w:t>，采用空气开关并带漏电保护。</w:t>
      </w:r>
    </w:p>
    <w:p w14:paraId="2702445C">
      <w:pPr>
        <w:spacing w:line="360" w:lineRule="auto"/>
        <w:rPr>
          <w:highlight w:val="none"/>
        </w:rPr>
      </w:pPr>
      <w:r>
        <w:rPr>
          <w:rFonts w:hint="eastAsia"/>
          <w:highlight w:val="none"/>
        </w:rPr>
        <w:t>（</w:t>
      </w:r>
      <w:r>
        <w:rPr>
          <w:highlight w:val="none"/>
        </w:rPr>
        <w:t>2</w:t>
      </w:r>
      <w:r>
        <w:rPr>
          <w:rFonts w:hint="eastAsia"/>
          <w:highlight w:val="none"/>
        </w:rPr>
        <w:t>）配药用水：</w:t>
      </w:r>
    </w:p>
    <w:tbl>
      <w:tblPr>
        <w:tblStyle w:val="21"/>
        <w:tblW w:w="0" w:type="auto"/>
        <w:tblInd w:w="74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920"/>
        <w:gridCol w:w="1800"/>
        <w:gridCol w:w="2640"/>
      </w:tblGrid>
      <w:tr w14:paraId="2518F0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c>
          <w:tcPr>
            <w:tcW w:w="1920" w:type="dxa"/>
            <w:vAlign w:val="center"/>
          </w:tcPr>
          <w:p w14:paraId="1D054E92">
            <w:pPr>
              <w:tabs>
                <w:tab w:val="left" w:pos="567"/>
                <w:tab w:val="left" w:pos="4820"/>
                <w:tab w:val="left" w:pos="8222"/>
              </w:tabs>
              <w:spacing w:line="360" w:lineRule="auto"/>
              <w:jc w:val="center"/>
              <w:rPr>
                <w:highlight w:val="none"/>
              </w:rPr>
            </w:pPr>
            <w:r>
              <w:rPr>
                <w:rFonts w:hint="eastAsia"/>
                <w:highlight w:val="none"/>
              </w:rPr>
              <w:t>水</w:t>
            </w:r>
            <w:r>
              <w:rPr>
                <w:highlight w:val="none"/>
              </w:rPr>
              <w:t xml:space="preserve">    </w:t>
            </w:r>
            <w:r>
              <w:rPr>
                <w:rFonts w:hint="eastAsia"/>
                <w:highlight w:val="none"/>
              </w:rPr>
              <w:t>质</w:t>
            </w:r>
          </w:p>
        </w:tc>
        <w:tc>
          <w:tcPr>
            <w:tcW w:w="1800" w:type="dxa"/>
            <w:vAlign w:val="center"/>
          </w:tcPr>
          <w:p w14:paraId="6FA40603">
            <w:pPr>
              <w:tabs>
                <w:tab w:val="left" w:pos="567"/>
                <w:tab w:val="left" w:pos="4820"/>
                <w:tab w:val="left" w:pos="8222"/>
              </w:tabs>
              <w:spacing w:line="360" w:lineRule="auto"/>
              <w:rPr>
                <w:highlight w:val="none"/>
              </w:rPr>
            </w:pPr>
          </w:p>
        </w:tc>
        <w:tc>
          <w:tcPr>
            <w:tcW w:w="2640" w:type="dxa"/>
            <w:vAlign w:val="center"/>
          </w:tcPr>
          <w:p w14:paraId="02878C2B">
            <w:pPr>
              <w:pStyle w:val="38"/>
              <w:tabs>
                <w:tab w:val="left" w:pos="567"/>
                <w:tab w:val="left" w:pos="4820"/>
                <w:tab w:val="left" w:pos="8222"/>
              </w:tabs>
              <w:spacing w:line="360" w:lineRule="auto"/>
              <w:rPr>
                <w:rFonts w:ascii="Times New Roman"/>
                <w:highlight w:val="none"/>
              </w:rPr>
            </w:pPr>
            <w:r>
              <w:rPr>
                <w:rFonts w:hint="eastAsia"/>
                <w:highlight w:val="none"/>
              </w:rPr>
              <w:t>反渗透装置产水</w:t>
            </w:r>
          </w:p>
        </w:tc>
      </w:tr>
      <w:tr w14:paraId="7FC57B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c>
          <w:tcPr>
            <w:tcW w:w="1920" w:type="dxa"/>
            <w:vAlign w:val="center"/>
          </w:tcPr>
          <w:p w14:paraId="48CDCA77">
            <w:pPr>
              <w:tabs>
                <w:tab w:val="left" w:pos="567"/>
                <w:tab w:val="left" w:pos="4820"/>
                <w:tab w:val="left" w:pos="8222"/>
              </w:tabs>
              <w:spacing w:line="360" w:lineRule="auto"/>
              <w:jc w:val="center"/>
              <w:rPr>
                <w:highlight w:val="none"/>
              </w:rPr>
            </w:pPr>
            <w:r>
              <w:rPr>
                <w:rFonts w:hint="eastAsia"/>
                <w:highlight w:val="none"/>
              </w:rPr>
              <w:t>压</w:t>
            </w:r>
            <w:r>
              <w:rPr>
                <w:highlight w:val="none"/>
              </w:rPr>
              <w:t xml:space="preserve">    </w:t>
            </w:r>
            <w:r>
              <w:rPr>
                <w:rFonts w:hint="eastAsia"/>
                <w:highlight w:val="none"/>
              </w:rPr>
              <w:t>力</w:t>
            </w:r>
          </w:p>
        </w:tc>
        <w:tc>
          <w:tcPr>
            <w:tcW w:w="1800" w:type="dxa"/>
            <w:vAlign w:val="center"/>
          </w:tcPr>
          <w:p w14:paraId="19DD21C8">
            <w:pPr>
              <w:pStyle w:val="38"/>
              <w:tabs>
                <w:tab w:val="left" w:pos="567"/>
                <w:tab w:val="left" w:pos="4820"/>
                <w:tab w:val="left" w:pos="8222"/>
              </w:tabs>
              <w:spacing w:line="360" w:lineRule="auto"/>
              <w:rPr>
                <w:rFonts w:ascii="Times New Roman"/>
                <w:highlight w:val="none"/>
              </w:rPr>
            </w:pPr>
            <w:r>
              <w:rPr>
                <w:rFonts w:ascii="Times New Roman"/>
                <w:highlight w:val="none"/>
              </w:rPr>
              <w:t>MPa</w:t>
            </w:r>
          </w:p>
        </w:tc>
        <w:tc>
          <w:tcPr>
            <w:tcW w:w="2640" w:type="dxa"/>
            <w:vAlign w:val="center"/>
          </w:tcPr>
          <w:p w14:paraId="5365B45F">
            <w:pPr>
              <w:tabs>
                <w:tab w:val="left" w:pos="567"/>
                <w:tab w:val="left" w:pos="4820"/>
                <w:tab w:val="left" w:pos="8222"/>
              </w:tabs>
              <w:spacing w:line="360" w:lineRule="auto"/>
              <w:jc w:val="center"/>
              <w:rPr>
                <w:highlight w:val="none"/>
              </w:rPr>
            </w:pPr>
            <w:r>
              <w:rPr>
                <w:highlight w:val="none"/>
              </w:rPr>
              <w:t>0.1</w:t>
            </w:r>
          </w:p>
        </w:tc>
      </w:tr>
      <w:tr w14:paraId="2BFC1F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c>
          <w:tcPr>
            <w:tcW w:w="1920" w:type="dxa"/>
            <w:vAlign w:val="center"/>
          </w:tcPr>
          <w:p w14:paraId="56247E2B">
            <w:pPr>
              <w:tabs>
                <w:tab w:val="left" w:pos="567"/>
                <w:tab w:val="left" w:pos="4820"/>
                <w:tab w:val="left" w:pos="8222"/>
              </w:tabs>
              <w:spacing w:line="360" w:lineRule="auto"/>
              <w:jc w:val="center"/>
              <w:rPr>
                <w:highlight w:val="none"/>
              </w:rPr>
            </w:pPr>
            <w:r>
              <w:rPr>
                <w:rFonts w:hint="eastAsia"/>
                <w:highlight w:val="none"/>
              </w:rPr>
              <w:t>温</w:t>
            </w:r>
            <w:r>
              <w:rPr>
                <w:highlight w:val="none"/>
              </w:rPr>
              <w:t xml:space="preserve">    </w:t>
            </w:r>
            <w:r>
              <w:rPr>
                <w:rFonts w:hint="eastAsia"/>
                <w:highlight w:val="none"/>
              </w:rPr>
              <w:t>度</w:t>
            </w:r>
          </w:p>
        </w:tc>
        <w:tc>
          <w:tcPr>
            <w:tcW w:w="1800" w:type="dxa"/>
            <w:vAlign w:val="center"/>
          </w:tcPr>
          <w:p w14:paraId="510917C1">
            <w:pPr>
              <w:tabs>
                <w:tab w:val="left" w:pos="567"/>
                <w:tab w:val="left" w:pos="4820"/>
                <w:tab w:val="left" w:pos="8222"/>
              </w:tabs>
              <w:spacing w:line="360" w:lineRule="auto"/>
              <w:jc w:val="center"/>
              <w:rPr>
                <w:highlight w:val="none"/>
              </w:rPr>
            </w:pPr>
            <w:r>
              <w:rPr>
                <w:rFonts w:hint="eastAsia"/>
                <w:highlight w:val="none"/>
              </w:rPr>
              <w:t>℃</w:t>
            </w:r>
          </w:p>
        </w:tc>
        <w:tc>
          <w:tcPr>
            <w:tcW w:w="2640" w:type="dxa"/>
            <w:vAlign w:val="center"/>
          </w:tcPr>
          <w:p w14:paraId="64E122AC">
            <w:pPr>
              <w:tabs>
                <w:tab w:val="left" w:pos="567"/>
                <w:tab w:val="left" w:pos="4820"/>
                <w:tab w:val="left" w:pos="8222"/>
              </w:tabs>
              <w:spacing w:line="360" w:lineRule="auto"/>
              <w:jc w:val="center"/>
              <w:rPr>
                <w:highlight w:val="none"/>
              </w:rPr>
            </w:pPr>
            <w:r>
              <w:rPr>
                <w:highlight w:val="none"/>
              </w:rPr>
              <w:t>15</w:t>
            </w:r>
          </w:p>
        </w:tc>
      </w:tr>
    </w:tbl>
    <w:p w14:paraId="024B13F1">
      <w:pPr>
        <w:snapToGrid w:val="0"/>
        <w:spacing w:line="360" w:lineRule="auto"/>
        <w:rPr>
          <w:highlight w:val="none"/>
        </w:rPr>
      </w:pPr>
      <w:r>
        <w:rPr>
          <w:rFonts w:hint="eastAsia"/>
          <w:highlight w:val="none"/>
        </w:rPr>
        <w:t>（</w:t>
      </w:r>
      <w:r>
        <w:rPr>
          <w:highlight w:val="none"/>
        </w:rPr>
        <w:t>3</w:t>
      </w:r>
      <w:r>
        <w:rPr>
          <w:rFonts w:hint="eastAsia"/>
          <w:highlight w:val="none"/>
        </w:rPr>
        <w:t>）仪表气源</w:t>
      </w:r>
    </w:p>
    <w:p w14:paraId="1548B508">
      <w:pPr>
        <w:spacing w:line="360" w:lineRule="auto"/>
        <w:ind w:firstLine="420"/>
        <w:rPr>
          <w:highlight w:val="none"/>
        </w:rPr>
      </w:pPr>
      <w:r>
        <w:rPr>
          <w:rFonts w:hint="eastAsia"/>
          <w:highlight w:val="none"/>
        </w:rPr>
        <w:t>露点：</w:t>
      </w:r>
      <w:r>
        <w:rPr>
          <w:highlight w:val="none"/>
        </w:rPr>
        <w:t xml:space="preserve">               -40</w:t>
      </w:r>
      <w:r>
        <w:rPr>
          <w:rFonts w:hint="eastAsia"/>
          <w:highlight w:val="none"/>
        </w:rPr>
        <w:t>℃；</w:t>
      </w:r>
    </w:p>
    <w:p w14:paraId="2155BB64">
      <w:pPr>
        <w:spacing w:line="360" w:lineRule="auto"/>
        <w:ind w:firstLine="420"/>
        <w:rPr>
          <w:highlight w:val="none"/>
        </w:rPr>
      </w:pPr>
      <w:r>
        <w:rPr>
          <w:rFonts w:hint="eastAsia"/>
          <w:highlight w:val="none"/>
        </w:rPr>
        <w:t>含油量：</w:t>
      </w:r>
      <w:r>
        <w:rPr>
          <w:highlight w:val="none"/>
        </w:rPr>
        <w:t xml:space="preserve">             &lt;1mg/Nm</w:t>
      </w:r>
      <w:r>
        <w:rPr>
          <w:rFonts w:hint="eastAsia"/>
          <w:highlight w:val="none"/>
          <w:vertAlign w:val="superscript"/>
        </w:rPr>
        <w:t>³</w:t>
      </w:r>
      <w:r>
        <w:rPr>
          <w:rFonts w:hint="eastAsia"/>
          <w:highlight w:val="none"/>
        </w:rPr>
        <w:t>；</w:t>
      </w:r>
    </w:p>
    <w:p w14:paraId="7102C0BE">
      <w:pPr>
        <w:spacing w:line="360" w:lineRule="auto"/>
        <w:ind w:firstLine="420"/>
        <w:rPr>
          <w:highlight w:val="none"/>
        </w:rPr>
      </w:pPr>
      <w:r>
        <w:rPr>
          <w:rFonts w:hint="eastAsia"/>
          <w:highlight w:val="none"/>
        </w:rPr>
        <w:t>含颗粒物质：</w:t>
      </w:r>
      <w:r>
        <w:rPr>
          <w:highlight w:val="none"/>
        </w:rPr>
        <w:t xml:space="preserve">         1mg/Nm</w:t>
      </w:r>
      <w:r>
        <w:rPr>
          <w:rFonts w:hint="eastAsia"/>
          <w:highlight w:val="none"/>
          <w:vertAlign w:val="superscript"/>
        </w:rPr>
        <w:t>³</w:t>
      </w:r>
      <w:r>
        <w:rPr>
          <w:rFonts w:hint="eastAsia"/>
          <w:highlight w:val="none"/>
        </w:rPr>
        <w:t>；</w:t>
      </w:r>
    </w:p>
    <w:p w14:paraId="11A93BED">
      <w:pPr>
        <w:spacing w:line="360" w:lineRule="auto"/>
        <w:ind w:firstLine="420"/>
        <w:rPr>
          <w:highlight w:val="none"/>
        </w:rPr>
      </w:pPr>
      <w:r>
        <w:rPr>
          <w:rFonts w:hint="eastAsia"/>
          <w:highlight w:val="none"/>
        </w:rPr>
        <w:t>压力</w:t>
      </w:r>
      <w:r>
        <w:rPr>
          <w:highlight w:val="none"/>
        </w:rPr>
        <w:t xml:space="preserve"> (</w:t>
      </w:r>
      <w:r>
        <w:rPr>
          <w:rFonts w:hint="eastAsia"/>
          <w:highlight w:val="none"/>
        </w:rPr>
        <w:t>操作</w:t>
      </w:r>
      <w:r>
        <w:rPr>
          <w:highlight w:val="none"/>
        </w:rPr>
        <w:t>/</w:t>
      </w:r>
      <w:r>
        <w:rPr>
          <w:rFonts w:hint="eastAsia"/>
          <w:highlight w:val="none"/>
        </w:rPr>
        <w:t>设计</w:t>
      </w:r>
      <w:r>
        <w:rPr>
          <w:highlight w:val="none"/>
        </w:rPr>
        <w:t>)</w:t>
      </w:r>
      <w:r>
        <w:rPr>
          <w:rFonts w:hint="eastAsia"/>
          <w:highlight w:val="none"/>
        </w:rPr>
        <w:t>：</w:t>
      </w:r>
      <w:r>
        <w:rPr>
          <w:highlight w:val="none"/>
        </w:rPr>
        <w:t xml:space="preserve">    0.45 MPa -0.8MPa</w:t>
      </w:r>
      <w:r>
        <w:rPr>
          <w:rFonts w:hint="eastAsia"/>
          <w:highlight w:val="none"/>
        </w:rPr>
        <w:t>；</w:t>
      </w:r>
    </w:p>
    <w:p w14:paraId="246CB32A">
      <w:pPr>
        <w:spacing w:line="360" w:lineRule="auto"/>
        <w:ind w:firstLine="420"/>
        <w:rPr>
          <w:highlight w:val="none"/>
        </w:rPr>
      </w:pPr>
      <w:r>
        <w:rPr>
          <w:rFonts w:hint="eastAsia"/>
          <w:highlight w:val="none"/>
        </w:rPr>
        <w:t>温度</w:t>
      </w:r>
      <w:r>
        <w:rPr>
          <w:highlight w:val="none"/>
        </w:rPr>
        <w:t xml:space="preserve"> (</w:t>
      </w:r>
      <w:r>
        <w:rPr>
          <w:rFonts w:hint="eastAsia"/>
          <w:highlight w:val="none"/>
        </w:rPr>
        <w:t>操作</w:t>
      </w:r>
      <w:r>
        <w:rPr>
          <w:highlight w:val="none"/>
        </w:rPr>
        <w:t>/</w:t>
      </w:r>
      <w:r>
        <w:rPr>
          <w:rFonts w:hint="eastAsia"/>
          <w:highlight w:val="none"/>
        </w:rPr>
        <w:t>设计</w:t>
      </w:r>
      <w:r>
        <w:rPr>
          <w:highlight w:val="none"/>
        </w:rPr>
        <w:t>)</w:t>
      </w:r>
      <w:r>
        <w:rPr>
          <w:rFonts w:hint="eastAsia"/>
          <w:highlight w:val="none"/>
        </w:rPr>
        <w:t>：</w:t>
      </w:r>
      <w:r>
        <w:rPr>
          <w:highlight w:val="none"/>
        </w:rPr>
        <w:t xml:space="preserve">    </w:t>
      </w:r>
      <w:r>
        <w:rPr>
          <w:rFonts w:hint="eastAsia"/>
          <w:highlight w:val="none"/>
        </w:rPr>
        <w:t>常温。</w:t>
      </w:r>
    </w:p>
    <w:p w14:paraId="79221158">
      <w:pPr>
        <w:spacing w:line="360" w:lineRule="auto"/>
        <w:jc w:val="left"/>
        <w:outlineLvl w:val="2"/>
        <w:rPr>
          <w:b/>
          <w:kern w:val="0"/>
          <w:highlight w:val="none"/>
        </w:rPr>
      </w:pPr>
      <w:r>
        <w:rPr>
          <w:rFonts w:hint="eastAsia"/>
          <w:b/>
          <w:kern w:val="0"/>
          <w:highlight w:val="none"/>
        </w:rPr>
        <w:t>3.2 气象资料</w:t>
      </w:r>
    </w:p>
    <w:p w14:paraId="2B005AED">
      <w:pPr>
        <w:snapToGrid w:val="0"/>
        <w:spacing w:line="360" w:lineRule="auto"/>
        <w:ind w:firstLine="480" w:firstLineChars="200"/>
        <w:rPr>
          <w:highlight w:val="none"/>
        </w:rPr>
      </w:pPr>
      <w:r>
        <w:rPr>
          <w:highlight w:val="none"/>
        </w:rPr>
        <w:t>本工程所在区域位于新疆中天山南麓，塔里木盆地西北缘，塔克拉玛干沙漠边缘，具有典型的暖温带大陆性干旱气候特征。四季分明，冬季寒冷，夏季炎热，降水稀少， 年、季变化大，蒸发量大，日照充足，热量资源丰富；气温年较差和日较差大。主要的气象灾害有大风、冰雹、沙尘暴、寒潮和局地暴雨山洪等。</w:t>
      </w:r>
    </w:p>
    <w:p w14:paraId="47ACF69C">
      <w:pPr>
        <w:spacing w:line="360" w:lineRule="auto"/>
        <w:ind w:firstLine="480" w:firstLineChars="200"/>
        <w:rPr>
          <w:rFonts w:ascii="宋体"/>
          <w:highlight w:val="none"/>
        </w:rPr>
      </w:pPr>
      <w:r>
        <w:rPr>
          <w:highlight w:val="none"/>
        </w:rPr>
        <w:t>本工程气象资料参考阿克苏气象站资料。</w:t>
      </w:r>
      <w:r>
        <w:rPr>
          <w:rFonts w:hint="eastAsia"/>
          <w:highlight w:val="none"/>
        </w:rPr>
        <w:t>根据该气象站</w:t>
      </w:r>
      <w:r>
        <w:rPr>
          <w:highlight w:val="none"/>
        </w:rPr>
        <w:t>1961～2010年实测</w:t>
      </w:r>
      <w:r>
        <w:rPr>
          <w:rFonts w:hint="eastAsia"/>
          <w:highlight w:val="none"/>
        </w:rPr>
        <w:t>资料统计，各气象要素特征如下：</w:t>
      </w:r>
    </w:p>
    <w:p w14:paraId="517DA792">
      <w:pPr>
        <w:snapToGrid w:val="0"/>
        <w:spacing w:line="360" w:lineRule="auto"/>
        <w:ind w:firstLine="480" w:firstLineChars="200"/>
        <w:rPr>
          <w:highlight w:val="none"/>
        </w:rPr>
      </w:pPr>
      <w:r>
        <w:rPr>
          <w:rFonts w:hint="eastAsia"/>
          <w:highlight w:val="none"/>
        </w:rPr>
        <w:t>● 气温</w:t>
      </w:r>
    </w:p>
    <w:p w14:paraId="5C927144">
      <w:pPr>
        <w:snapToGrid w:val="0"/>
        <w:spacing w:line="360" w:lineRule="auto"/>
        <w:ind w:firstLine="480" w:firstLineChars="200"/>
        <w:rPr>
          <w:highlight w:val="none"/>
        </w:rPr>
      </w:pPr>
      <w:r>
        <w:rPr>
          <w:rFonts w:hint="eastAsia"/>
          <w:highlight w:val="none"/>
        </w:rPr>
        <w:t>多年平均气温：</w:t>
      </w:r>
      <w:r>
        <w:rPr>
          <w:rFonts w:hint="eastAsia"/>
          <w:highlight w:val="none"/>
        </w:rPr>
        <w:tab/>
      </w:r>
      <w:r>
        <w:rPr>
          <w:rFonts w:hint="eastAsia"/>
          <w:highlight w:val="none"/>
        </w:rPr>
        <w:tab/>
      </w:r>
      <w:r>
        <w:rPr>
          <w:rFonts w:hint="eastAsia"/>
          <w:highlight w:val="none"/>
        </w:rPr>
        <w:tab/>
      </w:r>
      <w:r>
        <w:rPr>
          <w:rFonts w:hint="eastAsia"/>
          <w:highlight w:val="none"/>
          <w:u w:val="single"/>
        </w:rPr>
        <w:t xml:space="preserve"> </w:t>
      </w:r>
      <w:r>
        <w:rPr>
          <w:highlight w:val="none"/>
          <w:u w:val="single"/>
        </w:rPr>
        <w:t>10.4</w:t>
      </w:r>
      <w:r>
        <w:rPr>
          <w:rFonts w:hint="eastAsia"/>
          <w:highlight w:val="none"/>
          <w:u w:val="single"/>
        </w:rPr>
        <w:t xml:space="preserve">   </w:t>
      </w:r>
      <w:r>
        <w:rPr>
          <w:rFonts w:hint="eastAsia"/>
          <w:highlight w:val="none"/>
        </w:rPr>
        <w:t>℃</w:t>
      </w:r>
    </w:p>
    <w:p w14:paraId="791026C0">
      <w:pPr>
        <w:snapToGrid w:val="0"/>
        <w:spacing w:line="360" w:lineRule="auto"/>
        <w:ind w:firstLine="480" w:firstLineChars="200"/>
        <w:rPr>
          <w:highlight w:val="none"/>
        </w:rPr>
      </w:pPr>
      <w:r>
        <w:rPr>
          <w:rFonts w:hint="eastAsia"/>
          <w:highlight w:val="none"/>
        </w:rPr>
        <w:t>多年平均最高气温：</w:t>
      </w:r>
      <w:r>
        <w:rPr>
          <w:rFonts w:hint="eastAsia"/>
          <w:highlight w:val="none"/>
        </w:rPr>
        <w:tab/>
      </w:r>
      <w:r>
        <w:rPr>
          <w:rFonts w:hint="eastAsia"/>
          <w:highlight w:val="none"/>
        </w:rPr>
        <w:tab/>
      </w:r>
      <w:r>
        <w:rPr>
          <w:rFonts w:hint="eastAsia"/>
          <w:highlight w:val="none"/>
          <w:u w:val="single"/>
        </w:rPr>
        <w:t xml:space="preserve">  </w:t>
      </w:r>
      <w:r>
        <w:rPr>
          <w:highlight w:val="none"/>
          <w:u w:val="single"/>
        </w:rPr>
        <w:t>17.7</w:t>
      </w:r>
      <w:r>
        <w:rPr>
          <w:rFonts w:hint="eastAsia"/>
          <w:highlight w:val="none"/>
          <w:u w:val="single"/>
        </w:rPr>
        <w:t xml:space="preserve">  </w:t>
      </w:r>
      <w:r>
        <w:rPr>
          <w:rFonts w:hint="eastAsia"/>
          <w:highlight w:val="none"/>
        </w:rPr>
        <w:t>℃</w:t>
      </w:r>
    </w:p>
    <w:p w14:paraId="7BAB86E9">
      <w:pPr>
        <w:snapToGrid w:val="0"/>
        <w:spacing w:line="360" w:lineRule="auto"/>
        <w:ind w:firstLine="480" w:firstLineChars="200"/>
        <w:rPr>
          <w:highlight w:val="none"/>
        </w:rPr>
      </w:pPr>
      <w:r>
        <w:rPr>
          <w:rFonts w:hint="eastAsia"/>
          <w:highlight w:val="none"/>
        </w:rPr>
        <w:t>累年最热月平均最高气温：</w:t>
      </w:r>
      <w:r>
        <w:rPr>
          <w:rFonts w:hint="eastAsia"/>
          <w:highlight w:val="none"/>
          <w:u w:val="single"/>
        </w:rPr>
        <w:t xml:space="preserve">  </w:t>
      </w:r>
      <w:r>
        <w:rPr>
          <w:highlight w:val="none"/>
          <w:u w:val="single"/>
        </w:rPr>
        <w:t>31.2</w:t>
      </w:r>
      <w:r>
        <w:rPr>
          <w:rFonts w:hint="eastAsia"/>
          <w:highlight w:val="none"/>
          <w:u w:val="single"/>
        </w:rPr>
        <w:t xml:space="preserve">  </w:t>
      </w:r>
      <w:r>
        <w:rPr>
          <w:rFonts w:hint="eastAsia"/>
          <w:highlight w:val="none"/>
        </w:rPr>
        <w:t>℃</w:t>
      </w:r>
    </w:p>
    <w:p w14:paraId="7E639FE3">
      <w:pPr>
        <w:snapToGrid w:val="0"/>
        <w:spacing w:line="360" w:lineRule="auto"/>
        <w:ind w:firstLine="480" w:firstLineChars="200"/>
        <w:rPr>
          <w:highlight w:val="none"/>
        </w:rPr>
      </w:pPr>
      <w:r>
        <w:rPr>
          <w:rFonts w:hint="eastAsia"/>
          <w:highlight w:val="none"/>
        </w:rPr>
        <w:t>相应月平均相对湿度：</w:t>
      </w:r>
      <w:r>
        <w:rPr>
          <w:rFonts w:hint="eastAsia"/>
          <w:highlight w:val="none"/>
        </w:rPr>
        <w:tab/>
      </w:r>
      <w:r>
        <w:rPr>
          <w:rFonts w:hint="eastAsia"/>
          <w:highlight w:val="none"/>
        </w:rPr>
        <w:tab/>
      </w:r>
      <w:r>
        <w:rPr>
          <w:rFonts w:hint="eastAsia"/>
          <w:highlight w:val="none"/>
          <w:u w:val="single"/>
        </w:rPr>
        <w:t xml:space="preserve"> </w:t>
      </w:r>
      <w:r>
        <w:rPr>
          <w:highlight w:val="none"/>
          <w:u w:val="single"/>
        </w:rPr>
        <w:t>54</w:t>
      </w:r>
      <w:r>
        <w:rPr>
          <w:rFonts w:hint="eastAsia"/>
          <w:highlight w:val="none"/>
          <w:u w:val="single"/>
        </w:rPr>
        <w:t xml:space="preserve">   </w:t>
      </w:r>
      <w:r>
        <w:rPr>
          <w:rFonts w:hint="eastAsia"/>
          <w:highlight w:val="none"/>
        </w:rPr>
        <w:t>%</w:t>
      </w:r>
    </w:p>
    <w:p w14:paraId="4EF9C26C">
      <w:pPr>
        <w:snapToGrid w:val="0"/>
        <w:spacing w:line="360" w:lineRule="auto"/>
        <w:ind w:firstLine="480" w:firstLineChars="200"/>
        <w:rPr>
          <w:highlight w:val="none"/>
        </w:rPr>
      </w:pPr>
      <w:r>
        <w:rPr>
          <w:rFonts w:hint="eastAsia"/>
          <w:highlight w:val="none"/>
        </w:rPr>
        <w:t>累年平均最低气温：</w:t>
      </w:r>
      <w:r>
        <w:rPr>
          <w:rFonts w:hint="eastAsia"/>
          <w:highlight w:val="none"/>
        </w:rPr>
        <w:tab/>
      </w:r>
      <w:r>
        <w:rPr>
          <w:rFonts w:hint="eastAsia"/>
          <w:highlight w:val="none"/>
        </w:rPr>
        <w:tab/>
      </w:r>
      <w:r>
        <w:rPr>
          <w:rFonts w:hint="eastAsia"/>
          <w:highlight w:val="none"/>
          <w:u w:val="single"/>
        </w:rPr>
        <w:t xml:space="preserve">  </w:t>
      </w:r>
      <w:r>
        <w:rPr>
          <w:highlight w:val="none"/>
          <w:u w:val="single"/>
        </w:rPr>
        <w:t>4.2</w:t>
      </w:r>
      <w:r>
        <w:rPr>
          <w:rFonts w:hint="eastAsia"/>
          <w:highlight w:val="none"/>
          <w:u w:val="single"/>
        </w:rPr>
        <w:t xml:space="preserve">  </w:t>
      </w:r>
      <w:r>
        <w:rPr>
          <w:rFonts w:hint="eastAsia"/>
          <w:highlight w:val="none"/>
        </w:rPr>
        <w:t>℃</w:t>
      </w:r>
    </w:p>
    <w:p w14:paraId="5EA485EB">
      <w:pPr>
        <w:snapToGrid w:val="0"/>
        <w:spacing w:line="360" w:lineRule="auto"/>
        <w:ind w:firstLine="480" w:firstLineChars="200"/>
        <w:rPr>
          <w:highlight w:val="none"/>
        </w:rPr>
      </w:pPr>
      <w:r>
        <w:rPr>
          <w:rFonts w:hint="eastAsia"/>
          <w:highlight w:val="none"/>
        </w:rPr>
        <w:t>极端最高气温：</w:t>
      </w:r>
      <w:r>
        <w:rPr>
          <w:rFonts w:hint="eastAsia"/>
          <w:highlight w:val="none"/>
        </w:rPr>
        <w:tab/>
      </w:r>
      <w:r>
        <w:rPr>
          <w:rFonts w:hint="eastAsia"/>
          <w:highlight w:val="none"/>
        </w:rPr>
        <w:tab/>
      </w:r>
      <w:r>
        <w:rPr>
          <w:rFonts w:hint="eastAsia"/>
          <w:highlight w:val="none"/>
        </w:rPr>
        <w:tab/>
      </w:r>
      <w:r>
        <w:rPr>
          <w:rFonts w:hint="eastAsia"/>
          <w:highlight w:val="none"/>
          <w:u w:val="single"/>
        </w:rPr>
        <w:t xml:space="preserve">  </w:t>
      </w:r>
      <w:r>
        <w:rPr>
          <w:highlight w:val="none"/>
          <w:u w:val="single"/>
        </w:rPr>
        <w:t>39.6</w:t>
      </w:r>
      <w:r>
        <w:rPr>
          <w:rFonts w:hint="eastAsia"/>
          <w:highlight w:val="none"/>
          <w:u w:val="single"/>
        </w:rPr>
        <w:t xml:space="preserve">  </w:t>
      </w:r>
      <w:r>
        <w:rPr>
          <w:rFonts w:hint="eastAsia"/>
          <w:highlight w:val="none"/>
        </w:rPr>
        <w:t xml:space="preserve">℃ </w:t>
      </w:r>
    </w:p>
    <w:p w14:paraId="68B27CA8">
      <w:pPr>
        <w:snapToGrid w:val="0"/>
        <w:spacing w:line="360" w:lineRule="auto"/>
        <w:ind w:firstLine="480" w:firstLineChars="200"/>
        <w:rPr>
          <w:highlight w:val="none"/>
        </w:rPr>
      </w:pPr>
      <w:r>
        <w:rPr>
          <w:rFonts w:hint="eastAsia"/>
          <w:highlight w:val="none"/>
        </w:rPr>
        <w:t>极端最低气温：</w:t>
      </w:r>
      <w:r>
        <w:rPr>
          <w:rFonts w:hint="eastAsia"/>
          <w:highlight w:val="none"/>
        </w:rPr>
        <w:tab/>
      </w:r>
      <w:r>
        <w:rPr>
          <w:rFonts w:hint="eastAsia"/>
          <w:highlight w:val="none"/>
        </w:rPr>
        <w:tab/>
      </w:r>
      <w:r>
        <w:rPr>
          <w:rFonts w:hint="eastAsia"/>
          <w:highlight w:val="none"/>
        </w:rPr>
        <w:tab/>
      </w:r>
      <w:r>
        <w:rPr>
          <w:rFonts w:hint="eastAsia"/>
          <w:highlight w:val="none"/>
          <w:u w:val="single"/>
        </w:rPr>
        <w:t xml:space="preserve"> </w:t>
      </w:r>
      <w:r>
        <w:rPr>
          <w:highlight w:val="none"/>
          <w:u w:val="single"/>
        </w:rPr>
        <w:t>-26.8</w:t>
      </w:r>
      <w:r>
        <w:rPr>
          <w:rFonts w:hint="eastAsia"/>
          <w:highlight w:val="none"/>
          <w:u w:val="single"/>
        </w:rPr>
        <w:t xml:space="preserve">   </w:t>
      </w:r>
      <w:r>
        <w:rPr>
          <w:rFonts w:hint="eastAsia"/>
          <w:highlight w:val="none"/>
        </w:rPr>
        <w:t>℃</w:t>
      </w:r>
    </w:p>
    <w:p w14:paraId="226535A4">
      <w:pPr>
        <w:snapToGrid w:val="0"/>
        <w:spacing w:line="360" w:lineRule="auto"/>
        <w:ind w:firstLine="480" w:firstLineChars="200"/>
        <w:rPr>
          <w:highlight w:val="none"/>
        </w:rPr>
      </w:pPr>
      <w:r>
        <w:rPr>
          <w:rFonts w:hint="eastAsia"/>
          <w:highlight w:val="none"/>
        </w:rPr>
        <w:t>● 湿度</w:t>
      </w:r>
    </w:p>
    <w:p w14:paraId="1FC78AAE">
      <w:pPr>
        <w:snapToGrid w:val="0"/>
        <w:spacing w:line="360" w:lineRule="auto"/>
        <w:ind w:firstLine="480" w:firstLineChars="200"/>
        <w:rPr>
          <w:highlight w:val="none"/>
        </w:rPr>
      </w:pPr>
      <w:r>
        <w:rPr>
          <w:rFonts w:hint="eastAsia"/>
          <w:highlight w:val="none"/>
        </w:rPr>
        <w:t>多年平均相对湿度：</w:t>
      </w:r>
      <w:r>
        <w:rPr>
          <w:rFonts w:hint="eastAsia"/>
          <w:highlight w:val="none"/>
        </w:rPr>
        <w:tab/>
      </w:r>
      <w:r>
        <w:rPr>
          <w:rFonts w:hint="eastAsia"/>
          <w:highlight w:val="none"/>
        </w:rPr>
        <w:tab/>
      </w:r>
      <w:r>
        <w:rPr>
          <w:rFonts w:hint="eastAsia"/>
          <w:highlight w:val="none"/>
          <w:u w:val="single"/>
        </w:rPr>
        <w:t xml:space="preserve"> </w:t>
      </w:r>
      <w:r>
        <w:rPr>
          <w:highlight w:val="none"/>
          <w:u w:val="single"/>
        </w:rPr>
        <w:t>58</w:t>
      </w:r>
      <w:r>
        <w:rPr>
          <w:rFonts w:hint="eastAsia"/>
          <w:highlight w:val="none"/>
          <w:u w:val="single"/>
        </w:rPr>
        <w:t xml:space="preserve">   </w:t>
      </w:r>
      <w:r>
        <w:rPr>
          <w:rFonts w:hint="eastAsia"/>
          <w:highlight w:val="none"/>
        </w:rPr>
        <w:t>%</w:t>
      </w:r>
    </w:p>
    <w:p w14:paraId="451FEE3B">
      <w:pPr>
        <w:snapToGrid w:val="0"/>
        <w:spacing w:line="360" w:lineRule="auto"/>
        <w:ind w:firstLine="480" w:firstLineChars="200"/>
        <w:rPr>
          <w:highlight w:val="none"/>
        </w:rPr>
      </w:pPr>
      <w:r>
        <w:rPr>
          <w:rFonts w:hint="eastAsia"/>
          <w:highlight w:val="none"/>
        </w:rPr>
        <w:t>累年最小相对湿度：</w:t>
      </w:r>
      <w:r>
        <w:rPr>
          <w:rFonts w:hint="eastAsia"/>
          <w:highlight w:val="none"/>
        </w:rPr>
        <w:tab/>
      </w:r>
      <w:r>
        <w:rPr>
          <w:rFonts w:hint="eastAsia"/>
          <w:highlight w:val="none"/>
        </w:rPr>
        <w:tab/>
      </w:r>
      <w:r>
        <w:rPr>
          <w:rFonts w:hint="eastAsia"/>
          <w:highlight w:val="none"/>
          <w:u w:val="single"/>
        </w:rPr>
        <w:t xml:space="preserve"> </w:t>
      </w:r>
      <w:r>
        <w:rPr>
          <w:highlight w:val="none"/>
          <w:u w:val="single"/>
        </w:rPr>
        <w:t>0</w:t>
      </w:r>
      <w:r>
        <w:rPr>
          <w:rFonts w:hint="eastAsia"/>
          <w:highlight w:val="none"/>
          <w:u w:val="single"/>
        </w:rPr>
        <w:t xml:space="preserve">   </w:t>
      </w:r>
      <w:r>
        <w:rPr>
          <w:rFonts w:hint="eastAsia"/>
          <w:highlight w:val="none"/>
        </w:rPr>
        <w:t xml:space="preserve">% </w:t>
      </w:r>
    </w:p>
    <w:p w14:paraId="75033009">
      <w:pPr>
        <w:snapToGrid w:val="0"/>
        <w:spacing w:line="360" w:lineRule="auto"/>
        <w:ind w:firstLine="480" w:firstLineChars="200"/>
        <w:rPr>
          <w:highlight w:val="none"/>
        </w:rPr>
      </w:pPr>
      <w:r>
        <w:rPr>
          <w:rFonts w:hint="eastAsia"/>
          <w:highlight w:val="none"/>
        </w:rPr>
        <w:t>多年平均水气压：</w:t>
      </w:r>
      <w:r>
        <w:rPr>
          <w:rFonts w:hint="eastAsia"/>
          <w:highlight w:val="none"/>
        </w:rPr>
        <w:tab/>
      </w:r>
      <w:r>
        <w:rPr>
          <w:rFonts w:hint="eastAsia"/>
          <w:highlight w:val="none"/>
        </w:rPr>
        <w:tab/>
      </w:r>
      <w:r>
        <w:rPr>
          <w:rFonts w:hint="eastAsia"/>
          <w:highlight w:val="none"/>
        </w:rPr>
        <w:tab/>
      </w:r>
      <w:r>
        <w:rPr>
          <w:rFonts w:hint="eastAsia"/>
          <w:highlight w:val="none"/>
          <w:u w:val="single"/>
        </w:rPr>
        <w:t xml:space="preserve">  </w:t>
      </w:r>
      <w:r>
        <w:rPr>
          <w:highlight w:val="none"/>
          <w:u w:val="single"/>
        </w:rPr>
        <w:t>8.0</w:t>
      </w:r>
      <w:r>
        <w:rPr>
          <w:rFonts w:hint="eastAsia"/>
          <w:highlight w:val="none"/>
          <w:u w:val="single"/>
        </w:rPr>
        <w:t xml:space="preserve">  </w:t>
      </w:r>
      <w:r>
        <w:rPr>
          <w:rFonts w:hint="eastAsia"/>
          <w:highlight w:val="none"/>
        </w:rPr>
        <w:t>hPa</w:t>
      </w:r>
    </w:p>
    <w:p w14:paraId="1656CAF9">
      <w:pPr>
        <w:snapToGrid w:val="0"/>
        <w:spacing w:line="360" w:lineRule="auto"/>
        <w:ind w:firstLine="480" w:firstLineChars="200"/>
        <w:rPr>
          <w:highlight w:val="none"/>
        </w:rPr>
      </w:pPr>
      <w:r>
        <w:rPr>
          <w:rFonts w:hint="eastAsia"/>
          <w:highlight w:val="none"/>
        </w:rPr>
        <w:t>● 降水、蒸发</w:t>
      </w:r>
    </w:p>
    <w:p w14:paraId="1AB5761F">
      <w:pPr>
        <w:snapToGrid w:val="0"/>
        <w:spacing w:line="360" w:lineRule="auto"/>
        <w:ind w:firstLine="480" w:firstLineChars="200"/>
        <w:rPr>
          <w:highlight w:val="none"/>
        </w:rPr>
      </w:pPr>
      <w:r>
        <w:rPr>
          <w:rFonts w:hint="eastAsia"/>
          <w:highlight w:val="none"/>
        </w:rPr>
        <w:t>多年平均降水量：</w:t>
      </w:r>
      <w:r>
        <w:rPr>
          <w:rFonts w:hint="eastAsia"/>
          <w:highlight w:val="none"/>
        </w:rPr>
        <w:tab/>
      </w:r>
      <w:r>
        <w:rPr>
          <w:rFonts w:hint="eastAsia"/>
          <w:highlight w:val="none"/>
        </w:rPr>
        <w:tab/>
      </w:r>
      <w:r>
        <w:rPr>
          <w:rFonts w:hint="eastAsia"/>
          <w:highlight w:val="none"/>
        </w:rPr>
        <w:tab/>
      </w:r>
      <w:r>
        <w:rPr>
          <w:rFonts w:hint="eastAsia"/>
          <w:highlight w:val="none"/>
          <w:u w:val="single"/>
        </w:rPr>
        <w:t xml:space="preserve"> </w:t>
      </w:r>
      <w:r>
        <w:rPr>
          <w:highlight w:val="none"/>
          <w:u w:val="single"/>
        </w:rPr>
        <w:t>73.6</w:t>
      </w:r>
      <w:r>
        <w:rPr>
          <w:rFonts w:hint="eastAsia"/>
          <w:highlight w:val="none"/>
          <w:u w:val="single"/>
        </w:rPr>
        <w:t xml:space="preserve">   </w:t>
      </w:r>
      <w:r>
        <w:rPr>
          <w:rFonts w:hint="eastAsia"/>
          <w:highlight w:val="none"/>
        </w:rPr>
        <w:t>mm</w:t>
      </w:r>
    </w:p>
    <w:p w14:paraId="3E813790">
      <w:pPr>
        <w:snapToGrid w:val="0"/>
        <w:spacing w:line="360" w:lineRule="auto"/>
        <w:ind w:firstLine="480" w:firstLineChars="200"/>
        <w:rPr>
          <w:highlight w:val="none"/>
        </w:rPr>
      </w:pPr>
      <w:r>
        <w:rPr>
          <w:rFonts w:hint="eastAsia"/>
          <w:highlight w:val="none"/>
        </w:rPr>
        <w:t>最大年降水量：</w:t>
      </w:r>
      <w:r>
        <w:rPr>
          <w:rFonts w:hint="eastAsia"/>
          <w:highlight w:val="none"/>
        </w:rPr>
        <w:tab/>
      </w:r>
      <w:r>
        <w:rPr>
          <w:rFonts w:hint="eastAsia"/>
          <w:highlight w:val="none"/>
        </w:rPr>
        <w:tab/>
      </w:r>
      <w:r>
        <w:rPr>
          <w:rFonts w:hint="eastAsia"/>
          <w:highlight w:val="none"/>
        </w:rPr>
        <w:tab/>
      </w:r>
      <w:r>
        <w:rPr>
          <w:rFonts w:hint="eastAsia"/>
          <w:highlight w:val="none"/>
          <w:u w:val="single"/>
        </w:rPr>
        <w:t xml:space="preserve">    </w:t>
      </w:r>
      <w:r>
        <w:rPr>
          <w:rFonts w:hint="eastAsia"/>
          <w:highlight w:val="none"/>
        </w:rPr>
        <w:t>mm</w:t>
      </w:r>
    </w:p>
    <w:p w14:paraId="7E3D60E8">
      <w:pPr>
        <w:snapToGrid w:val="0"/>
        <w:spacing w:line="360" w:lineRule="auto"/>
        <w:ind w:firstLine="480" w:firstLineChars="200"/>
        <w:rPr>
          <w:highlight w:val="none"/>
        </w:rPr>
      </w:pPr>
      <w:r>
        <w:rPr>
          <w:rFonts w:hint="eastAsia"/>
          <w:highlight w:val="none"/>
        </w:rPr>
        <w:t>最小年降水量：</w:t>
      </w:r>
      <w:r>
        <w:rPr>
          <w:rFonts w:hint="eastAsia"/>
          <w:highlight w:val="none"/>
        </w:rPr>
        <w:tab/>
      </w:r>
      <w:r>
        <w:rPr>
          <w:rFonts w:hint="eastAsia"/>
          <w:highlight w:val="none"/>
        </w:rPr>
        <w:tab/>
      </w:r>
      <w:r>
        <w:rPr>
          <w:rFonts w:hint="eastAsia"/>
          <w:highlight w:val="none"/>
        </w:rPr>
        <w:tab/>
      </w:r>
      <w:r>
        <w:rPr>
          <w:rFonts w:hint="eastAsia"/>
          <w:highlight w:val="none"/>
          <w:u w:val="single"/>
        </w:rPr>
        <w:t xml:space="preserve">    </w:t>
      </w:r>
      <w:r>
        <w:rPr>
          <w:rFonts w:hint="eastAsia"/>
          <w:highlight w:val="none"/>
        </w:rPr>
        <w:t>mm</w:t>
      </w:r>
    </w:p>
    <w:p w14:paraId="13BB9D12">
      <w:pPr>
        <w:snapToGrid w:val="0"/>
        <w:spacing w:line="360" w:lineRule="auto"/>
        <w:ind w:firstLine="480" w:firstLineChars="200"/>
        <w:rPr>
          <w:highlight w:val="none"/>
        </w:rPr>
      </w:pPr>
      <w:r>
        <w:rPr>
          <w:rFonts w:hint="eastAsia"/>
          <w:highlight w:val="none"/>
        </w:rPr>
        <w:t>最大一日降水量：</w:t>
      </w:r>
      <w:r>
        <w:rPr>
          <w:rFonts w:hint="eastAsia"/>
          <w:highlight w:val="none"/>
        </w:rPr>
        <w:tab/>
      </w:r>
      <w:r>
        <w:rPr>
          <w:rFonts w:hint="eastAsia"/>
          <w:highlight w:val="none"/>
        </w:rPr>
        <w:tab/>
      </w:r>
      <w:r>
        <w:rPr>
          <w:rFonts w:hint="eastAsia"/>
          <w:highlight w:val="none"/>
        </w:rPr>
        <w:tab/>
      </w:r>
      <w:r>
        <w:rPr>
          <w:rFonts w:hint="eastAsia"/>
          <w:highlight w:val="none"/>
          <w:u w:val="single"/>
        </w:rPr>
        <w:t xml:space="preserve">  </w:t>
      </w:r>
      <w:r>
        <w:rPr>
          <w:highlight w:val="none"/>
          <w:u w:val="single"/>
        </w:rPr>
        <w:t>48.6</w:t>
      </w:r>
      <w:r>
        <w:rPr>
          <w:rFonts w:hint="eastAsia"/>
          <w:highlight w:val="none"/>
          <w:u w:val="single"/>
        </w:rPr>
        <w:t xml:space="preserve">  </w:t>
      </w:r>
      <w:r>
        <w:rPr>
          <w:rFonts w:hint="eastAsia"/>
          <w:highlight w:val="none"/>
        </w:rPr>
        <w:t>mm</w:t>
      </w:r>
    </w:p>
    <w:p w14:paraId="1F856786">
      <w:pPr>
        <w:snapToGrid w:val="0"/>
        <w:spacing w:line="360" w:lineRule="auto"/>
        <w:ind w:firstLine="480" w:firstLineChars="200"/>
        <w:rPr>
          <w:highlight w:val="none"/>
        </w:rPr>
      </w:pPr>
      <w:r>
        <w:rPr>
          <w:rFonts w:hint="eastAsia"/>
          <w:highlight w:val="none"/>
        </w:rPr>
        <w:t>最大1小时降水量：</w:t>
      </w:r>
      <w:r>
        <w:rPr>
          <w:rFonts w:hint="eastAsia"/>
          <w:highlight w:val="none"/>
        </w:rPr>
        <w:tab/>
      </w:r>
      <w:r>
        <w:rPr>
          <w:rFonts w:hint="eastAsia"/>
          <w:highlight w:val="none"/>
        </w:rPr>
        <w:tab/>
      </w:r>
      <w:r>
        <w:rPr>
          <w:rFonts w:hint="eastAsia"/>
          <w:highlight w:val="none"/>
          <w:u w:val="single"/>
        </w:rPr>
        <w:t xml:space="preserve"> </w:t>
      </w:r>
      <w:r>
        <w:rPr>
          <w:highlight w:val="none"/>
          <w:u w:val="single"/>
        </w:rPr>
        <w:t>22.6</w:t>
      </w:r>
      <w:r>
        <w:rPr>
          <w:rFonts w:hint="eastAsia"/>
          <w:highlight w:val="none"/>
          <w:u w:val="single"/>
        </w:rPr>
        <w:t xml:space="preserve">   </w:t>
      </w:r>
      <w:r>
        <w:rPr>
          <w:rFonts w:hint="eastAsia"/>
          <w:highlight w:val="none"/>
        </w:rPr>
        <w:t>mm</w:t>
      </w:r>
    </w:p>
    <w:p w14:paraId="5BE14B0E">
      <w:pPr>
        <w:snapToGrid w:val="0"/>
        <w:spacing w:line="360" w:lineRule="auto"/>
        <w:ind w:firstLine="480" w:firstLineChars="200"/>
        <w:rPr>
          <w:highlight w:val="none"/>
        </w:rPr>
      </w:pPr>
      <w:r>
        <w:rPr>
          <w:rFonts w:hint="eastAsia"/>
          <w:highlight w:val="none"/>
        </w:rPr>
        <w:t>最大10分钟降水量：</w:t>
      </w:r>
      <w:r>
        <w:rPr>
          <w:rFonts w:hint="eastAsia"/>
          <w:highlight w:val="none"/>
        </w:rPr>
        <w:tab/>
      </w:r>
      <w:r>
        <w:rPr>
          <w:rFonts w:hint="eastAsia"/>
          <w:highlight w:val="none"/>
        </w:rPr>
        <w:tab/>
      </w:r>
      <w:r>
        <w:rPr>
          <w:rFonts w:hint="eastAsia"/>
          <w:highlight w:val="none"/>
          <w:u w:val="single"/>
        </w:rPr>
        <w:t xml:space="preserve"> </w:t>
      </w:r>
      <w:r>
        <w:rPr>
          <w:highlight w:val="none"/>
          <w:u w:val="single"/>
        </w:rPr>
        <w:t>8.7</w:t>
      </w:r>
      <w:r>
        <w:rPr>
          <w:rFonts w:hint="eastAsia"/>
          <w:highlight w:val="none"/>
          <w:u w:val="single"/>
        </w:rPr>
        <w:t xml:space="preserve">   </w:t>
      </w:r>
      <w:r>
        <w:rPr>
          <w:rFonts w:hint="eastAsia"/>
          <w:highlight w:val="none"/>
        </w:rPr>
        <w:t>mm</w:t>
      </w:r>
    </w:p>
    <w:p w14:paraId="6D094DF2">
      <w:pPr>
        <w:snapToGrid w:val="0"/>
        <w:spacing w:line="360" w:lineRule="auto"/>
        <w:ind w:firstLine="480" w:firstLineChars="200"/>
        <w:rPr>
          <w:highlight w:val="none"/>
        </w:rPr>
      </w:pPr>
      <w:r>
        <w:rPr>
          <w:rFonts w:hint="eastAsia"/>
          <w:highlight w:val="none"/>
        </w:rPr>
        <w:t xml:space="preserve">累年平均年蒸发量：1738.3mm </w:t>
      </w:r>
    </w:p>
    <w:p w14:paraId="19003268">
      <w:pPr>
        <w:snapToGrid w:val="0"/>
        <w:spacing w:line="360" w:lineRule="auto"/>
        <w:ind w:firstLine="480" w:firstLineChars="200"/>
        <w:rPr>
          <w:highlight w:val="none"/>
        </w:rPr>
      </w:pPr>
      <w:r>
        <w:rPr>
          <w:rFonts w:hint="eastAsia"/>
          <w:highlight w:val="none"/>
        </w:rPr>
        <w:t xml:space="preserve">最大年蒸发量：2217.2mm（1985年） </w:t>
      </w:r>
    </w:p>
    <w:p w14:paraId="379A6C11">
      <w:pPr>
        <w:snapToGrid w:val="0"/>
        <w:spacing w:line="360" w:lineRule="auto"/>
        <w:ind w:firstLine="480" w:firstLineChars="200"/>
        <w:rPr>
          <w:highlight w:val="none"/>
        </w:rPr>
      </w:pPr>
      <w:r>
        <w:rPr>
          <w:rFonts w:hint="eastAsia"/>
          <w:highlight w:val="none"/>
        </w:rPr>
        <w:t>最小年蒸发量：1577.2mm（1974年）</w:t>
      </w:r>
    </w:p>
    <w:p w14:paraId="3A308910">
      <w:pPr>
        <w:snapToGrid w:val="0"/>
        <w:spacing w:line="360" w:lineRule="auto"/>
        <w:ind w:firstLine="480" w:firstLineChars="200"/>
        <w:rPr>
          <w:highlight w:val="none"/>
        </w:rPr>
      </w:pPr>
      <w:r>
        <w:rPr>
          <w:rFonts w:hint="eastAsia"/>
          <w:highlight w:val="none"/>
        </w:rPr>
        <w:t>● 雪、雷暴、雾</w:t>
      </w:r>
    </w:p>
    <w:p w14:paraId="73071030">
      <w:pPr>
        <w:snapToGrid w:val="0"/>
        <w:spacing w:line="360" w:lineRule="auto"/>
        <w:ind w:firstLine="480" w:firstLineChars="200"/>
        <w:rPr>
          <w:highlight w:val="none"/>
        </w:rPr>
      </w:pPr>
      <w:r>
        <w:rPr>
          <w:rFonts w:hint="eastAsia"/>
          <w:highlight w:val="none"/>
        </w:rPr>
        <w:t>最大积雪深度：</w:t>
      </w:r>
      <w:r>
        <w:rPr>
          <w:rFonts w:hint="eastAsia"/>
          <w:highlight w:val="none"/>
        </w:rPr>
        <w:tab/>
      </w:r>
      <w:r>
        <w:rPr>
          <w:rFonts w:hint="eastAsia"/>
          <w:highlight w:val="none"/>
        </w:rPr>
        <w:tab/>
      </w:r>
      <w:r>
        <w:rPr>
          <w:rFonts w:hint="eastAsia"/>
          <w:highlight w:val="none"/>
        </w:rPr>
        <w:tab/>
      </w:r>
      <w:r>
        <w:rPr>
          <w:rFonts w:hint="eastAsia"/>
          <w:highlight w:val="none"/>
          <w:u w:val="single"/>
        </w:rPr>
        <w:t xml:space="preserve"> </w:t>
      </w:r>
      <w:r>
        <w:rPr>
          <w:highlight w:val="none"/>
          <w:u w:val="single"/>
        </w:rPr>
        <w:t>20</w:t>
      </w:r>
      <w:r>
        <w:rPr>
          <w:rFonts w:hint="eastAsia"/>
          <w:highlight w:val="none"/>
          <w:u w:val="single"/>
        </w:rPr>
        <w:t xml:space="preserve">   </w:t>
      </w:r>
      <w:r>
        <w:rPr>
          <w:rFonts w:hint="eastAsia"/>
          <w:highlight w:val="none"/>
        </w:rPr>
        <w:t xml:space="preserve">cm </w:t>
      </w:r>
    </w:p>
    <w:p w14:paraId="7104F86C">
      <w:pPr>
        <w:snapToGrid w:val="0"/>
        <w:spacing w:line="360" w:lineRule="auto"/>
        <w:ind w:firstLine="480" w:firstLineChars="200"/>
        <w:rPr>
          <w:highlight w:val="none"/>
        </w:rPr>
      </w:pPr>
      <w:r>
        <w:rPr>
          <w:rFonts w:hint="eastAsia"/>
          <w:highlight w:val="none"/>
        </w:rPr>
        <w:t>多年平均雷暴日数：</w:t>
      </w:r>
      <w:r>
        <w:rPr>
          <w:rFonts w:hint="eastAsia"/>
          <w:highlight w:val="none"/>
        </w:rPr>
        <w:tab/>
      </w:r>
      <w:r>
        <w:rPr>
          <w:rFonts w:hint="eastAsia"/>
          <w:highlight w:val="none"/>
        </w:rPr>
        <w:tab/>
      </w:r>
      <w:r>
        <w:rPr>
          <w:rFonts w:hint="eastAsia"/>
          <w:highlight w:val="none"/>
          <w:u w:val="single"/>
        </w:rPr>
        <w:t xml:space="preserve">   </w:t>
      </w:r>
      <w:r>
        <w:rPr>
          <w:highlight w:val="none"/>
          <w:u w:val="single"/>
        </w:rPr>
        <w:t>28.9</w:t>
      </w:r>
      <w:r>
        <w:rPr>
          <w:rFonts w:hint="eastAsia"/>
          <w:highlight w:val="none"/>
          <w:u w:val="single"/>
        </w:rPr>
        <w:t xml:space="preserve"> </w:t>
      </w:r>
      <w:r>
        <w:rPr>
          <w:rFonts w:hint="eastAsia"/>
          <w:highlight w:val="none"/>
        </w:rPr>
        <w:t>d</w:t>
      </w:r>
    </w:p>
    <w:p w14:paraId="66BB3228">
      <w:pPr>
        <w:snapToGrid w:val="0"/>
        <w:spacing w:line="360" w:lineRule="auto"/>
        <w:ind w:firstLine="480" w:firstLineChars="200"/>
        <w:rPr>
          <w:highlight w:val="none"/>
        </w:rPr>
      </w:pPr>
      <w:r>
        <w:rPr>
          <w:rFonts w:hint="eastAsia"/>
          <w:highlight w:val="none"/>
        </w:rPr>
        <w:t>最多年雷暴日数：</w:t>
      </w:r>
      <w:r>
        <w:rPr>
          <w:rFonts w:hint="eastAsia"/>
          <w:highlight w:val="none"/>
        </w:rPr>
        <w:tab/>
      </w:r>
      <w:r>
        <w:rPr>
          <w:rFonts w:hint="eastAsia"/>
          <w:highlight w:val="none"/>
        </w:rPr>
        <w:tab/>
      </w:r>
      <w:r>
        <w:rPr>
          <w:rFonts w:hint="eastAsia"/>
          <w:highlight w:val="none"/>
        </w:rPr>
        <w:tab/>
      </w:r>
      <w:r>
        <w:rPr>
          <w:rFonts w:hint="eastAsia"/>
          <w:highlight w:val="none"/>
          <w:u w:val="single"/>
        </w:rPr>
        <w:t xml:space="preserve">  </w:t>
      </w:r>
      <w:r>
        <w:rPr>
          <w:highlight w:val="none"/>
          <w:u w:val="single"/>
        </w:rPr>
        <w:t>45</w:t>
      </w:r>
      <w:r>
        <w:rPr>
          <w:rFonts w:hint="eastAsia"/>
          <w:highlight w:val="none"/>
          <w:u w:val="single"/>
        </w:rPr>
        <w:t xml:space="preserve">  </w:t>
      </w:r>
      <w:r>
        <w:rPr>
          <w:rFonts w:hint="eastAsia"/>
          <w:highlight w:val="none"/>
        </w:rPr>
        <w:t>d</w:t>
      </w:r>
    </w:p>
    <w:p w14:paraId="36800A2A">
      <w:pPr>
        <w:snapToGrid w:val="0"/>
        <w:spacing w:line="360" w:lineRule="auto"/>
        <w:ind w:firstLine="480" w:firstLineChars="200"/>
        <w:rPr>
          <w:highlight w:val="none"/>
        </w:rPr>
      </w:pPr>
      <w:r>
        <w:rPr>
          <w:rFonts w:hint="eastAsia"/>
          <w:highlight w:val="none"/>
        </w:rPr>
        <w:t>最少年雷暴日数：</w:t>
      </w:r>
      <w:r>
        <w:rPr>
          <w:rFonts w:hint="eastAsia"/>
          <w:highlight w:val="none"/>
        </w:rPr>
        <w:tab/>
      </w:r>
      <w:r>
        <w:rPr>
          <w:rFonts w:hint="eastAsia"/>
          <w:highlight w:val="none"/>
        </w:rPr>
        <w:tab/>
      </w:r>
      <w:r>
        <w:rPr>
          <w:rFonts w:hint="eastAsia"/>
          <w:highlight w:val="none"/>
        </w:rPr>
        <w:tab/>
      </w:r>
      <w:r>
        <w:rPr>
          <w:rFonts w:hint="eastAsia"/>
          <w:highlight w:val="none"/>
          <w:u w:val="single"/>
        </w:rPr>
        <w:t xml:space="preserve">    </w:t>
      </w:r>
      <w:r>
        <w:rPr>
          <w:rFonts w:hint="eastAsia"/>
          <w:highlight w:val="none"/>
        </w:rPr>
        <w:t>d</w:t>
      </w:r>
    </w:p>
    <w:p w14:paraId="6912BABB">
      <w:pPr>
        <w:snapToGrid w:val="0"/>
        <w:spacing w:line="360" w:lineRule="auto"/>
        <w:ind w:firstLine="480" w:firstLineChars="200"/>
        <w:rPr>
          <w:highlight w:val="none"/>
        </w:rPr>
      </w:pPr>
      <w:r>
        <w:rPr>
          <w:rFonts w:hint="eastAsia"/>
          <w:highlight w:val="none"/>
        </w:rPr>
        <w:t>多年平均雾日数：</w:t>
      </w:r>
      <w:r>
        <w:rPr>
          <w:rFonts w:hint="eastAsia"/>
          <w:highlight w:val="none"/>
        </w:rPr>
        <w:tab/>
      </w:r>
      <w:r>
        <w:rPr>
          <w:rFonts w:hint="eastAsia"/>
          <w:highlight w:val="none"/>
        </w:rPr>
        <w:tab/>
      </w:r>
      <w:r>
        <w:rPr>
          <w:rFonts w:hint="eastAsia"/>
          <w:highlight w:val="none"/>
        </w:rPr>
        <w:tab/>
      </w:r>
      <w:r>
        <w:rPr>
          <w:rFonts w:hint="eastAsia"/>
          <w:highlight w:val="none"/>
          <w:u w:val="single"/>
        </w:rPr>
        <w:t xml:space="preserve"> </w:t>
      </w:r>
      <w:r>
        <w:rPr>
          <w:highlight w:val="none"/>
          <w:u w:val="single"/>
        </w:rPr>
        <w:t>1.1</w:t>
      </w:r>
      <w:r>
        <w:rPr>
          <w:rFonts w:hint="eastAsia"/>
          <w:highlight w:val="none"/>
          <w:u w:val="single"/>
        </w:rPr>
        <w:t xml:space="preserve">   </w:t>
      </w:r>
      <w:r>
        <w:rPr>
          <w:rFonts w:hint="eastAsia"/>
          <w:highlight w:val="none"/>
        </w:rPr>
        <w:t>d</w:t>
      </w:r>
    </w:p>
    <w:p w14:paraId="0E929119">
      <w:pPr>
        <w:snapToGrid w:val="0"/>
        <w:spacing w:line="360" w:lineRule="auto"/>
        <w:ind w:firstLine="480" w:firstLineChars="200"/>
        <w:rPr>
          <w:highlight w:val="none"/>
        </w:rPr>
      </w:pPr>
      <w:r>
        <w:rPr>
          <w:rFonts w:hint="eastAsia"/>
          <w:highlight w:val="none"/>
        </w:rPr>
        <w:t>● 风</w:t>
      </w:r>
    </w:p>
    <w:p w14:paraId="27D5148C">
      <w:pPr>
        <w:snapToGrid w:val="0"/>
        <w:spacing w:line="360" w:lineRule="auto"/>
        <w:ind w:firstLine="480" w:firstLineChars="200"/>
        <w:rPr>
          <w:highlight w:val="none"/>
        </w:rPr>
      </w:pPr>
      <w:r>
        <w:rPr>
          <w:rFonts w:hint="eastAsia"/>
          <w:highlight w:val="none"/>
        </w:rPr>
        <w:t>多年平均风速：</w:t>
      </w:r>
      <w:r>
        <w:rPr>
          <w:rFonts w:hint="eastAsia"/>
          <w:highlight w:val="none"/>
        </w:rPr>
        <w:tab/>
      </w:r>
      <w:r>
        <w:rPr>
          <w:rFonts w:hint="eastAsia"/>
          <w:highlight w:val="none"/>
        </w:rPr>
        <w:tab/>
      </w:r>
      <w:r>
        <w:rPr>
          <w:rFonts w:hint="eastAsia"/>
          <w:highlight w:val="none"/>
        </w:rPr>
        <w:tab/>
      </w:r>
      <w:r>
        <w:rPr>
          <w:rFonts w:hint="eastAsia"/>
          <w:highlight w:val="none"/>
          <w:u w:val="single"/>
        </w:rPr>
        <w:t xml:space="preserve">  </w:t>
      </w:r>
      <w:r>
        <w:rPr>
          <w:highlight w:val="none"/>
          <w:u w:val="single"/>
        </w:rPr>
        <w:t>1.6</w:t>
      </w:r>
      <w:r>
        <w:rPr>
          <w:rFonts w:hint="eastAsia"/>
          <w:highlight w:val="none"/>
          <w:u w:val="single"/>
        </w:rPr>
        <w:t xml:space="preserve">  </w:t>
      </w:r>
      <w:r>
        <w:rPr>
          <w:rFonts w:hint="eastAsia"/>
          <w:highlight w:val="none"/>
        </w:rPr>
        <w:t>m/s</w:t>
      </w:r>
    </w:p>
    <w:p w14:paraId="3481F5A2">
      <w:pPr>
        <w:snapToGrid w:val="0"/>
        <w:spacing w:line="360" w:lineRule="auto"/>
        <w:ind w:firstLine="480" w:firstLineChars="200"/>
        <w:rPr>
          <w:highlight w:val="none"/>
        </w:rPr>
      </w:pPr>
      <w:r>
        <w:rPr>
          <w:rFonts w:hint="eastAsia"/>
          <w:highlight w:val="none"/>
        </w:rPr>
        <w:t>最大风速：</w:t>
      </w:r>
      <w:r>
        <w:rPr>
          <w:rFonts w:hint="eastAsia"/>
          <w:highlight w:val="none"/>
        </w:rPr>
        <w:tab/>
      </w:r>
      <w:r>
        <w:rPr>
          <w:rFonts w:hint="eastAsia"/>
          <w:highlight w:val="none"/>
        </w:rPr>
        <w:tab/>
      </w:r>
      <w:r>
        <w:rPr>
          <w:rFonts w:hint="eastAsia"/>
          <w:highlight w:val="none"/>
        </w:rPr>
        <w:tab/>
      </w:r>
      <w:r>
        <w:rPr>
          <w:rFonts w:hint="eastAsia"/>
          <w:highlight w:val="none"/>
        </w:rPr>
        <w:tab/>
      </w:r>
      <w:r>
        <w:rPr>
          <w:rFonts w:hint="eastAsia"/>
          <w:highlight w:val="none"/>
        </w:rPr>
        <w:tab/>
      </w:r>
      <w:r>
        <w:rPr>
          <w:rFonts w:hint="eastAsia"/>
          <w:highlight w:val="none"/>
          <w:u w:val="single"/>
        </w:rPr>
        <w:t xml:space="preserve">    </w:t>
      </w:r>
      <w:r>
        <w:rPr>
          <w:rFonts w:hint="eastAsia"/>
          <w:highlight w:val="none"/>
        </w:rPr>
        <w:t xml:space="preserve">m/s </w:t>
      </w:r>
    </w:p>
    <w:p w14:paraId="78B91938">
      <w:pPr>
        <w:snapToGrid w:val="0"/>
        <w:spacing w:line="360" w:lineRule="auto"/>
        <w:ind w:firstLine="480" w:firstLineChars="200"/>
        <w:rPr>
          <w:highlight w:val="none"/>
        </w:rPr>
      </w:pPr>
      <w:r>
        <w:rPr>
          <w:rFonts w:hint="eastAsia"/>
          <w:highlight w:val="none"/>
        </w:rPr>
        <w:t>最大</w:t>
      </w:r>
      <w:r>
        <w:rPr>
          <w:highlight w:val="none"/>
        </w:rPr>
        <w:t>十分钟平均</w:t>
      </w:r>
      <w:r>
        <w:rPr>
          <w:rFonts w:hint="eastAsia"/>
          <w:highlight w:val="none"/>
        </w:rPr>
        <w:t>风速：</w:t>
      </w:r>
      <w:r>
        <w:rPr>
          <w:rFonts w:hint="eastAsia"/>
          <w:highlight w:val="none"/>
        </w:rPr>
        <w:tab/>
      </w:r>
      <w:r>
        <w:rPr>
          <w:rFonts w:hint="eastAsia"/>
          <w:highlight w:val="none"/>
        </w:rPr>
        <w:tab/>
      </w:r>
      <w:r>
        <w:rPr>
          <w:rFonts w:hint="eastAsia"/>
          <w:highlight w:val="none"/>
        </w:rPr>
        <w:tab/>
      </w:r>
      <w:r>
        <w:rPr>
          <w:rFonts w:hint="eastAsia"/>
          <w:highlight w:val="none"/>
        </w:rPr>
        <w:tab/>
      </w:r>
      <w:r>
        <w:rPr>
          <w:rFonts w:hint="eastAsia"/>
          <w:highlight w:val="none"/>
        </w:rPr>
        <w:tab/>
      </w:r>
      <w:r>
        <w:rPr>
          <w:rFonts w:hint="eastAsia"/>
          <w:highlight w:val="none"/>
          <w:u w:val="single"/>
        </w:rPr>
        <w:t xml:space="preserve">  </w:t>
      </w:r>
      <w:r>
        <w:rPr>
          <w:highlight w:val="none"/>
          <w:u w:val="single"/>
        </w:rPr>
        <w:t>26</w:t>
      </w:r>
      <w:r>
        <w:rPr>
          <w:rFonts w:hint="eastAsia"/>
          <w:highlight w:val="none"/>
          <w:u w:val="single"/>
        </w:rPr>
        <w:t xml:space="preserve">  </w:t>
      </w:r>
      <w:r>
        <w:rPr>
          <w:rFonts w:hint="eastAsia"/>
          <w:highlight w:val="none"/>
        </w:rPr>
        <w:t xml:space="preserve">m/s </w:t>
      </w:r>
    </w:p>
    <w:p w14:paraId="70098395">
      <w:pPr>
        <w:snapToGrid w:val="0"/>
        <w:spacing w:line="360" w:lineRule="auto"/>
        <w:ind w:firstLine="480" w:firstLineChars="200"/>
        <w:rPr>
          <w:highlight w:val="none"/>
        </w:rPr>
      </w:pPr>
      <w:r>
        <w:rPr>
          <w:rFonts w:hint="eastAsia"/>
          <w:highlight w:val="none"/>
        </w:rPr>
        <w:t>瞬时最大风速：</w:t>
      </w:r>
      <w:r>
        <w:rPr>
          <w:rFonts w:hint="eastAsia"/>
          <w:highlight w:val="none"/>
        </w:rPr>
        <w:tab/>
      </w:r>
      <w:r>
        <w:rPr>
          <w:rFonts w:hint="eastAsia"/>
          <w:highlight w:val="none"/>
        </w:rPr>
        <w:tab/>
      </w:r>
      <w:r>
        <w:rPr>
          <w:rFonts w:hint="eastAsia"/>
          <w:highlight w:val="none"/>
        </w:rPr>
        <w:tab/>
      </w:r>
      <w:r>
        <w:rPr>
          <w:rFonts w:hint="eastAsia"/>
          <w:highlight w:val="none"/>
          <w:u w:val="single"/>
        </w:rPr>
        <w:t xml:space="preserve">  </w:t>
      </w:r>
      <w:r>
        <w:rPr>
          <w:highlight w:val="none"/>
          <w:u w:val="single"/>
        </w:rPr>
        <w:t>30.2</w:t>
      </w:r>
      <w:r>
        <w:rPr>
          <w:rFonts w:hint="eastAsia"/>
          <w:highlight w:val="none"/>
          <w:u w:val="single"/>
        </w:rPr>
        <w:t xml:space="preserve">  </w:t>
      </w:r>
      <w:r>
        <w:rPr>
          <w:rFonts w:hint="eastAsia"/>
          <w:highlight w:val="none"/>
        </w:rPr>
        <w:t xml:space="preserve">m/s </w:t>
      </w:r>
    </w:p>
    <w:p w14:paraId="3809F047">
      <w:pPr>
        <w:snapToGrid w:val="0"/>
        <w:spacing w:line="360" w:lineRule="auto"/>
        <w:ind w:firstLine="480" w:firstLineChars="200"/>
        <w:rPr>
          <w:highlight w:val="none"/>
        </w:rPr>
      </w:pPr>
      <w:r>
        <w:rPr>
          <w:rFonts w:hint="eastAsia"/>
          <w:highlight w:val="none"/>
        </w:rPr>
        <w:t>全年主导风向：</w:t>
      </w:r>
      <w:r>
        <w:rPr>
          <w:rFonts w:hint="eastAsia"/>
          <w:highlight w:val="none"/>
        </w:rPr>
        <w:tab/>
      </w:r>
      <w:r>
        <w:rPr>
          <w:rFonts w:hint="eastAsia"/>
          <w:highlight w:val="none"/>
        </w:rPr>
        <w:tab/>
      </w:r>
      <w:r>
        <w:rPr>
          <w:rFonts w:hint="eastAsia"/>
          <w:highlight w:val="none"/>
        </w:rPr>
        <w:tab/>
      </w:r>
      <w:r>
        <w:rPr>
          <w:rFonts w:hint="eastAsia"/>
          <w:highlight w:val="none"/>
          <w:u w:val="single"/>
        </w:rPr>
        <w:t xml:space="preserve">  </w:t>
      </w:r>
      <w:r>
        <w:rPr>
          <w:highlight w:val="none"/>
          <w:u w:val="single"/>
        </w:rPr>
        <w:t>N(10%)</w:t>
      </w:r>
      <w:r>
        <w:rPr>
          <w:rFonts w:hint="eastAsia"/>
          <w:highlight w:val="none"/>
          <w:u w:val="single"/>
        </w:rPr>
        <w:t xml:space="preserve">  </w:t>
      </w:r>
    </w:p>
    <w:p w14:paraId="7053A516">
      <w:pPr>
        <w:snapToGrid w:val="0"/>
        <w:spacing w:line="360" w:lineRule="auto"/>
        <w:ind w:firstLine="480" w:firstLineChars="200"/>
        <w:rPr>
          <w:highlight w:val="none"/>
        </w:rPr>
      </w:pPr>
      <w:r>
        <w:rPr>
          <w:rFonts w:hint="eastAsia"/>
          <w:highlight w:val="none"/>
        </w:rPr>
        <w:t>夏季主导风向：</w:t>
      </w:r>
      <w:r>
        <w:rPr>
          <w:rFonts w:hint="eastAsia"/>
          <w:highlight w:val="none"/>
        </w:rPr>
        <w:tab/>
      </w:r>
      <w:r>
        <w:rPr>
          <w:rFonts w:hint="eastAsia"/>
          <w:highlight w:val="none"/>
        </w:rPr>
        <w:tab/>
      </w:r>
      <w:r>
        <w:rPr>
          <w:rFonts w:hint="eastAsia"/>
          <w:highlight w:val="none"/>
        </w:rPr>
        <w:tab/>
      </w:r>
      <w:r>
        <w:rPr>
          <w:rFonts w:hint="eastAsia"/>
          <w:highlight w:val="none"/>
          <w:u w:val="single"/>
        </w:rPr>
        <w:t xml:space="preserve">  </w:t>
      </w:r>
      <w:r>
        <w:rPr>
          <w:highlight w:val="none"/>
          <w:u w:val="single"/>
        </w:rPr>
        <w:t>NW(9.3)</w:t>
      </w:r>
      <w:r>
        <w:rPr>
          <w:rFonts w:hint="eastAsia"/>
          <w:highlight w:val="none"/>
          <w:u w:val="single"/>
        </w:rPr>
        <w:t xml:space="preserve">  </w:t>
      </w:r>
    </w:p>
    <w:p w14:paraId="53F14044">
      <w:pPr>
        <w:snapToGrid w:val="0"/>
        <w:spacing w:line="360" w:lineRule="auto"/>
        <w:ind w:firstLine="480" w:firstLineChars="200"/>
        <w:rPr>
          <w:highlight w:val="none"/>
        </w:rPr>
      </w:pPr>
      <w:r>
        <w:rPr>
          <w:rFonts w:hint="eastAsia"/>
          <w:highlight w:val="none"/>
        </w:rPr>
        <w:t>冬季主导风向：</w:t>
      </w:r>
      <w:r>
        <w:rPr>
          <w:rFonts w:hint="eastAsia"/>
          <w:highlight w:val="none"/>
        </w:rPr>
        <w:tab/>
      </w:r>
      <w:r>
        <w:rPr>
          <w:rFonts w:hint="eastAsia"/>
          <w:highlight w:val="none"/>
        </w:rPr>
        <w:tab/>
      </w:r>
      <w:r>
        <w:rPr>
          <w:rFonts w:hint="eastAsia"/>
          <w:highlight w:val="none"/>
        </w:rPr>
        <w:tab/>
      </w:r>
      <w:r>
        <w:rPr>
          <w:rFonts w:hint="eastAsia"/>
          <w:highlight w:val="none"/>
          <w:u w:val="single"/>
        </w:rPr>
        <w:t xml:space="preserve"> </w:t>
      </w:r>
      <w:r>
        <w:rPr>
          <w:highlight w:val="none"/>
          <w:u w:val="single"/>
        </w:rPr>
        <w:t>N(15)</w:t>
      </w:r>
      <w:r>
        <w:rPr>
          <w:rFonts w:hint="eastAsia"/>
          <w:highlight w:val="none"/>
          <w:u w:val="single"/>
        </w:rPr>
        <w:t xml:space="preserve">   </w:t>
      </w:r>
    </w:p>
    <w:bookmarkEnd w:id="71"/>
    <w:bookmarkEnd w:id="72"/>
    <w:bookmarkEnd w:id="73"/>
    <w:bookmarkEnd w:id="74"/>
    <w:bookmarkEnd w:id="75"/>
    <w:bookmarkEnd w:id="76"/>
    <w:p w14:paraId="693B5388">
      <w:pPr>
        <w:spacing w:line="360" w:lineRule="auto"/>
        <w:jc w:val="left"/>
        <w:outlineLvl w:val="2"/>
        <w:rPr>
          <w:b/>
          <w:kern w:val="0"/>
          <w:highlight w:val="none"/>
        </w:rPr>
      </w:pPr>
      <w:r>
        <w:rPr>
          <w:rFonts w:hint="eastAsia"/>
          <w:b/>
          <w:kern w:val="0"/>
          <w:highlight w:val="none"/>
        </w:rPr>
        <w:t>3.3 场地条件</w:t>
      </w:r>
    </w:p>
    <w:p w14:paraId="240078A7">
      <w:pPr>
        <w:adjustRightInd w:val="0"/>
        <w:snapToGrid w:val="0"/>
        <w:spacing w:line="360" w:lineRule="auto"/>
        <w:ind w:firstLine="480" w:firstLineChars="200"/>
        <w:jc w:val="left"/>
        <w:textAlignment w:val="baseline"/>
        <w:rPr>
          <w:kern w:val="0"/>
          <w:highlight w:val="none"/>
        </w:rPr>
      </w:pPr>
      <w:r>
        <w:rPr>
          <w:rFonts w:hint="eastAsia"/>
          <w:highlight w:val="none"/>
        </w:rPr>
        <w:t>浙能阿克苏热电有限公司厂址位于新疆维吾尔自治区阿克苏市纺织工业城内。地处阿克苏市与温宿县两地境内。西北至南疆铁路，南至阿塔公路，东至温宿境内。西距阿克苏市区约</w:t>
      </w:r>
      <w:r>
        <w:rPr>
          <w:highlight w:val="none"/>
        </w:rPr>
        <w:t>12km</w:t>
      </w:r>
      <w:r>
        <w:rPr>
          <w:rFonts w:hint="eastAsia"/>
          <w:highlight w:val="none"/>
        </w:rPr>
        <w:t>，西北距温宿县城约</w:t>
      </w:r>
      <w:r>
        <w:rPr>
          <w:highlight w:val="none"/>
        </w:rPr>
        <w:t>22km</w:t>
      </w:r>
      <w:r>
        <w:rPr>
          <w:rFonts w:hint="eastAsia"/>
          <w:highlight w:val="none"/>
        </w:rPr>
        <w:t>，距阿克苏机场约</w:t>
      </w:r>
      <w:r>
        <w:rPr>
          <w:highlight w:val="none"/>
        </w:rPr>
        <w:t>16km</w:t>
      </w:r>
      <w:r>
        <w:rPr>
          <w:rFonts w:hint="eastAsia"/>
          <w:highlight w:val="none"/>
        </w:rPr>
        <w:t>。</w:t>
      </w:r>
    </w:p>
    <w:p w14:paraId="412155E4">
      <w:pPr>
        <w:autoSpaceDE w:val="0"/>
        <w:autoSpaceDN w:val="0"/>
        <w:spacing w:line="360" w:lineRule="auto"/>
        <w:jc w:val="left"/>
        <w:textAlignment w:val="bottom"/>
        <w:outlineLvl w:val="2"/>
        <w:rPr>
          <w:b/>
          <w:highlight w:val="none"/>
        </w:rPr>
      </w:pPr>
      <w:r>
        <w:rPr>
          <w:b/>
          <w:highlight w:val="none"/>
        </w:rPr>
        <w:t>3.</w:t>
      </w:r>
      <w:r>
        <w:rPr>
          <w:rFonts w:hint="eastAsia"/>
          <w:b/>
          <w:highlight w:val="none"/>
        </w:rPr>
        <w:t>4</w:t>
      </w:r>
      <w:r>
        <w:rPr>
          <w:b/>
          <w:highlight w:val="none"/>
        </w:rPr>
        <w:t xml:space="preserve"> 进水水质</w:t>
      </w:r>
    </w:p>
    <w:p w14:paraId="36E8E0A6">
      <w:pPr>
        <w:pStyle w:val="8"/>
        <w:numPr>
          <w:ilvl w:val="3"/>
          <w:numId w:val="0"/>
        </w:numPr>
        <w:rPr>
          <w:rFonts w:ascii="Times New Roman"/>
          <w:bCs/>
          <w:highlight w:val="none"/>
        </w:rPr>
      </w:pPr>
      <w:r>
        <w:rPr>
          <w:rFonts w:ascii="Times New Roman"/>
          <w:bCs/>
          <w:highlight w:val="none"/>
        </w:rPr>
        <w:t>系统进水水质参数</w:t>
      </w:r>
    </w:p>
    <w:p w14:paraId="1EFF0B76">
      <w:pPr>
        <w:snapToGrid w:val="0"/>
        <w:spacing w:line="360" w:lineRule="auto"/>
        <w:ind w:firstLine="318" w:firstLineChars="177"/>
        <w:jc w:val="center"/>
        <w:rPr>
          <w:sz w:val="18"/>
          <w:szCs w:val="18"/>
          <w:highlight w:val="none"/>
          <w:lang w:val="zh-CN"/>
        </w:rPr>
      </w:pPr>
      <w:r>
        <w:rPr>
          <w:rFonts w:hint="eastAsia"/>
          <w:sz w:val="18"/>
          <w:szCs w:val="18"/>
          <w:highlight w:val="none"/>
          <w:lang w:val="zh-CN"/>
        </w:rPr>
        <w:t>表</w:t>
      </w:r>
      <w:r>
        <w:rPr>
          <w:sz w:val="18"/>
          <w:szCs w:val="18"/>
          <w:highlight w:val="none"/>
          <w:lang w:val="zh-CN"/>
        </w:rPr>
        <w:t xml:space="preserve">-1       </w:t>
      </w:r>
      <w:r>
        <w:rPr>
          <w:rFonts w:hint="eastAsia"/>
          <w:sz w:val="18"/>
          <w:szCs w:val="18"/>
          <w:highlight w:val="none"/>
          <w:lang w:val="zh-CN"/>
        </w:rPr>
        <w:t>阿克苏市污水厂</w:t>
      </w:r>
      <w:r>
        <w:rPr>
          <w:rFonts w:hint="eastAsia"/>
          <w:sz w:val="18"/>
          <w:szCs w:val="18"/>
          <w:highlight w:val="none"/>
        </w:rPr>
        <w:t>来</w:t>
      </w:r>
      <w:r>
        <w:rPr>
          <w:rFonts w:hint="eastAsia"/>
          <w:sz w:val="18"/>
          <w:szCs w:val="18"/>
          <w:highlight w:val="none"/>
          <w:lang w:val="zh-CN"/>
        </w:rPr>
        <w:t>水水质分析资料</w:t>
      </w:r>
    </w:p>
    <w:tbl>
      <w:tblPr>
        <w:tblStyle w:val="21"/>
        <w:tblW w:w="4967" w:type="pct"/>
        <w:tblInd w:w="0" w:type="dxa"/>
        <w:tblLayout w:type="autofit"/>
        <w:tblCellMar>
          <w:top w:w="0" w:type="dxa"/>
          <w:left w:w="108" w:type="dxa"/>
          <w:bottom w:w="0" w:type="dxa"/>
          <w:right w:w="108" w:type="dxa"/>
        </w:tblCellMar>
      </w:tblPr>
      <w:tblGrid>
        <w:gridCol w:w="891"/>
        <w:gridCol w:w="479"/>
        <w:gridCol w:w="633"/>
        <w:gridCol w:w="716"/>
        <w:gridCol w:w="683"/>
        <w:gridCol w:w="658"/>
        <w:gridCol w:w="658"/>
        <w:gridCol w:w="825"/>
        <w:gridCol w:w="825"/>
        <w:gridCol w:w="658"/>
        <w:gridCol w:w="658"/>
        <w:gridCol w:w="759"/>
        <w:gridCol w:w="479"/>
      </w:tblGrid>
      <w:tr w14:paraId="2678F8BF">
        <w:tblPrEx>
          <w:tblCellMar>
            <w:top w:w="0" w:type="dxa"/>
            <w:left w:w="108" w:type="dxa"/>
            <w:bottom w:w="0" w:type="dxa"/>
            <w:right w:w="108" w:type="dxa"/>
          </w:tblCellMar>
        </w:tblPrEx>
        <w:trPr>
          <w:trHeight w:val="855" w:hRule="atLeast"/>
          <w:tblHeader/>
        </w:trPr>
        <w:tc>
          <w:tcPr>
            <w:tcW w:w="499" w:type="pct"/>
            <w:vMerge w:val="restart"/>
            <w:tcBorders>
              <w:top w:val="single" w:color="auto" w:sz="4" w:space="0"/>
              <w:left w:val="single" w:color="auto" w:sz="8" w:space="0"/>
              <w:bottom w:val="single" w:color="000000" w:sz="4" w:space="0"/>
              <w:right w:val="single" w:color="auto" w:sz="4" w:space="0"/>
              <w:tl2br w:val="single" w:color="auto" w:sz="8" w:space="0"/>
            </w:tcBorders>
            <w:shd w:val="clear" w:color="auto" w:fill="auto"/>
            <w:vAlign w:val="center"/>
          </w:tcPr>
          <w:p w14:paraId="39676876">
            <w:pPr>
              <w:widowControl/>
              <w:jc w:val="center"/>
              <w:rPr>
                <w:b/>
                <w:bCs/>
                <w:sz w:val="15"/>
                <w:szCs w:val="15"/>
                <w:highlight w:val="none"/>
              </w:rPr>
            </w:pPr>
            <w:r>
              <w:rPr>
                <w:b/>
                <w:bCs/>
                <w:sz w:val="15"/>
                <w:szCs w:val="15"/>
                <w:highlight w:val="none"/>
              </w:rPr>
              <w:t>分析项目取样日期</w:t>
            </w:r>
          </w:p>
        </w:tc>
        <w:tc>
          <w:tcPr>
            <w:tcW w:w="268" w:type="pct"/>
            <w:tcBorders>
              <w:top w:val="single" w:color="auto" w:sz="4" w:space="0"/>
              <w:left w:val="single" w:color="auto" w:sz="4" w:space="0"/>
              <w:bottom w:val="single" w:color="auto" w:sz="4" w:space="0"/>
              <w:right w:val="single" w:color="auto" w:sz="4" w:space="0"/>
            </w:tcBorders>
            <w:shd w:val="clear" w:color="auto" w:fill="auto"/>
            <w:vAlign w:val="center"/>
          </w:tcPr>
          <w:p w14:paraId="4F1F525B">
            <w:pPr>
              <w:widowControl/>
              <w:jc w:val="center"/>
              <w:rPr>
                <w:b/>
                <w:bCs/>
                <w:sz w:val="15"/>
                <w:szCs w:val="15"/>
                <w:highlight w:val="none"/>
              </w:rPr>
            </w:pPr>
            <w:r>
              <w:rPr>
                <w:b/>
                <w:bCs/>
                <w:sz w:val="15"/>
                <w:szCs w:val="15"/>
                <w:highlight w:val="none"/>
              </w:rPr>
              <w:t>pH</w:t>
            </w:r>
          </w:p>
        </w:tc>
        <w:tc>
          <w:tcPr>
            <w:tcW w:w="354" w:type="pct"/>
            <w:tcBorders>
              <w:top w:val="single" w:color="auto" w:sz="4" w:space="0"/>
              <w:left w:val="nil"/>
              <w:bottom w:val="single" w:color="auto" w:sz="4" w:space="0"/>
              <w:right w:val="single" w:color="auto" w:sz="4" w:space="0"/>
            </w:tcBorders>
            <w:shd w:val="clear" w:color="auto" w:fill="auto"/>
            <w:vAlign w:val="center"/>
          </w:tcPr>
          <w:p w14:paraId="7FA73E94">
            <w:pPr>
              <w:widowControl/>
              <w:jc w:val="center"/>
              <w:rPr>
                <w:b/>
                <w:bCs/>
                <w:sz w:val="15"/>
                <w:szCs w:val="15"/>
                <w:highlight w:val="none"/>
              </w:rPr>
            </w:pPr>
            <w:r>
              <w:rPr>
                <w:b/>
                <w:bCs/>
                <w:sz w:val="15"/>
                <w:szCs w:val="15"/>
                <w:highlight w:val="none"/>
              </w:rPr>
              <w:t>浊度</w:t>
            </w:r>
            <w:r>
              <w:rPr>
                <w:b/>
                <w:bCs/>
                <w:sz w:val="15"/>
                <w:szCs w:val="15"/>
                <w:highlight w:val="none"/>
              </w:rPr>
              <w:br w:type="textWrapping"/>
            </w:r>
            <w:r>
              <w:rPr>
                <w:b/>
                <w:bCs/>
                <w:sz w:val="15"/>
                <w:szCs w:val="15"/>
                <w:highlight w:val="none"/>
              </w:rPr>
              <w:t>(NTU)</w:t>
            </w:r>
          </w:p>
        </w:tc>
        <w:tc>
          <w:tcPr>
            <w:tcW w:w="401" w:type="pct"/>
            <w:tcBorders>
              <w:top w:val="single" w:color="auto" w:sz="4" w:space="0"/>
              <w:left w:val="nil"/>
              <w:bottom w:val="single" w:color="auto" w:sz="4" w:space="0"/>
              <w:right w:val="single" w:color="auto" w:sz="4" w:space="0"/>
            </w:tcBorders>
            <w:shd w:val="clear" w:color="auto" w:fill="auto"/>
            <w:vAlign w:val="center"/>
          </w:tcPr>
          <w:p w14:paraId="4E18A595">
            <w:pPr>
              <w:widowControl/>
              <w:jc w:val="center"/>
              <w:rPr>
                <w:b/>
                <w:bCs/>
                <w:sz w:val="15"/>
                <w:szCs w:val="15"/>
                <w:highlight w:val="none"/>
              </w:rPr>
            </w:pPr>
            <w:r>
              <w:rPr>
                <w:b/>
                <w:bCs/>
                <w:sz w:val="15"/>
                <w:szCs w:val="15"/>
                <w:highlight w:val="none"/>
              </w:rPr>
              <w:t>电导率</w:t>
            </w:r>
            <w:r>
              <w:rPr>
                <w:b/>
                <w:bCs/>
                <w:sz w:val="15"/>
                <w:szCs w:val="15"/>
                <w:highlight w:val="none"/>
              </w:rPr>
              <w:br w:type="textWrapping"/>
            </w:r>
            <w:r>
              <w:rPr>
                <w:b/>
                <w:bCs/>
                <w:sz w:val="15"/>
                <w:szCs w:val="15"/>
                <w:highlight w:val="none"/>
              </w:rPr>
              <w:t>(uS/cm)</w:t>
            </w:r>
          </w:p>
        </w:tc>
        <w:tc>
          <w:tcPr>
            <w:tcW w:w="382" w:type="pct"/>
            <w:tcBorders>
              <w:top w:val="single" w:color="auto" w:sz="4" w:space="0"/>
              <w:left w:val="nil"/>
              <w:bottom w:val="single" w:color="auto" w:sz="4" w:space="0"/>
              <w:right w:val="single" w:color="auto" w:sz="4" w:space="0"/>
            </w:tcBorders>
            <w:shd w:val="clear" w:color="auto" w:fill="auto"/>
            <w:vAlign w:val="center"/>
          </w:tcPr>
          <w:p w14:paraId="22951BAC">
            <w:pPr>
              <w:widowControl/>
              <w:jc w:val="center"/>
              <w:rPr>
                <w:b/>
                <w:bCs/>
                <w:sz w:val="15"/>
                <w:szCs w:val="15"/>
                <w:highlight w:val="none"/>
              </w:rPr>
            </w:pPr>
            <w:r>
              <w:rPr>
                <w:b/>
                <w:bCs/>
                <w:sz w:val="15"/>
                <w:szCs w:val="15"/>
                <w:highlight w:val="none"/>
              </w:rPr>
              <w:t>CODcr (mg/L)</w:t>
            </w:r>
          </w:p>
        </w:tc>
        <w:tc>
          <w:tcPr>
            <w:tcW w:w="368" w:type="pct"/>
            <w:tcBorders>
              <w:top w:val="single" w:color="auto" w:sz="4" w:space="0"/>
              <w:left w:val="nil"/>
              <w:bottom w:val="single" w:color="auto" w:sz="4" w:space="0"/>
              <w:right w:val="single" w:color="auto" w:sz="4" w:space="0"/>
            </w:tcBorders>
            <w:shd w:val="clear" w:color="auto" w:fill="auto"/>
            <w:vAlign w:val="center"/>
          </w:tcPr>
          <w:p w14:paraId="4D536775">
            <w:pPr>
              <w:widowControl/>
              <w:jc w:val="center"/>
              <w:rPr>
                <w:b/>
                <w:bCs/>
                <w:sz w:val="15"/>
                <w:szCs w:val="15"/>
                <w:highlight w:val="none"/>
              </w:rPr>
            </w:pPr>
            <w:r>
              <w:rPr>
                <w:b/>
                <w:bCs/>
                <w:sz w:val="15"/>
                <w:szCs w:val="15"/>
                <w:highlight w:val="none"/>
              </w:rPr>
              <w:t>NH</w:t>
            </w:r>
            <w:r>
              <w:rPr>
                <w:b/>
                <w:bCs/>
                <w:sz w:val="15"/>
                <w:szCs w:val="15"/>
                <w:highlight w:val="none"/>
                <w:vertAlign w:val="subscript"/>
              </w:rPr>
              <w:t>3</w:t>
            </w:r>
            <w:r>
              <w:rPr>
                <w:b/>
                <w:bCs/>
                <w:sz w:val="15"/>
                <w:szCs w:val="15"/>
                <w:highlight w:val="none"/>
              </w:rPr>
              <w:t>-N (mg/L)</w:t>
            </w:r>
          </w:p>
        </w:tc>
        <w:tc>
          <w:tcPr>
            <w:tcW w:w="368" w:type="pct"/>
            <w:tcBorders>
              <w:top w:val="single" w:color="auto" w:sz="4" w:space="0"/>
              <w:left w:val="nil"/>
              <w:bottom w:val="single" w:color="auto" w:sz="4" w:space="0"/>
              <w:right w:val="single" w:color="auto" w:sz="4" w:space="0"/>
            </w:tcBorders>
            <w:shd w:val="clear" w:color="auto" w:fill="auto"/>
            <w:vAlign w:val="center"/>
          </w:tcPr>
          <w:p w14:paraId="13B4C268">
            <w:pPr>
              <w:widowControl/>
              <w:jc w:val="center"/>
              <w:rPr>
                <w:b/>
                <w:bCs/>
                <w:sz w:val="15"/>
                <w:szCs w:val="15"/>
                <w:highlight w:val="none"/>
              </w:rPr>
            </w:pPr>
            <w:r>
              <w:rPr>
                <w:b/>
                <w:bCs/>
                <w:sz w:val="15"/>
                <w:szCs w:val="15"/>
                <w:highlight w:val="none"/>
              </w:rPr>
              <w:t>Cl</w:t>
            </w:r>
            <w:r>
              <w:rPr>
                <w:b/>
                <w:bCs/>
                <w:sz w:val="15"/>
                <w:szCs w:val="15"/>
                <w:highlight w:val="none"/>
                <w:vertAlign w:val="superscript"/>
              </w:rPr>
              <w:t>-</w:t>
            </w:r>
            <w:r>
              <w:rPr>
                <w:b/>
                <w:bCs/>
                <w:sz w:val="15"/>
                <w:szCs w:val="15"/>
                <w:highlight w:val="none"/>
              </w:rPr>
              <w:br w:type="textWrapping"/>
            </w:r>
            <w:r>
              <w:rPr>
                <w:b/>
                <w:bCs/>
                <w:sz w:val="15"/>
                <w:szCs w:val="15"/>
                <w:highlight w:val="none"/>
              </w:rPr>
              <w:t>(mg/L)</w:t>
            </w:r>
          </w:p>
        </w:tc>
        <w:tc>
          <w:tcPr>
            <w:tcW w:w="462" w:type="pct"/>
            <w:tcBorders>
              <w:top w:val="single" w:color="auto" w:sz="4" w:space="0"/>
              <w:left w:val="nil"/>
              <w:bottom w:val="single" w:color="auto" w:sz="4" w:space="0"/>
              <w:right w:val="single" w:color="auto" w:sz="4" w:space="0"/>
            </w:tcBorders>
            <w:shd w:val="clear" w:color="auto" w:fill="auto"/>
            <w:vAlign w:val="center"/>
          </w:tcPr>
          <w:p w14:paraId="1892CD86">
            <w:pPr>
              <w:widowControl/>
              <w:jc w:val="center"/>
              <w:rPr>
                <w:b/>
                <w:bCs/>
                <w:sz w:val="15"/>
                <w:szCs w:val="15"/>
                <w:highlight w:val="none"/>
              </w:rPr>
            </w:pPr>
            <w:r>
              <w:rPr>
                <w:b/>
                <w:bCs/>
                <w:sz w:val="15"/>
                <w:szCs w:val="15"/>
                <w:highlight w:val="none"/>
              </w:rPr>
              <w:t>总硬度(mmol/L)</w:t>
            </w:r>
          </w:p>
        </w:tc>
        <w:tc>
          <w:tcPr>
            <w:tcW w:w="462" w:type="pct"/>
            <w:tcBorders>
              <w:top w:val="single" w:color="auto" w:sz="4" w:space="0"/>
              <w:left w:val="nil"/>
              <w:bottom w:val="single" w:color="auto" w:sz="4" w:space="0"/>
              <w:right w:val="single" w:color="auto" w:sz="4" w:space="0"/>
            </w:tcBorders>
            <w:shd w:val="clear" w:color="auto" w:fill="auto"/>
            <w:vAlign w:val="center"/>
          </w:tcPr>
          <w:p w14:paraId="52E35AEE">
            <w:pPr>
              <w:widowControl/>
              <w:jc w:val="center"/>
              <w:rPr>
                <w:b/>
                <w:bCs/>
                <w:sz w:val="15"/>
                <w:szCs w:val="15"/>
                <w:highlight w:val="none"/>
              </w:rPr>
            </w:pPr>
            <w:r>
              <w:rPr>
                <w:b/>
                <w:bCs/>
                <w:sz w:val="15"/>
                <w:szCs w:val="15"/>
                <w:highlight w:val="none"/>
              </w:rPr>
              <w:t>总碱度(mmol/L)</w:t>
            </w:r>
          </w:p>
        </w:tc>
        <w:tc>
          <w:tcPr>
            <w:tcW w:w="368" w:type="pct"/>
            <w:tcBorders>
              <w:top w:val="single" w:color="auto" w:sz="4" w:space="0"/>
              <w:left w:val="nil"/>
              <w:bottom w:val="single" w:color="auto" w:sz="4" w:space="0"/>
              <w:right w:val="single" w:color="auto" w:sz="4" w:space="0"/>
            </w:tcBorders>
            <w:shd w:val="clear" w:color="auto" w:fill="auto"/>
            <w:vAlign w:val="center"/>
          </w:tcPr>
          <w:p w14:paraId="772440B6">
            <w:pPr>
              <w:widowControl/>
              <w:jc w:val="center"/>
              <w:rPr>
                <w:b/>
                <w:bCs/>
                <w:sz w:val="15"/>
                <w:szCs w:val="15"/>
                <w:highlight w:val="none"/>
              </w:rPr>
            </w:pPr>
            <w:r>
              <w:rPr>
                <w:b/>
                <w:bCs/>
                <w:sz w:val="15"/>
                <w:szCs w:val="15"/>
                <w:highlight w:val="none"/>
              </w:rPr>
              <w:t>总磷（以P计）</w:t>
            </w:r>
            <w:r>
              <w:rPr>
                <w:b/>
                <w:bCs/>
                <w:sz w:val="15"/>
                <w:szCs w:val="15"/>
                <w:highlight w:val="none"/>
              </w:rPr>
              <w:br w:type="textWrapping"/>
            </w:r>
            <w:r>
              <w:rPr>
                <w:b/>
                <w:bCs/>
                <w:sz w:val="15"/>
                <w:szCs w:val="15"/>
                <w:highlight w:val="none"/>
              </w:rPr>
              <w:t>(mg/L)</w:t>
            </w:r>
          </w:p>
        </w:tc>
        <w:tc>
          <w:tcPr>
            <w:tcW w:w="368" w:type="pct"/>
            <w:tcBorders>
              <w:top w:val="single" w:color="auto" w:sz="4" w:space="0"/>
              <w:left w:val="nil"/>
              <w:bottom w:val="single" w:color="auto" w:sz="4" w:space="0"/>
              <w:right w:val="single" w:color="auto" w:sz="4" w:space="0"/>
            </w:tcBorders>
            <w:shd w:val="clear" w:color="auto" w:fill="auto"/>
            <w:vAlign w:val="center"/>
          </w:tcPr>
          <w:p w14:paraId="44D387AB">
            <w:pPr>
              <w:widowControl/>
              <w:jc w:val="center"/>
              <w:rPr>
                <w:b/>
                <w:bCs/>
                <w:sz w:val="15"/>
                <w:szCs w:val="15"/>
                <w:highlight w:val="none"/>
              </w:rPr>
            </w:pPr>
            <w:r>
              <w:rPr>
                <w:b/>
                <w:bCs/>
                <w:sz w:val="15"/>
                <w:szCs w:val="15"/>
                <w:highlight w:val="none"/>
              </w:rPr>
              <w:t>余氯(mg/L)</w:t>
            </w:r>
          </w:p>
        </w:tc>
        <w:tc>
          <w:tcPr>
            <w:tcW w:w="425" w:type="pct"/>
            <w:tcBorders>
              <w:top w:val="single" w:color="auto" w:sz="4" w:space="0"/>
              <w:left w:val="nil"/>
              <w:bottom w:val="single" w:color="auto" w:sz="4" w:space="0"/>
              <w:right w:val="single" w:color="auto" w:sz="4" w:space="0"/>
            </w:tcBorders>
            <w:shd w:val="clear" w:color="auto" w:fill="auto"/>
            <w:vAlign w:val="center"/>
          </w:tcPr>
          <w:p w14:paraId="02088736">
            <w:pPr>
              <w:widowControl/>
              <w:jc w:val="center"/>
              <w:rPr>
                <w:b/>
                <w:bCs/>
                <w:sz w:val="15"/>
                <w:szCs w:val="15"/>
                <w:highlight w:val="none"/>
              </w:rPr>
            </w:pPr>
            <w:r>
              <w:rPr>
                <w:b/>
                <w:bCs/>
                <w:sz w:val="15"/>
                <w:szCs w:val="15"/>
                <w:highlight w:val="none"/>
              </w:rPr>
              <w:t>悬浮物（mg/L)</w:t>
            </w:r>
          </w:p>
        </w:tc>
        <w:tc>
          <w:tcPr>
            <w:tcW w:w="268" w:type="pct"/>
            <w:tcBorders>
              <w:top w:val="single" w:color="auto" w:sz="4" w:space="0"/>
              <w:left w:val="nil"/>
              <w:bottom w:val="single" w:color="auto" w:sz="4" w:space="0"/>
              <w:right w:val="single" w:color="auto" w:sz="4" w:space="0"/>
            </w:tcBorders>
            <w:shd w:val="clear" w:color="auto" w:fill="auto"/>
            <w:vAlign w:val="center"/>
          </w:tcPr>
          <w:p w14:paraId="1C37DF29">
            <w:pPr>
              <w:widowControl/>
              <w:jc w:val="center"/>
              <w:rPr>
                <w:b/>
                <w:bCs/>
                <w:sz w:val="15"/>
                <w:szCs w:val="15"/>
                <w:highlight w:val="none"/>
              </w:rPr>
            </w:pPr>
            <w:r>
              <w:rPr>
                <w:b/>
                <w:bCs/>
                <w:sz w:val="15"/>
                <w:szCs w:val="15"/>
                <w:highlight w:val="none"/>
              </w:rPr>
              <w:t>铝离子</w:t>
            </w:r>
          </w:p>
        </w:tc>
      </w:tr>
      <w:tr w14:paraId="7C8AA0C8">
        <w:tblPrEx>
          <w:tblCellMar>
            <w:top w:w="0" w:type="dxa"/>
            <w:left w:w="108" w:type="dxa"/>
            <w:bottom w:w="0" w:type="dxa"/>
            <w:right w:w="108" w:type="dxa"/>
          </w:tblCellMar>
        </w:tblPrEx>
        <w:trPr>
          <w:trHeight w:val="300" w:hRule="atLeast"/>
          <w:tblHeader/>
        </w:trPr>
        <w:tc>
          <w:tcPr>
            <w:tcW w:w="499" w:type="pct"/>
            <w:vMerge w:val="continue"/>
            <w:tcBorders>
              <w:top w:val="single" w:color="auto" w:sz="4" w:space="0"/>
              <w:left w:val="single" w:color="auto" w:sz="8" w:space="0"/>
              <w:bottom w:val="single" w:color="000000" w:sz="4" w:space="0"/>
              <w:right w:val="single" w:color="auto" w:sz="4" w:space="0"/>
            </w:tcBorders>
            <w:shd w:val="clear" w:color="auto" w:fill="auto"/>
            <w:vAlign w:val="center"/>
          </w:tcPr>
          <w:p w14:paraId="09EB817F">
            <w:pPr>
              <w:widowControl/>
              <w:rPr>
                <w:b/>
                <w:bCs/>
                <w:sz w:val="15"/>
                <w:szCs w:val="15"/>
                <w:highlight w:val="none"/>
              </w:rPr>
            </w:pPr>
          </w:p>
        </w:tc>
        <w:tc>
          <w:tcPr>
            <w:tcW w:w="268" w:type="pct"/>
            <w:tcBorders>
              <w:top w:val="single" w:color="auto" w:sz="4" w:space="0"/>
              <w:left w:val="single" w:color="auto" w:sz="4" w:space="0"/>
              <w:bottom w:val="single" w:color="auto" w:sz="4" w:space="0"/>
              <w:right w:val="single" w:color="auto" w:sz="4" w:space="0"/>
            </w:tcBorders>
            <w:shd w:val="clear" w:color="auto" w:fill="auto"/>
            <w:vAlign w:val="center"/>
          </w:tcPr>
          <w:p w14:paraId="2AD38AE7">
            <w:pPr>
              <w:widowControl/>
              <w:jc w:val="center"/>
              <w:rPr>
                <w:b/>
                <w:bCs/>
                <w:sz w:val="15"/>
                <w:szCs w:val="15"/>
                <w:highlight w:val="none"/>
              </w:rPr>
            </w:pPr>
            <w:r>
              <w:rPr>
                <w:b/>
                <w:bCs/>
                <w:sz w:val="15"/>
                <w:szCs w:val="15"/>
                <w:highlight w:val="none"/>
              </w:rPr>
              <w:t>6~9</w:t>
            </w:r>
          </w:p>
        </w:tc>
        <w:tc>
          <w:tcPr>
            <w:tcW w:w="354" w:type="pct"/>
            <w:tcBorders>
              <w:top w:val="nil"/>
              <w:left w:val="nil"/>
              <w:bottom w:val="single" w:color="auto" w:sz="4" w:space="0"/>
              <w:right w:val="single" w:color="auto" w:sz="4" w:space="0"/>
            </w:tcBorders>
            <w:shd w:val="clear" w:color="auto" w:fill="auto"/>
            <w:vAlign w:val="center"/>
          </w:tcPr>
          <w:p w14:paraId="10848860">
            <w:pPr>
              <w:widowControl/>
              <w:jc w:val="center"/>
              <w:rPr>
                <w:b/>
                <w:bCs/>
                <w:sz w:val="15"/>
                <w:szCs w:val="15"/>
                <w:highlight w:val="none"/>
              </w:rPr>
            </w:pPr>
            <w:r>
              <w:rPr>
                <w:b/>
                <w:bCs/>
                <w:sz w:val="15"/>
                <w:szCs w:val="15"/>
                <w:highlight w:val="none"/>
              </w:rPr>
              <w:t>≤20</w:t>
            </w:r>
          </w:p>
        </w:tc>
        <w:tc>
          <w:tcPr>
            <w:tcW w:w="401" w:type="pct"/>
            <w:tcBorders>
              <w:top w:val="nil"/>
              <w:left w:val="nil"/>
              <w:bottom w:val="single" w:color="auto" w:sz="4" w:space="0"/>
              <w:right w:val="single" w:color="auto" w:sz="4" w:space="0"/>
            </w:tcBorders>
            <w:shd w:val="clear" w:color="auto" w:fill="auto"/>
            <w:vAlign w:val="center"/>
          </w:tcPr>
          <w:p w14:paraId="47709727">
            <w:pPr>
              <w:widowControl/>
              <w:jc w:val="center"/>
              <w:rPr>
                <w:b/>
                <w:bCs/>
                <w:sz w:val="15"/>
                <w:szCs w:val="15"/>
                <w:highlight w:val="none"/>
              </w:rPr>
            </w:pPr>
            <w:r>
              <w:rPr>
                <w:b/>
                <w:bCs/>
                <w:sz w:val="15"/>
                <w:szCs w:val="15"/>
                <w:highlight w:val="none"/>
              </w:rPr>
              <w:t>—</w:t>
            </w:r>
          </w:p>
        </w:tc>
        <w:tc>
          <w:tcPr>
            <w:tcW w:w="382" w:type="pct"/>
            <w:tcBorders>
              <w:top w:val="nil"/>
              <w:left w:val="nil"/>
              <w:bottom w:val="single" w:color="auto" w:sz="4" w:space="0"/>
              <w:right w:val="single" w:color="auto" w:sz="4" w:space="0"/>
            </w:tcBorders>
            <w:shd w:val="clear" w:color="auto" w:fill="auto"/>
            <w:vAlign w:val="center"/>
          </w:tcPr>
          <w:p w14:paraId="4563898F">
            <w:pPr>
              <w:widowControl/>
              <w:jc w:val="center"/>
              <w:rPr>
                <w:b/>
                <w:bCs/>
                <w:sz w:val="15"/>
                <w:szCs w:val="15"/>
                <w:highlight w:val="none"/>
              </w:rPr>
            </w:pPr>
            <w:r>
              <w:rPr>
                <w:b/>
                <w:bCs/>
                <w:sz w:val="15"/>
                <w:szCs w:val="15"/>
                <w:highlight w:val="none"/>
              </w:rPr>
              <w:t>≤30</w:t>
            </w:r>
          </w:p>
        </w:tc>
        <w:tc>
          <w:tcPr>
            <w:tcW w:w="368" w:type="pct"/>
            <w:tcBorders>
              <w:top w:val="nil"/>
              <w:left w:val="nil"/>
              <w:bottom w:val="single" w:color="auto" w:sz="4" w:space="0"/>
              <w:right w:val="single" w:color="auto" w:sz="4" w:space="0"/>
            </w:tcBorders>
            <w:shd w:val="clear" w:color="auto" w:fill="auto"/>
            <w:vAlign w:val="center"/>
          </w:tcPr>
          <w:p w14:paraId="16A11D5A">
            <w:pPr>
              <w:widowControl/>
              <w:jc w:val="center"/>
              <w:rPr>
                <w:b/>
                <w:bCs/>
                <w:sz w:val="15"/>
                <w:szCs w:val="15"/>
                <w:highlight w:val="none"/>
              </w:rPr>
            </w:pPr>
            <w:r>
              <w:rPr>
                <w:b/>
                <w:bCs/>
                <w:sz w:val="15"/>
                <w:szCs w:val="15"/>
                <w:highlight w:val="none"/>
              </w:rPr>
              <w:t>≤5（8）</w:t>
            </w:r>
          </w:p>
        </w:tc>
        <w:tc>
          <w:tcPr>
            <w:tcW w:w="368" w:type="pct"/>
            <w:tcBorders>
              <w:top w:val="nil"/>
              <w:left w:val="nil"/>
              <w:bottom w:val="single" w:color="auto" w:sz="4" w:space="0"/>
              <w:right w:val="single" w:color="auto" w:sz="4" w:space="0"/>
            </w:tcBorders>
            <w:shd w:val="clear" w:color="auto" w:fill="auto"/>
            <w:vAlign w:val="center"/>
          </w:tcPr>
          <w:p w14:paraId="3DEFB679">
            <w:pPr>
              <w:widowControl/>
              <w:jc w:val="center"/>
              <w:rPr>
                <w:b/>
                <w:bCs/>
                <w:sz w:val="15"/>
                <w:szCs w:val="15"/>
                <w:highlight w:val="none"/>
              </w:rPr>
            </w:pPr>
            <w:r>
              <w:rPr>
                <w:b/>
                <w:bCs/>
                <w:sz w:val="15"/>
                <w:szCs w:val="15"/>
                <w:highlight w:val="none"/>
              </w:rPr>
              <w:t>—</w:t>
            </w:r>
          </w:p>
        </w:tc>
        <w:tc>
          <w:tcPr>
            <w:tcW w:w="462" w:type="pct"/>
            <w:tcBorders>
              <w:top w:val="nil"/>
              <w:left w:val="nil"/>
              <w:bottom w:val="single" w:color="auto" w:sz="4" w:space="0"/>
              <w:right w:val="single" w:color="auto" w:sz="4" w:space="0"/>
            </w:tcBorders>
            <w:shd w:val="clear" w:color="auto" w:fill="auto"/>
            <w:vAlign w:val="center"/>
          </w:tcPr>
          <w:p w14:paraId="30382350">
            <w:pPr>
              <w:widowControl/>
              <w:jc w:val="center"/>
              <w:rPr>
                <w:b/>
                <w:bCs/>
                <w:sz w:val="15"/>
                <w:szCs w:val="15"/>
                <w:highlight w:val="none"/>
              </w:rPr>
            </w:pPr>
            <w:r>
              <w:rPr>
                <w:b/>
                <w:bCs/>
                <w:sz w:val="15"/>
                <w:szCs w:val="15"/>
                <w:highlight w:val="none"/>
              </w:rPr>
              <w:t>—</w:t>
            </w:r>
          </w:p>
        </w:tc>
        <w:tc>
          <w:tcPr>
            <w:tcW w:w="462" w:type="pct"/>
            <w:tcBorders>
              <w:top w:val="nil"/>
              <w:left w:val="nil"/>
              <w:bottom w:val="single" w:color="auto" w:sz="4" w:space="0"/>
              <w:right w:val="single" w:color="auto" w:sz="4" w:space="0"/>
            </w:tcBorders>
            <w:shd w:val="clear" w:color="auto" w:fill="auto"/>
            <w:vAlign w:val="center"/>
          </w:tcPr>
          <w:p w14:paraId="74AF885B">
            <w:pPr>
              <w:widowControl/>
              <w:jc w:val="center"/>
              <w:rPr>
                <w:b/>
                <w:bCs/>
                <w:sz w:val="15"/>
                <w:szCs w:val="15"/>
                <w:highlight w:val="none"/>
              </w:rPr>
            </w:pPr>
            <w:r>
              <w:rPr>
                <w:b/>
                <w:bCs/>
                <w:sz w:val="15"/>
                <w:szCs w:val="15"/>
                <w:highlight w:val="none"/>
              </w:rPr>
              <w:t>—</w:t>
            </w:r>
          </w:p>
        </w:tc>
        <w:tc>
          <w:tcPr>
            <w:tcW w:w="368" w:type="pct"/>
            <w:tcBorders>
              <w:top w:val="nil"/>
              <w:left w:val="nil"/>
              <w:bottom w:val="single" w:color="auto" w:sz="4" w:space="0"/>
              <w:right w:val="single" w:color="auto" w:sz="4" w:space="0"/>
            </w:tcBorders>
            <w:shd w:val="clear" w:color="auto" w:fill="auto"/>
            <w:vAlign w:val="center"/>
          </w:tcPr>
          <w:p w14:paraId="0D0EF22A">
            <w:pPr>
              <w:widowControl/>
              <w:jc w:val="center"/>
              <w:rPr>
                <w:b/>
                <w:bCs/>
                <w:sz w:val="15"/>
                <w:szCs w:val="15"/>
                <w:highlight w:val="none"/>
              </w:rPr>
            </w:pPr>
            <w:r>
              <w:rPr>
                <w:b/>
                <w:bCs/>
                <w:sz w:val="15"/>
                <w:szCs w:val="15"/>
                <w:highlight w:val="none"/>
              </w:rPr>
              <w:t>≤0.5</w:t>
            </w:r>
          </w:p>
        </w:tc>
        <w:tc>
          <w:tcPr>
            <w:tcW w:w="368" w:type="pct"/>
            <w:tcBorders>
              <w:top w:val="nil"/>
              <w:left w:val="nil"/>
              <w:bottom w:val="single" w:color="auto" w:sz="4" w:space="0"/>
              <w:right w:val="single" w:color="auto" w:sz="4" w:space="0"/>
            </w:tcBorders>
            <w:shd w:val="clear" w:color="auto" w:fill="auto"/>
            <w:vAlign w:val="center"/>
          </w:tcPr>
          <w:p w14:paraId="116CE657">
            <w:pPr>
              <w:widowControl/>
              <w:jc w:val="center"/>
              <w:rPr>
                <w:b/>
                <w:bCs/>
                <w:sz w:val="15"/>
                <w:szCs w:val="15"/>
                <w:highlight w:val="none"/>
              </w:rPr>
            </w:pPr>
          </w:p>
        </w:tc>
        <w:tc>
          <w:tcPr>
            <w:tcW w:w="425" w:type="pct"/>
            <w:tcBorders>
              <w:top w:val="nil"/>
              <w:left w:val="nil"/>
              <w:bottom w:val="single" w:color="auto" w:sz="4" w:space="0"/>
              <w:right w:val="single" w:color="auto" w:sz="4" w:space="0"/>
            </w:tcBorders>
            <w:shd w:val="clear" w:color="auto" w:fill="auto"/>
            <w:vAlign w:val="center"/>
          </w:tcPr>
          <w:p w14:paraId="19CD4A1C">
            <w:pPr>
              <w:widowControl/>
              <w:jc w:val="center"/>
              <w:rPr>
                <w:b/>
                <w:bCs/>
                <w:sz w:val="15"/>
                <w:szCs w:val="15"/>
                <w:highlight w:val="none"/>
              </w:rPr>
            </w:pPr>
            <w:r>
              <w:rPr>
                <w:b/>
                <w:bCs/>
                <w:sz w:val="15"/>
                <w:szCs w:val="15"/>
                <w:highlight w:val="none"/>
              </w:rPr>
              <w:t>≤10</w:t>
            </w:r>
          </w:p>
        </w:tc>
        <w:tc>
          <w:tcPr>
            <w:tcW w:w="268" w:type="pct"/>
            <w:tcBorders>
              <w:top w:val="nil"/>
              <w:left w:val="nil"/>
              <w:bottom w:val="single" w:color="auto" w:sz="4" w:space="0"/>
              <w:right w:val="single" w:color="auto" w:sz="4" w:space="0"/>
            </w:tcBorders>
            <w:shd w:val="clear" w:color="auto" w:fill="auto"/>
            <w:vAlign w:val="center"/>
          </w:tcPr>
          <w:p w14:paraId="73A0D7FB">
            <w:pPr>
              <w:widowControl/>
              <w:jc w:val="center"/>
              <w:rPr>
                <w:b/>
                <w:bCs/>
                <w:sz w:val="15"/>
                <w:szCs w:val="15"/>
                <w:highlight w:val="none"/>
              </w:rPr>
            </w:pPr>
          </w:p>
        </w:tc>
      </w:tr>
      <w:tr w14:paraId="4818FA62">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6D47085F">
            <w:pPr>
              <w:widowControl/>
              <w:jc w:val="center"/>
              <w:rPr>
                <w:sz w:val="15"/>
                <w:szCs w:val="15"/>
                <w:highlight w:val="none"/>
              </w:rPr>
            </w:pPr>
            <w:r>
              <w:rPr>
                <w:sz w:val="15"/>
                <w:szCs w:val="15"/>
                <w:highlight w:val="none"/>
              </w:rPr>
              <w:t>2025.01.01</w:t>
            </w:r>
          </w:p>
        </w:tc>
        <w:tc>
          <w:tcPr>
            <w:tcW w:w="268" w:type="pct"/>
            <w:tcBorders>
              <w:top w:val="nil"/>
              <w:left w:val="nil"/>
              <w:bottom w:val="single" w:color="auto" w:sz="4" w:space="0"/>
              <w:right w:val="single" w:color="auto" w:sz="4" w:space="0"/>
            </w:tcBorders>
            <w:shd w:val="clear" w:color="auto" w:fill="auto"/>
            <w:noWrap/>
            <w:vAlign w:val="center"/>
          </w:tcPr>
          <w:p w14:paraId="59191E1E">
            <w:pPr>
              <w:widowControl/>
              <w:jc w:val="center"/>
              <w:rPr>
                <w:sz w:val="15"/>
                <w:szCs w:val="15"/>
                <w:highlight w:val="none"/>
              </w:rPr>
            </w:pPr>
            <w:r>
              <w:rPr>
                <w:sz w:val="15"/>
                <w:szCs w:val="15"/>
                <w:highlight w:val="none"/>
              </w:rPr>
              <w:t>/</w:t>
            </w:r>
          </w:p>
        </w:tc>
        <w:tc>
          <w:tcPr>
            <w:tcW w:w="354" w:type="pct"/>
            <w:tcBorders>
              <w:top w:val="nil"/>
              <w:left w:val="nil"/>
              <w:bottom w:val="single" w:color="auto" w:sz="4" w:space="0"/>
              <w:right w:val="single" w:color="auto" w:sz="4" w:space="0"/>
            </w:tcBorders>
            <w:shd w:val="clear" w:color="auto" w:fill="auto"/>
            <w:noWrap/>
            <w:vAlign w:val="center"/>
          </w:tcPr>
          <w:p w14:paraId="33A55D9C">
            <w:pPr>
              <w:widowControl/>
              <w:jc w:val="center"/>
              <w:rPr>
                <w:sz w:val="15"/>
                <w:szCs w:val="15"/>
                <w:highlight w:val="none"/>
              </w:rPr>
            </w:pPr>
            <w:r>
              <w:rPr>
                <w:sz w:val="15"/>
                <w:szCs w:val="15"/>
                <w:highlight w:val="none"/>
              </w:rPr>
              <w:t>89.00</w:t>
            </w:r>
          </w:p>
        </w:tc>
        <w:tc>
          <w:tcPr>
            <w:tcW w:w="401" w:type="pct"/>
            <w:tcBorders>
              <w:top w:val="nil"/>
              <w:left w:val="nil"/>
              <w:bottom w:val="single" w:color="auto" w:sz="4" w:space="0"/>
              <w:right w:val="single" w:color="auto" w:sz="4" w:space="0"/>
            </w:tcBorders>
            <w:shd w:val="clear" w:color="auto" w:fill="auto"/>
            <w:noWrap/>
            <w:vAlign w:val="center"/>
          </w:tcPr>
          <w:p w14:paraId="6A04F50C">
            <w:pPr>
              <w:widowControl/>
              <w:jc w:val="center"/>
              <w:rPr>
                <w:sz w:val="15"/>
                <w:szCs w:val="15"/>
                <w:highlight w:val="none"/>
              </w:rPr>
            </w:pPr>
            <w:r>
              <w:rPr>
                <w:sz w:val="15"/>
                <w:szCs w:val="15"/>
                <w:highlight w:val="none"/>
              </w:rPr>
              <w:t>/</w:t>
            </w:r>
          </w:p>
        </w:tc>
        <w:tc>
          <w:tcPr>
            <w:tcW w:w="382" w:type="pct"/>
            <w:tcBorders>
              <w:top w:val="nil"/>
              <w:left w:val="nil"/>
              <w:bottom w:val="single" w:color="auto" w:sz="4" w:space="0"/>
              <w:right w:val="single" w:color="auto" w:sz="4" w:space="0"/>
            </w:tcBorders>
            <w:shd w:val="clear" w:color="auto" w:fill="auto"/>
            <w:noWrap/>
            <w:vAlign w:val="center"/>
          </w:tcPr>
          <w:p w14:paraId="5B39C338">
            <w:pPr>
              <w:widowControl/>
              <w:jc w:val="center"/>
              <w:rPr>
                <w:sz w:val="15"/>
                <w:szCs w:val="15"/>
                <w:highlight w:val="none"/>
              </w:rPr>
            </w:pPr>
            <w:r>
              <w:rPr>
                <w:sz w:val="15"/>
                <w:szCs w:val="15"/>
                <w:highlight w:val="none"/>
              </w:rPr>
              <w:t>71.90</w:t>
            </w:r>
          </w:p>
        </w:tc>
        <w:tc>
          <w:tcPr>
            <w:tcW w:w="368" w:type="pct"/>
            <w:tcBorders>
              <w:top w:val="nil"/>
              <w:left w:val="nil"/>
              <w:bottom w:val="single" w:color="auto" w:sz="4" w:space="0"/>
              <w:right w:val="single" w:color="auto" w:sz="4" w:space="0"/>
            </w:tcBorders>
            <w:shd w:val="clear" w:color="auto" w:fill="auto"/>
            <w:noWrap/>
            <w:vAlign w:val="center"/>
          </w:tcPr>
          <w:p w14:paraId="520330D5">
            <w:pPr>
              <w:widowControl/>
              <w:jc w:val="center"/>
              <w:rPr>
                <w:sz w:val="15"/>
                <w:szCs w:val="15"/>
                <w:highlight w:val="none"/>
              </w:rPr>
            </w:pPr>
            <w:r>
              <w:rPr>
                <w:sz w:val="15"/>
                <w:szCs w:val="15"/>
                <w:highlight w:val="none"/>
              </w:rPr>
              <w:t>/</w:t>
            </w:r>
          </w:p>
        </w:tc>
        <w:tc>
          <w:tcPr>
            <w:tcW w:w="368" w:type="pct"/>
            <w:tcBorders>
              <w:top w:val="nil"/>
              <w:left w:val="nil"/>
              <w:bottom w:val="single" w:color="auto" w:sz="4" w:space="0"/>
              <w:right w:val="single" w:color="auto" w:sz="4" w:space="0"/>
            </w:tcBorders>
            <w:shd w:val="clear" w:color="auto" w:fill="auto"/>
            <w:noWrap/>
            <w:vAlign w:val="center"/>
          </w:tcPr>
          <w:p w14:paraId="5F752E06">
            <w:pPr>
              <w:widowControl/>
              <w:jc w:val="center"/>
              <w:rPr>
                <w:sz w:val="15"/>
                <w:szCs w:val="15"/>
                <w:highlight w:val="none"/>
              </w:rPr>
            </w:pPr>
            <w:r>
              <w:rPr>
                <w:sz w:val="15"/>
                <w:szCs w:val="15"/>
                <w:highlight w:val="none"/>
              </w:rPr>
              <w:t>/</w:t>
            </w:r>
          </w:p>
        </w:tc>
        <w:tc>
          <w:tcPr>
            <w:tcW w:w="462" w:type="pct"/>
            <w:tcBorders>
              <w:top w:val="nil"/>
              <w:left w:val="nil"/>
              <w:bottom w:val="single" w:color="auto" w:sz="4" w:space="0"/>
              <w:right w:val="single" w:color="auto" w:sz="4" w:space="0"/>
            </w:tcBorders>
            <w:shd w:val="clear" w:color="auto" w:fill="auto"/>
            <w:noWrap/>
            <w:vAlign w:val="center"/>
          </w:tcPr>
          <w:p w14:paraId="2D73836F">
            <w:pPr>
              <w:widowControl/>
              <w:jc w:val="center"/>
              <w:rPr>
                <w:sz w:val="15"/>
                <w:szCs w:val="15"/>
                <w:highlight w:val="none"/>
              </w:rPr>
            </w:pPr>
            <w:r>
              <w:rPr>
                <w:sz w:val="15"/>
                <w:szCs w:val="15"/>
                <w:highlight w:val="none"/>
              </w:rPr>
              <w:t>/</w:t>
            </w:r>
          </w:p>
        </w:tc>
        <w:tc>
          <w:tcPr>
            <w:tcW w:w="462" w:type="pct"/>
            <w:tcBorders>
              <w:top w:val="nil"/>
              <w:left w:val="nil"/>
              <w:bottom w:val="single" w:color="auto" w:sz="4" w:space="0"/>
              <w:right w:val="single" w:color="auto" w:sz="4" w:space="0"/>
            </w:tcBorders>
            <w:shd w:val="clear" w:color="auto" w:fill="auto"/>
            <w:noWrap/>
            <w:vAlign w:val="center"/>
          </w:tcPr>
          <w:p w14:paraId="4385F857">
            <w:pPr>
              <w:widowControl/>
              <w:jc w:val="center"/>
              <w:rPr>
                <w:sz w:val="15"/>
                <w:szCs w:val="15"/>
                <w:highlight w:val="none"/>
              </w:rPr>
            </w:pPr>
            <w:r>
              <w:rPr>
                <w:sz w:val="15"/>
                <w:szCs w:val="15"/>
                <w:highlight w:val="none"/>
              </w:rPr>
              <w:t>/</w:t>
            </w:r>
          </w:p>
        </w:tc>
        <w:tc>
          <w:tcPr>
            <w:tcW w:w="368" w:type="pct"/>
            <w:tcBorders>
              <w:top w:val="nil"/>
              <w:left w:val="nil"/>
              <w:bottom w:val="single" w:color="auto" w:sz="4" w:space="0"/>
              <w:right w:val="single" w:color="auto" w:sz="4" w:space="0"/>
            </w:tcBorders>
            <w:shd w:val="clear" w:color="auto" w:fill="auto"/>
            <w:noWrap/>
            <w:vAlign w:val="center"/>
          </w:tcPr>
          <w:p w14:paraId="0594F23B">
            <w:pPr>
              <w:widowControl/>
              <w:jc w:val="center"/>
              <w:rPr>
                <w:sz w:val="15"/>
                <w:szCs w:val="15"/>
                <w:highlight w:val="none"/>
              </w:rPr>
            </w:pPr>
            <w:r>
              <w:rPr>
                <w:sz w:val="15"/>
                <w:szCs w:val="15"/>
                <w:highlight w:val="none"/>
              </w:rPr>
              <w:t>/</w:t>
            </w:r>
          </w:p>
        </w:tc>
        <w:tc>
          <w:tcPr>
            <w:tcW w:w="368" w:type="pct"/>
            <w:tcBorders>
              <w:top w:val="nil"/>
              <w:left w:val="nil"/>
              <w:bottom w:val="single" w:color="auto" w:sz="4" w:space="0"/>
              <w:right w:val="single" w:color="auto" w:sz="4" w:space="0"/>
            </w:tcBorders>
            <w:shd w:val="clear" w:color="auto" w:fill="auto"/>
            <w:noWrap/>
            <w:vAlign w:val="center"/>
          </w:tcPr>
          <w:p w14:paraId="3E1D85FE">
            <w:pPr>
              <w:widowControl/>
              <w:jc w:val="center"/>
              <w:rPr>
                <w:sz w:val="15"/>
                <w:szCs w:val="15"/>
                <w:highlight w:val="none"/>
              </w:rPr>
            </w:pPr>
            <w:r>
              <w:rPr>
                <w:sz w:val="15"/>
                <w:szCs w:val="15"/>
                <w:highlight w:val="none"/>
              </w:rPr>
              <w:t>/</w:t>
            </w:r>
          </w:p>
        </w:tc>
        <w:tc>
          <w:tcPr>
            <w:tcW w:w="425" w:type="pct"/>
            <w:tcBorders>
              <w:top w:val="nil"/>
              <w:left w:val="nil"/>
              <w:bottom w:val="single" w:color="auto" w:sz="4" w:space="0"/>
              <w:right w:val="single" w:color="auto" w:sz="4" w:space="0"/>
            </w:tcBorders>
            <w:shd w:val="clear" w:color="auto" w:fill="auto"/>
            <w:noWrap/>
            <w:vAlign w:val="center"/>
          </w:tcPr>
          <w:p w14:paraId="0DAA42D5">
            <w:pPr>
              <w:widowControl/>
              <w:jc w:val="center"/>
              <w:rPr>
                <w:sz w:val="15"/>
                <w:szCs w:val="15"/>
                <w:highlight w:val="none"/>
              </w:rPr>
            </w:pPr>
            <w:r>
              <w:rPr>
                <w:sz w:val="15"/>
                <w:szCs w:val="15"/>
                <w:highlight w:val="none"/>
              </w:rPr>
              <w:t>/</w:t>
            </w:r>
          </w:p>
        </w:tc>
        <w:tc>
          <w:tcPr>
            <w:tcW w:w="268" w:type="pct"/>
            <w:tcBorders>
              <w:top w:val="nil"/>
              <w:left w:val="nil"/>
              <w:bottom w:val="single" w:color="auto" w:sz="4" w:space="0"/>
              <w:right w:val="single" w:color="auto" w:sz="4" w:space="0"/>
            </w:tcBorders>
            <w:shd w:val="clear" w:color="auto" w:fill="auto"/>
            <w:noWrap/>
            <w:vAlign w:val="center"/>
          </w:tcPr>
          <w:p w14:paraId="57D2ABE3">
            <w:pPr>
              <w:widowControl/>
              <w:jc w:val="center"/>
              <w:rPr>
                <w:sz w:val="15"/>
                <w:szCs w:val="15"/>
                <w:highlight w:val="none"/>
              </w:rPr>
            </w:pPr>
            <w:r>
              <w:rPr>
                <w:sz w:val="15"/>
                <w:szCs w:val="15"/>
                <w:highlight w:val="none"/>
              </w:rPr>
              <w:t>0.02</w:t>
            </w:r>
          </w:p>
        </w:tc>
      </w:tr>
      <w:tr w14:paraId="0B20A8B4">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014A500E">
            <w:pPr>
              <w:widowControl/>
              <w:jc w:val="center"/>
              <w:rPr>
                <w:sz w:val="15"/>
                <w:szCs w:val="15"/>
                <w:highlight w:val="none"/>
              </w:rPr>
            </w:pPr>
            <w:r>
              <w:rPr>
                <w:sz w:val="15"/>
                <w:szCs w:val="15"/>
                <w:highlight w:val="none"/>
              </w:rPr>
              <w:t>2025.01.02</w:t>
            </w:r>
          </w:p>
        </w:tc>
        <w:tc>
          <w:tcPr>
            <w:tcW w:w="268" w:type="pct"/>
            <w:tcBorders>
              <w:top w:val="nil"/>
              <w:left w:val="nil"/>
              <w:bottom w:val="single" w:color="auto" w:sz="4" w:space="0"/>
              <w:right w:val="single" w:color="auto" w:sz="4" w:space="0"/>
            </w:tcBorders>
            <w:shd w:val="clear" w:color="auto" w:fill="auto"/>
            <w:noWrap/>
            <w:vAlign w:val="center"/>
          </w:tcPr>
          <w:p w14:paraId="1AEDE362">
            <w:pPr>
              <w:widowControl/>
              <w:jc w:val="center"/>
              <w:rPr>
                <w:sz w:val="15"/>
                <w:szCs w:val="15"/>
                <w:highlight w:val="none"/>
              </w:rPr>
            </w:pPr>
            <w:r>
              <w:rPr>
                <w:sz w:val="15"/>
                <w:szCs w:val="15"/>
                <w:highlight w:val="none"/>
              </w:rPr>
              <w:t>7.25</w:t>
            </w:r>
          </w:p>
        </w:tc>
        <w:tc>
          <w:tcPr>
            <w:tcW w:w="354" w:type="pct"/>
            <w:tcBorders>
              <w:top w:val="nil"/>
              <w:left w:val="nil"/>
              <w:bottom w:val="single" w:color="auto" w:sz="4" w:space="0"/>
              <w:right w:val="single" w:color="auto" w:sz="4" w:space="0"/>
            </w:tcBorders>
            <w:shd w:val="clear" w:color="auto" w:fill="auto"/>
            <w:noWrap/>
            <w:vAlign w:val="center"/>
          </w:tcPr>
          <w:p w14:paraId="3338E638">
            <w:pPr>
              <w:widowControl/>
              <w:jc w:val="center"/>
              <w:rPr>
                <w:sz w:val="15"/>
                <w:szCs w:val="15"/>
                <w:highlight w:val="none"/>
              </w:rPr>
            </w:pPr>
            <w:r>
              <w:rPr>
                <w:sz w:val="15"/>
                <w:szCs w:val="15"/>
                <w:highlight w:val="none"/>
              </w:rPr>
              <w:t>73.30</w:t>
            </w:r>
          </w:p>
        </w:tc>
        <w:tc>
          <w:tcPr>
            <w:tcW w:w="401" w:type="pct"/>
            <w:tcBorders>
              <w:top w:val="nil"/>
              <w:left w:val="nil"/>
              <w:bottom w:val="single" w:color="auto" w:sz="4" w:space="0"/>
              <w:right w:val="single" w:color="auto" w:sz="4" w:space="0"/>
            </w:tcBorders>
            <w:shd w:val="clear" w:color="auto" w:fill="auto"/>
            <w:noWrap/>
            <w:vAlign w:val="center"/>
          </w:tcPr>
          <w:p w14:paraId="28E4B97D">
            <w:pPr>
              <w:widowControl/>
              <w:jc w:val="center"/>
              <w:rPr>
                <w:sz w:val="15"/>
                <w:szCs w:val="15"/>
                <w:highlight w:val="none"/>
              </w:rPr>
            </w:pPr>
            <w:r>
              <w:rPr>
                <w:sz w:val="15"/>
                <w:szCs w:val="15"/>
                <w:highlight w:val="none"/>
              </w:rPr>
              <w:t>1546</w:t>
            </w:r>
          </w:p>
        </w:tc>
        <w:tc>
          <w:tcPr>
            <w:tcW w:w="382" w:type="pct"/>
            <w:tcBorders>
              <w:top w:val="nil"/>
              <w:left w:val="nil"/>
              <w:bottom w:val="single" w:color="auto" w:sz="4" w:space="0"/>
              <w:right w:val="single" w:color="auto" w:sz="4" w:space="0"/>
            </w:tcBorders>
            <w:shd w:val="clear" w:color="auto" w:fill="auto"/>
            <w:noWrap/>
            <w:vAlign w:val="center"/>
          </w:tcPr>
          <w:p w14:paraId="69ACC903">
            <w:pPr>
              <w:widowControl/>
              <w:jc w:val="center"/>
              <w:rPr>
                <w:sz w:val="15"/>
                <w:szCs w:val="15"/>
                <w:highlight w:val="none"/>
              </w:rPr>
            </w:pPr>
            <w:r>
              <w:rPr>
                <w:sz w:val="15"/>
                <w:szCs w:val="15"/>
                <w:highlight w:val="none"/>
              </w:rPr>
              <w:t>22.30</w:t>
            </w:r>
          </w:p>
        </w:tc>
        <w:tc>
          <w:tcPr>
            <w:tcW w:w="368" w:type="pct"/>
            <w:tcBorders>
              <w:top w:val="nil"/>
              <w:left w:val="nil"/>
              <w:bottom w:val="single" w:color="auto" w:sz="4" w:space="0"/>
              <w:right w:val="single" w:color="auto" w:sz="4" w:space="0"/>
            </w:tcBorders>
            <w:shd w:val="clear" w:color="auto" w:fill="auto"/>
            <w:noWrap/>
            <w:vAlign w:val="center"/>
          </w:tcPr>
          <w:p w14:paraId="24A85D0F">
            <w:pPr>
              <w:widowControl/>
              <w:jc w:val="center"/>
              <w:rPr>
                <w:sz w:val="15"/>
                <w:szCs w:val="15"/>
                <w:highlight w:val="none"/>
              </w:rPr>
            </w:pPr>
            <w:r>
              <w:rPr>
                <w:sz w:val="15"/>
                <w:szCs w:val="15"/>
                <w:highlight w:val="none"/>
              </w:rPr>
              <w:t>3.44</w:t>
            </w:r>
          </w:p>
        </w:tc>
        <w:tc>
          <w:tcPr>
            <w:tcW w:w="368" w:type="pct"/>
            <w:tcBorders>
              <w:top w:val="nil"/>
              <w:left w:val="nil"/>
              <w:bottom w:val="single" w:color="auto" w:sz="4" w:space="0"/>
              <w:right w:val="single" w:color="auto" w:sz="4" w:space="0"/>
            </w:tcBorders>
            <w:shd w:val="clear" w:color="auto" w:fill="auto"/>
            <w:noWrap/>
            <w:vAlign w:val="center"/>
          </w:tcPr>
          <w:p w14:paraId="6A06C5E3">
            <w:pPr>
              <w:widowControl/>
              <w:jc w:val="center"/>
              <w:rPr>
                <w:sz w:val="15"/>
                <w:szCs w:val="15"/>
                <w:highlight w:val="none"/>
              </w:rPr>
            </w:pPr>
            <w:r>
              <w:rPr>
                <w:sz w:val="15"/>
                <w:szCs w:val="15"/>
                <w:highlight w:val="none"/>
              </w:rPr>
              <w:t>207.30</w:t>
            </w:r>
          </w:p>
        </w:tc>
        <w:tc>
          <w:tcPr>
            <w:tcW w:w="462" w:type="pct"/>
            <w:tcBorders>
              <w:top w:val="nil"/>
              <w:left w:val="nil"/>
              <w:bottom w:val="single" w:color="auto" w:sz="4" w:space="0"/>
              <w:right w:val="single" w:color="auto" w:sz="4" w:space="0"/>
            </w:tcBorders>
            <w:shd w:val="clear" w:color="auto" w:fill="auto"/>
            <w:noWrap/>
            <w:vAlign w:val="center"/>
          </w:tcPr>
          <w:p w14:paraId="20E29392">
            <w:pPr>
              <w:widowControl/>
              <w:jc w:val="center"/>
              <w:rPr>
                <w:sz w:val="15"/>
                <w:szCs w:val="15"/>
                <w:highlight w:val="none"/>
              </w:rPr>
            </w:pPr>
            <w:r>
              <w:rPr>
                <w:sz w:val="15"/>
                <w:szCs w:val="15"/>
                <w:highlight w:val="none"/>
              </w:rPr>
              <w:t>4.49</w:t>
            </w:r>
          </w:p>
        </w:tc>
        <w:tc>
          <w:tcPr>
            <w:tcW w:w="462" w:type="pct"/>
            <w:tcBorders>
              <w:top w:val="nil"/>
              <w:left w:val="nil"/>
              <w:bottom w:val="single" w:color="auto" w:sz="4" w:space="0"/>
              <w:right w:val="single" w:color="auto" w:sz="4" w:space="0"/>
            </w:tcBorders>
            <w:shd w:val="clear" w:color="auto" w:fill="auto"/>
            <w:noWrap/>
            <w:vAlign w:val="center"/>
          </w:tcPr>
          <w:p w14:paraId="2F44166A">
            <w:pPr>
              <w:widowControl/>
              <w:jc w:val="center"/>
              <w:rPr>
                <w:sz w:val="15"/>
                <w:szCs w:val="15"/>
                <w:highlight w:val="none"/>
              </w:rPr>
            </w:pPr>
            <w:r>
              <w:rPr>
                <w:sz w:val="15"/>
                <w:szCs w:val="15"/>
                <w:highlight w:val="none"/>
              </w:rPr>
              <w:t>4.47</w:t>
            </w:r>
          </w:p>
        </w:tc>
        <w:tc>
          <w:tcPr>
            <w:tcW w:w="368" w:type="pct"/>
            <w:tcBorders>
              <w:top w:val="nil"/>
              <w:left w:val="nil"/>
              <w:bottom w:val="single" w:color="auto" w:sz="4" w:space="0"/>
              <w:right w:val="single" w:color="auto" w:sz="4" w:space="0"/>
            </w:tcBorders>
            <w:shd w:val="clear" w:color="auto" w:fill="auto"/>
            <w:noWrap/>
            <w:vAlign w:val="center"/>
          </w:tcPr>
          <w:p w14:paraId="621CBA32">
            <w:pPr>
              <w:widowControl/>
              <w:jc w:val="center"/>
              <w:rPr>
                <w:sz w:val="15"/>
                <w:szCs w:val="15"/>
                <w:highlight w:val="none"/>
              </w:rPr>
            </w:pPr>
            <w:r>
              <w:rPr>
                <w:sz w:val="15"/>
                <w:szCs w:val="15"/>
                <w:highlight w:val="none"/>
              </w:rPr>
              <w:t>0.49</w:t>
            </w:r>
          </w:p>
        </w:tc>
        <w:tc>
          <w:tcPr>
            <w:tcW w:w="368" w:type="pct"/>
            <w:tcBorders>
              <w:top w:val="nil"/>
              <w:left w:val="nil"/>
              <w:bottom w:val="single" w:color="auto" w:sz="4" w:space="0"/>
              <w:right w:val="single" w:color="auto" w:sz="4" w:space="0"/>
            </w:tcBorders>
            <w:shd w:val="clear" w:color="auto" w:fill="auto"/>
            <w:noWrap/>
            <w:vAlign w:val="center"/>
          </w:tcPr>
          <w:p w14:paraId="031FFA44">
            <w:pPr>
              <w:widowControl/>
              <w:jc w:val="center"/>
              <w:rPr>
                <w:sz w:val="15"/>
                <w:szCs w:val="15"/>
                <w:highlight w:val="none"/>
              </w:rPr>
            </w:pPr>
            <w:r>
              <w:rPr>
                <w:sz w:val="15"/>
                <w:szCs w:val="15"/>
                <w:highlight w:val="none"/>
              </w:rPr>
              <w:t>0</w:t>
            </w:r>
          </w:p>
        </w:tc>
        <w:tc>
          <w:tcPr>
            <w:tcW w:w="425" w:type="pct"/>
            <w:tcBorders>
              <w:top w:val="nil"/>
              <w:left w:val="nil"/>
              <w:bottom w:val="single" w:color="auto" w:sz="4" w:space="0"/>
              <w:right w:val="single" w:color="auto" w:sz="4" w:space="0"/>
            </w:tcBorders>
            <w:shd w:val="clear" w:color="auto" w:fill="auto"/>
            <w:noWrap/>
            <w:vAlign w:val="center"/>
          </w:tcPr>
          <w:p w14:paraId="7CD0BDF8">
            <w:pPr>
              <w:widowControl/>
              <w:jc w:val="center"/>
              <w:rPr>
                <w:sz w:val="15"/>
                <w:szCs w:val="15"/>
                <w:highlight w:val="none"/>
              </w:rPr>
            </w:pPr>
            <w:r>
              <w:rPr>
                <w:sz w:val="15"/>
                <w:szCs w:val="15"/>
                <w:highlight w:val="none"/>
              </w:rPr>
              <w:t>/</w:t>
            </w:r>
          </w:p>
        </w:tc>
        <w:tc>
          <w:tcPr>
            <w:tcW w:w="268" w:type="pct"/>
            <w:tcBorders>
              <w:top w:val="nil"/>
              <w:left w:val="nil"/>
              <w:bottom w:val="single" w:color="auto" w:sz="4" w:space="0"/>
              <w:right w:val="single" w:color="auto" w:sz="4" w:space="0"/>
            </w:tcBorders>
            <w:shd w:val="clear" w:color="auto" w:fill="auto"/>
            <w:noWrap/>
            <w:vAlign w:val="center"/>
          </w:tcPr>
          <w:p w14:paraId="6F14C6EF">
            <w:pPr>
              <w:widowControl/>
              <w:jc w:val="center"/>
              <w:rPr>
                <w:sz w:val="15"/>
                <w:szCs w:val="15"/>
                <w:highlight w:val="none"/>
              </w:rPr>
            </w:pPr>
            <w:r>
              <w:rPr>
                <w:sz w:val="15"/>
                <w:szCs w:val="15"/>
                <w:highlight w:val="none"/>
              </w:rPr>
              <w:t>/</w:t>
            </w:r>
          </w:p>
        </w:tc>
      </w:tr>
      <w:tr w14:paraId="2C7896CD">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7EF4A7D3">
            <w:pPr>
              <w:widowControl/>
              <w:jc w:val="center"/>
              <w:rPr>
                <w:sz w:val="15"/>
                <w:szCs w:val="15"/>
                <w:highlight w:val="none"/>
              </w:rPr>
            </w:pPr>
            <w:r>
              <w:rPr>
                <w:sz w:val="15"/>
                <w:szCs w:val="15"/>
                <w:highlight w:val="none"/>
              </w:rPr>
              <w:t>2025.01.09</w:t>
            </w:r>
          </w:p>
        </w:tc>
        <w:tc>
          <w:tcPr>
            <w:tcW w:w="268" w:type="pct"/>
            <w:tcBorders>
              <w:top w:val="nil"/>
              <w:left w:val="nil"/>
              <w:bottom w:val="single" w:color="auto" w:sz="4" w:space="0"/>
              <w:right w:val="single" w:color="auto" w:sz="4" w:space="0"/>
            </w:tcBorders>
            <w:shd w:val="clear" w:color="auto" w:fill="auto"/>
            <w:noWrap/>
            <w:vAlign w:val="center"/>
          </w:tcPr>
          <w:p w14:paraId="0AD750D4">
            <w:pPr>
              <w:widowControl/>
              <w:jc w:val="center"/>
              <w:rPr>
                <w:sz w:val="15"/>
                <w:szCs w:val="15"/>
                <w:highlight w:val="none"/>
              </w:rPr>
            </w:pPr>
            <w:r>
              <w:rPr>
                <w:sz w:val="15"/>
                <w:szCs w:val="15"/>
                <w:highlight w:val="none"/>
              </w:rPr>
              <w:t>6.91</w:t>
            </w:r>
          </w:p>
        </w:tc>
        <w:tc>
          <w:tcPr>
            <w:tcW w:w="354" w:type="pct"/>
            <w:tcBorders>
              <w:top w:val="nil"/>
              <w:left w:val="nil"/>
              <w:bottom w:val="single" w:color="auto" w:sz="4" w:space="0"/>
              <w:right w:val="single" w:color="auto" w:sz="4" w:space="0"/>
            </w:tcBorders>
            <w:shd w:val="clear" w:color="auto" w:fill="auto"/>
            <w:noWrap/>
            <w:vAlign w:val="center"/>
          </w:tcPr>
          <w:p w14:paraId="01447C35">
            <w:pPr>
              <w:widowControl/>
              <w:jc w:val="center"/>
              <w:rPr>
                <w:sz w:val="15"/>
                <w:szCs w:val="15"/>
                <w:highlight w:val="none"/>
              </w:rPr>
            </w:pPr>
            <w:r>
              <w:rPr>
                <w:sz w:val="15"/>
                <w:szCs w:val="15"/>
                <w:highlight w:val="none"/>
              </w:rPr>
              <w:t>14.00</w:t>
            </w:r>
          </w:p>
        </w:tc>
        <w:tc>
          <w:tcPr>
            <w:tcW w:w="401" w:type="pct"/>
            <w:tcBorders>
              <w:top w:val="nil"/>
              <w:left w:val="nil"/>
              <w:bottom w:val="single" w:color="auto" w:sz="4" w:space="0"/>
              <w:right w:val="single" w:color="auto" w:sz="4" w:space="0"/>
            </w:tcBorders>
            <w:shd w:val="clear" w:color="auto" w:fill="auto"/>
            <w:noWrap/>
            <w:vAlign w:val="center"/>
          </w:tcPr>
          <w:p w14:paraId="3B5DB0A8">
            <w:pPr>
              <w:widowControl/>
              <w:jc w:val="center"/>
              <w:rPr>
                <w:sz w:val="15"/>
                <w:szCs w:val="15"/>
                <w:highlight w:val="none"/>
              </w:rPr>
            </w:pPr>
            <w:r>
              <w:rPr>
                <w:sz w:val="15"/>
                <w:szCs w:val="15"/>
                <w:highlight w:val="none"/>
              </w:rPr>
              <w:t>1382</w:t>
            </w:r>
          </w:p>
        </w:tc>
        <w:tc>
          <w:tcPr>
            <w:tcW w:w="382" w:type="pct"/>
            <w:tcBorders>
              <w:top w:val="nil"/>
              <w:left w:val="nil"/>
              <w:bottom w:val="single" w:color="auto" w:sz="4" w:space="0"/>
              <w:right w:val="single" w:color="auto" w:sz="4" w:space="0"/>
            </w:tcBorders>
            <w:shd w:val="clear" w:color="auto" w:fill="auto"/>
            <w:noWrap/>
            <w:vAlign w:val="center"/>
          </w:tcPr>
          <w:p w14:paraId="144EE7BD">
            <w:pPr>
              <w:widowControl/>
              <w:jc w:val="center"/>
              <w:rPr>
                <w:sz w:val="15"/>
                <w:szCs w:val="15"/>
                <w:highlight w:val="none"/>
              </w:rPr>
            </w:pPr>
            <w:r>
              <w:rPr>
                <w:sz w:val="15"/>
                <w:szCs w:val="15"/>
                <w:highlight w:val="none"/>
              </w:rPr>
              <w:t>19.90</w:t>
            </w:r>
          </w:p>
        </w:tc>
        <w:tc>
          <w:tcPr>
            <w:tcW w:w="368" w:type="pct"/>
            <w:tcBorders>
              <w:top w:val="nil"/>
              <w:left w:val="nil"/>
              <w:bottom w:val="single" w:color="auto" w:sz="4" w:space="0"/>
              <w:right w:val="single" w:color="auto" w:sz="4" w:space="0"/>
            </w:tcBorders>
            <w:shd w:val="clear" w:color="auto" w:fill="auto"/>
            <w:noWrap/>
            <w:vAlign w:val="center"/>
          </w:tcPr>
          <w:p w14:paraId="321D0046">
            <w:pPr>
              <w:widowControl/>
              <w:jc w:val="center"/>
              <w:rPr>
                <w:sz w:val="15"/>
                <w:szCs w:val="15"/>
                <w:highlight w:val="none"/>
              </w:rPr>
            </w:pPr>
            <w:r>
              <w:rPr>
                <w:sz w:val="15"/>
                <w:szCs w:val="15"/>
                <w:highlight w:val="none"/>
              </w:rPr>
              <w:t>6.20</w:t>
            </w:r>
          </w:p>
        </w:tc>
        <w:tc>
          <w:tcPr>
            <w:tcW w:w="368" w:type="pct"/>
            <w:tcBorders>
              <w:top w:val="nil"/>
              <w:left w:val="nil"/>
              <w:bottom w:val="single" w:color="auto" w:sz="4" w:space="0"/>
              <w:right w:val="single" w:color="auto" w:sz="4" w:space="0"/>
            </w:tcBorders>
            <w:shd w:val="clear" w:color="auto" w:fill="auto"/>
            <w:noWrap/>
            <w:vAlign w:val="center"/>
          </w:tcPr>
          <w:p w14:paraId="1DA04344">
            <w:pPr>
              <w:widowControl/>
              <w:jc w:val="center"/>
              <w:rPr>
                <w:sz w:val="15"/>
                <w:szCs w:val="15"/>
                <w:highlight w:val="none"/>
              </w:rPr>
            </w:pPr>
            <w:r>
              <w:rPr>
                <w:sz w:val="15"/>
                <w:szCs w:val="15"/>
                <w:highlight w:val="none"/>
              </w:rPr>
              <w:t>202.24</w:t>
            </w:r>
          </w:p>
        </w:tc>
        <w:tc>
          <w:tcPr>
            <w:tcW w:w="462" w:type="pct"/>
            <w:tcBorders>
              <w:top w:val="nil"/>
              <w:left w:val="nil"/>
              <w:bottom w:val="single" w:color="auto" w:sz="4" w:space="0"/>
              <w:right w:val="single" w:color="auto" w:sz="4" w:space="0"/>
            </w:tcBorders>
            <w:shd w:val="clear" w:color="auto" w:fill="auto"/>
            <w:noWrap/>
            <w:vAlign w:val="center"/>
          </w:tcPr>
          <w:p w14:paraId="28414645">
            <w:pPr>
              <w:widowControl/>
              <w:jc w:val="center"/>
              <w:rPr>
                <w:sz w:val="15"/>
                <w:szCs w:val="15"/>
                <w:highlight w:val="none"/>
              </w:rPr>
            </w:pPr>
            <w:r>
              <w:rPr>
                <w:sz w:val="15"/>
                <w:szCs w:val="15"/>
                <w:highlight w:val="none"/>
              </w:rPr>
              <w:t>4.22</w:t>
            </w:r>
          </w:p>
        </w:tc>
        <w:tc>
          <w:tcPr>
            <w:tcW w:w="462" w:type="pct"/>
            <w:tcBorders>
              <w:top w:val="nil"/>
              <w:left w:val="nil"/>
              <w:bottom w:val="single" w:color="auto" w:sz="4" w:space="0"/>
              <w:right w:val="single" w:color="auto" w:sz="4" w:space="0"/>
            </w:tcBorders>
            <w:shd w:val="clear" w:color="auto" w:fill="auto"/>
            <w:noWrap/>
            <w:vAlign w:val="center"/>
          </w:tcPr>
          <w:p w14:paraId="6B31923E">
            <w:pPr>
              <w:widowControl/>
              <w:jc w:val="center"/>
              <w:rPr>
                <w:sz w:val="15"/>
                <w:szCs w:val="15"/>
                <w:highlight w:val="none"/>
              </w:rPr>
            </w:pPr>
            <w:r>
              <w:rPr>
                <w:sz w:val="15"/>
                <w:szCs w:val="15"/>
                <w:highlight w:val="none"/>
              </w:rPr>
              <w:t>4.63</w:t>
            </w:r>
          </w:p>
        </w:tc>
        <w:tc>
          <w:tcPr>
            <w:tcW w:w="368" w:type="pct"/>
            <w:tcBorders>
              <w:top w:val="nil"/>
              <w:left w:val="nil"/>
              <w:bottom w:val="single" w:color="auto" w:sz="4" w:space="0"/>
              <w:right w:val="single" w:color="auto" w:sz="4" w:space="0"/>
            </w:tcBorders>
            <w:shd w:val="clear" w:color="auto" w:fill="auto"/>
            <w:noWrap/>
            <w:vAlign w:val="center"/>
          </w:tcPr>
          <w:p w14:paraId="67C431CF">
            <w:pPr>
              <w:widowControl/>
              <w:jc w:val="center"/>
              <w:rPr>
                <w:sz w:val="15"/>
                <w:szCs w:val="15"/>
                <w:highlight w:val="none"/>
              </w:rPr>
            </w:pPr>
            <w:r>
              <w:rPr>
                <w:sz w:val="15"/>
                <w:szCs w:val="15"/>
                <w:highlight w:val="none"/>
              </w:rPr>
              <w:t>0.33</w:t>
            </w:r>
          </w:p>
        </w:tc>
        <w:tc>
          <w:tcPr>
            <w:tcW w:w="368" w:type="pct"/>
            <w:tcBorders>
              <w:top w:val="nil"/>
              <w:left w:val="nil"/>
              <w:bottom w:val="single" w:color="auto" w:sz="4" w:space="0"/>
              <w:right w:val="single" w:color="auto" w:sz="4" w:space="0"/>
            </w:tcBorders>
            <w:shd w:val="clear" w:color="auto" w:fill="auto"/>
            <w:noWrap/>
            <w:vAlign w:val="center"/>
          </w:tcPr>
          <w:p w14:paraId="6CB7B195">
            <w:pPr>
              <w:widowControl/>
              <w:jc w:val="center"/>
              <w:rPr>
                <w:sz w:val="15"/>
                <w:szCs w:val="15"/>
                <w:highlight w:val="none"/>
              </w:rPr>
            </w:pPr>
            <w:r>
              <w:rPr>
                <w:sz w:val="15"/>
                <w:szCs w:val="15"/>
                <w:highlight w:val="none"/>
              </w:rPr>
              <w:t>0</w:t>
            </w:r>
          </w:p>
        </w:tc>
        <w:tc>
          <w:tcPr>
            <w:tcW w:w="425" w:type="pct"/>
            <w:tcBorders>
              <w:top w:val="nil"/>
              <w:left w:val="nil"/>
              <w:bottom w:val="single" w:color="auto" w:sz="4" w:space="0"/>
              <w:right w:val="single" w:color="auto" w:sz="4" w:space="0"/>
            </w:tcBorders>
            <w:shd w:val="clear" w:color="auto" w:fill="auto"/>
            <w:noWrap/>
            <w:vAlign w:val="center"/>
          </w:tcPr>
          <w:p w14:paraId="5E2483BC">
            <w:pPr>
              <w:widowControl/>
              <w:jc w:val="center"/>
              <w:rPr>
                <w:sz w:val="15"/>
                <w:szCs w:val="15"/>
                <w:highlight w:val="none"/>
              </w:rPr>
            </w:pPr>
            <w:r>
              <w:rPr>
                <w:sz w:val="15"/>
                <w:szCs w:val="15"/>
                <w:highlight w:val="none"/>
              </w:rPr>
              <w:t>/</w:t>
            </w:r>
          </w:p>
        </w:tc>
        <w:tc>
          <w:tcPr>
            <w:tcW w:w="268" w:type="pct"/>
            <w:tcBorders>
              <w:top w:val="nil"/>
              <w:left w:val="nil"/>
              <w:bottom w:val="single" w:color="auto" w:sz="4" w:space="0"/>
              <w:right w:val="single" w:color="auto" w:sz="4" w:space="0"/>
            </w:tcBorders>
            <w:shd w:val="clear" w:color="auto" w:fill="auto"/>
            <w:noWrap/>
            <w:vAlign w:val="center"/>
          </w:tcPr>
          <w:p w14:paraId="39DE9EA3">
            <w:pPr>
              <w:widowControl/>
              <w:jc w:val="center"/>
              <w:rPr>
                <w:sz w:val="15"/>
                <w:szCs w:val="15"/>
                <w:highlight w:val="none"/>
              </w:rPr>
            </w:pPr>
            <w:r>
              <w:rPr>
                <w:sz w:val="15"/>
                <w:szCs w:val="15"/>
                <w:highlight w:val="none"/>
              </w:rPr>
              <w:t>/</w:t>
            </w:r>
          </w:p>
        </w:tc>
      </w:tr>
      <w:tr w14:paraId="1195BB8C">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293E0A2B">
            <w:pPr>
              <w:widowControl/>
              <w:jc w:val="center"/>
              <w:rPr>
                <w:sz w:val="15"/>
                <w:szCs w:val="15"/>
                <w:highlight w:val="none"/>
              </w:rPr>
            </w:pPr>
            <w:r>
              <w:rPr>
                <w:sz w:val="15"/>
                <w:szCs w:val="15"/>
                <w:highlight w:val="none"/>
              </w:rPr>
              <w:t>2025.01.14</w:t>
            </w:r>
          </w:p>
        </w:tc>
        <w:tc>
          <w:tcPr>
            <w:tcW w:w="268" w:type="pct"/>
            <w:tcBorders>
              <w:top w:val="nil"/>
              <w:left w:val="nil"/>
              <w:bottom w:val="single" w:color="auto" w:sz="4" w:space="0"/>
              <w:right w:val="single" w:color="auto" w:sz="4" w:space="0"/>
            </w:tcBorders>
            <w:shd w:val="clear" w:color="auto" w:fill="auto"/>
            <w:noWrap/>
            <w:vAlign w:val="center"/>
          </w:tcPr>
          <w:p w14:paraId="4C18E957">
            <w:pPr>
              <w:widowControl/>
              <w:jc w:val="center"/>
              <w:rPr>
                <w:sz w:val="15"/>
                <w:szCs w:val="15"/>
                <w:highlight w:val="none"/>
              </w:rPr>
            </w:pPr>
            <w:r>
              <w:rPr>
                <w:sz w:val="15"/>
                <w:szCs w:val="15"/>
                <w:highlight w:val="none"/>
              </w:rPr>
              <w:t>7.29</w:t>
            </w:r>
          </w:p>
        </w:tc>
        <w:tc>
          <w:tcPr>
            <w:tcW w:w="354" w:type="pct"/>
            <w:tcBorders>
              <w:top w:val="nil"/>
              <w:left w:val="nil"/>
              <w:bottom w:val="single" w:color="auto" w:sz="4" w:space="0"/>
              <w:right w:val="single" w:color="auto" w:sz="4" w:space="0"/>
            </w:tcBorders>
            <w:shd w:val="clear" w:color="auto" w:fill="auto"/>
            <w:noWrap/>
            <w:vAlign w:val="center"/>
          </w:tcPr>
          <w:p w14:paraId="72BC80A6">
            <w:pPr>
              <w:widowControl/>
              <w:jc w:val="center"/>
              <w:rPr>
                <w:sz w:val="15"/>
                <w:szCs w:val="15"/>
                <w:highlight w:val="none"/>
              </w:rPr>
            </w:pPr>
            <w:r>
              <w:rPr>
                <w:sz w:val="15"/>
                <w:szCs w:val="15"/>
                <w:highlight w:val="none"/>
              </w:rPr>
              <w:t>25.30</w:t>
            </w:r>
          </w:p>
        </w:tc>
        <w:tc>
          <w:tcPr>
            <w:tcW w:w="401" w:type="pct"/>
            <w:tcBorders>
              <w:top w:val="nil"/>
              <w:left w:val="nil"/>
              <w:bottom w:val="single" w:color="auto" w:sz="4" w:space="0"/>
              <w:right w:val="single" w:color="auto" w:sz="4" w:space="0"/>
            </w:tcBorders>
            <w:shd w:val="clear" w:color="auto" w:fill="auto"/>
            <w:noWrap/>
            <w:vAlign w:val="center"/>
          </w:tcPr>
          <w:p w14:paraId="44A05C89">
            <w:pPr>
              <w:widowControl/>
              <w:jc w:val="center"/>
              <w:rPr>
                <w:sz w:val="15"/>
                <w:szCs w:val="15"/>
                <w:highlight w:val="none"/>
              </w:rPr>
            </w:pPr>
            <w:r>
              <w:rPr>
                <w:sz w:val="15"/>
                <w:szCs w:val="15"/>
                <w:highlight w:val="none"/>
              </w:rPr>
              <w:t>1499</w:t>
            </w:r>
          </w:p>
        </w:tc>
        <w:tc>
          <w:tcPr>
            <w:tcW w:w="382" w:type="pct"/>
            <w:tcBorders>
              <w:top w:val="nil"/>
              <w:left w:val="nil"/>
              <w:bottom w:val="single" w:color="auto" w:sz="4" w:space="0"/>
              <w:right w:val="single" w:color="auto" w:sz="4" w:space="0"/>
            </w:tcBorders>
            <w:shd w:val="clear" w:color="auto" w:fill="auto"/>
            <w:noWrap/>
            <w:vAlign w:val="center"/>
          </w:tcPr>
          <w:p w14:paraId="570AD3E7">
            <w:pPr>
              <w:widowControl/>
              <w:jc w:val="center"/>
              <w:rPr>
                <w:sz w:val="15"/>
                <w:szCs w:val="15"/>
                <w:highlight w:val="none"/>
              </w:rPr>
            </w:pPr>
            <w:r>
              <w:rPr>
                <w:sz w:val="15"/>
                <w:szCs w:val="15"/>
                <w:highlight w:val="none"/>
              </w:rPr>
              <w:t>23.60</w:t>
            </w:r>
          </w:p>
        </w:tc>
        <w:tc>
          <w:tcPr>
            <w:tcW w:w="368" w:type="pct"/>
            <w:tcBorders>
              <w:top w:val="nil"/>
              <w:left w:val="nil"/>
              <w:bottom w:val="single" w:color="auto" w:sz="4" w:space="0"/>
              <w:right w:val="single" w:color="auto" w:sz="4" w:space="0"/>
            </w:tcBorders>
            <w:shd w:val="clear" w:color="auto" w:fill="auto"/>
            <w:noWrap/>
            <w:vAlign w:val="center"/>
          </w:tcPr>
          <w:p w14:paraId="5570207B">
            <w:pPr>
              <w:widowControl/>
              <w:jc w:val="center"/>
              <w:rPr>
                <w:sz w:val="15"/>
                <w:szCs w:val="15"/>
                <w:highlight w:val="none"/>
              </w:rPr>
            </w:pPr>
            <w:r>
              <w:rPr>
                <w:sz w:val="15"/>
                <w:szCs w:val="15"/>
                <w:highlight w:val="none"/>
              </w:rPr>
              <w:t>12.80</w:t>
            </w:r>
          </w:p>
        </w:tc>
        <w:tc>
          <w:tcPr>
            <w:tcW w:w="368" w:type="pct"/>
            <w:tcBorders>
              <w:top w:val="nil"/>
              <w:left w:val="nil"/>
              <w:bottom w:val="single" w:color="auto" w:sz="4" w:space="0"/>
              <w:right w:val="single" w:color="auto" w:sz="4" w:space="0"/>
            </w:tcBorders>
            <w:shd w:val="clear" w:color="auto" w:fill="auto"/>
            <w:noWrap/>
            <w:vAlign w:val="center"/>
          </w:tcPr>
          <w:p w14:paraId="499AE72C">
            <w:pPr>
              <w:widowControl/>
              <w:jc w:val="center"/>
              <w:rPr>
                <w:sz w:val="15"/>
                <w:szCs w:val="15"/>
                <w:highlight w:val="none"/>
              </w:rPr>
            </w:pPr>
            <w:r>
              <w:rPr>
                <w:sz w:val="15"/>
                <w:szCs w:val="15"/>
                <w:highlight w:val="none"/>
              </w:rPr>
              <w:t>181.92</w:t>
            </w:r>
          </w:p>
        </w:tc>
        <w:tc>
          <w:tcPr>
            <w:tcW w:w="462" w:type="pct"/>
            <w:tcBorders>
              <w:top w:val="nil"/>
              <w:left w:val="nil"/>
              <w:bottom w:val="single" w:color="auto" w:sz="4" w:space="0"/>
              <w:right w:val="single" w:color="auto" w:sz="4" w:space="0"/>
            </w:tcBorders>
            <w:shd w:val="clear" w:color="auto" w:fill="auto"/>
            <w:noWrap/>
            <w:vAlign w:val="center"/>
          </w:tcPr>
          <w:p w14:paraId="56A370AE">
            <w:pPr>
              <w:widowControl/>
              <w:jc w:val="center"/>
              <w:rPr>
                <w:sz w:val="15"/>
                <w:szCs w:val="15"/>
                <w:highlight w:val="none"/>
              </w:rPr>
            </w:pPr>
            <w:r>
              <w:rPr>
                <w:sz w:val="15"/>
                <w:szCs w:val="15"/>
                <w:highlight w:val="none"/>
              </w:rPr>
              <w:t>4.42</w:t>
            </w:r>
          </w:p>
        </w:tc>
        <w:tc>
          <w:tcPr>
            <w:tcW w:w="462" w:type="pct"/>
            <w:tcBorders>
              <w:top w:val="nil"/>
              <w:left w:val="nil"/>
              <w:bottom w:val="single" w:color="auto" w:sz="4" w:space="0"/>
              <w:right w:val="single" w:color="auto" w:sz="4" w:space="0"/>
            </w:tcBorders>
            <w:shd w:val="clear" w:color="auto" w:fill="auto"/>
            <w:noWrap/>
            <w:vAlign w:val="center"/>
          </w:tcPr>
          <w:p w14:paraId="57269A0D">
            <w:pPr>
              <w:widowControl/>
              <w:jc w:val="center"/>
              <w:rPr>
                <w:sz w:val="15"/>
                <w:szCs w:val="15"/>
                <w:highlight w:val="none"/>
              </w:rPr>
            </w:pPr>
            <w:r>
              <w:rPr>
                <w:sz w:val="15"/>
                <w:szCs w:val="15"/>
                <w:highlight w:val="none"/>
              </w:rPr>
              <w:t>5.45</w:t>
            </w:r>
          </w:p>
        </w:tc>
        <w:tc>
          <w:tcPr>
            <w:tcW w:w="368" w:type="pct"/>
            <w:tcBorders>
              <w:top w:val="nil"/>
              <w:left w:val="nil"/>
              <w:bottom w:val="single" w:color="auto" w:sz="4" w:space="0"/>
              <w:right w:val="single" w:color="auto" w:sz="4" w:space="0"/>
            </w:tcBorders>
            <w:shd w:val="clear" w:color="auto" w:fill="auto"/>
            <w:noWrap/>
            <w:vAlign w:val="center"/>
          </w:tcPr>
          <w:p w14:paraId="7EF0D290">
            <w:pPr>
              <w:widowControl/>
              <w:jc w:val="center"/>
              <w:rPr>
                <w:sz w:val="15"/>
                <w:szCs w:val="15"/>
                <w:highlight w:val="none"/>
              </w:rPr>
            </w:pPr>
            <w:r>
              <w:rPr>
                <w:sz w:val="15"/>
                <w:szCs w:val="15"/>
                <w:highlight w:val="none"/>
              </w:rPr>
              <w:t>0.43</w:t>
            </w:r>
          </w:p>
        </w:tc>
        <w:tc>
          <w:tcPr>
            <w:tcW w:w="368" w:type="pct"/>
            <w:tcBorders>
              <w:top w:val="nil"/>
              <w:left w:val="nil"/>
              <w:bottom w:val="single" w:color="auto" w:sz="4" w:space="0"/>
              <w:right w:val="single" w:color="auto" w:sz="4" w:space="0"/>
            </w:tcBorders>
            <w:shd w:val="clear" w:color="auto" w:fill="auto"/>
            <w:noWrap/>
            <w:vAlign w:val="center"/>
          </w:tcPr>
          <w:p w14:paraId="77CAE974">
            <w:pPr>
              <w:widowControl/>
              <w:jc w:val="center"/>
              <w:rPr>
                <w:sz w:val="15"/>
                <w:szCs w:val="15"/>
                <w:highlight w:val="none"/>
              </w:rPr>
            </w:pPr>
            <w:r>
              <w:rPr>
                <w:sz w:val="15"/>
                <w:szCs w:val="15"/>
                <w:highlight w:val="none"/>
              </w:rPr>
              <w:t>0</w:t>
            </w:r>
          </w:p>
        </w:tc>
        <w:tc>
          <w:tcPr>
            <w:tcW w:w="425" w:type="pct"/>
            <w:tcBorders>
              <w:top w:val="nil"/>
              <w:left w:val="nil"/>
              <w:bottom w:val="single" w:color="auto" w:sz="4" w:space="0"/>
              <w:right w:val="single" w:color="auto" w:sz="4" w:space="0"/>
            </w:tcBorders>
            <w:shd w:val="clear" w:color="auto" w:fill="auto"/>
            <w:noWrap/>
            <w:vAlign w:val="center"/>
          </w:tcPr>
          <w:p w14:paraId="3E6AECD2">
            <w:pPr>
              <w:widowControl/>
              <w:jc w:val="center"/>
              <w:rPr>
                <w:sz w:val="15"/>
                <w:szCs w:val="15"/>
                <w:highlight w:val="none"/>
              </w:rPr>
            </w:pPr>
            <w:r>
              <w:rPr>
                <w:sz w:val="15"/>
                <w:szCs w:val="15"/>
                <w:highlight w:val="none"/>
              </w:rPr>
              <w:t>/</w:t>
            </w:r>
          </w:p>
        </w:tc>
        <w:tc>
          <w:tcPr>
            <w:tcW w:w="268" w:type="pct"/>
            <w:tcBorders>
              <w:top w:val="nil"/>
              <w:left w:val="nil"/>
              <w:bottom w:val="single" w:color="auto" w:sz="4" w:space="0"/>
              <w:right w:val="single" w:color="auto" w:sz="4" w:space="0"/>
            </w:tcBorders>
            <w:shd w:val="clear" w:color="auto" w:fill="auto"/>
            <w:noWrap/>
            <w:vAlign w:val="center"/>
          </w:tcPr>
          <w:p w14:paraId="270BFA80">
            <w:pPr>
              <w:widowControl/>
              <w:jc w:val="center"/>
              <w:rPr>
                <w:sz w:val="15"/>
                <w:szCs w:val="15"/>
                <w:highlight w:val="none"/>
              </w:rPr>
            </w:pPr>
            <w:r>
              <w:rPr>
                <w:sz w:val="15"/>
                <w:szCs w:val="15"/>
                <w:highlight w:val="none"/>
              </w:rPr>
              <w:t>0.01</w:t>
            </w:r>
          </w:p>
        </w:tc>
      </w:tr>
      <w:tr w14:paraId="31EA498F">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3848A26E">
            <w:pPr>
              <w:widowControl/>
              <w:jc w:val="center"/>
              <w:rPr>
                <w:sz w:val="15"/>
                <w:szCs w:val="15"/>
                <w:highlight w:val="none"/>
              </w:rPr>
            </w:pPr>
            <w:r>
              <w:rPr>
                <w:sz w:val="15"/>
                <w:szCs w:val="15"/>
                <w:highlight w:val="none"/>
              </w:rPr>
              <w:t>2025.01.20</w:t>
            </w:r>
          </w:p>
        </w:tc>
        <w:tc>
          <w:tcPr>
            <w:tcW w:w="268" w:type="pct"/>
            <w:tcBorders>
              <w:top w:val="nil"/>
              <w:left w:val="nil"/>
              <w:bottom w:val="single" w:color="auto" w:sz="4" w:space="0"/>
              <w:right w:val="single" w:color="auto" w:sz="4" w:space="0"/>
            </w:tcBorders>
            <w:shd w:val="clear" w:color="auto" w:fill="auto"/>
            <w:noWrap/>
            <w:vAlign w:val="center"/>
          </w:tcPr>
          <w:p w14:paraId="558C351E">
            <w:pPr>
              <w:widowControl/>
              <w:jc w:val="center"/>
              <w:rPr>
                <w:sz w:val="15"/>
                <w:szCs w:val="15"/>
                <w:highlight w:val="none"/>
              </w:rPr>
            </w:pPr>
            <w:r>
              <w:rPr>
                <w:sz w:val="15"/>
                <w:szCs w:val="15"/>
                <w:highlight w:val="none"/>
              </w:rPr>
              <w:t>7.32</w:t>
            </w:r>
          </w:p>
        </w:tc>
        <w:tc>
          <w:tcPr>
            <w:tcW w:w="354" w:type="pct"/>
            <w:tcBorders>
              <w:top w:val="nil"/>
              <w:left w:val="nil"/>
              <w:bottom w:val="single" w:color="auto" w:sz="4" w:space="0"/>
              <w:right w:val="single" w:color="auto" w:sz="4" w:space="0"/>
            </w:tcBorders>
            <w:shd w:val="clear" w:color="auto" w:fill="auto"/>
            <w:noWrap/>
            <w:vAlign w:val="center"/>
          </w:tcPr>
          <w:p w14:paraId="7EDEB3F5">
            <w:pPr>
              <w:widowControl/>
              <w:jc w:val="center"/>
              <w:rPr>
                <w:sz w:val="15"/>
                <w:szCs w:val="15"/>
                <w:highlight w:val="none"/>
              </w:rPr>
            </w:pPr>
            <w:r>
              <w:rPr>
                <w:sz w:val="15"/>
                <w:szCs w:val="15"/>
                <w:highlight w:val="none"/>
              </w:rPr>
              <w:t>13.93</w:t>
            </w:r>
          </w:p>
        </w:tc>
        <w:tc>
          <w:tcPr>
            <w:tcW w:w="401" w:type="pct"/>
            <w:tcBorders>
              <w:top w:val="nil"/>
              <w:left w:val="nil"/>
              <w:bottom w:val="single" w:color="auto" w:sz="4" w:space="0"/>
              <w:right w:val="single" w:color="auto" w:sz="4" w:space="0"/>
            </w:tcBorders>
            <w:shd w:val="clear" w:color="auto" w:fill="auto"/>
            <w:noWrap/>
            <w:vAlign w:val="center"/>
          </w:tcPr>
          <w:p w14:paraId="40AACC11">
            <w:pPr>
              <w:widowControl/>
              <w:jc w:val="center"/>
              <w:rPr>
                <w:sz w:val="15"/>
                <w:szCs w:val="15"/>
                <w:highlight w:val="none"/>
              </w:rPr>
            </w:pPr>
            <w:r>
              <w:rPr>
                <w:sz w:val="15"/>
                <w:szCs w:val="15"/>
                <w:highlight w:val="none"/>
              </w:rPr>
              <w:t>1486</w:t>
            </w:r>
          </w:p>
        </w:tc>
        <w:tc>
          <w:tcPr>
            <w:tcW w:w="382" w:type="pct"/>
            <w:tcBorders>
              <w:top w:val="nil"/>
              <w:left w:val="nil"/>
              <w:bottom w:val="single" w:color="auto" w:sz="4" w:space="0"/>
              <w:right w:val="single" w:color="auto" w:sz="4" w:space="0"/>
            </w:tcBorders>
            <w:shd w:val="clear" w:color="auto" w:fill="auto"/>
            <w:noWrap/>
            <w:vAlign w:val="center"/>
          </w:tcPr>
          <w:p w14:paraId="736390FF">
            <w:pPr>
              <w:widowControl/>
              <w:jc w:val="center"/>
              <w:rPr>
                <w:sz w:val="15"/>
                <w:szCs w:val="15"/>
                <w:highlight w:val="none"/>
              </w:rPr>
            </w:pPr>
            <w:r>
              <w:rPr>
                <w:sz w:val="15"/>
                <w:szCs w:val="15"/>
                <w:highlight w:val="none"/>
              </w:rPr>
              <w:t>23.90</w:t>
            </w:r>
          </w:p>
        </w:tc>
        <w:tc>
          <w:tcPr>
            <w:tcW w:w="368" w:type="pct"/>
            <w:tcBorders>
              <w:top w:val="nil"/>
              <w:left w:val="nil"/>
              <w:bottom w:val="single" w:color="auto" w:sz="4" w:space="0"/>
              <w:right w:val="single" w:color="auto" w:sz="4" w:space="0"/>
            </w:tcBorders>
            <w:shd w:val="clear" w:color="auto" w:fill="auto"/>
            <w:noWrap/>
            <w:vAlign w:val="center"/>
          </w:tcPr>
          <w:p w14:paraId="4DBE8B42">
            <w:pPr>
              <w:widowControl/>
              <w:jc w:val="center"/>
              <w:rPr>
                <w:sz w:val="15"/>
                <w:szCs w:val="15"/>
                <w:highlight w:val="none"/>
              </w:rPr>
            </w:pPr>
            <w:r>
              <w:rPr>
                <w:sz w:val="15"/>
                <w:szCs w:val="15"/>
                <w:highlight w:val="none"/>
              </w:rPr>
              <w:t>17.45</w:t>
            </w:r>
          </w:p>
        </w:tc>
        <w:tc>
          <w:tcPr>
            <w:tcW w:w="368" w:type="pct"/>
            <w:tcBorders>
              <w:top w:val="nil"/>
              <w:left w:val="nil"/>
              <w:bottom w:val="single" w:color="auto" w:sz="4" w:space="0"/>
              <w:right w:val="single" w:color="auto" w:sz="4" w:space="0"/>
            </w:tcBorders>
            <w:shd w:val="clear" w:color="auto" w:fill="auto"/>
            <w:noWrap/>
            <w:vAlign w:val="center"/>
          </w:tcPr>
          <w:p w14:paraId="21F1504D">
            <w:pPr>
              <w:widowControl/>
              <w:jc w:val="center"/>
              <w:rPr>
                <w:sz w:val="15"/>
                <w:szCs w:val="15"/>
                <w:highlight w:val="none"/>
              </w:rPr>
            </w:pPr>
            <w:r>
              <w:rPr>
                <w:sz w:val="15"/>
                <w:szCs w:val="15"/>
                <w:highlight w:val="none"/>
              </w:rPr>
              <w:t>192.94</w:t>
            </w:r>
          </w:p>
        </w:tc>
        <w:tc>
          <w:tcPr>
            <w:tcW w:w="462" w:type="pct"/>
            <w:tcBorders>
              <w:top w:val="nil"/>
              <w:left w:val="nil"/>
              <w:bottom w:val="single" w:color="auto" w:sz="4" w:space="0"/>
              <w:right w:val="single" w:color="auto" w:sz="4" w:space="0"/>
            </w:tcBorders>
            <w:shd w:val="clear" w:color="auto" w:fill="auto"/>
            <w:noWrap/>
            <w:vAlign w:val="center"/>
          </w:tcPr>
          <w:p w14:paraId="41A24DF9">
            <w:pPr>
              <w:widowControl/>
              <w:jc w:val="center"/>
              <w:rPr>
                <w:sz w:val="15"/>
                <w:szCs w:val="15"/>
                <w:highlight w:val="none"/>
              </w:rPr>
            </w:pPr>
            <w:r>
              <w:rPr>
                <w:sz w:val="15"/>
                <w:szCs w:val="15"/>
                <w:highlight w:val="none"/>
              </w:rPr>
              <w:t>4.62</w:t>
            </w:r>
          </w:p>
        </w:tc>
        <w:tc>
          <w:tcPr>
            <w:tcW w:w="462" w:type="pct"/>
            <w:tcBorders>
              <w:top w:val="nil"/>
              <w:left w:val="nil"/>
              <w:bottom w:val="single" w:color="auto" w:sz="4" w:space="0"/>
              <w:right w:val="single" w:color="auto" w:sz="4" w:space="0"/>
            </w:tcBorders>
            <w:shd w:val="clear" w:color="auto" w:fill="auto"/>
            <w:noWrap/>
            <w:vAlign w:val="center"/>
          </w:tcPr>
          <w:p w14:paraId="0A96258C">
            <w:pPr>
              <w:widowControl/>
              <w:jc w:val="center"/>
              <w:rPr>
                <w:sz w:val="15"/>
                <w:szCs w:val="15"/>
                <w:highlight w:val="none"/>
              </w:rPr>
            </w:pPr>
            <w:r>
              <w:rPr>
                <w:sz w:val="15"/>
                <w:szCs w:val="15"/>
                <w:highlight w:val="none"/>
              </w:rPr>
              <w:t>5.65</w:t>
            </w:r>
          </w:p>
        </w:tc>
        <w:tc>
          <w:tcPr>
            <w:tcW w:w="368" w:type="pct"/>
            <w:tcBorders>
              <w:top w:val="nil"/>
              <w:left w:val="nil"/>
              <w:bottom w:val="single" w:color="auto" w:sz="4" w:space="0"/>
              <w:right w:val="single" w:color="auto" w:sz="4" w:space="0"/>
            </w:tcBorders>
            <w:shd w:val="clear" w:color="auto" w:fill="auto"/>
            <w:noWrap/>
            <w:vAlign w:val="center"/>
          </w:tcPr>
          <w:p w14:paraId="3D2B2867">
            <w:pPr>
              <w:widowControl/>
              <w:jc w:val="center"/>
              <w:rPr>
                <w:sz w:val="15"/>
                <w:szCs w:val="15"/>
                <w:highlight w:val="none"/>
              </w:rPr>
            </w:pPr>
            <w:r>
              <w:rPr>
                <w:sz w:val="15"/>
                <w:szCs w:val="15"/>
                <w:highlight w:val="none"/>
              </w:rPr>
              <w:t>0.42</w:t>
            </w:r>
          </w:p>
        </w:tc>
        <w:tc>
          <w:tcPr>
            <w:tcW w:w="368" w:type="pct"/>
            <w:tcBorders>
              <w:top w:val="nil"/>
              <w:left w:val="nil"/>
              <w:bottom w:val="single" w:color="auto" w:sz="4" w:space="0"/>
              <w:right w:val="single" w:color="auto" w:sz="4" w:space="0"/>
            </w:tcBorders>
            <w:shd w:val="clear" w:color="auto" w:fill="auto"/>
            <w:noWrap/>
            <w:vAlign w:val="center"/>
          </w:tcPr>
          <w:p w14:paraId="3BB9C844">
            <w:pPr>
              <w:widowControl/>
              <w:jc w:val="center"/>
              <w:rPr>
                <w:sz w:val="15"/>
                <w:szCs w:val="15"/>
                <w:highlight w:val="none"/>
              </w:rPr>
            </w:pPr>
            <w:r>
              <w:rPr>
                <w:sz w:val="15"/>
                <w:szCs w:val="15"/>
                <w:highlight w:val="none"/>
              </w:rPr>
              <w:t>0</w:t>
            </w:r>
          </w:p>
        </w:tc>
        <w:tc>
          <w:tcPr>
            <w:tcW w:w="425" w:type="pct"/>
            <w:tcBorders>
              <w:top w:val="nil"/>
              <w:left w:val="single" w:color="auto" w:sz="4" w:space="0"/>
              <w:bottom w:val="single" w:color="auto" w:sz="4" w:space="0"/>
              <w:right w:val="single" w:color="auto" w:sz="4" w:space="0"/>
            </w:tcBorders>
            <w:shd w:val="clear" w:color="auto" w:fill="auto"/>
            <w:noWrap/>
            <w:vAlign w:val="center"/>
          </w:tcPr>
          <w:p w14:paraId="6144B22A">
            <w:pPr>
              <w:widowControl/>
              <w:jc w:val="center"/>
              <w:rPr>
                <w:sz w:val="15"/>
                <w:szCs w:val="15"/>
                <w:highlight w:val="none"/>
              </w:rPr>
            </w:pPr>
            <w:r>
              <w:rPr>
                <w:sz w:val="15"/>
                <w:szCs w:val="15"/>
                <w:highlight w:val="none"/>
              </w:rPr>
              <w:t>30</w:t>
            </w:r>
          </w:p>
        </w:tc>
        <w:tc>
          <w:tcPr>
            <w:tcW w:w="268" w:type="pct"/>
            <w:tcBorders>
              <w:top w:val="nil"/>
              <w:left w:val="nil"/>
              <w:bottom w:val="single" w:color="auto" w:sz="4" w:space="0"/>
              <w:right w:val="single" w:color="auto" w:sz="4" w:space="0"/>
            </w:tcBorders>
            <w:shd w:val="clear" w:color="auto" w:fill="auto"/>
            <w:noWrap/>
            <w:vAlign w:val="center"/>
          </w:tcPr>
          <w:p w14:paraId="2373F0D1">
            <w:pPr>
              <w:widowControl/>
              <w:jc w:val="center"/>
              <w:rPr>
                <w:sz w:val="15"/>
                <w:szCs w:val="15"/>
                <w:highlight w:val="none"/>
              </w:rPr>
            </w:pPr>
            <w:r>
              <w:rPr>
                <w:sz w:val="15"/>
                <w:szCs w:val="15"/>
                <w:highlight w:val="none"/>
              </w:rPr>
              <w:t>/</w:t>
            </w:r>
          </w:p>
        </w:tc>
      </w:tr>
      <w:tr w14:paraId="289AE8C4">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0414BF4E">
            <w:pPr>
              <w:widowControl/>
              <w:jc w:val="center"/>
              <w:rPr>
                <w:sz w:val="15"/>
                <w:szCs w:val="15"/>
                <w:highlight w:val="none"/>
              </w:rPr>
            </w:pPr>
            <w:r>
              <w:rPr>
                <w:sz w:val="15"/>
                <w:szCs w:val="15"/>
                <w:highlight w:val="none"/>
              </w:rPr>
              <w:t>2025.02.02</w:t>
            </w:r>
          </w:p>
        </w:tc>
        <w:tc>
          <w:tcPr>
            <w:tcW w:w="268" w:type="pct"/>
            <w:tcBorders>
              <w:top w:val="nil"/>
              <w:left w:val="nil"/>
              <w:bottom w:val="single" w:color="auto" w:sz="4" w:space="0"/>
              <w:right w:val="single" w:color="auto" w:sz="4" w:space="0"/>
            </w:tcBorders>
            <w:shd w:val="clear" w:color="auto" w:fill="auto"/>
            <w:noWrap/>
            <w:vAlign w:val="center"/>
          </w:tcPr>
          <w:p w14:paraId="2AFBCA56">
            <w:pPr>
              <w:widowControl/>
              <w:jc w:val="center"/>
              <w:rPr>
                <w:sz w:val="15"/>
                <w:szCs w:val="15"/>
                <w:highlight w:val="none"/>
              </w:rPr>
            </w:pPr>
            <w:r>
              <w:rPr>
                <w:sz w:val="15"/>
                <w:szCs w:val="15"/>
                <w:highlight w:val="none"/>
              </w:rPr>
              <w:t>/</w:t>
            </w:r>
          </w:p>
        </w:tc>
        <w:tc>
          <w:tcPr>
            <w:tcW w:w="354" w:type="pct"/>
            <w:tcBorders>
              <w:top w:val="nil"/>
              <w:left w:val="nil"/>
              <w:bottom w:val="single" w:color="auto" w:sz="4" w:space="0"/>
              <w:right w:val="single" w:color="auto" w:sz="4" w:space="0"/>
            </w:tcBorders>
            <w:shd w:val="clear" w:color="auto" w:fill="auto"/>
            <w:noWrap/>
            <w:vAlign w:val="center"/>
          </w:tcPr>
          <w:p w14:paraId="188E0529">
            <w:pPr>
              <w:widowControl/>
              <w:jc w:val="center"/>
              <w:rPr>
                <w:sz w:val="15"/>
                <w:szCs w:val="15"/>
                <w:highlight w:val="none"/>
              </w:rPr>
            </w:pPr>
            <w:r>
              <w:rPr>
                <w:sz w:val="15"/>
                <w:szCs w:val="15"/>
                <w:highlight w:val="none"/>
              </w:rPr>
              <w:t>58.60</w:t>
            </w:r>
          </w:p>
        </w:tc>
        <w:tc>
          <w:tcPr>
            <w:tcW w:w="401" w:type="pct"/>
            <w:tcBorders>
              <w:top w:val="nil"/>
              <w:left w:val="nil"/>
              <w:bottom w:val="single" w:color="auto" w:sz="4" w:space="0"/>
              <w:right w:val="single" w:color="auto" w:sz="4" w:space="0"/>
            </w:tcBorders>
            <w:shd w:val="clear" w:color="auto" w:fill="auto"/>
            <w:noWrap/>
            <w:vAlign w:val="center"/>
          </w:tcPr>
          <w:p w14:paraId="1B68A70D">
            <w:pPr>
              <w:widowControl/>
              <w:jc w:val="center"/>
              <w:rPr>
                <w:sz w:val="15"/>
                <w:szCs w:val="15"/>
                <w:highlight w:val="none"/>
              </w:rPr>
            </w:pPr>
            <w:r>
              <w:rPr>
                <w:sz w:val="15"/>
                <w:szCs w:val="15"/>
                <w:highlight w:val="none"/>
              </w:rPr>
              <w:t>/</w:t>
            </w:r>
          </w:p>
        </w:tc>
        <w:tc>
          <w:tcPr>
            <w:tcW w:w="382" w:type="pct"/>
            <w:tcBorders>
              <w:top w:val="nil"/>
              <w:left w:val="nil"/>
              <w:bottom w:val="single" w:color="auto" w:sz="4" w:space="0"/>
              <w:right w:val="single" w:color="auto" w:sz="4" w:space="0"/>
            </w:tcBorders>
            <w:shd w:val="clear" w:color="auto" w:fill="auto"/>
            <w:noWrap/>
            <w:vAlign w:val="center"/>
          </w:tcPr>
          <w:p w14:paraId="18DD5732">
            <w:pPr>
              <w:widowControl/>
              <w:jc w:val="center"/>
              <w:rPr>
                <w:sz w:val="15"/>
                <w:szCs w:val="15"/>
                <w:highlight w:val="none"/>
              </w:rPr>
            </w:pPr>
            <w:r>
              <w:rPr>
                <w:sz w:val="15"/>
                <w:szCs w:val="15"/>
                <w:highlight w:val="none"/>
              </w:rPr>
              <w:t>52.00</w:t>
            </w:r>
          </w:p>
        </w:tc>
        <w:tc>
          <w:tcPr>
            <w:tcW w:w="368" w:type="pct"/>
            <w:tcBorders>
              <w:top w:val="nil"/>
              <w:left w:val="nil"/>
              <w:bottom w:val="single" w:color="auto" w:sz="4" w:space="0"/>
              <w:right w:val="single" w:color="auto" w:sz="4" w:space="0"/>
            </w:tcBorders>
            <w:shd w:val="clear" w:color="auto" w:fill="auto"/>
            <w:noWrap/>
            <w:vAlign w:val="center"/>
          </w:tcPr>
          <w:p w14:paraId="7E66D8DA">
            <w:pPr>
              <w:widowControl/>
              <w:jc w:val="center"/>
              <w:rPr>
                <w:sz w:val="15"/>
                <w:szCs w:val="15"/>
                <w:highlight w:val="none"/>
              </w:rPr>
            </w:pPr>
            <w:r>
              <w:rPr>
                <w:sz w:val="15"/>
                <w:szCs w:val="15"/>
                <w:highlight w:val="none"/>
              </w:rPr>
              <w:t>18.20</w:t>
            </w:r>
          </w:p>
        </w:tc>
        <w:tc>
          <w:tcPr>
            <w:tcW w:w="368" w:type="pct"/>
            <w:tcBorders>
              <w:top w:val="nil"/>
              <w:left w:val="nil"/>
              <w:bottom w:val="single" w:color="auto" w:sz="4" w:space="0"/>
              <w:right w:val="single" w:color="auto" w:sz="4" w:space="0"/>
            </w:tcBorders>
            <w:shd w:val="clear" w:color="auto" w:fill="auto"/>
            <w:noWrap/>
            <w:vAlign w:val="center"/>
          </w:tcPr>
          <w:p w14:paraId="4A9A0C2B">
            <w:pPr>
              <w:widowControl/>
              <w:jc w:val="center"/>
              <w:rPr>
                <w:sz w:val="15"/>
                <w:szCs w:val="15"/>
                <w:highlight w:val="none"/>
              </w:rPr>
            </w:pPr>
            <w:r>
              <w:rPr>
                <w:sz w:val="15"/>
                <w:szCs w:val="15"/>
                <w:highlight w:val="none"/>
              </w:rPr>
              <w:t>/</w:t>
            </w:r>
          </w:p>
        </w:tc>
        <w:tc>
          <w:tcPr>
            <w:tcW w:w="462" w:type="pct"/>
            <w:tcBorders>
              <w:top w:val="nil"/>
              <w:left w:val="nil"/>
              <w:bottom w:val="single" w:color="auto" w:sz="4" w:space="0"/>
              <w:right w:val="single" w:color="auto" w:sz="4" w:space="0"/>
            </w:tcBorders>
            <w:shd w:val="clear" w:color="auto" w:fill="auto"/>
            <w:noWrap/>
            <w:vAlign w:val="center"/>
          </w:tcPr>
          <w:p w14:paraId="12D1B9E5">
            <w:pPr>
              <w:widowControl/>
              <w:jc w:val="center"/>
              <w:rPr>
                <w:sz w:val="15"/>
                <w:szCs w:val="15"/>
                <w:highlight w:val="none"/>
              </w:rPr>
            </w:pPr>
            <w:r>
              <w:rPr>
                <w:sz w:val="15"/>
                <w:szCs w:val="15"/>
                <w:highlight w:val="none"/>
              </w:rPr>
              <w:t>/</w:t>
            </w:r>
          </w:p>
        </w:tc>
        <w:tc>
          <w:tcPr>
            <w:tcW w:w="462" w:type="pct"/>
            <w:tcBorders>
              <w:top w:val="nil"/>
              <w:left w:val="nil"/>
              <w:bottom w:val="single" w:color="auto" w:sz="4" w:space="0"/>
              <w:right w:val="single" w:color="auto" w:sz="4" w:space="0"/>
            </w:tcBorders>
            <w:shd w:val="clear" w:color="auto" w:fill="auto"/>
            <w:noWrap/>
            <w:vAlign w:val="center"/>
          </w:tcPr>
          <w:p w14:paraId="12D54BBA">
            <w:pPr>
              <w:widowControl/>
              <w:jc w:val="center"/>
              <w:rPr>
                <w:sz w:val="15"/>
                <w:szCs w:val="15"/>
                <w:highlight w:val="none"/>
              </w:rPr>
            </w:pPr>
            <w:r>
              <w:rPr>
                <w:sz w:val="15"/>
                <w:szCs w:val="15"/>
                <w:highlight w:val="none"/>
              </w:rPr>
              <w:t>/</w:t>
            </w:r>
          </w:p>
        </w:tc>
        <w:tc>
          <w:tcPr>
            <w:tcW w:w="368" w:type="pct"/>
            <w:tcBorders>
              <w:top w:val="nil"/>
              <w:left w:val="nil"/>
              <w:bottom w:val="single" w:color="auto" w:sz="4" w:space="0"/>
              <w:right w:val="single" w:color="auto" w:sz="4" w:space="0"/>
            </w:tcBorders>
            <w:shd w:val="clear" w:color="auto" w:fill="auto"/>
            <w:noWrap/>
            <w:vAlign w:val="center"/>
          </w:tcPr>
          <w:p w14:paraId="1BC6E7A1">
            <w:pPr>
              <w:widowControl/>
              <w:jc w:val="center"/>
              <w:rPr>
                <w:sz w:val="15"/>
                <w:szCs w:val="15"/>
                <w:highlight w:val="none"/>
              </w:rPr>
            </w:pPr>
            <w:r>
              <w:rPr>
                <w:sz w:val="15"/>
                <w:szCs w:val="15"/>
                <w:highlight w:val="none"/>
              </w:rPr>
              <w:t>/</w:t>
            </w:r>
          </w:p>
        </w:tc>
        <w:tc>
          <w:tcPr>
            <w:tcW w:w="368" w:type="pct"/>
            <w:tcBorders>
              <w:top w:val="nil"/>
              <w:left w:val="nil"/>
              <w:bottom w:val="single" w:color="auto" w:sz="4" w:space="0"/>
              <w:right w:val="single" w:color="auto" w:sz="4" w:space="0"/>
            </w:tcBorders>
            <w:shd w:val="clear" w:color="auto" w:fill="auto"/>
            <w:noWrap/>
            <w:vAlign w:val="center"/>
          </w:tcPr>
          <w:p w14:paraId="38B0C2C9">
            <w:pPr>
              <w:widowControl/>
              <w:jc w:val="center"/>
              <w:rPr>
                <w:sz w:val="15"/>
                <w:szCs w:val="15"/>
                <w:highlight w:val="none"/>
              </w:rPr>
            </w:pPr>
            <w:r>
              <w:rPr>
                <w:sz w:val="15"/>
                <w:szCs w:val="15"/>
                <w:highlight w:val="none"/>
              </w:rPr>
              <w:t>/</w:t>
            </w:r>
          </w:p>
        </w:tc>
        <w:tc>
          <w:tcPr>
            <w:tcW w:w="425" w:type="pct"/>
            <w:tcBorders>
              <w:top w:val="nil"/>
              <w:left w:val="single" w:color="auto" w:sz="4" w:space="0"/>
              <w:bottom w:val="single" w:color="auto" w:sz="4" w:space="0"/>
              <w:right w:val="single" w:color="auto" w:sz="4" w:space="0"/>
            </w:tcBorders>
            <w:shd w:val="clear" w:color="auto" w:fill="auto"/>
            <w:noWrap/>
            <w:vAlign w:val="center"/>
          </w:tcPr>
          <w:p w14:paraId="702D74CE">
            <w:pPr>
              <w:widowControl/>
              <w:jc w:val="center"/>
              <w:rPr>
                <w:sz w:val="15"/>
                <w:szCs w:val="15"/>
                <w:highlight w:val="none"/>
              </w:rPr>
            </w:pPr>
            <w:r>
              <w:rPr>
                <w:sz w:val="15"/>
                <w:szCs w:val="15"/>
                <w:highlight w:val="none"/>
              </w:rPr>
              <w:t>41</w:t>
            </w:r>
          </w:p>
        </w:tc>
        <w:tc>
          <w:tcPr>
            <w:tcW w:w="268" w:type="pct"/>
            <w:tcBorders>
              <w:top w:val="nil"/>
              <w:left w:val="nil"/>
              <w:bottom w:val="single" w:color="auto" w:sz="4" w:space="0"/>
              <w:right w:val="single" w:color="auto" w:sz="4" w:space="0"/>
            </w:tcBorders>
            <w:shd w:val="clear" w:color="auto" w:fill="auto"/>
            <w:noWrap/>
            <w:vAlign w:val="center"/>
          </w:tcPr>
          <w:p w14:paraId="1AE6F03C">
            <w:pPr>
              <w:widowControl/>
              <w:jc w:val="center"/>
              <w:rPr>
                <w:sz w:val="15"/>
                <w:szCs w:val="15"/>
                <w:highlight w:val="none"/>
              </w:rPr>
            </w:pPr>
            <w:r>
              <w:rPr>
                <w:sz w:val="15"/>
                <w:szCs w:val="15"/>
                <w:highlight w:val="none"/>
              </w:rPr>
              <w:t>/</w:t>
            </w:r>
          </w:p>
        </w:tc>
      </w:tr>
      <w:tr w14:paraId="7F2AB203">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59E07F2B">
            <w:pPr>
              <w:widowControl/>
              <w:jc w:val="center"/>
              <w:rPr>
                <w:sz w:val="15"/>
                <w:szCs w:val="15"/>
                <w:highlight w:val="none"/>
              </w:rPr>
            </w:pPr>
            <w:r>
              <w:rPr>
                <w:sz w:val="15"/>
                <w:szCs w:val="15"/>
                <w:highlight w:val="none"/>
              </w:rPr>
              <w:t>2025.02.05</w:t>
            </w:r>
          </w:p>
        </w:tc>
        <w:tc>
          <w:tcPr>
            <w:tcW w:w="268" w:type="pct"/>
            <w:tcBorders>
              <w:top w:val="nil"/>
              <w:left w:val="nil"/>
              <w:bottom w:val="single" w:color="auto" w:sz="4" w:space="0"/>
              <w:right w:val="single" w:color="auto" w:sz="4" w:space="0"/>
            </w:tcBorders>
            <w:shd w:val="clear" w:color="auto" w:fill="auto"/>
            <w:noWrap/>
            <w:vAlign w:val="center"/>
          </w:tcPr>
          <w:p w14:paraId="147B77E7">
            <w:pPr>
              <w:widowControl/>
              <w:jc w:val="center"/>
              <w:rPr>
                <w:sz w:val="15"/>
                <w:szCs w:val="15"/>
                <w:highlight w:val="none"/>
              </w:rPr>
            </w:pPr>
            <w:r>
              <w:rPr>
                <w:sz w:val="15"/>
                <w:szCs w:val="15"/>
                <w:highlight w:val="none"/>
              </w:rPr>
              <w:t>7.33</w:t>
            </w:r>
          </w:p>
        </w:tc>
        <w:tc>
          <w:tcPr>
            <w:tcW w:w="354" w:type="pct"/>
            <w:tcBorders>
              <w:top w:val="nil"/>
              <w:left w:val="nil"/>
              <w:bottom w:val="single" w:color="auto" w:sz="4" w:space="0"/>
              <w:right w:val="single" w:color="auto" w:sz="4" w:space="0"/>
            </w:tcBorders>
            <w:shd w:val="clear" w:color="auto" w:fill="auto"/>
            <w:noWrap/>
            <w:vAlign w:val="center"/>
          </w:tcPr>
          <w:p w14:paraId="5FB3A63E">
            <w:pPr>
              <w:widowControl/>
              <w:jc w:val="center"/>
              <w:rPr>
                <w:sz w:val="15"/>
                <w:szCs w:val="15"/>
                <w:highlight w:val="none"/>
              </w:rPr>
            </w:pPr>
            <w:r>
              <w:rPr>
                <w:sz w:val="15"/>
                <w:szCs w:val="15"/>
                <w:highlight w:val="none"/>
              </w:rPr>
              <w:t>18.90</w:t>
            </w:r>
          </w:p>
        </w:tc>
        <w:tc>
          <w:tcPr>
            <w:tcW w:w="401" w:type="pct"/>
            <w:tcBorders>
              <w:top w:val="nil"/>
              <w:left w:val="nil"/>
              <w:bottom w:val="single" w:color="auto" w:sz="4" w:space="0"/>
              <w:right w:val="single" w:color="auto" w:sz="4" w:space="0"/>
            </w:tcBorders>
            <w:shd w:val="clear" w:color="auto" w:fill="auto"/>
            <w:noWrap/>
            <w:vAlign w:val="center"/>
          </w:tcPr>
          <w:p w14:paraId="09FD83C0">
            <w:pPr>
              <w:widowControl/>
              <w:jc w:val="center"/>
              <w:rPr>
                <w:sz w:val="15"/>
                <w:szCs w:val="15"/>
                <w:highlight w:val="none"/>
              </w:rPr>
            </w:pPr>
            <w:r>
              <w:rPr>
                <w:sz w:val="15"/>
                <w:szCs w:val="15"/>
                <w:highlight w:val="none"/>
              </w:rPr>
              <w:t>1496</w:t>
            </w:r>
          </w:p>
        </w:tc>
        <w:tc>
          <w:tcPr>
            <w:tcW w:w="382" w:type="pct"/>
            <w:tcBorders>
              <w:top w:val="nil"/>
              <w:left w:val="nil"/>
              <w:bottom w:val="single" w:color="auto" w:sz="4" w:space="0"/>
              <w:right w:val="single" w:color="auto" w:sz="4" w:space="0"/>
            </w:tcBorders>
            <w:shd w:val="clear" w:color="auto" w:fill="auto"/>
            <w:noWrap/>
            <w:vAlign w:val="center"/>
          </w:tcPr>
          <w:p w14:paraId="5DB40D74">
            <w:pPr>
              <w:widowControl/>
              <w:jc w:val="center"/>
              <w:rPr>
                <w:sz w:val="15"/>
                <w:szCs w:val="15"/>
                <w:highlight w:val="none"/>
              </w:rPr>
            </w:pPr>
            <w:r>
              <w:rPr>
                <w:sz w:val="15"/>
                <w:szCs w:val="15"/>
                <w:highlight w:val="none"/>
              </w:rPr>
              <w:t>15.70</w:t>
            </w:r>
          </w:p>
        </w:tc>
        <w:tc>
          <w:tcPr>
            <w:tcW w:w="368" w:type="pct"/>
            <w:tcBorders>
              <w:top w:val="nil"/>
              <w:left w:val="nil"/>
              <w:bottom w:val="single" w:color="auto" w:sz="4" w:space="0"/>
              <w:right w:val="single" w:color="auto" w:sz="4" w:space="0"/>
            </w:tcBorders>
            <w:shd w:val="clear" w:color="auto" w:fill="auto"/>
            <w:noWrap/>
            <w:vAlign w:val="center"/>
          </w:tcPr>
          <w:p w14:paraId="5F74F787">
            <w:pPr>
              <w:widowControl/>
              <w:jc w:val="center"/>
              <w:rPr>
                <w:sz w:val="15"/>
                <w:szCs w:val="15"/>
                <w:highlight w:val="none"/>
              </w:rPr>
            </w:pPr>
            <w:r>
              <w:rPr>
                <w:sz w:val="15"/>
                <w:szCs w:val="15"/>
                <w:highlight w:val="none"/>
              </w:rPr>
              <w:t>15.70</w:t>
            </w:r>
          </w:p>
        </w:tc>
        <w:tc>
          <w:tcPr>
            <w:tcW w:w="368" w:type="pct"/>
            <w:tcBorders>
              <w:top w:val="nil"/>
              <w:left w:val="nil"/>
              <w:bottom w:val="single" w:color="auto" w:sz="4" w:space="0"/>
              <w:right w:val="single" w:color="auto" w:sz="4" w:space="0"/>
            </w:tcBorders>
            <w:shd w:val="clear" w:color="auto" w:fill="auto"/>
            <w:noWrap/>
            <w:vAlign w:val="center"/>
          </w:tcPr>
          <w:p w14:paraId="2548CE76">
            <w:pPr>
              <w:widowControl/>
              <w:jc w:val="center"/>
              <w:rPr>
                <w:sz w:val="15"/>
                <w:szCs w:val="15"/>
                <w:highlight w:val="none"/>
              </w:rPr>
            </w:pPr>
            <w:r>
              <w:rPr>
                <w:sz w:val="15"/>
                <w:szCs w:val="15"/>
                <w:highlight w:val="none"/>
              </w:rPr>
              <w:t>223.95</w:t>
            </w:r>
          </w:p>
        </w:tc>
        <w:tc>
          <w:tcPr>
            <w:tcW w:w="462" w:type="pct"/>
            <w:tcBorders>
              <w:top w:val="nil"/>
              <w:left w:val="nil"/>
              <w:bottom w:val="single" w:color="auto" w:sz="4" w:space="0"/>
              <w:right w:val="single" w:color="auto" w:sz="4" w:space="0"/>
            </w:tcBorders>
            <w:shd w:val="clear" w:color="auto" w:fill="auto"/>
            <w:noWrap/>
            <w:vAlign w:val="center"/>
          </w:tcPr>
          <w:p w14:paraId="7525453A">
            <w:pPr>
              <w:widowControl/>
              <w:jc w:val="center"/>
              <w:rPr>
                <w:sz w:val="15"/>
                <w:szCs w:val="15"/>
                <w:highlight w:val="none"/>
              </w:rPr>
            </w:pPr>
            <w:r>
              <w:rPr>
                <w:sz w:val="15"/>
                <w:szCs w:val="15"/>
                <w:highlight w:val="none"/>
              </w:rPr>
              <w:t>4.52</w:t>
            </w:r>
          </w:p>
        </w:tc>
        <w:tc>
          <w:tcPr>
            <w:tcW w:w="462" w:type="pct"/>
            <w:tcBorders>
              <w:top w:val="nil"/>
              <w:left w:val="nil"/>
              <w:bottom w:val="single" w:color="auto" w:sz="4" w:space="0"/>
              <w:right w:val="single" w:color="auto" w:sz="4" w:space="0"/>
            </w:tcBorders>
            <w:shd w:val="clear" w:color="auto" w:fill="auto"/>
            <w:noWrap/>
            <w:vAlign w:val="center"/>
          </w:tcPr>
          <w:p w14:paraId="31DDC366">
            <w:pPr>
              <w:widowControl/>
              <w:jc w:val="center"/>
              <w:rPr>
                <w:sz w:val="15"/>
                <w:szCs w:val="15"/>
                <w:highlight w:val="none"/>
              </w:rPr>
            </w:pPr>
            <w:r>
              <w:rPr>
                <w:sz w:val="15"/>
                <w:szCs w:val="15"/>
                <w:highlight w:val="none"/>
              </w:rPr>
              <w:t>5.45</w:t>
            </w:r>
          </w:p>
        </w:tc>
        <w:tc>
          <w:tcPr>
            <w:tcW w:w="36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39DE750">
            <w:pPr>
              <w:widowControl/>
              <w:jc w:val="center"/>
              <w:rPr>
                <w:sz w:val="15"/>
                <w:szCs w:val="15"/>
                <w:highlight w:val="none"/>
              </w:rPr>
            </w:pPr>
            <w:r>
              <w:rPr>
                <w:sz w:val="15"/>
                <w:szCs w:val="15"/>
                <w:highlight w:val="none"/>
              </w:rPr>
              <w:t>0.69</w:t>
            </w:r>
          </w:p>
        </w:tc>
        <w:tc>
          <w:tcPr>
            <w:tcW w:w="368" w:type="pct"/>
            <w:tcBorders>
              <w:top w:val="nil"/>
              <w:left w:val="nil"/>
              <w:bottom w:val="single" w:color="auto" w:sz="4" w:space="0"/>
              <w:right w:val="single" w:color="auto" w:sz="4" w:space="0"/>
            </w:tcBorders>
            <w:shd w:val="clear" w:color="auto" w:fill="auto"/>
            <w:noWrap/>
            <w:vAlign w:val="center"/>
          </w:tcPr>
          <w:p w14:paraId="7BBFB7EF">
            <w:pPr>
              <w:widowControl/>
              <w:jc w:val="center"/>
              <w:rPr>
                <w:sz w:val="15"/>
                <w:szCs w:val="15"/>
                <w:highlight w:val="none"/>
              </w:rPr>
            </w:pPr>
            <w:r>
              <w:rPr>
                <w:sz w:val="15"/>
                <w:szCs w:val="15"/>
                <w:highlight w:val="none"/>
              </w:rPr>
              <w:t>0</w:t>
            </w:r>
          </w:p>
        </w:tc>
        <w:tc>
          <w:tcPr>
            <w:tcW w:w="425" w:type="pct"/>
            <w:tcBorders>
              <w:top w:val="nil"/>
              <w:left w:val="single" w:color="auto" w:sz="4" w:space="0"/>
              <w:bottom w:val="single" w:color="auto" w:sz="4" w:space="0"/>
              <w:right w:val="single" w:color="auto" w:sz="4" w:space="0"/>
            </w:tcBorders>
            <w:shd w:val="clear" w:color="auto" w:fill="auto"/>
            <w:noWrap/>
            <w:vAlign w:val="center"/>
          </w:tcPr>
          <w:p w14:paraId="05003DCB">
            <w:pPr>
              <w:widowControl/>
              <w:jc w:val="center"/>
              <w:rPr>
                <w:sz w:val="15"/>
                <w:szCs w:val="15"/>
                <w:highlight w:val="none"/>
              </w:rPr>
            </w:pPr>
            <w:r>
              <w:rPr>
                <w:sz w:val="15"/>
                <w:szCs w:val="15"/>
                <w:highlight w:val="none"/>
              </w:rPr>
              <w:t>38</w:t>
            </w:r>
          </w:p>
        </w:tc>
        <w:tc>
          <w:tcPr>
            <w:tcW w:w="268" w:type="pct"/>
            <w:tcBorders>
              <w:top w:val="nil"/>
              <w:left w:val="nil"/>
              <w:bottom w:val="single" w:color="auto" w:sz="4" w:space="0"/>
              <w:right w:val="single" w:color="auto" w:sz="4" w:space="0"/>
            </w:tcBorders>
            <w:shd w:val="clear" w:color="auto" w:fill="auto"/>
            <w:noWrap/>
            <w:vAlign w:val="center"/>
          </w:tcPr>
          <w:p w14:paraId="754F52DC">
            <w:pPr>
              <w:widowControl/>
              <w:jc w:val="center"/>
              <w:rPr>
                <w:sz w:val="15"/>
                <w:szCs w:val="15"/>
                <w:highlight w:val="none"/>
              </w:rPr>
            </w:pPr>
            <w:r>
              <w:rPr>
                <w:sz w:val="15"/>
                <w:szCs w:val="15"/>
                <w:highlight w:val="none"/>
              </w:rPr>
              <w:t>/</w:t>
            </w:r>
          </w:p>
        </w:tc>
      </w:tr>
      <w:tr w14:paraId="747AA0D1">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23FC131B">
            <w:pPr>
              <w:widowControl/>
              <w:jc w:val="center"/>
              <w:rPr>
                <w:sz w:val="15"/>
                <w:szCs w:val="15"/>
                <w:highlight w:val="none"/>
              </w:rPr>
            </w:pPr>
            <w:r>
              <w:rPr>
                <w:sz w:val="15"/>
                <w:szCs w:val="15"/>
                <w:highlight w:val="none"/>
              </w:rPr>
              <w:t>2025.02.13</w:t>
            </w:r>
          </w:p>
        </w:tc>
        <w:tc>
          <w:tcPr>
            <w:tcW w:w="268" w:type="pct"/>
            <w:tcBorders>
              <w:top w:val="nil"/>
              <w:left w:val="nil"/>
              <w:bottom w:val="single" w:color="auto" w:sz="4" w:space="0"/>
              <w:right w:val="single" w:color="auto" w:sz="4" w:space="0"/>
            </w:tcBorders>
            <w:shd w:val="clear" w:color="auto" w:fill="auto"/>
            <w:noWrap/>
            <w:vAlign w:val="center"/>
          </w:tcPr>
          <w:p w14:paraId="1875A995">
            <w:pPr>
              <w:widowControl/>
              <w:jc w:val="center"/>
              <w:rPr>
                <w:sz w:val="15"/>
                <w:szCs w:val="15"/>
                <w:highlight w:val="none"/>
              </w:rPr>
            </w:pPr>
            <w:r>
              <w:rPr>
                <w:sz w:val="15"/>
                <w:szCs w:val="15"/>
                <w:highlight w:val="none"/>
              </w:rPr>
              <w:t>7.27</w:t>
            </w:r>
          </w:p>
        </w:tc>
        <w:tc>
          <w:tcPr>
            <w:tcW w:w="354" w:type="pct"/>
            <w:tcBorders>
              <w:top w:val="nil"/>
              <w:left w:val="nil"/>
              <w:bottom w:val="single" w:color="auto" w:sz="4" w:space="0"/>
              <w:right w:val="single" w:color="auto" w:sz="4" w:space="0"/>
            </w:tcBorders>
            <w:shd w:val="clear" w:color="auto" w:fill="auto"/>
            <w:noWrap/>
            <w:vAlign w:val="center"/>
          </w:tcPr>
          <w:p w14:paraId="74F78A80">
            <w:pPr>
              <w:widowControl/>
              <w:jc w:val="center"/>
              <w:rPr>
                <w:sz w:val="15"/>
                <w:szCs w:val="15"/>
                <w:highlight w:val="none"/>
              </w:rPr>
            </w:pPr>
            <w:r>
              <w:rPr>
                <w:sz w:val="15"/>
                <w:szCs w:val="15"/>
                <w:highlight w:val="none"/>
              </w:rPr>
              <w:t>12.30</w:t>
            </w:r>
          </w:p>
        </w:tc>
        <w:tc>
          <w:tcPr>
            <w:tcW w:w="401" w:type="pct"/>
            <w:tcBorders>
              <w:top w:val="nil"/>
              <w:left w:val="nil"/>
              <w:bottom w:val="single" w:color="auto" w:sz="4" w:space="0"/>
              <w:right w:val="single" w:color="auto" w:sz="4" w:space="0"/>
            </w:tcBorders>
            <w:shd w:val="clear" w:color="auto" w:fill="auto"/>
            <w:noWrap/>
            <w:vAlign w:val="center"/>
          </w:tcPr>
          <w:p w14:paraId="57893461">
            <w:pPr>
              <w:widowControl/>
              <w:jc w:val="center"/>
              <w:rPr>
                <w:sz w:val="15"/>
                <w:szCs w:val="15"/>
                <w:highlight w:val="none"/>
              </w:rPr>
            </w:pPr>
            <w:r>
              <w:rPr>
                <w:sz w:val="15"/>
                <w:szCs w:val="15"/>
                <w:highlight w:val="none"/>
              </w:rPr>
              <w:t>1481</w:t>
            </w:r>
          </w:p>
        </w:tc>
        <w:tc>
          <w:tcPr>
            <w:tcW w:w="382" w:type="pct"/>
            <w:tcBorders>
              <w:top w:val="nil"/>
              <w:left w:val="nil"/>
              <w:bottom w:val="single" w:color="auto" w:sz="4" w:space="0"/>
              <w:right w:val="single" w:color="auto" w:sz="4" w:space="0"/>
            </w:tcBorders>
            <w:shd w:val="clear" w:color="auto" w:fill="auto"/>
            <w:noWrap/>
            <w:vAlign w:val="center"/>
          </w:tcPr>
          <w:p w14:paraId="45AB4C06">
            <w:pPr>
              <w:widowControl/>
              <w:jc w:val="center"/>
              <w:rPr>
                <w:sz w:val="15"/>
                <w:szCs w:val="15"/>
                <w:highlight w:val="none"/>
              </w:rPr>
            </w:pPr>
            <w:r>
              <w:rPr>
                <w:sz w:val="15"/>
                <w:szCs w:val="15"/>
                <w:highlight w:val="none"/>
              </w:rPr>
              <w:t>35.20</w:t>
            </w:r>
          </w:p>
        </w:tc>
        <w:tc>
          <w:tcPr>
            <w:tcW w:w="368" w:type="pct"/>
            <w:tcBorders>
              <w:top w:val="nil"/>
              <w:left w:val="nil"/>
              <w:bottom w:val="single" w:color="auto" w:sz="4" w:space="0"/>
              <w:right w:val="single" w:color="auto" w:sz="4" w:space="0"/>
            </w:tcBorders>
            <w:shd w:val="clear" w:color="auto" w:fill="auto"/>
            <w:noWrap/>
            <w:vAlign w:val="center"/>
          </w:tcPr>
          <w:p w14:paraId="57905367">
            <w:pPr>
              <w:widowControl/>
              <w:jc w:val="center"/>
              <w:rPr>
                <w:sz w:val="15"/>
                <w:szCs w:val="15"/>
                <w:highlight w:val="none"/>
              </w:rPr>
            </w:pPr>
            <w:r>
              <w:rPr>
                <w:sz w:val="15"/>
                <w:szCs w:val="15"/>
                <w:highlight w:val="none"/>
              </w:rPr>
              <w:t>13.30</w:t>
            </w:r>
          </w:p>
        </w:tc>
        <w:tc>
          <w:tcPr>
            <w:tcW w:w="368" w:type="pct"/>
            <w:tcBorders>
              <w:top w:val="nil"/>
              <w:left w:val="nil"/>
              <w:bottom w:val="single" w:color="auto" w:sz="4" w:space="0"/>
              <w:right w:val="single" w:color="auto" w:sz="4" w:space="0"/>
            </w:tcBorders>
            <w:shd w:val="clear" w:color="auto" w:fill="auto"/>
            <w:noWrap/>
            <w:vAlign w:val="center"/>
          </w:tcPr>
          <w:p w14:paraId="56DC6C5C">
            <w:pPr>
              <w:widowControl/>
              <w:jc w:val="center"/>
              <w:rPr>
                <w:sz w:val="15"/>
                <w:szCs w:val="15"/>
                <w:highlight w:val="none"/>
              </w:rPr>
            </w:pPr>
            <w:r>
              <w:rPr>
                <w:sz w:val="15"/>
                <w:szCs w:val="15"/>
                <w:highlight w:val="none"/>
              </w:rPr>
              <w:t>191.56</w:t>
            </w:r>
          </w:p>
        </w:tc>
        <w:tc>
          <w:tcPr>
            <w:tcW w:w="462" w:type="pct"/>
            <w:tcBorders>
              <w:top w:val="nil"/>
              <w:left w:val="nil"/>
              <w:bottom w:val="single" w:color="auto" w:sz="4" w:space="0"/>
              <w:right w:val="single" w:color="auto" w:sz="4" w:space="0"/>
            </w:tcBorders>
            <w:shd w:val="clear" w:color="auto" w:fill="auto"/>
            <w:noWrap/>
            <w:vAlign w:val="center"/>
          </w:tcPr>
          <w:p w14:paraId="6135EC5F">
            <w:pPr>
              <w:widowControl/>
              <w:jc w:val="center"/>
              <w:rPr>
                <w:sz w:val="15"/>
                <w:szCs w:val="15"/>
                <w:highlight w:val="none"/>
              </w:rPr>
            </w:pPr>
            <w:r>
              <w:rPr>
                <w:sz w:val="15"/>
                <w:szCs w:val="15"/>
                <w:highlight w:val="none"/>
              </w:rPr>
              <w:t>4.32</w:t>
            </w:r>
          </w:p>
        </w:tc>
        <w:tc>
          <w:tcPr>
            <w:tcW w:w="462" w:type="pct"/>
            <w:tcBorders>
              <w:top w:val="nil"/>
              <w:left w:val="nil"/>
              <w:bottom w:val="single" w:color="auto" w:sz="4" w:space="0"/>
              <w:right w:val="single" w:color="auto" w:sz="4" w:space="0"/>
            </w:tcBorders>
            <w:shd w:val="clear" w:color="auto" w:fill="auto"/>
            <w:noWrap/>
            <w:vAlign w:val="center"/>
          </w:tcPr>
          <w:p w14:paraId="6CB9E861">
            <w:pPr>
              <w:widowControl/>
              <w:jc w:val="center"/>
              <w:rPr>
                <w:sz w:val="15"/>
                <w:szCs w:val="15"/>
                <w:highlight w:val="none"/>
              </w:rPr>
            </w:pPr>
            <w:r>
              <w:rPr>
                <w:sz w:val="15"/>
                <w:szCs w:val="15"/>
                <w:highlight w:val="none"/>
              </w:rPr>
              <w:t>5.45</w:t>
            </w:r>
          </w:p>
        </w:tc>
        <w:tc>
          <w:tcPr>
            <w:tcW w:w="36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314B259">
            <w:pPr>
              <w:widowControl/>
              <w:jc w:val="center"/>
              <w:rPr>
                <w:sz w:val="15"/>
                <w:szCs w:val="15"/>
                <w:highlight w:val="none"/>
              </w:rPr>
            </w:pPr>
            <w:r>
              <w:rPr>
                <w:sz w:val="15"/>
                <w:szCs w:val="15"/>
                <w:highlight w:val="none"/>
              </w:rPr>
              <w:t>0.71</w:t>
            </w:r>
          </w:p>
        </w:tc>
        <w:tc>
          <w:tcPr>
            <w:tcW w:w="368" w:type="pct"/>
            <w:tcBorders>
              <w:top w:val="nil"/>
              <w:left w:val="nil"/>
              <w:bottom w:val="single" w:color="auto" w:sz="4" w:space="0"/>
              <w:right w:val="single" w:color="auto" w:sz="4" w:space="0"/>
            </w:tcBorders>
            <w:shd w:val="clear" w:color="auto" w:fill="auto"/>
            <w:noWrap/>
            <w:vAlign w:val="center"/>
          </w:tcPr>
          <w:p w14:paraId="3C0AC365">
            <w:pPr>
              <w:widowControl/>
              <w:jc w:val="center"/>
              <w:rPr>
                <w:sz w:val="15"/>
                <w:szCs w:val="15"/>
                <w:highlight w:val="none"/>
              </w:rPr>
            </w:pPr>
            <w:r>
              <w:rPr>
                <w:sz w:val="15"/>
                <w:szCs w:val="15"/>
                <w:highlight w:val="none"/>
              </w:rPr>
              <w:t>0</w:t>
            </w:r>
          </w:p>
        </w:tc>
        <w:tc>
          <w:tcPr>
            <w:tcW w:w="425" w:type="pct"/>
            <w:tcBorders>
              <w:top w:val="nil"/>
              <w:left w:val="nil"/>
              <w:bottom w:val="single" w:color="auto" w:sz="4" w:space="0"/>
              <w:right w:val="single" w:color="auto" w:sz="4" w:space="0"/>
            </w:tcBorders>
            <w:shd w:val="clear" w:color="auto" w:fill="auto"/>
            <w:noWrap/>
            <w:vAlign w:val="center"/>
          </w:tcPr>
          <w:p w14:paraId="03F6C2FA">
            <w:pPr>
              <w:widowControl/>
              <w:jc w:val="center"/>
              <w:rPr>
                <w:sz w:val="15"/>
                <w:szCs w:val="15"/>
                <w:highlight w:val="none"/>
              </w:rPr>
            </w:pPr>
            <w:r>
              <w:rPr>
                <w:sz w:val="15"/>
                <w:szCs w:val="15"/>
                <w:highlight w:val="none"/>
              </w:rPr>
              <w:t>/</w:t>
            </w:r>
          </w:p>
        </w:tc>
        <w:tc>
          <w:tcPr>
            <w:tcW w:w="268" w:type="pct"/>
            <w:tcBorders>
              <w:top w:val="nil"/>
              <w:left w:val="nil"/>
              <w:bottom w:val="single" w:color="auto" w:sz="4" w:space="0"/>
              <w:right w:val="single" w:color="auto" w:sz="4" w:space="0"/>
            </w:tcBorders>
            <w:shd w:val="clear" w:color="auto" w:fill="auto"/>
            <w:noWrap/>
            <w:vAlign w:val="center"/>
          </w:tcPr>
          <w:p w14:paraId="2CA296A9">
            <w:pPr>
              <w:widowControl/>
              <w:jc w:val="center"/>
              <w:rPr>
                <w:sz w:val="15"/>
                <w:szCs w:val="15"/>
                <w:highlight w:val="none"/>
              </w:rPr>
            </w:pPr>
            <w:r>
              <w:rPr>
                <w:sz w:val="15"/>
                <w:szCs w:val="15"/>
                <w:highlight w:val="none"/>
              </w:rPr>
              <w:t>/</w:t>
            </w:r>
          </w:p>
        </w:tc>
      </w:tr>
      <w:tr w14:paraId="27DD627B">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1F786073">
            <w:pPr>
              <w:widowControl/>
              <w:jc w:val="center"/>
              <w:rPr>
                <w:sz w:val="15"/>
                <w:szCs w:val="15"/>
                <w:highlight w:val="none"/>
              </w:rPr>
            </w:pPr>
            <w:r>
              <w:rPr>
                <w:sz w:val="15"/>
                <w:szCs w:val="15"/>
                <w:highlight w:val="none"/>
              </w:rPr>
              <w:t>2025.02.14</w:t>
            </w:r>
          </w:p>
        </w:tc>
        <w:tc>
          <w:tcPr>
            <w:tcW w:w="268" w:type="pct"/>
            <w:tcBorders>
              <w:top w:val="nil"/>
              <w:left w:val="nil"/>
              <w:bottom w:val="single" w:color="auto" w:sz="4" w:space="0"/>
              <w:right w:val="single" w:color="auto" w:sz="4" w:space="0"/>
            </w:tcBorders>
            <w:shd w:val="clear" w:color="auto" w:fill="auto"/>
            <w:noWrap/>
            <w:vAlign w:val="center"/>
          </w:tcPr>
          <w:p w14:paraId="6818CC41">
            <w:pPr>
              <w:widowControl/>
              <w:jc w:val="center"/>
              <w:rPr>
                <w:sz w:val="15"/>
                <w:szCs w:val="15"/>
                <w:highlight w:val="none"/>
              </w:rPr>
            </w:pPr>
            <w:r>
              <w:rPr>
                <w:sz w:val="15"/>
                <w:szCs w:val="15"/>
                <w:highlight w:val="none"/>
              </w:rPr>
              <w:t>/</w:t>
            </w:r>
          </w:p>
        </w:tc>
        <w:tc>
          <w:tcPr>
            <w:tcW w:w="354" w:type="pct"/>
            <w:tcBorders>
              <w:top w:val="nil"/>
              <w:left w:val="nil"/>
              <w:bottom w:val="single" w:color="auto" w:sz="4" w:space="0"/>
              <w:right w:val="single" w:color="auto" w:sz="4" w:space="0"/>
            </w:tcBorders>
            <w:shd w:val="clear" w:color="auto" w:fill="auto"/>
            <w:noWrap/>
            <w:vAlign w:val="center"/>
          </w:tcPr>
          <w:p w14:paraId="1A60C776">
            <w:pPr>
              <w:widowControl/>
              <w:jc w:val="center"/>
              <w:rPr>
                <w:sz w:val="15"/>
                <w:szCs w:val="15"/>
                <w:highlight w:val="none"/>
              </w:rPr>
            </w:pPr>
            <w:r>
              <w:rPr>
                <w:sz w:val="15"/>
                <w:szCs w:val="15"/>
                <w:highlight w:val="none"/>
              </w:rPr>
              <w:t>6.34</w:t>
            </w:r>
          </w:p>
        </w:tc>
        <w:tc>
          <w:tcPr>
            <w:tcW w:w="401" w:type="pct"/>
            <w:tcBorders>
              <w:top w:val="nil"/>
              <w:left w:val="nil"/>
              <w:bottom w:val="single" w:color="auto" w:sz="4" w:space="0"/>
              <w:right w:val="single" w:color="auto" w:sz="4" w:space="0"/>
            </w:tcBorders>
            <w:shd w:val="clear" w:color="auto" w:fill="auto"/>
            <w:noWrap/>
            <w:vAlign w:val="center"/>
          </w:tcPr>
          <w:p w14:paraId="0DD0B849">
            <w:pPr>
              <w:widowControl/>
              <w:jc w:val="center"/>
              <w:rPr>
                <w:sz w:val="15"/>
                <w:szCs w:val="15"/>
                <w:highlight w:val="none"/>
              </w:rPr>
            </w:pPr>
            <w:r>
              <w:rPr>
                <w:sz w:val="15"/>
                <w:szCs w:val="15"/>
                <w:highlight w:val="none"/>
              </w:rPr>
              <w:t>/</w:t>
            </w:r>
          </w:p>
        </w:tc>
        <w:tc>
          <w:tcPr>
            <w:tcW w:w="382" w:type="pct"/>
            <w:tcBorders>
              <w:top w:val="nil"/>
              <w:left w:val="nil"/>
              <w:bottom w:val="single" w:color="auto" w:sz="4" w:space="0"/>
              <w:right w:val="single" w:color="auto" w:sz="4" w:space="0"/>
            </w:tcBorders>
            <w:shd w:val="clear" w:color="auto" w:fill="auto"/>
            <w:noWrap/>
            <w:vAlign w:val="center"/>
          </w:tcPr>
          <w:p w14:paraId="1B3A87C3">
            <w:pPr>
              <w:widowControl/>
              <w:jc w:val="center"/>
              <w:rPr>
                <w:sz w:val="15"/>
                <w:szCs w:val="15"/>
                <w:highlight w:val="none"/>
              </w:rPr>
            </w:pPr>
            <w:r>
              <w:rPr>
                <w:sz w:val="15"/>
                <w:szCs w:val="15"/>
                <w:highlight w:val="none"/>
              </w:rPr>
              <w:t>23.90</w:t>
            </w:r>
          </w:p>
        </w:tc>
        <w:tc>
          <w:tcPr>
            <w:tcW w:w="368" w:type="pct"/>
            <w:tcBorders>
              <w:top w:val="nil"/>
              <w:left w:val="nil"/>
              <w:bottom w:val="single" w:color="auto" w:sz="4" w:space="0"/>
              <w:right w:val="single" w:color="auto" w:sz="4" w:space="0"/>
            </w:tcBorders>
            <w:shd w:val="clear" w:color="auto" w:fill="auto"/>
            <w:noWrap/>
            <w:vAlign w:val="center"/>
          </w:tcPr>
          <w:p w14:paraId="2F770301">
            <w:pPr>
              <w:widowControl/>
              <w:jc w:val="center"/>
              <w:rPr>
                <w:sz w:val="15"/>
                <w:szCs w:val="15"/>
                <w:highlight w:val="none"/>
              </w:rPr>
            </w:pPr>
            <w:r>
              <w:rPr>
                <w:sz w:val="15"/>
                <w:szCs w:val="15"/>
                <w:highlight w:val="none"/>
              </w:rPr>
              <w:t>/</w:t>
            </w:r>
          </w:p>
        </w:tc>
        <w:tc>
          <w:tcPr>
            <w:tcW w:w="368" w:type="pct"/>
            <w:tcBorders>
              <w:top w:val="nil"/>
              <w:left w:val="nil"/>
              <w:bottom w:val="single" w:color="auto" w:sz="4" w:space="0"/>
              <w:right w:val="single" w:color="auto" w:sz="4" w:space="0"/>
            </w:tcBorders>
            <w:shd w:val="clear" w:color="auto" w:fill="auto"/>
            <w:noWrap/>
            <w:vAlign w:val="center"/>
          </w:tcPr>
          <w:p w14:paraId="03BB1BED">
            <w:pPr>
              <w:widowControl/>
              <w:jc w:val="center"/>
              <w:rPr>
                <w:sz w:val="15"/>
                <w:szCs w:val="15"/>
                <w:highlight w:val="none"/>
              </w:rPr>
            </w:pPr>
            <w:r>
              <w:rPr>
                <w:sz w:val="15"/>
                <w:szCs w:val="15"/>
                <w:highlight w:val="none"/>
              </w:rPr>
              <w:t>/</w:t>
            </w:r>
          </w:p>
        </w:tc>
        <w:tc>
          <w:tcPr>
            <w:tcW w:w="462" w:type="pct"/>
            <w:tcBorders>
              <w:top w:val="nil"/>
              <w:left w:val="nil"/>
              <w:bottom w:val="single" w:color="auto" w:sz="4" w:space="0"/>
              <w:right w:val="single" w:color="auto" w:sz="4" w:space="0"/>
            </w:tcBorders>
            <w:shd w:val="clear" w:color="auto" w:fill="auto"/>
            <w:noWrap/>
            <w:vAlign w:val="center"/>
          </w:tcPr>
          <w:p w14:paraId="3C2B0F6A">
            <w:pPr>
              <w:widowControl/>
              <w:jc w:val="center"/>
              <w:rPr>
                <w:sz w:val="15"/>
                <w:szCs w:val="15"/>
                <w:highlight w:val="none"/>
              </w:rPr>
            </w:pPr>
            <w:r>
              <w:rPr>
                <w:sz w:val="15"/>
                <w:szCs w:val="15"/>
                <w:highlight w:val="none"/>
              </w:rPr>
              <w:t>/</w:t>
            </w:r>
          </w:p>
        </w:tc>
        <w:tc>
          <w:tcPr>
            <w:tcW w:w="462" w:type="pct"/>
            <w:tcBorders>
              <w:top w:val="nil"/>
              <w:left w:val="nil"/>
              <w:bottom w:val="single" w:color="auto" w:sz="4" w:space="0"/>
              <w:right w:val="single" w:color="auto" w:sz="4" w:space="0"/>
            </w:tcBorders>
            <w:shd w:val="clear" w:color="auto" w:fill="auto"/>
            <w:noWrap/>
            <w:vAlign w:val="center"/>
          </w:tcPr>
          <w:p w14:paraId="5AFB37D0">
            <w:pPr>
              <w:widowControl/>
              <w:jc w:val="center"/>
              <w:rPr>
                <w:sz w:val="15"/>
                <w:szCs w:val="15"/>
                <w:highlight w:val="none"/>
              </w:rPr>
            </w:pPr>
            <w:r>
              <w:rPr>
                <w:sz w:val="15"/>
                <w:szCs w:val="15"/>
                <w:highlight w:val="none"/>
              </w:rPr>
              <w:t>/</w:t>
            </w:r>
          </w:p>
        </w:tc>
        <w:tc>
          <w:tcPr>
            <w:tcW w:w="368" w:type="pct"/>
            <w:tcBorders>
              <w:top w:val="nil"/>
              <w:left w:val="nil"/>
              <w:bottom w:val="single" w:color="auto" w:sz="4" w:space="0"/>
              <w:right w:val="single" w:color="auto" w:sz="4" w:space="0"/>
            </w:tcBorders>
            <w:shd w:val="clear" w:color="auto" w:fill="auto"/>
            <w:noWrap/>
            <w:vAlign w:val="center"/>
          </w:tcPr>
          <w:p w14:paraId="72990C63">
            <w:pPr>
              <w:widowControl/>
              <w:jc w:val="center"/>
              <w:rPr>
                <w:sz w:val="15"/>
                <w:szCs w:val="15"/>
                <w:highlight w:val="none"/>
              </w:rPr>
            </w:pPr>
            <w:r>
              <w:rPr>
                <w:sz w:val="15"/>
                <w:szCs w:val="15"/>
                <w:highlight w:val="none"/>
              </w:rPr>
              <w:t>/</w:t>
            </w:r>
          </w:p>
        </w:tc>
        <w:tc>
          <w:tcPr>
            <w:tcW w:w="368" w:type="pct"/>
            <w:tcBorders>
              <w:top w:val="nil"/>
              <w:left w:val="nil"/>
              <w:bottom w:val="single" w:color="auto" w:sz="4" w:space="0"/>
              <w:right w:val="single" w:color="auto" w:sz="4" w:space="0"/>
            </w:tcBorders>
            <w:shd w:val="clear" w:color="auto" w:fill="auto"/>
            <w:noWrap/>
            <w:vAlign w:val="center"/>
          </w:tcPr>
          <w:p w14:paraId="747D2C65">
            <w:pPr>
              <w:widowControl/>
              <w:jc w:val="center"/>
              <w:rPr>
                <w:sz w:val="15"/>
                <w:szCs w:val="15"/>
                <w:highlight w:val="none"/>
              </w:rPr>
            </w:pPr>
            <w:r>
              <w:rPr>
                <w:sz w:val="15"/>
                <w:szCs w:val="15"/>
                <w:highlight w:val="none"/>
              </w:rPr>
              <w:t>/</w:t>
            </w:r>
          </w:p>
        </w:tc>
        <w:tc>
          <w:tcPr>
            <w:tcW w:w="425" w:type="pct"/>
            <w:tcBorders>
              <w:top w:val="nil"/>
              <w:left w:val="nil"/>
              <w:bottom w:val="single" w:color="auto" w:sz="4" w:space="0"/>
              <w:right w:val="single" w:color="auto" w:sz="4" w:space="0"/>
            </w:tcBorders>
            <w:shd w:val="clear" w:color="auto" w:fill="auto"/>
            <w:noWrap/>
            <w:vAlign w:val="center"/>
          </w:tcPr>
          <w:p w14:paraId="011D1768">
            <w:pPr>
              <w:widowControl/>
              <w:jc w:val="center"/>
              <w:rPr>
                <w:sz w:val="15"/>
                <w:szCs w:val="15"/>
                <w:highlight w:val="none"/>
              </w:rPr>
            </w:pPr>
            <w:r>
              <w:rPr>
                <w:sz w:val="15"/>
                <w:szCs w:val="15"/>
                <w:highlight w:val="none"/>
              </w:rPr>
              <w:t>/</w:t>
            </w:r>
          </w:p>
        </w:tc>
        <w:tc>
          <w:tcPr>
            <w:tcW w:w="268" w:type="pct"/>
            <w:tcBorders>
              <w:top w:val="nil"/>
              <w:left w:val="nil"/>
              <w:bottom w:val="single" w:color="auto" w:sz="4" w:space="0"/>
              <w:right w:val="single" w:color="auto" w:sz="4" w:space="0"/>
            </w:tcBorders>
            <w:shd w:val="clear" w:color="auto" w:fill="auto"/>
            <w:noWrap/>
            <w:vAlign w:val="center"/>
          </w:tcPr>
          <w:p w14:paraId="541795DF">
            <w:pPr>
              <w:widowControl/>
              <w:jc w:val="center"/>
              <w:rPr>
                <w:sz w:val="15"/>
                <w:szCs w:val="15"/>
                <w:highlight w:val="none"/>
              </w:rPr>
            </w:pPr>
            <w:r>
              <w:rPr>
                <w:sz w:val="15"/>
                <w:szCs w:val="15"/>
                <w:highlight w:val="none"/>
              </w:rPr>
              <w:t>/</w:t>
            </w:r>
          </w:p>
        </w:tc>
      </w:tr>
      <w:tr w14:paraId="4F25074C">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7317DF26">
            <w:pPr>
              <w:widowControl/>
              <w:jc w:val="center"/>
              <w:rPr>
                <w:sz w:val="15"/>
                <w:szCs w:val="15"/>
                <w:highlight w:val="none"/>
              </w:rPr>
            </w:pPr>
            <w:r>
              <w:rPr>
                <w:sz w:val="15"/>
                <w:szCs w:val="15"/>
                <w:highlight w:val="none"/>
              </w:rPr>
              <w:t>2025.02.20</w:t>
            </w:r>
          </w:p>
        </w:tc>
        <w:tc>
          <w:tcPr>
            <w:tcW w:w="268" w:type="pct"/>
            <w:tcBorders>
              <w:top w:val="nil"/>
              <w:left w:val="nil"/>
              <w:bottom w:val="single" w:color="auto" w:sz="4" w:space="0"/>
              <w:right w:val="single" w:color="auto" w:sz="4" w:space="0"/>
            </w:tcBorders>
            <w:shd w:val="clear" w:color="auto" w:fill="auto"/>
            <w:noWrap/>
            <w:vAlign w:val="center"/>
          </w:tcPr>
          <w:p w14:paraId="75D8A62B">
            <w:pPr>
              <w:widowControl/>
              <w:jc w:val="center"/>
              <w:rPr>
                <w:sz w:val="15"/>
                <w:szCs w:val="15"/>
                <w:highlight w:val="none"/>
              </w:rPr>
            </w:pPr>
            <w:r>
              <w:rPr>
                <w:sz w:val="15"/>
                <w:szCs w:val="15"/>
                <w:highlight w:val="none"/>
              </w:rPr>
              <w:t>7.30</w:t>
            </w:r>
          </w:p>
        </w:tc>
        <w:tc>
          <w:tcPr>
            <w:tcW w:w="354" w:type="pct"/>
            <w:tcBorders>
              <w:top w:val="nil"/>
              <w:left w:val="nil"/>
              <w:bottom w:val="single" w:color="auto" w:sz="4" w:space="0"/>
              <w:right w:val="single" w:color="auto" w:sz="4" w:space="0"/>
            </w:tcBorders>
            <w:shd w:val="clear" w:color="auto" w:fill="auto"/>
            <w:noWrap/>
            <w:vAlign w:val="center"/>
          </w:tcPr>
          <w:p w14:paraId="136BB915">
            <w:pPr>
              <w:widowControl/>
              <w:jc w:val="center"/>
              <w:rPr>
                <w:sz w:val="15"/>
                <w:szCs w:val="15"/>
                <w:highlight w:val="none"/>
              </w:rPr>
            </w:pPr>
            <w:r>
              <w:rPr>
                <w:sz w:val="15"/>
                <w:szCs w:val="15"/>
                <w:highlight w:val="none"/>
              </w:rPr>
              <w:t>2.58</w:t>
            </w:r>
          </w:p>
        </w:tc>
        <w:tc>
          <w:tcPr>
            <w:tcW w:w="401" w:type="pct"/>
            <w:tcBorders>
              <w:top w:val="nil"/>
              <w:left w:val="nil"/>
              <w:bottom w:val="single" w:color="auto" w:sz="4" w:space="0"/>
              <w:right w:val="single" w:color="auto" w:sz="4" w:space="0"/>
            </w:tcBorders>
            <w:shd w:val="clear" w:color="auto" w:fill="auto"/>
            <w:noWrap/>
            <w:vAlign w:val="center"/>
          </w:tcPr>
          <w:p w14:paraId="26A81F0A">
            <w:pPr>
              <w:widowControl/>
              <w:jc w:val="center"/>
              <w:rPr>
                <w:sz w:val="15"/>
                <w:szCs w:val="15"/>
                <w:highlight w:val="none"/>
              </w:rPr>
            </w:pPr>
            <w:r>
              <w:rPr>
                <w:sz w:val="15"/>
                <w:szCs w:val="15"/>
                <w:highlight w:val="none"/>
              </w:rPr>
              <w:t>1420</w:t>
            </w:r>
          </w:p>
        </w:tc>
        <w:tc>
          <w:tcPr>
            <w:tcW w:w="382" w:type="pct"/>
            <w:tcBorders>
              <w:top w:val="nil"/>
              <w:left w:val="nil"/>
              <w:bottom w:val="single" w:color="auto" w:sz="4" w:space="0"/>
              <w:right w:val="single" w:color="auto" w:sz="4" w:space="0"/>
            </w:tcBorders>
            <w:shd w:val="clear" w:color="auto" w:fill="auto"/>
            <w:noWrap/>
            <w:vAlign w:val="center"/>
          </w:tcPr>
          <w:p w14:paraId="1ABB9641">
            <w:pPr>
              <w:widowControl/>
              <w:jc w:val="center"/>
              <w:rPr>
                <w:sz w:val="15"/>
                <w:szCs w:val="15"/>
                <w:highlight w:val="none"/>
              </w:rPr>
            </w:pPr>
            <w:r>
              <w:rPr>
                <w:sz w:val="15"/>
                <w:szCs w:val="15"/>
                <w:highlight w:val="none"/>
              </w:rPr>
              <w:t>10.80</w:t>
            </w:r>
          </w:p>
        </w:tc>
        <w:tc>
          <w:tcPr>
            <w:tcW w:w="368" w:type="pct"/>
            <w:tcBorders>
              <w:top w:val="nil"/>
              <w:left w:val="nil"/>
              <w:bottom w:val="single" w:color="auto" w:sz="4" w:space="0"/>
              <w:right w:val="single" w:color="auto" w:sz="4" w:space="0"/>
            </w:tcBorders>
            <w:shd w:val="clear" w:color="auto" w:fill="auto"/>
            <w:noWrap/>
            <w:vAlign w:val="center"/>
          </w:tcPr>
          <w:p w14:paraId="29800A5D">
            <w:pPr>
              <w:widowControl/>
              <w:jc w:val="center"/>
              <w:rPr>
                <w:sz w:val="15"/>
                <w:szCs w:val="15"/>
                <w:highlight w:val="none"/>
              </w:rPr>
            </w:pPr>
            <w:r>
              <w:rPr>
                <w:sz w:val="15"/>
                <w:szCs w:val="15"/>
                <w:highlight w:val="none"/>
              </w:rPr>
              <w:t>12.80</w:t>
            </w:r>
          </w:p>
        </w:tc>
        <w:tc>
          <w:tcPr>
            <w:tcW w:w="368" w:type="pct"/>
            <w:tcBorders>
              <w:top w:val="nil"/>
              <w:left w:val="nil"/>
              <w:bottom w:val="single" w:color="auto" w:sz="4" w:space="0"/>
              <w:right w:val="single" w:color="auto" w:sz="4" w:space="0"/>
            </w:tcBorders>
            <w:shd w:val="clear" w:color="auto" w:fill="auto"/>
            <w:noWrap/>
            <w:vAlign w:val="center"/>
          </w:tcPr>
          <w:p w14:paraId="301A67F4">
            <w:pPr>
              <w:widowControl/>
              <w:jc w:val="center"/>
              <w:rPr>
                <w:sz w:val="15"/>
                <w:szCs w:val="15"/>
                <w:highlight w:val="none"/>
              </w:rPr>
            </w:pPr>
            <w:r>
              <w:rPr>
                <w:sz w:val="15"/>
                <w:szCs w:val="15"/>
                <w:highlight w:val="none"/>
              </w:rPr>
              <w:t>171.24</w:t>
            </w:r>
          </w:p>
        </w:tc>
        <w:tc>
          <w:tcPr>
            <w:tcW w:w="462" w:type="pct"/>
            <w:tcBorders>
              <w:top w:val="nil"/>
              <w:left w:val="nil"/>
              <w:bottom w:val="single" w:color="auto" w:sz="4" w:space="0"/>
              <w:right w:val="single" w:color="auto" w:sz="4" w:space="0"/>
            </w:tcBorders>
            <w:shd w:val="clear" w:color="auto" w:fill="auto"/>
            <w:noWrap/>
            <w:vAlign w:val="center"/>
          </w:tcPr>
          <w:p w14:paraId="0012D123">
            <w:pPr>
              <w:widowControl/>
              <w:jc w:val="center"/>
              <w:rPr>
                <w:sz w:val="15"/>
                <w:szCs w:val="15"/>
                <w:highlight w:val="none"/>
              </w:rPr>
            </w:pPr>
            <w:r>
              <w:rPr>
                <w:sz w:val="15"/>
                <w:szCs w:val="15"/>
                <w:highlight w:val="none"/>
              </w:rPr>
              <w:t>4.42</w:t>
            </w:r>
          </w:p>
        </w:tc>
        <w:tc>
          <w:tcPr>
            <w:tcW w:w="462" w:type="pct"/>
            <w:tcBorders>
              <w:top w:val="nil"/>
              <w:left w:val="nil"/>
              <w:bottom w:val="single" w:color="auto" w:sz="4" w:space="0"/>
              <w:right w:val="single" w:color="auto" w:sz="4" w:space="0"/>
            </w:tcBorders>
            <w:shd w:val="clear" w:color="auto" w:fill="auto"/>
            <w:noWrap/>
            <w:vAlign w:val="center"/>
          </w:tcPr>
          <w:p w14:paraId="6CEDE8DB">
            <w:pPr>
              <w:widowControl/>
              <w:jc w:val="center"/>
              <w:rPr>
                <w:sz w:val="15"/>
                <w:szCs w:val="15"/>
                <w:highlight w:val="none"/>
              </w:rPr>
            </w:pPr>
            <w:r>
              <w:rPr>
                <w:sz w:val="15"/>
                <w:szCs w:val="15"/>
                <w:highlight w:val="none"/>
              </w:rPr>
              <w:t>5.24</w:t>
            </w:r>
          </w:p>
        </w:tc>
        <w:tc>
          <w:tcPr>
            <w:tcW w:w="368" w:type="pct"/>
            <w:tcBorders>
              <w:top w:val="nil"/>
              <w:left w:val="nil"/>
              <w:bottom w:val="single" w:color="auto" w:sz="4" w:space="0"/>
              <w:right w:val="single" w:color="auto" w:sz="4" w:space="0"/>
            </w:tcBorders>
            <w:shd w:val="clear" w:color="auto" w:fill="auto"/>
            <w:noWrap/>
            <w:vAlign w:val="center"/>
          </w:tcPr>
          <w:p w14:paraId="7E0AFBCA">
            <w:pPr>
              <w:widowControl/>
              <w:jc w:val="center"/>
              <w:rPr>
                <w:sz w:val="15"/>
                <w:szCs w:val="15"/>
                <w:highlight w:val="none"/>
              </w:rPr>
            </w:pPr>
            <w:r>
              <w:rPr>
                <w:sz w:val="15"/>
                <w:szCs w:val="15"/>
                <w:highlight w:val="none"/>
              </w:rPr>
              <w:t>0.40</w:t>
            </w:r>
          </w:p>
        </w:tc>
        <w:tc>
          <w:tcPr>
            <w:tcW w:w="368" w:type="pct"/>
            <w:tcBorders>
              <w:top w:val="nil"/>
              <w:left w:val="nil"/>
              <w:bottom w:val="single" w:color="auto" w:sz="4" w:space="0"/>
              <w:right w:val="single" w:color="auto" w:sz="4" w:space="0"/>
            </w:tcBorders>
            <w:shd w:val="clear" w:color="auto" w:fill="auto"/>
            <w:noWrap/>
            <w:vAlign w:val="center"/>
          </w:tcPr>
          <w:p w14:paraId="066A60F5">
            <w:pPr>
              <w:widowControl/>
              <w:jc w:val="center"/>
              <w:rPr>
                <w:sz w:val="15"/>
                <w:szCs w:val="15"/>
                <w:highlight w:val="none"/>
              </w:rPr>
            </w:pPr>
            <w:r>
              <w:rPr>
                <w:sz w:val="15"/>
                <w:szCs w:val="15"/>
                <w:highlight w:val="none"/>
              </w:rPr>
              <w:t>0</w:t>
            </w:r>
          </w:p>
        </w:tc>
        <w:tc>
          <w:tcPr>
            <w:tcW w:w="425" w:type="pct"/>
            <w:tcBorders>
              <w:top w:val="nil"/>
              <w:left w:val="nil"/>
              <w:bottom w:val="single" w:color="auto" w:sz="4" w:space="0"/>
              <w:right w:val="single" w:color="auto" w:sz="4" w:space="0"/>
            </w:tcBorders>
            <w:shd w:val="clear" w:color="auto" w:fill="auto"/>
            <w:noWrap/>
            <w:vAlign w:val="center"/>
          </w:tcPr>
          <w:p w14:paraId="3A16521F">
            <w:pPr>
              <w:widowControl/>
              <w:jc w:val="center"/>
              <w:rPr>
                <w:sz w:val="15"/>
                <w:szCs w:val="15"/>
                <w:highlight w:val="none"/>
              </w:rPr>
            </w:pPr>
            <w:r>
              <w:rPr>
                <w:sz w:val="15"/>
                <w:szCs w:val="15"/>
                <w:highlight w:val="none"/>
              </w:rPr>
              <w:t>/</w:t>
            </w:r>
          </w:p>
        </w:tc>
        <w:tc>
          <w:tcPr>
            <w:tcW w:w="268" w:type="pct"/>
            <w:tcBorders>
              <w:top w:val="nil"/>
              <w:left w:val="nil"/>
              <w:bottom w:val="single" w:color="auto" w:sz="4" w:space="0"/>
              <w:right w:val="single" w:color="auto" w:sz="4" w:space="0"/>
            </w:tcBorders>
            <w:shd w:val="clear" w:color="auto" w:fill="auto"/>
            <w:noWrap/>
            <w:vAlign w:val="center"/>
          </w:tcPr>
          <w:p w14:paraId="0559552B">
            <w:pPr>
              <w:widowControl/>
              <w:jc w:val="center"/>
              <w:rPr>
                <w:sz w:val="15"/>
                <w:szCs w:val="15"/>
                <w:highlight w:val="none"/>
              </w:rPr>
            </w:pPr>
            <w:r>
              <w:rPr>
                <w:sz w:val="15"/>
                <w:szCs w:val="15"/>
                <w:highlight w:val="none"/>
              </w:rPr>
              <w:t>/</w:t>
            </w:r>
          </w:p>
        </w:tc>
      </w:tr>
      <w:tr w14:paraId="50B56206">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5A95BCAF">
            <w:pPr>
              <w:widowControl/>
              <w:jc w:val="center"/>
              <w:rPr>
                <w:sz w:val="15"/>
                <w:szCs w:val="15"/>
                <w:highlight w:val="none"/>
              </w:rPr>
            </w:pPr>
            <w:r>
              <w:rPr>
                <w:sz w:val="15"/>
                <w:szCs w:val="15"/>
                <w:highlight w:val="none"/>
              </w:rPr>
              <w:t>2025.02.27</w:t>
            </w:r>
          </w:p>
        </w:tc>
        <w:tc>
          <w:tcPr>
            <w:tcW w:w="268" w:type="pct"/>
            <w:tcBorders>
              <w:top w:val="nil"/>
              <w:left w:val="nil"/>
              <w:bottom w:val="single" w:color="auto" w:sz="4" w:space="0"/>
              <w:right w:val="single" w:color="auto" w:sz="4" w:space="0"/>
            </w:tcBorders>
            <w:shd w:val="clear" w:color="auto" w:fill="auto"/>
            <w:noWrap/>
            <w:vAlign w:val="center"/>
          </w:tcPr>
          <w:p w14:paraId="3D7469C1">
            <w:pPr>
              <w:widowControl/>
              <w:jc w:val="center"/>
              <w:rPr>
                <w:sz w:val="15"/>
                <w:szCs w:val="15"/>
                <w:highlight w:val="none"/>
              </w:rPr>
            </w:pPr>
            <w:r>
              <w:rPr>
                <w:sz w:val="15"/>
                <w:szCs w:val="15"/>
                <w:highlight w:val="none"/>
              </w:rPr>
              <w:t>7.41</w:t>
            </w:r>
          </w:p>
        </w:tc>
        <w:tc>
          <w:tcPr>
            <w:tcW w:w="354" w:type="pct"/>
            <w:tcBorders>
              <w:top w:val="nil"/>
              <w:left w:val="nil"/>
              <w:bottom w:val="single" w:color="auto" w:sz="4" w:space="0"/>
              <w:right w:val="single" w:color="auto" w:sz="4" w:space="0"/>
            </w:tcBorders>
            <w:shd w:val="clear" w:color="auto" w:fill="auto"/>
            <w:noWrap/>
            <w:vAlign w:val="center"/>
          </w:tcPr>
          <w:p w14:paraId="3609E555">
            <w:pPr>
              <w:widowControl/>
              <w:jc w:val="center"/>
              <w:rPr>
                <w:sz w:val="15"/>
                <w:szCs w:val="15"/>
                <w:highlight w:val="none"/>
              </w:rPr>
            </w:pPr>
            <w:r>
              <w:rPr>
                <w:sz w:val="15"/>
                <w:szCs w:val="15"/>
                <w:highlight w:val="none"/>
              </w:rPr>
              <w:t>3.11</w:t>
            </w:r>
          </w:p>
        </w:tc>
        <w:tc>
          <w:tcPr>
            <w:tcW w:w="401" w:type="pct"/>
            <w:tcBorders>
              <w:top w:val="nil"/>
              <w:left w:val="nil"/>
              <w:bottom w:val="single" w:color="auto" w:sz="4" w:space="0"/>
              <w:right w:val="single" w:color="auto" w:sz="4" w:space="0"/>
            </w:tcBorders>
            <w:shd w:val="clear" w:color="auto" w:fill="auto"/>
            <w:noWrap/>
            <w:vAlign w:val="center"/>
          </w:tcPr>
          <w:p w14:paraId="34AFCE03">
            <w:pPr>
              <w:widowControl/>
              <w:jc w:val="center"/>
              <w:rPr>
                <w:sz w:val="15"/>
                <w:szCs w:val="15"/>
                <w:highlight w:val="none"/>
              </w:rPr>
            </w:pPr>
            <w:r>
              <w:rPr>
                <w:sz w:val="15"/>
                <w:szCs w:val="15"/>
                <w:highlight w:val="none"/>
              </w:rPr>
              <w:t>1345</w:t>
            </w:r>
          </w:p>
        </w:tc>
        <w:tc>
          <w:tcPr>
            <w:tcW w:w="382" w:type="pct"/>
            <w:tcBorders>
              <w:top w:val="nil"/>
              <w:left w:val="nil"/>
              <w:bottom w:val="single" w:color="auto" w:sz="4" w:space="0"/>
              <w:right w:val="single" w:color="auto" w:sz="4" w:space="0"/>
            </w:tcBorders>
            <w:shd w:val="clear" w:color="auto" w:fill="auto"/>
            <w:noWrap/>
            <w:vAlign w:val="center"/>
          </w:tcPr>
          <w:p w14:paraId="577F24A7">
            <w:pPr>
              <w:widowControl/>
              <w:jc w:val="center"/>
              <w:rPr>
                <w:sz w:val="15"/>
                <w:szCs w:val="15"/>
                <w:highlight w:val="none"/>
              </w:rPr>
            </w:pPr>
            <w:r>
              <w:rPr>
                <w:sz w:val="15"/>
                <w:szCs w:val="15"/>
                <w:highlight w:val="none"/>
              </w:rPr>
              <w:t>12.10</w:t>
            </w:r>
          </w:p>
        </w:tc>
        <w:tc>
          <w:tcPr>
            <w:tcW w:w="368" w:type="pct"/>
            <w:tcBorders>
              <w:top w:val="nil"/>
              <w:left w:val="nil"/>
              <w:bottom w:val="single" w:color="auto" w:sz="4" w:space="0"/>
              <w:right w:val="single" w:color="auto" w:sz="4" w:space="0"/>
            </w:tcBorders>
            <w:shd w:val="clear" w:color="auto" w:fill="auto"/>
            <w:noWrap/>
            <w:vAlign w:val="center"/>
          </w:tcPr>
          <w:p w14:paraId="43ADF329">
            <w:pPr>
              <w:widowControl/>
              <w:jc w:val="center"/>
              <w:rPr>
                <w:sz w:val="15"/>
                <w:szCs w:val="15"/>
                <w:highlight w:val="none"/>
              </w:rPr>
            </w:pPr>
            <w:r>
              <w:rPr>
                <w:sz w:val="15"/>
                <w:szCs w:val="15"/>
                <w:highlight w:val="none"/>
              </w:rPr>
              <w:t>13.50</w:t>
            </w:r>
          </w:p>
        </w:tc>
        <w:tc>
          <w:tcPr>
            <w:tcW w:w="368" w:type="pct"/>
            <w:tcBorders>
              <w:top w:val="nil"/>
              <w:left w:val="nil"/>
              <w:bottom w:val="single" w:color="auto" w:sz="4" w:space="0"/>
              <w:right w:val="single" w:color="auto" w:sz="4" w:space="0"/>
            </w:tcBorders>
            <w:shd w:val="clear" w:color="auto" w:fill="auto"/>
            <w:noWrap/>
            <w:vAlign w:val="center"/>
          </w:tcPr>
          <w:p w14:paraId="0356333B">
            <w:pPr>
              <w:widowControl/>
              <w:jc w:val="center"/>
              <w:rPr>
                <w:sz w:val="15"/>
                <w:szCs w:val="15"/>
                <w:highlight w:val="none"/>
              </w:rPr>
            </w:pPr>
            <w:r>
              <w:rPr>
                <w:sz w:val="15"/>
                <w:szCs w:val="15"/>
                <w:highlight w:val="none"/>
              </w:rPr>
              <w:t>176.06</w:t>
            </w:r>
          </w:p>
        </w:tc>
        <w:tc>
          <w:tcPr>
            <w:tcW w:w="462" w:type="pct"/>
            <w:tcBorders>
              <w:top w:val="nil"/>
              <w:left w:val="nil"/>
              <w:bottom w:val="single" w:color="auto" w:sz="4" w:space="0"/>
              <w:right w:val="single" w:color="auto" w:sz="4" w:space="0"/>
            </w:tcBorders>
            <w:shd w:val="clear" w:color="auto" w:fill="auto"/>
            <w:noWrap/>
            <w:vAlign w:val="center"/>
          </w:tcPr>
          <w:p w14:paraId="1CF80EEA">
            <w:pPr>
              <w:widowControl/>
              <w:jc w:val="center"/>
              <w:rPr>
                <w:sz w:val="15"/>
                <w:szCs w:val="15"/>
                <w:highlight w:val="none"/>
              </w:rPr>
            </w:pPr>
            <w:r>
              <w:rPr>
                <w:sz w:val="15"/>
                <w:szCs w:val="15"/>
                <w:highlight w:val="none"/>
              </w:rPr>
              <w:t>3.88</w:t>
            </w:r>
          </w:p>
        </w:tc>
        <w:tc>
          <w:tcPr>
            <w:tcW w:w="462" w:type="pct"/>
            <w:tcBorders>
              <w:top w:val="nil"/>
              <w:left w:val="nil"/>
              <w:bottom w:val="single" w:color="auto" w:sz="4" w:space="0"/>
              <w:right w:val="single" w:color="auto" w:sz="4" w:space="0"/>
            </w:tcBorders>
            <w:shd w:val="clear" w:color="auto" w:fill="auto"/>
            <w:noWrap/>
            <w:vAlign w:val="center"/>
          </w:tcPr>
          <w:p w14:paraId="7360EE7D">
            <w:pPr>
              <w:widowControl/>
              <w:jc w:val="center"/>
              <w:rPr>
                <w:sz w:val="15"/>
                <w:szCs w:val="15"/>
                <w:highlight w:val="none"/>
              </w:rPr>
            </w:pPr>
            <w:r>
              <w:rPr>
                <w:sz w:val="15"/>
                <w:szCs w:val="15"/>
                <w:highlight w:val="none"/>
              </w:rPr>
              <w:t>5.24</w:t>
            </w:r>
          </w:p>
        </w:tc>
        <w:tc>
          <w:tcPr>
            <w:tcW w:w="368" w:type="pct"/>
            <w:tcBorders>
              <w:top w:val="nil"/>
              <w:left w:val="nil"/>
              <w:bottom w:val="single" w:color="auto" w:sz="4" w:space="0"/>
              <w:right w:val="single" w:color="auto" w:sz="4" w:space="0"/>
            </w:tcBorders>
            <w:shd w:val="clear" w:color="auto" w:fill="auto"/>
            <w:noWrap/>
            <w:vAlign w:val="center"/>
          </w:tcPr>
          <w:p w14:paraId="68AA1630">
            <w:pPr>
              <w:widowControl/>
              <w:jc w:val="center"/>
              <w:rPr>
                <w:sz w:val="15"/>
                <w:szCs w:val="15"/>
                <w:highlight w:val="none"/>
              </w:rPr>
            </w:pPr>
            <w:r>
              <w:rPr>
                <w:sz w:val="15"/>
                <w:szCs w:val="15"/>
                <w:highlight w:val="none"/>
              </w:rPr>
              <w:t>0.45</w:t>
            </w:r>
          </w:p>
        </w:tc>
        <w:tc>
          <w:tcPr>
            <w:tcW w:w="368" w:type="pct"/>
            <w:tcBorders>
              <w:top w:val="nil"/>
              <w:left w:val="nil"/>
              <w:bottom w:val="single" w:color="auto" w:sz="4" w:space="0"/>
              <w:right w:val="single" w:color="auto" w:sz="4" w:space="0"/>
            </w:tcBorders>
            <w:shd w:val="clear" w:color="auto" w:fill="auto"/>
            <w:noWrap/>
            <w:vAlign w:val="center"/>
          </w:tcPr>
          <w:p w14:paraId="6022151D">
            <w:pPr>
              <w:widowControl/>
              <w:jc w:val="center"/>
              <w:rPr>
                <w:sz w:val="15"/>
                <w:szCs w:val="15"/>
                <w:highlight w:val="none"/>
              </w:rPr>
            </w:pPr>
            <w:r>
              <w:rPr>
                <w:sz w:val="15"/>
                <w:szCs w:val="15"/>
                <w:highlight w:val="none"/>
              </w:rPr>
              <w:t>0</w:t>
            </w:r>
          </w:p>
        </w:tc>
        <w:tc>
          <w:tcPr>
            <w:tcW w:w="425" w:type="pct"/>
            <w:tcBorders>
              <w:top w:val="nil"/>
              <w:left w:val="single" w:color="auto" w:sz="4" w:space="0"/>
              <w:bottom w:val="single" w:color="auto" w:sz="4" w:space="0"/>
              <w:right w:val="single" w:color="auto" w:sz="4" w:space="0"/>
            </w:tcBorders>
            <w:shd w:val="clear" w:color="auto" w:fill="auto"/>
            <w:noWrap/>
            <w:vAlign w:val="center"/>
          </w:tcPr>
          <w:p w14:paraId="1690E609">
            <w:pPr>
              <w:widowControl/>
              <w:jc w:val="center"/>
              <w:rPr>
                <w:sz w:val="15"/>
                <w:szCs w:val="15"/>
                <w:highlight w:val="none"/>
              </w:rPr>
            </w:pPr>
            <w:r>
              <w:rPr>
                <w:sz w:val="15"/>
                <w:szCs w:val="15"/>
                <w:highlight w:val="none"/>
              </w:rPr>
              <w:t>31</w:t>
            </w:r>
          </w:p>
        </w:tc>
        <w:tc>
          <w:tcPr>
            <w:tcW w:w="268" w:type="pct"/>
            <w:tcBorders>
              <w:top w:val="nil"/>
              <w:left w:val="nil"/>
              <w:bottom w:val="single" w:color="auto" w:sz="4" w:space="0"/>
              <w:right w:val="single" w:color="auto" w:sz="4" w:space="0"/>
            </w:tcBorders>
            <w:shd w:val="clear" w:color="auto" w:fill="auto"/>
            <w:noWrap/>
            <w:vAlign w:val="center"/>
          </w:tcPr>
          <w:p w14:paraId="4FD59B58">
            <w:pPr>
              <w:widowControl/>
              <w:jc w:val="center"/>
              <w:rPr>
                <w:sz w:val="15"/>
                <w:szCs w:val="15"/>
                <w:highlight w:val="none"/>
              </w:rPr>
            </w:pPr>
            <w:r>
              <w:rPr>
                <w:sz w:val="15"/>
                <w:szCs w:val="15"/>
                <w:highlight w:val="none"/>
              </w:rPr>
              <w:t>0.04</w:t>
            </w:r>
          </w:p>
        </w:tc>
      </w:tr>
      <w:tr w14:paraId="41FAFBF6">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597E5EF6">
            <w:pPr>
              <w:widowControl/>
              <w:jc w:val="center"/>
              <w:rPr>
                <w:sz w:val="15"/>
                <w:szCs w:val="15"/>
                <w:highlight w:val="none"/>
              </w:rPr>
            </w:pPr>
            <w:r>
              <w:rPr>
                <w:sz w:val="15"/>
                <w:szCs w:val="15"/>
                <w:highlight w:val="none"/>
              </w:rPr>
              <w:t>2025.03.06</w:t>
            </w:r>
          </w:p>
        </w:tc>
        <w:tc>
          <w:tcPr>
            <w:tcW w:w="268" w:type="pct"/>
            <w:tcBorders>
              <w:top w:val="nil"/>
              <w:left w:val="nil"/>
              <w:bottom w:val="single" w:color="auto" w:sz="4" w:space="0"/>
              <w:right w:val="single" w:color="auto" w:sz="4" w:space="0"/>
            </w:tcBorders>
            <w:shd w:val="clear" w:color="auto" w:fill="auto"/>
            <w:noWrap/>
            <w:vAlign w:val="center"/>
          </w:tcPr>
          <w:p w14:paraId="600DFAF3">
            <w:pPr>
              <w:widowControl/>
              <w:jc w:val="center"/>
              <w:rPr>
                <w:sz w:val="15"/>
                <w:szCs w:val="15"/>
                <w:highlight w:val="none"/>
              </w:rPr>
            </w:pPr>
            <w:r>
              <w:rPr>
                <w:sz w:val="15"/>
                <w:szCs w:val="15"/>
                <w:highlight w:val="none"/>
              </w:rPr>
              <w:t>7.47</w:t>
            </w:r>
          </w:p>
        </w:tc>
        <w:tc>
          <w:tcPr>
            <w:tcW w:w="354" w:type="pct"/>
            <w:tcBorders>
              <w:top w:val="nil"/>
              <w:left w:val="nil"/>
              <w:bottom w:val="single" w:color="auto" w:sz="4" w:space="0"/>
              <w:right w:val="single" w:color="auto" w:sz="4" w:space="0"/>
            </w:tcBorders>
            <w:shd w:val="clear" w:color="auto" w:fill="auto"/>
            <w:noWrap/>
            <w:vAlign w:val="center"/>
          </w:tcPr>
          <w:p w14:paraId="13613896">
            <w:pPr>
              <w:widowControl/>
              <w:jc w:val="center"/>
              <w:rPr>
                <w:sz w:val="15"/>
                <w:szCs w:val="15"/>
                <w:highlight w:val="none"/>
              </w:rPr>
            </w:pPr>
            <w:r>
              <w:rPr>
                <w:sz w:val="15"/>
                <w:szCs w:val="15"/>
                <w:highlight w:val="none"/>
              </w:rPr>
              <w:t>3.00</w:t>
            </w:r>
          </w:p>
        </w:tc>
        <w:tc>
          <w:tcPr>
            <w:tcW w:w="401" w:type="pct"/>
            <w:tcBorders>
              <w:top w:val="nil"/>
              <w:left w:val="nil"/>
              <w:bottom w:val="single" w:color="auto" w:sz="4" w:space="0"/>
              <w:right w:val="single" w:color="auto" w:sz="4" w:space="0"/>
            </w:tcBorders>
            <w:shd w:val="clear" w:color="auto" w:fill="auto"/>
            <w:noWrap/>
            <w:vAlign w:val="center"/>
          </w:tcPr>
          <w:p w14:paraId="13C49315">
            <w:pPr>
              <w:widowControl/>
              <w:jc w:val="center"/>
              <w:rPr>
                <w:sz w:val="15"/>
                <w:szCs w:val="15"/>
                <w:highlight w:val="none"/>
              </w:rPr>
            </w:pPr>
            <w:r>
              <w:rPr>
                <w:sz w:val="15"/>
                <w:szCs w:val="15"/>
                <w:highlight w:val="none"/>
              </w:rPr>
              <w:t>1323</w:t>
            </w:r>
          </w:p>
        </w:tc>
        <w:tc>
          <w:tcPr>
            <w:tcW w:w="382" w:type="pct"/>
            <w:tcBorders>
              <w:top w:val="nil"/>
              <w:left w:val="nil"/>
              <w:bottom w:val="single" w:color="auto" w:sz="4" w:space="0"/>
              <w:right w:val="single" w:color="auto" w:sz="4" w:space="0"/>
            </w:tcBorders>
            <w:shd w:val="clear" w:color="auto" w:fill="auto"/>
            <w:noWrap/>
            <w:vAlign w:val="center"/>
          </w:tcPr>
          <w:p w14:paraId="774B5621">
            <w:pPr>
              <w:widowControl/>
              <w:jc w:val="center"/>
              <w:rPr>
                <w:sz w:val="15"/>
                <w:szCs w:val="15"/>
                <w:highlight w:val="none"/>
              </w:rPr>
            </w:pPr>
            <w:r>
              <w:rPr>
                <w:sz w:val="15"/>
                <w:szCs w:val="15"/>
                <w:highlight w:val="none"/>
              </w:rPr>
              <w:t>23.10</w:t>
            </w:r>
          </w:p>
        </w:tc>
        <w:tc>
          <w:tcPr>
            <w:tcW w:w="368" w:type="pct"/>
            <w:tcBorders>
              <w:top w:val="nil"/>
              <w:left w:val="nil"/>
              <w:bottom w:val="single" w:color="auto" w:sz="4" w:space="0"/>
              <w:right w:val="single" w:color="auto" w:sz="4" w:space="0"/>
            </w:tcBorders>
            <w:shd w:val="clear" w:color="auto" w:fill="auto"/>
            <w:noWrap/>
            <w:vAlign w:val="center"/>
          </w:tcPr>
          <w:p w14:paraId="20343776">
            <w:pPr>
              <w:widowControl/>
              <w:jc w:val="center"/>
              <w:rPr>
                <w:sz w:val="15"/>
                <w:szCs w:val="15"/>
                <w:highlight w:val="none"/>
              </w:rPr>
            </w:pPr>
            <w:r>
              <w:rPr>
                <w:sz w:val="15"/>
                <w:szCs w:val="15"/>
                <w:highlight w:val="none"/>
              </w:rPr>
              <w:t>15.80</w:t>
            </w:r>
          </w:p>
        </w:tc>
        <w:tc>
          <w:tcPr>
            <w:tcW w:w="368" w:type="pct"/>
            <w:tcBorders>
              <w:top w:val="nil"/>
              <w:left w:val="nil"/>
              <w:bottom w:val="single" w:color="auto" w:sz="4" w:space="0"/>
              <w:right w:val="single" w:color="auto" w:sz="4" w:space="0"/>
            </w:tcBorders>
            <w:shd w:val="clear" w:color="auto" w:fill="auto"/>
            <w:noWrap/>
            <w:vAlign w:val="center"/>
          </w:tcPr>
          <w:p w14:paraId="0E406CEE">
            <w:pPr>
              <w:widowControl/>
              <w:jc w:val="center"/>
              <w:rPr>
                <w:sz w:val="15"/>
                <w:szCs w:val="15"/>
                <w:highlight w:val="none"/>
              </w:rPr>
            </w:pPr>
            <w:r>
              <w:rPr>
                <w:sz w:val="15"/>
                <w:szCs w:val="15"/>
                <w:highlight w:val="none"/>
              </w:rPr>
              <w:t>168.35</w:t>
            </w:r>
          </w:p>
        </w:tc>
        <w:tc>
          <w:tcPr>
            <w:tcW w:w="462" w:type="pct"/>
            <w:tcBorders>
              <w:top w:val="nil"/>
              <w:left w:val="nil"/>
              <w:bottom w:val="single" w:color="auto" w:sz="4" w:space="0"/>
              <w:right w:val="single" w:color="auto" w:sz="4" w:space="0"/>
            </w:tcBorders>
            <w:shd w:val="clear" w:color="auto" w:fill="auto"/>
            <w:noWrap/>
            <w:vAlign w:val="center"/>
          </w:tcPr>
          <w:p w14:paraId="589FAFBD">
            <w:pPr>
              <w:widowControl/>
              <w:jc w:val="center"/>
              <w:rPr>
                <w:sz w:val="15"/>
                <w:szCs w:val="15"/>
                <w:highlight w:val="none"/>
              </w:rPr>
            </w:pPr>
            <w:r>
              <w:rPr>
                <w:sz w:val="15"/>
                <w:szCs w:val="15"/>
                <w:highlight w:val="none"/>
              </w:rPr>
              <w:t>4.08</w:t>
            </w:r>
          </w:p>
        </w:tc>
        <w:tc>
          <w:tcPr>
            <w:tcW w:w="462" w:type="pct"/>
            <w:tcBorders>
              <w:top w:val="nil"/>
              <w:left w:val="nil"/>
              <w:bottom w:val="single" w:color="auto" w:sz="4" w:space="0"/>
              <w:right w:val="single" w:color="auto" w:sz="4" w:space="0"/>
            </w:tcBorders>
            <w:shd w:val="clear" w:color="auto" w:fill="auto"/>
            <w:noWrap/>
            <w:vAlign w:val="center"/>
          </w:tcPr>
          <w:p w14:paraId="0125D83B">
            <w:pPr>
              <w:widowControl/>
              <w:jc w:val="center"/>
              <w:rPr>
                <w:sz w:val="15"/>
                <w:szCs w:val="15"/>
                <w:highlight w:val="none"/>
              </w:rPr>
            </w:pPr>
            <w:r>
              <w:rPr>
                <w:sz w:val="15"/>
                <w:szCs w:val="15"/>
                <w:highlight w:val="none"/>
              </w:rPr>
              <w:t>4.93</w:t>
            </w:r>
          </w:p>
        </w:tc>
        <w:tc>
          <w:tcPr>
            <w:tcW w:w="36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3E4F87F">
            <w:pPr>
              <w:widowControl/>
              <w:jc w:val="center"/>
              <w:rPr>
                <w:sz w:val="15"/>
                <w:szCs w:val="15"/>
                <w:highlight w:val="none"/>
              </w:rPr>
            </w:pPr>
            <w:r>
              <w:rPr>
                <w:sz w:val="15"/>
                <w:szCs w:val="15"/>
                <w:highlight w:val="none"/>
              </w:rPr>
              <w:t>0.54</w:t>
            </w:r>
          </w:p>
        </w:tc>
        <w:tc>
          <w:tcPr>
            <w:tcW w:w="368" w:type="pct"/>
            <w:tcBorders>
              <w:top w:val="nil"/>
              <w:left w:val="nil"/>
              <w:bottom w:val="single" w:color="auto" w:sz="4" w:space="0"/>
              <w:right w:val="single" w:color="auto" w:sz="4" w:space="0"/>
            </w:tcBorders>
            <w:shd w:val="clear" w:color="auto" w:fill="auto"/>
            <w:noWrap/>
            <w:vAlign w:val="center"/>
          </w:tcPr>
          <w:p w14:paraId="221DE84C">
            <w:pPr>
              <w:widowControl/>
              <w:jc w:val="center"/>
              <w:rPr>
                <w:sz w:val="15"/>
                <w:szCs w:val="15"/>
                <w:highlight w:val="none"/>
              </w:rPr>
            </w:pPr>
            <w:r>
              <w:rPr>
                <w:sz w:val="15"/>
                <w:szCs w:val="15"/>
                <w:highlight w:val="none"/>
              </w:rPr>
              <w:t>0</w:t>
            </w:r>
          </w:p>
        </w:tc>
        <w:tc>
          <w:tcPr>
            <w:tcW w:w="425" w:type="pct"/>
            <w:tcBorders>
              <w:top w:val="nil"/>
              <w:left w:val="nil"/>
              <w:bottom w:val="single" w:color="auto" w:sz="4" w:space="0"/>
              <w:right w:val="single" w:color="auto" w:sz="4" w:space="0"/>
            </w:tcBorders>
            <w:shd w:val="clear" w:color="auto" w:fill="auto"/>
            <w:noWrap/>
            <w:vAlign w:val="center"/>
          </w:tcPr>
          <w:p w14:paraId="70656783">
            <w:pPr>
              <w:widowControl/>
              <w:jc w:val="center"/>
              <w:rPr>
                <w:sz w:val="15"/>
                <w:szCs w:val="15"/>
                <w:highlight w:val="none"/>
              </w:rPr>
            </w:pPr>
            <w:r>
              <w:rPr>
                <w:sz w:val="15"/>
                <w:szCs w:val="15"/>
                <w:highlight w:val="none"/>
              </w:rPr>
              <w:t>7</w:t>
            </w:r>
          </w:p>
        </w:tc>
        <w:tc>
          <w:tcPr>
            <w:tcW w:w="268" w:type="pct"/>
            <w:tcBorders>
              <w:top w:val="nil"/>
              <w:left w:val="nil"/>
              <w:bottom w:val="single" w:color="auto" w:sz="4" w:space="0"/>
              <w:right w:val="single" w:color="auto" w:sz="4" w:space="0"/>
            </w:tcBorders>
            <w:shd w:val="clear" w:color="auto" w:fill="auto"/>
            <w:noWrap/>
            <w:vAlign w:val="center"/>
          </w:tcPr>
          <w:p w14:paraId="7D41021D">
            <w:pPr>
              <w:widowControl/>
              <w:jc w:val="center"/>
              <w:rPr>
                <w:sz w:val="15"/>
                <w:szCs w:val="15"/>
                <w:highlight w:val="none"/>
              </w:rPr>
            </w:pPr>
            <w:r>
              <w:rPr>
                <w:sz w:val="15"/>
                <w:szCs w:val="15"/>
                <w:highlight w:val="none"/>
              </w:rPr>
              <w:t>/</w:t>
            </w:r>
          </w:p>
        </w:tc>
      </w:tr>
      <w:tr w14:paraId="55177F2C">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54A0D5B9">
            <w:pPr>
              <w:widowControl/>
              <w:jc w:val="center"/>
              <w:rPr>
                <w:sz w:val="15"/>
                <w:szCs w:val="15"/>
                <w:highlight w:val="none"/>
              </w:rPr>
            </w:pPr>
            <w:r>
              <w:rPr>
                <w:sz w:val="15"/>
                <w:szCs w:val="15"/>
                <w:highlight w:val="none"/>
              </w:rPr>
              <w:t>2025.03.13</w:t>
            </w:r>
          </w:p>
        </w:tc>
        <w:tc>
          <w:tcPr>
            <w:tcW w:w="268" w:type="pct"/>
            <w:tcBorders>
              <w:top w:val="nil"/>
              <w:left w:val="nil"/>
              <w:bottom w:val="single" w:color="auto" w:sz="4" w:space="0"/>
              <w:right w:val="single" w:color="auto" w:sz="4" w:space="0"/>
            </w:tcBorders>
            <w:shd w:val="clear" w:color="auto" w:fill="auto"/>
            <w:noWrap/>
            <w:vAlign w:val="center"/>
          </w:tcPr>
          <w:p w14:paraId="3933ED61">
            <w:pPr>
              <w:widowControl/>
              <w:jc w:val="center"/>
              <w:rPr>
                <w:sz w:val="15"/>
                <w:szCs w:val="15"/>
                <w:highlight w:val="none"/>
              </w:rPr>
            </w:pPr>
            <w:r>
              <w:rPr>
                <w:sz w:val="15"/>
                <w:szCs w:val="15"/>
                <w:highlight w:val="none"/>
              </w:rPr>
              <w:t>7.45</w:t>
            </w:r>
          </w:p>
        </w:tc>
        <w:tc>
          <w:tcPr>
            <w:tcW w:w="354" w:type="pct"/>
            <w:tcBorders>
              <w:top w:val="nil"/>
              <w:left w:val="nil"/>
              <w:bottom w:val="single" w:color="auto" w:sz="4" w:space="0"/>
              <w:right w:val="single" w:color="auto" w:sz="4" w:space="0"/>
            </w:tcBorders>
            <w:shd w:val="clear" w:color="auto" w:fill="auto"/>
            <w:noWrap/>
            <w:vAlign w:val="center"/>
          </w:tcPr>
          <w:p w14:paraId="18266D8B">
            <w:pPr>
              <w:widowControl/>
              <w:jc w:val="center"/>
              <w:rPr>
                <w:sz w:val="15"/>
                <w:szCs w:val="15"/>
                <w:highlight w:val="none"/>
              </w:rPr>
            </w:pPr>
            <w:r>
              <w:rPr>
                <w:sz w:val="15"/>
                <w:szCs w:val="15"/>
                <w:highlight w:val="none"/>
              </w:rPr>
              <w:t>8.41</w:t>
            </w:r>
          </w:p>
        </w:tc>
        <w:tc>
          <w:tcPr>
            <w:tcW w:w="401" w:type="pct"/>
            <w:tcBorders>
              <w:top w:val="nil"/>
              <w:left w:val="nil"/>
              <w:bottom w:val="single" w:color="auto" w:sz="4" w:space="0"/>
              <w:right w:val="single" w:color="auto" w:sz="4" w:space="0"/>
            </w:tcBorders>
            <w:shd w:val="clear" w:color="auto" w:fill="auto"/>
            <w:noWrap/>
            <w:vAlign w:val="center"/>
          </w:tcPr>
          <w:p w14:paraId="15453608">
            <w:pPr>
              <w:widowControl/>
              <w:jc w:val="center"/>
              <w:rPr>
                <w:sz w:val="15"/>
                <w:szCs w:val="15"/>
                <w:highlight w:val="none"/>
              </w:rPr>
            </w:pPr>
            <w:r>
              <w:rPr>
                <w:sz w:val="15"/>
                <w:szCs w:val="15"/>
                <w:highlight w:val="none"/>
              </w:rPr>
              <w:t>1355</w:t>
            </w:r>
          </w:p>
        </w:tc>
        <w:tc>
          <w:tcPr>
            <w:tcW w:w="382" w:type="pct"/>
            <w:tcBorders>
              <w:top w:val="nil"/>
              <w:left w:val="nil"/>
              <w:bottom w:val="single" w:color="auto" w:sz="4" w:space="0"/>
              <w:right w:val="single" w:color="auto" w:sz="4" w:space="0"/>
            </w:tcBorders>
            <w:shd w:val="clear" w:color="auto" w:fill="auto"/>
            <w:noWrap/>
            <w:vAlign w:val="center"/>
          </w:tcPr>
          <w:p w14:paraId="1B367DCA">
            <w:pPr>
              <w:widowControl/>
              <w:jc w:val="center"/>
              <w:rPr>
                <w:sz w:val="15"/>
                <w:szCs w:val="15"/>
                <w:highlight w:val="none"/>
              </w:rPr>
            </w:pPr>
            <w:r>
              <w:rPr>
                <w:sz w:val="15"/>
                <w:szCs w:val="15"/>
                <w:highlight w:val="none"/>
              </w:rPr>
              <w:t>31.50</w:t>
            </w:r>
          </w:p>
        </w:tc>
        <w:tc>
          <w:tcPr>
            <w:tcW w:w="368" w:type="pct"/>
            <w:tcBorders>
              <w:top w:val="nil"/>
              <w:left w:val="nil"/>
              <w:bottom w:val="single" w:color="auto" w:sz="4" w:space="0"/>
              <w:right w:val="single" w:color="auto" w:sz="4" w:space="0"/>
            </w:tcBorders>
            <w:shd w:val="clear" w:color="auto" w:fill="auto"/>
            <w:noWrap/>
            <w:vAlign w:val="center"/>
          </w:tcPr>
          <w:p w14:paraId="148480A8">
            <w:pPr>
              <w:widowControl/>
              <w:jc w:val="center"/>
              <w:rPr>
                <w:sz w:val="15"/>
                <w:szCs w:val="15"/>
                <w:highlight w:val="none"/>
              </w:rPr>
            </w:pPr>
            <w:r>
              <w:rPr>
                <w:sz w:val="15"/>
                <w:szCs w:val="15"/>
                <w:highlight w:val="none"/>
              </w:rPr>
              <w:t>10.90</w:t>
            </w:r>
          </w:p>
        </w:tc>
        <w:tc>
          <w:tcPr>
            <w:tcW w:w="368" w:type="pct"/>
            <w:tcBorders>
              <w:top w:val="nil"/>
              <w:left w:val="nil"/>
              <w:bottom w:val="single" w:color="auto" w:sz="4" w:space="0"/>
              <w:right w:val="single" w:color="auto" w:sz="4" w:space="0"/>
            </w:tcBorders>
            <w:shd w:val="clear" w:color="auto" w:fill="auto"/>
            <w:noWrap/>
            <w:vAlign w:val="center"/>
          </w:tcPr>
          <w:p w14:paraId="3A487171">
            <w:pPr>
              <w:widowControl/>
              <w:jc w:val="center"/>
              <w:rPr>
                <w:sz w:val="15"/>
                <w:szCs w:val="15"/>
                <w:highlight w:val="none"/>
              </w:rPr>
            </w:pPr>
            <w:r>
              <w:rPr>
                <w:sz w:val="15"/>
                <w:szCs w:val="15"/>
                <w:highlight w:val="none"/>
              </w:rPr>
              <w:t>192.55</w:t>
            </w:r>
          </w:p>
        </w:tc>
        <w:tc>
          <w:tcPr>
            <w:tcW w:w="462" w:type="pct"/>
            <w:tcBorders>
              <w:top w:val="nil"/>
              <w:left w:val="nil"/>
              <w:bottom w:val="single" w:color="auto" w:sz="4" w:space="0"/>
              <w:right w:val="single" w:color="auto" w:sz="4" w:space="0"/>
            </w:tcBorders>
            <w:shd w:val="clear" w:color="auto" w:fill="auto"/>
            <w:noWrap/>
            <w:vAlign w:val="center"/>
          </w:tcPr>
          <w:p w14:paraId="0834CFAD">
            <w:pPr>
              <w:widowControl/>
              <w:jc w:val="center"/>
              <w:rPr>
                <w:sz w:val="15"/>
                <w:szCs w:val="15"/>
                <w:highlight w:val="none"/>
              </w:rPr>
            </w:pPr>
            <w:r>
              <w:rPr>
                <w:sz w:val="15"/>
                <w:szCs w:val="15"/>
                <w:highlight w:val="none"/>
              </w:rPr>
              <w:t>4.27</w:t>
            </w:r>
          </w:p>
        </w:tc>
        <w:tc>
          <w:tcPr>
            <w:tcW w:w="462" w:type="pct"/>
            <w:tcBorders>
              <w:top w:val="nil"/>
              <w:left w:val="nil"/>
              <w:bottom w:val="single" w:color="auto" w:sz="4" w:space="0"/>
              <w:right w:val="single" w:color="auto" w:sz="4" w:space="0"/>
            </w:tcBorders>
            <w:shd w:val="clear" w:color="auto" w:fill="auto"/>
            <w:noWrap/>
            <w:vAlign w:val="center"/>
          </w:tcPr>
          <w:p w14:paraId="6D0FC83B">
            <w:pPr>
              <w:widowControl/>
              <w:jc w:val="center"/>
              <w:rPr>
                <w:sz w:val="15"/>
                <w:szCs w:val="15"/>
                <w:highlight w:val="none"/>
              </w:rPr>
            </w:pPr>
            <w:r>
              <w:rPr>
                <w:sz w:val="15"/>
                <w:szCs w:val="15"/>
                <w:highlight w:val="none"/>
              </w:rPr>
              <w:t>5.14</w:t>
            </w:r>
          </w:p>
        </w:tc>
        <w:tc>
          <w:tcPr>
            <w:tcW w:w="368" w:type="pct"/>
            <w:tcBorders>
              <w:top w:val="nil"/>
              <w:left w:val="nil"/>
              <w:bottom w:val="single" w:color="auto" w:sz="4" w:space="0"/>
              <w:right w:val="single" w:color="auto" w:sz="4" w:space="0"/>
            </w:tcBorders>
            <w:shd w:val="clear" w:color="auto" w:fill="auto"/>
            <w:noWrap/>
            <w:vAlign w:val="center"/>
          </w:tcPr>
          <w:p w14:paraId="11817BF8">
            <w:pPr>
              <w:widowControl/>
              <w:jc w:val="center"/>
              <w:rPr>
                <w:sz w:val="15"/>
                <w:szCs w:val="15"/>
                <w:highlight w:val="none"/>
              </w:rPr>
            </w:pPr>
            <w:r>
              <w:rPr>
                <w:sz w:val="15"/>
                <w:szCs w:val="15"/>
                <w:highlight w:val="none"/>
              </w:rPr>
              <w:t>0.44</w:t>
            </w:r>
          </w:p>
        </w:tc>
        <w:tc>
          <w:tcPr>
            <w:tcW w:w="368" w:type="pct"/>
            <w:tcBorders>
              <w:top w:val="nil"/>
              <w:left w:val="nil"/>
              <w:bottom w:val="single" w:color="auto" w:sz="4" w:space="0"/>
              <w:right w:val="single" w:color="auto" w:sz="4" w:space="0"/>
            </w:tcBorders>
            <w:shd w:val="clear" w:color="auto" w:fill="auto"/>
            <w:noWrap/>
            <w:vAlign w:val="center"/>
          </w:tcPr>
          <w:p w14:paraId="2F7D8860">
            <w:pPr>
              <w:widowControl/>
              <w:jc w:val="center"/>
              <w:rPr>
                <w:sz w:val="15"/>
                <w:szCs w:val="15"/>
                <w:highlight w:val="none"/>
              </w:rPr>
            </w:pPr>
            <w:r>
              <w:rPr>
                <w:sz w:val="15"/>
                <w:szCs w:val="15"/>
                <w:highlight w:val="none"/>
              </w:rPr>
              <w:t>0</w:t>
            </w:r>
          </w:p>
        </w:tc>
        <w:tc>
          <w:tcPr>
            <w:tcW w:w="425" w:type="pct"/>
            <w:tcBorders>
              <w:top w:val="nil"/>
              <w:left w:val="single" w:color="auto" w:sz="4" w:space="0"/>
              <w:bottom w:val="single" w:color="auto" w:sz="4" w:space="0"/>
              <w:right w:val="single" w:color="auto" w:sz="4" w:space="0"/>
            </w:tcBorders>
            <w:shd w:val="clear" w:color="auto" w:fill="auto"/>
            <w:noWrap/>
            <w:vAlign w:val="center"/>
          </w:tcPr>
          <w:p w14:paraId="7DE595F3">
            <w:pPr>
              <w:widowControl/>
              <w:jc w:val="center"/>
              <w:rPr>
                <w:sz w:val="15"/>
                <w:szCs w:val="15"/>
                <w:highlight w:val="none"/>
              </w:rPr>
            </w:pPr>
            <w:r>
              <w:rPr>
                <w:sz w:val="15"/>
                <w:szCs w:val="15"/>
                <w:highlight w:val="none"/>
              </w:rPr>
              <w:t>17</w:t>
            </w:r>
          </w:p>
        </w:tc>
        <w:tc>
          <w:tcPr>
            <w:tcW w:w="268" w:type="pct"/>
            <w:tcBorders>
              <w:top w:val="nil"/>
              <w:left w:val="nil"/>
              <w:bottom w:val="single" w:color="auto" w:sz="4" w:space="0"/>
              <w:right w:val="single" w:color="auto" w:sz="4" w:space="0"/>
            </w:tcBorders>
            <w:shd w:val="clear" w:color="auto" w:fill="auto"/>
            <w:noWrap/>
            <w:vAlign w:val="center"/>
          </w:tcPr>
          <w:p w14:paraId="6BB68BA1">
            <w:pPr>
              <w:widowControl/>
              <w:jc w:val="center"/>
              <w:rPr>
                <w:sz w:val="15"/>
                <w:szCs w:val="15"/>
                <w:highlight w:val="none"/>
              </w:rPr>
            </w:pPr>
            <w:r>
              <w:rPr>
                <w:sz w:val="15"/>
                <w:szCs w:val="15"/>
                <w:highlight w:val="none"/>
              </w:rPr>
              <w:t>/</w:t>
            </w:r>
          </w:p>
        </w:tc>
      </w:tr>
      <w:tr w14:paraId="1CE08375">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0176932E">
            <w:pPr>
              <w:widowControl/>
              <w:jc w:val="center"/>
              <w:rPr>
                <w:sz w:val="15"/>
                <w:szCs w:val="15"/>
                <w:highlight w:val="none"/>
              </w:rPr>
            </w:pPr>
            <w:r>
              <w:rPr>
                <w:sz w:val="15"/>
                <w:szCs w:val="15"/>
                <w:highlight w:val="none"/>
              </w:rPr>
              <w:t>2025.03.20</w:t>
            </w:r>
          </w:p>
        </w:tc>
        <w:tc>
          <w:tcPr>
            <w:tcW w:w="268" w:type="pct"/>
            <w:tcBorders>
              <w:top w:val="nil"/>
              <w:left w:val="nil"/>
              <w:bottom w:val="single" w:color="auto" w:sz="4" w:space="0"/>
              <w:right w:val="single" w:color="auto" w:sz="4" w:space="0"/>
            </w:tcBorders>
            <w:shd w:val="clear" w:color="auto" w:fill="auto"/>
            <w:noWrap/>
            <w:vAlign w:val="center"/>
          </w:tcPr>
          <w:p w14:paraId="3CF8F72B">
            <w:pPr>
              <w:widowControl/>
              <w:jc w:val="center"/>
              <w:rPr>
                <w:sz w:val="15"/>
                <w:szCs w:val="15"/>
                <w:highlight w:val="none"/>
              </w:rPr>
            </w:pPr>
            <w:r>
              <w:rPr>
                <w:sz w:val="15"/>
                <w:szCs w:val="15"/>
                <w:highlight w:val="none"/>
              </w:rPr>
              <w:t>7.40</w:t>
            </w:r>
          </w:p>
        </w:tc>
        <w:tc>
          <w:tcPr>
            <w:tcW w:w="354" w:type="pct"/>
            <w:tcBorders>
              <w:top w:val="nil"/>
              <w:left w:val="nil"/>
              <w:bottom w:val="single" w:color="auto" w:sz="4" w:space="0"/>
              <w:right w:val="single" w:color="auto" w:sz="4" w:space="0"/>
            </w:tcBorders>
            <w:shd w:val="clear" w:color="auto" w:fill="auto"/>
            <w:noWrap/>
            <w:vAlign w:val="center"/>
          </w:tcPr>
          <w:p w14:paraId="362F13F3">
            <w:pPr>
              <w:widowControl/>
              <w:jc w:val="center"/>
              <w:rPr>
                <w:sz w:val="15"/>
                <w:szCs w:val="15"/>
                <w:highlight w:val="none"/>
              </w:rPr>
            </w:pPr>
            <w:r>
              <w:rPr>
                <w:sz w:val="15"/>
                <w:szCs w:val="15"/>
                <w:highlight w:val="none"/>
              </w:rPr>
              <w:t>16.40</w:t>
            </w:r>
          </w:p>
        </w:tc>
        <w:tc>
          <w:tcPr>
            <w:tcW w:w="401" w:type="pct"/>
            <w:tcBorders>
              <w:top w:val="nil"/>
              <w:left w:val="nil"/>
              <w:bottom w:val="single" w:color="auto" w:sz="4" w:space="0"/>
              <w:right w:val="single" w:color="auto" w:sz="4" w:space="0"/>
            </w:tcBorders>
            <w:shd w:val="clear" w:color="auto" w:fill="auto"/>
            <w:noWrap/>
            <w:vAlign w:val="center"/>
          </w:tcPr>
          <w:p w14:paraId="471D22B9">
            <w:pPr>
              <w:widowControl/>
              <w:jc w:val="center"/>
              <w:rPr>
                <w:sz w:val="15"/>
                <w:szCs w:val="15"/>
                <w:highlight w:val="none"/>
              </w:rPr>
            </w:pPr>
            <w:r>
              <w:rPr>
                <w:sz w:val="15"/>
                <w:szCs w:val="15"/>
                <w:highlight w:val="none"/>
              </w:rPr>
              <w:t>1411</w:t>
            </w:r>
          </w:p>
        </w:tc>
        <w:tc>
          <w:tcPr>
            <w:tcW w:w="382" w:type="pct"/>
            <w:tcBorders>
              <w:top w:val="nil"/>
              <w:left w:val="nil"/>
              <w:bottom w:val="single" w:color="auto" w:sz="4" w:space="0"/>
              <w:right w:val="single" w:color="auto" w:sz="4" w:space="0"/>
            </w:tcBorders>
            <w:shd w:val="clear" w:color="auto" w:fill="auto"/>
            <w:noWrap/>
            <w:vAlign w:val="center"/>
          </w:tcPr>
          <w:p w14:paraId="43C9FE0E">
            <w:pPr>
              <w:widowControl/>
              <w:jc w:val="center"/>
              <w:rPr>
                <w:sz w:val="15"/>
                <w:szCs w:val="15"/>
                <w:highlight w:val="none"/>
              </w:rPr>
            </w:pPr>
            <w:r>
              <w:rPr>
                <w:sz w:val="15"/>
                <w:szCs w:val="15"/>
                <w:highlight w:val="none"/>
              </w:rPr>
              <w:t>34.50</w:t>
            </w:r>
          </w:p>
        </w:tc>
        <w:tc>
          <w:tcPr>
            <w:tcW w:w="368" w:type="pct"/>
            <w:tcBorders>
              <w:top w:val="nil"/>
              <w:left w:val="nil"/>
              <w:bottom w:val="single" w:color="auto" w:sz="4" w:space="0"/>
              <w:right w:val="single" w:color="auto" w:sz="4" w:space="0"/>
            </w:tcBorders>
            <w:shd w:val="clear" w:color="auto" w:fill="auto"/>
            <w:noWrap/>
            <w:vAlign w:val="center"/>
          </w:tcPr>
          <w:p w14:paraId="372439AD">
            <w:pPr>
              <w:widowControl/>
              <w:jc w:val="center"/>
              <w:rPr>
                <w:sz w:val="15"/>
                <w:szCs w:val="15"/>
                <w:highlight w:val="none"/>
              </w:rPr>
            </w:pPr>
            <w:r>
              <w:rPr>
                <w:sz w:val="15"/>
                <w:szCs w:val="15"/>
                <w:highlight w:val="none"/>
              </w:rPr>
              <w:t>9.90</w:t>
            </w:r>
          </w:p>
        </w:tc>
        <w:tc>
          <w:tcPr>
            <w:tcW w:w="368" w:type="pct"/>
            <w:tcBorders>
              <w:top w:val="nil"/>
              <w:left w:val="nil"/>
              <w:bottom w:val="single" w:color="auto" w:sz="4" w:space="0"/>
              <w:right w:val="single" w:color="auto" w:sz="4" w:space="0"/>
            </w:tcBorders>
            <w:shd w:val="clear" w:color="auto" w:fill="auto"/>
            <w:noWrap/>
            <w:vAlign w:val="center"/>
          </w:tcPr>
          <w:p w14:paraId="03C56C7B">
            <w:pPr>
              <w:widowControl/>
              <w:jc w:val="center"/>
              <w:rPr>
                <w:sz w:val="15"/>
                <w:szCs w:val="15"/>
                <w:highlight w:val="none"/>
              </w:rPr>
            </w:pPr>
            <w:r>
              <w:rPr>
                <w:sz w:val="15"/>
                <w:szCs w:val="15"/>
                <w:highlight w:val="none"/>
              </w:rPr>
              <w:t>196.47</w:t>
            </w:r>
          </w:p>
        </w:tc>
        <w:tc>
          <w:tcPr>
            <w:tcW w:w="462" w:type="pct"/>
            <w:tcBorders>
              <w:top w:val="nil"/>
              <w:left w:val="nil"/>
              <w:bottom w:val="single" w:color="auto" w:sz="4" w:space="0"/>
              <w:right w:val="single" w:color="auto" w:sz="4" w:space="0"/>
            </w:tcBorders>
            <w:shd w:val="clear" w:color="auto" w:fill="auto"/>
            <w:noWrap/>
            <w:vAlign w:val="center"/>
          </w:tcPr>
          <w:p w14:paraId="47DF5ADD">
            <w:pPr>
              <w:widowControl/>
              <w:jc w:val="center"/>
              <w:rPr>
                <w:sz w:val="15"/>
                <w:szCs w:val="15"/>
                <w:highlight w:val="none"/>
              </w:rPr>
            </w:pPr>
            <w:r>
              <w:rPr>
                <w:sz w:val="15"/>
                <w:szCs w:val="15"/>
                <w:highlight w:val="none"/>
              </w:rPr>
              <w:t>4.22</w:t>
            </w:r>
          </w:p>
        </w:tc>
        <w:tc>
          <w:tcPr>
            <w:tcW w:w="462" w:type="pct"/>
            <w:tcBorders>
              <w:top w:val="nil"/>
              <w:left w:val="nil"/>
              <w:bottom w:val="single" w:color="auto" w:sz="4" w:space="0"/>
              <w:right w:val="single" w:color="auto" w:sz="4" w:space="0"/>
            </w:tcBorders>
            <w:shd w:val="clear" w:color="auto" w:fill="auto"/>
            <w:noWrap/>
            <w:vAlign w:val="center"/>
          </w:tcPr>
          <w:p w14:paraId="5EADA241">
            <w:pPr>
              <w:widowControl/>
              <w:jc w:val="center"/>
              <w:rPr>
                <w:sz w:val="15"/>
                <w:szCs w:val="15"/>
                <w:highlight w:val="none"/>
              </w:rPr>
            </w:pPr>
            <w:r>
              <w:rPr>
                <w:sz w:val="15"/>
                <w:szCs w:val="15"/>
                <w:highlight w:val="none"/>
              </w:rPr>
              <w:t>4.83</w:t>
            </w:r>
          </w:p>
        </w:tc>
        <w:tc>
          <w:tcPr>
            <w:tcW w:w="36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6368CE0">
            <w:pPr>
              <w:widowControl/>
              <w:jc w:val="center"/>
              <w:rPr>
                <w:sz w:val="15"/>
                <w:szCs w:val="15"/>
                <w:highlight w:val="none"/>
              </w:rPr>
            </w:pPr>
            <w:r>
              <w:rPr>
                <w:sz w:val="15"/>
                <w:szCs w:val="15"/>
                <w:highlight w:val="none"/>
              </w:rPr>
              <w:t>1.72</w:t>
            </w:r>
          </w:p>
        </w:tc>
        <w:tc>
          <w:tcPr>
            <w:tcW w:w="368" w:type="pct"/>
            <w:tcBorders>
              <w:top w:val="nil"/>
              <w:left w:val="nil"/>
              <w:bottom w:val="single" w:color="auto" w:sz="4" w:space="0"/>
              <w:right w:val="single" w:color="auto" w:sz="4" w:space="0"/>
            </w:tcBorders>
            <w:shd w:val="clear" w:color="auto" w:fill="auto"/>
            <w:noWrap/>
            <w:vAlign w:val="center"/>
          </w:tcPr>
          <w:p w14:paraId="35C7517B">
            <w:pPr>
              <w:widowControl/>
              <w:jc w:val="center"/>
              <w:rPr>
                <w:sz w:val="15"/>
                <w:szCs w:val="15"/>
                <w:highlight w:val="none"/>
              </w:rPr>
            </w:pPr>
            <w:r>
              <w:rPr>
                <w:sz w:val="15"/>
                <w:szCs w:val="15"/>
                <w:highlight w:val="none"/>
              </w:rPr>
              <w:t>0</w:t>
            </w:r>
          </w:p>
        </w:tc>
        <w:tc>
          <w:tcPr>
            <w:tcW w:w="425" w:type="pct"/>
            <w:tcBorders>
              <w:top w:val="nil"/>
              <w:left w:val="nil"/>
              <w:bottom w:val="single" w:color="auto" w:sz="4" w:space="0"/>
              <w:right w:val="single" w:color="auto" w:sz="4" w:space="0"/>
            </w:tcBorders>
            <w:shd w:val="clear" w:color="auto" w:fill="auto"/>
            <w:noWrap/>
            <w:vAlign w:val="center"/>
          </w:tcPr>
          <w:p w14:paraId="3A8DA8EF">
            <w:pPr>
              <w:widowControl/>
              <w:jc w:val="center"/>
              <w:rPr>
                <w:sz w:val="15"/>
                <w:szCs w:val="15"/>
                <w:highlight w:val="none"/>
              </w:rPr>
            </w:pPr>
            <w:r>
              <w:rPr>
                <w:sz w:val="15"/>
                <w:szCs w:val="15"/>
                <w:highlight w:val="none"/>
              </w:rPr>
              <w:t>238</w:t>
            </w:r>
          </w:p>
        </w:tc>
        <w:tc>
          <w:tcPr>
            <w:tcW w:w="268" w:type="pct"/>
            <w:tcBorders>
              <w:top w:val="nil"/>
              <w:left w:val="nil"/>
              <w:bottom w:val="single" w:color="auto" w:sz="4" w:space="0"/>
              <w:right w:val="single" w:color="auto" w:sz="4" w:space="0"/>
            </w:tcBorders>
            <w:shd w:val="clear" w:color="auto" w:fill="auto"/>
            <w:noWrap/>
            <w:vAlign w:val="center"/>
          </w:tcPr>
          <w:p w14:paraId="6796BD14">
            <w:pPr>
              <w:widowControl/>
              <w:jc w:val="center"/>
              <w:rPr>
                <w:sz w:val="15"/>
                <w:szCs w:val="15"/>
                <w:highlight w:val="none"/>
              </w:rPr>
            </w:pPr>
            <w:r>
              <w:rPr>
                <w:sz w:val="15"/>
                <w:szCs w:val="15"/>
                <w:highlight w:val="none"/>
              </w:rPr>
              <w:t>/</w:t>
            </w:r>
          </w:p>
        </w:tc>
      </w:tr>
      <w:tr w14:paraId="27A8E70A">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6C1FD526">
            <w:pPr>
              <w:widowControl/>
              <w:jc w:val="center"/>
              <w:rPr>
                <w:sz w:val="15"/>
                <w:szCs w:val="15"/>
                <w:highlight w:val="none"/>
              </w:rPr>
            </w:pPr>
            <w:r>
              <w:rPr>
                <w:sz w:val="15"/>
                <w:szCs w:val="15"/>
                <w:highlight w:val="none"/>
              </w:rPr>
              <w:t>2025.03.25</w:t>
            </w:r>
          </w:p>
        </w:tc>
        <w:tc>
          <w:tcPr>
            <w:tcW w:w="268" w:type="pct"/>
            <w:tcBorders>
              <w:top w:val="nil"/>
              <w:left w:val="nil"/>
              <w:bottom w:val="single" w:color="auto" w:sz="4" w:space="0"/>
              <w:right w:val="single" w:color="auto" w:sz="4" w:space="0"/>
            </w:tcBorders>
            <w:shd w:val="clear" w:color="auto" w:fill="auto"/>
            <w:noWrap/>
            <w:vAlign w:val="center"/>
          </w:tcPr>
          <w:p w14:paraId="1C41151C">
            <w:pPr>
              <w:widowControl/>
              <w:jc w:val="center"/>
              <w:rPr>
                <w:sz w:val="15"/>
                <w:szCs w:val="15"/>
                <w:highlight w:val="none"/>
              </w:rPr>
            </w:pPr>
            <w:r>
              <w:rPr>
                <w:sz w:val="15"/>
                <w:szCs w:val="15"/>
                <w:highlight w:val="none"/>
              </w:rPr>
              <w:t>/</w:t>
            </w:r>
          </w:p>
        </w:tc>
        <w:tc>
          <w:tcPr>
            <w:tcW w:w="354" w:type="pct"/>
            <w:tcBorders>
              <w:top w:val="nil"/>
              <w:left w:val="nil"/>
              <w:bottom w:val="single" w:color="auto" w:sz="4" w:space="0"/>
              <w:right w:val="single" w:color="auto" w:sz="4" w:space="0"/>
            </w:tcBorders>
            <w:shd w:val="clear" w:color="auto" w:fill="auto"/>
            <w:noWrap/>
            <w:vAlign w:val="center"/>
          </w:tcPr>
          <w:p w14:paraId="07D381DB">
            <w:pPr>
              <w:widowControl/>
              <w:jc w:val="center"/>
              <w:rPr>
                <w:sz w:val="15"/>
                <w:szCs w:val="15"/>
                <w:highlight w:val="none"/>
              </w:rPr>
            </w:pPr>
            <w:r>
              <w:rPr>
                <w:sz w:val="15"/>
                <w:szCs w:val="15"/>
                <w:highlight w:val="none"/>
              </w:rPr>
              <w:t>/</w:t>
            </w:r>
          </w:p>
        </w:tc>
        <w:tc>
          <w:tcPr>
            <w:tcW w:w="401" w:type="pct"/>
            <w:tcBorders>
              <w:top w:val="nil"/>
              <w:left w:val="nil"/>
              <w:bottom w:val="single" w:color="auto" w:sz="4" w:space="0"/>
              <w:right w:val="single" w:color="auto" w:sz="4" w:space="0"/>
            </w:tcBorders>
            <w:shd w:val="clear" w:color="auto" w:fill="auto"/>
            <w:noWrap/>
            <w:vAlign w:val="center"/>
          </w:tcPr>
          <w:p w14:paraId="58296841">
            <w:pPr>
              <w:widowControl/>
              <w:jc w:val="center"/>
              <w:rPr>
                <w:sz w:val="15"/>
                <w:szCs w:val="15"/>
                <w:highlight w:val="none"/>
              </w:rPr>
            </w:pPr>
            <w:r>
              <w:rPr>
                <w:sz w:val="15"/>
                <w:szCs w:val="15"/>
                <w:highlight w:val="none"/>
              </w:rPr>
              <w:t>/</w:t>
            </w:r>
          </w:p>
        </w:tc>
        <w:tc>
          <w:tcPr>
            <w:tcW w:w="382" w:type="pct"/>
            <w:tcBorders>
              <w:top w:val="nil"/>
              <w:left w:val="nil"/>
              <w:bottom w:val="single" w:color="auto" w:sz="4" w:space="0"/>
              <w:right w:val="single" w:color="auto" w:sz="4" w:space="0"/>
            </w:tcBorders>
            <w:shd w:val="clear" w:color="auto" w:fill="auto"/>
            <w:noWrap/>
            <w:vAlign w:val="center"/>
          </w:tcPr>
          <w:p w14:paraId="47915A35">
            <w:pPr>
              <w:widowControl/>
              <w:jc w:val="center"/>
              <w:rPr>
                <w:sz w:val="15"/>
                <w:szCs w:val="15"/>
                <w:highlight w:val="none"/>
              </w:rPr>
            </w:pPr>
            <w:r>
              <w:rPr>
                <w:sz w:val="15"/>
                <w:szCs w:val="15"/>
                <w:highlight w:val="none"/>
              </w:rPr>
              <w:t>/</w:t>
            </w:r>
          </w:p>
        </w:tc>
        <w:tc>
          <w:tcPr>
            <w:tcW w:w="368" w:type="pct"/>
            <w:tcBorders>
              <w:top w:val="nil"/>
              <w:left w:val="nil"/>
              <w:bottom w:val="single" w:color="auto" w:sz="4" w:space="0"/>
              <w:right w:val="single" w:color="auto" w:sz="4" w:space="0"/>
            </w:tcBorders>
            <w:shd w:val="clear" w:color="auto" w:fill="auto"/>
            <w:noWrap/>
            <w:vAlign w:val="center"/>
          </w:tcPr>
          <w:p w14:paraId="2E3E7FDE">
            <w:pPr>
              <w:widowControl/>
              <w:jc w:val="center"/>
              <w:rPr>
                <w:sz w:val="15"/>
                <w:szCs w:val="15"/>
                <w:highlight w:val="none"/>
              </w:rPr>
            </w:pPr>
            <w:r>
              <w:rPr>
                <w:sz w:val="15"/>
                <w:szCs w:val="15"/>
                <w:highlight w:val="none"/>
              </w:rPr>
              <w:t>/</w:t>
            </w:r>
          </w:p>
        </w:tc>
        <w:tc>
          <w:tcPr>
            <w:tcW w:w="368" w:type="pct"/>
            <w:tcBorders>
              <w:top w:val="nil"/>
              <w:left w:val="nil"/>
              <w:bottom w:val="single" w:color="auto" w:sz="4" w:space="0"/>
              <w:right w:val="single" w:color="auto" w:sz="4" w:space="0"/>
            </w:tcBorders>
            <w:shd w:val="clear" w:color="auto" w:fill="auto"/>
            <w:noWrap/>
            <w:vAlign w:val="center"/>
          </w:tcPr>
          <w:p w14:paraId="2EBC2E9B">
            <w:pPr>
              <w:widowControl/>
              <w:jc w:val="center"/>
              <w:rPr>
                <w:sz w:val="15"/>
                <w:szCs w:val="15"/>
                <w:highlight w:val="none"/>
              </w:rPr>
            </w:pPr>
            <w:r>
              <w:rPr>
                <w:sz w:val="15"/>
                <w:szCs w:val="15"/>
                <w:highlight w:val="none"/>
              </w:rPr>
              <w:t>/</w:t>
            </w:r>
          </w:p>
        </w:tc>
        <w:tc>
          <w:tcPr>
            <w:tcW w:w="462" w:type="pct"/>
            <w:tcBorders>
              <w:top w:val="nil"/>
              <w:left w:val="nil"/>
              <w:bottom w:val="single" w:color="auto" w:sz="4" w:space="0"/>
              <w:right w:val="single" w:color="auto" w:sz="4" w:space="0"/>
            </w:tcBorders>
            <w:shd w:val="clear" w:color="auto" w:fill="auto"/>
            <w:noWrap/>
            <w:vAlign w:val="center"/>
          </w:tcPr>
          <w:p w14:paraId="0454CAAD">
            <w:pPr>
              <w:widowControl/>
              <w:jc w:val="center"/>
              <w:rPr>
                <w:sz w:val="15"/>
                <w:szCs w:val="15"/>
                <w:highlight w:val="none"/>
              </w:rPr>
            </w:pPr>
            <w:r>
              <w:rPr>
                <w:sz w:val="15"/>
                <w:szCs w:val="15"/>
                <w:highlight w:val="none"/>
              </w:rPr>
              <w:t>/</w:t>
            </w:r>
          </w:p>
        </w:tc>
        <w:tc>
          <w:tcPr>
            <w:tcW w:w="462" w:type="pct"/>
            <w:tcBorders>
              <w:top w:val="nil"/>
              <w:left w:val="nil"/>
              <w:bottom w:val="single" w:color="auto" w:sz="4" w:space="0"/>
              <w:right w:val="single" w:color="auto" w:sz="4" w:space="0"/>
            </w:tcBorders>
            <w:shd w:val="clear" w:color="auto" w:fill="auto"/>
            <w:noWrap/>
            <w:vAlign w:val="center"/>
          </w:tcPr>
          <w:p w14:paraId="43F00492">
            <w:pPr>
              <w:widowControl/>
              <w:jc w:val="center"/>
              <w:rPr>
                <w:sz w:val="15"/>
                <w:szCs w:val="15"/>
                <w:highlight w:val="none"/>
              </w:rPr>
            </w:pPr>
            <w:r>
              <w:rPr>
                <w:sz w:val="15"/>
                <w:szCs w:val="15"/>
                <w:highlight w:val="none"/>
              </w:rPr>
              <w:t>/</w:t>
            </w:r>
          </w:p>
        </w:tc>
        <w:tc>
          <w:tcPr>
            <w:tcW w:w="368" w:type="pct"/>
            <w:tcBorders>
              <w:top w:val="nil"/>
              <w:left w:val="nil"/>
              <w:bottom w:val="single" w:color="auto" w:sz="4" w:space="0"/>
              <w:right w:val="single" w:color="auto" w:sz="4" w:space="0"/>
            </w:tcBorders>
            <w:shd w:val="clear" w:color="auto" w:fill="auto"/>
            <w:noWrap/>
            <w:vAlign w:val="center"/>
          </w:tcPr>
          <w:p w14:paraId="69EC37F1">
            <w:pPr>
              <w:widowControl/>
              <w:jc w:val="center"/>
              <w:rPr>
                <w:sz w:val="15"/>
                <w:szCs w:val="15"/>
                <w:highlight w:val="none"/>
              </w:rPr>
            </w:pPr>
            <w:r>
              <w:rPr>
                <w:sz w:val="15"/>
                <w:szCs w:val="15"/>
                <w:highlight w:val="none"/>
              </w:rPr>
              <w:t>/</w:t>
            </w:r>
          </w:p>
        </w:tc>
        <w:tc>
          <w:tcPr>
            <w:tcW w:w="368" w:type="pct"/>
            <w:tcBorders>
              <w:top w:val="nil"/>
              <w:left w:val="nil"/>
              <w:bottom w:val="single" w:color="auto" w:sz="4" w:space="0"/>
              <w:right w:val="single" w:color="auto" w:sz="4" w:space="0"/>
            </w:tcBorders>
            <w:shd w:val="clear" w:color="auto" w:fill="auto"/>
            <w:noWrap/>
            <w:vAlign w:val="center"/>
          </w:tcPr>
          <w:p w14:paraId="262B0FC3">
            <w:pPr>
              <w:widowControl/>
              <w:jc w:val="center"/>
              <w:rPr>
                <w:sz w:val="15"/>
                <w:szCs w:val="15"/>
                <w:highlight w:val="none"/>
              </w:rPr>
            </w:pPr>
            <w:r>
              <w:rPr>
                <w:sz w:val="15"/>
                <w:szCs w:val="15"/>
                <w:highlight w:val="none"/>
              </w:rPr>
              <w:t>/</w:t>
            </w:r>
          </w:p>
        </w:tc>
        <w:tc>
          <w:tcPr>
            <w:tcW w:w="425" w:type="pct"/>
            <w:tcBorders>
              <w:top w:val="nil"/>
              <w:left w:val="single" w:color="auto" w:sz="4" w:space="0"/>
              <w:bottom w:val="single" w:color="auto" w:sz="4" w:space="0"/>
              <w:right w:val="single" w:color="auto" w:sz="4" w:space="0"/>
            </w:tcBorders>
            <w:shd w:val="clear" w:color="auto" w:fill="auto"/>
            <w:noWrap/>
            <w:vAlign w:val="center"/>
          </w:tcPr>
          <w:p w14:paraId="5D08854E">
            <w:pPr>
              <w:widowControl/>
              <w:jc w:val="center"/>
              <w:rPr>
                <w:sz w:val="15"/>
                <w:szCs w:val="15"/>
                <w:highlight w:val="none"/>
              </w:rPr>
            </w:pPr>
            <w:r>
              <w:rPr>
                <w:sz w:val="15"/>
                <w:szCs w:val="15"/>
                <w:highlight w:val="none"/>
              </w:rPr>
              <w:t>80</w:t>
            </w:r>
          </w:p>
        </w:tc>
        <w:tc>
          <w:tcPr>
            <w:tcW w:w="268" w:type="pct"/>
            <w:tcBorders>
              <w:top w:val="nil"/>
              <w:left w:val="nil"/>
              <w:bottom w:val="single" w:color="auto" w:sz="4" w:space="0"/>
              <w:right w:val="single" w:color="auto" w:sz="4" w:space="0"/>
            </w:tcBorders>
            <w:shd w:val="clear" w:color="auto" w:fill="auto"/>
            <w:noWrap/>
            <w:vAlign w:val="center"/>
          </w:tcPr>
          <w:p w14:paraId="2AEED688">
            <w:pPr>
              <w:widowControl/>
              <w:jc w:val="center"/>
              <w:rPr>
                <w:sz w:val="15"/>
                <w:szCs w:val="15"/>
                <w:highlight w:val="none"/>
              </w:rPr>
            </w:pPr>
            <w:r>
              <w:rPr>
                <w:sz w:val="15"/>
                <w:szCs w:val="15"/>
                <w:highlight w:val="none"/>
              </w:rPr>
              <w:t>/</w:t>
            </w:r>
          </w:p>
        </w:tc>
      </w:tr>
      <w:tr w14:paraId="770A7FCD">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15B436FD">
            <w:pPr>
              <w:widowControl/>
              <w:jc w:val="center"/>
              <w:rPr>
                <w:sz w:val="15"/>
                <w:szCs w:val="15"/>
                <w:highlight w:val="none"/>
              </w:rPr>
            </w:pPr>
            <w:r>
              <w:rPr>
                <w:sz w:val="15"/>
                <w:szCs w:val="15"/>
                <w:highlight w:val="none"/>
              </w:rPr>
              <w:t>2025.03.26</w:t>
            </w:r>
          </w:p>
        </w:tc>
        <w:tc>
          <w:tcPr>
            <w:tcW w:w="268" w:type="pct"/>
            <w:tcBorders>
              <w:top w:val="nil"/>
              <w:left w:val="nil"/>
              <w:bottom w:val="single" w:color="auto" w:sz="4" w:space="0"/>
              <w:right w:val="single" w:color="auto" w:sz="4" w:space="0"/>
            </w:tcBorders>
            <w:shd w:val="clear" w:color="auto" w:fill="auto"/>
            <w:noWrap/>
            <w:vAlign w:val="center"/>
          </w:tcPr>
          <w:p w14:paraId="3DAE3EE8">
            <w:pPr>
              <w:widowControl/>
              <w:jc w:val="center"/>
              <w:rPr>
                <w:sz w:val="15"/>
                <w:szCs w:val="15"/>
                <w:highlight w:val="none"/>
              </w:rPr>
            </w:pPr>
            <w:r>
              <w:rPr>
                <w:sz w:val="15"/>
                <w:szCs w:val="15"/>
                <w:highlight w:val="none"/>
              </w:rPr>
              <w:t>7.39</w:t>
            </w:r>
          </w:p>
        </w:tc>
        <w:tc>
          <w:tcPr>
            <w:tcW w:w="354" w:type="pct"/>
            <w:tcBorders>
              <w:top w:val="nil"/>
              <w:left w:val="nil"/>
              <w:bottom w:val="single" w:color="auto" w:sz="4" w:space="0"/>
              <w:right w:val="single" w:color="auto" w:sz="4" w:space="0"/>
            </w:tcBorders>
            <w:shd w:val="clear" w:color="auto" w:fill="auto"/>
            <w:noWrap/>
            <w:vAlign w:val="center"/>
          </w:tcPr>
          <w:p w14:paraId="60B0308F">
            <w:pPr>
              <w:widowControl/>
              <w:jc w:val="center"/>
              <w:rPr>
                <w:sz w:val="15"/>
                <w:szCs w:val="15"/>
                <w:highlight w:val="none"/>
              </w:rPr>
            </w:pPr>
            <w:r>
              <w:rPr>
                <w:sz w:val="15"/>
                <w:szCs w:val="15"/>
                <w:highlight w:val="none"/>
              </w:rPr>
              <w:t>29.60</w:t>
            </w:r>
          </w:p>
        </w:tc>
        <w:tc>
          <w:tcPr>
            <w:tcW w:w="401" w:type="pct"/>
            <w:tcBorders>
              <w:top w:val="nil"/>
              <w:left w:val="nil"/>
              <w:bottom w:val="single" w:color="auto" w:sz="4" w:space="0"/>
              <w:right w:val="single" w:color="auto" w:sz="4" w:space="0"/>
            </w:tcBorders>
            <w:shd w:val="clear" w:color="auto" w:fill="auto"/>
            <w:noWrap/>
            <w:vAlign w:val="center"/>
          </w:tcPr>
          <w:p w14:paraId="6243B577">
            <w:pPr>
              <w:widowControl/>
              <w:jc w:val="center"/>
              <w:rPr>
                <w:sz w:val="15"/>
                <w:szCs w:val="15"/>
                <w:highlight w:val="none"/>
              </w:rPr>
            </w:pPr>
            <w:r>
              <w:rPr>
                <w:sz w:val="15"/>
                <w:szCs w:val="15"/>
                <w:highlight w:val="none"/>
              </w:rPr>
              <w:t>1367</w:t>
            </w:r>
          </w:p>
        </w:tc>
        <w:tc>
          <w:tcPr>
            <w:tcW w:w="382" w:type="pct"/>
            <w:tcBorders>
              <w:top w:val="nil"/>
              <w:left w:val="nil"/>
              <w:bottom w:val="single" w:color="auto" w:sz="4" w:space="0"/>
              <w:right w:val="single" w:color="auto" w:sz="4" w:space="0"/>
            </w:tcBorders>
            <w:shd w:val="clear" w:color="auto" w:fill="auto"/>
            <w:noWrap/>
            <w:vAlign w:val="center"/>
          </w:tcPr>
          <w:p w14:paraId="5A957610">
            <w:pPr>
              <w:widowControl/>
              <w:jc w:val="center"/>
              <w:rPr>
                <w:sz w:val="15"/>
                <w:szCs w:val="15"/>
                <w:highlight w:val="none"/>
              </w:rPr>
            </w:pPr>
            <w:r>
              <w:rPr>
                <w:sz w:val="15"/>
                <w:szCs w:val="15"/>
                <w:highlight w:val="none"/>
              </w:rPr>
              <w:t>47.10</w:t>
            </w:r>
          </w:p>
        </w:tc>
        <w:tc>
          <w:tcPr>
            <w:tcW w:w="368" w:type="pct"/>
            <w:tcBorders>
              <w:top w:val="nil"/>
              <w:left w:val="nil"/>
              <w:bottom w:val="single" w:color="auto" w:sz="4" w:space="0"/>
              <w:right w:val="single" w:color="auto" w:sz="4" w:space="0"/>
            </w:tcBorders>
            <w:shd w:val="clear" w:color="auto" w:fill="auto"/>
            <w:noWrap/>
            <w:vAlign w:val="center"/>
          </w:tcPr>
          <w:p w14:paraId="32DF29DE">
            <w:pPr>
              <w:widowControl/>
              <w:jc w:val="center"/>
              <w:rPr>
                <w:sz w:val="15"/>
                <w:szCs w:val="15"/>
                <w:highlight w:val="none"/>
              </w:rPr>
            </w:pPr>
            <w:r>
              <w:rPr>
                <w:sz w:val="15"/>
                <w:szCs w:val="15"/>
                <w:highlight w:val="none"/>
              </w:rPr>
              <w:t>7.80</w:t>
            </w:r>
          </w:p>
        </w:tc>
        <w:tc>
          <w:tcPr>
            <w:tcW w:w="368" w:type="pct"/>
            <w:tcBorders>
              <w:top w:val="nil"/>
              <w:left w:val="nil"/>
              <w:bottom w:val="single" w:color="auto" w:sz="4" w:space="0"/>
              <w:right w:val="single" w:color="auto" w:sz="4" w:space="0"/>
            </w:tcBorders>
            <w:shd w:val="clear" w:color="auto" w:fill="auto"/>
            <w:noWrap/>
            <w:vAlign w:val="center"/>
          </w:tcPr>
          <w:p w14:paraId="3655EC43">
            <w:pPr>
              <w:widowControl/>
              <w:jc w:val="center"/>
              <w:rPr>
                <w:sz w:val="15"/>
                <w:szCs w:val="15"/>
                <w:highlight w:val="none"/>
              </w:rPr>
            </w:pPr>
            <w:r>
              <w:rPr>
                <w:sz w:val="15"/>
                <w:szCs w:val="15"/>
                <w:highlight w:val="none"/>
              </w:rPr>
              <w:t>210.70</w:t>
            </w:r>
          </w:p>
        </w:tc>
        <w:tc>
          <w:tcPr>
            <w:tcW w:w="462" w:type="pct"/>
            <w:tcBorders>
              <w:top w:val="nil"/>
              <w:left w:val="nil"/>
              <w:bottom w:val="single" w:color="auto" w:sz="4" w:space="0"/>
              <w:right w:val="single" w:color="auto" w:sz="4" w:space="0"/>
            </w:tcBorders>
            <w:shd w:val="clear" w:color="auto" w:fill="auto"/>
            <w:noWrap/>
            <w:vAlign w:val="center"/>
          </w:tcPr>
          <w:p w14:paraId="19558C2D">
            <w:pPr>
              <w:widowControl/>
              <w:jc w:val="center"/>
              <w:rPr>
                <w:sz w:val="15"/>
                <w:szCs w:val="15"/>
                <w:highlight w:val="none"/>
              </w:rPr>
            </w:pPr>
            <w:r>
              <w:rPr>
                <w:sz w:val="15"/>
                <w:szCs w:val="15"/>
                <w:highlight w:val="none"/>
              </w:rPr>
              <w:t>4.47</w:t>
            </w:r>
          </w:p>
        </w:tc>
        <w:tc>
          <w:tcPr>
            <w:tcW w:w="462" w:type="pct"/>
            <w:tcBorders>
              <w:top w:val="nil"/>
              <w:left w:val="nil"/>
              <w:bottom w:val="single" w:color="auto" w:sz="4" w:space="0"/>
              <w:right w:val="single" w:color="auto" w:sz="4" w:space="0"/>
            </w:tcBorders>
            <w:shd w:val="clear" w:color="auto" w:fill="auto"/>
            <w:noWrap/>
            <w:vAlign w:val="center"/>
          </w:tcPr>
          <w:p w14:paraId="01EF58EB">
            <w:pPr>
              <w:widowControl/>
              <w:jc w:val="center"/>
              <w:rPr>
                <w:sz w:val="15"/>
                <w:szCs w:val="15"/>
                <w:highlight w:val="none"/>
              </w:rPr>
            </w:pPr>
            <w:r>
              <w:rPr>
                <w:sz w:val="15"/>
                <w:szCs w:val="15"/>
                <w:highlight w:val="none"/>
              </w:rPr>
              <w:t>5.65</w:t>
            </w:r>
          </w:p>
        </w:tc>
        <w:tc>
          <w:tcPr>
            <w:tcW w:w="36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632D62F">
            <w:pPr>
              <w:widowControl/>
              <w:jc w:val="center"/>
              <w:rPr>
                <w:sz w:val="15"/>
                <w:szCs w:val="15"/>
                <w:highlight w:val="none"/>
              </w:rPr>
            </w:pPr>
            <w:r>
              <w:rPr>
                <w:sz w:val="15"/>
                <w:szCs w:val="15"/>
                <w:highlight w:val="none"/>
              </w:rPr>
              <w:t>1.71</w:t>
            </w:r>
          </w:p>
        </w:tc>
        <w:tc>
          <w:tcPr>
            <w:tcW w:w="368" w:type="pct"/>
            <w:tcBorders>
              <w:top w:val="nil"/>
              <w:left w:val="nil"/>
              <w:bottom w:val="single" w:color="auto" w:sz="4" w:space="0"/>
              <w:right w:val="single" w:color="auto" w:sz="4" w:space="0"/>
            </w:tcBorders>
            <w:shd w:val="clear" w:color="auto" w:fill="auto"/>
            <w:noWrap/>
            <w:vAlign w:val="center"/>
          </w:tcPr>
          <w:p w14:paraId="774FA65C">
            <w:pPr>
              <w:widowControl/>
              <w:jc w:val="center"/>
              <w:rPr>
                <w:sz w:val="15"/>
                <w:szCs w:val="15"/>
                <w:highlight w:val="none"/>
              </w:rPr>
            </w:pPr>
            <w:r>
              <w:rPr>
                <w:sz w:val="15"/>
                <w:szCs w:val="15"/>
                <w:highlight w:val="none"/>
              </w:rPr>
              <w:t>0</w:t>
            </w:r>
          </w:p>
        </w:tc>
        <w:tc>
          <w:tcPr>
            <w:tcW w:w="425" w:type="pct"/>
            <w:tcBorders>
              <w:top w:val="nil"/>
              <w:left w:val="nil"/>
              <w:bottom w:val="single" w:color="auto" w:sz="4" w:space="0"/>
              <w:right w:val="single" w:color="auto" w:sz="4" w:space="0"/>
            </w:tcBorders>
            <w:shd w:val="clear" w:color="auto" w:fill="auto"/>
            <w:noWrap/>
            <w:vAlign w:val="center"/>
          </w:tcPr>
          <w:p w14:paraId="45AE0DBC">
            <w:pPr>
              <w:widowControl/>
              <w:jc w:val="center"/>
              <w:rPr>
                <w:sz w:val="15"/>
                <w:szCs w:val="15"/>
                <w:highlight w:val="none"/>
              </w:rPr>
            </w:pPr>
            <w:r>
              <w:rPr>
                <w:sz w:val="15"/>
                <w:szCs w:val="15"/>
                <w:highlight w:val="none"/>
              </w:rPr>
              <w:t>215</w:t>
            </w:r>
          </w:p>
        </w:tc>
        <w:tc>
          <w:tcPr>
            <w:tcW w:w="268" w:type="pct"/>
            <w:tcBorders>
              <w:top w:val="nil"/>
              <w:left w:val="nil"/>
              <w:bottom w:val="single" w:color="auto" w:sz="4" w:space="0"/>
              <w:right w:val="single" w:color="auto" w:sz="4" w:space="0"/>
            </w:tcBorders>
            <w:shd w:val="clear" w:color="auto" w:fill="auto"/>
            <w:noWrap/>
            <w:vAlign w:val="center"/>
          </w:tcPr>
          <w:p w14:paraId="4151B7F1">
            <w:pPr>
              <w:widowControl/>
              <w:jc w:val="center"/>
              <w:rPr>
                <w:sz w:val="15"/>
                <w:szCs w:val="15"/>
                <w:highlight w:val="none"/>
              </w:rPr>
            </w:pPr>
            <w:r>
              <w:rPr>
                <w:sz w:val="15"/>
                <w:szCs w:val="15"/>
                <w:highlight w:val="none"/>
              </w:rPr>
              <w:t>0.02</w:t>
            </w:r>
          </w:p>
        </w:tc>
      </w:tr>
      <w:tr w14:paraId="77750ECF">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68D5C0D9">
            <w:pPr>
              <w:widowControl/>
              <w:jc w:val="center"/>
              <w:rPr>
                <w:sz w:val="15"/>
                <w:szCs w:val="15"/>
                <w:highlight w:val="none"/>
              </w:rPr>
            </w:pPr>
            <w:r>
              <w:rPr>
                <w:sz w:val="15"/>
                <w:szCs w:val="15"/>
                <w:highlight w:val="none"/>
              </w:rPr>
              <w:t>2025.04.03</w:t>
            </w:r>
          </w:p>
        </w:tc>
        <w:tc>
          <w:tcPr>
            <w:tcW w:w="268" w:type="pct"/>
            <w:tcBorders>
              <w:top w:val="nil"/>
              <w:left w:val="nil"/>
              <w:bottom w:val="single" w:color="auto" w:sz="4" w:space="0"/>
              <w:right w:val="single" w:color="auto" w:sz="4" w:space="0"/>
            </w:tcBorders>
            <w:shd w:val="clear" w:color="auto" w:fill="auto"/>
            <w:noWrap/>
            <w:vAlign w:val="center"/>
          </w:tcPr>
          <w:p w14:paraId="6B543BE4">
            <w:pPr>
              <w:widowControl/>
              <w:jc w:val="center"/>
              <w:rPr>
                <w:sz w:val="15"/>
                <w:szCs w:val="15"/>
                <w:highlight w:val="none"/>
              </w:rPr>
            </w:pPr>
            <w:r>
              <w:rPr>
                <w:sz w:val="15"/>
                <w:szCs w:val="15"/>
                <w:highlight w:val="none"/>
              </w:rPr>
              <w:t>7.07</w:t>
            </w:r>
          </w:p>
        </w:tc>
        <w:tc>
          <w:tcPr>
            <w:tcW w:w="354" w:type="pct"/>
            <w:tcBorders>
              <w:top w:val="nil"/>
              <w:left w:val="nil"/>
              <w:bottom w:val="single" w:color="auto" w:sz="4" w:space="0"/>
              <w:right w:val="single" w:color="auto" w:sz="4" w:space="0"/>
            </w:tcBorders>
            <w:shd w:val="clear" w:color="auto" w:fill="auto"/>
            <w:noWrap/>
            <w:vAlign w:val="center"/>
          </w:tcPr>
          <w:p w14:paraId="198A8BB9">
            <w:pPr>
              <w:widowControl/>
              <w:jc w:val="center"/>
              <w:rPr>
                <w:sz w:val="15"/>
                <w:szCs w:val="15"/>
                <w:highlight w:val="none"/>
              </w:rPr>
            </w:pPr>
            <w:r>
              <w:rPr>
                <w:sz w:val="15"/>
                <w:szCs w:val="15"/>
                <w:highlight w:val="none"/>
              </w:rPr>
              <w:t>8.24</w:t>
            </w:r>
          </w:p>
        </w:tc>
        <w:tc>
          <w:tcPr>
            <w:tcW w:w="401" w:type="pct"/>
            <w:tcBorders>
              <w:top w:val="nil"/>
              <w:left w:val="nil"/>
              <w:bottom w:val="single" w:color="auto" w:sz="4" w:space="0"/>
              <w:right w:val="single" w:color="auto" w:sz="4" w:space="0"/>
            </w:tcBorders>
            <w:shd w:val="clear" w:color="auto" w:fill="auto"/>
            <w:noWrap/>
            <w:vAlign w:val="center"/>
          </w:tcPr>
          <w:p w14:paraId="731EEF47">
            <w:pPr>
              <w:widowControl/>
              <w:jc w:val="center"/>
              <w:rPr>
                <w:sz w:val="15"/>
                <w:szCs w:val="15"/>
                <w:highlight w:val="none"/>
              </w:rPr>
            </w:pPr>
            <w:r>
              <w:rPr>
                <w:sz w:val="15"/>
                <w:szCs w:val="15"/>
                <w:highlight w:val="none"/>
              </w:rPr>
              <w:t>1377</w:t>
            </w:r>
          </w:p>
        </w:tc>
        <w:tc>
          <w:tcPr>
            <w:tcW w:w="382" w:type="pct"/>
            <w:tcBorders>
              <w:top w:val="nil"/>
              <w:left w:val="nil"/>
              <w:bottom w:val="single" w:color="auto" w:sz="4" w:space="0"/>
              <w:right w:val="single" w:color="auto" w:sz="4" w:space="0"/>
            </w:tcBorders>
            <w:shd w:val="clear" w:color="auto" w:fill="auto"/>
            <w:noWrap/>
            <w:vAlign w:val="center"/>
          </w:tcPr>
          <w:p w14:paraId="04CE640B">
            <w:pPr>
              <w:widowControl/>
              <w:jc w:val="center"/>
              <w:rPr>
                <w:sz w:val="15"/>
                <w:szCs w:val="15"/>
                <w:highlight w:val="none"/>
              </w:rPr>
            </w:pPr>
            <w:r>
              <w:rPr>
                <w:sz w:val="15"/>
                <w:szCs w:val="15"/>
                <w:highlight w:val="none"/>
              </w:rPr>
              <w:t>19.60</w:t>
            </w:r>
          </w:p>
        </w:tc>
        <w:tc>
          <w:tcPr>
            <w:tcW w:w="368" w:type="pct"/>
            <w:tcBorders>
              <w:top w:val="nil"/>
              <w:left w:val="nil"/>
              <w:bottom w:val="single" w:color="auto" w:sz="4" w:space="0"/>
              <w:right w:val="single" w:color="auto" w:sz="4" w:space="0"/>
            </w:tcBorders>
            <w:shd w:val="clear" w:color="auto" w:fill="auto"/>
            <w:noWrap/>
            <w:vAlign w:val="center"/>
          </w:tcPr>
          <w:p w14:paraId="7CE0A72D">
            <w:pPr>
              <w:widowControl/>
              <w:jc w:val="center"/>
              <w:rPr>
                <w:sz w:val="15"/>
                <w:szCs w:val="15"/>
                <w:highlight w:val="none"/>
              </w:rPr>
            </w:pPr>
            <w:r>
              <w:rPr>
                <w:sz w:val="15"/>
                <w:szCs w:val="15"/>
                <w:highlight w:val="none"/>
              </w:rPr>
              <w:t>4.25</w:t>
            </w:r>
          </w:p>
        </w:tc>
        <w:tc>
          <w:tcPr>
            <w:tcW w:w="368" w:type="pct"/>
            <w:tcBorders>
              <w:top w:val="nil"/>
              <w:left w:val="nil"/>
              <w:bottom w:val="single" w:color="auto" w:sz="4" w:space="0"/>
              <w:right w:val="single" w:color="auto" w:sz="4" w:space="0"/>
            </w:tcBorders>
            <w:shd w:val="clear" w:color="auto" w:fill="auto"/>
            <w:noWrap/>
            <w:vAlign w:val="center"/>
          </w:tcPr>
          <w:p w14:paraId="517A577E">
            <w:pPr>
              <w:widowControl/>
              <w:jc w:val="center"/>
              <w:rPr>
                <w:sz w:val="15"/>
                <w:szCs w:val="15"/>
                <w:highlight w:val="none"/>
              </w:rPr>
            </w:pPr>
            <w:r>
              <w:rPr>
                <w:sz w:val="15"/>
                <w:szCs w:val="15"/>
                <w:highlight w:val="none"/>
              </w:rPr>
              <w:t>174.76</w:t>
            </w:r>
          </w:p>
        </w:tc>
        <w:tc>
          <w:tcPr>
            <w:tcW w:w="462" w:type="pct"/>
            <w:tcBorders>
              <w:top w:val="nil"/>
              <w:left w:val="nil"/>
              <w:bottom w:val="single" w:color="auto" w:sz="4" w:space="0"/>
              <w:right w:val="single" w:color="auto" w:sz="4" w:space="0"/>
            </w:tcBorders>
            <w:shd w:val="clear" w:color="auto" w:fill="auto"/>
            <w:noWrap/>
            <w:vAlign w:val="center"/>
          </w:tcPr>
          <w:p w14:paraId="5D7B5736">
            <w:pPr>
              <w:widowControl/>
              <w:jc w:val="center"/>
              <w:rPr>
                <w:sz w:val="15"/>
                <w:szCs w:val="15"/>
                <w:highlight w:val="none"/>
              </w:rPr>
            </w:pPr>
            <w:r>
              <w:rPr>
                <w:sz w:val="15"/>
                <w:szCs w:val="15"/>
                <w:highlight w:val="none"/>
              </w:rPr>
              <w:t>4.27</w:t>
            </w:r>
          </w:p>
        </w:tc>
        <w:tc>
          <w:tcPr>
            <w:tcW w:w="462" w:type="pct"/>
            <w:tcBorders>
              <w:top w:val="nil"/>
              <w:left w:val="nil"/>
              <w:bottom w:val="single" w:color="auto" w:sz="4" w:space="0"/>
              <w:right w:val="single" w:color="auto" w:sz="4" w:space="0"/>
            </w:tcBorders>
            <w:shd w:val="clear" w:color="auto" w:fill="auto"/>
            <w:noWrap/>
            <w:vAlign w:val="center"/>
          </w:tcPr>
          <w:p w14:paraId="5FCD95AC">
            <w:pPr>
              <w:widowControl/>
              <w:jc w:val="center"/>
              <w:rPr>
                <w:sz w:val="15"/>
                <w:szCs w:val="15"/>
                <w:highlight w:val="none"/>
              </w:rPr>
            </w:pPr>
            <w:r>
              <w:rPr>
                <w:sz w:val="15"/>
                <w:szCs w:val="15"/>
                <w:highlight w:val="none"/>
              </w:rPr>
              <w:t>4.42</w:t>
            </w:r>
          </w:p>
        </w:tc>
        <w:tc>
          <w:tcPr>
            <w:tcW w:w="368" w:type="pct"/>
            <w:tcBorders>
              <w:top w:val="nil"/>
              <w:left w:val="nil"/>
              <w:bottom w:val="single" w:color="auto" w:sz="4" w:space="0"/>
              <w:right w:val="single" w:color="auto" w:sz="4" w:space="0"/>
            </w:tcBorders>
            <w:shd w:val="clear" w:color="auto" w:fill="auto"/>
            <w:noWrap/>
            <w:vAlign w:val="center"/>
          </w:tcPr>
          <w:p w14:paraId="6CF3C644">
            <w:pPr>
              <w:widowControl/>
              <w:jc w:val="center"/>
              <w:rPr>
                <w:sz w:val="15"/>
                <w:szCs w:val="15"/>
                <w:highlight w:val="none"/>
              </w:rPr>
            </w:pPr>
            <w:r>
              <w:rPr>
                <w:sz w:val="15"/>
                <w:szCs w:val="15"/>
                <w:highlight w:val="none"/>
              </w:rPr>
              <w:t>0.45</w:t>
            </w:r>
          </w:p>
        </w:tc>
        <w:tc>
          <w:tcPr>
            <w:tcW w:w="368" w:type="pct"/>
            <w:tcBorders>
              <w:top w:val="nil"/>
              <w:left w:val="nil"/>
              <w:bottom w:val="single" w:color="auto" w:sz="4" w:space="0"/>
              <w:right w:val="single" w:color="auto" w:sz="4" w:space="0"/>
            </w:tcBorders>
            <w:shd w:val="clear" w:color="auto" w:fill="auto"/>
            <w:noWrap/>
            <w:vAlign w:val="center"/>
          </w:tcPr>
          <w:p w14:paraId="5F0A1649">
            <w:pPr>
              <w:widowControl/>
              <w:jc w:val="center"/>
              <w:rPr>
                <w:sz w:val="15"/>
                <w:szCs w:val="15"/>
                <w:highlight w:val="none"/>
              </w:rPr>
            </w:pPr>
            <w:r>
              <w:rPr>
                <w:sz w:val="15"/>
                <w:szCs w:val="15"/>
                <w:highlight w:val="none"/>
              </w:rPr>
              <w:t>0</w:t>
            </w:r>
          </w:p>
        </w:tc>
        <w:tc>
          <w:tcPr>
            <w:tcW w:w="425" w:type="pct"/>
            <w:tcBorders>
              <w:top w:val="nil"/>
              <w:left w:val="nil"/>
              <w:bottom w:val="single" w:color="auto" w:sz="4" w:space="0"/>
              <w:right w:val="single" w:color="auto" w:sz="4" w:space="0"/>
            </w:tcBorders>
            <w:shd w:val="clear" w:color="auto" w:fill="auto"/>
            <w:noWrap/>
            <w:vAlign w:val="center"/>
          </w:tcPr>
          <w:p w14:paraId="2105EAD4">
            <w:pPr>
              <w:widowControl/>
              <w:jc w:val="center"/>
              <w:rPr>
                <w:sz w:val="15"/>
                <w:szCs w:val="15"/>
                <w:highlight w:val="none"/>
              </w:rPr>
            </w:pPr>
            <w:r>
              <w:rPr>
                <w:sz w:val="15"/>
                <w:szCs w:val="15"/>
                <w:highlight w:val="none"/>
              </w:rPr>
              <w:t>8</w:t>
            </w:r>
          </w:p>
        </w:tc>
        <w:tc>
          <w:tcPr>
            <w:tcW w:w="268" w:type="pct"/>
            <w:tcBorders>
              <w:top w:val="nil"/>
              <w:left w:val="nil"/>
              <w:bottom w:val="single" w:color="auto" w:sz="4" w:space="0"/>
              <w:right w:val="single" w:color="auto" w:sz="4" w:space="0"/>
            </w:tcBorders>
            <w:shd w:val="clear" w:color="auto" w:fill="auto"/>
            <w:noWrap/>
            <w:vAlign w:val="center"/>
          </w:tcPr>
          <w:p w14:paraId="7B0E879A">
            <w:pPr>
              <w:widowControl/>
              <w:jc w:val="center"/>
              <w:rPr>
                <w:sz w:val="15"/>
                <w:szCs w:val="15"/>
                <w:highlight w:val="none"/>
              </w:rPr>
            </w:pPr>
            <w:r>
              <w:rPr>
                <w:sz w:val="15"/>
                <w:szCs w:val="15"/>
                <w:highlight w:val="none"/>
              </w:rPr>
              <w:t>/</w:t>
            </w:r>
          </w:p>
        </w:tc>
      </w:tr>
      <w:tr w14:paraId="0985F9FC">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60C622BE">
            <w:pPr>
              <w:widowControl/>
              <w:jc w:val="center"/>
              <w:rPr>
                <w:sz w:val="15"/>
                <w:szCs w:val="15"/>
                <w:highlight w:val="none"/>
              </w:rPr>
            </w:pPr>
            <w:r>
              <w:rPr>
                <w:sz w:val="15"/>
                <w:szCs w:val="15"/>
                <w:highlight w:val="none"/>
              </w:rPr>
              <w:t>2025.04.08</w:t>
            </w:r>
          </w:p>
        </w:tc>
        <w:tc>
          <w:tcPr>
            <w:tcW w:w="268" w:type="pct"/>
            <w:tcBorders>
              <w:top w:val="nil"/>
              <w:left w:val="nil"/>
              <w:bottom w:val="single" w:color="auto" w:sz="4" w:space="0"/>
              <w:right w:val="single" w:color="auto" w:sz="4" w:space="0"/>
            </w:tcBorders>
            <w:shd w:val="clear" w:color="auto" w:fill="auto"/>
            <w:noWrap/>
            <w:vAlign w:val="center"/>
          </w:tcPr>
          <w:p w14:paraId="2C2FC37E">
            <w:pPr>
              <w:widowControl/>
              <w:jc w:val="center"/>
              <w:rPr>
                <w:sz w:val="15"/>
                <w:szCs w:val="15"/>
                <w:highlight w:val="none"/>
              </w:rPr>
            </w:pPr>
            <w:r>
              <w:rPr>
                <w:sz w:val="15"/>
                <w:szCs w:val="15"/>
                <w:highlight w:val="none"/>
              </w:rPr>
              <w:t>7.30</w:t>
            </w:r>
          </w:p>
        </w:tc>
        <w:tc>
          <w:tcPr>
            <w:tcW w:w="354" w:type="pct"/>
            <w:tcBorders>
              <w:top w:val="nil"/>
              <w:left w:val="nil"/>
              <w:bottom w:val="single" w:color="auto" w:sz="4" w:space="0"/>
              <w:right w:val="single" w:color="auto" w:sz="4" w:space="0"/>
            </w:tcBorders>
            <w:shd w:val="clear" w:color="auto" w:fill="auto"/>
            <w:noWrap/>
            <w:vAlign w:val="center"/>
          </w:tcPr>
          <w:p w14:paraId="3F6B84E7">
            <w:pPr>
              <w:widowControl/>
              <w:jc w:val="center"/>
              <w:rPr>
                <w:sz w:val="15"/>
                <w:szCs w:val="15"/>
                <w:highlight w:val="none"/>
              </w:rPr>
            </w:pPr>
            <w:r>
              <w:rPr>
                <w:sz w:val="15"/>
                <w:szCs w:val="15"/>
                <w:highlight w:val="none"/>
              </w:rPr>
              <w:t>16.20</w:t>
            </w:r>
          </w:p>
        </w:tc>
        <w:tc>
          <w:tcPr>
            <w:tcW w:w="401" w:type="pct"/>
            <w:tcBorders>
              <w:top w:val="nil"/>
              <w:left w:val="nil"/>
              <w:bottom w:val="single" w:color="auto" w:sz="4" w:space="0"/>
              <w:right w:val="single" w:color="auto" w:sz="4" w:space="0"/>
            </w:tcBorders>
            <w:shd w:val="clear" w:color="auto" w:fill="auto"/>
            <w:noWrap/>
            <w:vAlign w:val="center"/>
          </w:tcPr>
          <w:p w14:paraId="1AD65A60">
            <w:pPr>
              <w:widowControl/>
              <w:jc w:val="center"/>
              <w:rPr>
                <w:sz w:val="15"/>
                <w:szCs w:val="15"/>
                <w:highlight w:val="none"/>
              </w:rPr>
            </w:pPr>
            <w:r>
              <w:rPr>
                <w:sz w:val="15"/>
                <w:szCs w:val="15"/>
                <w:highlight w:val="none"/>
              </w:rPr>
              <w:t>1553</w:t>
            </w:r>
          </w:p>
        </w:tc>
        <w:tc>
          <w:tcPr>
            <w:tcW w:w="382" w:type="pct"/>
            <w:tcBorders>
              <w:top w:val="nil"/>
              <w:left w:val="nil"/>
              <w:bottom w:val="single" w:color="auto" w:sz="4" w:space="0"/>
              <w:right w:val="single" w:color="auto" w:sz="4" w:space="0"/>
            </w:tcBorders>
            <w:shd w:val="clear" w:color="auto" w:fill="auto"/>
            <w:noWrap/>
            <w:vAlign w:val="center"/>
          </w:tcPr>
          <w:p w14:paraId="2C55E127">
            <w:pPr>
              <w:widowControl/>
              <w:jc w:val="center"/>
              <w:rPr>
                <w:sz w:val="15"/>
                <w:szCs w:val="15"/>
                <w:highlight w:val="none"/>
              </w:rPr>
            </w:pPr>
            <w:r>
              <w:rPr>
                <w:sz w:val="15"/>
                <w:szCs w:val="15"/>
                <w:highlight w:val="none"/>
              </w:rPr>
              <w:t>36.20</w:t>
            </w:r>
          </w:p>
        </w:tc>
        <w:tc>
          <w:tcPr>
            <w:tcW w:w="368" w:type="pct"/>
            <w:tcBorders>
              <w:top w:val="nil"/>
              <w:left w:val="nil"/>
              <w:bottom w:val="single" w:color="auto" w:sz="4" w:space="0"/>
              <w:right w:val="single" w:color="auto" w:sz="4" w:space="0"/>
            </w:tcBorders>
            <w:shd w:val="clear" w:color="auto" w:fill="auto"/>
            <w:noWrap/>
            <w:vAlign w:val="center"/>
          </w:tcPr>
          <w:p w14:paraId="75AB6B8F">
            <w:pPr>
              <w:widowControl/>
              <w:jc w:val="center"/>
              <w:rPr>
                <w:sz w:val="15"/>
                <w:szCs w:val="15"/>
                <w:highlight w:val="none"/>
              </w:rPr>
            </w:pPr>
            <w:r>
              <w:rPr>
                <w:sz w:val="15"/>
                <w:szCs w:val="15"/>
                <w:highlight w:val="none"/>
              </w:rPr>
              <w:t>6.85</w:t>
            </w:r>
          </w:p>
        </w:tc>
        <w:tc>
          <w:tcPr>
            <w:tcW w:w="368" w:type="pct"/>
            <w:tcBorders>
              <w:top w:val="nil"/>
              <w:left w:val="nil"/>
              <w:bottom w:val="single" w:color="auto" w:sz="4" w:space="0"/>
              <w:right w:val="single" w:color="auto" w:sz="4" w:space="0"/>
            </w:tcBorders>
            <w:shd w:val="clear" w:color="auto" w:fill="auto"/>
            <w:noWrap/>
            <w:vAlign w:val="center"/>
          </w:tcPr>
          <w:p w14:paraId="4C4A3759">
            <w:pPr>
              <w:widowControl/>
              <w:jc w:val="center"/>
              <w:rPr>
                <w:sz w:val="15"/>
                <w:szCs w:val="15"/>
                <w:highlight w:val="none"/>
              </w:rPr>
            </w:pPr>
            <w:r>
              <w:rPr>
                <w:sz w:val="15"/>
                <w:szCs w:val="15"/>
                <w:highlight w:val="none"/>
              </w:rPr>
              <w:t>186.50</w:t>
            </w:r>
          </w:p>
        </w:tc>
        <w:tc>
          <w:tcPr>
            <w:tcW w:w="462" w:type="pct"/>
            <w:tcBorders>
              <w:top w:val="nil"/>
              <w:left w:val="nil"/>
              <w:bottom w:val="single" w:color="auto" w:sz="4" w:space="0"/>
              <w:right w:val="single" w:color="auto" w:sz="4" w:space="0"/>
            </w:tcBorders>
            <w:shd w:val="clear" w:color="auto" w:fill="auto"/>
            <w:noWrap/>
            <w:vAlign w:val="center"/>
          </w:tcPr>
          <w:p w14:paraId="563A2879">
            <w:pPr>
              <w:widowControl/>
              <w:jc w:val="center"/>
              <w:rPr>
                <w:sz w:val="15"/>
                <w:szCs w:val="15"/>
                <w:highlight w:val="none"/>
              </w:rPr>
            </w:pPr>
            <w:r>
              <w:rPr>
                <w:sz w:val="15"/>
                <w:szCs w:val="15"/>
                <w:highlight w:val="none"/>
              </w:rPr>
              <w:t>4.27</w:t>
            </w:r>
          </w:p>
        </w:tc>
        <w:tc>
          <w:tcPr>
            <w:tcW w:w="462" w:type="pct"/>
            <w:tcBorders>
              <w:top w:val="nil"/>
              <w:left w:val="nil"/>
              <w:bottom w:val="single" w:color="auto" w:sz="4" w:space="0"/>
              <w:right w:val="single" w:color="auto" w:sz="4" w:space="0"/>
            </w:tcBorders>
            <w:shd w:val="clear" w:color="auto" w:fill="auto"/>
            <w:noWrap/>
            <w:vAlign w:val="center"/>
          </w:tcPr>
          <w:p w14:paraId="102F8D51">
            <w:pPr>
              <w:widowControl/>
              <w:jc w:val="center"/>
              <w:rPr>
                <w:sz w:val="15"/>
                <w:szCs w:val="15"/>
                <w:highlight w:val="none"/>
              </w:rPr>
            </w:pPr>
            <w:r>
              <w:rPr>
                <w:sz w:val="15"/>
                <w:szCs w:val="15"/>
                <w:highlight w:val="none"/>
              </w:rPr>
              <w:t>4.80</w:t>
            </w:r>
          </w:p>
        </w:tc>
        <w:tc>
          <w:tcPr>
            <w:tcW w:w="368" w:type="pct"/>
            <w:tcBorders>
              <w:top w:val="nil"/>
              <w:left w:val="nil"/>
              <w:bottom w:val="single" w:color="auto" w:sz="4" w:space="0"/>
              <w:right w:val="single" w:color="auto" w:sz="4" w:space="0"/>
            </w:tcBorders>
            <w:shd w:val="clear" w:color="auto" w:fill="auto"/>
            <w:noWrap/>
            <w:vAlign w:val="center"/>
          </w:tcPr>
          <w:p w14:paraId="0B4D0A5C">
            <w:pPr>
              <w:widowControl/>
              <w:jc w:val="center"/>
              <w:rPr>
                <w:sz w:val="15"/>
                <w:szCs w:val="15"/>
                <w:highlight w:val="none"/>
              </w:rPr>
            </w:pPr>
            <w:r>
              <w:rPr>
                <w:sz w:val="15"/>
                <w:szCs w:val="15"/>
                <w:highlight w:val="none"/>
              </w:rPr>
              <w:t>0.26</w:t>
            </w:r>
          </w:p>
        </w:tc>
        <w:tc>
          <w:tcPr>
            <w:tcW w:w="368" w:type="pct"/>
            <w:tcBorders>
              <w:top w:val="nil"/>
              <w:left w:val="nil"/>
              <w:bottom w:val="single" w:color="auto" w:sz="4" w:space="0"/>
              <w:right w:val="single" w:color="auto" w:sz="4" w:space="0"/>
            </w:tcBorders>
            <w:shd w:val="clear" w:color="auto" w:fill="auto"/>
            <w:noWrap/>
            <w:vAlign w:val="center"/>
          </w:tcPr>
          <w:p w14:paraId="25932C29">
            <w:pPr>
              <w:widowControl/>
              <w:jc w:val="center"/>
              <w:rPr>
                <w:sz w:val="15"/>
                <w:szCs w:val="15"/>
                <w:highlight w:val="none"/>
              </w:rPr>
            </w:pPr>
            <w:r>
              <w:rPr>
                <w:sz w:val="15"/>
                <w:szCs w:val="15"/>
                <w:highlight w:val="none"/>
              </w:rPr>
              <w:t>0</w:t>
            </w:r>
          </w:p>
        </w:tc>
        <w:tc>
          <w:tcPr>
            <w:tcW w:w="425" w:type="pct"/>
            <w:tcBorders>
              <w:top w:val="nil"/>
              <w:left w:val="single" w:color="auto" w:sz="4" w:space="0"/>
              <w:bottom w:val="single" w:color="auto" w:sz="4" w:space="0"/>
              <w:right w:val="single" w:color="auto" w:sz="4" w:space="0"/>
            </w:tcBorders>
            <w:shd w:val="clear" w:color="auto" w:fill="auto"/>
            <w:noWrap/>
            <w:vAlign w:val="center"/>
          </w:tcPr>
          <w:p w14:paraId="1A11F857">
            <w:pPr>
              <w:widowControl/>
              <w:jc w:val="center"/>
              <w:rPr>
                <w:sz w:val="15"/>
                <w:szCs w:val="15"/>
                <w:highlight w:val="none"/>
              </w:rPr>
            </w:pPr>
            <w:r>
              <w:rPr>
                <w:sz w:val="15"/>
                <w:szCs w:val="15"/>
                <w:highlight w:val="none"/>
              </w:rPr>
              <w:t>99</w:t>
            </w:r>
          </w:p>
        </w:tc>
        <w:tc>
          <w:tcPr>
            <w:tcW w:w="268" w:type="pct"/>
            <w:tcBorders>
              <w:top w:val="nil"/>
              <w:left w:val="nil"/>
              <w:bottom w:val="single" w:color="auto" w:sz="4" w:space="0"/>
              <w:right w:val="single" w:color="auto" w:sz="4" w:space="0"/>
            </w:tcBorders>
            <w:shd w:val="clear" w:color="auto" w:fill="auto"/>
            <w:noWrap/>
            <w:vAlign w:val="center"/>
          </w:tcPr>
          <w:p w14:paraId="3E70D41C">
            <w:pPr>
              <w:widowControl/>
              <w:jc w:val="center"/>
              <w:rPr>
                <w:sz w:val="15"/>
                <w:szCs w:val="15"/>
                <w:highlight w:val="none"/>
              </w:rPr>
            </w:pPr>
            <w:r>
              <w:rPr>
                <w:sz w:val="15"/>
                <w:szCs w:val="15"/>
                <w:highlight w:val="none"/>
              </w:rPr>
              <w:t>/</w:t>
            </w:r>
          </w:p>
        </w:tc>
      </w:tr>
      <w:tr w14:paraId="7F494EC4">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73D3FAC8">
            <w:pPr>
              <w:widowControl/>
              <w:jc w:val="center"/>
              <w:rPr>
                <w:sz w:val="15"/>
                <w:szCs w:val="15"/>
                <w:highlight w:val="none"/>
              </w:rPr>
            </w:pPr>
            <w:r>
              <w:rPr>
                <w:sz w:val="15"/>
                <w:szCs w:val="15"/>
                <w:highlight w:val="none"/>
              </w:rPr>
              <w:t>2025.04.17</w:t>
            </w:r>
          </w:p>
        </w:tc>
        <w:tc>
          <w:tcPr>
            <w:tcW w:w="268" w:type="pct"/>
            <w:tcBorders>
              <w:top w:val="nil"/>
              <w:left w:val="nil"/>
              <w:bottom w:val="single" w:color="auto" w:sz="4" w:space="0"/>
              <w:right w:val="single" w:color="auto" w:sz="4" w:space="0"/>
            </w:tcBorders>
            <w:shd w:val="clear" w:color="auto" w:fill="auto"/>
            <w:noWrap/>
            <w:vAlign w:val="center"/>
          </w:tcPr>
          <w:p w14:paraId="2648BA60">
            <w:pPr>
              <w:widowControl/>
              <w:jc w:val="center"/>
              <w:rPr>
                <w:sz w:val="15"/>
                <w:szCs w:val="15"/>
                <w:highlight w:val="none"/>
              </w:rPr>
            </w:pPr>
            <w:r>
              <w:rPr>
                <w:sz w:val="15"/>
                <w:szCs w:val="15"/>
                <w:highlight w:val="none"/>
              </w:rPr>
              <w:t>7.25</w:t>
            </w:r>
          </w:p>
        </w:tc>
        <w:tc>
          <w:tcPr>
            <w:tcW w:w="354" w:type="pct"/>
            <w:tcBorders>
              <w:top w:val="nil"/>
              <w:left w:val="nil"/>
              <w:bottom w:val="single" w:color="auto" w:sz="4" w:space="0"/>
              <w:right w:val="single" w:color="auto" w:sz="4" w:space="0"/>
            </w:tcBorders>
            <w:shd w:val="clear" w:color="auto" w:fill="auto"/>
            <w:noWrap/>
            <w:vAlign w:val="center"/>
          </w:tcPr>
          <w:p w14:paraId="4F22C81F">
            <w:pPr>
              <w:widowControl/>
              <w:jc w:val="center"/>
              <w:rPr>
                <w:sz w:val="15"/>
                <w:szCs w:val="15"/>
                <w:highlight w:val="none"/>
              </w:rPr>
            </w:pPr>
            <w:r>
              <w:rPr>
                <w:sz w:val="15"/>
                <w:szCs w:val="15"/>
                <w:highlight w:val="none"/>
              </w:rPr>
              <w:t>6.04</w:t>
            </w:r>
          </w:p>
        </w:tc>
        <w:tc>
          <w:tcPr>
            <w:tcW w:w="401" w:type="pct"/>
            <w:tcBorders>
              <w:top w:val="nil"/>
              <w:left w:val="nil"/>
              <w:bottom w:val="single" w:color="auto" w:sz="4" w:space="0"/>
              <w:right w:val="single" w:color="auto" w:sz="4" w:space="0"/>
            </w:tcBorders>
            <w:shd w:val="clear" w:color="auto" w:fill="auto"/>
            <w:noWrap/>
            <w:vAlign w:val="center"/>
          </w:tcPr>
          <w:p w14:paraId="04641F89">
            <w:pPr>
              <w:widowControl/>
              <w:jc w:val="center"/>
              <w:rPr>
                <w:sz w:val="15"/>
                <w:szCs w:val="15"/>
                <w:highlight w:val="none"/>
              </w:rPr>
            </w:pPr>
            <w:r>
              <w:rPr>
                <w:sz w:val="15"/>
                <w:szCs w:val="15"/>
                <w:highlight w:val="none"/>
              </w:rPr>
              <w:t>1345</w:t>
            </w:r>
          </w:p>
        </w:tc>
        <w:tc>
          <w:tcPr>
            <w:tcW w:w="382" w:type="pct"/>
            <w:tcBorders>
              <w:top w:val="nil"/>
              <w:left w:val="nil"/>
              <w:bottom w:val="single" w:color="auto" w:sz="4" w:space="0"/>
              <w:right w:val="single" w:color="auto" w:sz="4" w:space="0"/>
            </w:tcBorders>
            <w:shd w:val="clear" w:color="auto" w:fill="auto"/>
            <w:noWrap/>
            <w:vAlign w:val="center"/>
          </w:tcPr>
          <w:p w14:paraId="101A8F2F">
            <w:pPr>
              <w:widowControl/>
              <w:jc w:val="center"/>
              <w:rPr>
                <w:sz w:val="15"/>
                <w:szCs w:val="15"/>
                <w:highlight w:val="none"/>
              </w:rPr>
            </w:pPr>
            <w:r>
              <w:rPr>
                <w:sz w:val="15"/>
                <w:szCs w:val="15"/>
                <w:highlight w:val="none"/>
              </w:rPr>
              <w:t>38.20</w:t>
            </w:r>
          </w:p>
        </w:tc>
        <w:tc>
          <w:tcPr>
            <w:tcW w:w="368" w:type="pct"/>
            <w:tcBorders>
              <w:top w:val="nil"/>
              <w:left w:val="nil"/>
              <w:bottom w:val="single" w:color="auto" w:sz="4" w:space="0"/>
              <w:right w:val="single" w:color="auto" w:sz="4" w:space="0"/>
            </w:tcBorders>
            <w:shd w:val="clear" w:color="auto" w:fill="auto"/>
            <w:noWrap/>
            <w:vAlign w:val="center"/>
          </w:tcPr>
          <w:p w14:paraId="65F3AB54">
            <w:pPr>
              <w:widowControl/>
              <w:jc w:val="center"/>
              <w:rPr>
                <w:sz w:val="15"/>
                <w:szCs w:val="15"/>
                <w:highlight w:val="none"/>
              </w:rPr>
            </w:pPr>
            <w:r>
              <w:rPr>
                <w:sz w:val="15"/>
                <w:szCs w:val="15"/>
                <w:highlight w:val="none"/>
              </w:rPr>
              <w:t>2.53</w:t>
            </w:r>
          </w:p>
        </w:tc>
        <w:tc>
          <w:tcPr>
            <w:tcW w:w="368" w:type="pct"/>
            <w:tcBorders>
              <w:top w:val="nil"/>
              <w:left w:val="nil"/>
              <w:bottom w:val="single" w:color="auto" w:sz="4" w:space="0"/>
              <w:right w:val="single" w:color="auto" w:sz="4" w:space="0"/>
            </w:tcBorders>
            <w:shd w:val="clear" w:color="auto" w:fill="auto"/>
            <w:noWrap/>
            <w:vAlign w:val="center"/>
          </w:tcPr>
          <w:p w14:paraId="5000AAA1">
            <w:pPr>
              <w:widowControl/>
              <w:jc w:val="center"/>
              <w:rPr>
                <w:sz w:val="15"/>
                <w:szCs w:val="15"/>
                <w:highlight w:val="none"/>
              </w:rPr>
            </w:pPr>
            <w:r>
              <w:rPr>
                <w:sz w:val="15"/>
                <w:szCs w:val="15"/>
                <w:highlight w:val="none"/>
              </w:rPr>
              <w:t>213.55</w:t>
            </w:r>
          </w:p>
        </w:tc>
        <w:tc>
          <w:tcPr>
            <w:tcW w:w="462" w:type="pct"/>
            <w:tcBorders>
              <w:top w:val="nil"/>
              <w:left w:val="nil"/>
              <w:bottom w:val="single" w:color="auto" w:sz="4" w:space="0"/>
              <w:right w:val="single" w:color="auto" w:sz="4" w:space="0"/>
            </w:tcBorders>
            <w:shd w:val="clear" w:color="auto" w:fill="auto"/>
            <w:noWrap/>
            <w:vAlign w:val="center"/>
          </w:tcPr>
          <w:p w14:paraId="449EB8A8">
            <w:pPr>
              <w:widowControl/>
              <w:jc w:val="center"/>
              <w:rPr>
                <w:sz w:val="15"/>
                <w:szCs w:val="15"/>
                <w:highlight w:val="none"/>
              </w:rPr>
            </w:pPr>
            <w:r>
              <w:rPr>
                <w:sz w:val="15"/>
                <w:szCs w:val="15"/>
                <w:highlight w:val="none"/>
              </w:rPr>
              <w:t>4.47</w:t>
            </w:r>
          </w:p>
        </w:tc>
        <w:tc>
          <w:tcPr>
            <w:tcW w:w="462" w:type="pct"/>
            <w:tcBorders>
              <w:top w:val="nil"/>
              <w:left w:val="nil"/>
              <w:bottom w:val="single" w:color="auto" w:sz="4" w:space="0"/>
              <w:right w:val="single" w:color="auto" w:sz="4" w:space="0"/>
            </w:tcBorders>
            <w:shd w:val="clear" w:color="auto" w:fill="auto"/>
            <w:noWrap/>
            <w:vAlign w:val="center"/>
          </w:tcPr>
          <w:p w14:paraId="181EDA87">
            <w:pPr>
              <w:widowControl/>
              <w:jc w:val="center"/>
              <w:rPr>
                <w:sz w:val="15"/>
                <w:szCs w:val="15"/>
                <w:highlight w:val="none"/>
              </w:rPr>
            </w:pPr>
            <w:r>
              <w:rPr>
                <w:sz w:val="15"/>
                <w:szCs w:val="15"/>
                <w:highlight w:val="none"/>
              </w:rPr>
              <w:t>4.28</w:t>
            </w:r>
          </w:p>
        </w:tc>
        <w:tc>
          <w:tcPr>
            <w:tcW w:w="36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2B22A2F">
            <w:pPr>
              <w:widowControl/>
              <w:jc w:val="center"/>
              <w:rPr>
                <w:sz w:val="15"/>
                <w:szCs w:val="15"/>
                <w:highlight w:val="none"/>
              </w:rPr>
            </w:pPr>
            <w:r>
              <w:rPr>
                <w:sz w:val="15"/>
                <w:szCs w:val="15"/>
                <w:highlight w:val="none"/>
              </w:rPr>
              <w:t>0.86</w:t>
            </w:r>
          </w:p>
        </w:tc>
        <w:tc>
          <w:tcPr>
            <w:tcW w:w="368" w:type="pct"/>
            <w:tcBorders>
              <w:top w:val="nil"/>
              <w:left w:val="nil"/>
              <w:bottom w:val="single" w:color="auto" w:sz="4" w:space="0"/>
              <w:right w:val="single" w:color="auto" w:sz="4" w:space="0"/>
            </w:tcBorders>
            <w:shd w:val="clear" w:color="auto" w:fill="auto"/>
            <w:noWrap/>
            <w:vAlign w:val="center"/>
          </w:tcPr>
          <w:p w14:paraId="38092F4E">
            <w:pPr>
              <w:widowControl/>
              <w:jc w:val="center"/>
              <w:rPr>
                <w:sz w:val="15"/>
                <w:szCs w:val="15"/>
                <w:highlight w:val="none"/>
              </w:rPr>
            </w:pPr>
            <w:r>
              <w:rPr>
                <w:sz w:val="15"/>
                <w:szCs w:val="15"/>
                <w:highlight w:val="none"/>
              </w:rPr>
              <w:t>0</w:t>
            </w:r>
          </w:p>
        </w:tc>
        <w:tc>
          <w:tcPr>
            <w:tcW w:w="425" w:type="pct"/>
            <w:tcBorders>
              <w:top w:val="nil"/>
              <w:left w:val="single" w:color="auto" w:sz="4" w:space="0"/>
              <w:bottom w:val="single" w:color="auto" w:sz="4" w:space="0"/>
              <w:right w:val="single" w:color="auto" w:sz="4" w:space="0"/>
            </w:tcBorders>
            <w:shd w:val="clear" w:color="auto" w:fill="auto"/>
            <w:noWrap/>
            <w:vAlign w:val="center"/>
          </w:tcPr>
          <w:p w14:paraId="5368A245">
            <w:pPr>
              <w:widowControl/>
              <w:jc w:val="center"/>
              <w:rPr>
                <w:sz w:val="15"/>
                <w:szCs w:val="15"/>
                <w:highlight w:val="none"/>
              </w:rPr>
            </w:pPr>
            <w:r>
              <w:rPr>
                <w:sz w:val="15"/>
                <w:szCs w:val="15"/>
                <w:highlight w:val="none"/>
              </w:rPr>
              <w:t>77</w:t>
            </w:r>
          </w:p>
        </w:tc>
        <w:tc>
          <w:tcPr>
            <w:tcW w:w="268" w:type="pct"/>
            <w:tcBorders>
              <w:top w:val="nil"/>
              <w:left w:val="nil"/>
              <w:bottom w:val="single" w:color="auto" w:sz="4" w:space="0"/>
              <w:right w:val="single" w:color="auto" w:sz="4" w:space="0"/>
            </w:tcBorders>
            <w:shd w:val="clear" w:color="auto" w:fill="auto"/>
            <w:noWrap/>
            <w:vAlign w:val="center"/>
          </w:tcPr>
          <w:p w14:paraId="70261039">
            <w:pPr>
              <w:widowControl/>
              <w:jc w:val="center"/>
              <w:rPr>
                <w:sz w:val="15"/>
                <w:szCs w:val="15"/>
                <w:highlight w:val="none"/>
              </w:rPr>
            </w:pPr>
            <w:r>
              <w:rPr>
                <w:sz w:val="15"/>
                <w:szCs w:val="15"/>
                <w:highlight w:val="none"/>
              </w:rPr>
              <w:t>/</w:t>
            </w:r>
          </w:p>
        </w:tc>
      </w:tr>
      <w:tr w14:paraId="3ED58A1D">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3A5FC358">
            <w:pPr>
              <w:widowControl/>
              <w:jc w:val="center"/>
              <w:rPr>
                <w:sz w:val="15"/>
                <w:szCs w:val="15"/>
                <w:highlight w:val="none"/>
              </w:rPr>
            </w:pPr>
            <w:r>
              <w:rPr>
                <w:sz w:val="15"/>
                <w:szCs w:val="15"/>
                <w:highlight w:val="none"/>
              </w:rPr>
              <w:t>2025.04.18</w:t>
            </w:r>
          </w:p>
        </w:tc>
        <w:tc>
          <w:tcPr>
            <w:tcW w:w="268" w:type="pct"/>
            <w:tcBorders>
              <w:top w:val="nil"/>
              <w:left w:val="nil"/>
              <w:bottom w:val="single" w:color="auto" w:sz="4" w:space="0"/>
              <w:right w:val="single" w:color="auto" w:sz="4" w:space="0"/>
            </w:tcBorders>
            <w:shd w:val="clear" w:color="auto" w:fill="auto"/>
            <w:noWrap/>
            <w:vAlign w:val="center"/>
          </w:tcPr>
          <w:p w14:paraId="06D5D07A">
            <w:pPr>
              <w:widowControl/>
              <w:jc w:val="center"/>
              <w:rPr>
                <w:sz w:val="15"/>
                <w:szCs w:val="15"/>
                <w:highlight w:val="none"/>
              </w:rPr>
            </w:pPr>
            <w:r>
              <w:rPr>
                <w:sz w:val="15"/>
                <w:szCs w:val="15"/>
                <w:highlight w:val="none"/>
              </w:rPr>
              <w:t>/</w:t>
            </w:r>
          </w:p>
        </w:tc>
        <w:tc>
          <w:tcPr>
            <w:tcW w:w="354" w:type="pct"/>
            <w:tcBorders>
              <w:top w:val="nil"/>
              <w:left w:val="nil"/>
              <w:bottom w:val="single" w:color="auto" w:sz="4" w:space="0"/>
              <w:right w:val="single" w:color="auto" w:sz="4" w:space="0"/>
            </w:tcBorders>
            <w:shd w:val="clear" w:color="auto" w:fill="auto"/>
            <w:noWrap/>
            <w:vAlign w:val="center"/>
          </w:tcPr>
          <w:p w14:paraId="53AB9310">
            <w:pPr>
              <w:widowControl/>
              <w:jc w:val="center"/>
              <w:rPr>
                <w:sz w:val="15"/>
                <w:szCs w:val="15"/>
                <w:highlight w:val="none"/>
              </w:rPr>
            </w:pPr>
            <w:r>
              <w:rPr>
                <w:sz w:val="15"/>
                <w:szCs w:val="15"/>
                <w:highlight w:val="none"/>
              </w:rPr>
              <w:t>24.20</w:t>
            </w:r>
          </w:p>
        </w:tc>
        <w:tc>
          <w:tcPr>
            <w:tcW w:w="401" w:type="pct"/>
            <w:tcBorders>
              <w:top w:val="nil"/>
              <w:left w:val="nil"/>
              <w:bottom w:val="single" w:color="auto" w:sz="4" w:space="0"/>
              <w:right w:val="single" w:color="auto" w:sz="4" w:space="0"/>
            </w:tcBorders>
            <w:shd w:val="clear" w:color="auto" w:fill="auto"/>
            <w:noWrap/>
            <w:vAlign w:val="center"/>
          </w:tcPr>
          <w:p w14:paraId="7835B63C">
            <w:pPr>
              <w:widowControl/>
              <w:jc w:val="center"/>
              <w:rPr>
                <w:sz w:val="15"/>
                <w:szCs w:val="15"/>
                <w:highlight w:val="none"/>
              </w:rPr>
            </w:pPr>
            <w:r>
              <w:rPr>
                <w:sz w:val="15"/>
                <w:szCs w:val="15"/>
                <w:highlight w:val="none"/>
              </w:rPr>
              <w:t>/</w:t>
            </w:r>
          </w:p>
        </w:tc>
        <w:tc>
          <w:tcPr>
            <w:tcW w:w="382" w:type="pct"/>
            <w:tcBorders>
              <w:top w:val="nil"/>
              <w:left w:val="nil"/>
              <w:bottom w:val="single" w:color="auto" w:sz="4" w:space="0"/>
              <w:right w:val="single" w:color="auto" w:sz="4" w:space="0"/>
            </w:tcBorders>
            <w:shd w:val="clear" w:color="auto" w:fill="auto"/>
            <w:noWrap/>
            <w:vAlign w:val="center"/>
          </w:tcPr>
          <w:p w14:paraId="3F9D0B71">
            <w:pPr>
              <w:widowControl/>
              <w:jc w:val="center"/>
              <w:rPr>
                <w:sz w:val="15"/>
                <w:szCs w:val="15"/>
                <w:highlight w:val="none"/>
              </w:rPr>
            </w:pPr>
            <w:r>
              <w:rPr>
                <w:sz w:val="15"/>
                <w:szCs w:val="15"/>
                <w:highlight w:val="none"/>
              </w:rPr>
              <w:t>38.50</w:t>
            </w:r>
          </w:p>
        </w:tc>
        <w:tc>
          <w:tcPr>
            <w:tcW w:w="368" w:type="pct"/>
            <w:tcBorders>
              <w:top w:val="nil"/>
              <w:left w:val="nil"/>
              <w:bottom w:val="single" w:color="auto" w:sz="4" w:space="0"/>
              <w:right w:val="single" w:color="auto" w:sz="4" w:space="0"/>
            </w:tcBorders>
            <w:shd w:val="clear" w:color="auto" w:fill="auto"/>
            <w:noWrap/>
            <w:vAlign w:val="center"/>
          </w:tcPr>
          <w:p w14:paraId="06CCBA68">
            <w:pPr>
              <w:widowControl/>
              <w:jc w:val="center"/>
              <w:rPr>
                <w:sz w:val="15"/>
                <w:szCs w:val="15"/>
                <w:highlight w:val="none"/>
              </w:rPr>
            </w:pPr>
            <w:r>
              <w:rPr>
                <w:sz w:val="15"/>
                <w:szCs w:val="15"/>
                <w:highlight w:val="none"/>
              </w:rPr>
              <w:t>4.81</w:t>
            </w:r>
          </w:p>
        </w:tc>
        <w:tc>
          <w:tcPr>
            <w:tcW w:w="368" w:type="pct"/>
            <w:tcBorders>
              <w:top w:val="nil"/>
              <w:left w:val="nil"/>
              <w:bottom w:val="single" w:color="auto" w:sz="4" w:space="0"/>
              <w:right w:val="single" w:color="auto" w:sz="4" w:space="0"/>
            </w:tcBorders>
            <w:shd w:val="clear" w:color="auto" w:fill="auto"/>
            <w:noWrap/>
            <w:vAlign w:val="center"/>
          </w:tcPr>
          <w:p w14:paraId="7717DEC7">
            <w:pPr>
              <w:widowControl/>
              <w:jc w:val="center"/>
              <w:rPr>
                <w:sz w:val="15"/>
                <w:szCs w:val="15"/>
                <w:highlight w:val="none"/>
              </w:rPr>
            </w:pPr>
            <w:r>
              <w:rPr>
                <w:sz w:val="15"/>
                <w:szCs w:val="15"/>
                <w:highlight w:val="none"/>
              </w:rPr>
              <w:t>/</w:t>
            </w:r>
          </w:p>
        </w:tc>
        <w:tc>
          <w:tcPr>
            <w:tcW w:w="462" w:type="pct"/>
            <w:tcBorders>
              <w:top w:val="nil"/>
              <w:left w:val="nil"/>
              <w:bottom w:val="single" w:color="auto" w:sz="4" w:space="0"/>
              <w:right w:val="single" w:color="auto" w:sz="4" w:space="0"/>
            </w:tcBorders>
            <w:shd w:val="clear" w:color="auto" w:fill="auto"/>
            <w:noWrap/>
            <w:vAlign w:val="center"/>
          </w:tcPr>
          <w:p w14:paraId="69CA5E91">
            <w:pPr>
              <w:widowControl/>
              <w:jc w:val="center"/>
              <w:rPr>
                <w:sz w:val="15"/>
                <w:szCs w:val="15"/>
                <w:highlight w:val="none"/>
              </w:rPr>
            </w:pPr>
            <w:r>
              <w:rPr>
                <w:sz w:val="15"/>
                <w:szCs w:val="15"/>
                <w:highlight w:val="none"/>
              </w:rPr>
              <w:t>/</w:t>
            </w:r>
          </w:p>
        </w:tc>
        <w:tc>
          <w:tcPr>
            <w:tcW w:w="462" w:type="pct"/>
            <w:tcBorders>
              <w:top w:val="nil"/>
              <w:left w:val="nil"/>
              <w:bottom w:val="single" w:color="auto" w:sz="4" w:space="0"/>
              <w:right w:val="single" w:color="auto" w:sz="4" w:space="0"/>
            </w:tcBorders>
            <w:shd w:val="clear" w:color="auto" w:fill="auto"/>
            <w:noWrap/>
            <w:vAlign w:val="center"/>
          </w:tcPr>
          <w:p w14:paraId="139ADEA2">
            <w:pPr>
              <w:widowControl/>
              <w:jc w:val="center"/>
              <w:rPr>
                <w:sz w:val="15"/>
                <w:szCs w:val="15"/>
                <w:highlight w:val="none"/>
              </w:rPr>
            </w:pPr>
            <w:r>
              <w:rPr>
                <w:sz w:val="15"/>
                <w:szCs w:val="15"/>
                <w:highlight w:val="none"/>
              </w:rPr>
              <w:t>/</w:t>
            </w:r>
          </w:p>
        </w:tc>
        <w:tc>
          <w:tcPr>
            <w:tcW w:w="368" w:type="pct"/>
            <w:tcBorders>
              <w:top w:val="nil"/>
              <w:left w:val="nil"/>
              <w:bottom w:val="single" w:color="auto" w:sz="4" w:space="0"/>
              <w:right w:val="single" w:color="auto" w:sz="4" w:space="0"/>
            </w:tcBorders>
            <w:shd w:val="clear" w:color="auto" w:fill="auto"/>
            <w:noWrap/>
            <w:vAlign w:val="center"/>
          </w:tcPr>
          <w:p w14:paraId="375BAD4A">
            <w:pPr>
              <w:widowControl/>
              <w:jc w:val="center"/>
              <w:rPr>
                <w:sz w:val="15"/>
                <w:szCs w:val="15"/>
                <w:highlight w:val="none"/>
              </w:rPr>
            </w:pPr>
            <w:r>
              <w:rPr>
                <w:sz w:val="15"/>
                <w:szCs w:val="15"/>
                <w:highlight w:val="none"/>
              </w:rPr>
              <w:t>/</w:t>
            </w:r>
          </w:p>
        </w:tc>
        <w:tc>
          <w:tcPr>
            <w:tcW w:w="368" w:type="pct"/>
            <w:tcBorders>
              <w:top w:val="nil"/>
              <w:left w:val="nil"/>
              <w:bottom w:val="single" w:color="auto" w:sz="4" w:space="0"/>
              <w:right w:val="single" w:color="auto" w:sz="4" w:space="0"/>
            </w:tcBorders>
            <w:shd w:val="clear" w:color="auto" w:fill="auto"/>
            <w:noWrap/>
            <w:vAlign w:val="center"/>
          </w:tcPr>
          <w:p w14:paraId="5313D1D0">
            <w:pPr>
              <w:widowControl/>
              <w:jc w:val="center"/>
              <w:rPr>
                <w:sz w:val="15"/>
                <w:szCs w:val="15"/>
                <w:highlight w:val="none"/>
              </w:rPr>
            </w:pPr>
            <w:r>
              <w:rPr>
                <w:sz w:val="15"/>
                <w:szCs w:val="15"/>
                <w:highlight w:val="none"/>
              </w:rPr>
              <w:t>/</w:t>
            </w:r>
          </w:p>
        </w:tc>
        <w:tc>
          <w:tcPr>
            <w:tcW w:w="425" w:type="pct"/>
            <w:tcBorders>
              <w:top w:val="nil"/>
              <w:left w:val="nil"/>
              <w:bottom w:val="single" w:color="auto" w:sz="4" w:space="0"/>
              <w:right w:val="single" w:color="auto" w:sz="4" w:space="0"/>
            </w:tcBorders>
            <w:shd w:val="clear" w:color="auto" w:fill="auto"/>
            <w:noWrap/>
            <w:vAlign w:val="center"/>
          </w:tcPr>
          <w:p w14:paraId="3A6501EA">
            <w:pPr>
              <w:widowControl/>
              <w:jc w:val="center"/>
              <w:rPr>
                <w:sz w:val="15"/>
                <w:szCs w:val="15"/>
                <w:highlight w:val="none"/>
              </w:rPr>
            </w:pPr>
            <w:r>
              <w:rPr>
                <w:sz w:val="15"/>
                <w:szCs w:val="15"/>
                <w:highlight w:val="none"/>
              </w:rPr>
              <w:t>256</w:t>
            </w:r>
          </w:p>
        </w:tc>
        <w:tc>
          <w:tcPr>
            <w:tcW w:w="268" w:type="pct"/>
            <w:tcBorders>
              <w:top w:val="nil"/>
              <w:left w:val="nil"/>
              <w:bottom w:val="single" w:color="auto" w:sz="4" w:space="0"/>
              <w:right w:val="single" w:color="auto" w:sz="4" w:space="0"/>
            </w:tcBorders>
            <w:shd w:val="clear" w:color="auto" w:fill="auto"/>
            <w:noWrap/>
            <w:vAlign w:val="center"/>
          </w:tcPr>
          <w:p w14:paraId="50073052">
            <w:pPr>
              <w:widowControl/>
              <w:jc w:val="center"/>
              <w:rPr>
                <w:sz w:val="15"/>
                <w:szCs w:val="15"/>
                <w:highlight w:val="none"/>
              </w:rPr>
            </w:pPr>
            <w:r>
              <w:rPr>
                <w:sz w:val="15"/>
                <w:szCs w:val="15"/>
                <w:highlight w:val="none"/>
              </w:rPr>
              <w:t>/</w:t>
            </w:r>
          </w:p>
        </w:tc>
      </w:tr>
      <w:tr w14:paraId="12845F63">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21204996">
            <w:pPr>
              <w:widowControl/>
              <w:jc w:val="center"/>
              <w:rPr>
                <w:sz w:val="15"/>
                <w:szCs w:val="15"/>
                <w:highlight w:val="none"/>
              </w:rPr>
            </w:pPr>
            <w:r>
              <w:rPr>
                <w:sz w:val="15"/>
                <w:szCs w:val="15"/>
                <w:highlight w:val="none"/>
              </w:rPr>
              <w:t>2025.04.21</w:t>
            </w:r>
          </w:p>
        </w:tc>
        <w:tc>
          <w:tcPr>
            <w:tcW w:w="268" w:type="pct"/>
            <w:tcBorders>
              <w:top w:val="nil"/>
              <w:left w:val="nil"/>
              <w:bottom w:val="single" w:color="auto" w:sz="4" w:space="0"/>
              <w:right w:val="single" w:color="auto" w:sz="4" w:space="0"/>
            </w:tcBorders>
            <w:shd w:val="clear" w:color="auto" w:fill="auto"/>
            <w:noWrap/>
            <w:vAlign w:val="center"/>
          </w:tcPr>
          <w:p w14:paraId="6EB3CB2B">
            <w:pPr>
              <w:widowControl/>
              <w:jc w:val="center"/>
              <w:rPr>
                <w:sz w:val="15"/>
                <w:szCs w:val="15"/>
                <w:highlight w:val="none"/>
              </w:rPr>
            </w:pPr>
            <w:r>
              <w:rPr>
                <w:sz w:val="15"/>
                <w:szCs w:val="15"/>
                <w:highlight w:val="none"/>
              </w:rPr>
              <w:t>/</w:t>
            </w:r>
          </w:p>
        </w:tc>
        <w:tc>
          <w:tcPr>
            <w:tcW w:w="354" w:type="pct"/>
            <w:tcBorders>
              <w:top w:val="nil"/>
              <w:left w:val="nil"/>
              <w:bottom w:val="single" w:color="auto" w:sz="4" w:space="0"/>
              <w:right w:val="single" w:color="auto" w:sz="4" w:space="0"/>
            </w:tcBorders>
            <w:shd w:val="clear" w:color="auto" w:fill="auto"/>
            <w:noWrap/>
            <w:vAlign w:val="center"/>
          </w:tcPr>
          <w:p w14:paraId="02861BFF">
            <w:pPr>
              <w:widowControl/>
              <w:jc w:val="center"/>
              <w:rPr>
                <w:sz w:val="15"/>
                <w:szCs w:val="15"/>
                <w:highlight w:val="none"/>
              </w:rPr>
            </w:pPr>
            <w:r>
              <w:rPr>
                <w:sz w:val="15"/>
                <w:szCs w:val="15"/>
                <w:highlight w:val="none"/>
              </w:rPr>
              <w:t>2.74</w:t>
            </w:r>
          </w:p>
        </w:tc>
        <w:tc>
          <w:tcPr>
            <w:tcW w:w="401" w:type="pct"/>
            <w:tcBorders>
              <w:top w:val="nil"/>
              <w:left w:val="nil"/>
              <w:bottom w:val="single" w:color="auto" w:sz="4" w:space="0"/>
              <w:right w:val="single" w:color="auto" w:sz="4" w:space="0"/>
            </w:tcBorders>
            <w:shd w:val="clear" w:color="auto" w:fill="auto"/>
            <w:noWrap/>
            <w:vAlign w:val="center"/>
          </w:tcPr>
          <w:p w14:paraId="6DECC459">
            <w:pPr>
              <w:widowControl/>
              <w:jc w:val="center"/>
              <w:rPr>
                <w:sz w:val="15"/>
                <w:szCs w:val="15"/>
                <w:highlight w:val="none"/>
              </w:rPr>
            </w:pPr>
            <w:r>
              <w:rPr>
                <w:sz w:val="15"/>
                <w:szCs w:val="15"/>
                <w:highlight w:val="none"/>
              </w:rPr>
              <w:t>/</w:t>
            </w:r>
          </w:p>
        </w:tc>
        <w:tc>
          <w:tcPr>
            <w:tcW w:w="382" w:type="pct"/>
            <w:tcBorders>
              <w:top w:val="nil"/>
              <w:left w:val="nil"/>
              <w:bottom w:val="single" w:color="auto" w:sz="4" w:space="0"/>
              <w:right w:val="single" w:color="auto" w:sz="4" w:space="0"/>
            </w:tcBorders>
            <w:shd w:val="clear" w:color="auto" w:fill="auto"/>
            <w:noWrap/>
            <w:vAlign w:val="center"/>
          </w:tcPr>
          <w:p w14:paraId="2F358BD0">
            <w:pPr>
              <w:widowControl/>
              <w:jc w:val="center"/>
              <w:rPr>
                <w:sz w:val="15"/>
                <w:szCs w:val="15"/>
                <w:highlight w:val="none"/>
              </w:rPr>
            </w:pPr>
            <w:r>
              <w:rPr>
                <w:sz w:val="15"/>
                <w:szCs w:val="15"/>
                <w:highlight w:val="none"/>
              </w:rPr>
              <w:t>27.90</w:t>
            </w:r>
          </w:p>
        </w:tc>
        <w:tc>
          <w:tcPr>
            <w:tcW w:w="368" w:type="pct"/>
            <w:tcBorders>
              <w:top w:val="nil"/>
              <w:left w:val="nil"/>
              <w:bottom w:val="single" w:color="auto" w:sz="4" w:space="0"/>
              <w:right w:val="single" w:color="auto" w:sz="4" w:space="0"/>
            </w:tcBorders>
            <w:shd w:val="clear" w:color="auto" w:fill="auto"/>
            <w:noWrap/>
            <w:vAlign w:val="center"/>
          </w:tcPr>
          <w:p w14:paraId="34417052">
            <w:pPr>
              <w:widowControl/>
              <w:jc w:val="center"/>
              <w:rPr>
                <w:sz w:val="15"/>
                <w:szCs w:val="15"/>
                <w:highlight w:val="none"/>
              </w:rPr>
            </w:pPr>
            <w:r>
              <w:rPr>
                <w:sz w:val="15"/>
                <w:szCs w:val="15"/>
                <w:highlight w:val="none"/>
              </w:rPr>
              <w:t>0.50</w:t>
            </w:r>
          </w:p>
        </w:tc>
        <w:tc>
          <w:tcPr>
            <w:tcW w:w="368" w:type="pct"/>
            <w:tcBorders>
              <w:top w:val="nil"/>
              <w:left w:val="nil"/>
              <w:bottom w:val="single" w:color="auto" w:sz="4" w:space="0"/>
              <w:right w:val="single" w:color="auto" w:sz="4" w:space="0"/>
            </w:tcBorders>
            <w:shd w:val="clear" w:color="auto" w:fill="auto"/>
            <w:noWrap/>
            <w:vAlign w:val="center"/>
          </w:tcPr>
          <w:p w14:paraId="4D7ED7C0">
            <w:pPr>
              <w:widowControl/>
              <w:jc w:val="center"/>
              <w:rPr>
                <w:sz w:val="15"/>
                <w:szCs w:val="15"/>
                <w:highlight w:val="none"/>
              </w:rPr>
            </w:pPr>
            <w:r>
              <w:rPr>
                <w:sz w:val="15"/>
                <w:szCs w:val="15"/>
                <w:highlight w:val="none"/>
              </w:rPr>
              <w:t>/</w:t>
            </w:r>
          </w:p>
        </w:tc>
        <w:tc>
          <w:tcPr>
            <w:tcW w:w="462" w:type="pct"/>
            <w:tcBorders>
              <w:top w:val="nil"/>
              <w:left w:val="nil"/>
              <w:bottom w:val="single" w:color="auto" w:sz="4" w:space="0"/>
              <w:right w:val="single" w:color="auto" w:sz="4" w:space="0"/>
            </w:tcBorders>
            <w:shd w:val="clear" w:color="auto" w:fill="auto"/>
            <w:noWrap/>
            <w:vAlign w:val="center"/>
          </w:tcPr>
          <w:p w14:paraId="1627B20D">
            <w:pPr>
              <w:widowControl/>
              <w:jc w:val="center"/>
              <w:rPr>
                <w:sz w:val="15"/>
                <w:szCs w:val="15"/>
                <w:highlight w:val="none"/>
              </w:rPr>
            </w:pPr>
            <w:r>
              <w:rPr>
                <w:sz w:val="15"/>
                <w:szCs w:val="15"/>
                <w:highlight w:val="none"/>
              </w:rPr>
              <w:t>/</w:t>
            </w:r>
          </w:p>
        </w:tc>
        <w:tc>
          <w:tcPr>
            <w:tcW w:w="462" w:type="pct"/>
            <w:tcBorders>
              <w:top w:val="nil"/>
              <w:left w:val="nil"/>
              <w:bottom w:val="single" w:color="auto" w:sz="4" w:space="0"/>
              <w:right w:val="single" w:color="auto" w:sz="4" w:space="0"/>
            </w:tcBorders>
            <w:shd w:val="clear" w:color="auto" w:fill="auto"/>
            <w:noWrap/>
            <w:vAlign w:val="center"/>
          </w:tcPr>
          <w:p w14:paraId="0BE65346">
            <w:pPr>
              <w:widowControl/>
              <w:jc w:val="center"/>
              <w:rPr>
                <w:sz w:val="15"/>
                <w:szCs w:val="15"/>
                <w:highlight w:val="none"/>
              </w:rPr>
            </w:pPr>
            <w:r>
              <w:rPr>
                <w:sz w:val="15"/>
                <w:szCs w:val="15"/>
                <w:highlight w:val="none"/>
              </w:rPr>
              <w:t>/</w:t>
            </w:r>
          </w:p>
        </w:tc>
        <w:tc>
          <w:tcPr>
            <w:tcW w:w="368" w:type="pct"/>
            <w:tcBorders>
              <w:top w:val="nil"/>
              <w:left w:val="nil"/>
              <w:bottom w:val="single" w:color="auto" w:sz="4" w:space="0"/>
              <w:right w:val="single" w:color="auto" w:sz="4" w:space="0"/>
            </w:tcBorders>
            <w:shd w:val="clear" w:color="auto" w:fill="auto"/>
            <w:noWrap/>
            <w:vAlign w:val="center"/>
          </w:tcPr>
          <w:p w14:paraId="1E1560E6">
            <w:pPr>
              <w:widowControl/>
              <w:jc w:val="center"/>
              <w:rPr>
                <w:sz w:val="15"/>
                <w:szCs w:val="15"/>
                <w:highlight w:val="none"/>
              </w:rPr>
            </w:pPr>
            <w:r>
              <w:rPr>
                <w:sz w:val="15"/>
                <w:szCs w:val="15"/>
                <w:highlight w:val="none"/>
              </w:rPr>
              <w:t>/</w:t>
            </w:r>
          </w:p>
        </w:tc>
        <w:tc>
          <w:tcPr>
            <w:tcW w:w="368" w:type="pct"/>
            <w:tcBorders>
              <w:top w:val="nil"/>
              <w:left w:val="nil"/>
              <w:bottom w:val="single" w:color="auto" w:sz="4" w:space="0"/>
              <w:right w:val="single" w:color="auto" w:sz="4" w:space="0"/>
            </w:tcBorders>
            <w:shd w:val="clear" w:color="auto" w:fill="auto"/>
            <w:noWrap/>
            <w:vAlign w:val="center"/>
          </w:tcPr>
          <w:p w14:paraId="3533216F">
            <w:pPr>
              <w:widowControl/>
              <w:jc w:val="center"/>
              <w:rPr>
                <w:sz w:val="15"/>
                <w:szCs w:val="15"/>
                <w:highlight w:val="none"/>
              </w:rPr>
            </w:pPr>
            <w:r>
              <w:rPr>
                <w:sz w:val="15"/>
                <w:szCs w:val="15"/>
                <w:highlight w:val="none"/>
              </w:rPr>
              <w:t>/</w:t>
            </w:r>
          </w:p>
        </w:tc>
        <w:tc>
          <w:tcPr>
            <w:tcW w:w="425" w:type="pct"/>
            <w:tcBorders>
              <w:top w:val="nil"/>
              <w:left w:val="single" w:color="auto" w:sz="4" w:space="0"/>
              <w:bottom w:val="single" w:color="auto" w:sz="4" w:space="0"/>
              <w:right w:val="single" w:color="auto" w:sz="4" w:space="0"/>
            </w:tcBorders>
            <w:shd w:val="clear" w:color="auto" w:fill="auto"/>
            <w:noWrap/>
            <w:vAlign w:val="center"/>
          </w:tcPr>
          <w:p w14:paraId="05967CEA">
            <w:pPr>
              <w:widowControl/>
              <w:jc w:val="center"/>
              <w:rPr>
                <w:sz w:val="15"/>
                <w:szCs w:val="15"/>
                <w:highlight w:val="none"/>
              </w:rPr>
            </w:pPr>
            <w:r>
              <w:rPr>
                <w:sz w:val="15"/>
                <w:szCs w:val="15"/>
                <w:highlight w:val="none"/>
              </w:rPr>
              <w:t>10</w:t>
            </w:r>
          </w:p>
        </w:tc>
        <w:tc>
          <w:tcPr>
            <w:tcW w:w="268" w:type="pct"/>
            <w:tcBorders>
              <w:top w:val="nil"/>
              <w:left w:val="nil"/>
              <w:bottom w:val="single" w:color="auto" w:sz="4" w:space="0"/>
              <w:right w:val="single" w:color="auto" w:sz="4" w:space="0"/>
            </w:tcBorders>
            <w:shd w:val="clear" w:color="auto" w:fill="auto"/>
            <w:noWrap/>
            <w:vAlign w:val="center"/>
          </w:tcPr>
          <w:p w14:paraId="7942CB76">
            <w:pPr>
              <w:widowControl/>
              <w:jc w:val="center"/>
              <w:rPr>
                <w:sz w:val="15"/>
                <w:szCs w:val="15"/>
                <w:highlight w:val="none"/>
              </w:rPr>
            </w:pPr>
            <w:r>
              <w:rPr>
                <w:sz w:val="15"/>
                <w:szCs w:val="15"/>
                <w:highlight w:val="none"/>
              </w:rPr>
              <w:t>/</w:t>
            </w:r>
          </w:p>
        </w:tc>
      </w:tr>
      <w:tr w14:paraId="1CA1B303">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7B4C13A1">
            <w:pPr>
              <w:widowControl/>
              <w:jc w:val="center"/>
              <w:rPr>
                <w:sz w:val="15"/>
                <w:szCs w:val="15"/>
                <w:highlight w:val="none"/>
              </w:rPr>
            </w:pPr>
            <w:r>
              <w:rPr>
                <w:sz w:val="15"/>
                <w:szCs w:val="15"/>
                <w:highlight w:val="none"/>
              </w:rPr>
              <w:t>2025.04.22</w:t>
            </w:r>
          </w:p>
        </w:tc>
        <w:tc>
          <w:tcPr>
            <w:tcW w:w="268" w:type="pct"/>
            <w:tcBorders>
              <w:top w:val="nil"/>
              <w:left w:val="nil"/>
              <w:bottom w:val="single" w:color="auto" w:sz="4" w:space="0"/>
              <w:right w:val="single" w:color="auto" w:sz="4" w:space="0"/>
            </w:tcBorders>
            <w:shd w:val="clear" w:color="auto" w:fill="auto"/>
            <w:noWrap/>
            <w:vAlign w:val="center"/>
          </w:tcPr>
          <w:p w14:paraId="309A104F">
            <w:pPr>
              <w:widowControl/>
              <w:jc w:val="center"/>
              <w:rPr>
                <w:sz w:val="15"/>
                <w:szCs w:val="15"/>
                <w:highlight w:val="none"/>
              </w:rPr>
            </w:pPr>
            <w:r>
              <w:rPr>
                <w:sz w:val="15"/>
                <w:szCs w:val="15"/>
                <w:highlight w:val="none"/>
              </w:rPr>
              <w:t>/</w:t>
            </w:r>
          </w:p>
        </w:tc>
        <w:tc>
          <w:tcPr>
            <w:tcW w:w="354" w:type="pct"/>
            <w:tcBorders>
              <w:top w:val="nil"/>
              <w:left w:val="nil"/>
              <w:bottom w:val="single" w:color="auto" w:sz="4" w:space="0"/>
              <w:right w:val="single" w:color="auto" w:sz="4" w:space="0"/>
            </w:tcBorders>
            <w:shd w:val="clear" w:color="auto" w:fill="auto"/>
            <w:noWrap/>
            <w:vAlign w:val="center"/>
          </w:tcPr>
          <w:p w14:paraId="21707441">
            <w:pPr>
              <w:widowControl/>
              <w:jc w:val="center"/>
              <w:rPr>
                <w:sz w:val="15"/>
                <w:szCs w:val="15"/>
                <w:highlight w:val="none"/>
              </w:rPr>
            </w:pPr>
            <w:r>
              <w:rPr>
                <w:sz w:val="15"/>
                <w:szCs w:val="15"/>
                <w:highlight w:val="none"/>
              </w:rPr>
              <w:t>5.55</w:t>
            </w:r>
          </w:p>
        </w:tc>
        <w:tc>
          <w:tcPr>
            <w:tcW w:w="401" w:type="pct"/>
            <w:tcBorders>
              <w:top w:val="nil"/>
              <w:left w:val="nil"/>
              <w:bottom w:val="single" w:color="auto" w:sz="4" w:space="0"/>
              <w:right w:val="single" w:color="auto" w:sz="4" w:space="0"/>
            </w:tcBorders>
            <w:shd w:val="clear" w:color="auto" w:fill="auto"/>
            <w:noWrap/>
            <w:vAlign w:val="center"/>
          </w:tcPr>
          <w:p w14:paraId="72289503">
            <w:pPr>
              <w:widowControl/>
              <w:jc w:val="center"/>
              <w:rPr>
                <w:sz w:val="15"/>
                <w:szCs w:val="15"/>
                <w:highlight w:val="none"/>
              </w:rPr>
            </w:pPr>
            <w:r>
              <w:rPr>
                <w:sz w:val="15"/>
                <w:szCs w:val="15"/>
                <w:highlight w:val="none"/>
              </w:rPr>
              <w:t>/</w:t>
            </w:r>
          </w:p>
        </w:tc>
        <w:tc>
          <w:tcPr>
            <w:tcW w:w="382" w:type="pct"/>
            <w:tcBorders>
              <w:top w:val="nil"/>
              <w:left w:val="nil"/>
              <w:bottom w:val="single" w:color="auto" w:sz="4" w:space="0"/>
              <w:right w:val="single" w:color="auto" w:sz="4" w:space="0"/>
            </w:tcBorders>
            <w:shd w:val="clear" w:color="auto" w:fill="auto"/>
            <w:noWrap/>
            <w:vAlign w:val="center"/>
          </w:tcPr>
          <w:p w14:paraId="19E98529">
            <w:pPr>
              <w:widowControl/>
              <w:jc w:val="center"/>
              <w:rPr>
                <w:sz w:val="15"/>
                <w:szCs w:val="15"/>
                <w:highlight w:val="none"/>
              </w:rPr>
            </w:pPr>
            <w:r>
              <w:rPr>
                <w:sz w:val="15"/>
                <w:szCs w:val="15"/>
                <w:highlight w:val="none"/>
              </w:rPr>
              <w:t>40.40</w:t>
            </w:r>
          </w:p>
        </w:tc>
        <w:tc>
          <w:tcPr>
            <w:tcW w:w="368" w:type="pct"/>
            <w:tcBorders>
              <w:top w:val="nil"/>
              <w:left w:val="nil"/>
              <w:bottom w:val="single" w:color="auto" w:sz="4" w:space="0"/>
              <w:right w:val="single" w:color="auto" w:sz="4" w:space="0"/>
            </w:tcBorders>
            <w:shd w:val="clear" w:color="auto" w:fill="auto"/>
            <w:noWrap/>
            <w:vAlign w:val="center"/>
          </w:tcPr>
          <w:p w14:paraId="2EA62D1E">
            <w:pPr>
              <w:widowControl/>
              <w:jc w:val="center"/>
              <w:rPr>
                <w:sz w:val="15"/>
                <w:szCs w:val="15"/>
                <w:highlight w:val="none"/>
              </w:rPr>
            </w:pPr>
            <w:r>
              <w:rPr>
                <w:sz w:val="15"/>
                <w:szCs w:val="15"/>
                <w:highlight w:val="none"/>
              </w:rPr>
              <w:t>0.17</w:t>
            </w:r>
          </w:p>
        </w:tc>
        <w:tc>
          <w:tcPr>
            <w:tcW w:w="368" w:type="pct"/>
            <w:tcBorders>
              <w:top w:val="nil"/>
              <w:left w:val="nil"/>
              <w:bottom w:val="single" w:color="auto" w:sz="4" w:space="0"/>
              <w:right w:val="single" w:color="auto" w:sz="4" w:space="0"/>
            </w:tcBorders>
            <w:shd w:val="clear" w:color="auto" w:fill="auto"/>
            <w:noWrap/>
            <w:vAlign w:val="center"/>
          </w:tcPr>
          <w:p w14:paraId="381DACB8">
            <w:pPr>
              <w:widowControl/>
              <w:jc w:val="center"/>
              <w:rPr>
                <w:sz w:val="15"/>
                <w:szCs w:val="15"/>
                <w:highlight w:val="none"/>
              </w:rPr>
            </w:pPr>
            <w:r>
              <w:rPr>
                <w:sz w:val="15"/>
                <w:szCs w:val="15"/>
                <w:highlight w:val="none"/>
              </w:rPr>
              <w:t>/</w:t>
            </w:r>
          </w:p>
        </w:tc>
        <w:tc>
          <w:tcPr>
            <w:tcW w:w="462" w:type="pct"/>
            <w:tcBorders>
              <w:top w:val="nil"/>
              <w:left w:val="nil"/>
              <w:bottom w:val="single" w:color="auto" w:sz="4" w:space="0"/>
              <w:right w:val="single" w:color="auto" w:sz="4" w:space="0"/>
            </w:tcBorders>
            <w:shd w:val="clear" w:color="auto" w:fill="auto"/>
            <w:noWrap/>
            <w:vAlign w:val="center"/>
          </w:tcPr>
          <w:p w14:paraId="6577D9FF">
            <w:pPr>
              <w:widowControl/>
              <w:jc w:val="center"/>
              <w:rPr>
                <w:sz w:val="15"/>
                <w:szCs w:val="15"/>
                <w:highlight w:val="none"/>
              </w:rPr>
            </w:pPr>
            <w:r>
              <w:rPr>
                <w:sz w:val="15"/>
                <w:szCs w:val="15"/>
                <w:highlight w:val="none"/>
              </w:rPr>
              <w:t>/</w:t>
            </w:r>
          </w:p>
        </w:tc>
        <w:tc>
          <w:tcPr>
            <w:tcW w:w="462" w:type="pct"/>
            <w:tcBorders>
              <w:top w:val="nil"/>
              <w:left w:val="nil"/>
              <w:bottom w:val="single" w:color="auto" w:sz="4" w:space="0"/>
              <w:right w:val="single" w:color="auto" w:sz="4" w:space="0"/>
            </w:tcBorders>
            <w:shd w:val="clear" w:color="auto" w:fill="auto"/>
            <w:noWrap/>
            <w:vAlign w:val="center"/>
          </w:tcPr>
          <w:p w14:paraId="41F2EC98">
            <w:pPr>
              <w:widowControl/>
              <w:jc w:val="center"/>
              <w:rPr>
                <w:sz w:val="15"/>
                <w:szCs w:val="15"/>
                <w:highlight w:val="none"/>
              </w:rPr>
            </w:pPr>
            <w:r>
              <w:rPr>
                <w:sz w:val="15"/>
                <w:szCs w:val="15"/>
                <w:highlight w:val="none"/>
              </w:rPr>
              <w:t>/</w:t>
            </w:r>
          </w:p>
        </w:tc>
        <w:tc>
          <w:tcPr>
            <w:tcW w:w="368" w:type="pct"/>
            <w:tcBorders>
              <w:top w:val="nil"/>
              <w:left w:val="nil"/>
              <w:bottom w:val="single" w:color="auto" w:sz="4" w:space="0"/>
              <w:right w:val="single" w:color="auto" w:sz="4" w:space="0"/>
            </w:tcBorders>
            <w:shd w:val="clear" w:color="auto" w:fill="auto"/>
            <w:noWrap/>
            <w:vAlign w:val="center"/>
          </w:tcPr>
          <w:p w14:paraId="1F6B5EB5">
            <w:pPr>
              <w:widowControl/>
              <w:jc w:val="center"/>
              <w:rPr>
                <w:sz w:val="15"/>
                <w:szCs w:val="15"/>
                <w:highlight w:val="none"/>
              </w:rPr>
            </w:pPr>
            <w:r>
              <w:rPr>
                <w:sz w:val="15"/>
                <w:szCs w:val="15"/>
                <w:highlight w:val="none"/>
              </w:rPr>
              <w:t>/</w:t>
            </w:r>
          </w:p>
        </w:tc>
        <w:tc>
          <w:tcPr>
            <w:tcW w:w="368" w:type="pct"/>
            <w:tcBorders>
              <w:top w:val="nil"/>
              <w:left w:val="nil"/>
              <w:bottom w:val="single" w:color="auto" w:sz="4" w:space="0"/>
              <w:right w:val="single" w:color="auto" w:sz="4" w:space="0"/>
            </w:tcBorders>
            <w:shd w:val="clear" w:color="auto" w:fill="auto"/>
            <w:noWrap/>
            <w:vAlign w:val="center"/>
          </w:tcPr>
          <w:p w14:paraId="751D1746">
            <w:pPr>
              <w:widowControl/>
              <w:jc w:val="center"/>
              <w:rPr>
                <w:sz w:val="15"/>
                <w:szCs w:val="15"/>
                <w:highlight w:val="none"/>
              </w:rPr>
            </w:pPr>
            <w:r>
              <w:rPr>
                <w:sz w:val="15"/>
                <w:szCs w:val="15"/>
                <w:highlight w:val="none"/>
              </w:rPr>
              <w:t>/</w:t>
            </w:r>
          </w:p>
        </w:tc>
        <w:tc>
          <w:tcPr>
            <w:tcW w:w="425" w:type="pct"/>
            <w:tcBorders>
              <w:top w:val="nil"/>
              <w:left w:val="nil"/>
              <w:bottom w:val="single" w:color="auto" w:sz="4" w:space="0"/>
              <w:right w:val="single" w:color="auto" w:sz="4" w:space="0"/>
            </w:tcBorders>
            <w:shd w:val="clear" w:color="auto" w:fill="auto"/>
            <w:noWrap/>
            <w:vAlign w:val="center"/>
          </w:tcPr>
          <w:p w14:paraId="7812CA3E">
            <w:pPr>
              <w:widowControl/>
              <w:jc w:val="center"/>
              <w:rPr>
                <w:sz w:val="15"/>
                <w:szCs w:val="15"/>
                <w:highlight w:val="none"/>
              </w:rPr>
            </w:pPr>
            <w:r>
              <w:rPr>
                <w:sz w:val="15"/>
                <w:szCs w:val="15"/>
                <w:highlight w:val="none"/>
              </w:rPr>
              <w:t>8</w:t>
            </w:r>
          </w:p>
        </w:tc>
        <w:tc>
          <w:tcPr>
            <w:tcW w:w="268" w:type="pct"/>
            <w:tcBorders>
              <w:top w:val="nil"/>
              <w:left w:val="nil"/>
              <w:bottom w:val="single" w:color="auto" w:sz="4" w:space="0"/>
              <w:right w:val="single" w:color="auto" w:sz="4" w:space="0"/>
            </w:tcBorders>
            <w:shd w:val="clear" w:color="auto" w:fill="auto"/>
            <w:noWrap/>
            <w:vAlign w:val="center"/>
          </w:tcPr>
          <w:p w14:paraId="03E5A96F">
            <w:pPr>
              <w:widowControl/>
              <w:jc w:val="center"/>
              <w:rPr>
                <w:sz w:val="15"/>
                <w:szCs w:val="15"/>
                <w:highlight w:val="none"/>
              </w:rPr>
            </w:pPr>
            <w:r>
              <w:rPr>
                <w:sz w:val="15"/>
                <w:szCs w:val="15"/>
                <w:highlight w:val="none"/>
              </w:rPr>
              <w:t>/</w:t>
            </w:r>
          </w:p>
        </w:tc>
      </w:tr>
      <w:tr w14:paraId="31F96E93">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025D2999">
            <w:pPr>
              <w:widowControl/>
              <w:jc w:val="center"/>
              <w:rPr>
                <w:sz w:val="15"/>
                <w:szCs w:val="15"/>
                <w:highlight w:val="none"/>
              </w:rPr>
            </w:pPr>
            <w:r>
              <w:rPr>
                <w:sz w:val="15"/>
                <w:szCs w:val="15"/>
                <w:highlight w:val="none"/>
              </w:rPr>
              <w:t>2025.04.23</w:t>
            </w:r>
          </w:p>
        </w:tc>
        <w:tc>
          <w:tcPr>
            <w:tcW w:w="268" w:type="pct"/>
            <w:tcBorders>
              <w:top w:val="nil"/>
              <w:left w:val="nil"/>
              <w:bottom w:val="single" w:color="auto" w:sz="4" w:space="0"/>
              <w:right w:val="single" w:color="auto" w:sz="4" w:space="0"/>
            </w:tcBorders>
            <w:shd w:val="clear" w:color="auto" w:fill="auto"/>
            <w:noWrap/>
            <w:vAlign w:val="center"/>
          </w:tcPr>
          <w:p w14:paraId="4B118C34">
            <w:pPr>
              <w:widowControl/>
              <w:jc w:val="center"/>
              <w:rPr>
                <w:sz w:val="15"/>
                <w:szCs w:val="15"/>
                <w:highlight w:val="none"/>
              </w:rPr>
            </w:pPr>
            <w:r>
              <w:rPr>
                <w:sz w:val="15"/>
                <w:szCs w:val="15"/>
                <w:highlight w:val="none"/>
              </w:rPr>
              <w:t>/</w:t>
            </w:r>
          </w:p>
        </w:tc>
        <w:tc>
          <w:tcPr>
            <w:tcW w:w="354" w:type="pct"/>
            <w:tcBorders>
              <w:top w:val="nil"/>
              <w:left w:val="nil"/>
              <w:bottom w:val="single" w:color="auto" w:sz="4" w:space="0"/>
              <w:right w:val="single" w:color="auto" w:sz="4" w:space="0"/>
            </w:tcBorders>
            <w:shd w:val="clear" w:color="auto" w:fill="auto"/>
            <w:noWrap/>
            <w:vAlign w:val="center"/>
          </w:tcPr>
          <w:p w14:paraId="7B3C7484">
            <w:pPr>
              <w:widowControl/>
              <w:jc w:val="center"/>
              <w:rPr>
                <w:sz w:val="15"/>
                <w:szCs w:val="15"/>
                <w:highlight w:val="none"/>
              </w:rPr>
            </w:pPr>
            <w:r>
              <w:rPr>
                <w:sz w:val="15"/>
                <w:szCs w:val="15"/>
                <w:highlight w:val="none"/>
              </w:rPr>
              <w:t>4.26</w:t>
            </w:r>
          </w:p>
        </w:tc>
        <w:tc>
          <w:tcPr>
            <w:tcW w:w="401" w:type="pct"/>
            <w:tcBorders>
              <w:top w:val="nil"/>
              <w:left w:val="nil"/>
              <w:bottom w:val="single" w:color="auto" w:sz="4" w:space="0"/>
              <w:right w:val="single" w:color="auto" w:sz="4" w:space="0"/>
            </w:tcBorders>
            <w:shd w:val="clear" w:color="auto" w:fill="auto"/>
            <w:noWrap/>
            <w:vAlign w:val="center"/>
          </w:tcPr>
          <w:p w14:paraId="594EE3B0">
            <w:pPr>
              <w:widowControl/>
              <w:jc w:val="center"/>
              <w:rPr>
                <w:sz w:val="15"/>
                <w:szCs w:val="15"/>
                <w:highlight w:val="none"/>
              </w:rPr>
            </w:pPr>
            <w:r>
              <w:rPr>
                <w:sz w:val="15"/>
                <w:szCs w:val="15"/>
                <w:highlight w:val="none"/>
              </w:rPr>
              <w:t>/</w:t>
            </w:r>
          </w:p>
        </w:tc>
        <w:tc>
          <w:tcPr>
            <w:tcW w:w="382" w:type="pct"/>
            <w:tcBorders>
              <w:top w:val="nil"/>
              <w:left w:val="nil"/>
              <w:bottom w:val="single" w:color="auto" w:sz="4" w:space="0"/>
              <w:right w:val="single" w:color="auto" w:sz="4" w:space="0"/>
            </w:tcBorders>
            <w:shd w:val="clear" w:color="auto" w:fill="auto"/>
            <w:noWrap/>
            <w:vAlign w:val="center"/>
          </w:tcPr>
          <w:p w14:paraId="4281BAF8">
            <w:pPr>
              <w:widowControl/>
              <w:jc w:val="center"/>
              <w:rPr>
                <w:sz w:val="15"/>
                <w:szCs w:val="15"/>
                <w:highlight w:val="none"/>
              </w:rPr>
            </w:pPr>
            <w:r>
              <w:rPr>
                <w:sz w:val="15"/>
                <w:szCs w:val="15"/>
                <w:highlight w:val="none"/>
              </w:rPr>
              <w:t>22.30</w:t>
            </w:r>
          </w:p>
        </w:tc>
        <w:tc>
          <w:tcPr>
            <w:tcW w:w="368" w:type="pct"/>
            <w:tcBorders>
              <w:top w:val="nil"/>
              <w:left w:val="nil"/>
              <w:bottom w:val="single" w:color="auto" w:sz="4" w:space="0"/>
              <w:right w:val="single" w:color="auto" w:sz="4" w:space="0"/>
            </w:tcBorders>
            <w:shd w:val="clear" w:color="auto" w:fill="auto"/>
            <w:noWrap/>
            <w:vAlign w:val="center"/>
          </w:tcPr>
          <w:p w14:paraId="05EE8261">
            <w:pPr>
              <w:widowControl/>
              <w:jc w:val="center"/>
              <w:rPr>
                <w:sz w:val="15"/>
                <w:szCs w:val="15"/>
                <w:highlight w:val="none"/>
              </w:rPr>
            </w:pPr>
            <w:r>
              <w:rPr>
                <w:sz w:val="15"/>
                <w:szCs w:val="15"/>
                <w:highlight w:val="none"/>
              </w:rPr>
              <w:t>0.14</w:t>
            </w:r>
          </w:p>
        </w:tc>
        <w:tc>
          <w:tcPr>
            <w:tcW w:w="368" w:type="pct"/>
            <w:tcBorders>
              <w:top w:val="nil"/>
              <w:left w:val="nil"/>
              <w:bottom w:val="single" w:color="auto" w:sz="4" w:space="0"/>
              <w:right w:val="single" w:color="auto" w:sz="4" w:space="0"/>
            </w:tcBorders>
            <w:shd w:val="clear" w:color="auto" w:fill="auto"/>
            <w:noWrap/>
            <w:vAlign w:val="center"/>
          </w:tcPr>
          <w:p w14:paraId="2A0C8540">
            <w:pPr>
              <w:widowControl/>
              <w:jc w:val="center"/>
              <w:rPr>
                <w:sz w:val="15"/>
                <w:szCs w:val="15"/>
                <w:highlight w:val="none"/>
              </w:rPr>
            </w:pPr>
            <w:r>
              <w:rPr>
                <w:sz w:val="15"/>
                <w:szCs w:val="15"/>
                <w:highlight w:val="none"/>
              </w:rPr>
              <w:t>/</w:t>
            </w:r>
          </w:p>
        </w:tc>
        <w:tc>
          <w:tcPr>
            <w:tcW w:w="462" w:type="pct"/>
            <w:tcBorders>
              <w:top w:val="nil"/>
              <w:left w:val="nil"/>
              <w:bottom w:val="single" w:color="auto" w:sz="4" w:space="0"/>
              <w:right w:val="single" w:color="auto" w:sz="4" w:space="0"/>
            </w:tcBorders>
            <w:shd w:val="clear" w:color="auto" w:fill="auto"/>
            <w:noWrap/>
            <w:vAlign w:val="center"/>
          </w:tcPr>
          <w:p w14:paraId="3D60C310">
            <w:pPr>
              <w:widowControl/>
              <w:jc w:val="center"/>
              <w:rPr>
                <w:sz w:val="15"/>
                <w:szCs w:val="15"/>
                <w:highlight w:val="none"/>
              </w:rPr>
            </w:pPr>
            <w:r>
              <w:rPr>
                <w:sz w:val="15"/>
                <w:szCs w:val="15"/>
                <w:highlight w:val="none"/>
              </w:rPr>
              <w:t>/</w:t>
            </w:r>
          </w:p>
        </w:tc>
        <w:tc>
          <w:tcPr>
            <w:tcW w:w="462" w:type="pct"/>
            <w:tcBorders>
              <w:top w:val="nil"/>
              <w:left w:val="nil"/>
              <w:bottom w:val="single" w:color="auto" w:sz="4" w:space="0"/>
              <w:right w:val="single" w:color="auto" w:sz="4" w:space="0"/>
            </w:tcBorders>
            <w:shd w:val="clear" w:color="auto" w:fill="auto"/>
            <w:noWrap/>
            <w:vAlign w:val="center"/>
          </w:tcPr>
          <w:p w14:paraId="44281C59">
            <w:pPr>
              <w:widowControl/>
              <w:jc w:val="center"/>
              <w:rPr>
                <w:sz w:val="15"/>
                <w:szCs w:val="15"/>
                <w:highlight w:val="none"/>
              </w:rPr>
            </w:pPr>
            <w:r>
              <w:rPr>
                <w:sz w:val="15"/>
                <w:szCs w:val="15"/>
                <w:highlight w:val="none"/>
              </w:rPr>
              <w:t>/</w:t>
            </w:r>
          </w:p>
        </w:tc>
        <w:tc>
          <w:tcPr>
            <w:tcW w:w="368" w:type="pct"/>
            <w:tcBorders>
              <w:top w:val="nil"/>
              <w:left w:val="nil"/>
              <w:bottom w:val="single" w:color="auto" w:sz="4" w:space="0"/>
              <w:right w:val="single" w:color="auto" w:sz="4" w:space="0"/>
            </w:tcBorders>
            <w:shd w:val="clear" w:color="auto" w:fill="auto"/>
            <w:noWrap/>
            <w:vAlign w:val="center"/>
          </w:tcPr>
          <w:p w14:paraId="51D44C83">
            <w:pPr>
              <w:widowControl/>
              <w:jc w:val="center"/>
              <w:rPr>
                <w:sz w:val="15"/>
                <w:szCs w:val="15"/>
                <w:highlight w:val="none"/>
              </w:rPr>
            </w:pPr>
            <w:r>
              <w:rPr>
                <w:sz w:val="15"/>
                <w:szCs w:val="15"/>
                <w:highlight w:val="none"/>
              </w:rPr>
              <w:t>/</w:t>
            </w:r>
          </w:p>
        </w:tc>
        <w:tc>
          <w:tcPr>
            <w:tcW w:w="368" w:type="pct"/>
            <w:tcBorders>
              <w:top w:val="nil"/>
              <w:left w:val="nil"/>
              <w:bottom w:val="single" w:color="auto" w:sz="4" w:space="0"/>
              <w:right w:val="single" w:color="auto" w:sz="4" w:space="0"/>
            </w:tcBorders>
            <w:shd w:val="clear" w:color="auto" w:fill="auto"/>
            <w:noWrap/>
            <w:vAlign w:val="center"/>
          </w:tcPr>
          <w:p w14:paraId="588810AF">
            <w:pPr>
              <w:widowControl/>
              <w:jc w:val="center"/>
              <w:rPr>
                <w:sz w:val="15"/>
                <w:szCs w:val="15"/>
                <w:highlight w:val="none"/>
              </w:rPr>
            </w:pPr>
            <w:r>
              <w:rPr>
                <w:sz w:val="15"/>
                <w:szCs w:val="15"/>
                <w:highlight w:val="none"/>
              </w:rPr>
              <w:t>/</w:t>
            </w:r>
          </w:p>
        </w:tc>
        <w:tc>
          <w:tcPr>
            <w:tcW w:w="425" w:type="pct"/>
            <w:tcBorders>
              <w:top w:val="nil"/>
              <w:left w:val="nil"/>
              <w:bottom w:val="single" w:color="auto" w:sz="4" w:space="0"/>
              <w:right w:val="single" w:color="auto" w:sz="4" w:space="0"/>
            </w:tcBorders>
            <w:shd w:val="clear" w:color="auto" w:fill="auto"/>
            <w:noWrap/>
            <w:vAlign w:val="center"/>
          </w:tcPr>
          <w:p w14:paraId="76F4F445">
            <w:pPr>
              <w:widowControl/>
              <w:jc w:val="center"/>
              <w:rPr>
                <w:sz w:val="15"/>
                <w:szCs w:val="15"/>
                <w:highlight w:val="none"/>
              </w:rPr>
            </w:pPr>
            <w:r>
              <w:rPr>
                <w:sz w:val="15"/>
                <w:szCs w:val="15"/>
                <w:highlight w:val="none"/>
              </w:rPr>
              <w:t>7</w:t>
            </w:r>
          </w:p>
        </w:tc>
        <w:tc>
          <w:tcPr>
            <w:tcW w:w="268" w:type="pct"/>
            <w:tcBorders>
              <w:top w:val="nil"/>
              <w:left w:val="nil"/>
              <w:bottom w:val="single" w:color="auto" w:sz="4" w:space="0"/>
              <w:right w:val="single" w:color="auto" w:sz="4" w:space="0"/>
            </w:tcBorders>
            <w:shd w:val="clear" w:color="auto" w:fill="auto"/>
            <w:noWrap/>
            <w:vAlign w:val="center"/>
          </w:tcPr>
          <w:p w14:paraId="2E4BEE15">
            <w:pPr>
              <w:widowControl/>
              <w:jc w:val="center"/>
              <w:rPr>
                <w:sz w:val="15"/>
                <w:szCs w:val="15"/>
                <w:highlight w:val="none"/>
              </w:rPr>
            </w:pPr>
            <w:r>
              <w:rPr>
                <w:sz w:val="15"/>
                <w:szCs w:val="15"/>
                <w:highlight w:val="none"/>
              </w:rPr>
              <w:t>/</w:t>
            </w:r>
          </w:p>
        </w:tc>
      </w:tr>
      <w:tr w14:paraId="53DCF1CE">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4913DA2A">
            <w:pPr>
              <w:widowControl/>
              <w:jc w:val="center"/>
              <w:rPr>
                <w:sz w:val="15"/>
                <w:szCs w:val="15"/>
                <w:highlight w:val="none"/>
              </w:rPr>
            </w:pPr>
            <w:r>
              <w:rPr>
                <w:sz w:val="15"/>
                <w:szCs w:val="15"/>
                <w:highlight w:val="none"/>
              </w:rPr>
              <w:t>2025.04.24</w:t>
            </w:r>
          </w:p>
        </w:tc>
        <w:tc>
          <w:tcPr>
            <w:tcW w:w="268" w:type="pct"/>
            <w:tcBorders>
              <w:top w:val="nil"/>
              <w:left w:val="nil"/>
              <w:bottom w:val="single" w:color="auto" w:sz="4" w:space="0"/>
              <w:right w:val="single" w:color="auto" w:sz="4" w:space="0"/>
            </w:tcBorders>
            <w:shd w:val="clear" w:color="auto" w:fill="auto"/>
            <w:noWrap/>
            <w:vAlign w:val="center"/>
          </w:tcPr>
          <w:p w14:paraId="19A55227">
            <w:pPr>
              <w:widowControl/>
              <w:jc w:val="center"/>
              <w:rPr>
                <w:sz w:val="15"/>
                <w:szCs w:val="15"/>
                <w:highlight w:val="none"/>
              </w:rPr>
            </w:pPr>
            <w:r>
              <w:rPr>
                <w:sz w:val="15"/>
                <w:szCs w:val="15"/>
                <w:highlight w:val="none"/>
              </w:rPr>
              <w:t>7.36</w:t>
            </w:r>
          </w:p>
        </w:tc>
        <w:tc>
          <w:tcPr>
            <w:tcW w:w="354" w:type="pct"/>
            <w:tcBorders>
              <w:top w:val="nil"/>
              <w:left w:val="nil"/>
              <w:bottom w:val="single" w:color="auto" w:sz="4" w:space="0"/>
              <w:right w:val="single" w:color="auto" w:sz="4" w:space="0"/>
            </w:tcBorders>
            <w:shd w:val="clear" w:color="auto" w:fill="auto"/>
            <w:noWrap/>
            <w:vAlign w:val="center"/>
          </w:tcPr>
          <w:p w14:paraId="764D7449">
            <w:pPr>
              <w:widowControl/>
              <w:jc w:val="center"/>
              <w:rPr>
                <w:sz w:val="15"/>
                <w:szCs w:val="15"/>
                <w:highlight w:val="none"/>
              </w:rPr>
            </w:pPr>
            <w:r>
              <w:rPr>
                <w:sz w:val="15"/>
                <w:szCs w:val="15"/>
                <w:highlight w:val="none"/>
              </w:rPr>
              <w:t>7.94</w:t>
            </w:r>
          </w:p>
        </w:tc>
        <w:tc>
          <w:tcPr>
            <w:tcW w:w="401" w:type="pct"/>
            <w:tcBorders>
              <w:top w:val="nil"/>
              <w:left w:val="nil"/>
              <w:bottom w:val="single" w:color="auto" w:sz="4" w:space="0"/>
              <w:right w:val="single" w:color="auto" w:sz="4" w:space="0"/>
            </w:tcBorders>
            <w:shd w:val="clear" w:color="auto" w:fill="auto"/>
            <w:noWrap/>
            <w:vAlign w:val="center"/>
          </w:tcPr>
          <w:p w14:paraId="147317B9">
            <w:pPr>
              <w:widowControl/>
              <w:jc w:val="center"/>
              <w:rPr>
                <w:sz w:val="15"/>
                <w:szCs w:val="15"/>
                <w:highlight w:val="none"/>
              </w:rPr>
            </w:pPr>
            <w:r>
              <w:rPr>
                <w:sz w:val="15"/>
                <w:szCs w:val="15"/>
                <w:highlight w:val="none"/>
              </w:rPr>
              <w:t>1464</w:t>
            </w:r>
          </w:p>
        </w:tc>
        <w:tc>
          <w:tcPr>
            <w:tcW w:w="382" w:type="pct"/>
            <w:tcBorders>
              <w:top w:val="nil"/>
              <w:left w:val="nil"/>
              <w:bottom w:val="single" w:color="auto" w:sz="4" w:space="0"/>
              <w:right w:val="single" w:color="auto" w:sz="4" w:space="0"/>
            </w:tcBorders>
            <w:shd w:val="clear" w:color="auto" w:fill="auto"/>
            <w:noWrap/>
            <w:vAlign w:val="center"/>
          </w:tcPr>
          <w:p w14:paraId="1E61C9C8">
            <w:pPr>
              <w:widowControl/>
              <w:jc w:val="center"/>
              <w:rPr>
                <w:sz w:val="15"/>
                <w:szCs w:val="15"/>
                <w:highlight w:val="none"/>
              </w:rPr>
            </w:pPr>
            <w:r>
              <w:rPr>
                <w:sz w:val="15"/>
                <w:szCs w:val="15"/>
                <w:highlight w:val="none"/>
              </w:rPr>
              <w:t>17.60</w:t>
            </w:r>
          </w:p>
        </w:tc>
        <w:tc>
          <w:tcPr>
            <w:tcW w:w="368" w:type="pct"/>
            <w:tcBorders>
              <w:top w:val="nil"/>
              <w:left w:val="nil"/>
              <w:bottom w:val="single" w:color="auto" w:sz="4" w:space="0"/>
              <w:right w:val="single" w:color="auto" w:sz="4" w:space="0"/>
            </w:tcBorders>
            <w:shd w:val="clear" w:color="auto" w:fill="auto"/>
            <w:noWrap/>
            <w:vAlign w:val="center"/>
          </w:tcPr>
          <w:p w14:paraId="2886D2A0">
            <w:pPr>
              <w:widowControl/>
              <w:jc w:val="center"/>
              <w:rPr>
                <w:sz w:val="15"/>
                <w:szCs w:val="15"/>
                <w:highlight w:val="none"/>
              </w:rPr>
            </w:pPr>
            <w:r>
              <w:rPr>
                <w:sz w:val="15"/>
                <w:szCs w:val="15"/>
                <w:highlight w:val="none"/>
              </w:rPr>
              <w:t>0.26</w:t>
            </w:r>
          </w:p>
        </w:tc>
        <w:tc>
          <w:tcPr>
            <w:tcW w:w="368" w:type="pct"/>
            <w:tcBorders>
              <w:top w:val="nil"/>
              <w:left w:val="nil"/>
              <w:bottom w:val="single" w:color="auto" w:sz="4" w:space="0"/>
              <w:right w:val="single" w:color="auto" w:sz="4" w:space="0"/>
            </w:tcBorders>
            <w:shd w:val="clear" w:color="auto" w:fill="auto"/>
            <w:noWrap/>
            <w:vAlign w:val="center"/>
          </w:tcPr>
          <w:p w14:paraId="574B1D37">
            <w:pPr>
              <w:widowControl/>
              <w:jc w:val="center"/>
              <w:rPr>
                <w:sz w:val="15"/>
                <w:szCs w:val="15"/>
                <w:highlight w:val="none"/>
              </w:rPr>
            </w:pPr>
            <w:r>
              <w:rPr>
                <w:sz w:val="15"/>
                <w:szCs w:val="15"/>
                <w:highlight w:val="none"/>
              </w:rPr>
              <w:t>230.99</w:t>
            </w:r>
          </w:p>
        </w:tc>
        <w:tc>
          <w:tcPr>
            <w:tcW w:w="462" w:type="pct"/>
            <w:tcBorders>
              <w:top w:val="nil"/>
              <w:left w:val="nil"/>
              <w:bottom w:val="single" w:color="auto" w:sz="4" w:space="0"/>
              <w:right w:val="single" w:color="auto" w:sz="4" w:space="0"/>
            </w:tcBorders>
            <w:shd w:val="clear" w:color="auto" w:fill="auto"/>
            <w:noWrap/>
            <w:vAlign w:val="center"/>
          </w:tcPr>
          <w:p w14:paraId="77AC9FB1">
            <w:pPr>
              <w:widowControl/>
              <w:jc w:val="center"/>
              <w:rPr>
                <w:sz w:val="15"/>
                <w:szCs w:val="15"/>
                <w:highlight w:val="none"/>
              </w:rPr>
            </w:pPr>
            <w:r>
              <w:rPr>
                <w:sz w:val="15"/>
                <w:szCs w:val="15"/>
                <w:highlight w:val="none"/>
              </w:rPr>
              <w:t>4.58</w:t>
            </w:r>
          </w:p>
        </w:tc>
        <w:tc>
          <w:tcPr>
            <w:tcW w:w="462" w:type="pct"/>
            <w:tcBorders>
              <w:top w:val="nil"/>
              <w:left w:val="nil"/>
              <w:bottom w:val="single" w:color="auto" w:sz="4" w:space="0"/>
              <w:right w:val="single" w:color="auto" w:sz="4" w:space="0"/>
            </w:tcBorders>
            <w:shd w:val="clear" w:color="auto" w:fill="auto"/>
            <w:noWrap/>
            <w:vAlign w:val="center"/>
          </w:tcPr>
          <w:p w14:paraId="34774BE7">
            <w:pPr>
              <w:widowControl/>
              <w:jc w:val="center"/>
              <w:rPr>
                <w:sz w:val="15"/>
                <w:szCs w:val="15"/>
                <w:highlight w:val="none"/>
              </w:rPr>
            </w:pPr>
            <w:r>
              <w:rPr>
                <w:sz w:val="15"/>
                <w:szCs w:val="15"/>
                <w:highlight w:val="none"/>
              </w:rPr>
              <w:t>4.17</w:t>
            </w:r>
          </w:p>
        </w:tc>
        <w:tc>
          <w:tcPr>
            <w:tcW w:w="368" w:type="pct"/>
            <w:tcBorders>
              <w:top w:val="nil"/>
              <w:left w:val="nil"/>
              <w:bottom w:val="single" w:color="auto" w:sz="4" w:space="0"/>
              <w:right w:val="single" w:color="auto" w:sz="4" w:space="0"/>
            </w:tcBorders>
            <w:shd w:val="clear" w:color="auto" w:fill="auto"/>
            <w:noWrap/>
            <w:vAlign w:val="center"/>
          </w:tcPr>
          <w:p w14:paraId="5FA7A778">
            <w:pPr>
              <w:widowControl/>
              <w:jc w:val="center"/>
              <w:rPr>
                <w:sz w:val="15"/>
                <w:szCs w:val="15"/>
                <w:highlight w:val="none"/>
              </w:rPr>
            </w:pPr>
            <w:r>
              <w:rPr>
                <w:sz w:val="15"/>
                <w:szCs w:val="15"/>
                <w:highlight w:val="none"/>
              </w:rPr>
              <w:t>0.19</w:t>
            </w:r>
          </w:p>
        </w:tc>
        <w:tc>
          <w:tcPr>
            <w:tcW w:w="368" w:type="pct"/>
            <w:tcBorders>
              <w:top w:val="nil"/>
              <w:left w:val="nil"/>
              <w:bottom w:val="single" w:color="auto" w:sz="4" w:space="0"/>
              <w:right w:val="single" w:color="auto" w:sz="4" w:space="0"/>
            </w:tcBorders>
            <w:shd w:val="clear" w:color="auto" w:fill="auto"/>
            <w:noWrap/>
            <w:vAlign w:val="center"/>
          </w:tcPr>
          <w:p w14:paraId="3DD09C88">
            <w:pPr>
              <w:widowControl/>
              <w:jc w:val="center"/>
              <w:rPr>
                <w:sz w:val="15"/>
                <w:szCs w:val="15"/>
                <w:highlight w:val="none"/>
              </w:rPr>
            </w:pPr>
            <w:r>
              <w:rPr>
                <w:sz w:val="15"/>
                <w:szCs w:val="15"/>
                <w:highlight w:val="none"/>
              </w:rPr>
              <w:t>0</w:t>
            </w:r>
          </w:p>
        </w:tc>
        <w:tc>
          <w:tcPr>
            <w:tcW w:w="425" w:type="pct"/>
            <w:tcBorders>
              <w:top w:val="nil"/>
              <w:left w:val="single" w:color="auto" w:sz="4" w:space="0"/>
              <w:bottom w:val="single" w:color="auto" w:sz="4" w:space="0"/>
              <w:right w:val="single" w:color="auto" w:sz="4" w:space="0"/>
            </w:tcBorders>
            <w:shd w:val="clear" w:color="auto" w:fill="auto"/>
            <w:noWrap/>
            <w:vAlign w:val="center"/>
          </w:tcPr>
          <w:p w14:paraId="0711E381">
            <w:pPr>
              <w:widowControl/>
              <w:jc w:val="center"/>
              <w:rPr>
                <w:sz w:val="15"/>
                <w:szCs w:val="15"/>
                <w:highlight w:val="none"/>
              </w:rPr>
            </w:pPr>
            <w:r>
              <w:rPr>
                <w:sz w:val="15"/>
                <w:szCs w:val="15"/>
                <w:highlight w:val="none"/>
              </w:rPr>
              <w:t>11</w:t>
            </w:r>
          </w:p>
        </w:tc>
        <w:tc>
          <w:tcPr>
            <w:tcW w:w="268" w:type="pct"/>
            <w:tcBorders>
              <w:top w:val="nil"/>
              <w:left w:val="nil"/>
              <w:bottom w:val="single" w:color="auto" w:sz="4" w:space="0"/>
              <w:right w:val="single" w:color="auto" w:sz="4" w:space="0"/>
            </w:tcBorders>
            <w:shd w:val="clear" w:color="auto" w:fill="auto"/>
            <w:noWrap/>
            <w:vAlign w:val="center"/>
          </w:tcPr>
          <w:p w14:paraId="54517406">
            <w:pPr>
              <w:widowControl/>
              <w:jc w:val="center"/>
              <w:rPr>
                <w:sz w:val="15"/>
                <w:szCs w:val="15"/>
                <w:highlight w:val="none"/>
              </w:rPr>
            </w:pPr>
            <w:r>
              <w:rPr>
                <w:sz w:val="15"/>
                <w:szCs w:val="15"/>
                <w:highlight w:val="none"/>
              </w:rPr>
              <w:t>0.07</w:t>
            </w:r>
          </w:p>
        </w:tc>
      </w:tr>
      <w:tr w14:paraId="6813427D">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5E354DB1">
            <w:pPr>
              <w:widowControl/>
              <w:jc w:val="center"/>
              <w:rPr>
                <w:sz w:val="15"/>
                <w:szCs w:val="15"/>
                <w:highlight w:val="none"/>
              </w:rPr>
            </w:pPr>
            <w:r>
              <w:rPr>
                <w:sz w:val="15"/>
                <w:szCs w:val="15"/>
                <w:highlight w:val="none"/>
              </w:rPr>
              <w:t>2025.04.25</w:t>
            </w:r>
          </w:p>
        </w:tc>
        <w:tc>
          <w:tcPr>
            <w:tcW w:w="268" w:type="pct"/>
            <w:tcBorders>
              <w:top w:val="nil"/>
              <w:left w:val="nil"/>
              <w:bottom w:val="single" w:color="auto" w:sz="4" w:space="0"/>
              <w:right w:val="single" w:color="auto" w:sz="4" w:space="0"/>
            </w:tcBorders>
            <w:shd w:val="clear" w:color="auto" w:fill="auto"/>
            <w:noWrap/>
            <w:vAlign w:val="center"/>
          </w:tcPr>
          <w:p w14:paraId="3DF261AF">
            <w:pPr>
              <w:widowControl/>
              <w:jc w:val="center"/>
              <w:rPr>
                <w:sz w:val="15"/>
                <w:szCs w:val="15"/>
                <w:highlight w:val="none"/>
              </w:rPr>
            </w:pPr>
            <w:r>
              <w:rPr>
                <w:sz w:val="15"/>
                <w:szCs w:val="15"/>
                <w:highlight w:val="none"/>
              </w:rPr>
              <w:t>/</w:t>
            </w:r>
          </w:p>
        </w:tc>
        <w:tc>
          <w:tcPr>
            <w:tcW w:w="354" w:type="pct"/>
            <w:tcBorders>
              <w:top w:val="nil"/>
              <w:left w:val="nil"/>
              <w:bottom w:val="single" w:color="auto" w:sz="4" w:space="0"/>
              <w:right w:val="single" w:color="auto" w:sz="4" w:space="0"/>
            </w:tcBorders>
            <w:shd w:val="clear" w:color="auto" w:fill="auto"/>
            <w:noWrap/>
            <w:vAlign w:val="center"/>
          </w:tcPr>
          <w:p w14:paraId="169A3D02">
            <w:pPr>
              <w:widowControl/>
              <w:jc w:val="center"/>
              <w:rPr>
                <w:sz w:val="15"/>
                <w:szCs w:val="15"/>
                <w:highlight w:val="none"/>
              </w:rPr>
            </w:pPr>
            <w:r>
              <w:rPr>
                <w:sz w:val="15"/>
                <w:szCs w:val="15"/>
                <w:highlight w:val="none"/>
              </w:rPr>
              <w:t>5.53</w:t>
            </w:r>
          </w:p>
        </w:tc>
        <w:tc>
          <w:tcPr>
            <w:tcW w:w="401" w:type="pct"/>
            <w:tcBorders>
              <w:top w:val="nil"/>
              <w:left w:val="nil"/>
              <w:bottom w:val="single" w:color="auto" w:sz="4" w:space="0"/>
              <w:right w:val="single" w:color="auto" w:sz="4" w:space="0"/>
            </w:tcBorders>
            <w:shd w:val="clear" w:color="auto" w:fill="auto"/>
            <w:noWrap/>
            <w:vAlign w:val="center"/>
          </w:tcPr>
          <w:p w14:paraId="362345AD">
            <w:pPr>
              <w:widowControl/>
              <w:jc w:val="center"/>
              <w:rPr>
                <w:sz w:val="15"/>
                <w:szCs w:val="15"/>
                <w:highlight w:val="none"/>
              </w:rPr>
            </w:pPr>
            <w:r>
              <w:rPr>
                <w:sz w:val="15"/>
                <w:szCs w:val="15"/>
                <w:highlight w:val="none"/>
              </w:rPr>
              <w:t>/</w:t>
            </w:r>
          </w:p>
        </w:tc>
        <w:tc>
          <w:tcPr>
            <w:tcW w:w="382" w:type="pct"/>
            <w:tcBorders>
              <w:top w:val="nil"/>
              <w:left w:val="nil"/>
              <w:bottom w:val="single" w:color="auto" w:sz="4" w:space="0"/>
              <w:right w:val="single" w:color="auto" w:sz="4" w:space="0"/>
            </w:tcBorders>
            <w:shd w:val="clear" w:color="auto" w:fill="auto"/>
            <w:noWrap/>
            <w:vAlign w:val="center"/>
          </w:tcPr>
          <w:p w14:paraId="0234D06C">
            <w:pPr>
              <w:widowControl/>
              <w:jc w:val="center"/>
              <w:rPr>
                <w:sz w:val="15"/>
                <w:szCs w:val="15"/>
                <w:highlight w:val="none"/>
              </w:rPr>
            </w:pPr>
            <w:r>
              <w:rPr>
                <w:sz w:val="15"/>
                <w:szCs w:val="15"/>
                <w:highlight w:val="none"/>
              </w:rPr>
              <w:t>28.70</w:t>
            </w:r>
          </w:p>
        </w:tc>
        <w:tc>
          <w:tcPr>
            <w:tcW w:w="368" w:type="pct"/>
            <w:tcBorders>
              <w:top w:val="nil"/>
              <w:left w:val="nil"/>
              <w:bottom w:val="single" w:color="auto" w:sz="4" w:space="0"/>
              <w:right w:val="single" w:color="auto" w:sz="4" w:space="0"/>
            </w:tcBorders>
            <w:shd w:val="clear" w:color="auto" w:fill="auto"/>
            <w:noWrap/>
            <w:vAlign w:val="center"/>
          </w:tcPr>
          <w:p w14:paraId="3F2C7928">
            <w:pPr>
              <w:widowControl/>
              <w:jc w:val="center"/>
              <w:rPr>
                <w:sz w:val="15"/>
                <w:szCs w:val="15"/>
                <w:highlight w:val="none"/>
              </w:rPr>
            </w:pPr>
            <w:r>
              <w:rPr>
                <w:sz w:val="15"/>
                <w:szCs w:val="15"/>
                <w:highlight w:val="none"/>
              </w:rPr>
              <w:t>0.22</w:t>
            </w:r>
          </w:p>
        </w:tc>
        <w:tc>
          <w:tcPr>
            <w:tcW w:w="368" w:type="pct"/>
            <w:tcBorders>
              <w:top w:val="nil"/>
              <w:left w:val="nil"/>
              <w:bottom w:val="single" w:color="auto" w:sz="4" w:space="0"/>
              <w:right w:val="single" w:color="auto" w:sz="4" w:space="0"/>
            </w:tcBorders>
            <w:shd w:val="clear" w:color="auto" w:fill="auto"/>
            <w:noWrap/>
            <w:vAlign w:val="center"/>
          </w:tcPr>
          <w:p w14:paraId="2830B6AC">
            <w:pPr>
              <w:widowControl/>
              <w:jc w:val="center"/>
              <w:rPr>
                <w:sz w:val="15"/>
                <w:szCs w:val="15"/>
                <w:highlight w:val="none"/>
              </w:rPr>
            </w:pPr>
            <w:r>
              <w:rPr>
                <w:sz w:val="15"/>
                <w:szCs w:val="15"/>
                <w:highlight w:val="none"/>
              </w:rPr>
              <w:t>/</w:t>
            </w:r>
          </w:p>
        </w:tc>
        <w:tc>
          <w:tcPr>
            <w:tcW w:w="462" w:type="pct"/>
            <w:tcBorders>
              <w:top w:val="nil"/>
              <w:left w:val="nil"/>
              <w:bottom w:val="single" w:color="auto" w:sz="4" w:space="0"/>
              <w:right w:val="single" w:color="auto" w:sz="4" w:space="0"/>
            </w:tcBorders>
            <w:shd w:val="clear" w:color="auto" w:fill="auto"/>
            <w:noWrap/>
            <w:vAlign w:val="center"/>
          </w:tcPr>
          <w:p w14:paraId="6FDCA55F">
            <w:pPr>
              <w:widowControl/>
              <w:jc w:val="center"/>
              <w:rPr>
                <w:sz w:val="15"/>
                <w:szCs w:val="15"/>
                <w:highlight w:val="none"/>
              </w:rPr>
            </w:pPr>
            <w:r>
              <w:rPr>
                <w:sz w:val="15"/>
                <w:szCs w:val="15"/>
                <w:highlight w:val="none"/>
              </w:rPr>
              <w:t>/</w:t>
            </w:r>
          </w:p>
        </w:tc>
        <w:tc>
          <w:tcPr>
            <w:tcW w:w="462" w:type="pct"/>
            <w:tcBorders>
              <w:top w:val="nil"/>
              <w:left w:val="nil"/>
              <w:bottom w:val="single" w:color="auto" w:sz="4" w:space="0"/>
              <w:right w:val="single" w:color="auto" w:sz="4" w:space="0"/>
            </w:tcBorders>
            <w:shd w:val="clear" w:color="auto" w:fill="auto"/>
            <w:noWrap/>
            <w:vAlign w:val="center"/>
          </w:tcPr>
          <w:p w14:paraId="7EC112E3">
            <w:pPr>
              <w:widowControl/>
              <w:jc w:val="center"/>
              <w:rPr>
                <w:sz w:val="15"/>
                <w:szCs w:val="15"/>
                <w:highlight w:val="none"/>
              </w:rPr>
            </w:pPr>
            <w:r>
              <w:rPr>
                <w:sz w:val="15"/>
                <w:szCs w:val="15"/>
                <w:highlight w:val="none"/>
              </w:rPr>
              <w:t>/</w:t>
            </w:r>
          </w:p>
        </w:tc>
        <w:tc>
          <w:tcPr>
            <w:tcW w:w="368" w:type="pct"/>
            <w:tcBorders>
              <w:top w:val="nil"/>
              <w:left w:val="nil"/>
              <w:bottom w:val="single" w:color="auto" w:sz="4" w:space="0"/>
              <w:right w:val="single" w:color="auto" w:sz="4" w:space="0"/>
            </w:tcBorders>
            <w:shd w:val="clear" w:color="auto" w:fill="auto"/>
            <w:noWrap/>
            <w:vAlign w:val="center"/>
          </w:tcPr>
          <w:p w14:paraId="4FFE8586">
            <w:pPr>
              <w:widowControl/>
              <w:jc w:val="center"/>
              <w:rPr>
                <w:sz w:val="15"/>
                <w:szCs w:val="15"/>
                <w:highlight w:val="none"/>
              </w:rPr>
            </w:pPr>
            <w:r>
              <w:rPr>
                <w:sz w:val="15"/>
                <w:szCs w:val="15"/>
                <w:highlight w:val="none"/>
              </w:rPr>
              <w:t>/</w:t>
            </w:r>
          </w:p>
        </w:tc>
        <w:tc>
          <w:tcPr>
            <w:tcW w:w="368" w:type="pct"/>
            <w:tcBorders>
              <w:top w:val="nil"/>
              <w:left w:val="nil"/>
              <w:bottom w:val="single" w:color="auto" w:sz="4" w:space="0"/>
              <w:right w:val="single" w:color="auto" w:sz="4" w:space="0"/>
            </w:tcBorders>
            <w:shd w:val="clear" w:color="auto" w:fill="auto"/>
            <w:noWrap/>
            <w:vAlign w:val="center"/>
          </w:tcPr>
          <w:p w14:paraId="725557A5">
            <w:pPr>
              <w:widowControl/>
              <w:jc w:val="center"/>
              <w:rPr>
                <w:sz w:val="15"/>
                <w:szCs w:val="15"/>
                <w:highlight w:val="none"/>
              </w:rPr>
            </w:pPr>
            <w:r>
              <w:rPr>
                <w:sz w:val="15"/>
                <w:szCs w:val="15"/>
                <w:highlight w:val="none"/>
              </w:rPr>
              <w:t>/</w:t>
            </w:r>
          </w:p>
        </w:tc>
        <w:tc>
          <w:tcPr>
            <w:tcW w:w="425" w:type="pct"/>
            <w:tcBorders>
              <w:top w:val="nil"/>
              <w:left w:val="single" w:color="auto" w:sz="4" w:space="0"/>
              <w:bottom w:val="single" w:color="auto" w:sz="4" w:space="0"/>
              <w:right w:val="single" w:color="auto" w:sz="4" w:space="0"/>
            </w:tcBorders>
            <w:shd w:val="clear" w:color="auto" w:fill="auto"/>
            <w:noWrap/>
            <w:vAlign w:val="center"/>
          </w:tcPr>
          <w:p w14:paraId="4F103958">
            <w:pPr>
              <w:widowControl/>
              <w:jc w:val="center"/>
              <w:rPr>
                <w:sz w:val="15"/>
                <w:szCs w:val="15"/>
                <w:highlight w:val="none"/>
              </w:rPr>
            </w:pPr>
            <w:r>
              <w:rPr>
                <w:sz w:val="15"/>
                <w:szCs w:val="15"/>
                <w:highlight w:val="none"/>
              </w:rPr>
              <w:t>16</w:t>
            </w:r>
          </w:p>
        </w:tc>
        <w:tc>
          <w:tcPr>
            <w:tcW w:w="268" w:type="pct"/>
            <w:tcBorders>
              <w:top w:val="nil"/>
              <w:left w:val="nil"/>
              <w:bottom w:val="single" w:color="auto" w:sz="4" w:space="0"/>
              <w:right w:val="single" w:color="auto" w:sz="4" w:space="0"/>
            </w:tcBorders>
            <w:shd w:val="clear" w:color="auto" w:fill="auto"/>
            <w:noWrap/>
            <w:vAlign w:val="center"/>
          </w:tcPr>
          <w:p w14:paraId="3C74CE18">
            <w:pPr>
              <w:widowControl/>
              <w:jc w:val="center"/>
              <w:rPr>
                <w:sz w:val="15"/>
                <w:szCs w:val="15"/>
                <w:highlight w:val="none"/>
              </w:rPr>
            </w:pPr>
            <w:r>
              <w:rPr>
                <w:sz w:val="15"/>
                <w:szCs w:val="15"/>
                <w:highlight w:val="none"/>
              </w:rPr>
              <w:t>/</w:t>
            </w:r>
          </w:p>
        </w:tc>
      </w:tr>
      <w:tr w14:paraId="0B380768">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45EA9219">
            <w:pPr>
              <w:widowControl/>
              <w:jc w:val="center"/>
              <w:rPr>
                <w:sz w:val="15"/>
                <w:szCs w:val="15"/>
                <w:highlight w:val="none"/>
              </w:rPr>
            </w:pPr>
            <w:r>
              <w:rPr>
                <w:sz w:val="15"/>
                <w:szCs w:val="15"/>
                <w:highlight w:val="none"/>
              </w:rPr>
              <w:t>2025.04.28</w:t>
            </w:r>
          </w:p>
        </w:tc>
        <w:tc>
          <w:tcPr>
            <w:tcW w:w="268" w:type="pct"/>
            <w:tcBorders>
              <w:top w:val="nil"/>
              <w:left w:val="nil"/>
              <w:bottom w:val="single" w:color="auto" w:sz="4" w:space="0"/>
              <w:right w:val="single" w:color="auto" w:sz="4" w:space="0"/>
            </w:tcBorders>
            <w:shd w:val="clear" w:color="auto" w:fill="auto"/>
            <w:noWrap/>
            <w:vAlign w:val="center"/>
          </w:tcPr>
          <w:p w14:paraId="52F39702">
            <w:pPr>
              <w:widowControl/>
              <w:jc w:val="center"/>
              <w:rPr>
                <w:sz w:val="15"/>
                <w:szCs w:val="15"/>
                <w:highlight w:val="none"/>
              </w:rPr>
            </w:pPr>
            <w:r>
              <w:rPr>
                <w:sz w:val="15"/>
                <w:szCs w:val="15"/>
                <w:highlight w:val="none"/>
              </w:rPr>
              <w:t>7.08</w:t>
            </w:r>
          </w:p>
        </w:tc>
        <w:tc>
          <w:tcPr>
            <w:tcW w:w="354" w:type="pct"/>
            <w:tcBorders>
              <w:top w:val="nil"/>
              <w:left w:val="nil"/>
              <w:bottom w:val="single" w:color="auto" w:sz="4" w:space="0"/>
              <w:right w:val="single" w:color="auto" w:sz="4" w:space="0"/>
            </w:tcBorders>
            <w:shd w:val="clear" w:color="auto" w:fill="auto"/>
            <w:noWrap/>
            <w:vAlign w:val="center"/>
          </w:tcPr>
          <w:p w14:paraId="65F4FDF8">
            <w:pPr>
              <w:widowControl/>
              <w:jc w:val="center"/>
              <w:rPr>
                <w:sz w:val="15"/>
                <w:szCs w:val="15"/>
                <w:highlight w:val="none"/>
              </w:rPr>
            </w:pPr>
            <w:r>
              <w:rPr>
                <w:sz w:val="15"/>
                <w:szCs w:val="15"/>
                <w:highlight w:val="none"/>
              </w:rPr>
              <w:t>5.29</w:t>
            </w:r>
          </w:p>
        </w:tc>
        <w:tc>
          <w:tcPr>
            <w:tcW w:w="401" w:type="pct"/>
            <w:tcBorders>
              <w:top w:val="nil"/>
              <w:left w:val="nil"/>
              <w:bottom w:val="single" w:color="auto" w:sz="4" w:space="0"/>
              <w:right w:val="single" w:color="auto" w:sz="4" w:space="0"/>
            </w:tcBorders>
            <w:shd w:val="clear" w:color="auto" w:fill="auto"/>
            <w:noWrap/>
            <w:vAlign w:val="center"/>
          </w:tcPr>
          <w:p w14:paraId="02BFEF8F">
            <w:pPr>
              <w:widowControl/>
              <w:jc w:val="center"/>
              <w:rPr>
                <w:sz w:val="15"/>
                <w:szCs w:val="15"/>
                <w:highlight w:val="none"/>
              </w:rPr>
            </w:pPr>
            <w:r>
              <w:rPr>
                <w:sz w:val="15"/>
                <w:szCs w:val="15"/>
                <w:highlight w:val="none"/>
              </w:rPr>
              <w:t>1403</w:t>
            </w:r>
          </w:p>
        </w:tc>
        <w:tc>
          <w:tcPr>
            <w:tcW w:w="382" w:type="pct"/>
            <w:tcBorders>
              <w:top w:val="nil"/>
              <w:left w:val="nil"/>
              <w:bottom w:val="single" w:color="auto" w:sz="4" w:space="0"/>
              <w:right w:val="single" w:color="auto" w:sz="4" w:space="0"/>
            </w:tcBorders>
            <w:shd w:val="clear" w:color="auto" w:fill="auto"/>
            <w:noWrap/>
            <w:vAlign w:val="center"/>
          </w:tcPr>
          <w:p w14:paraId="1855F9F9">
            <w:pPr>
              <w:widowControl/>
              <w:jc w:val="center"/>
              <w:rPr>
                <w:sz w:val="15"/>
                <w:szCs w:val="15"/>
                <w:highlight w:val="none"/>
              </w:rPr>
            </w:pPr>
            <w:r>
              <w:rPr>
                <w:sz w:val="15"/>
                <w:szCs w:val="15"/>
                <w:highlight w:val="none"/>
              </w:rPr>
              <w:t>46.50</w:t>
            </w:r>
          </w:p>
        </w:tc>
        <w:tc>
          <w:tcPr>
            <w:tcW w:w="368" w:type="pct"/>
            <w:tcBorders>
              <w:top w:val="nil"/>
              <w:left w:val="nil"/>
              <w:bottom w:val="single" w:color="auto" w:sz="4" w:space="0"/>
              <w:right w:val="single" w:color="auto" w:sz="4" w:space="0"/>
            </w:tcBorders>
            <w:shd w:val="clear" w:color="auto" w:fill="auto"/>
            <w:noWrap/>
            <w:vAlign w:val="center"/>
          </w:tcPr>
          <w:p w14:paraId="356381B4">
            <w:pPr>
              <w:widowControl/>
              <w:jc w:val="center"/>
              <w:rPr>
                <w:sz w:val="15"/>
                <w:szCs w:val="15"/>
                <w:highlight w:val="none"/>
              </w:rPr>
            </w:pPr>
            <w:r>
              <w:rPr>
                <w:sz w:val="15"/>
                <w:szCs w:val="15"/>
                <w:highlight w:val="none"/>
              </w:rPr>
              <w:t>0.18</w:t>
            </w:r>
          </w:p>
        </w:tc>
        <w:tc>
          <w:tcPr>
            <w:tcW w:w="368" w:type="pct"/>
            <w:tcBorders>
              <w:top w:val="nil"/>
              <w:left w:val="nil"/>
              <w:bottom w:val="single" w:color="auto" w:sz="4" w:space="0"/>
              <w:right w:val="single" w:color="auto" w:sz="4" w:space="0"/>
            </w:tcBorders>
            <w:shd w:val="clear" w:color="auto" w:fill="auto"/>
            <w:noWrap/>
            <w:vAlign w:val="center"/>
          </w:tcPr>
          <w:p w14:paraId="4573A25E">
            <w:pPr>
              <w:widowControl/>
              <w:jc w:val="center"/>
              <w:rPr>
                <w:sz w:val="15"/>
                <w:szCs w:val="15"/>
                <w:highlight w:val="none"/>
              </w:rPr>
            </w:pPr>
            <w:r>
              <w:rPr>
                <w:sz w:val="15"/>
                <w:szCs w:val="15"/>
                <w:highlight w:val="none"/>
              </w:rPr>
              <w:t>203.94</w:t>
            </w:r>
          </w:p>
        </w:tc>
        <w:tc>
          <w:tcPr>
            <w:tcW w:w="462" w:type="pct"/>
            <w:tcBorders>
              <w:top w:val="nil"/>
              <w:left w:val="nil"/>
              <w:bottom w:val="single" w:color="auto" w:sz="4" w:space="0"/>
              <w:right w:val="single" w:color="auto" w:sz="4" w:space="0"/>
            </w:tcBorders>
            <w:shd w:val="clear" w:color="auto" w:fill="auto"/>
            <w:noWrap/>
            <w:vAlign w:val="center"/>
          </w:tcPr>
          <w:p w14:paraId="0028D109">
            <w:pPr>
              <w:widowControl/>
              <w:jc w:val="center"/>
              <w:rPr>
                <w:sz w:val="15"/>
                <w:szCs w:val="15"/>
                <w:highlight w:val="none"/>
              </w:rPr>
            </w:pPr>
            <w:r>
              <w:rPr>
                <w:sz w:val="15"/>
                <w:szCs w:val="15"/>
                <w:highlight w:val="none"/>
              </w:rPr>
              <w:t>4.39</w:t>
            </w:r>
          </w:p>
        </w:tc>
        <w:tc>
          <w:tcPr>
            <w:tcW w:w="462" w:type="pct"/>
            <w:tcBorders>
              <w:top w:val="nil"/>
              <w:left w:val="nil"/>
              <w:bottom w:val="single" w:color="auto" w:sz="4" w:space="0"/>
              <w:right w:val="single" w:color="auto" w:sz="4" w:space="0"/>
            </w:tcBorders>
            <w:shd w:val="clear" w:color="auto" w:fill="auto"/>
            <w:noWrap/>
            <w:vAlign w:val="center"/>
          </w:tcPr>
          <w:p w14:paraId="38E7F46D">
            <w:pPr>
              <w:widowControl/>
              <w:jc w:val="center"/>
              <w:rPr>
                <w:sz w:val="15"/>
                <w:szCs w:val="15"/>
                <w:highlight w:val="none"/>
              </w:rPr>
            </w:pPr>
            <w:r>
              <w:rPr>
                <w:sz w:val="15"/>
                <w:szCs w:val="15"/>
                <w:highlight w:val="none"/>
              </w:rPr>
              <w:t>4.17</w:t>
            </w:r>
          </w:p>
        </w:tc>
        <w:tc>
          <w:tcPr>
            <w:tcW w:w="368" w:type="pct"/>
            <w:tcBorders>
              <w:top w:val="nil"/>
              <w:left w:val="nil"/>
              <w:bottom w:val="single" w:color="auto" w:sz="4" w:space="0"/>
              <w:right w:val="single" w:color="auto" w:sz="4" w:space="0"/>
            </w:tcBorders>
            <w:shd w:val="clear" w:color="auto" w:fill="auto"/>
            <w:noWrap/>
            <w:vAlign w:val="center"/>
          </w:tcPr>
          <w:p w14:paraId="3598CF3E">
            <w:pPr>
              <w:widowControl/>
              <w:jc w:val="center"/>
              <w:rPr>
                <w:sz w:val="15"/>
                <w:szCs w:val="15"/>
                <w:highlight w:val="none"/>
              </w:rPr>
            </w:pPr>
            <w:r>
              <w:rPr>
                <w:sz w:val="15"/>
                <w:szCs w:val="15"/>
                <w:highlight w:val="none"/>
              </w:rPr>
              <w:t>0.35</w:t>
            </w:r>
          </w:p>
        </w:tc>
        <w:tc>
          <w:tcPr>
            <w:tcW w:w="368" w:type="pct"/>
            <w:tcBorders>
              <w:top w:val="nil"/>
              <w:left w:val="nil"/>
              <w:bottom w:val="single" w:color="auto" w:sz="4" w:space="0"/>
              <w:right w:val="single" w:color="auto" w:sz="4" w:space="0"/>
            </w:tcBorders>
            <w:shd w:val="clear" w:color="auto" w:fill="auto"/>
            <w:noWrap/>
            <w:vAlign w:val="center"/>
          </w:tcPr>
          <w:p w14:paraId="425356FD">
            <w:pPr>
              <w:widowControl/>
              <w:jc w:val="center"/>
              <w:rPr>
                <w:sz w:val="15"/>
                <w:szCs w:val="15"/>
                <w:highlight w:val="none"/>
              </w:rPr>
            </w:pPr>
            <w:r>
              <w:rPr>
                <w:sz w:val="15"/>
                <w:szCs w:val="15"/>
                <w:highlight w:val="none"/>
              </w:rPr>
              <w:t>0</w:t>
            </w:r>
          </w:p>
        </w:tc>
        <w:tc>
          <w:tcPr>
            <w:tcW w:w="425" w:type="pct"/>
            <w:tcBorders>
              <w:top w:val="nil"/>
              <w:left w:val="single" w:color="auto" w:sz="4" w:space="0"/>
              <w:bottom w:val="single" w:color="auto" w:sz="4" w:space="0"/>
              <w:right w:val="single" w:color="auto" w:sz="4" w:space="0"/>
            </w:tcBorders>
            <w:shd w:val="clear" w:color="auto" w:fill="auto"/>
            <w:noWrap/>
            <w:vAlign w:val="center"/>
          </w:tcPr>
          <w:p w14:paraId="123CFD1B">
            <w:pPr>
              <w:widowControl/>
              <w:jc w:val="center"/>
              <w:rPr>
                <w:sz w:val="15"/>
                <w:szCs w:val="15"/>
                <w:highlight w:val="none"/>
              </w:rPr>
            </w:pPr>
            <w:r>
              <w:rPr>
                <w:sz w:val="15"/>
                <w:szCs w:val="15"/>
                <w:highlight w:val="none"/>
              </w:rPr>
              <w:t>14</w:t>
            </w:r>
          </w:p>
        </w:tc>
        <w:tc>
          <w:tcPr>
            <w:tcW w:w="268" w:type="pct"/>
            <w:tcBorders>
              <w:top w:val="nil"/>
              <w:left w:val="nil"/>
              <w:bottom w:val="single" w:color="auto" w:sz="4" w:space="0"/>
              <w:right w:val="single" w:color="auto" w:sz="4" w:space="0"/>
            </w:tcBorders>
            <w:shd w:val="clear" w:color="auto" w:fill="auto"/>
            <w:noWrap/>
            <w:vAlign w:val="center"/>
          </w:tcPr>
          <w:p w14:paraId="48C6BC71">
            <w:pPr>
              <w:widowControl/>
              <w:jc w:val="center"/>
              <w:rPr>
                <w:sz w:val="15"/>
                <w:szCs w:val="15"/>
                <w:highlight w:val="none"/>
              </w:rPr>
            </w:pPr>
            <w:r>
              <w:rPr>
                <w:sz w:val="15"/>
                <w:szCs w:val="15"/>
                <w:highlight w:val="none"/>
              </w:rPr>
              <w:t>/</w:t>
            </w:r>
          </w:p>
        </w:tc>
      </w:tr>
      <w:tr w14:paraId="47D0945B">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7F80D7C6">
            <w:pPr>
              <w:widowControl/>
              <w:jc w:val="center"/>
              <w:rPr>
                <w:sz w:val="15"/>
                <w:szCs w:val="15"/>
                <w:highlight w:val="none"/>
              </w:rPr>
            </w:pPr>
            <w:r>
              <w:rPr>
                <w:sz w:val="15"/>
                <w:szCs w:val="15"/>
                <w:highlight w:val="none"/>
              </w:rPr>
              <w:t>2025.05.08</w:t>
            </w:r>
          </w:p>
        </w:tc>
        <w:tc>
          <w:tcPr>
            <w:tcW w:w="268" w:type="pct"/>
            <w:tcBorders>
              <w:top w:val="nil"/>
              <w:left w:val="nil"/>
              <w:bottom w:val="single" w:color="auto" w:sz="4" w:space="0"/>
              <w:right w:val="single" w:color="auto" w:sz="4" w:space="0"/>
            </w:tcBorders>
            <w:shd w:val="clear" w:color="auto" w:fill="auto"/>
            <w:noWrap/>
            <w:vAlign w:val="center"/>
          </w:tcPr>
          <w:p w14:paraId="0CE2D393">
            <w:pPr>
              <w:widowControl/>
              <w:jc w:val="center"/>
              <w:rPr>
                <w:sz w:val="15"/>
                <w:szCs w:val="15"/>
                <w:highlight w:val="none"/>
              </w:rPr>
            </w:pPr>
            <w:r>
              <w:rPr>
                <w:sz w:val="15"/>
                <w:szCs w:val="15"/>
                <w:highlight w:val="none"/>
              </w:rPr>
              <w:t>7.26</w:t>
            </w:r>
          </w:p>
        </w:tc>
        <w:tc>
          <w:tcPr>
            <w:tcW w:w="354" w:type="pct"/>
            <w:tcBorders>
              <w:top w:val="nil"/>
              <w:left w:val="nil"/>
              <w:bottom w:val="single" w:color="auto" w:sz="4" w:space="0"/>
              <w:right w:val="single" w:color="auto" w:sz="4" w:space="0"/>
            </w:tcBorders>
            <w:shd w:val="clear" w:color="auto" w:fill="auto"/>
            <w:noWrap/>
            <w:vAlign w:val="center"/>
          </w:tcPr>
          <w:p w14:paraId="74DB5FA1">
            <w:pPr>
              <w:widowControl/>
              <w:jc w:val="center"/>
              <w:rPr>
                <w:sz w:val="15"/>
                <w:szCs w:val="15"/>
                <w:highlight w:val="none"/>
              </w:rPr>
            </w:pPr>
            <w:r>
              <w:rPr>
                <w:sz w:val="15"/>
                <w:szCs w:val="15"/>
                <w:highlight w:val="none"/>
              </w:rPr>
              <w:t>8.89</w:t>
            </w:r>
          </w:p>
        </w:tc>
        <w:tc>
          <w:tcPr>
            <w:tcW w:w="401" w:type="pct"/>
            <w:tcBorders>
              <w:top w:val="nil"/>
              <w:left w:val="nil"/>
              <w:bottom w:val="single" w:color="auto" w:sz="4" w:space="0"/>
              <w:right w:val="single" w:color="auto" w:sz="4" w:space="0"/>
            </w:tcBorders>
            <w:shd w:val="clear" w:color="auto" w:fill="auto"/>
            <w:noWrap/>
            <w:vAlign w:val="center"/>
          </w:tcPr>
          <w:p w14:paraId="1EF08A4B">
            <w:pPr>
              <w:widowControl/>
              <w:jc w:val="center"/>
              <w:rPr>
                <w:sz w:val="15"/>
                <w:szCs w:val="15"/>
                <w:highlight w:val="none"/>
              </w:rPr>
            </w:pPr>
            <w:r>
              <w:rPr>
                <w:sz w:val="15"/>
                <w:szCs w:val="15"/>
                <w:highlight w:val="none"/>
              </w:rPr>
              <w:t>1491</w:t>
            </w:r>
          </w:p>
        </w:tc>
        <w:tc>
          <w:tcPr>
            <w:tcW w:w="382" w:type="pct"/>
            <w:tcBorders>
              <w:top w:val="nil"/>
              <w:left w:val="nil"/>
              <w:bottom w:val="single" w:color="auto" w:sz="4" w:space="0"/>
              <w:right w:val="single" w:color="auto" w:sz="4" w:space="0"/>
            </w:tcBorders>
            <w:shd w:val="clear" w:color="auto" w:fill="auto"/>
            <w:noWrap/>
            <w:vAlign w:val="center"/>
          </w:tcPr>
          <w:p w14:paraId="0CF61AD1">
            <w:pPr>
              <w:widowControl/>
              <w:jc w:val="center"/>
              <w:rPr>
                <w:sz w:val="15"/>
                <w:szCs w:val="15"/>
                <w:highlight w:val="none"/>
              </w:rPr>
            </w:pPr>
            <w:r>
              <w:rPr>
                <w:sz w:val="15"/>
                <w:szCs w:val="15"/>
                <w:highlight w:val="none"/>
              </w:rPr>
              <w:t>15.60</w:t>
            </w:r>
          </w:p>
        </w:tc>
        <w:tc>
          <w:tcPr>
            <w:tcW w:w="368" w:type="pct"/>
            <w:tcBorders>
              <w:top w:val="nil"/>
              <w:left w:val="nil"/>
              <w:bottom w:val="single" w:color="auto" w:sz="4" w:space="0"/>
              <w:right w:val="single" w:color="auto" w:sz="4" w:space="0"/>
            </w:tcBorders>
            <w:shd w:val="clear" w:color="auto" w:fill="auto"/>
            <w:noWrap/>
            <w:vAlign w:val="center"/>
          </w:tcPr>
          <w:p w14:paraId="586F86E9">
            <w:pPr>
              <w:widowControl/>
              <w:jc w:val="center"/>
              <w:rPr>
                <w:sz w:val="15"/>
                <w:szCs w:val="15"/>
                <w:highlight w:val="none"/>
              </w:rPr>
            </w:pPr>
            <w:r>
              <w:rPr>
                <w:sz w:val="15"/>
                <w:szCs w:val="15"/>
                <w:highlight w:val="none"/>
              </w:rPr>
              <w:t>0.20</w:t>
            </w:r>
          </w:p>
        </w:tc>
        <w:tc>
          <w:tcPr>
            <w:tcW w:w="368" w:type="pct"/>
            <w:tcBorders>
              <w:top w:val="nil"/>
              <w:left w:val="nil"/>
              <w:bottom w:val="single" w:color="auto" w:sz="4" w:space="0"/>
              <w:right w:val="single" w:color="auto" w:sz="4" w:space="0"/>
            </w:tcBorders>
            <w:shd w:val="clear" w:color="auto" w:fill="auto"/>
            <w:noWrap/>
            <w:vAlign w:val="center"/>
          </w:tcPr>
          <w:p w14:paraId="49978152">
            <w:pPr>
              <w:widowControl/>
              <w:jc w:val="center"/>
              <w:rPr>
                <w:sz w:val="15"/>
                <w:szCs w:val="15"/>
                <w:highlight w:val="none"/>
              </w:rPr>
            </w:pPr>
            <w:r>
              <w:rPr>
                <w:sz w:val="15"/>
                <w:szCs w:val="15"/>
                <w:highlight w:val="none"/>
              </w:rPr>
              <w:t>216.54</w:t>
            </w:r>
          </w:p>
        </w:tc>
        <w:tc>
          <w:tcPr>
            <w:tcW w:w="462" w:type="pct"/>
            <w:tcBorders>
              <w:top w:val="nil"/>
              <w:left w:val="nil"/>
              <w:bottom w:val="single" w:color="auto" w:sz="4" w:space="0"/>
              <w:right w:val="single" w:color="auto" w:sz="4" w:space="0"/>
            </w:tcBorders>
            <w:shd w:val="clear" w:color="auto" w:fill="auto"/>
            <w:noWrap/>
            <w:vAlign w:val="center"/>
          </w:tcPr>
          <w:p w14:paraId="5448F71C">
            <w:pPr>
              <w:widowControl/>
              <w:jc w:val="center"/>
              <w:rPr>
                <w:sz w:val="15"/>
                <w:szCs w:val="15"/>
                <w:highlight w:val="none"/>
              </w:rPr>
            </w:pPr>
            <w:r>
              <w:rPr>
                <w:sz w:val="15"/>
                <w:szCs w:val="15"/>
                <w:highlight w:val="none"/>
              </w:rPr>
              <w:t>4.49</w:t>
            </w:r>
          </w:p>
        </w:tc>
        <w:tc>
          <w:tcPr>
            <w:tcW w:w="462" w:type="pct"/>
            <w:tcBorders>
              <w:top w:val="nil"/>
              <w:left w:val="nil"/>
              <w:bottom w:val="single" w:color="auto" w:sz="4" w:space="0"/>
              <w:right w:val="single" w:color="auto" w:sz="4" w:space="0"/>
            </w:tcBorders>
            <w:shd w:val="clear" w:color="auto" w:fill="auto"/>
            <w:noWrap/>
            <w:vAlign w:val="center"/>
          </w:tcPr>
          <w:p w14:paraId="0E3CE296">
            <w:pPr>
              <w:widowControl/>
              <w:jc w:val="center"/>
              <w:rPr>
                <w:sz w:val="15"/>
                <w:szCs w:val="15"/>
                <w:highlight w:val="none"/>
              </w:rPr>
            </w:pPr>
            <w:r>
              <w:rPr>
                <w:sz w:val="15"/>
                <w:szCs w:val="15"/>
                <w:highlight w:val="none"/>
              </w:rPr>
              <w:t>4.17</w:t>
            </w:r>
          </w:p>
        </w:tc>
        <w:tc>
          <w:tcPr>
            <w:tcW w:w="36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0CD602B">
            <w:pPr>
              <w:widowControl/>
              <w:jc w:val="center"/>
              <w:rPr>
                <w:sz w:val="15"/>
                <w:szCs w:val="15"/>
                <w:highlight w:val="none"/>
              </w:rPr>
            </w:pPr>
            <w:r>
              <w:rPr>
                <w:sz w:val="15"/>
                <w:szCs w:val="15"/>
                <w:highlight w:val="none"/>
              </w:rPr>
              <w:t>0.74</w:t>
            </w:r>
          </w:p>
        </w:tc>
        <w:tc>
          <w:tcPr>
            <w:tcW w:w="368" w:type="pct"/>
            <w:tcBorders>
              <w:top w:val="nil"/>
              <w:left w:val="nil"/>
              <w:bottom w:val="single" w:color="auto" w:sz="4" w:space="0"/>
              <w:right w:val="single" w:color="auto" w:sz="4" w:space="0"/>
            </w:tcBorders>
            <w:shd w:val="clear" w:color="auto" w:fill="auto"/>
            <w:noWrap/>
            <w:vAlign w:val="center"/>
          </w:tcPr>
          <w:p w14:paraId="71EF3CFE">
            <w:pPr>
              <w:widowControl/>
              <w:jc w:val="center"/>
              <w:rPr>
                <w:sz w:val="15"/>
                <w:szCs w:val="15"/>
                <w:highlight w:val="none"/>
              </w:rPr>
            </w:pPr>
            <w:r>
              <w:rPr>
                <w:sz w:val="15"/>
                <w:szCs w:val="15"/>
                <w:highlight w:val="none"/>
              </w:rPr>
              <w:t>0</w:t>
            </w:r>
          </w:p>
        </w:tc>
        <w:tc>
          <w:tcPr>
            <w:tcW w:w="425" w:type="pct"/>
            <w:tcBorders>
              <w:top w:val="nil"/>
              <w:left w:val="nil"/>
              <w:bottom w:val="single" w:color="auto" w:sz="4" w:space="0"/>
              <w:right w:val="single" w:color="auto" w:sz="4" w:space="0"/>
            </w:tcBorders>
            <w:shd w:val="clear" w:color="auto" w:fill="auto"/>
            <w:noWrap/>
            <w:vAlign w:val="center"/>
          </w:tcPr>
          <w:p w14:paraId="0203C148">
            <w:pPr>
              <w:widowControl/>
              <w:jc w:val="center"/>
              <w:rPr>
                <w:sz w:val="15"/>
                <w:szCs w:val="15"/>
                <w:highlight w:val="none"/>
              </w:rPr>
            </w:pPr>
            <w:r>
              <w:rPr>
                <w:sz w:val="15"/>
                <w:szCs w:val="15"/>
                <w:highlight w:val="none"/>
              </w:rPr>
              <w:t>5</w:t>
            </w:r>
          </w:p>
        </w:tc>
        <w:tc>
          <w:tcPr>
            <w:tcW w:w="268" w:type="pct"/>
            <w:tcBorders>
              <w:top w:val="nil"/>
              <w:left w:val="nil"/>
              <w:bottom w:val="single" w:color="auto" w:sz="4" w:space="0"/>
              <w:right w:val="single" w:color="auto" w:sz="4" w:space="0"/>
            </w:tcBorders>
            <w:shd w:val="clear" w:color="auto" w:fill="auto"/>
            <w:noWrap/>
            <w:vAlign w:val="center"/>
          </w:tcPr>
          <w:p w14:paraId="651A94EF">
            <w:pPr>
              <w:widowControl/>
              <w:jc w:val="center"/>
              <w:rPr>
                <w:sz w:val="15"/>
                <w:szCs w:val="15"/>
                <w:highlight w:val="none"/>
              </w:rPr>
            </w:pPr>
            <w:r>
              <w:rPr>
                <w:sz w:val="15"/>
                <w:szCs w:val="15"/>
                <w:highlight w:val="none"/>
              </w:rPr>
              <w:t>/</w:t>
            </w:r>
          </w:p>
        </w:tc>
      </w:tr>
      <w:tr w14:paraId="414F7865">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27D83762">
            <w:pPr>
              <w:widowControl/>
              <w:jc w:val="center"/>
              <w:rPr>
                <w:sz w:val="15"/>
                <w:szCs w:val="15"/>
                <w:highlight w:val="none"/>
              </w:rPr>
            </w:pPr>
            <w:r>
              <w:rPr>
                <w:sz w:val="15"/>
                <w:szCs w:val="15"/>
                <w:highlight w:val="none"/>
              </w:rPr>
              <w:t>2025.05.15</w:t>
            </w:r>
          </w:p>
        </w:tc>
        <w:tc>
          <w:tcPr>
            <w:tcW w:w="268" w:type="pct"/>
            <w:tcBorders>
              <w:top w:val="nil"/>
              <w:left w:val="nil"/>
              <w:bottom w:val="single" w:color="auto" w:sz="4" w:space="0"/>
              <w:right w:val="single" w:color="auto" w:sz="4" w:space="0"/>
            </w:tcBorders>
            <w:shd w:val="clear" w:color="auto" w:fill="auto"/>
            <w:noWrap/>
            <w:vAlign w:val="center"/>
          </w:tcPr>
          <w:p w14:paraId="2CD179A7">
            <w:pPr>
              <w:widowControl/>
              <w:jc w:val="center"/>
              <w:rPr>
                <w:sz w:val="15"/>
                <w:szCs w:val="15"/>
                <w:highlight w:val="none"/>
              </w:rPr>
            </w:pPr>
            <w:r>
              <w:rPr>
                <w:sz w:val="15"/>
                <w:szCs w:val="15"/>
                <w:highlight w:val="none"/>
              </w:rPr>
              <w:t>7.24</w:t>
            </w:r>
          </w:p>
        </w:tc>
        <w:tc>
          <w:tcPr>
            <w:tcW w:w="354" w:type="pct"/>
            <w:tcBorders>
              <w:top w:val="nil"/>
              <w:left w:val="nil"/>
              <w:bottom w:val="single" w:color="auto" w:sz="4" w:space="0"/>
              <w:right w:val="single" w:color="auto" w:sz="4" w:space="0"/>
            </w:tcBorders>
            <w:shd w:val="clear" w:color="auto" w:fill="auto"/>
            <w:noWrap/>
            <w:vAlign w:val="center"/>
          </w:tcPr>
          <w:p w14:paraId="7B34C758">
            <w:pPr>
              <w:widowControl/>
              <w:jc w:val="center"/>
              <w:rPr>
                <w:sz w:val="15"/>
                <w:szCs w:val="15"/>
                <w:highlight w:val="none"/>
              </w:rPr>
            </w:pPr>
            <w:r>
              <w:rPr>
                <w:sz w:val="15"/>
                <w:szCs w:val="15"/>
                <w:highlight w:val="none"/>
              </w:rPr>
              <w:t>6.19</w:t>
            </w:r>
          </w:p>
        </w:tc>
        <w:tc>
          <w:tcPr>
            <w:tcW w:w="401" w:type="pct"/>
            <w:tcBorders>
              <w:top w:val="nil"/>
              <w:left w:val="nil"/>
              <w:bottom w:val="single" w:color="auto" w:sz="4" w:space="0"/>
              <w:right w:val="single" w:color="auto" w:sz="4" w:space="0"/>
            </w:tcBorders>
            <w:shd w:val="clear" w:color="auto" w:fill="auto"/>
            <w:noWrap/>
            <w:vAlign w:val="center"/>
          </w:tcPr>
          <w:p w14:paraId="32D06658">
            <w:pPr>
              <w:widowControl/>
              <w:jc w:val="center"/>
              <w:rPr>
                <w:sz w:val="15"/>
                <w:szCs w:val="15"/>
                <w:highlight w:val="none"/>
              </w:rPr>
            </w:pPr>
            <w:r>
              <w:rPr>
                <w:sz w:val="15"/>
                <w:szCs w:val="15"/>
                <w:highlight w:val="none"/>
              </w:rPr>
              <w:t>1427</w:t>
            </w:r>
          </w:p>
        </w:tc>
        <w:tc>
          <w:tcPr>
            <w:tcW w:w="382" w:type="pct"/>
            <w:tcBorders>
              <w:top w:val="nil"/>
              <w:left w:val="nil"/>
              <w:bottom w:val="single" w:color="auto" w:sz="4" w:space="0"/>
              <w:right w:val="single" w:color="auto" w:sz="4" w:space="0"/>
            </w:tcBorders>
            <w:shd w:val="clear" w:color="auto" w:fill="auto"/>
            <w:noWrap/>
            <w:vAlign w:val="center"/>
          </w:tcPr>
          <w:p w14:paraId="7FF2FCAE">
            <w:pPr>
              <w:widowControl/>
              <w:jc w:val="center"/>
              <w:rPr>
                <w:sz w:val="15"/>
                <w:szCs w:val="15"/>
                <w:highlight w:val="none"/>
              </w:rPr>
            </w:pPr>
            <w:r>
              <w:rPr>
                <w:sz w:val="15"/>
                <w:szCs w:val="15"/>
                <w:highlight w:val="none"/>
              </w:rPr>
              <w:t>17.00</w:t>
            </w:r>
          </w:p>
        </w:tc>
        <w:tc>
          <w:tcPr>
            <w:tcW w:w="368" w:type="pct"/>
            <w:tcBorders>
              <w:top w:val="nil"/>
              <w:left w:val="nil"/>
              <w:bottom w:val="single" w:color="auto" w:sz="4" w:space="0"/>
              <w:right w:val="single" w:color="auto" w:sz="4" w:space="0"/>
            </w:tcBorders>
            <w:shd w:val="clear" w:color="auto" w:fill="auto"/>
            <w:noWrap/>
            <w:vAlign w:val="center"/>
          </w:tcPr>
          <w:p w14:paraId="27D4A0B0">
            <w:pPr>
              <w:widowControl/>
              <w:jc w:val="center"/>
              <w:rPr>
                <w:sz w:val="15"/>
                <w:szCs w:val="15"/>
                <w:highlight w:val="none"/>
              </w:rPr>
            </w:pPr>
            <w:r>
              <w:rPr>
                <w:sz w:val="15"/>
                <w:szCs w:val="15"/>
                <w:highlight w:val="none"/>
              </w:rPr>
              <w:t>0.18</w:t>
            </w:r>
          </w:p>
        </w:tc>
        <w:tc>
          <w:tcPr>
            <w:tcW w:w="368" w:type="pct"/>
            <w:tcBorders>
              <w:top w:val="nil"/>
              <w:left w:val="nil"/>
              <w:bottom w:val="single" w:color="auto" w:sz="4" w:space="0"/>
              <w:right w:val="single" w:color="auto" w:sz="4" w:space="0"/>
            </w:tcBorders>
            <w:shd w:val="clear" w:color="auto" w:fill="auto"/>
            <w:noWrap/>
            <w:vAlign w:val="center"/>
          </w:tcPr>
          <w:p w14:paraId="232554FC">
            <w:pPr>
              <w:widowControl/>
              <w:jc w:val="center"/>
              <w:rPr>
                <w:sz w:val="15"/>
                <w:szCs w:val="15"/>
                <w:highlight w:val="none"/>
              </w:rPr>
            </w:pPr>
            <w:r>
              <w:rPr>
                <w:sz w:val="15"/>
                <w:szCs w:val="15"/>
                <w:highlight w:val="none"/>
              </w:rPr>
              <w:t>199.12</w:t>
            </w:r>
          </w:p>
        </w:tc>
        <w:tc>
          <w:tcPr>
            <w:tcW w:w="462" w:type="pct"/>
            <w:tcBorders>
              <w:top w:val="nil"/>
              <w:left w:val="nil"/>
              <w:bottom w:val="single" w:color="auto" w:sz="4" w:space="0"/>
              <w:right w:val="single" w:color="auto" w:sz="4" w:space="0"/>
            </w:tcBorders>
            <w:shd w:val="clear" w:color="auto" w:fill="auto"/>
            <w:noWrap/>
            <w:vAlign w:val="center"/>
          </w:tcPr>
          <w:p w14:paraId="6A3A013D">
            <w:pPr>
              <w:widowControl/>
              <w:jc w:val="center"/>
              <w:rPr>
                <w:sz w:val="15"/>
                <w:szCs w:val="15"/>
                <w:highlight w:val="none"/>
              </w:rPr>
            </w:pPr>
            <w:r>
              <w:rPr>
                <w:sz w:val="15"/>
                <w:szCs w:val="15"/>
                <w:highlight w:val="none"/>
              </w:rPr>
              <w:t>4.58</w:t>
            </w:r>
          </w:p>
        </w:tc>
        <w:tc>
          <w:tcPr>
            <w:tcW w:w="462" w:type="pct"/>
            <w:tcBorders>
              <w:top w:val="nil"/>
              <w:left w:val="nil"/>
              <w:bottom w:val="single" w:color="auto" w:sz="4" w:space="0"/>
              <w:right w:val="single" w:color="auto" w:sz="4" w:space="0"/>
            </w:tcBorders>
            <w:shd w:val="clear" w:color="auto" w:fill="auto"/>
            <w:noWrap/>
            <w:vAlign w:val="center"/>
          </w:tcPr>
          <w:p w14:paraId="4E4E7C1E">
            <w:pPr>
              <w:widowControl/>
              <w:jc w:val="center"/>
              <w:rPr>
                <w:sz w:val="15"/>
                <w:szCs w:val="15"/>
                <w:highlight w:val="none"/>
              </w:rPr>
            </w:pPr>
            <w:r>
              <w:rPr>
                <w:sz w:val="15"/>
                <w:szCs w:val="15"/>
                <w:highlight w:val="none"/>
              </w:rPr>
              <w:t>4.23</w:t>
            </w:r>
          </w:p>
        </w:tc>
        <w:tc>
          <w:tcPr>
            <w:tcW w:w="36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3FC6783">
            <w:pPr>
              <w:widowControl/>
              <w:jc w:val="center"/>
              <w:rPr>
                <w:sz w:val="15"/>
                <w:szCs w:val="15"/>
                <w:highlight w:val="none"/>
              </w:rPr>
            </w:pPr>
            <w:r>
              <w:rPr>
                <w:sz w:val="15"/>
                <w:szCs w:val="15"/>
                <w:highlight w:val="none"/>
              </w:rPr>
              <w:t>1.03</w:t>
            </w:r>
          </w:p>
        </w:tc>
        <w:tc>
          <w:tcPr>
            <w:tcW w:w="368" w:type="pct"/>
            <w:tcBorders>
              <w:top w:val="nil"/>
              <w:left w:val="nil"/>
              <w:bottom w:val="single" w:color="auto" w:sz="4" w:space="0"/>
              <w:right w:val="single" w:color="auto" w:sz="4" w:space="0"/>
            </w:tcBorders>
            <w:shd w:val="clear" w:color="auto" w:fill="auto"/>
            <w:noWrap/>
            <w:vAlign w:val="center"/>
          </w:tcPr>
          <w:p w14:paraId="751BD38B">
            <w:pPr>
              <w:widowControl/>
              <w:jc w:val="center"/>
              <w:rPr>
                <w:sz w:val="15"/>
                <w:szCs w:val="15"/>
                <w:highlight w:val="none"/>
              </w:rPr>
            </w:pPr>
            <w:r>
              <w:rPr>
                <w:sz w:val="15"/>
                <w:szCs w:val="15"/>
                <w:highlight w:val="none"/>
              </w:rPr>
              <w:t>0</w:t>
            </w:r>
          </w:p>
        </w:tc>
        <w:tc>
          <w:tcPr>
            <w:tcW w:w="425" w:type="pct"/>
            <w:tcBorders>
              <w:top w:val="nil"/>
              <w:left w:val="single" w:color="auto" w:sz="4" w:space="0"/>
              <w:bottom w:val="single" w:color="auto" w:sz="4" w:space="0"/>
              <w:right w:val="single" w:color="auto" w:sz="4" w:space="0"/>
            </w:tcBorders>
            <w:shd w:val="clear" w:color="auto" w:fill="auto"/>
            <w:noWrap/>
            <w:vAlign w:val="center"/>
          </w:tcPr>
          <w:p w14:paraId="478F7C39">
            <w:pPr>
              <w:widowControl/>
              <w:jc w:val="center"/>
              <w:rPr>
                <w:sz w:val="15"/>
                <w:szCs w:val="15"/>
                <w:highlight w:val="none"/>
              </w:rPr>
            </w:pPr>
            <w:r>
              <w:rPr>
                <w:sz w:val="15"/>
                <w:szCs w:val="15"/>
                <w:highlight w:val="none"/>
              </w:rPr>
              <w:t>20</w:t>
            </w:r>
          </w:p>
        </w:tc>
        <w:tc>
          <w:tcPr>
            <w:tcW w:w="268" w:type="pct"/>
            <w:tcBorders>
              <w:top w:val="nil"/>
              <w:left w:val="nil"/>
              <w:bottom w:val="single" w:color="auto" w:sz="4" w:space="0"/>
              <w:right w:val="single" w:color="auto" w:sz="4" w:space="0"/>
            </w:tcBorders>
            <w:shd w:val="clear" w:color="auto" w:fill="auto"/>
            <w:noWrap/>
            <w:vAlign w:val="center"/>
          </w:tcPr>
          <w:p w14:paraId="669D72F1">
            <w:pPr>
              <w:widowControl/>
              <w:jc w:val="center"/>
              <w:rPr>
                <w:sz w:val="15"/>
                <w:szCs w:val="15"/>
                <w:highlight w:val="none"/>
              </w:rPr>
            </w:pPr>
            <w:r>
              <w:rPr>
                <w:sz w:val="15"/>
                <w:szCs w:val="15"/>
                <w:highlight w:val="none"/>
              </w:rPr>
              <w:t>/</w:t>
            </w:r>
          </w:p>
        </w:tc>
      </w:tr>
      <w:tr w14:paraId="3ED4C121">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20CA834D">
            <w:pPr>
              <w:widowControl/>
              <w:jc w:val="center"/>
              <w:rPr>
                <w:sz w:val="15"/>
                <w:szCs w:val="15"/>
                <w:highlight w:val="none"/>
              </w:rPr>
            </w:pPr>
            <w:r>
              <w:rPr>
                <w:sz w:val="15"/>
                <w:szCs w:val="15"/>
                <w:highlight w:val="none"/>
              </w:rPr>
              <w:t>2025.05.22</w:t>
            </w:r>
          </w:p>
        </w:tc>
        <w:tc>
          <w:tcPr>
            <w:tcW w:w="268" w:type="pct"/>
            <w:tcBorders>
              <w:top w:val="nil"/>
              <w:left w:val="nil"/>
              <w:bottom w:val="single" w:color="auto" w:sz="4" w:space="0"/>
              <w:right w:val="single" w:color="auto" w:sz="4" w:space="0"/>
            </w:tcBorders>
            <w:shd w:val="clear" w:color="auto" w:fill="auto"/>
            <w:noWrap/>
            <w:vAlign w:val="center"/>
          </w:tcPr>
          <w:p w14:paraId="141BD4D3">
            <w:pPr>
              <w:widowControl/>
              <w:jc w:val="center"/>
              <w:rPr>
                <w:sz w:val="15"/>
                <w:szCs w:val="15"/>
                <w:highlight w:val="none"/>
              </w:rPr>
            </w:pPr>
            <w:r>
              <w:rPr>
                <w:sz w:val="15"/>
                <w:szCs w:val="15"/>
                <w:highlight w:val="none"/>
              </w:rPr>
              <w:t>7.55</w:t>
            </w:r>
          </w:p>
        </w:tc>
        <w:tc>
          <w:tcPr>
            <w:tcW w:w="354" w:type="pct"/>
            <w:tcBorders>
              <w:top w:val="nil"/>
              <w:left w:val="nil"/>
              <w:bottom w:val="single" w:color="auto" w:sz="4" w:space="0"/>
              <w:right w:val="single" w:color="auto" w:sz="4" w:space="0"/>
            </w:tcBorders>
            <w:shd w:val="clear" w:color="auto" w:fill="auto"/>
            <w:noWrap/>
            <w:vAlign w:val="center"/>
          </w:tcPr>
          <w:p w14:paraId="0AC070CE">
            <w:pPr>
              <w:widowControl/>
              <w:jc w:val="center"/>
              <w:rPr>
                <w:sz w:val="15"/>
                <w:szCs w:val="15"/>
                <w:highlight w:val="none"/>
              </w:rPr>
            </w:pPr>
            <w:r>
              <w:rPr>
                <w:sz w:val="15"/>
                <w:szCs w:val="15"/>
                <w:highlight w:val="none"/>
              </w:rPr>
              <w:t>6.34</w:t>
            </w:r>
          </w:p>
        </w:tc>
        <w:tc>
          <w:tcPr>
            <w:tcW w:w="401" w:type="pct"/>
            <w:tcBorders>
              <w:top w:val="nil"/>
              <w:left w:val="nil"/>
              <w:bottom w:val="single" w:color="auto" w:sz="4" w:space="0"/>
              <w:right w:val="single" w:color="auto" w:sz="4" w:space="0"/>
            </w:tcBorders>
            <w:shd w:val="clear" w:color="auto" w:fill="auto"/>
            <w:noWrap/>
            <w:vAlign w:val="center"/>
          </w:tcPr>
          <w:p w14:paraId="13B453A0">
            <w:pPr>
              <w:widowControl/>
              <w:jc w:val="center"/>
              <w:rPr>
                <w:sz w:val="15"/>
                <w:szCs w:val="15"/>
                <w:highlight w:val="none"/>
              </w:rPr>
            </w:pPr>
            <w:r>
              <w:rPr>
                <w:sz w:val="15"/>
                <w:szCs w:val="15"/>
                <w:highlight w:val="none"/>
              </w:rPr>
              <w:t>1535</w:t>
            </w:r>
          </w:p>
        </w:tc>
        <w:tc>
          <w:tcPr>
            <w:tcW w:w="382" w:type="pct"/>
            <w:tcBorders>
              <w:top w:val="nil"/>
              <w:left w:val="nil"/>
              <w:bottom w:val="single" w:color="auto" w:sz="4" w:space="0"/>
              <w:right w:val="single" w:color="auto" w:sz="4" w:space="0"/>
            </w:tcBorders>
            <w:shd w:val="clear" w:color="auto" w:fill="auto"/>
            <w:noWrap/>
            <w:vAlign w:val="center"/>
          </w:tcPr>
          <w:p w14:paraId="07F8CADD">
            <w:pPr>
              <w:widowControl/>
              <w:jc w:val="center"/>
              <w:rPr>
                <w:sz w:val="15"/>
                <w:szCs w:val="15"/>
                <w:highlight w:val="none"/>
              </w:rPr>
            </w:pPr>
            <w:r>
              <w:rPr>
                <w:sz w:val="15"/>
                <w:szCs w:val="15"/>
                <w:highlight w:val="none"/>
              </w:rPr>
              <w:t>15.00</w:t>
            </w:r>
          </w:p>
        </w:tc>
        <w:tc>
          <w:tcPr>
            <w:tcW w:w="368" w:type="pct"/>
            <w:tcBorders>
              <w:top w:val="nil"/>
              <w:left w:val="nil"/>
              <w:bottom w:val="single" w:color="auto" w:sz="4" w:space="0"/>
              <w:right w:val="single" w:color="auto" w:sz="4" w:space="0"/>
            </w:tcBorders>
            <w:shd w:val="clear" w:color="auto" w:fill="auto"/>
            <w:noWrap/>
            <w:vAlign w:val="center"/>
          </w:tcPr>
          <w:p w14:paraId="6E8B3A6D">
            <w:pPr>
              <w:widowControl/>
              <w:jc w:val="center"/>
              <w:rPr>
                <w:sz w:val="15"/>
                <w:szCs w:val="15"/>
                <w:highlight w:val="none"/>
              </w:rPr>
            </w:pPr>
            <w:r>
              <w:rPr>
                <w:sz w:val="15"/>
                <w:szCs w:val="15"/>
                <w:highlight w:val="none"/>
              </w:rPr>
              <w:t>0.17</w:t>
            </w:r>
          </w:p>
        </w:tc>
        <w:tc>
          <w:tcPr>
            <w:tcW w:w="368" w:type="pct"/>
            <w:tcBorders>
              <w:top w:val="nil"/>
              <w:left w:val="nil"/>
              <w:bottom w:val="single" w:color="auto" w:sz="4" w:space="0"/>
              <w:right w:val="single" w:color="auto" w:sz="4" w:space="0"/>
            </w:tcBorders>
            <w:shd w:val="clear" w:color="auto" w:fill="auto"/>
            <w:noWrap/>
            <w:vAlign w:val="center"/>
          </w:tcPr>
          <w:p w14:paraId="6E4D6600">
            <w:pPr>
              <w:widowControl/>
              <w:jc w:val="center"/>
              <w:rPr>
                <w:sz w:val="15"/>
                <w:szCs w:val="15"/>
                <w:highlight w:val="none"/>
              </w:rPr>
            </w:pPr>
            <w:r>
              <w:rPr>
                <w:sz w:val="15"/>
                <w:szCs w:val="15"/>
                <w:highlight w:val="none"/>
              </w:rPr>
              <w:t>231.12</w:t>
            </w:r>
          </w:p>
        </w:tc>
        <w:tc>
          <w:tcPr>
            <w:tcW w:w="462" w:type="pct"/>
            <w:tcBorders>
              <w:top w:val="nil"/>
              <w:left w:val="nil"/>
              <w:bottom w:val="single" w:color="auto" w:sz="4" w:space="0"/>
              <w:right w:val="single" w:color="auto" w:sz="4" w:space="0"/>
            </w:tcBorders>
            <w:shd w:val="clear" w:color="auto" w:fill="auto"/>
            <w:noWrap/>
            <w:vAlign w:val="center"/>
          </w:tcPr>
          <w:p w14:paraId="2A4EF853">
            <w:pPr>
              <w:widowControl/>
              <w:jc w:val="center"/>
              <w:rPr>
                <w:sz w:val="15"/>
                <w:szCs w:val="15"/>
                <w:highlight w:val="none"/>
              </w:rPr>
            </w:pPr>
            <w:r>
              <w:rPr>
                <w:sz w:val="15"/>
                <w:szCs w:val="15"/>
                <w:highlight w:val="none"/>
              </w:rPr>
              <w:t>4.68</w:t>
            </w:r>
          </w:p>
        </w:tc>
        <w:tc>
          <w:tcPr>
            <w:tcW w:w="462" w:type="pct"/>
            <w:tcBorders>
              <w:top w:val="nil"/>
              <w:left w:val="nil"/>
              <w:bottom w:val="single" w:color="auto" w:sz="4" w:space="0"/>
              <w:right w:val="single" w:color="auto" w:sz="4" w:space="0"/>
            </w:tcBorders>
            <w:shd w:val="clear" w:color="auto" w:fill="auto"/>
            <w:noWrap/>
            <w:vAlign w:val="center"/>
          </w:tcPr>
          <w:p w14:paraId="32995867">
            <w:pPr>
              <w:widowControl/>
              <w:jc w:val="center"/>
              <w:rPr>
                <w:sz w:val="15"/>
                <w:szCs w:val="15"/>
                <w:highlight w:val="none"/>
              </w:rPr>
            </w:pPr>
            <w:r>
              <w:rPr>
                <w:sz w:val="15"/>
                <w:szCs w:val="15"/>
                <w:highlight w:val="none"/>
              </w:rPr>
              <w:t>4.59</w:t>
            </w:r>
          </w:p>
        </w:tc>
        <w:tc>
          <w:tcPr>
            <w:tcW w:w="36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FE12F80">
            <w:pPr>
              <w:widowControl/>
              <w:jc w:val="center"/>
              <w:rPr>
                <w:sz w:val="15"/>
                <w:szCs w:val="15"/>
                <w:highlight w:val="none"/>
              </w:rPr>
            </w:pPr>
            <w:r>
              <w:rPr>
                <w:sz w:val="15"/>
                <w:szCs w:val="15"/>
                <w:highlight w:val="none"/>
              </w:rPr>
              <w:t>1.07</w:t>
            </w:r>
          </w:p>
        </w:tc>
        <w:tc>
          <w:tcPr>
            <w:tcW w:w="368" w:type="pct"/>
            <w:tcBorders>
              <w:top w:val="nil"/>
              <w:left w:val="nil"/>
              <w:bottom w:val="single" w:color="auto" w:sz="4" w:space="0"/>
              <w:right w:val="single" w:color="auto" w:sz="4" w:space="0"/>
            </w:tcBorders>
            <w:shd w:val="clear" w:color="auto" w:fill="auto"/>
            <w:noWrap/>
            <w:vAlign w:val="center"/>
          </w:tcPr>
          <w:p w14:paraId="3CE8114D">
            <w:pPr>
              <w:widowControl/>
              <w:jc w:val="center"/>
              <w:rPr>
                <w:sz w:val="15"/>
                <w:szCs w:val="15"/>
                <w:highlight w:val="none"/>
              </w:rPr>
            </w:pPr>
            <w:r>
              <w:rPr>
                <w:sz w:val="15"/>
                <w:szCs w:val="15"/>
                <w:highlight w:val="none"/>
              </w:rPr>
              <w:t>0</w:t>
            </w:r>
          </w:p>
        </w:tc>
        <w:tc>
          <w:tcPr>
            <w:tcW w:w="425" w:type="pct"/>
            <w:tcBorders>
              <w:top w:val="nil"/>
              <w:left w:val="single" w:color="auto" w:sz="4" w:space="0"/>
              <w:bottom w:val="single" w:color="auto" w:sz="4" w:space="0"/>
              <w:right w:val="single" w:color="auto" w:sz="4" w:space="0"/>
            </w:tcBorders>
            <w:shd w:val="clear" w:color="auto" w:fill="auto"/>
            <w:noWrap/>
            <w:vAlign w:val="center"/>
          </w:tcPr>
          <w:p w14:paraId="2DEC7B9C">
            <w:pPr>
              <w:widowControl/>
              <w:jc w:val="center"/>
              <w:rPr>
                <w:sz w:val="15"/>
                <w:szCs w:val="15"/>
                <w:highlight w:val="none"/>
              </w:rPr>
            </w:pPr>
            <w:r>
              <w:rPr>
                <w:sz w:val="15"/>
                <w:szCs w:val="15"/>
                <w:highlight w:val="none"/>
              </w:rPr>
              <w:t>13</w:t>
            </w:r>
          </w:p>
        </w:tc>
        <w:tc>
          <w:tcPr>
            <w:tcW w:w="268" w:type="pct"/>
            <w:tcBorders>
              <w:top w:val="nil"/>
              <w:left w:val="nil"/>
              <w:bottom w:val="single" w:color="auto" w:sz="4" w:space="0"/>
              <w:right w:val="single" w:color="auto" w:sz="4" w:space="0"/>
            </w:tcBorders>
            <w:shd w:val="clear" w:color="auto" w:fill="auto"/>
            <w:noWrap/>
            <w:vAlign w:val="center"/>
          </w:tcPr>
          <w:p w14:paraId="644ED1D5">
            <w:pPr>
              <w:widowControl/>
              <w:jc w:val="center"/>
              <w:rPr>
                <w:sz w:val="15"/>
                <w:szCs w:val="15"/>
                <w:highlight w:val="none"/>
              </w:rPr>
            </w:pPr>
            <w:r>
              <w:rPr>
                <w:sz w:val="15"/>
                <w:szCs w:val="15"/>
                <w:highlight w:val="none"/>
              </w:rPr>
              <w:t>/</w:t>
            </w:r>
          </w:p>
        </w:tc>
      </w:tr>
      <w:tr w14:paraId="3B9D66ED">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0301E649">
            <w:pPr>
              <w:widowControl/>
              <w:jc w:val="center"/>
              <w:rPr>
                <w:sz w:val="15"/>
                <w:szCs w:val="15"/>
                <w:highlight w:val="none"/>
              </w:rPr>
            </w:pPr>
            <w:r>
              <w:rPr>
                <w:sz w:val="15"/>
                <w:szCs w:val="15"/>
                <w:highlight w:val="none"/>
              </w:rPr>
              <w:t>2025.05.29</w:t>
            </w:r>
          </w:p>
        </w:tc>
        <w:tc>
          <w:tcPr>
            <w:tcW w:w="268" w:type="pct"/>
            <w:tcBorders>
              <w:top w:val="nil"/>
              <w:left w:val="nil"/>
              <w:bottom w:val="single" w:color="auto" w:sz="4" w:space="0"/>
              <w:right w:val="single" w:color="auto" w:sz="4" w:space="0"/>
            </w:tcBorders>
            <w:shd w:val="clear" w:color="auto" w:fill="auto"/>
            <w:noWrap/>
            <w:vAlign w:val="center"/>
          </w:tcPr>
          <w:p w14:paraId="7AEC2315">
            <w:pPr>
              <w:widowControl/>
              <w:jc w:val="center"/>
              <w:rPr>
                <w:sz w:val="15"/>
                <w:szCs w:val="15"/>
                <w:highlight w:val="none"/>
              </w:rPr>
            </w:pPr>
            <w:r>
              <w:rPr>
                <w:sz w:val="15"/>
                <w:szCs w:val="15"/>
                <w:highlight w:val="none"/>
              </w:rPr>
              <w:t>7.26</w:t>
            </w:r>
          </w:p>
        </w:tc>
        <w:tc>
          <w:tcPr>
            <w:tcW w:w="354" w:type="pct"/>
            <w:tcBorders>
              <w:top w:val="nil"/>
              <w:left w:val="nil"/>
              <w:bottom w:val="single" w:color="auto" w:sz="4" w:space="0"/>
              <w:right w:val="single" w:color="auto" w:sz="4" w:space="0"/>
            </w:tcBorders>
            <w:shd w:val="clear" w:color="auto" w:fill="auto"/>
            <w:noWrap/>
            <w:vAlign w:val="center"/>
          </w:tcPr>
          <w:p w14:paraId="500ACF0C">
            <w:pPr>
              <w:widowControl/>
              <w:jc w:val="center"/>
              <w:rPr>
                <w:sz w:val="15"/>
                <w:szCs w:val="15"/>
                <w:highlight w:val="none"/>
              </w:rPr>
            </w:pPr>
            <w:r>
              <w:rPr>
                <w:sz w:val="15"/>
                <w:szCs w:val="15"/>
                <w:highlight w:val="none"/>
              </w:rPr>
              <w:t>2.83</w:t>
            </w:r>
          </w:p>
        </w:tc>
        <w:tc>
          <w:tcPr>
            <w:tcW w:w="401" w:type="pct"/>
            <w:tcBorders>
              <w:top w:val="nil"/>
              <w:left w:val="nil"/>
              <w:bottom w:val="single" w:color="auto" w:sz="4" w:space="0"/>
              <w:right w:val="single" w:color="auto" w:sz="4" w:space="0"/>
            </w:tcBorders>
            <w:shd w:val="clear" w:color="auto" w:fill="auto"/>
            <w:noWrap/>
            <w:vAlign w:val="center"/>
          </w:tcPr>
          <w:p w14:paraId="49B5D7D9">
            <w:pPr>
              <w:widowControl/>
              <w:jc w:val="center"/>
              <w:rPr>
                <w:sz w:val="15"/>
                <w:szCs w:val="15"/>
                <w:highlight w:val="none"/>
              </w:rPr>
            </w:pPr>
            <w:r>
              <w:rPr>
                <w:sz w:val="15"/>
                <w:szCs w:val="15"/>
                <w:highlight w:val="none"/>
              </w:rPr>
              <w:t>1639</w:t>
            </w:r>
          </w:p>
        </w:tc>
        <w:tc>
          <w:tcPr>
            <w:tcW w:w="382" w:type="pct"/>
            <w:tcBorders>
              <w:top w:val="nil"/>
              <w:left w:val="nil"/>
              <w:bottom w:val="single" w:color="auto" w:sz="4" w:space="0"/>
              <w:right w:val="single" w:color="auto" w:sz="4" w:space="0"/>
            </w:tcBorders>
            <w:shd w:val="clear" w:color="auto" w:fill="auto"/>
            <w:noWrap/>
            <w:vAlign w:val="center"/>
          </w:tcPr>
          <w:p w14:paraId="60268D87">
            <w:pPr>
              <w:widowControl/>
              <w:jc w:val="center"/>
              <w:rPr>
                <w:sz w:val="15"/>
                <w:szCs w:val="15"/>
                <w:highlight w:val="none"/>
              </w:rPr>
            </w:pPr>
            <w:r>
              <w:rPr>
                <w:sz w:val="15"/>
                <w:szCs w:val="15"/>
                <w:highlight w:val="none"/>
              </w:rPr>
              <w:t>12.50</w:t>
            </w:r>
          </w:p>
        </w:tc>
        <w:tc>
          <w:tcPr>
            <w:tcW w:w="368" w:type="pct"/>
            <w:tcBorders>
              <w:top w:val="nil"/>
              <w:left w:val="nil"/>
              <w:bottom w:val="single" w:color="auto" w:sz="4" w:space="0"/>
              <w:right w:val="single" w:color="auto" w:sz="4" w:space="0"/>
            </w:tcBorders>
            <w:shd w:val="clear" w:color="auto" w:fill="auto"/>
            <w:noWrap/>
            <w:vAlign w:val="center"/>
          </w:tcPr>
          <w:p w14:paraId="42104AE3">
            <w:pPr>
              <w:widowControl/>
              <w:jc w:val="center"/>
              <w:rPr>
                <w:sz w:val="15"/>
                <w:szCs w:val="15"/>
                <w:highlight w:val="none"/>
              </w:rPr>
            </w:pPr>
            <w:r>
              <w:rPr>
                <w:sz w:val="15"/>
                <w:szCs w:val="15"/>
                <w:highlight w:val="none"/>
              </w:rPr>
              <w:t>0.18</w:t>
            </w:r>
          </w:p>
        </w:tc>
        <w:tc>
          <w:tcPr>
            <w:tcW w:w="368" w:type="pct"/>
            <w:tcBorders>
              <w:top w:val="nil"/>
              <w:left w:val="nil"/>
              <w:bottom w:val="single" w:color="auto" w:sz="4" w:space="0"/>
              <w:right w:val="single" w:color="auto" w:sz="4" w:space="0"/>
            </w:tcBorders>
            <w:shd w:val="clear" w:color="auto" w:fill="auto"/>
            <w:noWrap/>
            <w:vAlign w:val="center"/>
          </w:tcPr>
          <w:p w14:paraId="0615ADF3">
            <w:pPr>
              <w:widowControl/>
              <w:jc w:val="center"/>
              <w:rPr>
                <w:sz w:val="15"/>
                <w:szCs w:val="15"/>
                <w:highlight w:val="none"/>
              </w:rPr>
            </w:pPr>
            <w:r>
              <w:rPr>
                <w:sz w:val="15"/>
                <w:szCs w:val="15"/>
                <w:highlight w:val="none"/>
              </w:rPr>
              <w:t>293.34</w:t>
            </w:r>
          </w:p>
        </w:tc>
        <w:tc>
          <w:tcPr>
            <w:tcW w:w="462" w:type="pct"/>
            <w:tcBorders>
              <w:top w:val="nil"/>
              <w:left w:val="nil"/>
              <w:bottom w:val="single" w:color="auto" w:sz="4" w:space="0"/>
              <w:right w:val="single" w:color="auto" w:sz="4" w:space="0"/>
            </w:tcBorders>
            <w:shd w:val="clear" w:color="auto" w:fill="auto"/>
            <w:noWrap/>
            <w:vAlign w:val="center"/>
          </w:tcPr>
          <w:p w14:paraId="08BF01B2">
            <w:pPr>
              <w:widowControl/>
              <w:jc w:val="center"/>
              <w:rPr>
                <w:sz w:val="15"/>
                <w:szCs w:val="15"/>
                <w:highlight w:val="none"/>
              </w:rPr>
            </w:pPr>
            <w:r>
              <w:rPr>
                <w:sz w:val="15"/>
                <w:szCs w:val="15"/>
                <w:highlight w:val="none"/>
              </w:rPr>
              <w:t>4.88</w:t>
            </w:r>
          </w:p>
        </w:tc>
        <w:tc>
          <w:tcPr>
            <w:tcW w:w="462" w:type="pct"/>
            <w:tcBorders>
              <w:top w:val="nil"/>
              <w:left w:val="nil"/>
              <w:bottom w:val="single" w:color="auto" w:sz="4" w:space="0"/>
              <w:right w:val="single" w:color="auto" w:sz="4" w:space="0"/>
            </w:tcBorders>
            <w:shd w:val="clear" w:color="auto" w:fill="auto"/>
            <w:noWrap/>
            <w:vAlign w:val="center"/>
          </w:tcPr>
          <w:p w14:paraId="22B0C8E8">
            <w:pPr>
              <w:widowControl/>
              <w:jc w:val="center"/>
              <w:rPr>
                <w:sz w:val="15"/>
                <w:szCs w:val="15"/>
                <w:highlight w:val="none"/>
              </w:rPr>
            </w:pPr>
            <w:r>
              <w:rPr>
                <w:sz w:val="15"/>
                <w:szCs w:val="15"/>
                <w:highlight w:val="none"/>
              </w:rPr>
              <w:t>4.70</w:t>
            </w:r>
          </w:p>
        </w:tc>
        <w:tc>
          <w:tcPr>
            <w:tcW w:w="368" w:type="pct"/>
            <w:tcBorders>
              <w:top w:val="nil"/>
              <w:left w:val="nil"/>
              <w:bottom w:val="single" w:color="auto" w:sz="4" w:space="0"/>
              <w:right w:val="single" w:color="auto" w:sz="4" w:space="0"/>
            </w:tcBorders>
            <w:shd w:val="clear" w:color="auto" w:fill="auto"/>
            <w:noWrap/>
            <w:vAlign w:val="center"/>
          </w:tcPr>
          <w:p w14:paraId="73182B71">
            <w:pPr>
              <w:widowControl/>
              <w:jc w:val="center"/>
              <w:rPr>
                <w:sz w:val="15"/>
                <w:szCs w:val="15"/>
                <w:highlight w:val="none"/>
              </w:rPr>
            </w:pPr>
            <w:r>
              <w:rPr>
                <w:sz w:val="15"/>
                <w:szCs w:val="15"/>
                <w:highlight w:val="none"/>
              </w:rPr>
              <w:t>0.38</w:t>
            </w:r>
          </w:p>
        </w:tc>
        <w:tc>
          <w:tcPr>
            <w:tcW w:w="368" w:type="pct"/>
            <w:tcBorders>
              <w:top w:val="nil"/>
              <w:left w:val="nil"/>
              <w:bottom w:val="single" w:color="auto" w:sz="4" w:space="0"/>
              <w:right w:val="single" w:color="auto" w:sz="4" w:space="0"/>
            </w:tcBorders>
            <w:shd w:val="clear" w:color="auto" w:fill="auto"/>
            <w:noWrap/>
            <w:vAlign w:val="center"/>
          </w:tcPr>
          <w:p w14:paraId="014792FA">
            <w:pPr>
              <w:widowControl/>
              <w:jc w:val="center"/>
              <w:rPr>
                <w:sz w:val="15"/>
                <w:szCs w:val="15"/>
                <w:highlight w:val="none"/>
              </w:rPr>
            </w:pPr>
            <w:r>
              <w:rPr>
                <w:sz w:val="15"/>
                <w:szCs w:val="15"/>
                <w:highlight w:val="none"/>
              </w:rPr>
              <w:t>0</w:t>
            </w:r>
          </w:p>
        </w:tc>
        <w:tc>
          <w:tcPr>
            <w:tcW w:w="425" w:type="pct"/>
            <w:tcBorders>
              <w:top w:val="nil"/>
              <w:left w:val="nil"/>
              <w:bottom w:val="single" w:color="auto" w:sz="4" w:space="0"/>
              <w:right w:val="single" w:color="auto" w:sz="4" w:space="0"/>
            </w:tcBorders>
            <w:shd w:val="clear" w:color="auto" w:fill="auto"/>
            <w:noWrap/>
            <w:vAlign w:val="center"/>
          </w:tcPr>
          <w:p w14:paraId="31DE3D4A">
            <w:pPr>
              <w:widowControl/>
              <w:jc w:val="center"/>
              <w:rPr>
                <w:sz w:val="15"/>
                <w:szCs w:val="15"/>
                <w:highlight w:val="none"/>
              </w:rPr>
            </w:pPr>
            <w:r>
              <w:rPr>
                <w:sz w:val="15"/>
                <w:szCs w:val="15"/>
                <w:highlight w:val="none"/>
              </w:rPr>
              <w:t>8</w:t>
            </w:r>
          </w:p>
        </w:tc>
        <w:tc>
          <w:tcPr>
            <w:tcW w:w="268" w:type="pct"/>
            <w:tcBorders>
              <w:top w:val="nil"/>
              <w:left w:val="nil"/>
              <w:bottom w:val="single" w:color="auto" w:sz="4" w:space="0"/>
              <w:right w:val="single" w:color="auto" w:sz="4" w:space="0"/>
            </w:tcBorders>
            <w:shd w:val="clear" w:color="auto" w:fill="auto"/>
            <w:noWrap/>
            <w:vAlign w:val="center"/>
          </w:tcPr>
          <w:p w14:paraId="35E209C4">
            <w:pPr>
              <w:widowControl/>
              <w:jc w:val="center"/>
              <w:rPr>
                <w:sz w:val="15"/>
                <w:szCs w:val="15"/>
                <w:highlight w:val="none"/>
              </w:rPr>
            </w:pPr>
            <w:r>
              <w:rPr>
                <w:sz w:val="15"/>
                <w:szCs w:val="15"/>
                <w:highlight w:val="none"/>
              </w:rPr>
              <w:t xml:space="preserve">0.02 </w:t>
            </w:r>
          </w:p>
        </w:tc>
      </w:tr>
      <w:tr w14:paraId="5DDDEC45">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2082759B">
            <w:pPr>
              <w:widowControl/>
              <w:jc w:val="center"/>
              <w:rPr>
                <w:sz w:val="15"/>
                <w:szCs w:val="15"/>
                <w:highlight w:val="none"/>
              </w:rPr>
            </w:pPr>
            <w:r>
              <w:rPr>
                <w:sz w:val="15"/>
                <w:szCs w:val="15"/>
                <w:highlight w:val="none"/>
              </w:rPr>
              <w:t>2025.06.04</w:t>
            </w:r>
          </w:p>
        </w:tc>
        <w:tc>
          <w:tcPr>
            <w:tcW w:w="268" w:type="pct"/>
            <w:tcBorders>
              <w:top w:val="nil"/>
              <w:left w:val="nil"/>
              <w:bottom w:val="single" w:color="auto" w:sz="4" w:space="0"/>
              <w:right w:val="single" w:color="auto" w:sz="4" w:space="0"/>
            </w:tcBorders>
            <w:shd w:val="clear" w:color="auto" w:fill="auto"/>
            <w:noWrap/>
            <w:vAlign w:val="center"/>
          </w:tcPr>
          <w:p w14:paraId="47E6772D">
            <w:pPr>
              <w:widowControl/>
              <w:jc w:val="center"/>
              <w:rPr>
                <w:sz w:val="15"/>
                <w:szCs w:val="15"/>
                <w:highlight w:val="none"/>
              </w:rPr>
            </w:pPr>
            <w:r>
              <w:rPr>
                <w:sz w:val="15"/>
                <w:szCs w:val="15"/>
                <w:highlight w:val="none"/>
              </w:rPr>
              <w:t>7.04</w:t>
            </w:r>
          </w:p>
        </w:tc>
        <w:tc>
          <w:tcPr>
            <w:tcW w:w="354" w:type="pct"/>
            <w:tcBorders>
              <w:top w:val="nil"/>
              <w:left w:val="nil"/>
              <w:bottom w:val="single" w:color="auto" w:sz="4" w:space="0"/>
              <w:right w:val="single" w:color="auto" w:sz="4" w:space="0"/>
            </w:tcBorders>
            <w:shd w:val="clear" w:color="auto" w:fill="auto"/>
            <w:noWrap/>
            <w:vAlign w:val="center"/>
          </w:tcPr>
          <w:p w14:paraId="6F76D834">
            <w:pPr>
              <w:widowControl/>
              <w:jc w:val="center"/>
              <w:rPr>
                <w:sz w:val="15"/>
                <w:szCs w:val="15"/>
                <w:highlight w:val="none"/>
              </w:rPr>
            </w:pPr>
            <w:r>
              <w:rPr>
                <w:sz w:val="15"/>
                <w:szCs w:val="15"/>
                <w:highlight w:val="none"/>
              </w:rPr>
              <w:t>1.44</w:t>
            </w:r>
          </w:p>
        </w:tc>
        <w:tc>
          <w:tcPr>
            <w:tcW w:w="401" w:type="pct"/>
            <w:tcBorders>
              <w:top w:val="nil"/>
              <w:left w:val="nil"/>
              <w:bottom w:val="single" w:color="auto" w:sz="4" w:space="0"/>
              <w:right w:val="single" w:color="auto" w:sz="4" w:space="0"/>
            </w:tcBorders>
            <w:shd w:val="clear" w:color="auto" w:fill="auto"/>
            <w:noWrap/>
            <w:vAlign w:val="center"/>
          </w:tcPr>
          <w:p w14:paraId="3D514172">
            <w:pPr>
              <w:widowControl/>
              <w:jc w:val="center"/>
              <w:rPr>
                <w:sz w:val="15"/>
                <w:szCs w:val="15"/>
                <w:highlight w:val="none"/>
              </w:rPr>
            </w:pPr>
            <w:r>
              <w:rPr>
                <w:sz w:val="15"/>
                <w:szCs w:val="15"/>
                <w:highlight w:val="none"/>
              </w:rPr>
              <w:t>1725</w:t>
            </w:r>
          </w:p>
        </w:tc>
        <w:tc>
          <w:tcPr>
            <w:tcW w:w="382" w:type="pct"/>
            <w:tcBorders>
              <w:top w:val="nil"/>
              <w:left w:val="nil"/>
              <w:bottom w:val="single" w:color="auto" w:sz="4" w:space="0"/>
              <w:right w:val="single" w:color="auto" w:sz="4" w:space="0"/>
            </w:tcBorders>
            <w:shd w:val="clear" w:color="auto" w:fill="auto"/>
            <w:noWrap/>
            <w:vAlign w:val="center"/>
          </w:tcPr>
          <w:p w14:paraId="7148844F">
            <w:pPr>
              <w:widowControl/>
              <w:jc w:val="center"/>
              <w:rPr>
                <w:sz w:val="15"/>
                <w:szCs w:val="15"/>
                <w:highlight w:val="none"/>
              </w:rPr>
            </w:pPr>
            <w:r>
              <w:rPr>
                <w:sz w:val="15"/>
                <w:szCs w:val="15"/>
                <w:highlight w:val="none"/>
              </w:rPr>
              <w:t>20.80</w:t>
            </w:r>
          </w:p>
        </w:tc>
        <w:tc>
          <w:tcPr>
            <w:tcW w:w="368" w:type="pct"/>
            <w:tcBorders>
              <w:top w:val="nil"/>
              <w:left w:val="nil"/>
              <w:bottom w:val="single" w:color="auto" w:sz="4" w:space="0"/>
              <w:right w:val="single" w:color="auto" w:sz="4" w:space="0"/>
            </w:tcBorders>
            <w:shd w:val="clear" w:color="auto" w:fill="auto"/>
            <w:noWrap/>
            <w:vAlign w:val="center"/>
          </w:tcPr>
          <w:p w14:paraId="0608B8FF">
            <w:pPr>
              <w:widowControl/>
              <w:jc w:val="center"/>
              <w:rPr>
                <w:sz w:val="15"/>
                <w:szCs w:val="15"/>
                <w:highlight w:val="none"/>
              </w:rPr>
            </w:pPr>
            <w:r>
              <w:rPr>
                <w:sz w:val="15"/>
                <w:szCs w:val="15"/>
                <w:highlight w:val="none"/>
              </w:rPr>
              <w:t>0.38</w:t>
            </w:r>
          </w:p>
        </w:tc>
        <w:tc>
          <w:tcPr>
            <w:tcW w:w="368" w:type="pct"/>
            <w:tcBorders>
              <w:top w:val="nil"/>
              <w:left w:val="nil"/>
              <w:bottom w:val="single" w:color="auto" w:sz="4" w:space="0"/>
              <w:right w:val="single" w:color="auto" w:sz="4" w:space="0"/>
            </w:tcBorders>
            <w:shd w:val="clear" w:color="auto" w:fill="auto"/>
            <w:noWrap/>
            <w:vAlign w:val="center"/>
          </w:tcPr>
          <w:p w14:paraId="17ADD080">
            <w:pPr>
              <w:widowControl/>
              <w:jc w:val="center"/>
              <w:rPr>
                <w:sz w:val="15"/>
                <w:szCs w:val="15"/>
                <w:highlight w:val="none"/>
              </w:rPr>
            </w:pPr>
            <w:r>
              <w:rPr>
                <w:sz w:val="15"/>
                <w:szCs w:val="15"/>
                <w:highlight w:val="none"/>
              </w:rPr>
              <w:t>264.89</w:t>
            </w:r>
          </w:p>
        </w:tc>
        <w:tc>
          <w:tcPr>
            <w:tcW w:w="462" w:type="pct"/>
            <w:tcBorders>
              <w:top w:val="nil"/>
              <w:left w:val="nil"/>
              <w:bottom w:val="single" w:color="auto" w:sz="4" w:space="0"/>
              <w:right w:val="single" w:color="auto" w:sz="4" w:space="0"/>
            </w:tcBorders>
            <w:shd w:val="clear" w:color="auto" w:fill="auto"/>
            <w:noWrap/>
            <w:vAlign w:val="center"/>
          </w:tcPr>
          <w:p w14:paraId="02248B61">
            <w:pPr>
              <w:widowControl/>
              <w:jc w:val="center"/>
              <w:rPr>
                <w:sz w:val="15"/>
                <w:szCs w:val="15"/>
                <w:highlight w:val="none"/>
              </w:rPr>
            </w:pPr>
            <w:r>
              <w:rPr>
                <w:sz w:val="15"/>
                <w:szCs w:val="15"/>
                <w:highlight w:val="none"/>
              </w:rPr>
              <w:t>4.88</w:t>
            </w:r>
          </w:p>
        </w:tc>
        <w:tc>
          <w:tcPr>
            <w:tcW w:w="462" w:type="pct"/>
            <w:tcBorders>
              <w:top w:val="nil"/>
              <w:left w:val="nil"/>
              <w:bottom w:val="single" w:color="auto" w:sz="4" w:space="0"/>
              <w:right w:val="single" w:color="auto" w:sz="4" w:space="0"/>
            </w:tcBorders>
            <w:shd w:val="clear" w:color="auto" w:fill="auto"/>
            <w:noWrap/>
            <w:vAlign w:val="center"/>
          </w:tcPr>
          <w:p w14:paraId="4F03C9A6">
            <w:pPr>
              <w:widowControl/>
              <w:jc w:val="center"/>
              <w:rPr>
                <w:sz w:val="15"/>
                <w:szCs w:val="15"/>
                <w:highlight w:val="none"/>
              </w:rPr>
            </w:pPr>
            <w:r>
              <w:rPr>
                <w:sz w:val="15"/>
                <w:szCs w:val="15"/>
                <w:highlight w:val="none"/>
              </w:rPr>
              <w:t>4.70</w:t>
            </w:r>
          </w:p>
        </w:tc>
        <w:tc>
          <w:tcPr>
            <w:tcW w:w="36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F5BD519">
            <w:pPr>
              <w:widowControl/>
              <w:jc w:val="center"/>
              <w:rPr>
                <w:sz w:val="15"/>
                <w:szCs w:val="15"/>
                <w:highlight w:val="none"/>
              </w:rPr>
            </w:pPr>
            <w:r>
              <w:rPr>
                <w:sz w:val="15"/>
                <w:szCs w:val="15"/>
                <w:highlight w:val="none"/>
              </w:rPr>
              <w:t>1.10</w:t>
            </w:r>
          </w:p>
        </w:tc>
        <w:tc>
          <w:tcPr>
            <w:tcW w:w="368" w:type="pct"/>
            <w:tcBorders>
              <w:top w:val="nil"/>
              <w:left w:val="nil"/>
              <w:bottom w:val="single" w:color="auto" w:sz="4" w:space="0"/>
              <w:right w:val="single" w:color="auto" w:sz="4" w:space="0"/>
            </w:tcBorders>
            <w:shd w:val="clear" w:color="auto" w:fill="auto"/>
            <w:noWrap/>
            <w:vAlign w:val="center"/>
          </w:tcPr>
          <w:p w14:paraId="610B1139">
            <w:pPr>
              <w:widowControl/>
              <w:jc w:val="center"/>
              <w:rPr>
                <w:sz w:val="15"/>
                <w:szCs w:val="15"/>
                <w:highlight w:val="none"/>
              </w:rPr>
            </w:pPr>
            <w:r>
              <w:rPr>
                <w:sz w:val="15"/>
                <w:szCs w:val="15"/>
                <w:highlight w:val="none"/>
              </w:rPr>
              <w:t>0</w:t>
            </w:r>
          </w:p>
        </w:tc>
        <w:tc>
          <w:tcPr>
            <w:tcW w:w="425" w:type="pct"/>
            <w:tcBorders>
              <w:top w:val="nil"/>
              <w:left w:val="nil"/>
              <w:bottom w:val="single" w:color="auto" w:sz="4" w:space="0"/>
              <w:right w:val="single" w:color="auto" w:sz="4" w:space="0"/>
            </w:tcBorders>
            <w:shd w:val="clear" w:color="auto" w:fill="auto"/>
            <w:noWrap/>
            <w:vAlign w:val="center"/>
          </w:tcPr>
          <w:p w14:paraId="00A09C31">
            <w:pPr>
              <w:widowControl/>
              <w:jc w:val="center"/>
              <w:rPr>
                <w:sz w:val="15"/>
                <w:szCs w:val="15"/>
                <w:highlight w:val="none"/>
              </w:rPr>
            </w:pPr>
            <w:r>
              <w:rPr>
                <w:sz w:val="15"/>
                <w:szCs w:val="15"/>
                <w:highlight w:val="none"/>
              </w:rPr>
              <w:t>5</w:t>
            </w:r>
          </w:p>
        </w:tc>
        <w:tc>
          <w:tcPr>
            <w:tcW w:w="268" w:type="pct"/>
            <w:tcBorders>
              <w:top w:val="nil"/>
              <w:left w:val="nil"/>
              <w:bottom w:val="single" w:color="auto" w:sz="4" w:space="0"/>
              <w:right w:val="single" w:color="auto" w:sz="4" w:space="0"/>
            </w:tcBorders>
            <w:shd w:val="clear" w:color="auto" w:fill="auto"/>
            <w:noWrap/>
            <w:vAlign w:val="center"/>
          </w:tcPr>
          <w:p w14:paraId="2C94A72B">
            <w:pPr>
              <w:widowControl/>
              <w:jc w:val="center"/>
              <w:rPr>
                <w:sz w:val="15"/>
                <w:szCs w:val="15"/>
                <w:highlight w:val="none"/>
              </w:rPr>
            </w:pPr>
            <w:r>
              <w:rPr>
                <w:sz w:val="15"/>
                <w:szCs w:val="15"/>
                <w:highlight w:val="none"/>
              </w:rPr>
              <w:t>/</w:t>
            </w:r>
          </w:p>
        </w:tc>
      </w:tr>
      <w:tr w14:paraId="39C623A4">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25BDFBA1">
            <w:pPr>
              <w:widowControl/>
              <w:jc w:val="center"/>
              <w:rPr>
                <w:sz w:val="15"/>
                <w:szCs w:val="15"/>
                <w:highlight w:val="none"/>
              </w:rPr>
            </w:pPr>
            <w:r>
              <w:rPr>
                <w:sz w:val="15"/>
                <w:szCs w:val="15"/>
                <w:highlight w:val="none"/>
              </w:rPr>
              <w:t>2025.06.12</w:t>
            </w:r>
          </w:p>
        </w:tc>
        <w:tc>
          <w:tcPr>
            <w:tcW w:w="268" w:type="pct"/>
            <w:tcBorders>
              <w:top w:val="nil"/>
              <w:left w:val="nil"/>
              <w:bottom w:val="single" w:color="auto" w:sz="4" w:space="0"/>
              <w:right w:val="single" w:color="auto" w:sz="4" w:space="0"/>
            </w:tcBorders>
            <w:shd w:val="clear" w:color="auto" w:fill="auto"/>
            <w:noWrap/>
            <w:vAlign w:val="center"/>
          </w:tcPr>
          <w:p w14:paraId="046B2882">
            <w:pPr>
              <w:widowControl/>
              <w:jc w:val="center"/>
              <w:rPr>
                <w:sz w:val="15"/>
                <w:szCs w:val="15"/>
                <w:highlight w:val="none"/>
              </w:rPr>
            </w:pPr>
            <w:r>
              <w:rPr>
                <w:sz w:val="15"/>
                <w:szCs w:val="15"/>
                <w:highlight w:val="none"/>
              </w:rPr>
              <w:t>7.09</w:t>
            </w:r>
          </w:p>
        </w:tc>
        <w:tc>
          <w:tcPr>
            <w:tcW w:w="354" w:type="pct"/>
            <w:tcBorders>
              <w:top w:val="nil"/>
              <w:left w:val="nil"/>
              <w:bottom w:val="single" w:color="auto" w:sz="4" w:space="0"/>
              <w:right w:val="single" w:color="auto" w:sz="4" w:space="0"/>
            </w:tcBorders>
            <w:shd w:val="clear" w:color="auto" w:fill="auto"/>
            <w:noWrap/>
            <w:vAlign w:val="center"/>
          </w:tcPr>
          <w:p w14:paraId="1DFDAE9D">
            <w:pPr>
              <w:widowControl/>
              <w:jc w:val="center"/>
              <w:rPr>
                <w:sz w:val="15"/>
                <w:szCs w:val="15"/>
                <w:highlight w:val="none"/>
              </w:rPr>
            </w:pPr>
            <w:r>
              <w:rPr>
                <w:sz w:val="15"/>
                <w:szCs w:val="15"/>
                <w:highlight w:val="none"/>
              </w:rPr>
              <w:t>4.63</w:t>
            </w:r>
          </w:p>
        </w:tc>
        <w:tc>
          <w:tcPr>
            <w:tcW w:w="401" w:type="pct"/>
            <w:tcBorders>
              <w:top w:val="nil"/>
              <w:left w:val="nil"/>
              <w:bottom w:val="single" w:color="auto" w:sz="4" w:space="0"/>
              <w:right w:val="single" w:color="auto" w:sz="4" w:space="0"/>
            </w:tcBorders>
            <w:shd w:val="clear" w:color="auto" w:fill="auto"/>
            <w:noWrap/>
            <w:vAlign w:val="center"/>
          </w:tcPr>
          <w:p w14:paraId="28207708">
            <w:pPr>
              <w:widowControl/>
              <w:jc w:val="center"/>
              <w:rPr>
                <w:sz w:val="15"/>
                <w:szCs w:val="15"/>
                <w:highlight w:val="none"/>
              </w:rPr>
            </w:pPr>
            <w:r>
              <w:rPr>
                <w:sz w:val="15"/>
                <w:szCs w:val="15"/>
                <w:highlight w:val="none"/>
              </w:rPr>
              <w:t>1610</w:t>
            </w:r>
          </w:p>
        </w:tc>
        <w:tc>
          <w:tcPr>
            <w:tcW w:w="382" w:type="pct"/>
            <w:tcBorders>
              <w:top w:val="nil"/>
              <w:left w:val="nil"/>
              <w:bottom w:val="single" w:color="auto" w:sz="4" w:space="0"/>
              <w:right w:val="single" w:color="auto" w:sz="4" w:space="0"/>
            </w:tcBorders>
            <w:shd w:val="clear" w:color="auto" w:fill="auto"/>
            <w:noWrap/>
            <w:vAlign w:val="center"/>
          </w:tcPr>
          <w:p w14:paraId="00833804">
            <w:pPr>
              <w:widowControl/>
              <w:jc w:val="center"/>
              <w:rPr>
                <w:sz w:val="15"/>
                <w:szCs w:val="15"/>
                <w:highlight w:val="none"/>
              </w:rPr>
            </w:pPr>
            <w:r>
              <w:rPr>
                <w:sz w:val="15"/>
                <w:szCs w:val="15"/>
                <w:highlight w:val="none"/>
              </w:rPr>
              <w:t>15.10</w:t>
            </w:r>
          </w:p>
        </w:tc>
        <w:tc>
          <w:tcPr>
            <w:tcW w:w="368" w:type="pct"/>
            <w:tcBorders>
              <w:top w:val="nil"/>
              <w:left w:val="nil"/>
              <w:bottom w:val="single" w:color="auto" w:sz="4" w:space="0"/>
              <w:right w:val="single" w:color="auto" w:sz="4" w:space="0"/>
            </w:tcBorders>
            <w:shd w:val="clear" w:color="auto" w:fill="auto"/>
            <w:noWrap/>
            <w:vAlign w:val="center"/>
          </w:tcPr>
          <w:p w14:paraId="45089738">
            <w:pPr>
              <w:widowControl/>
              <w:jc w:val="center"/>
              <w:rPr>
                <w:sz w:val="15"/>
                <w:szCs w:val="15"/>
                <w:highlight w:val="none"/>
              </w:rPr>
            </w:pPr>
            <w:r>
              <w:rPr>
                <w:sz w:val="15"/>
                <w:szCs w:val="15"/>
                <w:highlight w:val="none"/>
              </w:rPr>
              <w:t>0.44</w:t>
            </w:r>
          </w:p>
        </w:tc>
        <w:tc>
          <w:tcPr>
            <w:tcW w:w="368" w:type="pct"/>
            <w:tcBorders>
              <w:top w:val="nil"/>
              <w:left w:val="nil"/>
              <w:bottom w:val="single" w:color="auto" w:sz="4" w:space="0"/>
              <w:right w:val="single" w:color="auto" w:sz="4" w:space="0"/>
            </w:tcBorders>
            <w:shd w:val="clear" w:color="auto" w:fill="auto"/>
            <w:noWrap/>
            <w:vAlign w:val="center"/>
          </w:tcPr>
          <w:p w14:paraId="759E07CC">
            <w:pPr>
              <w:widowControl/>
              <w:jc w:val="center"/>
              <w:rPr>
                <w:sz w:val="15"/>
                <w:szCs w:val="15"/>
                <w:highlight w:val="none"/>
              </w:rPr>
            </w:pPr>
            <w:r>
              <w:rPr>
                <w:sz w:val="15"/>
                <w:szCs w:val="15"/>
                <w:highlight w:val="none"/>
              </w:rPr>
              <w:t>230.41</w:t>
            </w:r>
          </w:p>
        </w:tc>
        <w:tc>
          <w:tcPr>
            <w:tcW w:w="462" w:type="pct"/>
            <w:tcBorders>
              <w:top w:val="nil"/>
              <w:left w:val="nil"/>
              <w:bottom w:val="single" w:color="auto" w:sz="4" w:space="0"/>
              <w:right w:val="single" w:color="auto" w:sz="4" w:space="0"/>
            </w:tcBorders>
            <w:shd w:val="clear" w:color="auto" w:fill="auto"/>
            <w:noWrap/>
            <w:vAlign w:val="center"/>
          </w:tcPr>
          <w:p w14:paraId="4A9E1B37">
            <w:pPr>
              <w:widowControl/>
              <w:jc w:val="center"/>
              <w:rPr>
                <w:sz w:val="15"/>
                <w:szCs w:val="15"/>
                <w:highlight w:val="none"/>
              </w:rPr>
            </w:pPr>
            <w:r>
              <w:rPr>
                <w:sz w:val="15"/>
                <w:szCs w:val="15"/>
                <w:highlight w:val="none"/>
              </w:rPr>
              <w:t>4.88</w:t>
            </w:r>
          </w:p>
        </w:tc>
        <w:tc>
          <w:tcPr>
            <w:tcW w:w="462" w:type="pct"/>
            <w:tcBorders>
              <w:top w:val="nil"/>
              <w:left w:val="nil"/>
              <w:bottom w:val="single" w:color="auto" w:sz="4" w:space="0"/>
              <w:right w:val="single" w:color="auto" w:sz="4" w:space="0"/>
            </w:tcBorders>
            <w:shd w:val="clear" w:color="auto" w:fill="auto"/>
            <w:noWrap/>
            <w:vAlign w:val="center"/>
          </w:tcPr>
          <w:p w14:paraId="2E86DB6F">
            <w:pPr>
              <w:widowControl/>
              <w:jc w:val="center"/>
              <w:rPr>
                <w:sz w:val="15"/>
                <w:szCs w:val="15"/>
                <w:highlight w:val="none"/>
              </w:rPr>
            </w:pPr>
            <w:r>
              <w:rPr>
                <w:sz w:val="15"/>
                <w:szCs w:val="15"/>
                <w:highlight w:val="none"/>
              </w:rPr>
              <w:t>4.70</w:t>
            </w:r>
          </w:p>
        </w:tc>
        <w:tc>
          <w:tcPr>
            <w:tcW w:w="36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69CEB9F">
            <w:pPr>
              <w:widowControl/>
              <w:jc w:val="center"/>
              <w:rPr>
                <w:sz w:val="15"/>
                <w:szCs w:val="15"/>
                <w:highlight w:val="none"/>
              </w:rPr>
            </w:pPr>
            <w:r>
              <w:rPr>
                <w:sz w:val="15"/>
                <w:szCs w:val="15"/>
                <w:highlight w:val="none"/>
              </w:rPr>
              <w:t>1.00</w:t>
            </w:r>
          </w:p>
        </w:tc>
        <w:tc>
          <w:tcPr>
            <w:tcW w:w="368" w:type="pct"/>
            <w:tcBorders>
              <w:top w:val="nil"/>
              <w:left w:val="nil"/>
              <w:bottom w:val="single" w:color="auto" w:sz="4" w:space="0"/>
              <w:right w:val="single" w:color="auto" w:sz="4" w:space="0"/>
            </w:tcBorders>
            <w:shd w:val="clear" w:color="auto" w:fill="auto"/>
            <w:noWrap/>
            <w:vAlign w:val="center"/>
          </w:tcPr>
          <w:p w14:paraId="4D07F260">
            <w:pPr>
              <w:widowControl/>
              <w:jc w:val="center"/>
              <w:rPr>
                <w:sz w:val="15"/>
                <w:szCs w:val="15"/>
                <w:highlight w:val="none"/>
              </w:rPr>
            </w:pPr>
            <w:r>
              <w:rPr>
                <w:sz w:val="15"/>
                <w:szCs w:val="15"/>
                <w:highlight w:val="none"/>
              </w:rPr>
              <w:t>0</w:t>
            </w:r>
          </w:p>
        </w:tc>
        <w:tc>
          <w:tcPr>
            <w:tcW w:w="425" w:type="pct"/>
            <w:tcBorders>
              <w:top w:val="nil"/>
              <w:left w:val="single" w:color="auto" w:sz="4" w:space="0"/>
              <w:bottom w:val="single" w:color="auto" w:sz="4" w:space="0"/>
              <w:right w:val="single" w:color="auto" w:sz="4" w:space="0"/>
            </w:tcBorders>
            <w:shd w:val="clear" w:color="auto" w:fill="auto"/>
            <w:noWrap/>
            <w:vAlign w:val="center"/>
          </w:tcPr>
          <w:p w14:paraId="44EA2EE2">
            <w:pPr>
              <w:widowControl/>
              <w:jc w:val="center"/>
              <w:rPr>
                <w:sz w:val="15"/>
                <w:szCs w:val="15"/>
                <w:highlight w:val="none"/>
              </w:rPr>
            </w:pPr>
            <w:r>
              <w:rPr>
                <w:sz w:val="15"/>
                <w:szCs w:val="15"/>
                <w:highlight w:val="none"/>
              </w:rPr>
              <w:t>15</w:t>
            </w:r>
          </w:p>
        </w:tc>
        <w:tc>
          <w:tcPr>
            <w:tcW w:w="268" w:type="pct"/>
            <w:tcBorders>
              <w:top w:val="nil"/>
              <w:left w:val="nil"/>
              <w:bottom w:val="single" w:color="auto" w:sz="4" w:space="0"/>
              <w:right w:val="single" w:color="auto" w:sz="4" w:space="0"/>
            </w:tcBorders>
            <w:shd w:val="clear" w:color="auto" w:fill="auto"/>
            <w:noWrap/>
            <w:vAlign w:val="center"/>
          </w:tcPr>
          <w:p w14:paraId="67155E0E">
            <w:pPr>
              <w:widowControl/>
              <w:jc w:val="center"/>
              <w:rPr>
                <w:sz w:val="15"/>
                <w:szCs w:val="15"/>
                <w:highlight w:val="none"/>
              </w:rPr>
            </w:pPr>
            <w:r>
              <w:rPr>
                <w:sz w:val="15"/>
                <w:szCs w:val="15"/>
                <w:highlight w:val="none"/>
              </w:rPr>
              <w:t>/</w:t>
            </w:r>
          </w:p>
        </w:tc>
      </w:tr>
      <w:tr w14:paraId="64637762">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01521B48">
            <w:pPr>
              <w:widowControl/>
              <w:jc w:val="center"/>
              <w:rPr>
                <w:sz w:val="15"/>
                <w:szCs w:val="15"/>
                <w:highlight w:val="none"/>
              </w:rPr>
            </w:pPr>
            <w:r>
              <w:rPr>
                <w:sz w:val="15"/>
                <w:szCs w:val="15"/>
                <w:highlight w:val="none"/>
              </w:rPr>
              <w:t>2025.06.16</w:t>
            </w:r>
          </w:p>
        </w:tc>
        <w:tc>
          <w:tcPr>
            <w:tcW w:w="268" w:type="pct"/>
            <w:tcBorders>
              <w:top w:val="nil"/>
              <w:left w:val="nil"/>
              <w:bottom w:val="single" w:color="auto" w:sz="4" w:space="0"/>
              <w:right w:val="single" w:color="auto" w:sz="4" w:space="0"/>
            </w:tcBorders>
            <w:shd w:val="clear" w:color="auto" w:fill="auto"/>
            <w:noWrap/>
            <w:vAlign w:val="center"/>
          </w:tcPr>
          <w:p w14:paraId="45ED3E52">
            <w:pPr>
              <w:widowControl/>
              <w:jc w:val="center"/>
              <w:rPr>
                <w:sz w:val="15"/>
                <w:szCs w:val="15"/>
                <w:highlight w:val="none"/>
              </w:rPr>
            </w:pPr>
            <w:r>
              <w:rPr>
                <w:sz w:val="15"/>
                <w:szCs w:val="15"/>
                <w:highlight w:val="none"/>
              </w:rPr>
              <w:t>7.11</w:t>
            </w:r>
          </w:p>
        </w:tc>
        <w:tc>
          <w:tcPr>
            <w:tcW w:w="354" w:type="pct"/>
            <w:tcBorders>
              <w:top w:val="nil"/>
              <w:left w:val="nil"/>
              <w:bottom w:val="single" w:color="auto" w:sz="4" w:space="0"/>
              <w:right w:val="single" w:color="auto" w:sz="4" w:space="0"/>
            </w:tcBorders>
            <w:shd w:val="clear" w:color="auto" w:fill="auto"/>
            <w:noWrap/>
            <w:vAlign w:val="center"/>
          </w:tcPr>
          <w:p w14:paraId="397CAD3A">
            <w:pPr>
              <w:widowControl/>
              <w:jc w:val="center"/>
              <w:rPr>
                <w:sz w:val="15"/>
                <w:szCs w:val="15"/>
                <w:highlight w:val="none"/>
              </w:rPr>
            </w:pPr>
            <w:r>
              <w:rPr>
                <w:sz w:val="15"/>
                <w:szCs w:val="15"/>
                <w:highlight w:val="none"/>
              </w:rPr>
              <w:t>1.6</w:t>
            </w:r>
          </w:p>
        </w:tc>
        <w:tc>
          <w:tcPr>
            <w:tcW w:w="401" w:type="pct"/>
            <w:tcBorders>
              <w:top w:val="nil"/>
              <w:left w:val="nil"/>
              <w:bottom w:val="single" w:color="auto" w:sz="4" w:space="0"/>
              <w:right w:val="single" w:color="auto" w:sz="4" w:space="0"/>
            </w:tcBorders>
            <w:shd w:val="clear" w:color="auto" w:fill="auto"/>
            <w:noWrap/>
            <w:vAlign w:val="center"/>
          </w:tcPr>
          <w:p w14:paraId="7F0E5C6A">
            <w:pPr>
              <w:widowControl/>
              <w:jc w:val="center"/>
              <w:rPr>
                <w:sz w:val="15"/>
                <w:szCs w:val="15"/>
                <w:highlight w:val="none"/>
              </w:rPr>
            </w:pPr>
            <w:r>
              <w:rPr>
                <w:sz w:val="15"/>
                <w:szCs w:val="15"/>
                <w:highlight w:val="none"/>
              </w:rPr>
              <w:t>1587</w:t>
            </w:r>
          </w:p>
        </w:tc>
        <w:tc>
          <w:tcPr>
            <w:tcW w:w="382" w:type="pct"/>
            <w:tcBorders>
              <w:top w:val="nil"/>
              <w:left w:val="nil"/>
              <w:bottom w:val="single" w:color="auto" w:sz="4" w:space="0"/>
              <w:right w:val="single" w:color="auto" w:sz="4" w:space="0"/>
            </w:tcBorders>
            <w:shd w:val="clear" w:color="auto" w:fill="auto"/>
            <w:noWrap/>
            <w:vAlign w:val="center"/>
          </w:tcPr>
          <w:p w14:paraId="64FC403F">
            <w:pPr>
              <w:widowControl/>
              <w:jc w:val="center"/>
              <w:rPr>
                <w:sz w:val="15"/>
                <w:szCs w:val="15"/>
                <w:highlight w:val="none"/>
              </w:rPr>
            </w:pPr>
            <w:r>
              <w:rPr>
                <w:sz w:val="15"/>
                <w:szCs w:val="15"/>
                <w:highlight w:val="none"/>
              </w:rPr>
              <w:t>26.90</w:t>
            </w:r>
          </w:p>
        </w:tc>
        <w:tc>
          <w:tcPr>
            <w:tcW w:w="368" w:type="pct"/>
            <w:tcBorders>
              <w:top w:val="nil"/>
              <w:left w:val="nil"/>
              <w:bottom w:val="single" w:color="auto" w:sz="4" w:space="0"/>
              <w:right w:val="single" w:color="auto" w:sz="4" w:space="0"/>
            </w:tcBorders>
            <w:shd w:val="clear" w:color="auto" w:fill="auto"/>
            <w:noWrap/>
            <w:vAlign w:val="center"/>
          </w:tcPr>
          <w:p w14:paraId="3C39A6E6">
            <w:pPr>
              <w:widowControl/>
              <w:jc w:val="center"/>
              <w:rPr>
                <w:sz w:val="15"/>
                <w:szCs w:val="15"/>
                <w:highlight w:val="none"/>
              </w:rPr>
            </w:pPr>
            <w:r>
              <w:rPr>
                <w:sz w:val="15"/>
                <w:szCs w:val="15"/>
                <w:highlight w:val="none"/>
              </w:rPr>
              <w:t>0.24</w:t>
            </w:r>
          </w:p>
        </w:tc>
        <w:tc>
          <w:tcPr>
            <w:tcW w:w="368" w:type="pct"/>
            <w:tcBorders>
              <w:top w:val="nil"/>
              <w:left w:val="nil"/>
              <w:bottom w:val="single" w:color="auto" w:sz="4" w:space="0"/>
              <w:right w:val="single" w:color="auto" w:sz="4" w:space="0"/>
            </w:tcBorders>
            <w:shd w:val="clear" w:color="auto" w:fill="auto"/>
            <w:noWrap/>
            <w:vAlign w:val="center"/>
          </w:tcPr>
          <w:p w14:paraId="0AC4A29F">
            <w:pPr>
              <w:widowControl/>
              <w:jc w:val="center"/>
              <w:rPr>
                <w:sz w:val="15"/>
                <w:szCs w:val="15"/>
                <w:highlight w:val="none"/>
              </w:rPr>
            </w:pPr>
            <w:r>
              <w:rPr>
                <w:sz w:val="15"/>
                <w:szCs w:val="15"/>
                <w:highlight w:val="none"/>
              </w:rPr>
              <w:t>266.67</w:t>
            </w:r>
          </w:p>
        </w:tc>
        <w:tc>
          <w:tcPr>
            <w:tcW w:w="462" w:type="pct"/>
            <w:tcBorders>
              <w:top w:val="nil"/>
              <w:left w:val="nil"/>
              <w:bottom w:val="single" w:color="auto" w:sz="4" w:space="0"/>
              <w:right w:val="single" w:color="auto" w:sz="4" w:space="0"/>
            </w:tcBorders>
            <w:shd w:val="clear" w:color="auto" w:fill="auto"/>
            <w:noWrap/>
            <w:vAlign w:val="center"/>
          </w:tcPr>
          <w:p w14:paraId="349F51CE">
            <w:pPr>
              <w:widowControl/>
              <w:jc w:val="center"/>
              <w:rPr>
                <w:sz w:val="15"/>
                <w:szCs w:val="15"/>
                <w:highlight w:val="none"/>
              </w:rPr>
            </w:pPr>
            <w:r>
              <w:rPr>
                <w:sz w:val="15"/>
                <w:szCs w:val="15"/>
                <w:highlight w:val="none"/>
              </w:rPr>
              <w:t>4.88</w:t>
            </w:r>
          </w:p>
        </w:tc>
        <w:tc>
          <w:tcPr>
            <w:tcW w:w="462" w:type="pct"/>
            <w:tcBorders>
              <w:top w:val="nil"/>
              <w:left w:val="nil"/>
              <w:bottom w:val="single" w:color="auto" w:sz="4" w:space="0"/>
              <w:right w:val="single" w:color="auto" w:sz="4" w:space="0"/>
            </w:tcBorders>
            <w:shd w:val="clear" w:color="auto" w:fill="auto"/>
            <w:noWrap/>
            <w:vAlign w:val="center"/>
          </w:tcPr>
          <w:p w14:paraId="5F120D79">
            <w:pPr>
              <w:widowControl/>
              <w:jc w:val="center"/>
              <w:rPr>
                <w:sz w:val="15"/>
                <w:szCs w:val="15"/>
                <w:highlight w:val="none"/>
              </w:rPr>
            </w:pPr>
            <w:r>
              <w:rPr>
                <w:sz w:val="15"/>
                <w:szCs w:val="15"/>
                <w:highlight w:val="none"/>
              </w:rPr>
              <w:t>4.70</w:t>
            </w:r>
          </w:p>
        </w:tc>
        <w:tc>
          <w:tcPr>
            <w:tcW w:w="36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29BB94A">
            <w:pPr>
              <w:widowControl/>
              <w:jc w:val="center"/>
              <w:rPr>
                <w:sz w:val="15"/>
                <w:szCs w:val="15"/>
                <w:highlight w:val="none"/>
              </w:rPr>
            </w:pPr>
            <w:r>
              <w:rPr>
                <w:sz w:val="15"/>
                <w:szCs w:val="15"/>
                <w:highlight w:val="none"/>
              </w:rPr>
              <w:t>1.00</w:t>
            </w:r>
          </w:p>
        </w:tc>
        <w:tc>
          <w:tcPr>
            <w:tcW w:w="368" w:type="pct"/>
            <w:tcBorders>
              <w:top w:val="nil"/>
              <w:left w:val="nil"/>
              <w:bottom w:val="single" w:color="auto" w:sz="4" w:space="0"/>
              <w:right w:val="single" w:color="auto" w:sz="4" w:space="0"/>
            </w:tcBorders>
            <w:shd w:val="clear" w:color="auto" w:fill="auto"/>
            <w:noWrap/>
            <w:vAlign w:val="center"/>
          </w:tcPr>
          <w:p w14:paraId="3B204006">
            <w:pPr>
              <w:widowControl/>
              <w:jc w:val="center"/>
              <w:rPr>
                <w:sz w:val="15"/>
                <w:szCs w:val="15"/>
                <w:highlight w:val="none"/>
              </w:rPr>
            </w:pPr>
            <w:r>
              <w:rPr>
                <w:sz w:val="15"/>
                <w:szCs w:val="15"/>
                <w:highlight w:val="none"/>
              </w:rPr>
              <w:t>0</w:t>
            </w:r>
          </w:p>
        </w:tc>
        <w:tc>
          <w:tcPr>
            <w:tcW w:w="425" w:type="pct"/>
            <w:tcBorders>
              <w:top w:val="nil"/>
              <w:left w:val="nil"/>
              <w:bottom w:val="single" w:color="auto" w:sz="4" w:space="0"/>
              <w:right w:val="single" w:color="auto" w:sz="4" w:space="0"/>
            </w:tcBorders>
            <w:shd w:val="clear" w:color="auto" w:fill="auto"/>
            <w:noWrap/>
            <w:vAlign w:val="center"/>
          </w:tcPr>
          <w:p w14:paraId="5F44EE7C">
            <w:pPr>
              <w:widowControl/>
              <w:jc w:val="center"/>
              <w:rPr>
                <w:sz w:val="15"/>
                <w:szCs w:val="15"/>
                <w:highlight w:val="none"/>
              </w:rPr>
            </w:pPr>
            <w:r>
              <w:rPr>
                <w:sz w:val="15"/>
                <w:szCs w:val="15"/>
                <w:highlight w:val="none"/>
              </w:rPr>
              <w:t>4</w:t>
            </w:r>
          </w:p>
        </w:tc>
        <w:tc>
          <w:tcPr>
            <w:tcW w:w="268" w:type="pct"/>
            <w:tcBorders>
              <w:top w:val="nil"/>
              <w:left w:val="nil"/>
              <w:bottom w:val="single" w:color="auto" w:sz="4" w:space="0"/>
              <w:right w:val="single" w:color="auto" w:sz="4" w:space="0"/>
            </w:tcBorders>
            <w:shd w:val="clear" w:color="auto" w:fill="auto"/>
            <w:noWrap/>
            <w:vAlign w:val="center"/>
          </w:tcPr>
          <w:p w14:paraId="727DEFBF">
            <w:pPr>
              <w:widowControl/>
              <w:jc w:val="center"/>
              <w:rPr>
                <w:sz w:val="15"/>
                <w:szCs w:val="15"/>
                <w:highlight w:val="none"/>
              </w:rPr>
            </w:pPr>
            <w:r>
              <w:rPr>
                <w:sz w:val="15"/>
                <w:szCs w:val="15"/>
                <w:highlight w:val="none"/>
              </w:rPr>
              <w:t>/</w:t>
            </w:r>
          </w:p>
        </w:tc>
      </w:tr>
      <w:tr w14:paraId="6DF6E41F">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56E7D453">
            <w:pPr>
              <w:widowControl/>
              <w:jc w:val="center"/>
              <w:rPr>
                <w:sz w:val="15"/>
                <w:szCs w:val="15"/>
                <w:highlight w:val="none"/>
              </w:rPr>
            </w:pPr>
            <w:r>
              <w:rPr>
                <w:sz w:val="15"/>
                <w:szCs w:val="15"/>
                <w:highlight w:val="none"/>
              </w:rPr>
              <w:t>2025.07.02</w:t>
            </w:r>
          </w:p>
        </w:tc>
        <w:tc>
          <w:tcPr>
            <w:tcW w:w="268" w:type="pct"/>
            <w:tcBorders>
              <w:top w:val="nil"/>
              <w:left w:val="nil"/>
              <w:bottom w:val="single" w:color="auto" w:sz="4" w:space="0"/>
              <w:right w:val="single" w:color="auto" w:sz="4" w:space="0"/>
            </w:tcBorders>
            <w:shd w:val="clear" w:color="auto" w:fill="auto"/>
            <w:noWrap/>
            <w:vAlign w:val="center"/>
          </w:tcPr>
          <w:p w14:paraId="16C9594F">
            <w:pPr>
              <w:widowControl/>
              <w:jc w:val="center"/>
              <w:rPr>
                <w:sz w:val="15"/>
                <w:szCs w:val="15"/>
                <w:highlight w:val="none"/>
              </w:rPr>
            </w:pPr>
            <w:r>
              <w:rPr>
                <w:sz w:val="15"/>
                <w:szCs w:val="15"/>
                <w:highlight w:val="none"/>
              </w:rPr>
              <w:t>7.36</w:t>
            </w:r>
          </w:p>
        </w:tc>
        <w:tc>
          <w:tcPr>
            <w:tcW w:w="354" w:type="pct"/>
            <w:tcBorders>
              <w:top w:val="nil"/>
              <w:left w:val="nil"/>
              <w:bottom w:val="single" w:color="auto" w:sz="4" w:space="0"/>
              <w:right w:val="single" w:color="auto" w:sz="4" w:space="0"/>
            </w:tcBorders>
            <w:shd w:val="clear" w:color="auto" w:fill="auto"/>
            <w:noWrap/>
            <w:vAlign w:val="center"/>
          </w:tcPr>
          <w:p w14:paraId="4573E76B">
            <w:pPr>
              <w:widowControl/>
              <w:jc w:val="center"/>
              <w:rPr>
                <w:sz w:val="15"/>
                <w:szCs w:val="15"/>
                <w:highlight w:val="none"/>
              </w:rPr>
            </w:pPr>
            <w:r>
              <w:rPr>
                <w:sz w:val="15"/>
                <w:szCs w:val="15"/>
                <w:highlight w:val="none"/>
              </w:rPr>
              <w:t>1.61</w:t>
            </w:r>
          </w:p>
        </w:tc>
        <w:tc>
          <w:tcPr>
            <w:tcW w:w="401" w:type="pct"/>
            <w:tcBorders>
              <w:top w:val="nil"/>
              <w:left w:val="nil"/>
              <w:bottom w:val="single" w:color="auto" w:sz="4" w:space="0"/>
              <w:right w:val="single" w:color="auto" w:sz="4" w:space="0"/>
            </w:tcBorders>
            <w:shd w:val="clear" w:color="auto" w:fill="auto"/>
            <w:noWrap/>
            <w:vAlign w:val="center"/>
          </w:tcPr>
          <w:p w14:paraId="0A81C4CC">
            <w:pPr>
              <w:widowControl/>
              <w:jc w:val="center"/>
              <w:rPr>
                <w:sz w:val="15"/>
                <w:szCs w:val="15"/>
                <w:highlight w:val="none"/>
              </w:rPr>
            </w:pPr>
            <w:r>
              <w:rPr>
                <w:sz w:val="15"/>
                <w:szCs w:val="15"/>
                <w:highlight w:val="none"/>
              </w:rPr>
              <w:t>1569</w:t>
            </w:r>
          </w:p>
        </w:tc>
        <w:tc>
          <w:tcPr>
            <w:tcW w:w="382" w:type="pct"/>
            <w:tcBorders>
              <w:top w:val="nil"/>
              <w:left w:val="nil"/>
              <w:bottom w:val="single" w:color="auto" w:sz="4" w:space="0"/>
              <w:right w:val="single" w:color="auto" w:sz="4" w:space="0"/>
            </w:tcBorders>
            <w:shd w:val="clear" w:color="auto" w:fill="auto"/>
            <w:noWrap/>
            <w:vAlign w:val="center"/>
          </w:tcPr>
          <w:p w14:paraId="2F67802E">
            <w:pPr>
              <w:widowControl/>
              <w:jc w:val="center"/>
              <w:rPr>
                <w:sz w:val="15"/>
                <w:szCs w:val="15"/>
                <w:highlight w:val="none"/>
              </w:rPr>
            </w:pPr>
            <w:r>
              <w:rPr>
                <w:sz w:val="15"/>
                <w:szCs w:val="15"/>
                <w:highlight w:val="none"/>
              </w:rPr>
              <w:t>13.90</w:t>
            </w:r>
          </w:p>
        </w:tc>
        <w:tc>
          <w:tcPr>
            <w:tcW w:w="368" w:type="pct"/>
            <w:tcBorders>
              <w:top w:val="nil"/>
              <w:left w:val="nil"/>
              <w:bottom w:val="single" w:color="auto" w:sz="4" w:space="0"/>
              <w:right w:val="single" w:color="auto" w:sz="4" w:space="0"/>
            </w:tcBorders>
            <w:shd w:val="clear" w:color="auto" w:fill="auto"/>
            <w:noWrap/>
            <w:vAlign w:val="center"/>
          </w:tcPr>
          <w:p w14:paraId="30AD35C9">
            <w:pPr>
              <w:widowControl/>
              <w:jc w:val="center"/>
              <w:rPr>
                <w:sz w:val="15"/>
                <w:szCs w:val="15"/>
                <w:highlight w:val="none"/>
              </w:rPr>
            </w:pPr>
            <w:r>
              <w:rPr>
                <w:sz w:val="15"/>
                <w:szCs w:val="15"/>
                <w:highlight w:val="none"/>
              </w:rPr>
              <w:t>0.73</w:t>
            </w:r>
          </w:p>
        </w:tc>
        <w:tc>
          <w:tcPr>
            <w:tcW w:w="368" w:type="pct"/>
            <w:tcBorders>
              <w:top w:val="nil"/>
              <w:left w:val="nil"/>
              <w:bottom w:val="single" w:color="auto" w:sz="4" w:space="0"/>
              <w:right w:val="single" w:color="auto" w:sz="4" w:space="0"/>
            </w:tcBorders>
            <w:shd w:val="clear" w:color="auto" w:fill="auto"/>
            <w:noWrap/>
            <w:vAlign w:val="center"/>
          </w:tcPr>
          <w:p w14:paraId="7FF52806">
            <w:pPr>
              <w:widowControl/>
              <w:jc w:val="center"/>
              <w:rPr>
                <w:sz w:val="15"/>
                <w:szCs w:val="15"/>
                <w:highlight w:val="none"/>
              </w:rPr>
            </w:pPr>
            <w:r>
              <w:rPr>
                <w:sz w:val="15"/>
                <w:szCs w:val="15"/>
                <w:highlight w:val="none"/>
              </w:rPr>
              <w:t>228.67</w:t>
            </w:r>
          </w:p>
        </w:tc>
        <w:tc>
          <w:tcPr>
            <w:tcW w:w="462" w:type="pct"/>
            <w:tcBorders>
              <w:top w:val="nil"/>
              <w:left w:val="nil"/>
              <w:bottom w:val="single" w:color="auto" w:sz="4" w:space="0"/>
              <w:right w:val="single" w:color="auto" w:sz="4" w:space="0"/>
            </w:tcBorders>
            <w:shd w:val="clear" w:color="auto" w:fill="auto"/>
            <w:noWrap/>
            <w:vAlign w:val="center"/>
          </w:tcPr>
          <w:p w14:paraId="7B0D5D5F">
            <w:pPr>
              <w:widowControl/>
              <w:jc w:val="center"/>
              <w:rPr>
                <w:sz w:val="15"/>
                <w:szCs w:val="15"/>
                <w:highlight w:val="none"/>
              </w:rPr>
            </w:pPr>
            <w:r>
              <w:rPr>
                <w:sz w:val="15"/>
                <w:szCs w:val="15"/>
                <w:highlight w:val="none"/>
              </w:rPr>
              <w:t>5.02</w:t>
            </w:r>
          </w:p>
        </w:tc>
        <w:tc>
          <w:tcPr>
            <w:tcW w:w="462" w:type="pct"/>
            <w:tcBorders>
              <w:top w:val="nil"/>
              <w:left w:val="nil"/>
              <w:bottom w:val="single" w:color="auto" w:sz="4" w:space="0"/>
              <w:right w:val="single" w:color="auto" w:sz="4" w:space="0"/>
            </w:tcBorders>
            <w:shd w:val="clear" w:color="auto" w:fill="auto"/>
            <w:noWrap/>
            <w:vAlign w:val="center"/>
          </w:tcPr>
          <w:p w14:paraId="4AC3F4A1">
            <w:pPr>
              <w:widowControl/>
              <w:jc w:val="center"/>
              <w:rPr>
                <w:sz w:val="15"/>
                <w:szCs w:val="15"/>
                <w:highlight w:val="none"/>
              </w:rPr>
            </w:pPr>
            <w:r>
              <w:rPr>
                <w:sz w:val="15"/>
                <w:szCs w:val="15"/>
                <w:highlight w:val="none"/>
              </w:rPr>
              <w:t>4.80</w:t>
            </w:r>
          </w:p>
        </w:tc>
        <w:tc>
          <w:tcPr>
            <w:tcW w:w="36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A8CACB6">
            <w:pPr>
              <w:widowControl/>
              <w:jc w:val="center"/>
              <w:rPr>
                <w:sz w:val="15"/>
                <w:szCs w:val="15"/>
                <w:highlight w:val="none"/>
              </w:rPr>
            </w:pPr>
            <w:r>
              <w:rPr>
                <w:sz w:val="15"/>
                <w:szCs w:val="15"/>
                <w:highlight w:val="none"/>
              </w:rPr>
              <w:t>1.15</w:t>
            </w:r>
          </w:p>
        </w:tc>
        <w:tc>
          <w:tcPr>
            <w:tcW w:w="368" w:type="pct"/>
            <w:tcBorders>
              <w:top w:val="nil"/>
              <w:left w:val="nil"/>
              <w:bottom w:val="single" w:color="auto" w:sz="4" w:space="0"/>
              <w:right w:val="single" w:color="auto" w:sz="4" w:space="0"/>
            </w:tcBorders>
            <w:shd w:val="clear" w:color="auto" w:fill="auto"/>
            <w:noWrap/>
            <w:vAlign w:val="center"/>
          </w:tcPr>
          <w:p w14:paraId="61CAB55B">
            <w:pPr>
              <w:widowControl/>
              <w:jc w:val="center"/>
              <w:rPr>
                <w:sz w:val="15"/>
                <w:szCs w:val="15"/>
                <w:highlight w:val="none"/>
              </w:rPr>
            </w:pPr>
            <w:r>
              <w:rPr>
                <w:sz w:val="15"/>
                <w:szCs w:val="15"/>
                <w:highlight w:val="none"/>
              </w:rPr>
              <w:t>0</w:t>
            </w:r>
          </w:p>
        </w:tc>
        <w:tc>
          <w:tcPr>
            <w:tcW w:w="425" w:type="pct"/>
            <w:tcBorders>
              <w:top w:val="nil"/>
              <w:left w:val="nil"/>
              <w:bottom w:val="single" w:color="auto" w:sz="4" w:space="0"/>
              <w:right w:val="single" w:color="auto" w:sz="4" w:space="0"/>
            </w:tcBorders>
            <w:shd w:val="clear" w:color="auto" w:fill="auto"/>
            <w:noWrap/>
            <w:vAlign w:val="center"/>
          </w:tcPr>
          <w:p w14:paraId="389C4BD6">
            <w:pPr>
              <w:widowControl/>
              <w:jc w:val="center"/>
              <w:rPr>
                <w:sz w:val="15"/>
                <w:szCs w:val="15"/>
                <w:highlight w:val="none"/>
              </w:rPr>
            </w:pPr>
            <w:r>
              <w:rPr>
                <w:sz w:val="15"/>
                <w:szCs w:val="15"/>
                <w:highlight w:val="none"/>
              </w:rPr>
              <w:t>7</w:t>
            </w:r>
          </w:p>
        </w:tc>
        <w:tc>
          <w:tcPr>
            <w:tcW w:w="268" w:type="pct"/>
            <w:tcBorders>
              <w:top w:val="nil"/>
              <w:left w:val="nil"/>
              <w:bottom w:val="single" w:color="auto" w:sz="4" w:space="0"/>
              <w:right w:val="single" w:color="auto" w:sz="4" w:space="0"/>
            </w:tcBorders>
            <w:shd w:val="clear" w:color="auto" w:fill="auto"/>
            <w:noWrap/>
            <w:vAlign w:val="center"/>
          </w:tcPr>
          <w:p w14:paraId="5F161A2C">
            <w:pPr>
              <w:widowControl/>
              <w:jc w:val="center"/>
              <w:rPr>
                <w:sz w:val="15"/>
                <w:szCs w:val="15"/>
                <w:highlight w:val="none"/>
              </w:rPr>
            </w:pPr>
            <w:r>
              <w:rPr>
                <w:sz w:val="15"/>
                <w:szCs w:val="15"/>
                <w:highlight w:val="none"/>
              </w:rPr>
              <w:t>/</w:t>
            </w:r>
          </w:p>
        </w:tc>
      </w:tr>
      <w:tr w14:paraId="18DB316F">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339A66CF">
            <w:pPr>
              <w:widowControl/>
              <w:jc w:val="center"/>
              <w:rPr>
                <w:sz w:val="15"/>
                <w:szCs w:val="15"/>
                <w:highlight w:val="none"/>
              </w:rPr>
            </w:pPr>
            <w:r>
              <w:rPr>
                <w:sz w:val="15"/>
                <w:szCs w:val="15"/>
                <w:highlight w:val="none"/>
              </w:rPr>
              <w:t>2025.07.10</w:t>
            </w:r>
          </w:p>
        </w:tc>
        <w:tc>
          <w:tcPr>
            <w:tcW w:w="268" w:type="pct"/>
            <w:tcBorders>
              <w:top w:val="nil"/>
              <w:left w:val="nil"/>
              <w:bottom w:val="single" w:color="auto" w:sz="4" w:space="0"/>
              <w:right w:val="single" w:color="auto" w:sz="4" w:space="0"/>
            </w:tcBorders>
            <w:shd w:val="clear" w:color="auto" w:fill="auto"/>
            <w:noWrap/>
            <w:vAlign w:val="center"/>
          </w:tcPr>
          <w:p w14:paraId="4566DC41">
            <w:pPr>
              <w:widowControl/>
              <w:jc w:val="center"/>
              <w:rPr>
                <w:sz w:val="15"/>
                <w:szCs w:val="15"/>
                <w:highlight w:val="none"/>
              </w:rPr>
            </w:pPr>
            <w:r>
              <w:rPr>
                <w:sz w:val="15"/>
                <w:szCs w:val="15"/>
                <w:highlight w:val="none"/>
              </w:rPr>
              <w:t>7.32</w:t>
            </w:r>
          </w:p>
        </w:tc>
        <w:tc>
          <w:tcPr>
            <w:tcW w:w="354" w:type="pct"/>
            <w:tcBorders>
              <w:top w:val="nil"/>
              <w:left w:val="nil"/>
              <w:bottom w:val="single" w:color="auto" w:sz="4" w:space="0"/>
              <w:right w:val="single" w:color="auto" w:sz="4" w:space="0"/>
            </w:tcBorders>
            <w:shd w:val="clear" w:color="auto" w:fill="auto"/>
            <w:noWrap/>
            <w:vAlign w:val="center"/>
          </w:tcPr>
          <w:p w14:paraId="161C8747">
            <w:pPr>
              <w:widowControl/>
              <w:jc w:val="center"/>
              <w:rPr>
                <w:sz w:val="15"/>
                <w:szCs w:val="15"/>
                <w:highlight w:val="none"/>
              </w:rPr>
            </w:pPr>
            <w:r>
              <w:rPr>
                <w:sz w:val="15"/>
                <w:szCs w:val="15"/>
                <w:highlight w:val="none"/>
              </w:rPr>
              <w:t>2.82</w:t>
            </w:r>
          </w:p>
        </w:tc>
        <w:tc>
          <w:tcPr>
            <w:tcW w:w="401" w:type="pct"/>
            <w:tcBorders>
              <w:top w:val="nil"/>
              <w:left w:val="nil"/>
              <w:bottom w:val="single" w:color="auto" w:sz="4" w:space="0"/>
              <w:right w:val="single" w:color="auto" w:sz="4" w:space="0"/>
            </w:tcBorders>
            <w:shd w:val="clear" w:color="auto" w:fill="auto"/>
            <w:noWrap/>
            <w:vAlign w:val="center"/>
          </w:tcPr>
          <w:p w14:paraId="5F7E6437">
            <w:pPr>
              <w:widowControl/>
              <w:jc w:val="center"/>
              <w:rPr>
                <w:sz w:val="15"/>
                <w:szCs w:val="15"/>
                <w:highlight w:val="none"/>
              </w:rPr>
            </w:pPr>
            <w:r>
              <w:rPr>
                <w:sz w:val="15"/>
                <w:szCs w:val="15"/>
                <w:highlight w:val="none"/>
              </w:rPr>
              <w:t>1628</w:t>
            </w:r>
          </w:p>
        </w:tc>
        <w:tc>
          <w:tcPr>
            <w:tcW w:w="382" w:type="pct"/>
            <w:tcBorders>
              <w:top w:val="nil"/>
              <w:left w:val="nil"/>
              <w:bottom w:val="single" w:color="auto" w:sz="4" w:space="0"/>
              <w:right w:val="single" w:color="auto" w:sz="4" w:space="0"/>
            </w:tcBorders>
            <w:shd w:val="clear" w:color="auto" w:fill="auto"/>
            <w:noWrap/>
            <w:vAlign w:val="center"/>
          </w:tcPr>
          <w:p w14:paraId="0ED77F61">
            <w:pPr>
              <w:widowControl/>
              <w:jc w:val="center"/>
              <w:rPr>
                <w:sz w:val="15"/>
                <w:szCs w:val="15"/>
                <w:highlight w:val="none"/>
              </w:rPr>
            </w:pPr>
            <w:r>
              <w:rPr>
                <w:sz w:val="15"/>
                <w:szCs w:val="15"/>
                <w:highlight w:val="none"/>
              </w:rPr>
              <w:t>13.10</w:t>
            </w:r>
          </w:p>
        </w:tc>
        <w:tc>
          <w:tcPr>
            <w:tcW w:w="368" w:type="pct"/>
            <w:tcBorders>
              <w:top w:val="nil"/>
              <w:left w:val="nil"/>
              <w:bottom w:val="single" w:color="auto" w:sz="4" w:space="0"/>
              <w:right w:val="single" w:color="auto" w:sz="4" w:space="0"/>
            </w:tcBorders>
            <w:shd w:val="clear" w:color="auto" w:fill="auto"/>
            <w:noWrap/>
            <w:vAlign w:val="center"/>
          </w:tcPr>
          <w:p w14:paraId="7C3E6734">
            <w:pPr>
              <w:widowControl/>
              <w:jc w:val="center"/>
              <w:rPr>
                <w:sz w:val="15"/>
                <w:szCs w:val="15"/>
                <w:highlight w:val="none"/>
              </w:rPr>
            </w:pPr>
            <w:r>
              <w:rPr>
                <w:sz w:val="15"/>
                <w:szCs w:val="15"/>
                <w:highlight w:val="none"/>
              </w:rPr>
              <w:t>0.25</w:t>
            </w:r>
          </w:p>
        </w:tc>
        <w:tc>
          <w:tcPr>
            <w:tcW w:w="368" w:type="pct"/>
            <w:tcBorders>
              <w:top w:val="nil"/>
              <w:left w:val="nil"/>
              <w:bottom w:val="single" w:color="auto" w:sz="4" w:space="0"/>
              <w:right w:val="single" w:color="auto" w:sz="4" w:space="0"/>
            </w:tcBorders>
            <w:shd w:val="clear" w:color="auto" w:fill="auto"/>
            <w:noWrap/>
            <w:vAlign w:val="center"/>
          </w:tcPr>
          <w:p w14:paraId="010A3439">
            <w:pPr>
              <w:widowControl/>
              <w:jc w:val="center"/>
              <w:rPr>
                <w:sz w:val="15"/>
                <w:szCs w:val="15"/>
                <w:highlight w:val="none"/>
              </w:rPr>
            </w:pPr>
            <w:r>
              <w:rPr>
                <w:sz w:val="15"/>
                <w:szCs w:val="15"/>
                <w:highlight w:val="none"/>
              </w:rPr>
              <w:t>225.59</w:t>
            </w:r>
          </w:p>
        </w:tc>
        <w:tc>
          <w:tcPr>
            <w:tcW w:w="462" w:type="pct"/>
            <w:tcBorders>
              <w:top w:val="nil"/>
              <w:left w:val="nil"/>
              <w:bottom w:val="single" w:color="auto" w:sz="4" w:space="0"/>
              <w:right w:val="single" w:color="auto" w:sz="4" w:space="0"/>
            </w:tcBorders>
            <w:shd w:val="clear" w:color="auto" w:fill="auto"/>
            <w:noWrap/>
            <w:vAlign w:val="center"/>
          </w:tcPr>
          <w:p w14:paraId="7F822BC5">
            <w:pPr>
              <w:widowControl/>
              <w:jc w:val="center"/>
              <w:rPr>
                <w:sz w:val="15"/>
                <w:szCs w:val="15"/>
                <w:highlight w:val="none"/>
              </w:rPr>
            </w:pPr>
            <w:r>
              <w:rPr>
                <w:sz w:val="15"/>
                <w:szCs w:val="15"/>
                <w:highlight w:val="none"/>
              </w:rPr>
              <w:t>5.07</w:t>
            </w:r>
          </w:p>
        </w:tc>
        <w:tc>
          <w:tcPr>
            <w:tcW w:w="462" w:type="pct"/>
            <w:tcBorders>
              <w:top w:val="nil"/>
              <w:left w:val="nil"/>
              <w:bottom w:val="single" w:color="auto" w:sz="4" w:space="0"/>
              <w:right w:val="single" w:color="auto" w:sz="4" w:space="0"/>
            </w:tcBorders>
            <w:shd w:val="clear" w:color="auto" w:fill="auto"/>
            <w:noWrap/>
            <w:vAlign w:val="center"/>
          </w:tcPr>
          <w:p w14:paraId="3FD62632">
            <w:pPr>
              <w:widowControl/>
              <w:jc w:val="center"/>
              <w:rPr>
                <w:sz w:val="15"/>
                <w:szCs w:val="15"/>
                <w:highlight w:val="none"/>
              </w:rPr>
            </w:pPr>
            <w:r>
              <w:rPr>
                <w:sz w:val="15"/>
                <w:szCs w:val="15"/>
                <w:highlight w:val="none"/>
              </w:rPr>
              <w:t>4.70</w:t>
            </w:r>
          </w:p>
        </w:tc>
        <w:tc>
          <w:tcPr>
            <w:tcW w:w="368" w:type="pct"/>
            <w:tcBorders>
              <w:top w:val="nil"/>
              <w:left w:val="nil"/>
              <w:bottom w:val="single" w:color="auto" w:sz="4" w:space="0"/>
              <w:right w:val="single" w:color="auto" w:sz="4" w:space="0"/>
            </w:tcBorders>
            <w:shd w:val="clear" w:color="auto" w:fill="auto"/>
            <w:noWrap/>
            <w:vAlign w:val="center"/>
          </w:tcPr>
          <w:p w14:paraId="15841453">
            <w:pPr>
              <w:widowControl/>
              <w:jc w:val="center"/>
              <w:rPr>
                <w:sz w:val="15"/>
                <w:szCs w:val="15"/>
                <w:highlight w:val="none"/>
              </w:rPr>
            </w:pPr>
            <w:r>
              <w:rPr>
                <w:sz w:val="15"/>
                <w:szCs w:val="15"/>
                <w:highlight w:val="none"/>
              </w:rPr>
              <w:t>0.47</w:t>
            </w:r>
          </w:p>
        </w:tc>
        <w:tc>
          <w:tcPr>
            <w:tcW w:w="368" w:type="pct"/>
            <w:tcBorders>
              <w:top w:val="nil"/>
              <w:left w:val="nil"/>
              <w:bottom w:val="single" w:color="auto" w:sz="4" w:space="0"/>
              <w:right w:val="single" w:color="auto" w:sz="4" w:space="0"/>
            </w:tcBorders>
            <w:shd w:val="clear" w:color="auto" w:fill="auto"/>
            <w:noWrap/>
            <w:vAlign w:val="center"/>
          </w:tcPr>
          <w:p w14:paraId="070C648F">
            <w:pPr>
              <w:widowControl/>
              <w:jc w:val="center"/>
              <w:rPr>
                <w:sz w:val="15"/>
                <w:szCs w:val="15"/>
                <w:highlight w:val="none"/>
              </w:rPr>
            </w:pPr>
            <w:r>
              <w:rPr>
                <w:sz w:val="15"/>
                <w:szCs w:val="15"/>
                <w:highlight w:val="none"/>
              </w:rPr>
              <w:t>0</w:t>
            </w:r>
          </w:p>
        </w:tc>
        <w:tc>
          <w:tcPr>
            <w:tcW w:w="425" w:type="pct"/>
            <w:tcBorders>
              <w:top w:val="nil"/>
              <w:left w:val="nil"/>
              <w:bottom w:val="single" w:color="auto" w:sz="4" w:space="0"/>
              <w:right w:val="single" w:color="auto" w:sz="4" w:space="0"/>
            </w:tcBorders>
            <w:shd w:val="clear" w:color="auto" w:fill="auto"/>
            <w:noWrap/>
            <w:vAlign w:val="center"/>
          </w:tcPr>
          <w:p w14:paraId="017A8277">
            <w:pPr>
              <w:widowControl/>
              <w:jc w:val="center"/>
              <w:rPr>
                <w:sz w:val="15"/>
                <w:szCs w:val="15"/>
                <w:highlight w:val="none"/>
              </w:rPr>
            </w:pPr>
            <w:r>
              <w:rPr>
                <w:sz w:val="15"/>
                <w:szCs w:val="15"/>
                <w:highlight w:val="none"/>
              </w:rPr>
              <w:t>8</w:t>
            </w:r>
          </w:p>
        </w:tc>
        <w:tc>
          <w:tcPr>
            <w:tcW w:w="268" w:type="pct"/>
            <w:tcBorders>
              <w:top w:val="nil"/>
              <w:left w:val="nil"/>
              <w:bottom w:val="single" w:color="auto" w:sz="4" w:space="0"/>
              <w:right w:val="single" w:color="auto" w:sz="4" w:space="0"/>
            </w:tcBorders>
            <w:shd w:val="clear" w:color="auto" w:fill="auto"/>
            <w:noWrap/>
            <w:vAlign w:val="center"/>
          </w:tcPr>
          <w:p w14:paraId="53EBD1C4">
            <w:pPr>
              <w:widowControl/>
              <w:jc w:val="center"/>
              <w:rPr>
                <w:sz w:val="15"/>
                <w:szCs w:val="15"/>
                <w:highlight w:val="none"/>
              </w:rPr>
            </w:pPr>
            <w:r>
              <w:rPr>
                <w:sz w:val="15"/>
                <w:szCs w:val="15"/>
                <w:highlight w:val="none"/>
              </w:rPr>
              <w:t>/</w:t>
            </w:r>
          </w:p>
        </w:tc>
      </w:tr>
      <w:tr w14:paraId="5A90012C">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2C043D7A">
            <w:pPr>
              <w:widowControl/>
              <w:jc w:val="center"/>
              <w:rPr>
                <w:sz w:val="15"/>
                <w:szCs w:val="15"/>
                <w:highlight w:val="none"/>
              </w:rPr>
            </w:pPr>
            <w:r>
              <w:rPr>
                <w:sz w:val="15"/>
                <w:szCs w:val="15"/>
                <w:highlight w:val="none"/>
              </w:rPr>
              <w:t>2025.07.15</w:t>
            </w:r>
          </w:p>
        </w:tc>
        <w:tc>
          <w:tcPr>
            <w:tcW w:w="268" w:type="pct"/>
            <w:tcBorders>
              <w:top w:val="nil"/>
              <w:left w:val="nil"/>
              <w:bottom w:val="single" w:color="auto" w:sz="4" w:space="0"/>
              <w:right w:val="single" w:color="auto" w:sz="4" w:space="0"/>
            </w:tcBorders>
            <w:shd w:val="clear" w:color="auto" w:fill="auto"/>
            <w:noWrap/>
            <w:vAlign w:val="center"/>
          </w:tcPr>
          <w:p w14:paraId="39B7361B">
            <w:pPr>
              <w:widowControl/>
              <w:jc w:val="center"/>
              <w:rPr>
                <w:sz w:val="15"/>
                <w:szCs w:val="15"/>
                <w:highlight w:val="none"/>
              </w:rPr>
            </w:pPr>
            <w:r>
              <w:rPr>
                <w:sz w:val="15"/>
                <w:szCs w:val="15"/>
                <w:highlight w:val="none"/>
              </w:rPr>
              <w:t>7.13</w:t>
            </w:r>
          </w:p>
        </w:tc>
        <w:tc>
          <w:tcPr>
            <w:tcW w:w="354" w:type="pct"/>
            <w:tcBorders>
              <w:top w:val="nil"/>
              <w:left w:val="nil"/>
              <w:bottom w:val="single" w:color="auto" w:sz="4" w:space="0"/>
              <w:right w:val="single" w:color="auto" w:sz="4" w:space="0"/>
            </w:tcBorders>
            <w:shd w:val="clear" w:color="auto" w:fill="auto"/>
            <w:noWrap/>
            <w:vAlign w:val="center"/>
          </w:tcPr>
          <w:p w14:paraId="44A379E8">
            <w:pPr>
              <w:widowControl/>
              <w:jc w:val="center"/>
              <w:rPr>
                <w:sz w:val="15"/>
                <w:szCs w:val="15"/>
                <w:highlight w:val="none"/>
              </w:rPr>
            </w:pPr>
            <w:r>
              <w:rPr>
                <w:sz w:val="15"/>
                <w:szCs w:val="15"/>
                <w:highlight w:val="none"/>
              </w:rPr>
              <w:t>2.12</w:t>
            </w:r>
          </w:p>
        </w:tc>
        <w:tc>
          <w:tcPr>
            <w:tcW w:w="401" w:type="pct"/>
            <w:tcBorders>
              <w:top w:val="nil"/>
              <w:left w:val="nil"/>
              <w:bottom w:val="single" w:color="auto" w:sz="4" w:space="0"/>
              <w:right w:val="single" w:color="auto" w:sz="4" w:space="0"/>
            </w:tcBorders>
            <w:shd w:val="clear" w:color="auto" w:fill="auto"/>
            <w:noWrap/>
            <w:vAlign w:val="center"/>
          </w:tcPr>
          <w:p w14:paraId="4E8899CA">
            <w:pPr>
              <w:widowControl/>
              <w:jc w:val="center"/>
              <w:rPr>
                <w:sz w:val="15"/>
                <w:szCs w:val="15"/>
                <w:highlight w:val="none"/>
              </w:rPr>
            </w:pPr>
            <w:r>
              <w:rPr>
                <w:sz w:val="15"/>
                <w:szCs w:val="15"/>
                <w:highlight w:val="none"/>
              </w:rPr>
              <w:t>1649</w:t>
            </w:r>
          </w:p>
        </w:tc>
        <w:tc>
          <w:tcPr>
            <w:tcW w:w="382" w:type="pct"/>
            <w:tcBorders>
              <w:top w:val="nil"/>
              <w:left w:val="nil"/>
              <w:bottom w:val="single" w:color="auto" w:sz="4" w:space="0"/>
              <w:right w:val="single" w:color="auto" w:sz="4" w:space="0"/>
            </w:tcBorders>
            <w:shd w:val="clear" w:color="auto" w:fill="auto"/>
            <w:noWrap/>
            <w:vAlign w:val="center"/>
          </w:tcPr>
          <w:p w14:paraId="6980B26C">
            <w:pPr>
              <w:widowControl/>
              <w:jc w:val="center"/>
              <w:rPr>
                <w:sz w:val="15"/>
                <w:szCs w:val="15"/>
                <w:highlight w:val="none"/>
              </w:rPr>
            </w:pPr>
            <w:r>
              <w:rPr>
                <w:sz w:val="15"/>
                <w:szCs w:val="15"/>
                <w:highlight w:val="none"/>
              </w:rPr>
              <w:t>13.50</w:t>
            </w:r>
          </w:p>
        </w:tc>
        <w:tc>
          <w:tcPr>
            <w:tcW w:w="368" w:type="pct"/>
            <w:tcBorders>
              <w:top w:val="nil"/>
              <w:left w:val="nil"/>
              <w:bottom w:val="single" w:color="auto" w:sz="4" w:space="0"/>
              <w:right w:val="single" w:color="auto" w:sz="4" w:space="0"/>
            </w:tcBorders>
            <w:shd w:val="clear" w:color="auto" w:fill="auto"/>
            <w:noWrap/>
            <w:vAlign w:val="center"/>
          </w:tcPr>
          <w:p w14:paraId="0949C37D">
            <w:pPr>
              <w:widowControl/>
              <w:jc w:val="center"/>
              <w:rPr>
                <w:sz w:val="15"/>
                <w:szCs w:val="15"/>
                <w:highlight w:val="none"/>
              </w:rPr>
            </w:pPr>
            <w:r>
              <w:rPr>
                <w:sz w:val="15"/>
                <w:szCs w:val="15"/>
                <w:highlight w:val="none"/>
              </w:rPr>
              <w:t>0.39</w:t>
            </w:r>
          </w:p>
        </w:tc>
        <w:tc>
          <w:tcPr>
            <w:tcW w:w="368" w:type="pct"/>
            <w:tcBorders>
              <w:top w:val="nil"/>
              <w:left w:val="nil"/>
              <w:bottom w:val="single" w:color="auto" w:sz="4" w:space="0"/>
              <w:right w:val="single" w:color="auto" w:sz="4" w:space="0"/>
            </w:tcBorders>
            <w:shd w:val="clear" w:color="auto" w:fill="auto"/>
            <w:noWrap/>
            <w:vAlign w:val="center"/>
          </w:tcPr>
          <w:p w14:paraId="6DDD3540">
            <w:pPr>
              <w:widowControl/>
              <w:jc w:val="center"/>
              <w:rPr>
                <w:sz w:val="15"/>
                <w:szCs w:val="15"/>
                <w:highlight w:val="none"/>
              </w:rPr>
            </w:pPr>
            <w:r>
              <w:rPr>
                <w:sz w:val="15"/>
                <w:szCs w:val="15"/>
                <w:highlight w:val="none"/>
              </w:rPr>
              <w:t>240.63</w:t>
            </w:r>
          </w:p>
        </w:tc>
        <w:tc>
          <w:tcPr>
            <w:tcW w:w="462" w:type="pct"/>
            <w:tcBorders>
              <w:top w:val="nil"/>
              <w:left w:val="nil"/>
              <w:bottom w:val="single" w:color="auto" w:sz="4" w:space="0"/>
              <w:right w:val="single" w:color="auto" w:sz="4" w:space="0"/>
            </w:tcBorders>
            <w:shd w:val="clear" w:color="auto" w:fill="auto"/>
            <w:noWrap/>
            <w:vAlign w:val="center"/>
          </w:tcPr>
          <w:p w14:paraId="5A50C3D9">
            <w:pPr>
              <w:widowControl/>
              <w:jc w:val="center"/>
              <w:rPr>
                <w:sz w:val="15"/>
                <w:szCs w:val="15"/>
                <w:highlight w:val="none"/>
              </w:rPr>
            </w:pPr>
            <w:r>
              <w:rPr>
                <w:sz w:val="15"/>
                <w:szCs w:val="15"/>
                <w:highlight w:val="none"/>
              </w:rPr>
              <w:t>5.07</w:t>
            </w:r>
          </w:p>
        </w:tc>
        <w:tc>
          <w:tcPr>
            <w:tcW w:w="462" w:type="pct"/>
            <w:tcBorders>
              <w:top w:val="nil"/>
              <w:left w:val="nil"/>
              <w:bottom w:val="single" w:color="auto" w:sz="4" w:space="0"/>
              <w:right w:val="single" w:color="auto" w:sz="4" w:space="0"/>
            </w:tcBorders>
            <w:shd w:val="clear" w:color="auto" w:fill="auto"/>
            <w:noWrap/>
            <w:vAlign w:val="center"/>
          </w:tcPr>
          <w:p w14:paraId="67762F60">
            <w:pPr>
              <w:widowControl/>
              <w:jc w:val="center"/>
              <w:rPr>
                <w:sz w:val="15"/>
                <w:szCs w:val="15"/>
                <w:highlight w:val="none"/>
              </w:rPr>
            </w:pPr>
            <w:r>
              <w:rPr>
                <w:sz w:val="15"/>
                <w:szCs w:val="15"/>
                <w:highlight w:val="none"/>
              </w:rPr>
              <w:t>4.07</w:t>
            </w:r>
          </w:p>
        </w:tc>
        <w:tc>
          <w:tcPr>
            <w:tcW w:w="36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C046405">
            <w:pPr>
              <w:widowControl/>
              <w:jc w:val="center"/>
              <w:rPr>
                <w:sz w:val="15"/>
                <w:szCs w:val="15"/>
                <w:highlight w:val="none"/>
              </w:rPr>
            </w:pPr>
            <w:r>
              <w:rPr>
                <w:sz w:val="15"/>
                <w:szCs w:val="15"/>
                <w:highlight w:val="none"/>
              </w:rPr>
              <w:t>0.97</w:t>
            </w:r>
          </w:p>
        </w:tc>
        <w:tc>
          <w:tcPr>
            <w:tcW w:w="368" w:type="pct"/>
            <w:tcBorders>
              <w:top w:val="nil"/>
              <w:left w:val="nil"/>
              <w:bottom w:val="single" w:color="auto" w:sz="4" w:space="0"/>
              <w:right w:val="single" w:color="auto" w:sz="4" w:space="0"/>
            </w:tcBorders>
            <w:shd w:val="clear" w:color="auto" w:fill="auto"/>
            <w:noWrap/>
            <w:vAlign w:val="center"/>
          </w:tcPr>
          <w:p w14:paraId="0F7DEE1C">
            <w:pPr>
              <w:widowControl/>
              <w:jc w:val="center"/>
              <w:rPr>
                <w:sz w:val="15"/>
                <w:szCs w:val="15"/>
                <w:highlight w:val="none"/>
              </w:rPr>
            </w:pPr>
            <w:r>
              <w:rPr>
                <w:sz w:val="15"/>
                <w:szCs w:val="15"/>
                <w:highlight w:val="none"/>
              </w:rPr>
              <w:t>0</w:t>
            </w:r>
          </w:p>
        </w:tc>
        <w:tc>
          <w:tcPr>
            <w:tcW w:w="425" w:type="pct"/>
            <w:tcBorders>
              <w:top w:val="nil"/>
              <w:left w:val="nil"/>
              <w:bottom w:val="single" w:color="auto" w:sz="4" w:space="0"/>
              <w:right w:val="single" w:color="auto" w:sz="4" w:space="0"/>
            </w:tcBorders>
            <w:shd w:val="clear" w:color="auto" w:fill="auto"/>
            <w:noWrap/>
            <w:vAlign w:val="center"/>
          </w:tcPr>
          <w:p w14:paraId="6D2456ED">
            <w:pPr>
              <w:widowControl/>
              <w:jc w:val="center"/>
              <w:rPr>
                <w:sz w:val="15"/>
                <w:szCs w:val="15"/>
                <w:highlight w:val="none"/>
              </w:rPr>
            </w:pPr>
            <w:r>
              <w:rPr>
                <w:sz w:val="15"/>
                <w:szCs w:val="15"/>
                <w:highlight w:val="none"/>
              </w:rPr>
              <w:t>9</w:t>
            </w:r>
          </w:p>
        </w:tc>
        <w:tc>
          <w:tcPr>
            <w:tcW w:w="268" w:type="pct"/>
            <w:tcBorders>
              <w:top w:val="nil"/>
              <w:left w:val="nil"/>
              <w:bottom w:val="single" w:color="auto" w:sz="4" w:space="0"/>
              <w:right w:val="single" w:color="auto" w:sz="4" w:space="0"/>
            </w:tcBorders>
            <w:shd w:val="clear" w:color="auto" w:fill="auto"/>
            <w:noWrap/>
            <w:vAlign w:val="center"/>
          </w:tcPr>
          <w:p w14:paraId="2627A920">
            <w:pPr>
              <w:widowControl/>
              <w:jc w:val="center"/>
              <w:rPr>
                <w:sz w:val="15"/>
                <w:szCs w:val="15"/>
                <w:highlight w:val="none"/>
              </w:rPr>
            </w:pPr>
            <w:r>
              <w:rPr>
                <w:sz w:val="15"/>
                <w:szCs w:val="15"/>
                <w:highlight w:val="none"/>
              </w:rPr>
              <w:t>/</w:t>
            </w:r>
          </w:p>
        </w:tc>
      </w:tr>
      <w:tr w14:paraId="7C63307C">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6189D8F0">
            <w:pPr>
              <w:widowControl/>
              <w:jc w:val="center"/>
              <w:rPr>
                <w:sz w:val="15"/>
                <w:szCs w:val="15"/>
                <w:highlight w:val="none"/>
              </w:rPr>
            </w:pPr>
            <w:r>
              <w:rPr>
                <w:sz w:val="15"/>
                <w:szCs w:val="15"/>
                <w:highlight w:val="none"/>
              </w:rPr>
              <w:t>2025.07.23</w:t>
            </w:r>
          </w:p>
        </w:tc>
        <w:tc>
          <w:tcPr>
            <w:tcW w:w="268" w:type="pct"/>
            <w:tcBorders>
              <w:top w:val="nil"/>
              <w:left w:val="nil"/>
              <w:bottom w:val="single" w:color="auto" w:sz="4" w:space="0"/>
              <w:right w:val="single" w:color="auto" w:sz="4" w:space="0"/>
            </w:tcBorders>
            <w:shd w:val="clear" w:color="auto" w:fill="auto"/>
            <w:noWrap/>
            <w:vAlign w:val="center"/>
          </w:tcPr>
          <w:p w14:paraId="005454DF">
            <w:pPr>
              <w:widowControl/>
              <w:jc w:val="center"/>
              <w:rPr>
                <w:sz w:val="15"/>
                <w:szCs w:val="15"/>
                <w:highlight w:val="none"/>
              </w:rPr>
            </w:pPr>
            <w:r>
              <w:rPr>
                <w:sz w:val="15"/>
                <w:szCs w:val="15"/>
                <w:highlight w:val="none"/>
              </w:rPr>
              <w:t>7.03</w:t>
            </w:r>
          </w:p>
        </w:tc>
        <w:tc>
          <w:tcPr>
            <w:tcW w:w="354" w:type="pct"/>
            <w:tcBorders>
              <w:top w:val="nil"/>
              <w:left w:val="nil"/>
              <w:bottom w:val="single" w:color="auto" w:sz="4" w:space="0"/>
              <w:right w:val="single" w:color="auto" w:sz="4" w:space="0"/>
            </w:tcBorders>
            <w:shd w:val="clear" w:color="auto" w:fill="auto"/>
            <w:noWrap/>
            <w:vAlign w:val="center"/>
          </w:tcPr>
          <w:p w14:paraId="3E488EC8">
            <w:pPr>
              <w:widowControl/>
              <w:jc w:val="center"/>
              <w:rPr>
                <w:sz w:val="15"/>
                <w:szCs w:val="15"/>
                <w:highlight w:val="none"/>
              </w:rPr>
            </w:pPr>
            <w:r>
              <w:rPr>
                <w:sz w:val="15"/>
                <w:szCs w:val="15"/>
                <w:highlight w:val="none"/>
              </w:rPr>
              <w:t>1.61</w:t>
            </w:r>
          </w:p>
        </w:tc>
        <w:tc>
          <w:tcPr>
            <w:tcW w:w="401" w:type="pct"/>
            <w:tcBorders>
              <w:top w:val="nil"/>
              <w:left w:val="nil"/>
              <w:bottom w:val="single" w:color="auto" w:sz="4" w:space="0"/>
              <w:right w:val="single" w:color="auto" w:sz="4" w:space="0"/>
            </w:tcBorders>
            <w:shd w:val="clear" w:color="auto" w:fill="auto"/>
            <w:noWrap/>
            <w:vAlign w:val="center"/>
          </w:tcPr>
          <w:p w14:paraId="009A691A">
            <w:pPr>
              <w:widowControl/>
              <w:jc w:val="center"/>
              <w:rPr>
                <w:sz w:val="15"/>
                <w:szCs w:val="15"/>
                <w:highlight w:val="none"/>
              </w:rPr>
            </w:pPr>
            <w:r>
              <w:rPr>
                <w:sz w:val="15"/>
                <w:szCs w:val="15"/>
                <w:highlight w:val="none"/>
              </w:rPr>
              <w:t>1672</w:t>
            </w:r>
          </w:p>
        </w:tc>
        <w:tc>
          <w:tcPr>
            <w:tcW w:w="382" w:type="pct"/>
            <w:tcBorders>
              <w:top w:val="nil"/>
              <w:left w:val="nil"/>
              <w:bottom w:val="single" w:color="auto" w:sz="4" w:space="0"/>
              <w:right w:val="single" w:color="auto" w:sz="4" w:space="0"/>
            </w:tcBorders>
            <w:shd w:val="clear" w:color="auto" w:fill="auto"/>
            <w:noWrap/>
            <w:vAlign w:val="center"/>
          </w:tcPr>
          <w:p w14:paraId="3EBEAF29">
            <w:pPr>
              <w:widowControl/>
              <w:jc w:val="center"/>
              <w:rPr>
                <w:sz w:val="15"/>
                <w:szCs w:val="15"/>
                <w:highlight w:val="none"/>
              </w:rPr>
            </w:pPr>
            <w:r>
              <w:rPr>
                <w:sz w:val="15"/>
                <w:szCs w:val="15"/>
                <w:highlight w:val="none"/>
              </w:rPr>
              <w:t>22.30</w:t>
            </w:r>
          </w:p>
        </w:tc>
        <w:tc>
          <w:tcPr>
            <w:tcW w:w="368" w:type="pct"/>
            <w:tcBorders>
              <w:top w:val="nil"/>
              <w:left w:val="nil"/>
              <w:bottom w:val="single" w:color="auto" w:sz="4" w:space="0"/>
              <w:right w:val="single" w:color="auto" w:sz="4" w:space="0"/>
            </w:tcBorders>
            <w:shd w:val="clear" w:color="auto" w:fill="auto"/>
            <w:noWrap/>
            <w:vAlign w:val="center"/>
          </w:tcPr>
          <w:p w14:paraId="345291E3">
            <w:pPr>
              <w:widowControl/>
              <w:jc w:val="center"/>
              <w:rPr>
                <w:sz w:val="15"/>
                <w:szCs w:val="15"/>
                <w:highlight w:val="none"/>
              </w:rPr>
            </w:pPr>
            <w:r>
              <w:rPr>
                <w:sz w:val="15"/>
                <w:szCs w:val="15"/>
                <w:highlight w:val="none"/>
              </w:rPr>
              <w:t>0.17</w:t>
            </w:r>
          </w:p>
        </w:tc>
        <w:tc>
          <w:tcPr>
            <w:tcW w:w="368" w:type="pct"/>
            <w:tcBorders>
              <w:top w:val="nil"/>
              <w:left w:val="nil"/>
              <w:bottom w:val="single" w:color="auto" w:sz="4" w:space="0"/>
              <w:right w:val="single" w:color="auto" w:sz="4" w:space="0"/>
            </w:tcBorders>
            <w:shd w:val="clear" w:color="auto" w:fill="auto"/>
            <w:noWrap/>
            <w:vAlign w:val="center"/>
          </w:tcPr>
          <w:p w14:paraId="5EB3762C">
            <w:pPr>
              <w:widowControl/>
              <w:jc w:val="center"/>
              <w:rPr>
                <w:sz w:val="15"/>
                <w:szCs w:val="15"/>
                <w:highlight w:val="none"/>
              </w:rPr>
            </w:pPr>
            <w:r>
              <w:rPr>
                <w:sz w:val="15"/>
                <w:szCs w:val="15"/>
                <w:highlight w:val="none"/>
              </w:rPr>
              <w:t>247.13</w:t>
            </w:r>
          </w:p>
        </w:tc>
        <w:tc>
          <w:tcPr>
            <w:tcW w:w="462" w:type="pct"/>
            <w:tcBorders>
              <w:top w:val="nil"/>
              <w:left w:val="nil"/>
              <w:bottom w:val="single" w:color="auto" w:sz="4" w:space="0"/>
              <w:right w:val="single" w:color="auto" w:sz="4" w:space="0"/>
            </w:tcBorders>
            <w:shd w:val="clear" w:color="auto" w:fill="auto"/>
            <w:noWrap/>
            <w:vAlign w:val="center"/>
          </w:tcPr>
          <w:p w14:paraId="25C9657B">
            <w:pPr>
              <w:widowControl/>
              <w:jc w:val="center"/>
              <w:rPr>
                <w:sz w:val="15"/>
                <w:szCs w:val="15"/>
                <w:highlight w:val="none"/>
              </w:rPr>
            </w:pPr>
            <w:r>
              <w:rPr>
                <w:sz w:val="15"/>
                <w:szCs w:val="15"/>
                <w:highlight w:val="none"/>
              </w:rPr>
              <w:t>5.56</w:t>
            </w:r>
          </w:p>
        </w:tc>
        <w:tc>
          <w:tcPr>
            <w:tcW w:w="462" w:type="pct"/>
            <w:tcBorders>
              <w:top w:val="nil"/>
              <w:left w:val="nil"/>
              <w:bottom w:val="single" w:color="auto" w:sz="4" w:space="0"/>
              <w:right w:val="single" w:color="auto" w:sz="4" w:space="0"/>
            </w:tcBorders>
            <w:shd w:val="clear" w:color="auto" w:fill="auto"/>
            <w:noWrap/>
            <w:vAlign w:val="center"/>
          </w:tcPr>
          <w:p w14:paraId="3A46DDF3">
            <w:pPr>
              <w:widowControl/>
              <w:jc w:val="center"/>
              <w:rPr>
                <w:sz w:val="15"/>
                <w:szCs w:val="15"/>
                <w:highlight w:val="none"/>
              </w:rPr>
            </w:pPr>
            <w:r>
              <w:rPr>
                <w:sz w:val="15"/>
                <w:szCs w:val="15"/>
                <w:highlight w:val="none"/>
              </w:rPr>
              <w:t>4.49</w:t>
            </w:r>
          </w:p>
        </w:tc>
        <w:tc>
          <w:tcPr>
            <w:tcW w:w="36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BBD8AF1">
            <w:pPr>
              <w:widowControl/>
              <w:jc w:val="center"/>
              <w:rPr>
                <w:sz w:val="15"/>
                <w:szCs w:val="15"/>
                <w:highlight w:val="none"/>
              </w:rPr>
            </w:pPr>
            <w:r>
              <w:rPr>
                <w:sz w:val="15"/>
                <w:szCs w:val="15"/>
                <w:highlight w:val="none"/>
              </w:rPr>
              <w:t>0.77</w:t>
            </w:r>
          </w:p>
        </w:tc>
        <w:tc>
          <w:tcPr>
            <w:tcW w:w="368" w:type="pct"/>
            <w:tcBorders>
              <w:top w:val="nil"/>
              <w:left w:val="nil"/>
              <w:bottom w:val="single" w:color="auto" w:sz="4" w:space="0"/>
              <w:right w:val="single" w:color="auto" w:sz="4" w:space="0"/>
            </w:tcBorders>
            <w:shd w:val="clear" w:color="auto" w:fill="auto"/>
            <w:noWrap/>
            <w:vAlign w:val="center"/>
          </w:tcPr>
          <w:p w14:paraId="41882D52">
            <w:pPr>
              <w:widowControl/>
              <w:jc w:val="center"/>
              <w:rPr>
                <w:sz w:val="15"/>
                <w:szCs w:val="15"/>
                <w:highlight w:val="none"/>
              </w:rPr>
            </w:pPr>
            <w:r>
              <w:rPr>
                <w:sz w:val="15"/>
                <w:szCs w:val="15"/>
                <w:highlight w:val="none"/>
              </w:rPr>
              <w:t>0</w:t>
            </w:r>
          </w:p>
        </w:tc>
        <w:tc>
          <w:tcPr>
            <w:tcW w:w="425" w:type="pct"/>
            <w:tcBorders>
              <w:top w:val="nil"/>
              <w:left w:val="nil"/>
              <w:bottom w:val="single" w:color="auto" w:sz="4" w:space="0"/>
              <w:right w:val="single" w:color="auto" w:sz="4" w:space="0"/>
            </w:tcBorders>
            <w:shd w:val="clear" w:color="auto" w:fill="auto"/>
            <w:noWrap/>
            <w:vAlign w:val="center"/>
          </w:tcPr>
          <w:p w14:paraId="203F809A">
            <w:pPr>
              <w:widowControl/>
              <w:jc w:val="center"/>
              <w:rPr>
                <w:sz w:val="15"/>
                <w:szCs w:val="15"/>
                <w:highlight w:val="none"/>
              </w:rPr>
            </w:pPr>
            <w:r>
              <w:rPr>
                <w:sz w:val="15"/>
                <w:szCs w:val="15"/>
                <w:highlight w:val="none"/>
              </w:rPr>
              <w:t>8</w:t>
            </w:r>
          </w:p>
        </w:tc>
        <w:tc>
          <w:tcPr>
            <w:tcW w:w="268" w:type="pct"/>
            <w:tcBorders>
              <w:top w:val="nil"/>
              <w:left w:val="nil"/>
              <w:bottom w:val="single" w:color="auto" w:sz="4" w:space="0"/>
              <w:right w:val="single" w:color="auto" w:sz="4" w:space="0"/>
            </w:tcBorders>
            <w:shd w:val="clear" w:color="auto" w:fill="auto"/>
            <w:noWrap/>
            <w:vAlign w:val="center"/>
          </w:tcPr>
          <w:p w14:paraId="3F35574E">
            <w:pPr>
              <w:widowControl/>
              <w:jc w:val="center"/>
              <w:rPr>
                <w:sz w:val="15"/>
                <w:szCs w:val="15"/>
                <w:highlight w:val="none"/>
              </w:rPr>
            </w:pPr>
            <w:r>
              <w:rPr>
                <w:sz w:val="15"/>
                <w:szCs w:val="15"/>
                <w:highlight w:val="none"/>
              </w:rPr>
              <w:t xml:space="preserve">0.04 </w:t>
            </w:r>
          </w:p>
        </w:tc>
      </w:tr>
      <w:tr w14:paraId="710B9B5B">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04480D7F">
            <w:pPr>
              <w:widowControl/>
              <w:jc w:val="center"/>
              <w:rPr>
                <w:sz w:val="15"/>
                <w:szCs w:val="15"/>
                <w:highlight w:val="none"/>
              </w:rPr>
            </w:pPr>
            <w:r>
              <w:rPr>
                <w:sz w:val="15"/>
                <w:szCs w:val="15"/>
                <w:highlight w:val="none"/>
              </w:rPr>
              <w:t>2025.07.31</w:t>
            </w:r>
          </w:p>
        </w:tc>
        <w:tc>
          <w:tcPr>
            <w:tcW w:w="268" w:type="pct"/>
            <w:tcBorders>
              <w:top w:val="nil"/>
              <w:left w:val="nil"/>
              <w:bottom w:val="single" w:color="auto" w:sz="4" w:space="0"/>
              <w:right w:val="single" w:color="auto" w:sz="4" w:space="0"/>
            </w:tcBorders>
            <w:shd w:val="clear" w:color="auto" w:fill="auto"/>
            <w:noWrap/>
            <w:vAlign w:val="center"/>
          </w:tcPr>
          <w:p w14:paraId="5B3A6BC5">
            <w:pPr>
              <w:widowControl/>
              <w:jc w:val="center"/>
              <w:rPr>
                <w:sz w:val="15"/>
                <w:szCs w:val="15"/>
                <w:highlight w:val="none"/>
              </w:rPr>
            </w:pPr>
            <w:r>
              <w:rPr>
                <w:sz w:val="15"/>
                <w:szCs w:val="15"/>
                <w:highlight w:val="none"/>
              </w:rPr>
              <w:t>7.13</w:t>
            </w:r>
          </w:p>
        </w:tc>
        <w:tc>
          <w:tcPr>
            <w:tcW w:w="354" w:type="pct"/>
            <w:tcBorders>
              <w:top w:val="nil"/>
              <w:left w:val="nil"/>
              <w:bottom w:val="single" w:color="auto" w:sz="4" w:space="0"/>
              <w:right w:val="single" w:color="auto" w:sz="4" w:space="0"/>
            </w:tcBorders>
            <w:shd w:val="clear" w:color="auto" w:fill="auto"/>
            <w:noWrap/>
            <w:vAlign w:val="center"/>
          </w:tcPr>
          <w:p w14:paraId="6B454BF7">
            <w:pPr>
              <w:widowControl/>
              <w:jc w:val="center"/>
              <w:rPr>
                <w:sz w:val="15"/>
                <w:szCs w:val="15"/>
                <w:highlight w:val="none"/>
              </w:rPr>
            </w:pPr>
            <w:r>
              <w:rPr>
                <w:sz w:val="15"/>
                <w:szCs w:val="15"/>
                <w:highlight w:val="none"/>
              </w:rPr>
              <w:t>1.16</w:t>
            </w:r>
          </w:p>
        </w:tc>
        <w:tc>
          <w:tcPr>
            <w:tcW w:w="401" w:type="pct"/>
            <w:tcBorders>
              <w:top w:val="nil"/>
              <w:left w:val="nil"/>
              <w:bottom w:val="single" w:color="auto" w:sz="4" w:space="0"/>
              <w:right w:val="single" w:color="auto" w:sz="4" w:space="0"/>
            </w:tcBorders>
            <w:shd w:val="clear" w:color="auto" w:fill="auto"/>
            <w:noWrap/>
            <w:vAlign w:val="center"/>
          </w:tcPr>
          <w:p w14:paraId="5C80360B">
            <w:pPr>
              <w:widowControl/>
              <w:jc w:val="center"/>
              <w:rPr>
                <w:sz w:val="15"/>
                <w:szCs w:val="15"/>
                <w:highlight w:val="none"/>
              </w:rPr>
            </w:pPr>
            <w:r>
              <w:rPr>
                <w:sz w:val="15"/>
                <w:szCs w:val="15"/>
                <w:highlight w:val="none"/>
              </w:rPr>
              <w:t>1538</w:t>
            </w:r>
          </w:p>
        </w:tc>
        <w:tc>
          <w:tcPr>
            <w:tcW w:w="382" w:type="pct"/>
            <w:tcBorders>
              <w:top w:val="nil"/>
              <w:left w:val="nil"/>
              <w:bottom w:val="single" w:color="auto" w:sz="4" w:space="0"/>
              <w:right w:val="single" w:color="auto" w:sz="4" w:space="0"/>
            </w:tcBorders>
            <w:shd w:val="clear" w:color="auto" w:fill="auto"/>
            <w:noWrap/>
            <w:vAlign w:val="center"/>
          </w:tcPr>
          <w:p w14:paraId="3DA632D1">
            <w:pPr>
              <w:widowControl/>
              <w:jc w:val="center"/>
              <w:rPr>
                <w:sz w:val="15"/>
                <w:szCs w:val="15"/>
                <w:highlight w:val="none"/>
              </w:rPr>
            </w:pPr>
            <w:r>
              <w:rPr>
                <w:sz w:val="15"/>
                <w:szCs w:val="15"/>
                <w:highlight w:val="none"/>
              </w:rPr>
              <w:t>10.60</w:t>
            </w:r>
          </w:p>
        </w:tc>
        <w:tc>
          <w:tcPr>
            <w:tcW w:w="368" w:type="pct"/>
            <w:tcBorders>
              <w:top w:val="nil"/>
              <w:left w:val="nil"/>
              <w:bottom w:val="single" w:color="auto" w:sz="4" w:space="0"/>
              <w:right w:val="single" w:color="auto" w:sz="4" w:space="0"/>
            </w:tcBorders>
            <w:shd w:val="clear" w:color="auto" w:fill="auto"/>
            <w:noWrap/>
            <w:vAlign w:val="center"/>
          </w:tcPr>
          <w:p w14:paraId="2BF84834">
            <w:pPr>
              <w:widowControl/>
              <w:jc w:val="center"/>
              <w:rPr>
                <w:sz w:val="15"/>
                <w:szCs w:val="15"/>
                <w:highlight w:val="none"/>
              </w:rPr>
            </w:pPr>
            <w:r>
              <w:rPr>
                <w:sz w:val="15"/>
                <w:szCs w:val="15"/>
                <w:highlight w:val="none"/>
              </w:rPr>
              <w:t>0.09</w:t>
            </w:r>
          </w:p>
        </w:tc>
        <w:tc>
          <w:tcPr>
            <w:tcW w:w="368" w:type="pct"/>
            <w:tcBorders>
              <w:top w:val="nil"/>
              <w:left w:val="nil"/>
              <w:bottom w:val="single" w:color="auto" w:sz="4" w:space="0"/>
              <w:right w:val="single" w:color="auto" w:sz="4" w:space="0"/>
            </w:tcBorders>
            <w:shd w:val="clear" w:color="auto" w:fill="auto"/>
            <w:noWrap/>
            <w:vAlign w:val="center"/>
          </w:tcPr>
          <w:p w14:paraId="6EF6C948">
            <w:pPr>
              <w:widowControl/>
              <w:jc w:val="center"/>
              <w:rPr>
                <w:sz w:val="15"/>
                <w:szCs w:val="15"/>
                <w:highlight w:val="none"/>
              </w:rPr>
            </w:pPr>
            <w:r>
              <w:rPr>
                <w:sz w:val="15"/>
                <w:szCs w:val="15"/>
                <w:highlight w:val="none"/>
              </w:rPr>
              <w:t>218.42</w:t>
            </w:r>
          </w:p>
        </w:tc>
        <w:tc>
          <w:tcPr>
            <w:tcW w:w="462" w:type="pct"/>
            <w:tcBorders>
              <w:top w:val="nil"/>
              <w:left w:val="nil"/>
              <w:bottom w:val="single" w:color="auto" w:sz="4" w:space="0"/>
              <w:right w:val="single" w:color="auto" w:sz="4" w:space="0"/>
            </w:tcBorders>
            <w:shd w:val="clear" w:color="auto" w:fill="auto"/>
            <w:noWrap/>
            <w:vAlign w:val="center"/>
          </w:tcPr>
          <w:p w14:paraId="0C94B98F">
            <w:pPr>
              <w:widowControl/>
              <w:jc w:val="center"/>
              <w:rPr>
                <w:sz w:val="15"/>
                <w:szCs w:val="15"/>
                <w:highlight w:val="none"/>
              </w:rPr>
            </w:pPr>
            <w:r>
              <w:rPr>
                <w:sz w:val="15"/>
                <w:szCs w:val="15"/>
                <w:highlight w:val="none"/>
              </w:rPr>
              <w:t>4.70</w:t>
            </w:r>
          </w:p>
        </w:tc>
        <w:tc>
          <w:tcPr>
            <w:tcW w:w="462" w:type="pct"/>
            <w:tcBorders>
              <w:top w:val="nil"/>
              <w:left w:val="nil"/>
              <w:bottom w:val="single" w:color="auto" w:sz="4" w:space="0"/>
              <w:right w:val="single" w:color="auto" w:sz="4" w:space="0"/>
            </w:tcBorders>
            <w:shd w:val="clear" w:color="auto" w:fill="auto"/>
            <w:noWrap/>
            <w:vAlign w:val="center"/>
          </w:tcPr>
          <w:p w14:paraId="409F53BA">
            <w:pPr>
              <w:widowControl/>
              <w:jc w:val="center"/>
              <w:rPr>
                <w:sz w:val="15"/>
                <w:szCs w:val="15"/>
                <w:highlight w:val="none"/>
              </w:rPr>
            </w:pPr>
            <w:r>
              <w:rPr>
                <w:sz w:val="15"/>
                <w:szCs w:val="15"/>
                <w:highlight w:val="none"/>
              </w:rPr>
              <w:t>4.61</w:t>
            </w:r>
          </w:p>
        </w:tc>
        <w:tc>
          <w:tcPr>
            <w:tcW w:w="36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B5BE9ED">
            <w:pPr>
              <w:widowControl/>
              <w:jc w:val="center"/>
              <w:rPr>
                <w:sz w:val="15"/>
                <w:szCs w:val="15"/>
                <w:highlight w:val="none"/>
              </w:rPr>
            </w:pPr>
            <w:r>
              <w:rPr>
                <w:sz w:val="15"/>
                <w:szCs w:val="15"/>
                <w:highlight w:val="none"/>
              </w:rPr>
              <w:t>1.02</w:t>
            </w:r>
          </w:p>
        </w:tc>
        <w:tc>
          <w:tcPr>
            <w:tcW w:w="368" w:type="pct"/>
            <w:tcBorders>
              <w:top w:val="nil"/>
              <w:left w:val="nil"/>
              <w:bottom w:val="single" w:color="auto" w:sz="4" w:space="0"/>
              <w:right w:val="single" w:color="auto" w:sz="4" w:space="0"/>
            </w:tcBorders>
            <w:shd w:val="clear" w:color="auto" w:fill="auto"/>
            <w:noWrap/>
            <w:vAlign w:val="center"/>
          </w:tcPr>
          <w:p w14:paraId="5029FD64">
            <w:pPr>
              <w:widowControl/>
              <w:jc w:val="center"/>
              <w:rPr>
                <w:sz w:val="15"/>
                <w:szCs w:val="15"/>
                <w:highlight w:val="none"/>
              </w:rPr>
            </w:pPr>
            <w:r>
              <w:rPr>
                <w:sz w:val="15"/>
                <w:szCs w:val="15"/>
                <w:highlight w:val="none"/>
              </w:rPr>
              <w:t>0</w:t>
            </w:r>
          </w:p>
        </w:tc>
        <w:tc>
          <w:tcPr>
            <w:tcW w:w="425" w:type="pct"/>
            <w:tcBorders>
              <w:top w:val="nil"/>
              <w:left w:val="nil"/>
              <w:bottom w:val="single" w:color="auto" w:sz="4" w:space="0"/>
              <w:right w:val="single" w:color="auto" w:sz="4" w:space="0"/>
            </w:tcBorders>
            <w:shd w:val="clear" w:color="auto" w:fill="auto"/>
            <w:noWrap/>
            <w:vAlign w:val="center"/>
          </w:tcPr>
          <w:p w14:paraId="75EACC6D">
            <w:pPr>
              <w:widowControl/>
              <w:jc w:val="center"/>
              <w:rPr>
                <w:sz w:val="15"/>
                <w:szCs w:val="15"/>
                <w:highlight w:val="none"/>
              </w:rPr>
            </w:pPr>
            <w:r>
              <w:rPr>
                <w:sz w:val="15"/>
                <w:szCs w:val="15"/>
                <w:highlight w:val="none"/>
              </w:rPr>
              <w:t>9</w:t>
            </w:r>
          </w:p>
        </w:tc>
        <w:tc>
          <w:tcPr>
            <w:tcW w:w="268" w:type="pct"/>
            <w:tcBorders>
              <w:top w:val="nil"/>
              <w:left w:val="nil"/>
              <w:bottom w:val="single" w:color="auto" w:sz="4" w:space="0"/>
              <w:right w:val="single" w:color="auto" w:sz="4" w:space="0"/>
            </w:tcBorders>
            <w:shd w:val="clear" w:color="auto" w:fill="auto"/>
            <w:noWrap/>
            <w:vAlign w:val="center"/>
          </w:tcPr>
          <w:p w14:paraId="4BB16F67">
            <w:pPr>
              <w:widowControl/>
              <w:jc w:val="center"/>
              <w:rPr>
                <w:sz w:val="15"/>
                <w:szCs w:val="15"/>
                <w:highlight w:val="none"/>
              </w:rPr>
            </w:pPr>
            <w:r>
              <w:rPr>
                <w:sz w:val="15"/>
                <w:szCs w:val="15"/>
                <w:highlight w:val="none"/>
              </w:rPr>
              <w:t>/</w:t>
            </w:r>
          </w:p>
        </w:tc>
      </w:tr>
      <w:tr w14:paraId="51F8DA28">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6553E333">
            <w:pPr>
              <w:widowControl/>
              <w:jc w:val="center"/>
              <w:rPr>
                <w:sz w:val="15"/>
                <w:szCs w:val="15"/>
                <w:highlight w:val="none"/>
              </w:rPr>
            </w:pPr>
            <w:r>
              <w:rPr>
                <w:sz w:val="15"/>
                <w:szCs w:val="15"/>
                <w:highlight w:val="none"/>
              </w:rPr>
              <w:t>2025.08.07</w:t>
            </w:r>
          </w:p>
        </w:tc>
        <w:tc>
          <w:tcPr>
            <w:tcW w:w="268" w:type="pct"/>
            <w:tcBorders>
              <w:top w:val="nil"/>
              <w:left w:val="nil"/>
              <w:bottom w:val="single" w:color="auto" w:sz="4" w:space="0"/>
              <w:right w:val="single" w:color="auto" w:sz="4" w:space="0"/>
            </w:tcBorders>
            <w:shd w:val="clear" w:color="auto" w:fill="auto"/>
            <w:noWrap/>
            <w:vAlign w:val="center"/>
          </w:tcPr>
          <w:p w14:paraId="5E400028">
            <w:pPr>
              <w:widowControl/>
              <w:jc w:val="center"/>
              <w:rPr>
                <w:sz w:val="15"/>
                <w:szCs w:val="15"/>
                <w:highlight w:val="none"/>
              </w:rPr>
            </w:pPr>
            <w:r>
              <w:rPr>
                <w:sz w:val="15"/>
                <w:szCs w:val="15"/>
                <w:highlight w:val="none"/>
              </w:rPr>
              <w:t>7.26</w:t>
            </w:r>
          </w:p>
        </w:tc>
        <w:tc>
          <w:tcPr>
            <w:tcW w:w="354" w:type="pct"/>
            <w:tcBorders>
              <w:top w:val="nil"/>
              <w:left w:val="nil"/>
              <w:bottom w:val="single" w:color="auto" w:sz="4" w:space="0"/>
              <w:right w:val="single" w:color="auto" w:sz="4" w:space="0"/>
            </w:tcBorders>
            <w:shd w:val="clear" w:color="auto" w:fill="auto"/>
            <w:noWrap/>
            <w:vAlign w:val="center"/>
          </w:tcPr>
          <w:p w14:paraId="5852D632">
            <w:pPr>
              <w:widowControl/>
              <w:jc w:val="center"/>
              <w:rPr>
                <w:sz w:val="15"/>
                <w:szCs w:val="15"/>
                <w:highlight w:val="none"/>
              </w:rPr>
            </w:pPr>
            <w:r>
              <w:rPr>
                <w:sz w:val="15"/>
                <w:szCs w:val="15"/>
                <w:highlight w:val="none"/>
              </w:rPr>
              <w:t>0.82</w:t>
            </w:r>
          </w:p>
        </w:tc>
        <w:tc>
          <w:tcPr>
            <w:tcW w:w="401" w:type="pct"/>
            <w:tcBorders>
              <w:top w:val="nil"/>
              <w:left w:val="nil"/>
              <w:bottom w:val="single" w:color="auto" w:sz="4" w:space="0"/>
              <w:right w:val="single" w:color="auto" w:sz="4" w:space="0"/>
            </w:tcBorders>
            <w:shd w:val="clear" w:color="auto" w:fill="auto"/>
            <w:noWrap/>
            <w:vAlign w:val="center"/>
          </w:tcPr>
          <w:p w14:paraId="7CF029EE">
            <w:pPr>
              <w:widowControl/>
              <w:jc w:val="center"/>
              <w:rPr>
                <w:sz w:val="15"/>
                <w:szCs w:val="15"/>
                <w:highlight w:val="none"/>
              </w:rPr>
            </w:pPr>
            <w:r>
              <w:rPr>
                <w:sz w:val="15"/>
                <w:szCs w:val="15"/>
                <w:highlight w:val="none"/>
              </w:rPr>
              <w:t>1595</w:t>
            </w:r>
          </w:p>
        </w:tc>
        <w:tc>
          <w:tcPr>
            <w:tcW w:w="382" w:type="pct"/>
            <w:tcBorders>
              <w:top w:val="nil"/>
              <w:left w:val="nil"/>
              <w:bottom w:val="single" w:color="auto" w:sz="4" w:space="0"/>
              <w:right w:val="single" w:color="auto" w:sz="4" w:space="0"/>
            </w:tcBorders>
            <w:shd w:val="clear" w:color="auto" w:fill="auto"/>
            <w:noWrap/>
            <w:vAlign w:val="center"/>
          </w:tcPr>
          <w:p w14:paraId="248593A3">
            <w:pPr>
              <w:widowControl/>
              <w:jc w:val="center"/>
              <w:rPr>
                <w:sz w:val="15"/>
                <w:szCs w:val="15"/>
                <w:highlight w:val="none"/>
              </w:rPr>
            </w:pPr>
            <w:r>
              <w:rPr>
                <w:sz w:val="15"/>
                <w:szCs w:val="15"/>
                <w:highlight w:val="none"/>
              </w:rPr>
              <w:t>11.50</w:t>
            </w:r>
          </w:p>
        </w:tc>
        <w:tc>
          <w:tcPr>
            <w:tcW w:w="368" w:type="pct"/>
            <w:tcBorders>
              <w:top w:val="nil"/>
              <w:left w:val="nil"/>
              <w:bottom w:val="single" w:color="auto" w:sz="4" w:space="0"/>
              <w:right w:val="single" w:color="auto" w:sz="4" w:space="0"/>
            </w:tcBorders>
            <w:shd w:val="clear" w:color="auto" w:fill="auto"/>
            <w:noWrap/>
            <w:vAlign w:val="center"/>
          </w:tcPr>
          <w:p w14:paraId="337D9794">
            <w:pPr>
              <w:widowControl/>
              <w:jc w:val="center"/>
              <w:rPr>
                <w:sz w:val="15"/>
                <w:szCs w:val="15"/>
                <w:highlight w:val="none"/>
              </w:rPr>
            </w:pPr>
            <w:r>
              <w:rPr>
                <w:sz w:val="15"/>
                <w:szCs w:val="15"/>
                <w:highlight w:val="none"/>
              </w:rPr>
              <w:t>0.15</w:t>
            </w:r>
          </w:p>
        </w:tc>
        <w:tc>
          <w:tcPr>
            <w:tcW w:w="368" w:type="pct"/>
            <w:tcBorders>
              <w:top w:val="nil"/>
              <w:left w:val="nil"/>
              <w:bottom w:val="single" w:color="auto" w:sz="4" w:space="0"/>
              <w:right w:val="single" w:color="auto" w:sz="4" w:space="0"/>
            </w:tcBorders>
            <w:shd w:val="clear" w:color="auto" w:fill="auto"/>
            <w:noWrap/>
            <w:vAlign w:val="center"/>
          </w:tcPr>
          <w:p w14:paraId="742CC78D">
            <w:pPr>
              <w:widowControl/>
              <w:jc w:val="center"/>
              <w:rPr>
                <w:sz w:val="15"/>
                <w:szCs w:val="15"/>
                <w:highlight w:val="none"/>
              </w:rPr>
            </w:pPr>
            <w:r>
              <w:rPr>
                <w:sz w:val="15"/>
                <w:szCs w:val="15"/>
                <w:highlight w:val="none"/>
              </w:rPr>
              <w:t>252.94</w:t>
            </w:r>
          </w:p>
        </w:tc>
        <w:tc>
          <w:tcPr>
            <w:tcW w:w="462" w:type="pct"/>
            <w:tcBorders>
              <w:top w:val="nil"/>
              <w:left w:val="nil"/>
              <w:bottom w:val="single" w:color="auto" w:sz="4" w:space="0"/>
              <w:right w:val="single" w:color="auto" w:sz="4" w:space="0"/>
            </w:tcBorders>
            <w:shd w:val="clear" w:color="auto" w:fill="auto"/>
            <w:noWrap/>
            <w:vAlign w:val="center"/>
          </w:tcPr>
          <w:p w14:paraId="74F074AA">
            <w:pPr>
              <w:widowControl/>
              <w:jc w:val="center"/>
              <w:rPr>
                <w:sz w:val="15"/>
                <w:szCs w:val="15"/>
                <w:highlight w:val="none"/>
              </w:rPr>
            </w:pPr>
            <w:r>
              <w:rPr>
                <w:sz w:val="15"/>
                <w:szCs w:val="15"/>
                <w:highlight w:val="none"/>
              </w:rPr>
              <w:t>5.06</w:t>
            </w:r>
          </w:p>
        </w:tc>
        <w:tc>
          <w:tcPr>
            <w:tcW w:w="462" w:type="pct"/>
            <w:tcBorders>
              <w:top w:val="nil"/>
              <w:left w:val="nil"/>
              <w:bottom w:val="single" w:color="auto" w:sz="4" w:space="0"/>
              <w:right w:val="single" w:color="auto" w:sz="4" w:space="0"/>
            </w:tcBorders>
            <w:shd w:val="clear" w:color="auto" w:fill="auto"/>
            <w:noWrap/>
            <w:vAlign w:val="center"/>
          </w:tcPr>
          <w:p w14:paraId="47B8951E">
            <w:pPr>
              <w:widowControl/>
              <w:jc w:val="center"/>
              <w:rPr>
                <w:sz w:val="15"/>
                <w:szCs w:val="15"/>
                <w:highlight w:val="none"/>
              </w:rPr>
            </w:pPr>
            <w:r>
              <w:rPr>
                <w:sz w:val="15"/>
                <w:szCs w:val="15"/>
                <w:highlight w:val="none"/>
              </w:rPr>
              <w:t>4.38</w:t>
            </w:r>
          </w:p>
        </w:tc>
        <w:tc>
          <w:tcPr>
            <w:tcW w:w="36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F3D8761">
            <w:pPr>
              <w:widowControl/>
              <w:jc w:val="center"/>
              <w:rPr>
                <w:sz w:val="15"/>
                <w:szCs w:val="15"/>
                <w:highlight w:val="none"/>
              </w:rPr>
            </w:pPr>
            <w:r>
              <w:rPr>
                <w:sz w:val="15"/>
                <w:szCs w:val="15"/>
                <w:highlight w:val="none"/>
              </w:rPr>
              <w:t>0.82</w:t>
            </w:r>
          </w:p>
        </w:tc>
        <w:tc>
          <w:tcPr>
            <w:tcW w:w="368" w:type="pct"/>
            <w:tcBorders>
              <w:top w:val="nil"/>
              <w:left w:val="nil"/>
              <w:bottom w:val="single" w:color="auto" w:sz="4" w:space="0"/>
              <w:right w:val="single" w:color="auto" w:sz="4" w:space="0"/>
            </w:tcBorders>
            <w:shd w:val="clear" w:color="auto" w:fill="auto"/>
            <w:noWrap/>
            <w:vAlign w:val="center"/>
          </w:tcPr>
          <w:p w14:paraId="467F41CB">
            <w:pPr>
              <w:widowControl/>
              <w:jc w:val="center"/>
              <w:rPr>
                <w:sz w:val="15"/>
                <w:szCs w:val="15"/>
                <w:highlight w:val="none"/>
              </w:rPr>
            </w:pPr>
            <w:r>
              <w:rPr>
                <w:sz w:val="15"/>
                <w:szCs w:val="15"/>
                <w:highlight w:val="none"/>
              </w:rPr>
              <w:t>0</w:t>
            </w:r>
          </w:p>
        </w:tc>
        <w:tc>
          <w:tcPr>
            <w:tcW w:w="425" w:type="pct"/>
            <w:tcBorders>
              <w:top w:val="nil"/>
              <w:left w:val="nil"/>
              <w:bottom w:val="single" w:color="auto" w:sz="4" w:space="0"/>
              <w:right w:val="single" w:color="auto" w:sz="4" w:space="0"/>
            </w:tcBorders>
            <w:shd w:val="clear" w:color="auto" w:fill="auto"/>
            <w:noWrap/>
            <w:vAlign w:val="center"/>
          </w:tcPr>
          <w:p w14:paraId="1B0BF35F">
            <w:pPr>
              <w:widowControl/>
              <w:jc w:val="center"/>
              <w:rPr>
                <w:sz w:val="15"/>
                <w:szCs w:val="15"/>
                <w:highlight w:val="none"/>
              </w:rPr>
            </w:pPr>
            <w:r>
              <w:rPr>
                <w:sz w:val="15"/>
                <w:szCs w:val="15"/>
                <w:highlight w:val="none"/>
              </w:rPr>
              <w:t>7</w:t>
            </w:r>
          </w:p>
        </w:tc>
        <w:tc>
          <w:tcPr>
            <w:tcW w:w="268" w:type="pct"/>
            <w:tcBorders>
              <w:top w:val="nil"/>
              <w:left w:val="nil"/>
              <w:bottom w:val="single" w:color="auto" w:sz="4" w:space="0"/>
              <w:right w:val="single" w:color="auto" w:sz="4" w:space="0"/>
            </w:tcBorders>
            <w:shd w:val="clear" w:color="auto" w:fill="auto"/>
            <w:noWrap/>
            <w:vAlign w:val="center"/>
          </w:tcPr>
          <w:p w14:paraId="34844932">
            <w:pPr>
              <w:widowControl/>
              <w:jc w:val="center"/>
              <w:rPr>
                <w:sz w:val="15"/>
                <w:szCs w:val="15"/>
                <w:highlight w:val="none"/>
              </w:rPr>
            </w:pPr>
            <w:r>
              <w:rPr>
                <w:sz w:val="15"/>
                <w:szCs w:val="15"/>
                <w:highlight w:val="none"/>
              </w:rPr>
              <w:t>/</w:t>
            </w:r>
          </w:p>
        </w:tc>
      </w:tr>
      <w:tr w14:paraId="16B3B825">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52D605F3">
            <w:pPr>
              <w:widowControl/>
              <w:jc w:val="center"/>
              <w:rPr>
                <w:sz w:val="15"/>
                <w:szCs w:val="15"/>
                <w:highlight w:val="none"/>
              </w:rPr>
            </w:pPr>
            <w:r>
              <w:rPr>
                <w:sz w:val="15"/>
                <w:szCs w:val="15"/>
                <w:highlight w:val="none"/>
              </w:rPr>
              <w:t>2025.08.14</w:t>
            </w:r>
          </w:p>
        </w:tc>
        <w:tc>
          <w:tcPr>
            <w:tcW w:w="268" w:type="pct"/>
            <w:tcBorders>
              <w:top w:val="nil"/>
              <w:left w:val="nil"/>
              <w:bottom w:val="single" w:color="auto" w:sz="4" w:space="0"/>
              <w:right w:val="single" w:color="auto" w:sz="4" w:space="0"/>
            </w:tcBorders>
            <w:shd w:val="clear" w:color="auto" w:fill="auto"/>
            <w:noWrap/>
            <w:vAlign w:val="center"/>
          </w:tcPr>
          <w:p w14:paraId="77AF17D0">
            <w:pPr>
              <w:widowControl/>
              <w:jc w:val="center"/>
              <w:rPr>
                <w:sz w:val="15"/>
                <w:szCs w:val="15"/>
                <w:highlight w:val="none"/>
              </w:rPr>
            </w:pPr>
            <w:r>
              <w:rPr>
                <w:sz w:val="15"/>
                <w:szCs w:val="15"/>
                <w:highlight w:val="none"/>
              </w:rPr>
              <w:t>7.35</w:t>
            </w:r>
          </w:p>
        </w:tc>
        <w:tc>
          <w:tcPr>
            <w:tcW w:w="354" w:type="pct"/>
            <w:tcBorders>
              <w:top w:val="nil"/>
              <w:left w:val="nil"/>
              <w:bottom w:val="single" w:color="auto" w:sz="4" w:space="0"/>
              <w:right w:val="single" w:color="auto" w:sz="4" w:space="0"/>
            </w:tcBorders>
            <w:shd w:val="clear" w:color="auto" w:fill="auto"/>
            <w:noWrap/>
            <w:vAlign w:val="center"/>
          </w:tcPr>
          <w:p w14:paraId="13316CEB">
            <w:pPr>
              <w:widowControl/>
              <w:jc w:val="center"/>
              <w:rPr>
                <w:sz w:val="15"/>
                <w:szCs w:val="15"/>
                <w:highlight w:val="none"/>
              </w:rPr>
            </w:pPr>
            <w:r>
              <w:rPr>
                <w:sz w:val="15"/>
                <w:szCs w:val="15"/>
                <w:highlight w:val="none"/>
              </w:rPr>
              <w:t>1.51</w:t>
            </w:r>
          </w:p>
        </w:tc>
        <w:tc>
          <w:tcPr>
            <w:tcW w:w="401" w:type="pct"/>
            <w:tcBorders>
              <w:top w:val="nil"/>
              <w:left w:val="nil"/>
              <w:bottom w:val="single" w:color="auto" w:sz="4" w:space="0"/>
              <w:right w:val="single" w:color="auto" w:sz="4" w:space="0"/>
            </w:tcBorders>
            <w:shd w:val="clear" w:color="auto" w:fill="auto"/>
            <w:noWrap/>
            <w:vAlign w:val="center"/>
          </w:tcPr>
          <w:p w14:paraId="6A2C2BA4">
            <w:pPr>
              <w:widowControl/>
              <w:jc w:val="center"/>
              <w:rPr>
                <w:sz w:val="15"/>
                <w:szCs w:val="15"/>
                <w:highlight w:val="none"/>
              </w:rPr>
            </w:pPr>
            <w:r>
              <w:rPr>
                <w:sz w:val="15"/>
                <w:szCs w:val="15"/>
                <w:highlight w:val="none"/>
              </w:rPr>
              <w:t>1880</w:t>
            </w:r>
          </w:p>
        </w:tc>
        <w:tc>
          <w:tcPr>
            <w:tcW w:w="382" w:type="pct"/>
            <w:tcBorders>
              <w:top w:val="nil"/>
              <w:left w:val="nil"/>
              <w:bottom w:val="single" w:color="auto" w:sz="4" w:space="0"/>
              <w:right w:val="single" w:color="auto" w:sz="4" w:space="0"/>
            </w:tcBorders>
            <w:shd w:val="clear" w:color="auto" w:fill="auto"/>
            <w:noWrap/>
            <w:vAlign w:val="center"/>
          </w:tcPr>
          <w:p w14:paraId="3B931C3A">
            <w:pPr>
              <w:widowControl/>
              <w:jc w:val="center"/>
              <w:rPr>
                <w:sz w:val="15"/>
                <w:szCs w:val="15"/>
                <w:highlight w:val="none"/>
              </w:rPr>
            </w:pPr>
            <w:r>
              <w:rPr>
                <w:sz w:val="15"/>
                <w:szCs w:val="15"/>
                <w:highlight w:val="none"/>
              </w:rPr>
              <w:t>17.50</w:t>
            </w:r>
          </w:p>
        </w:tc>
        <w:tc>
          <w:tcPr>
            <w:tcW w:w="368" w:type="pct"/>
            <w:tcBorders>
              <w:top w:val="nil"/>
              <w:left w:val="nil"/>
              <w:bottom w:val="single" w:color="auto" w:sz="4" w:space="0"/>
              <w:right w:val="single" w:color="auto" w:sz="4" w:space="0"/>
            </w:tcBorders>
            <w:shd w:val="clear" w:color="auto" w:fill="auto"/>
            <w:noWrap/>
            <w:vAlign w:val="center"/>
          </w:tcPr>
          <w:p w14:paraId="15AEBB42">
            <w:pPr>
              <w:widowControl/>
              <w:jc w:val="center"/>
              <w:rPr>
                <w:sz w:val="15"/>
                <w:szCs w:val="15"/>
                <w:highlight w:val="none"/>
              </w:rPr>
            </w:pPr>
            <w:r>
              <w:rPr>
                <w:sz w:val="15"/>
                <w:szCs w:val="15"/>
                <w:highlight w:val="none"/>
              </w:rPr>
              <w:t>0.36</w:t>
            </w:r>
          </w:p>
        </w:tc>
        <w:tc>
          <w:tcPr>
            <w:tcW w:w="368" w:type="pct"/>
            <w:tcBorders>
              <w:top w:val="nil"/>
              <w:left w:val="nil"/>
              <w:bottom w:val="single" w:color="auto" w:sz="4" w:space="0"/>
              <w:right w:val="single" w:color="auto" w:sz="4" w:space="0"/>
            </w:tcBorders>
            <w:shd w:val="clear" w:color="auto" w:fill="auto"/>
            <w:noWrap/>
            <w:vAlign w:val="center"/>
          </w:tcPr>
          <w:p w14:paraId="6B5292D0">
            <w:pPr>
              <w:widowControl/>
              <w:jc w:val="center"/>
              <w:rPr>
                <w:sz w:val="15"/>
                <w:szCs w:val="15"/>
                <w:highlight w:val="none"/>
              </w:rPr>
            </w:pPr>
            <w:r>
              <w:rPr>
                <w:sz w:val="15"/>
                <w:szCs w:val="15"/>
                <w:highlight w:val="none"/>
              </w:rPr>
              <w:t>241.36</w:t>
            </w:r>
          </w:p>
        </w:tc>
        <w:tc>
          <w:tcPr>
            <w:tcW w:w="462" w:type="pct"/>
            <w:tcBorders>
              <w:top w:val="nil"/>
              <w:left w:val="nil"/>
              <w:bottom w:val="single" w:color="auto" w:sz="4" w:space="0"/>
              <w:right w:val="single" w:color="auto" w:sz="4" w:space="0"/>
            </w:tcBorders>
            <w:shd w:val="clear" w:color="auto" w:fill="auto"/>
            <w:noWrap/>
            <w:vAlign w:val="center"/>
          </w:tcPr>
          <w:p w14:paraId="59D72C79">
            <w:pPr>
              <w:widowControl/>
              <w:jc w:val="center"/>
              <w:rPr>
                <w:sz w:val="15"/>
                <w:szCs w:val="15"/>
                <w:highlight w:val="none"/>
              </w:rPr>
            </w:pPr>
            <w:r>
              <w:rPr>
                <w:sz w:val="15"/>
                <w:szCs w:val="15"/>
                <w:highlight w:val="none"/>
              </w:rPr>
              <w:t>4.81</w:t>
            </w:r>
          </w:p>
        </w:tc>
        <w:tc>
          <w:tcPr>
            <w:tcW w:w="462" w:type="pct"/>
            <w:tcBorders>
              <w:top w:val="nil"/>
              <w:left w:val="nil"/>
              <w:bottom w:val="single" w:color="auto" w:sz="4" w:space="0"/>
              <w:right w:val="single" w:color="auto" w:sz="4" w:space="0"/>
            </w:tcBorders>
            <w:shd w:val="clear" w:color="auto" w:fill="auto"/>
            <w:noWrap/>
            <w:vAlign w:val="center"/>
          </w:tcPr>
          <w:p w14:paraId="2ED201FD">
            <w:pPr>
              <w:widowControl/>
              <w:jc w:val="center"/>
              <w:rPr>
                <w:sz w:val="15"/>
                <w:szCs w:val="15"/>
                <w:highlight w:val="none"/>
              </w:rPr>
            </w:pPr>
            <w:r>
              <w:rPr>
                <w:sz w:val="15"/>
                <w:szCs w:val="15"/>
                <w:highlight w:val="none"/>
              </w:rPr>
              <w:t>4.38</w:t>
            </w:r>
          </w:p>
        </w:tc>
        <w:tc>
          <w:tcPr>
            <w:tcW w:w="36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9A30D31">
            <w:pPr>
              <w:widowControl/>
              <w:jc w:val="center"/>
              <w:rPr>
                <w:sz w:val="15"/>
                <w:szCs w:val="15"/>
                <w:highlight w:val="none"/>
              </w:rPr>
            </w:pPr>
            <w:r>
              <w:rPr>
                <w:sz w:val="15"/>
                <w:szCs w:val="15"/>
                <w:highlight w:val="none"/>
              </w:rPr>
              <w:t>0.61</w:t>
            </w:r>
          </w:p>
        </w:tc>
        <w:tc>
          <w:tcPr>
            <w:tcW w:w="368" w:type="pct"/>
            <w:tcBorders>
              <w:top w:val="nil"/>
              <w:left w:val="nil"/>
              <w:bottom w:val="single" w:color="auto" w:sz="4" w:space="0"/>
              <w:right w:val="single" w:color="auto" w:sz="4" w:space="0"/>
            </w:tcBorders>
            <w:shd w:val="clear" w:color="auto" w:fill="auto"/>
            <w:noWrap/>
            <w:vAlign w:val="center"/>
          </w:tcPr>
          <w:p w14:paraId="0F3DF92E">
            <w:pPr>
              <w:widowControl/>
              <w:jc w:val="center"/>
              <w:rPr>
                <w:sz w:val="15"/>
                <w:szCs w:val="15"/>
                <w:highlight w:val="none"/>
              </w:rPr>
            </w:pPr>
            <w:r>
              <w:rPr>
                <w:sz w:val="15"/>
                <w:szCs w:val="15"/>
                <w:highlight w:val="none"/>
              </w:rPr>
              <w:t>0</w:t>
            </w:r>
          </w:p>
        </w:tc>
        <w:tc>
          <w:tcPr>
            <w:tcW w:w="425" w:type="pct"/>
            <w:tcBorders>
              <w:top w:val="nil"/>
              <w:left w:val="nil"/>
              <w:bottom w:val="single" w:color="auto" w:sz="4" w:space="0"/>
              <w:right w:val="single" w:color="auto" w:sz="4" w:space="0"/>
            </w:tcBorders>
            <w:shd w:val="clear" w:color="auto" w:fill="auto"/>
            <w:noWrap/>
            <w:vAlign w:val="center"/>
          </w:tcPr>
          <w:p w14:paraId="578D0E29">
            <w:pPr>
              <w:widowControl/>
              <w:jc w:val="center"/>
              <w:rPr>
                <w:sz w:val="15"/>
                <w:szCs w:val="15"/>
                <w:highlight w:val="none"/>
              </w:rPr>
            </w:pPr>
            <w:r>
              <w:rPr>
                <w:sz w:val="15"/>
                <w:szCs w:val="15"/>
                <w:highlight w:val="none"/>
              </w:rPr>
              <w:t>9</w:t>
            </w:r>
          </w:p>
        </w:tc>
        <w:tc>
          <w:tcPr>
            <w:tcW w:w="268" w:type="pct"/>
            <w:tcBorders>
              <w:top w:val="nil"/>
              <w:left w:val="nil"/>
              <w:bottom w:val="single" w:color="auto" w:sz="4" w:space="0"/>
              <w:right w:val="single" w:color="auto" w:sz="4" w:space="0"/>
            </w:tcBorders>
            <w:shd w:val="clear" w:color="auto" w:fill="auto"/>
            <w:noWrap/>
            <w:vAlign w:val="center"/>
          </w:tcPr>
          <w:p w14:paraId="59651A6D">
            <w:pPr>
              <w:widowControl/>
              <w:jc w:val="center"/>
              <w:rPr>
                <w:sz w:val="15"/>
                <w:szCs w:val="15"/>
                <w:highlight w:val="none"/>
              </w:rPr>
            </w:pPr>
            <w:r>
              <w:rPr>
                <w:sz w:val="15"/>
                <w:szCs w:val="15"/>
                <w:highlight w:val="none"/>
              </w:rPr>
              <w:t>/</w:t>
            </w:r>
          </w:p>
        </w:tc>
      </w:tr>
      <w:tr w14:paraId="081E62B6">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07AC102D">
            <w:pPr>
              <w:widowControl/>
              <w:jc w:val="center"/>
              <w:rPr>
                <w:sz w:val="15"/>
                <w:szCs w:val="15"/>
                <w:highlight w:val="none"/>
              </w:rPr>
            </w:pPr>
            <w:r>
              <w:rPr>
                <w:sz w:val="15"/>
                <w:szCs w:val="15"/>
                <w:highlight w:val="none"/>
              </w:rPr>
              <w:t>2025.08.21</w:t>
            </w:r>
          </w:p>
        </w:tc>
        <w:tc>
          <w:tcPr>
            <w:tcW w:w="268" w:type="pct"/>
            <w:tcBorders>
              <w:top w:val="nil"/>
              <w:left w:val="nil"/>
              <w:bottom w:val="single" w:color="auto" w:sz="4" w:space="0"/>
              <w:right w:val="single" w:color="auto" w:sz="4" w:space="0"/>
            </w:tcBorders>
            <w:shd w:val="clear" w:color="auto" w:fill="auto"/>
            <w:noWrap/>
            <w:vAlign w:val="center"/>
          </w:tcPr>
          <w:p w14:paraId="6EF552AE">
            <w:pPr>
              <w:widowControl/>
              <w:jc w:val="center"/>
              <w:rPr>
                <w:sz w:val="15"/>
                <w:szCs w:val="15"/>
                <w:highlight w:val="none"/>
              </w:rPr>
            </w:pPr>
            <w:r>
              <w:rPr>
                <w:sz w:val="15"/>
                <w:szCs w:val="15"/>
                <w:highlight w:val="none"/>
              </w:rPr>
              <w:t>7.29</w:t>
            </w:r>
          </w:p>
        </w:tc>
        <w:tc>
          <w:tcPr>
            <w:tcW w:w="354" w:type="pct"/>
            <w:tcBorders>
              <w:top w:val="nil"/>
              <w:left w:val="nil"/>
              <w:bottom w:val="single" w:color="auto" w:sz="4" w:space="0"/>
              <w:right w:val="single" w:color="auto" w:sz="4" w:space="0"/>
            </w:tcBorders>
            <w:shd w:val="clear" w:color="auto" w:fill="auto"/>
            <w:noWrap/>
            <w:vAlign w:val="center"/>
          </w:tcPr>
          <w:p w14:paraId="5471D03A">
            <w:pPr>
              <w:widowControl/>
              <w:jc w:val="center"/>
              <w:rPr>
                <w:sz w:val="15"/>
                <w:szCs w:val="15"/>
                <w:highlight w:val="none"/>
              </w:rPr>
            </w:pPr>
            <w:r>
              <w:rPr>
                <w:sz w:val="15"/>
                <w:szCs w:val="15"/>
                <w:highlight w:val="none"/>
              </w:rPr>
              <w:t>1.08</w:t>
            </w:r>
          </w:p>
        </w:tc>
        <w:tc>
          <w:tcPr>
            <w:tcW w:w="401" w:type="pct"/>
            <w:tcBorders>
              <w:top w:val="nil"/>
              <w:left w:val="nil"/>
              <w:bottom w:val="single" w:color="auto" w:sz="4" w:space="0"/>
              <w:right w:val="single" w:color="auto" w:sz="4" w:space="0"/>
            </w:tcBorders>
            <w:shd w:val="clear" w:color="auto" w:fill="auto"/>
            <w:noWrap/>
            <w:vAlign w:val="center"/>
          </w:tcPr>
          <w:p w14:paraId="2D4E1404">
            <w:pPr>
              <w:widowControl/>
              <w:jc w:val="center"/>
              <w:rPr>
                <w:sz w:val="15"/>
                <w:szCs w:val="15"/>
                <w:highlight w:val="none"/>
              </w:rPr>
            </w:pPr>
            <w:r>
              <w:rPr>
                <w:sz w:val="15"/>
                <w:szCs w:val="15"/>
                <w:highlight w:val="none"/>
              </w:rPr>
              <w:t>1446</w:t>
            </w:r>
          </w:p>
        </w:tc>
        <w:tc>
          <w:tcPr>
            <w:tcW w:w="382" w:type="pct"/>
            <w:tcBorders>
              <w:top w:val="nil"/>
              <w:left w:val="nil"/>
              <w:bottom w:val="single" w:color="auto" w:sz="4" w:space="0"/>
              <w:right w:val="single" w:color="auto" w:sz="4" w:space="0"/>
            </w:tcBorders>
            <w:shd w:val="clear" w:color="auto" w:fill="auto"/>
            <w:noWrap/>
            <w:vAlign w:val="center"/>
          </w:tcPr>
          <w:p w14:paraId="2762BA37">
            <w:pPr>
              <w:widowControl/>
              <w:jc w:val="center"/>
              <w:rPr>
                <w:sz w:val="15"/>
                <w:szCs w:val="15"/>
                <w:highlight w:val="none"/>
              </w:rPr>
            </w:pPr>
            <w:r>
              <w:rPr>
                <w:sz w:val="15"/>
                <w:szCs w:val="15"/>
                <w:highlight w:val="none"/>
              </w:rPr>
              <w:t>14.3</w:t>
            </w:r>
          </w:p>
        </w:tc>
        <w:tc>
          <w:tcPr>
            <w:tcW w:w="368" w:type="pct"/>
            <w:tcBorders>
              <w:top w:val="nil"/>
              <w:left w:val="nil"/>
              <w:bottom w:val="single" w:color="auto" w:sz="4" w:space="0"/>
              <w:right w:val="single" w:color="auto" w:sz="4" w:space="0"/>
            </w:tcBorders>
            <w:shd w:val="clear" w:color="auto" w:fill="auto"/>
            <w:noWrap/>
            <w:vAlign w:val="center"/>
          </w:tcPr>
          <w:p w14:paraId="118EA4E1">
            <w:pPr>
              <w:widowControl/>
              <w:jc w:val="center"/>
              <w:rPr>
                <w:sz w:val="15"/>
                <w:szCs w:val="15"/>
                <w:highlight w:val="none"/>
              </w:rPr>
            </w:pPr>
            <w:r>
              <w:rPr>
                <w:sz w:val="15"/>
                <w:szCs w:val="15"/>
                <w:highlight w:val="none"/>
              </w:rPr>
              <w:t>0.08</w:t>
            </w:r>
          </w:p>
        </w:tc>
        <w:tc>
          <w:tcPr>
            <w:tcW w:w="368" w:type="pct"/>
            <w:tcBorders>
              <w:top w:val="nil"/>
              <w:left w:val="nil"/>
              <w:bottom w:val="single" w:color="auto" w:sz="4" w:space="0"/>
              <w:right w:val="single" w:color="auto" w:sz="4" w:space="0"/>
            </w:tcBorders>
            <w:shd w:val="clear" w:color="auto" w:fill="auto"/>
            <w:noWrap/>
            <w:vAlign w:val="center"/>
          </w:tcPr>
          <w:p w14:paraId="2857F780">
            <w:pPr>
              <w:widowControl/>
              <w:jc w:val="center"/>
              <w:rPr>
                <w:sz w:val="15"/>
                <w:szCs w:val="15"/>
                <w:highlight w:val="none"/>
              </w:rPr>
            </w:pPr>
            <w:r>
              <w:rPr>
                <w:sz w:val="15"/>
                <w:szCs w:val="15"/>
                <w:highlight w:val="none"/>
              </w:rPr>
              <w:t>194.20</w:t>
            </w:r>
          </w:p>
        </w:tc>
        <w:tc>
          <w:tcPr>
            <w:tcW w:w="462" w:type="pct"/>
            <w:tcBorders>
              <w:top w:val="nil"/>
              <w:left w:val="nil"/>
              <w:bottom w:val="single" w:color="auto" w:sz="4" w:space="0"/>
              <w:right w:val="single" w:color="auto" w:sz="4" w:space="0"/>
            </w:tcBorders>
            <w:shd w:val="clear" w:color="auto" w:fill="auto"/>
            <w:noWrap/>
            <w:vAlign w:val="center"/>
          </w:tcPr>
          <w:p w14:paraId="51BE9FF9">
            <w:pPr>
              <w:widowControl/>
              <w:jc w:val="center"/>
              <w:rPr>
                <w:sz w:val="15"/>
                <w:szCs w:val="15"/>
                <w:highlight w:val="none"/>
              </w:rPr>
            </w:pPr>
            <w:r>
              <w:rPr>
                <w:sz w:val="15"/>
                <w:szCs w:val="15"/>
                <w:highlight w:val="none"/>
              </w:rPr>
              <w:t>4.71</w:t>
            </w:r>
          </w:p>
        </w:tc>
        <w:tc>
          <w:tcPr>
            <w:tcW w:w="462" w:type="pct"/>
            <w:tcBorders>
              <w:top w:val="nil"/>
              <w:left w:val="nil"/>
              <w:bottom w:val="single" w:color="auto" w:sz="4" w:space="0"/>
              <w:right w:val="single" w:color="auto" w:sz="4" w:space="0"/>
            </w:tcBorders>
            <w:shd w:val="clear" w:color="auto" w:fill="auto"/>
            <w:noWrap/>
            <w:vAlign w:val="center"/>
          </w:tcPr>
          <w:p w14:paraId="190BEF52">
            <w:pPr>
              <w:widowControl/>
              <w:jc w:val="center"/>
              <w:rPr>
                <w:sz w:val="15"/>
                <w:szCs w:val="15"/>
                <w:highlight w:val="none"/>
              </w:rPr>
            </w:pPr>
            <w:r>
              <w:rPr>
                <w:sz w:val="15"/>
                <w:szCs w:val="15"/>
                <w:highlight w:val="none"/>
              </w:rPr>
              <w:t>4.07</w:t>
            </w:r>
          </w:p>
        </w:tc>
        <w:tc>
          <w:tcPr>
            <w:tcW w:w="36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9E8EAC9">
            <w:pPr>
              <w:widowControl/>
              <w:jc w:val="center"/>
              <w:rPr>
                <w:sz w:val="15"/>
                <w:szCs w:val="15"/>
                <w:highlight w:val="none"/>
              </w:rPr>
            </w:pPr>
            <w:r>
              <w:rPr>
                <w:sz w:val="15"/>
                <w:szCs w:val="15"/>
                <w:highlight w:val="none"/>
              </w:rPr>
              <w:t>0.87</w:t>
            </w:r>
          </w:p>
        </w:tc>
        <w:tc>
          <w:tcPr>
            <w:tcW w:w="368" w:type="pct"/>
            <w:tcBorders>
              <w:top w:val="nil"/>
              <w:left w:val="nil"/>
              <w:bottom w:val="single" w:color="auto" w:sz="4" w:space="0"/>
              <w:right w:val="single" w:color="auto" w:sz="4" w:space="0"/>
            </w:tcBorders>
            <w:shd w:val="clear" w:color="auto" w:fill="auto"/>
            <w:noWrap/>
            <w:vAlign w:val="center"/>
          </w:tcPr>
          <w:p w14:paraId="77842497">
            <w:pPr>
              <w:widowControl/>
              <w:jc w:val="center"/>
              <w:rPr>
                <w:sz w:val="15"/>
                <w:szCs w:val="15"/>
                <w:highlight w:val="none"/>
              </w:rPr>
            </w:pPr>
            <w:r>
              <w:rPr>
                <w:sz w:val="15"/>
                <w:szCs w:val="15"/>
                <w:highlight w:val="none"/>
              </w:rPr>
              <w:t>0</w:t>
            </w:r>
          </w:p>
        </w:tc>
        <w:tc>
          <w:tcPr>
            <w:tcW w:w="425" w:type="pct"/>
            <w:tcBorders>
              <w:top w:val="nil"/>
              <w:left w:val="nil"/>
              <w:bottom w:val="single" w:color="auto" w:sz="4" w:space="0"/>
              <w:right w:val="single" w:color="auto" w:sz="4" w:space="0"/>
            </w:tcBorders>
            <w:shd w:val="clear" w:color="auto" w:fill="auto"/>
            <w:noWrap/>
            <w:vAlign w:val="center"/>
          </w:tcPr>
          <w:p w14:paraId="237CB390">
            <w:pPr>
              <w:widowControl/>
              <w:jc w:val="center"/>
              <w:rPr>
                <w:sz w:val="15"/>
                <w:szCs w:val="15"/>
                <w:highlight w:val="none"/>
              </w:rPr>
            </w:pPr>
            <w:r>
              <w:rPr>
                <w:sz w:val="15"/>
                <w:szCs w:val="15"/>
                <w:highlight w:val="none"/>
              </w:rPr>
              <w:t>7</w:t>
            </w:r>
          </w:p>
        </w:tc>
        <w:tc>
          <w:tcPr>
            <w:tcW w:w="268" w:type="pct"/>
            <w:tcBorders>
              <w:top w:val="nil"/>
              <w:left w:val="nil"/>
              <w:bottom w:val="single" w:color="auto" w:sz="4" w:space="0"/>
              <w:right w:val="single" w:color="auto" w:sz="4" w:space="0"/>
            </w:tcBorders>
            <w:shd w:val="clear" w:color="auto" w:fill="auto"/>
            <w:noWrap/>
            <w:vAlign w:val="center"/>
          </w:tcPr>
          <w:p w14:paraId="020154C9">
            <w:pPr>
              <w:widowControl/>
              <w:jc w:val="center"/>
              <w:rPr>
                <w:sz w:val="15"/>
                <w:szCs w:val="15"/>
                <w:highlight w:val="none"/>
              </w:rPr>
            </w:pPr>
            <w:r>
              <w:rPr>
                <w:sz w:val="15"/>
                <w:szCs w:val="15"/>
                <w:highlight w:val="none"/>
              </w:rPr>
              <w:t>/</w:t>
            </w:r>
          </w:p>
        </w:tc>
      </w:tr>
      <w:tr w14:paraId="3E9CE25A">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10BDA2BC">
            <w:pPr>
              <w:widowControl/>
              <w:jc w:val="center"/>
              <w:rPr>
                <w:sz w:val="15"/>
                <w:szCs w:val="15"/>
                <w:highlight w:val="none"/>
              </w:rPr>
            </w:pPr>
            <w:r>
              <w:rPr>
                <w:sz w:val="15"/>
                <w:szCs w:val="15"/>
                <w:highlight w:val="none"/>
              </w:rPr>
              <w:t>2025.08.28</w:t>
            </w:r>
          </w:p>
        </w:tc>
        <w:tc>
          <w:tcPr>
            <w:tcW w:w="268" w:type="pct"/>
            <w:tcBorders>
              <w:top w:val="nil"/>
              <w:left w:val="nil"/>
              <w:bottom w:val="single" w:color="auto" w:sz="4" w:space="0"/>
              <w:right w:val="single" w:color="auto" w:sz="4" w:space="0"/>
            </w:tcBorders>
            <w:shd w:val="clear" w:color="auto" w:fill="auto"/>
            <w:noWrap/>
            <w:vAlign w:val="center"/>
          </w:tcPr>
          <w:p w14:paraId="5618BCC2">
            <w:pPr>
              <w:widowControl/>
              <w:jc w:val="center"/>
              <w:rPr>
                <w:sz w:val="15"/>
                <w:szCs w:val="15"/>
                <w:highlight w:val="none"/>
              </w:rPr>
            </w:pPr>
            <w:r>
              <w:rPr>
                <w:sz w:val="15"/>
                <w:szCs w:val="15"/>
                <w:highlight w:val="none"/>
              </w:rPr>
              <w:t>7.27</w:t>
            </w:r>
          </w:p>
        </w:tc>
        <w:tc>
          <w:tcPr>
            <w:tcW w:w="354" w:type="pct"/>
            <w:tcBorders>
              <w:top w:val="nil"/>
              <w:left w:val="nil"/>
              <w:bottom w:val="single" w:color="auto" w:sz="4" w:space="0"/>
              <w:right w:val="single" w:color="auto" w:sz="4" w:space="0"/>
            </w:tcBorders>
            <w:shd w:val="clear" w:color="auto" w:fill="auto"/>
            <w:noWrap/>
            <w:vAlign w:val="center"/>
          </w:tcPr>
          <w:p w14:paraId="0E0E5175">
            <w:pPr>
              <w:widowControl/>
              <w:jc w:val="center"/>
              <w:rPr>
                <w:sz w:val="15"/>
                <w:szCs w:val="15"/>
                <w:highlight w:val="none"/>
              </w:rPr>
            </w:pPr>
            <w:r>
              <w:rPr>
                <w:sz w:val="15"/>
                <w:szCs w:val="15"/>
                <w:highlight w:val="none"/>
              </w:rPr>
              <w:t>1.18</w:t>
            </w:r>
          </w:p>
        </w:tc>
        <w:tc>
          <w:tcPr>
            <w:tcW w:w="401" w:type="pct"/>
            <w:tcBorders>
              <w:top w:val="nil"/>
              <w:left w:val="nil"/>
              <w:bottom w:val="single" w:color="auto" w:sz="4" w:space="0"/>
              <w:right w:val="single" w:color="auto" w:sz="4" w:space="0"/>
            </w:tcBorders>
            <w:shd w:val="clear" w:color="auto" w:fill="auto"/>
            <w:noWrap/>
            <w:vAlign w:val="center"/>
          </w:tcPr>
          <w:p w14:paraId="5657B1BF">
            <w:pPr>
              <w:widowControl/>
              <w:jc w:val="center"/>
              <w:rPr>
                <w:sz w:val="15"/>
                <w:szCs w:val="15"/>
                <w:highlight w:val="none"/>
              </w:rPr>
            </w:pPr>
            <w:r>
              <w:rPr>
                <w:sz w:val="15"/>
                <w:szCs w:val="15"/>
                <w:highlight w:val="none"/>
              </w:rPr>
              <w:t>1664</w:t>
            </w:r>
          </w:p>
        </w:tc>
        <w:tc>
          <w:tcPr>
            <w:tcW w:w="382" w:type="pct"/>
            <w:tcBorders>
              <w:top w:val="nil"/>
              <w:left w:val="nil"/>
              <w:bottom w:val="single" w:color="auto" w:sz="4" w:space="0"/>
              <w:right w:val="single" w:color="auto" w:sz="4" w:space="0"/>
            </w:tcBorders>
            <w:shd w:val="clear" w:color="auto" w:fill="auto"/>
            <w:noWrap/>
            <w:vAlign w:val="center"/>
          </w:tcPr>
          <w:p w14:paraId="7D4AC7B9">
            <w:pPr>
              <w:widowControl/>
              <w:jc w:val="center"/>
              <w:rPr>
                <w:sz w:val="15"/>
                <w:szCs w:val="15"/>
                <w:highlight w:val="none"/>
              </w:rPr>
            </w:pPr>
            <w:r>
              <w:rPr>
                <w:sz w:val="15"/>
                <w:szCs w:val="15"/>
                <w:highlight w:val="none"/>
              </w:rPr>
              <w:t>11.5</w:t>
            </w:r>
          </w:p>
        </w:tc>
        <w:tc>
          <w:tcPr>
            <w:tcW w:w="368" w:type="pct"/>
            <w:tcBorders>
              <w:top w:val="nil"/>
              <w:left w:val="nil"/>
              <w:bottom w:val="single" w:color="auto" w:sz="4" w:space="0"/>
              <w:right w:val="single" w:color="auto" w:sz="4" w:space="0"/>
            </w:tcBorders>
            <w:shd w:val="clear" w:color="auto" w:fill="auto"/>
            <w:noWrap/>
            <w:vAlign w:val="center"/>
          </w:tcPr>
          <w:p w14:paraId="38DCEE28">
            <w:pPr>
              <w:widowControl/>
              <w:jc w:val="center"/>
              <w:rPr>
                <w:sz w:val="15"/>
                <w:szCs w:val="15"/>
                <w:highlight w:val="none"/>
              </w:rPr>
            </w:pPr>
            <w:r>
              <w:rPr>
                <w:sz w:val="15"/>
                <w:szCs w:val="15"/>
                <w:highlight w:val="none"/>
              </w:rPr>
              <w:t>0.09</w:t>
            </w:r>
          </w:p>
        </w:tc>
        <w:tc>
          <w:tcPr>
            <w:tcW w:w="368" w:type="pct"/>
            <w:tcBorders>
              <w:top w:val="nil"/>
              <w:left w:val="nil"/>
              <w:bottom w:val="single" w:color="auto" w:sz="4" w:space="0"/>
              <w:right w:val="single" w:color="auto" w:sz="4" w:space="0"/>
            </w:tcBorders>
            <w:shd w:val="clear" w:color="auto" w:fill="auto"/>
            <w:noWrap/>
            <w:vAlign w:val="center"/>
          </w:tcPr>
          <w:p w14:paraId="0EA94861">
            <w:pPr>
              <w:widowControl/>
              <w:jc w:val="center"/>
              <w:rPr>
                <w:sz w:val="15"/>
                <w:szCs w:val="15"/>
                <w:highlight w:val="none"/>
              </w:rPr>
            </w:pPr>
            <w:r>
              <w:rPr>
                <w:sz w:val="15"/>
                <w:szCs w:val="15"/>
                <w:highlight w:val="none"/>
              </w:rPr>
              <w:t>284.32</w:t>
            </w:r>
          </w:p>
        </w:tc>
        <w:tc>
          <w:tcPr>
            <w:tcW w:w="462" w:type="pct"/>
            <w:tcBorders>
              <w:top w:val="nil"/>
              <w:left w:val="nil"/>
              <w:bottom w:val="single" w:color="auto" w:sz="4" w:space="0"/>
              <w:right w:val="single" w:color="auto" w:sz="4" w:space="0"/>
            </w:tcBorders>
            <w:shd w:val="clear" w:color="auto" w:fill="auto"/>
            <w:noWrap/>
            <w:vAlign w:val="center"/>
          </w:tcPr>
          <w:p w14:paraId="0F4A6E88">
            <w:pPr>
              <w:widowControl/>
              <w:jc w:val="center"/>
              <w:rPr>
                <w:sz w:val="15"/>
                <w:szCs w:val="15"/>
                <w:highlight w:val="none"/>
              </w:rPr>
            </w:pPr>
            <w:r>
              <w:rPr>
                <w:sz w:val="15"/>
                <w:szCs w:val="15"/>
                <w:highlight w:val="none"/>
              </w:rPr>
              <w:t>5.10</w:t>
            </w:r>
          </w:p>
        </w:tc>
        <w:tc>
          <w:tcPr>
            <w:tcW w:w="462" w:type="pct"/>
            <w:tcBorders>
              <w:top w:val="nil"/>
              <w:left w:val="nil"/>
              <w:bottom w:val="single" w:color="auto" w:sz="4" w:space="0"/>
              <w:right w:val="single" w:color="auto" w:sz="4" w:space="0"/>
            </w:tcBorders>
            <w:shd w:val="clear" w:color="auto" w:fill="auto"/>
            <w:noWrap/>
            <w:vAlign w:val="center"/>
          </w:tcPr>
          <w:p w14:paraId="357F2136">
            <w:pPr>
              <w:widowControl/>
              <w:jc w:val="center"/>
              <w:rPr>
                <w:sz w:val="15"/>
                <w:szCs w:val="15"/>
                <w:highlight w:val="none"/>
              </w:rPr>
            </w:pPr>
            <w:r>
              <w:rPr>
                <w:sz w:val="15"/>
                <w:szCs w:val="15"/>
                <w:highlight w:val="none"/>
              </w:rPr>
              <w:t>4.48</w:t>
            </w:r>
          </w:p>
        </w:tc>
        <w:tc>
          <w:tcPr>
            <w:tcW w:w="36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929EB3B">
            <w:pPr>
              <w:widowControl/>
              <w:jc w:val="center"/>
              <w:rPr>
                <w:sz w:val="15"/>
                <w:szCs w:val="15"/>
                <w:highlight w:val="none"/>
              </w:rPr>
            </w:pPr>
            <w:r>
              <w:rPr>
                <w:sz w:val="15"/>
                <w:szCs w:val="15"/>
                <w:highlight w:val="none"/>
              </w:rPr>
              <w:t>0.74</w:t>
            </w:r>
          </w:p>
        </w:tc>
        <w:tc>
          <w:tcPr>
            <w:tcW w:w="368" w:type="pct"/>
            <w:tcBorders>
              <w:top w:val="nil"/>
              <w:left w:val="nil"/>
              <w:bottom w:val="single" w:color="auto" w:sz="4" w:space="0"/>
              <w:right w:val="single" w:color="auto" w:sz="4" w:space="0"/>
            </w:tcBorders>
            <w:shd w:val="clear" w:color="auto" w:fill="auto"/>
            <w:noWrap/>
            <w:vAlign w:val="center"/>
          </w:tcPr>
          <w:p w14:paraId="083235BE">
            <w:pPr>
              <w:widowControl/>
              <w:jc w:val="center"/>
              <w:rPr>
                <w:sz w:val="15"/>
                <w:szCs w:val="15"/>
                <w:highlight w:val="none"/>
              </w:rPr>
            </w:pPr>
            <w:r>
              <w:rPr>
                <w:sz w:val="15"/>
                <w:szCs w:val="15"/>
                <w:highlight w:val="none"/>
              </w:rPr>
              <w:t>0</w:t>
            </w:r>
          </w:p>
        </w:tc>
        <w:tc>
          <w:tcPr>
            <w:tcW w:w="425" w:type="pct"/>
            <w:tcBorders>
              <w:top w:val="nil"/>
              <w:left w:val="nil"/>
              <w:bottom w:val="single" w:color="auto" w:sz="4" w:space="0"/>
              <w:right w:val="single" w:color="auto" w:sz="4" w:space="0"/>
            </w:tcBorders>
            <w:shd w:val="clear" w:color="auto" w:fill="auto"/>
            <w:noWrap/>
            <w:vAlign w:val="center"/>
          </w:tcPr>
          <w:p w14:paraId="09445E71">
            <w:pPr>
              <w:widowControl/>
              <w:jc w:val="center"/>
              <w:rPr>
                <w:sz w:val="15"/>
                <w:szCs w:val="15"/>
                <w:highlight w:val="none"/>
              </w:rPr>
            </w:pPr>
            <w:r>
              <w:rPr>
                <w:sz w:val="15"/>
                <w:szCs w:val="15"/>
                <w:highlight w:val="none"/>
              </w:rPr>
              <w:t>7</w:t>
            </w:r>
          </w:p>
        </w:tc>
        <w:tc>
          <w:tcPr>
            <w:tcW w:w="268" w:type="pct"/>
            <w:tcBorders>
              <w:top w:val="nil"/>
              <w:left w:val="nil"/>
              <w:bottom w:val="single" w:color="auto" w:sz="4" w:space="0"/>
              <w:right w:val="single" w:color="auto" w:sz="4" w:space="0"/>
            </w:tcBorders>
            <w:shd w:val="clear" w:color="auto" w:fill="auto"/>
            <w:noWrap/>
            <w:vAlign w:val="center"/>
          </w:tcPr>
          <w:p w14:paraId="1EE7D32B">
            <w:pPr>
              <w:widowControl/>
              <w:jc w:val="center"/>
              <w:rPr>
                <w:sz w:val="15"/>
                <w:szCs w:val="15"/>
                <w:highlight w:val="none"/>
              </w:rPr>
            </w:pPr>
            <w:r>
              <w:rPr>
                <w:sz w:val="15"/>
                <w:szCs w:val="15"/>
                <w:highlight w:val="none"/>
              </w:rPr>
              <w:t>0.05</w:t>
            </w:r>
          </w:p>
        </w:tc>
      </w:tr>
      <w:tr w14:paraId="0C883C9C">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23A46659">
            <w:pPr>
              <w:widowControl/>
              <w:jc w:val="center"/>
              <w:rPr>
                <w:sz w:val="15"/>
                <w:szCs w:val="15"/>
                <w:highlight w:val="none"/>
              </w:rPr>
            </w:pPr>
            <w:r>
              <w:rPr>
                <w:sz w:val="15"/>
                <w:szCs w:val="15"/>
                <w:highlight w:val="none"/>
              </w:rPr>
              <w:t>2025.09.04</w:t>
            </w:r>
          </w:p>
        </w:tc>
        <w:tc>
          <w:tcPr>
            <w:tcW w:w="268" w:type="pct"/>
            <w:tcBorders>
              <w:top w:val="nil"/>
              <w:left w:val="nil"/>
              <w:bottom w:val="single" w:color="auto" w:sz="4" w:space="0"/>
              <w:right w:val="single" w:color="auto" w:sz="4" w:space="0"/>
            </w:tcBorders>
            <w:shd w:val="clear" w:color="auto" w:fill="auto"/>
            <w:noWrap/>
            <w:vAlign w:val="center"/>
          </w:tcPr>
          <w:p w14:paraId="74F71B07">
            <w:pPr>
              <w:widowControl/>
              <w:jc w:val="center"/>
              <w:rPr>
                <w:sz w:val="15"/>
                <w:szCs w:val="15"/>
                <w:highlight w:val="none"/>
              </w:rPr>
            </w:pPr>
            <w:r>
              <w:rPr>
                <w:sz w:val="15"/>
                <w:szCs w:val="15"/>
                <w:highlight w:val="none"/>
              </w:rPr>
              <w:t>7.60</w:t>
            </w:r>
          </w:p>
        </w:tc>
        <w:tc>
          <w:tcPr>
            <w:tcW w:w="354" w:type="pct"/>
            <w:tcBorders>
              <w:top w:val="nil"/>
              <w:left w:val="nil"/>
              <w:bottom w:val="single" w:color="auto" w:sz="4" w:space="0"/>
              <w:right w:val="single" w:color="auto" w:sz="4" w:space="0"/>
            </w:tcBorders>
            <w:shd w:val="clear" w:color="auto" w:fill="auto"/>
            <w:noWrap/>
            <w:vAlign w:val="center"/>
          </w:tcPr>
          <w:p w14:paraId="46D4CC4F">
            <w:pPr>
              <w:widowControl/>
              <w:jc w:val="center"/>
              <w:rPr>
                <w:sz w:val="15"/>
                <w:szCs w:val="15"/>
                <w:highlight w:val="none"/>
              </w:rPr>
            </w:pPr>
            <w:r>
              <w:rPr>
                <w:sz w:val="15"/>
                <w:szCs w:val="15"/>
                <w:highlight w:val="none"/>
              </w:rPr>
              <w:t>2.06</w:t>
            </w:r>
          </w:p>
        </w:tc>
        <w:tc>
          <w:tcPr>
            <w:tcW w:w="401" w:type="pct"/>
            <w:tcBorders>
              <w:top w:val="nil"/>
              <w:left w:val="nil"/>
              <w:bottom w:val="single" w:color="auto" w:sz="4" w:space="0"/>
              <w:right w:val="single" w:color="auto" w:sz="4" w:space="0"/>
            </w:tcBorders>
            <w:shd w:val="clear" w:color="auto" w:fill="auto"/>
            <w:noWrap/>
            <w:vAlign w:val="center"/>
          </w:tcPr>
          <w:p w14:paraId="6CAEDAC6">
            <w:pPr>
              <w:widowControl/>
              <w:jc w:val="center"/>
              <w:rPr>
                <w:sz w:val="15"/>
                <w:szCs w:val="15"/>
                <w:highlight w:val="none"/>
              </w:rPr>
            </w:pPr>
            <w:r>
              <w:rPr>
                <w:sz w:val="15"/>
                <w:szCs w:val="15"/>
                <w:highlight w:val="none"/>
              </w:rPr>
              <w:t>1669</w:t>
            </w:r>
          </w:p>
        </w:tc>
        <w:tc>
          <w:tcPr>
            <w:tcW w:w="382" w:type="pct"/>
            <w:tcBorders>
              <w:top w:val="nil"/>
              <w:left w:val="nil"/>
              <w:bottom w:val="single" w:color="auto" w:sz="4" w:space="0"/>
              <w:right w:val="single" w:color="auto" w:sz="4" w:space="0"/>
            </w:tcBorders>
            <w:shd w:val="clear" w:color="auto" w:fill="auto"/>
            <w:noWrap/>
            <w:vAlign w:val="center"/>
          </w:tcPr>
          <w:p w14:paraId="0B0BC33C">
            <w:pPr>
              <w:widowControl/>
              <w:jc w:val="center"/>
              <w:rPr>
                <w:sz w:val="15"/>
                <w:szCs w:val="15"/>
                <w:highlight w:val="none"/>
              </w:rPr>
            </w:pPr>
            <w:r>
              <w:rPr>
                <w:sz w:val="15"/>
                <w:szCs w:val="15"/>
                <w:highlight w:val="none"/>
              </w:rPr>
              <w:t>10.2</w:t>
            </w:r>
          </w:p>
        </w:tc>
        <w:tc>
          <w:tcPr>
            <w:tcW w:w="368" w:type="pct"/>
            <w:tcBorders>
              <w:top w:val="nil"/>
              <w:left w:val="nil"/>
              <w:bottom w:val="single" w:color="auto" w:sz="4" w:space="0"/>
              <w:right w:val="single" w:color="auto" w:sz="4" w:space="0"/>
            </w:tcBorders>
            <w:shd w:val="clear" w:color="auto" w:fill="auto"/>
            <w:noWrap/>
            <w:vAlign w:val="center"/>
          </w:tcPr>
          <w:p w14:paraId="5D4D9E73">
            <w:pPr>
              <w:widowControl/>
              <w:jc w:val="center"/>
              <w:rPr>
                <w:sz w:val="15"/>
                <w:szCs w:val="15"/>
                <w:highlight w:val="none"/>
              </w:rPr>
            </w:pPr>
            <w:r>
              <w:rPr>
                <w:sz w:val="15"/>
                <w:szCs w:val="15"/>
                <w:highlight w:val="none"/>
              </w:rPr>
              <w:t>0.11</w:t>
            </w:r>
          </w:p>
        </w:tc>
        <w:tc>
          <w:tcPr>
            <w:tcW w:w="368" w:type="pct"/>
            <w:tcBorders>
              <w:top w:val="nil"/>
              <w:left w:val="nil"/>
              <w:bottom w:val="single" w:color="auto" w:sz="4" w:space="0"/>
              <w:right w:val="single" w:color="auto" w:sz="4" w:space="0"/>
            </w:tcBorders>
            <w:shd w:val="clear" w:color="auto" w:fill="auto"/>
            <w:noWrap/>
            <w:vAlign w:val="center"/>
          </w:tcPr>
          <w:p w14:paraId="05C490D3">
            <w:pPr>
              <w:widowControl/>
              <w:jc w:val="center"/>
              <w:rPr>
                <w:sz w:val="15"/>
                <w:szCs w:val="15"/>
                <w:highlight w:val="none"/>
              </w:rPr>
            </w:pPr>
            <w:r>
              <w:rPr>
                <w:sz w:val="15"/>
                <w:szCs w:val="15"/>
                <w:highlight w:val="none"/>
              </w:rPr>
              <w:t>251.49</w:t>
            </w:r>
          </w:p>
        </w:tc>
        <w:tc>
          <w:tcPr>
            <w:tcW w:w="462" w:type="pct"/>
            <w:tcBorders>
              <w:top w:val="nil"/>
              <w:left w:val="nil"/>
              <w:bottom w:val="single" w:color="auto" w:sz="4" w:space="0"/>
              <w:right w:val="single" w:color="auto" w:sz="4" w:space="0"/>
            </w:tcBorders>
            <w:shd w:val="clear" w:color="auto" w:fill="auto"/>
            <w:noWrap/>
            <w:vAlign w:val="center"/>
          </w:tcPr>
          <w:p w14:paraId="60F4A978">
            <w:pPr>
              <w:widowControl/>
              <w:jc w:val="center"/>
              <w:rPr>
                <w:sz w:val="15"/>
                <w:szCs w:val="15"/>
                <w:highlight w:val="none"/>
              </w:rPr>
            </w:pPr>
            <w:r>
              <w:rPr>
                <w:sz w:val="15"/>
                <w:szCs w:val="15"/>
                <w:highlight w:val="none"/>
              </w:rPr>
              <w:t>4.96</w:t>
            </w:r>
          </w:p>
        </w:tc>
        <w:tc>
          <w:tcPr>
            <w:tcW w:w="462" w:type="pct"/>
            <w:tcBorders>
              <w:top w:val="nil"/>
              <w:left w:val="nil"/>
              <w:bottom w:val="single" w:color="auto" w:sz="4" w:space="0"/>
              <w:right w:val="single" w:color="auto" w:sz="4" w:space="0"/>
            </w:tcBorders>
            <w:shd w:val="clear" w:color="auto" w:fill="auto"/>
            <w:noWrap/>
            <w:vAlign w:val="center"/>
          </w:tcPr>
          <w:p w14:paraId="251650FD">
            <w:pPr>
              <w:widowControl/>
              <w:jc w:val="center"/>
              <w:rPr>
                <w:sz w:val="15"/>
                <w:szCs w:val="15"/>
                <w:highlight w:val="none"/>
              </w:rPr>
            </w:pPr>
            <w:r>
              <w:rPr>
                <w:sz w:val="15"/>
                <w:szCs w:val="15"/>
                <w:highlight w:val="none"/>
              </w:rPr>
              <w:t>4.07</w:t>
            </w:r>
          </w:p>
        </w:tc>
        <w:tc>
          <w:tcPr>
            <w:tcW w:w="36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42DBF11">
            <w:pPr>
              <w:widowControl/>
              <w:jc w:val="center"/>
              <w:rPr>
                <w:sz w:val="15"/>
                <w:szCs w:val="15"/>
                <w:highlight w:val="none"/>
              </w:rPr>
            </w:pPr>
            <w:r>
              <w:rPr>
                <w:sz w:val="15"/>
                <w:szCs w:val="15"/>
                <w:highlight w:val="none"/>
              </w:rPr>
              <w:t>0.69</w:t>
            </w:r>
          </w:p>
        </w:tc>
        <w:tc>
          <w:tcPr>
            <w:tcW w:w="368" w:type="pct"/>
            <w:tcBorders>
              <w:top w:val="nil"/>
              <w:left w:val="nil"/>
              <w:bottom w:val="single" w:color="auto" w:sz="4" w:space="0"/>
              <w:right w:val="single" w:color="auto" w:sz="4" w:space="0"/>
            </w:tcBorders>
            <w:shd w:val="clear" w:color="auto" w:fill="auto"/>
            <w:noWrap/>
            <w:vAlign w:val="center"/>
          </w:tcPr>
          <w:p w14:paraId="4A07E21E">
            <w:pPr>
              <w:widowControl/>
              <w:jc w:val="center"/>
              <w:rPr>
                <w:sz w:val="15"/>
                <w:szCs w:val="15"/>
                <w:highlight w:val="none"/>
              </w:rPr>
            </w:pPr>
            <w:r>
              <w:rPr>
                <w:sz w:val="15"/>
                <w:szCs w:val="15"/>
                <w:highlight w:val="none"/>
              </w:rPr>
              <w:t>0</w:t>
            </w:r>
          </w:p>
        </w:tc>
        <w:tc>
          <w:tcPr>
            <w:tcW w:w="425" w:type="pct"/>
            <w:tcBorders>
              <w:top w:val="nil"/>
              <w:left w:val="nil"/>
              <w:bottom w:val="single" w:color="auto" w:sz="4" w:space="0"/>
              <w:right w:val="single" w:color="auto" w:sz="4" w:space="0"/>
            </w:tcBorders>
            <w:shd w:val="clear" w:color="auto" w:fill="auto"/>
            <w:noWrap/>
            <w:vAlign w:val="center"/>
          </w:tcPr>
          <w:p w14:paraId="2B7A64CD">
            <w:pPr>
              <w:widowControl/>
              <w:jc w:val="center"/>
              <w:rPr>
                <w:sz w:val="15"/>
                <w:szCs w:val="15"/>
                <w:highlight w:val="none"/>
              </w:rPr>
            </w:pPr>
            <w:r>
              <w:rPr>
                <w:sz w:val="15"/>
                <w:szCs w:val="15"/>
                <w:highlight w:val="none"/>
              </w:rPr>
              <w:t>9</w:t>
            </w:r>
          </w:p>
        </w:tc>
        <w:tc>
          <w:tcPr>
            <w:tcW w:w="268" w:type="pct"/>
            <w:tcBorders>
              <w:top w:val="nil"/>
              <w:left w:val="nil"/>
              <w:bottom w:val="single" w:color="auto" w:sz="4" w:space="0"/>
              <w:right w:val="single" w:color="auto" w:sz="4" w:space="0"/>
            </w:tcBorders>
            <w:shd w:val="clear" w:color="auto" w:fill="auto"/>
            <w:noWrap/>
            <w:vAlign w:val="center"/>
          </w:tcPr>
          <w:p w14:paraId="1179E664">
            <w:pPr>
              <w:widowControl/>
              <w:jc w:val="center"/>
              <w:rPr>
                <w:sz w:val="15"/>
                <w:szCs w:val="15"/>
                <w:highlight w:val="none"/>
              </w:rPr>
            </w:pPr>
            <w:r>
              <w:rPr>
                <w:sz w:val="15"/>
                <w:szCs w:val="15"/>
                <w:highlight w:val="none"/>
              </w:rPr>
              <w:t>/</w:t>
            </w:r>
          </w:p>
        </w:tc>
      </w:tr>
      <w:tr w14:paraId="47EEA42C">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6189DB93">
            <w:pPr>
              <w:widowControl/>
              <w:jc w:val="center"/>
              <w:rPr>
                <w:sz w:val="15"/>
                <w:szCs w:val="15"/>
                <w:highlight w:val="none"/>
              </w:rPr>
            </w:pPr>
            <w:r>
              <w:rPr>
                <w:sz w:val="15"/>
                <w:szCs w:val="15"/>
                <w:highlight w:val="none"/>
              </w:rPr>
              <w:t>2025.09.11</w:t>
            </w:r>
          </w:p>
        </w:tc>
        <w:tc>
          <w:tcPr>
            <w:tcW w:w="268" w:type="pct"/>
            <w:tcBorders>
              <w:top w:val="nil"/>
              <w:left w:val="nil"/>
              <w:bottom w:val="single" w:color="auto" w:sz="4" w:space="0"/>
              <w:right w:val="single" w:color="auto" w:sz="4" w:space="0"/>
            </w:tcBorders>
            <w:shd w:val="clear" w:color="auto" w:fill="auto"/>
            <w:noWrap/>
            <w:vAlign w:val="center"/>
          </w:tcPr>
          <w:p w14:paraId="00B98B5F">
            <w:pPr>
              <w:widowControl/>
              <w:jc w:val="center"/>
              <w:rPr>
                <w:sz w:val="15"/>
                <w:szCs w:val="15"/>
                <w:highlight w:val="none"/>
              </w:rPr>
            </w:pPr>
            <w:r>
              <w:rPr>
                <w:sz w:val="15"/>
                <w:szCs w:val="15"/>
                <w:highlight w:val="none"/>
              </w:rPr>
              <w:t>7.10</w:t>
            </w:r>
          </w:p>
        </w:tc>
        <w:tc>
          <w:tcPr>
            <w:tcW w:w="354" w:type="pct"/>
            <w:tcBorders>
              <w:top w:val="nil"/>
              <w:left w:val="nil"/>
              <w:bottom w:val="single" w:color="auto" w:sz="4" w:space="0"/>
              <w:right w:val="single" w:color="auto" w:sz="4" w:space="0"/>
            </w:tcBorders>
            <w:shd w:val="clear" w:color="auto" w:fill="auto"/>
            <w:noWrap/>
            <w:vAlign w:val="center"/>
          </w:tcPr>
          <w:p w14:paraId="69245D61">
            <w:pPr>
              <w:widowControl/>
              <w:jc w:val="center"/>
              <w:rPr>
                <w:sz w:val="15"/>
                <w:szCs w:val="15"/>
                <w:highlight w:val="none"/>
              </w:rPr>
            </w:pPr>
            <w:r>
              <w:rPr>
                <w:sz w:val="15"/>
                <w:szCs w:val="15"/>
                <w:highlight w:val="none"/>
              </w:rPr>
              <w:t>1.6</w:t>
            </w:r>
          </w:p>
        </w:tc>
        <w:tc>
          <w:tcPr>
            <w:tcW w:w="401" w:type="pct"/>
            <w:tcBorders>
              <w:top w:val="nil"/>
              <w:left w:val="nil"/>
              <w:bottom w:val="single" w:color="auto" w:sz="4" w:space="0"/>
              <w:right w:val="single" w:color="auto" w:sz="4" w:space="0"/>
            </w:tcBorders>
            <w:shd w:val="clear" w:color="auto" w:fill="auto"/>
            <w:noWrap/>
            <w:vAlign w:val="center"/>
          </w:tcPr>
          <w:p w14:paraId="331F2FFA">
            <w:pPr>
              <w:widowControl/>
              <w:jc w:val="center"/>
              <w:rPr>
                <w:sz w:val="15"/>
                <w:szCs w:val="15"/>
                <w:highlight w:val="none"/>
              </w:rPr>
            </w:pPr>
            <w:r>
              <w:rPr>
                <w:sz w:val="15"/>
                <w:szCs w:val="15"/>
                <w:highlight w:val="none"/>
              </w:rPr>
              <w:t>1624</w:t>
            </w:r>
          </w:p>
        </w:tc>
        <w:tc>
          <w:tcPr>
            <w:tcW w:w="382" w:type="pct"/>
            <w:tcBorders>
              <w:top w:val="nil"/>
              <w:left w:val="nil"/>
              <w:bottom w:val="single" w:color="auto" w:sz="4" w:space="0"/>
              <w:right w:val="single" w:color="auto" w:sz="4" w:space="0"/>
            </w:tcBorders>
            <w:shd w:val="clear" w:color="auto" w:fill="auto"/>
            <w:noWrap/>
            <w:vAlign w:val="center"/>
          </w:tcPr>
          <w:p w14:paraId="4E8051AD">
            <w:pPr>
              <w:widowControl/>
              <w:jc w:val="center"/>
              <w:rPr>
                <w:sz w:val="15"/>
                <w:szCs w:val="15"/>
                <w:highlight w:val="none"/>
              </w:rPr>
            </w:pPr>
            <w:r>
              <w:rPr>
                <w:sz w:val="15"/>
                <w:szCs w:val="15"/>
                <w:highlight w:val="none"/>
              </w:rPr>
              <w:t>25.5</w:t>
            </w:r>
          </w:p>
        </w:tc>
        <w:tc>
          <w:tcPr>
            <w:tcW w:w="368" w:type="pct"/>
            <w:tcBorders>
              <w:top w:val="nil"/>
              <w:left w:val="nil"/>
              <w:bottom w:val="single" w:color="auto" w:sz="4" w:space="0"/>
              <w:right w:val="single" w:color="auto" w:sz="4" w:space="0"/>
            </w:tcBorders>
            <w:shd w:val="clear" w:color="auto" w:fill="auto"/>
            <w:noWrap/>
            <w:vAlign w:val="center"/>
          </w:tcPr>
          <w:p w14:paraId="2BCA3B1B">
            <w:pPr>
              <w:widowControl/>
              <w:jc w:val="center"/>
              <w:rPr>
                <w:sz w:val="15"/>
                <w:szCs w:val="15"/>
                <w:highlight w:val="none"/>
              </w:rPr>
            </w:pPr>
            <w:r>
              <w:rPr>
                <w:sz w:val="15"/>
                <w:szCs w:val="15"/>
                <w:highlight w:val="none"/>
              </w:rPr>
              <w:t>0.08</w:t>
            </w:r>
          </w:p>
        </w:tc>
        <w:tc>
          <w:tcPr>
            <w:tcW w:w="368" w:type="pct"/>
            <w:tcBorders>
              <w:top w:val="nil"/>
              <w:left w:val="nil"/>
              <w:bottom w:val="single" w:color="auto" w:sz="4" w:space="0"/>
              <w:right w:val="single" w:color="auto" w:sz="4" w:space="0"/>
            </w:tcBorders>
            <w:shd w:val="clear" w:color="auto" w:fill="auto"/>
            <w:noWrap/>
            <w:vAlign w:val="center"/>
          </w:tcPr>
          <w:p w14:paraId="084A4BCF">
            <w:pPr>
              <w:widowControl/>
              <w:jc w:val="center"/>
              <w:rPr>
                <w:sz w:val="15"/>
                <w:szCs w:val="15"/>
                <w:highlight w:val="none"/>
              </w:rPr>
            </w:pPr>
            <w:r>
              <w:rPr>
                <w:sz w:val="15"/>
                <w:szCs w:val="15"/>
                <w:highlight w:val="none"/>
              </w:rPr>
              <w:t>229.83</w:t>
            </w:r>
          </w:p>
        </w:tc>
        <w:tc>
          <w:tcPr>
            <w:tcW w:w="462" w:type="pct"/>
            <w:tcBorders>
              <w:top w:val="nil"/>
              <w:left w:val="nil"/>
              <w:bottom w:val="single" w:color="auto" w:sz="4" w:space="0"/>
              <w:right w:val="single" w:color="auto" w:sz="4" w:space="0"/>
            </w:tcBorders>
            <w:shd w:val="clear" w:color="auto" w:fill="auto"/>
            <w:noWrap/>
            <w:vAlign w:val="center"/>
          </w:tcPr>
          <w:p w14:paraId="254B053D">
            <w:pPr>
              <w:widowControl/>
              <w:jc w:val="center"/>
              <w:rPr>
                <w:sz w:val="15"/>
                <w:szCs w:val="15"/>
                <w:highlight w:val="none"/>
              </w:rPr>
            </w:pPr>
            <w:r>
              <w:rPr>
                <w:sz w:val="15"/>
                <w:szCs w:val="15"/>
                <w:highlight w:val="none"/>
              </w:rPr>
              <w:t>5.15</w:t>
            </w:r>
          </w:p>
        </w:tc>
        <w:tc>
          <w:tcPr>
            <w:tcW w:w="462" w:type="pct"/>
            <w:tcBorders>
              <w:top w:val="nil"/>
              <w:left w:val="nil"/>
              <w:bottom w:val="single" w:color="auto" w:sz="4" w:space="0"/>
              <w:right w:val="single" w:color="auto" w:sz="4" w:space="0"/>
            </w:tcBorders>
            <w:shd w:val="clear" w:color="auto" w:fill="auto"/>
            <w:noWrap/>
            <w:vAlign w:val="center"/>
          </w:tcPr>
          <w:p w14:paraId="4A14C21C">
            <w:pPr>
              <w:widowControl/>
              <w:jc w:val="center"/>
              <w:rPr>
                <w:sz w:val="15"/>
                <w:szCs w:val="15"/>
                <w:highlight w:val="none"/>
              </w:rPr>
            </w:pPr>
            <w:r>
              <w:rPr>
                <w:sz w:val="15"/>
                <w:szCs w:val="15"/>
                <w:highlight w:val="none"/>
              </w:rPr>
              <w:t>4.59</w:t>
            </w:r>
          </w:p>
        </w:tc>
        <w:tc>
          <w:tcPr>
            <w:tcW w:w="36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9679AEB">
            <w:pPr>
              <w:widowControl/>
              <w:jc w:val="center"/>
              <w:rPr>
                <w:sz w:val="15"/>
                <w:szCs w:val="15"/>
                <w:highlight w:val="none"/>
              </w:rPr>
            </w:pPr>
            <w:r>
              <w:rPr>
                <w:sz w:val="15"/>
                <w:szCs w:val="15"/>
                <w:highlight w:val="none"/>
              </w:rPr>
              <w:t>0.71</w:t>
            </w:r>
          </w:p>
        </w:tc>
        <w:tc>
          <w:tcPr>
            <w:tcW w:w="368" w:type="pct"/>
            <w:tcBorders>
              <w:top w:val="nil"/>
              <w:left w:val="nil"/>
              <w:bottom w:val="single" w:color="auto" w:sz="4" w:space="0"/>
              <w:right w:val="single" w:color="auto" w:sz="4" w:space="0"/>
            </w:tcBorders>
            <w:shd w:val="clear" w:color="auto" w:fill="auto"/>
            <w:noWrap/>
            <w:vAlign w:val="center"/>
          </w:tcPr>
          <w:p w14:paraId="36AEEEAE">
            <w:pPr>
              <w:widowControl/>
              <w:jc w:val="center"/>
              <w:rPr>
                <w:sz w:val="15"/>
                <w:szCs w:val="15"/>
                <w:highlight w:val="none"/>
              </w:rPr>
            </w:pPr>
            <w:r>
              <w:rPr>
                <w:sz w:val="15"/>
                <w:szCs w:val="15"/>
                <w:highlight w:val="none"/>
              </w:rPr>
              <w:t>0</w:t>
            </w:r>
          </w:p>
        </w:tc>
        <w:tc>
          <w:tcPr>
            <w:tcW w:w="425" w:type="pct"/>
            <w:tcBorders>
              <w:top w:val="nil"/>
              <w:left w:val="nil"/>
              <w:bottom w:val="single" w:color="auto" w:sz="4" w:space="0"/>
              <w:right w:val="single" w:color="auto" w:sz="4" w:space="0"/>
            </w:tcBorders>
            <w:shd w:val="clear" w:color="auto" w:fill="auto"/>
            <w:noWrap/>
            <w:vAlign w:val="center"/>
          </w:tcPr>
          <w:p w14:paraId="700763B9">
            <w:pPr>
              <w:widowControl/>
              <w:jc w:val="center"/>
              <w:rPr>
                <w:sz w:val="15"/>
                <w:szCs w:val="15"/>
                <w:highlight w:val="none"/>
              </w:rPr>
            </w:pPr>
            <w:r>
              <w:rPr>
                <w:sz w:val="15"/>
                <w:szCs w:val="15"/>
                <w:highlight w:val="none"/>
              </w:rPr>
              <w:t>7</w:t>
            </w:r>
          </w:p>
        </w:tc>
        <w:tc>
          <w:tcPr>
            <w:tcW w:w="268" w:type="pct"/>
            <w:tcBorders>
              <w:top w:val="nil"/>
              <w:left w:val="nil"/>
              <w:bottom w:val="single" w:color="auto" w:sz="4" w:space="0"/>
              <w:right w:val="single" w:color="auto" w:sz="4" w:space="0"/>
            </w:tcBorders>
            <w:shd w:val="clear" w:color="auto" w:fill="auto"/>
            <w:noWrap/>
            <w:vAlign w:val="center"/>
          </w:tcPr>
          <w:p w14:paraId="66899A3B">
            <w:pPr>
              <w:widowControl/>
              <w:jc w:val="center"/>
              <w:rPr>
                <w:sz w:val="15"/>
                <w:szCs w:val="15"/>
                <w:highlight w:val="none"/>
              </w:rPr>
            </w:pPr>
            <w:r>
              <w:rPr>
                <w:sz w:val="15"/>
                <w:szCs w:val="15"/>
                <w:highlight w:val="none"/>
              </w:rPr>
              <w:t>/</w:t>
            </w:r>
          </w:p>
        </w:tc>
      </w:tr>
      <w:tr w14:paraId="0222814F">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291D048D">
            <w:pPr>
              <w:widowControl/>
              <w:jc w:val="center"/>
              <w:rPr>
                <w:sz w:val="15"/>
                <w:szCs w:val="15"/>
                <w:highlight w:val="none"/>
              </w:rPr>
            </w:pPr>
            <w:r>
              <w:rPr>
                <w:sz w:val="15"/>
                <w:szCs w:val="15"/>
                <w:highlight w:val="none"/>
              </w:rPr>
              <w:t>2025.09.18</w:t>
            </w:r>
          </w:p>
        </w:tc>
        <w:tc>
          <w:tcPr>
            <w:tcW w:w="268" w:type="pct"/>
            <w:tcBorders>
              <w:top w:val="nil"/>
              <w:left w:val="nil"/>
              <w:bottom w:val="single" w:color="auto" w:sz="4" w:space="0"/>
              <w:right w:val="single" w:color="auto" w:sz="4" w:space="0"/>
            </w:tcBorders>
            <w:shd w:val="clear" w:color="auto" w:fill="auto"/>
            <w:noWrap/>
            <w:vAlign w:val="center"/>
          </w:tcPr>
          <w:p w14:paraId="59446386">
            <w:pPr>
              <w:widowControl/>
              <w:jc w:val="center"/>
              <w:rPr>
                <w:sz w:val="15"/>
                <w:szCs w:val="15"/>
                <w:highlight w:val="none"/>
              </w:rPr>
            </w:pPr>
            <w:r>
              <w:rPr>
                <w:sz w:val="15"/>
                <w:szCs w:val="15"/>
                <w:highlight w:val="none"/>
              </w:rPr>
              <w:t>7.12</w:t>
            </w:r>
          </w:p>
        </w:tc>
        <w:tc>
          <w:tcPr>
            <w:tcW w:w="354" w:type="pct"/>
            <w:tcBorders>
              <w:top w:val="nil"/>
              <w:left w:val="nil"/>
              <w:bottom w:val="single" w:color="auto" w:sz="4" w:space="0"/>
              <w:right w:val="single" w:color="auto" w:sz="4" w:space="0"/>
            </w:tcBorders>
            <w:shd w:val="clear" w:color="auto" w:fill="auto"/>
            <w:noWrap/>
            <w:vAlign w:val="center"/>
          </w:tcPr>
          <w:p w14:paraId="2FAADE67">
            <w:pPr>
              <w:widowControl/>
              <w:jc w:val="center"/>
              <w:rPr>
                <w:sz w:val="15"/>
                <w:szCs w:val="15"/>
                <w:highlight w:val="none"/>
              </w:rPr>
            </w:pPr>
            <w:r>
              <w:rPr>
                <w:sz w:val="15"/>
                <w:szCs w:val="15"/>
                <w:highlight w:val="none"/>
              </w:rPr>
              <w:t>1.26</w:t>
            </w:r>
          </w:p>
        </w:tc>
        <w:tc>
          <w:tcPr>
            <w:tcW w:w="401" w:type="pct"/>
            <w:tcBorders>
              <w:top w:val="nil"/>
              <w:left w:val="nil"/>
              <w:bottom w:val="single" w:color="auto" w:sz="4" w:space="0"/>
              <w:right w:val="single" w:color="auto" w:sz="4" w:space="0"/>
            </w:tcBorders>
            <w:shd w:val="clear" w:color="auto" w:fill="auto"/>
            <w:noWrap/>
            <w:vAlign w:val="center"/>
          </w:tcPr>
          <w:p w14:paraId="4922DD46">
            <w:pPr>
              <w:widowControl/>
              <w:jc w:val="center"/>
              <w:rPr>
                <w:sz w:val="15"/>
                <w:szCs w:val="15"/>
                <w:highlight w:val="none"/>
              </w:rPr>
            </w:pPr>
            <w:r>
              <w:rPr>
                <w:sz w:val="15"/>
                <w:szCs w:val="15"/>
                <w:highlight w:val="none"/>
              </w:rPr>
              <w:t>1681</w:t>
            </w:r>
          </w:p>
        </w:tc>
        <w:tc>
          <w:tcPr>
            <w:tcW w:w="382" w:type="pct"/>
            <w:tcBorders>
              <w:top w:val="nil"/>
              <w:left w:val="nil"/>
              <w:bottom w:val="single" w:color="auto" w:sz="4" w:space="0"/>
              <w:right w:val="single" w:color="auto" w:sz="4" w:space="0"/>
            </w:tcBorders>
            <w:shd w:val="clear" w:color="auto" w:fill="auto"/>
            <w:noWrap/>
            <w:vAlign w:val="center"/>
          </w:tcPr>
          <w:p w14:paraId="598FA7AF">
            <w:pPr>
              <w:widowControl/>
              <w:jc w:val="center"/>
              <w:rPr>
                <w:sz w:val="15"/>
                <w:szCs w:val="15"/>
                <w:highlight w:val="none"/>
              </w:rPr>
            </w:pPr>
            <w:r>
              <w:rPr>
                <w:sz w:val="15"/>
                <w:szCs w:val="15"/>
                <w:highlight w:val="none"/>
              </w:rPr>
              <w:t>10.8</w:t>
            </w:r>
          </w:p>
        </w:tc>
        <w:tc>
          <w:tcPr>
            <w:tcW w:w="368" w:type="pct"/>
            <w:tcBorders>
              <w:top w:val="nil"/>
              <w:left w:val="nil"/>
              <w:bottom w:val="single" w:color="auto" w:sz="4" w:space="0"/>
              <w:right w:val="single" w:color="auto" w:sz="4" w:space="0"/>
            </w:tcBorders>
            <w:shd w:val="clear" w:color="auto" w:fill="auto"/>
            <w:noWrap/>
            <w:vAlign w:val="center"/>
          </w:tcPr>
          <w:p w14:paraId="7720DBEF">
            <w:pPr>
              <w:widowControl/>
              <w:jc w:val="center"/>
              <w:rPr>
                <w:sz w:val="15"/>
                <w:szCs w:val="15"/>
                <w:highlight w:val="none"/>
              </w:rPr>
            </w:pPr>
            <w:r>
              <w:rPr>
                <w:sz w:val="15"/>
                <w:szCs w:val="15"/>
                <w:highlight w:val="none"/>
              </w:rPr>
              <w:t>0.08</w:t>
            </w:r>
          </w:p>
        </w:tc>
        <w:tc>
          <w:tcPr>
            <w:tcW w:w="368" w:type="pct"/>
            <w:tcBorders>
              <w:top w:val="nil"/>
              <w:left w:val="nil"/>
              <w:bottom w:val="single" w:color="auto" w:sz="4" w:space="0"/>
              <w:right w:val="single" w:color="auto" w:sz="4" w:space="0"/>
            </w:tcBorders>
            <w:shd w:val="clear" w:color="auto" w:fill="auto"/>
            <w:noWrap/>
            <w:vAlign w:val="center"/>
          </w:tcPr>
          <w:p w14:paraId="42A2473A">
            <w:pPr>
              <w:widowControl/>
              <w:jc w:val="center"/>
              <w:rPr>
                <w:sz w:val="15"/>
                <w:szCs w:val="15"/>
                <w:highlight w:val="none"/>
              </w:rPr>
            </w:pPr>
            <w:r>
              <w:rPr>
                <w:sz w:val="15"/>
                <w:szCs w:val="15"/>
                <w:highlight w:val="none"/>
              </w:rPr>
              <w:t>216.55</w:t>
            </w:r>
          </w:p>
        </w:tc>
        <w:tc>
          <w:tcPr>
            <w:tcW w:w="462" w:type="pct"/>
            <w:tcBorders>
              <w:top w:val="nil"/>
              <w:left w:val="nil"/>
              <w:bottom w:val="single" w:color="auto" w:sz="4" w:space="0"/>
              <w:right w:val="single" w:color="auto" w:sz="4" w:space="0"/>
            </w:tcBorders>
            <w:shd w:val="clear" w:color="auto" w:fill="auto"/>
            <w:noWrap/>
            <w:vAlign w:val="center"/>
          </w:tcPr>
          <w:p w14:paraId="66934905">
            <w:pPr>
              <w:widowControl/>
              <w:jc w:val="center"/>
              <w:rPr>
                <w:sz w:val="15"/>
                <w:szCs w:val="15"/>
                <w:highlight w:val="none"/>
              </w:rPr>
            </w:pPr>
            <w:r>
              <w:rPr>
                <w:sz w:val="15"/>
                <w:szCs w:val="15"/>
                <w:highlight w:val="none"/>
              </w:rPr>
              <w:t>5.27</w:t>
            </w:r>
          </w:p>
        </w:tc>
        <w:tc>
          <w:tcPr>
            <w:tcW w:w="462" w:type="pct"/>
            <w:tcBorders>
              <w:top w:val="nil"/>
              <w:left w:val="nil"/>
              <w:bottom w:val="single" w:color="auto" w:sz="4" w:space="0"/>
              <w:right w:val="single" w:color="auto" w:sz="4" w:space="0"/>
            </w:tcBorders>
            <w:shd w:val="clear" w:color="auto" w:fill="auto"/>
            <w:noWrap/>
            <w:vAlign w:val="center"/>
          </w:tcPr>
          <w:p w14:paraId="3B653390">
            <w:pPr>
              <w:widowControl/>
              <w:jc w:val="center"/>
              <w:rPr>
                <w:sz w:val="15"/>
                <w:szCs w:val="15"/>
                <w:highlight w:val="none"/>
              </w:rPr>
            </w:pPr>
            <w:r>
              <w:rPr>
                <w:sz w:val="15"/>
                <w:szCs w:val="15"/>
                <w:highlight w:val="none"/>
              </w:rPr>
              <w:t>4.69</w:t>
            </w:r>
          </w:p>
        </w:tc>
        <w:tc>
          <w:tcPr>
            <w:tcW w:w="368" w:type="pct"/>
            <w:tcBorders>
              <w:top w:val="nil"/>
              <w:left w:val="nil"/>
              <w:bottom w:val="single" w:color="auto" w:sz="4" w:space="0"/>
              <w:right w:val="single" w:color="auto" w:sz="4" w:space="0"/>
            </w:tcBorders>
            <w:shd w:val="clear" w:color="auto" w:fill="auto"/>
            <w:noWrap/>
            <w:vAlign w:val="center"/>
          </w:tcPr>
          <w:p w14:paraId="3477E09F">
            <w:pPr>
              <w:widowControl/>
              <w:jc w:val="center"/>
              <w:rPr>
                <w:sz w:val="15"/>
                <w:szCs w:val="15"/>
                <w:highlight w:val="none"/>
              </w:rPr>
            </w:pPr>
            <w:r>
              <w:rPr>
                <w:sz w:val="15"/>
                <w:szCs w:val="15"/>
                <w:highlight w:val="none"/>
              </w:rPr>
              <w:t>0.33</w:t>
            </w:r>
          </w:p>
        </w:tc>
        <w:tc>
          <w:tcPr>
            <w:tcW w:w="368" w:type="pct"/>
            <w:tcBorders>
              <w:top w:val="nil"/>
              <w:left w:val="nil"/>
              <w:bottom w:val="single" w:color="auto" w:sz="4" w:space="0"/>
              <w:right w:val="single" w:color="auto" w:sz="4" w:space="0"/>
            </w:tcBorders>
            <w:shd w:val="clear" w:color="auto" w:fill="auto"/>
            <w:noWrap/>
            <w:vAlign w:val="center"/>
          </w:tcPr>
          <w:p w14:paraId="75F10E46">
            <w:pPr>
              <w:widowControl/>
              <w:jc w:val="center"/>
              <w:rPr>
                <w:sz w:val="15"/>
                <w:szCs w:val="15"/>
                <w:highlight w:val="none"/>
              </w:rPr>
            </w:pPr>
            <w:r>
              <w:rPr>
                <w:sz w:val="15"/>
                <w:szCs w:val="15"/>
                <w:highlight w:val="none"/>
              </w:rPr>
              <w:t>0</w:t>
            </w:r>
          </w:p>
        </w:tc>
        <w:tc>
          <w:tcPr>
            <w:tcW w:w="425" w:type="pct"/>
            <w:tcBorders>
              <w:top w:val="nil"/>
              <w:left w:val="nil"/>
              <w:bottom w:val="single" w:color="auto" w:sz="4" w:space="0"/>
              <w:right w:val="single" w:color="auto" w:sz="4" w:space="0"/>
            </w:tcBorders>
            <w:shd w:val="clear" w:color="auto" w:fill="auto"/>
            <w:noWrap/>
            <w:vAlign w:val="center"/>
          </w:tcPr>
          <w:p w14:paraId="3BBD7D74">
            <w:pPr>
              <w:widowControl/>
              <w:jc w:val="center"/>
              <w:rPr>
                <w:sz w:val="15"/>
                <w:szCs w:val="15"/>
                <w:highlight w:val="none"/>
              </w:rPr>
            </w:pPr>
            <w:r>
              <w:rPr>
                <w:sz w:val="15"/>
                <w:szCs w:val="15"/>
                <w:highlight w:val="none"/>
              </w:rPr>
              <w:t>8</w:t>
            </w:r>
          </w:p>
        </w:tc>
        <w:tc>
          <w:tcPr>
            <w:tcW w:w="268" w:type="pct"/>
            <w:tcBorders>
              <w:top w:val="nil"/>
              <w:left w:val="nil"/>
              <w:bottom w:val="single" w:color="auto" w:sz="4" w:space="0"/>
              <w:right w:val="single" w:color="auto" w:sz="4" w:space="0"/>
            </w:tcBorders>
            <w:shd w:val="clear" w:color="auto" w:fill="auto"/>
            <w:noWrap/>
            <w:vAlign w:val="center"/>
          </w:tcPr>
          <w:p w14:paraId="6F82A5E0">
            <w:pPr>
              <w:widowControl/>
              <w:jc w:val="center"/>
              <w:rPr>
                <w:sz w:val="15"/>
                <w:szCs w:val="15"/>
                <w:highlight w:val="none"/>
              </w:rPr>
            </w:pPr>
            <w:r>
              <w:rPr>
                <w:sz w:val="15"/>
                <w:szCs w:val="15"/>
                <w:highlight w:val="none"/>
              </w:rPr>
              <w:t>/</w:t>
            </w:r>
          </w:p>
        </w:tc>
      </w:tr>
      <w:tr w14:paraId="550B5CCE">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00C75BCA">
            <w:pPr>
              <w:widowControl/>
              <w:jc w:val="center"/>
              <w:rPr>
                <w:sz w:val="15"/>
                <w:szCs w:val="15"/>
                <w:highlight w:val="none"/>
              </w:rPr>
            </w:pPr>
            <w:r>
              <w:rPr>
                <w:sz w:val="15"/>
                <w:szCs w:val="15"/>
                <w:highlight w:val="none"/>
              </w:rPr>
              <w:t>2025.09.25</w:t>
            </w:r>
          </w:p>
        </w:tc>
        <w:tc>
          <w:tcPr>
            <w:tcW w:w="268" w:type="pct"/>
            <w:tcBorders>
              <w:top w:val="nil"/>
              <w:left w:val="nil"/>
              <w:bottom w:val="single" w:color="auto" w:sz="4" w:space="0"/>
              <w:right w:val="single" w:color="auto" w:sz="4" w:space="0"/>
            </w:tcBorders>
            <w:shd w:val="clear" w:color="auto" w:fill="auto"/>
            <w:noWrap/>
            <w:vAlign w:val="center"/>
          </w:tcPr>
          <w:p w14:paraId="7B190EAD">
            <w:pPr>
              <w:widowControl/>
              <w:jc w:val="center"/>
              <w:rPr>
                <w:sz w:val="15"/>
                <w:szCs w:val="15"/>
                <w:highlight w:val="none"/>
              </w:rPr>
            </w:pPr>
            <w:r>
              <w:rPr>
                <w:sz w:val="15"/>
                <w:szCs w:val="15"/>
                <w:highlight w:val="none"/>
              </w:rPr>
              <w:t>7.29</w:t>
            </w:r>
          </w:p>
        </w:tc>
        <w:tc>
          <w:tcPr>
            <w:tcW w:w="354" w:type="pct"/>
            <w:tcBorders>
              <w:top w:val="nil"/>
              <w:left w:val="nil"/>
              <w:bottom w:val="single" w:color="auto" w:sz="4" w:space="0"/>
              <w:right w:val="single" w:color="auto" w:sz="4" w:space="0"/>
            </w:tcBorders>
            <w:shd w:val="clear" w:color="auto" w:fill="auto"/>
            <w:noWrap/>
            <w:vAlign w:val="center"/>
          </w:tcPr>
          <w:p w14:paraId="0B54FFD3">
            <w:pPr>
              <w:widowControl/>
              <w:jc w:val="center"/>
              <w:rPr>
                <w:sz w:val="15"/>
                <w:szCs w:val="15"/>
                <w:highlight w:val="none"/>
              </w:rPr>
            </w:pPr>
            <w:r>
              <w:rPr>
                <w:sz w:val="15"/>
                <w:szCs w:val="15"/>
                <w:highlight w:val="none"/>
              </w:rPr>
              <w:t>1.81</w:t>
            </w:r>
          </w:p>
        </w:tc>
        <w:tc>
          <w:tcPr>
            <w:tcW w:w="401" w:type="pct"/>
            <w:tcBorders>
              <w:top w:val="nil"/>
              <w:left w:val="nil"/>
              <w:bottom w:val="single" w:color="auto" w:sz="4" w:space="0"/>
              <w:right w:val="single" w:color="auto" w:sz="4" w:space="0"/>
            </w:tcBorders>
            <w:shd w:val="clear" w:color="auto" w:fill="auto"/>
            <w:noWrap/>
            <w:vAlign w:val="center"/>
          </w:tcPr>
          <w:p w14:paraId="56E7078F">
            <w:pPr>
              <w:widowControl/>
              <w:jc w:val="center"/>
              <w:rPr>
                <w:sz w:val="15"/>
                <w:szCs w:val="15"/>
                <w:highlight w:val="none"/>
              </w:rPr>
            </w:pPr>
            <w:r>
              <w:rPr>
                <w:sz w:val="15"/>
                <w:szCs w:val="15"/>
                <w:highlight w:val="none"/>
              </w:rPr>
              <w:t>1777</w:t>
            </w:r>
          </w:p>
        </w:tc>
        <w:tc>
          <w:tcPr>
            <w:tcW w:w="382" w:type="pct"/>
            <w:tcBorders>
              <w:top w:val="nil"/>
              <w:left w:val="nil"/>
              <w:bottom w:val="single" w:color="auto" w:sz="4" w:space="0"/>
              <w:right w:val="single" w:color="auto" w:sz="4" w:space="0"/>
            </w:tcBorders>
            <w:shd w:val="clear" w:color="auto" w:fill="auto"/>
            <w:noWrap/>
            <w:vAlign w:val="center"/>
          </w:tcPr>
          <w:p w14:paraId="7819E4D8">
            <w:pPr>
              <w:widowControl/>
              <w:jc w:val="center"/>
              <w:rPr>
                <w:sz w:val="15"/>
                <w:szCs w:val="15"/>
                <w:highlight w:val="none"/>
              </w:rPr>
            </w:pPr>
            <w:r>
              <w:rPr>
                <w:sz w:val="15"/>
                <w:szCs w:val="15"/>
                <w:highlight w:val="none"/>
              </w:rPr>
              <w:t>23.2</w:t>
            </w:r>
          </w:p>
        </w:tc>
        <w:tc>
          <w:tcPr>
            <w:tcW w:w="368" w:type="pct"/>
            <w:tcBorders>
              <w:top w:val="nil"/>
              <w:left w:val="nil"/>
              <w:bottom w:val="single" w:color="auto" w:sz="4" w:space="0"/>
              <w:right w:val="single" w:color="auto" w:sz="4" w:space="0"/>
            </w:tcBorders>
            <w:shd w:val="clear" w:color="auto" w:fill="auto"/>
            <w:noWrap/>
            <w:vAlign w:val="center"/>
          </w:tcPr>
          <w:p w14:paraId="146D21E4">
            <w:pPr>
              <w:widowControl/>
              <w:jc w:val="center"/>
              <w:rPr>
                <w:sz w:val="15"/>
                <w:szCs w:val="15"/>
                <w:highlight w:val="none"/>
              </w:rPr>
            </w:pPr>
            <w:r>
              <w:rPr>
                <w:sz w:val="15"/>
                <w:szCs w:val="15"/>
                <w:highlight w:val="none"/>
              </w:rPr>
              <w:t>0.12</w:t>
            </w:r>
          </w:p>
        </w:tc>
        <w:tc>
          <w:tcPr>
            <w:tcW w:w="368" w:type="pct"/>
            <w:tcBorders>
              <w:top w:val="nil"/>
              <w:left w:val="nil"/>
              <w:bottom w:val="single" w:color="auto" w:sz="4" w:space="0"/>
              <w:right w:val="single" w:color="auto" w:sz="4" w:space="0"/>
            </w:tcBorders>
            <w:shd w:val="clear" w:color="auto" w:fill="auto"/>
            <w:noWrap/>
            <w:vAlign w:val="center"/>
          </w:tcPr>
          <w:p w14:paraId="39B9DF33">
            <w:pPr>
              <w:widowControl/>
              <w:jc w:val="center"/>
              <w:rPr>
                <w:sz w:val="15"/>
                <w:szCs w:val="15"/>
                <w:highlight w:val="none"/>
              </w:rPr>
            </w:pPr>
            <w:r>
              <w:rPr>
                <w:sz w:val="15"/>
                <w:szCs w:val="15"/>
                <w:highlight w:val="none"/>
              </w:rPr>
              <w:t>215.51</w:t>
            </w:r>
          </w:p>
        </w:tc>
        <w:tc>
          <w:tcPr>
            <w:tcW w:w="462" w:type="pct"/>
            <w:tcBorders>
              <w:top w:val="nil"/>
              <w:left w:val="nil"/>
              <w:bottom w:val="single" w:color="auto" w:sz="4" w:space="0"/>
              <w:right w:val="single" w:color="auto" w:sz="4" w:space="0"/>
            </w:tcBorders>
            <w:shd w:val="clear" w:color="auto" w:fill="auto"/>
            <w:noWrap/>
            <w:vAlign w:val="center"/>
          </w:tcPr>
          <w:p w14:paraId="2AB48A49">
            <w:pPr>
              <w:widowControl/>
              <w:jc w:val="center"/>
              <w:rPr>
                <w:sz w:val="15"/>
                <w:szCs w:val="15"/>
                <w:highlight w:val="none"/>
              </w:rPr>
            </w:pPr>
            <w:r>
              <w:rPr>
                <w:sz w:val="15"/>
                <w:szCs w:val="15"/>
                <w:highlight w:val="none"/>
              </w:rPr>
              <w:t>5.19</w:t>
            </w:r>
          </w:p>
        </w:tc>
        <w:tc>
          <w:tcPr>
            <w:tcW w:w="462" w:type="pct"/>
            <w:tcBorders>
              <w:top w:val="nil"/>
              <w:left w:val="nil"/>
              <w:bottom w:val="single" w:color="auto" w:sz="4" w:space="0"/>
              <w:right w:val="single" w:color="auto" w:sz="4" w:space="0"/>
            </w:tcBorders>
            <w:shd w:val="clear" w:color="auto" w:fill="auto"/>
            <w:noWrap/>
            <w:vAlign w:val="center"/>
          </w:tcPr>
          <w:p w14:paraId="6B29D56E">
            <w:pPr>
              <w:widowControl/>
              <w:jc w:val="center"/>
              <w:rPr>
                <w:sz w:val="15"/>
                <w:szCs w:val="15"/>
                <w:highlight w:val="none"/>
              </w:rPr>
            </w:pPr>
            <w:r>
              <w:rPr>
                <w:sz w:val="15"/>
                <w:szCs w:val="15"/>
                <w:highlight w:val="none"/>
              </w:rPr>
              <w:t>4.69</w:t>
            </w:r>
          </w:p>
        </w:tc>
        <w:tc>
          <w:tcPr>
            <w:tcW w:w="368" w:type="pct"/>
            <w:tcBorders>
              <w:top w:val="nil"/>
              <w:left w:val="nil"/>
              <w:bottom w:val="single" w:color="auto" w:sz="4" w:space="0"/>
              <w:right w:val="single" w:color="auto" w:sz="4" w:space="0"/>
            </w:tcBorders>
            <w:shd w:val="clear" w:color="auto" w:fill="auto"/>
            <w:noWrap/>
            <w:vAlign w:val="center"/>
          </w:tcPr>
          <w:p w14:paraId="3EEDBEAB">
            <w:pPr>
              <w:widowControl/>
              <w:jc w:val="center"/>
              <w:rPr>
                <w:sz w:val="15"/>
                <w:szCs w:val="15"/>
                <w:highlight w:val="none"/>
              </w:rPr>
            </w:pPr>
            <w:r>
              <w:rPr>
                <w:sz w:val="15"/>
                <w:szCs w:val="15"/>
                <w:highlight w:val="none"/>
              </w:rPr>
              <w:t>0.37</w:t>
            </w:r>
          </w:p>
        </w:tc>
        <w:tc>
          <w:tcPr>
            <w:tcW w:w="368" w:type="pct"/>
            <w:tcBorders>
              <w:top w:val="nil"/>
              <w:left w:val="nil"/>
              <w:bottom w:val="single" w:color="auto" w:sz="4" w:space="0"/>
              <w:right w:val="single" w:color="auto" w:sz="4" w:space="0"/>
            </w:tcBorders>
            <w:shd w:val="clear" w:color="auto" w:fill="auto"/>
            <w:noWrap/>
            <w:vAlign w:val="center"/>
          </w:tcPr>
          <w:p w14:paraId="41B87A91">
            <w:pPr>
              <w:widowControl/>
              <w:jc w:val="center"/>
              <w:rPr>
                <w:sz w:val="15"/>
                <w:szCs w:val="15"/>
                <w:highlight w:val="none"/>
              </w:rPr>
            </w:pPr>
            <w:r>
              <w:rPr>
                <w:sz w:val="15"/>
                <w:szCs w:val="15"/>
                <w:highlight w:val="none"/>
              </w:rPr>
              <w:t>0</w:t>
            </w:r>
          </w:p>
        </w:tc>
        <w:tc>
          <w:tcPr>
            <w:tcW w:w="425" w:type="pct"/>
            <w:tcBorders>
              <w:top w:val="nil"/>
              <w:left w:val="nil"/>
              <w:bottom w:val="single" w:color="auto" w:sz="4" w:space="0"/>
              <w:right w:val="single" w:color="auto" w:sz="4" w:space="0"/>
            </w:tcBorders>
            <w:shd w:val="clear" w:color="auto" w:fill="auto"/>
            <w:noWrap/>
            <w:vAlign w:val="center"/>
          </w:tcPr>
          <w:p w14:paraId="5D42DB59">
            <w:pPr>
              <w:widowControl/>
              <w:jc w:val="center"/>
              <w:rPr>
                <w:sz w:val="15"/>
                <w:szCs w:val="15"/>
                <w:highlight w:val="none"/>
              </w:rPr>
            </w:pPr>
            <w:r>
              <w:rPr>
                <w:sz w:val="15"/>
                <w:szCs w:val="15"/>
                <w:highlight w:val="none"/>
              </w:rPr>
              <w:t>8</w:t>
            </w:r>
          </w:p>
        </w:tc>
        <w:tc>
          <w:tcPr>
            <w:tcW w:w="268" w:type="pct"/>
            <w:tcBorders>
              <w:top w:val="nil"/>
              <w:left w:val="nil"/>
              <w:bottom w:val="single" w:color="auto" w:sz="4" w:space="0"/>
              <w:right w:val="single" w:color="auto" w:sz="4" w:space="0"/>
            </w:tcBorders>
            <w:shd w:val="clear" w:color="auto" w:fill="auto"/>
            <w:noWrap/>
            <w:vAlign w:val="center"/>
          </w:tcPr>
          <w:p w14:paraId="68E5DAE4">
            <w:pPr>
              <w:widowControl/>
              <w:jc w:val="center"/>
              <w:rPr>
                <w:sz w:val="15"/>
                <w:szCs w:val="15"/>
                <w:highlight w:val="none"/>
              </w:rPr>
            </w:pPr>
            <w:r>
              <w:rPr>
                <w:sz w:val="15"/>
                <w:szCs w:val="15"/>
                <w:highlight w:val="none"/>
              </w:rPr>
              <w:t>0.04</w:t>
            </w:r>
          </w:p>
        </w:tc>
      </w:tr>
      <w:tr w14:paraId="12033A12">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2FF42DF8">
            <w:pPr>
              <w:widowControl/>
              <w:jc w:val="center"/>
              <w:rPr>
                <w:sz w:val="15"/>
                <w:szCs w:val="15"/>
                <w:highlight w:val="none"/>
              </w:rPr>
            </w:pPr>
            <w:r>
              <w:rPr>
                <w:sz w:val="15"/>
                <w:szCs w:val="15"/>
                <w:highlight w:val="none"/>
              </w:rPr>
              <w:t>2025.09.29</w:t>
            </w:r>
          </w:p>
        </w:tc>
        <w:tc>
          <w:tcPr>
            <w:tcW w:w="268" w:type="pct"/>
            <w:tcBorders>
              <w:top w:val="nil"/>
              <w:left w:val="nil"/>
              <w:bottom w:val="single" w:color="auto" w:sz="4" w:space="0"/>
              <w:right w:val="single" w:color="auto" w:sz="4" w:space="0"/>
            </w:tcBorders>
            <w:shd w:val="clear" w:color="auto" w:fill="auto"/>
            <w:noWrap/>
            <w:vAlign w:val="center"/>
          </w:tcPr>
          <w:p w14:paraId="4594427C">
            <w:pPr>
              <w:widowControl/>
              <w:jc w:val="center"/>
              <w:rPr>
                <w:sz w:val="15"/>
                <w:szCs w:val="15"/>
                <w:highlight w:val="none"/>
              </w:rPr>
            </w:pPr>
            <w:r>
              <w:rPr>
                <w:sz w:val="15"/>
                <w:szCs w:val="15"/>
                <w:highlight w:val="none"/>
              </w:rPr>
              <w:t>7.54</w:t>
            </w:r>
          </w:p>
        </w:tc>
        <w:tc>
          <w:tcPr>
            <w:tcW w:w="354" w:type="pct"/>
            <w:tcBorders>
              <w:top w:val="nil"/>
              <w:left w:val="nil"/>
              <w:bottom w:val="single" w:color="auto" w:sz="4" w:space="0"/>
              <w:right w:val="single" w:color="auto" w:sz="4" w:space="0"/>
            </w:tcBorders>
            <w:shd w:val="clear" w:color="auto" w:fill="auto"/>
            <w:noWrap/>
            <w:vAlign w:val="center"/>
          </w:tcPr>
          <w:p w14:paraId="63C75C25">
            <w:pPr>
              <w:widowControl/>
              <w:jc w:val="center"/>
              <w:rPr>
                <w:sz w:val="15"/>
                <w:szCs w:val="15"/>
                <w:highlight w:val="none"/>
              </w:rPr>
            </w:pPr>
            <w:r>
              <w:rPr>
                <w:sz w:val="15"/>
                <w:szCs w:val="15"/>
                <w:highlight w:val="none"/>
              </w:rPr>
              <w:t>1.22</w:t>
            </w:r>
          </w:p>
        </w:tc>
        <w:tc>
          <w:tcPr>
            <w:tcW w:w="401" w:type="pct"/>
            <w:tcBorders>
              <w:top w:val="nil"/>
              <w:left w:val="nil"/>
              <w:bottom w:val="single" w:color="auto" w:sz="4" w:space="0"/>
              <w:right w:val="single" w:color="auto" w:sz="4" w:space="0"/>
            </w:tcBorders>
            <w:shd w:val="clear" w:color="auto" w:fill="auto"/>
            <w:noWrap/>
            <w:vAlign w:val="center"/>
          </w:tcPr>
          <w:p w14:paraId="7226F41F">
            <w:pPr>
              <w:widowControl/>
              <w:jc w:val="center"/>
              <w:rPr>
                <w:sz w:val="15"/>
                <w:szCs w:val="15"/>
                <w:highlight w:val="none"/>
              </w:rPr>
            </w:pPr>
            <w:r>
              <w:rPr>
                <w:sz w:val="15"/>
                <w:szCs w:val="15"/>
                <w:highlight w:val="none"/>
              </w:rPr>
              <w:t>1684</w:t>
            </w:r>
          </w:p>
        </w:tc>
        <w:tc>
          <w:tcPr>
            <w:tcW w:w="382" w:type="pct"/>
            <w:tcBorders>
              <w:top w:val="nil"/>
              <w:left w:val="nil"/>
              <w:bottom w:val="single" w:color="auto" w:sz="4" w:space="0"/>
              <w:right w:val="single" w:color="auto" w:sz="4" w:space="0"/>
            </w:tcBorders>
            <w:shd w:val="clear" w:color="auto" w:fill="auto"/>
            <w:noWrap/>
            <w:vAlign w:val="center"/>
          </w:tcPr>
          <w:p w14:paraId="5B702CB1">
            <w:pPr>
              <w:widowControl/>
              <w:jc w:val="center"/>
              <w:rPr>
                <w:sz w:val="15"/>
                <w:szCs w:val="15"/>
                <w:highlight w:val="none"/>
              </w:rPr>
            </w:pPr>
            <w:r>
              <w:rPr>
                <w:sz w:val="15"/>
                <w:szCs w:val="15"/>
                <w:highlight w:val="none"/>
              </w:rPr>
              <w:t>9.2</w:t>
            </w:r>
          </w:p>
        </w:tc>
        <w:tc>
          <w:tcPr>
            <w:tcW w:w="368" w:type="pct"/>
            <w:tcBorders>
              <w:top w:val="nil"/>
              <w:left w:val="nil"/>
              <w:bottom w:val="single" w:color="auto" w:sz="4" w:space="0"/>
              <w:right w:val="single" w:color="auto" w:sz="4" w:space="0"/>
            </w:tcBorders>
            <w:shd w:val="clear" w:color="auto" w:fill="auto"/>
            <w:noWrap/>
            <w:vAlign w:val="center"/>
          </w:tcPr>
          <w:p w14:paraId="796F5DA3">
            <w:pPr>
              <w:widowControl/>
              <w:jc w:val="center"/>
              <w:rPr>
                <w:sz w:val="15"/>
                <w:szCs w:val="15"/>
                <w:highlight w:val="none"/>
              </w:rPr>
            </w:pPr>
            <w:r>
              <w:rPr>
                <w:sz w:val="15"/>
                <w:szCs w:val="15"/>
                <w:highlight w:val="none"/>
              </w:rPr>
              <w:t>0.5</w:t>
            </w:r>
          </w:p>
        </w:tc>
        <w:tc>
          <w:tcPr>
            <w:tcW w:w="368" w:type="pct"/>
            <w:tcBorders>
              <w:top w:val="nil"/>
              <w:left w:val="nil"/>
              <w:bottom w:val="single" w:color="auto" w:sz="4" w:space="0"/>
              <w:right w:val="single" w:color="auto" w:sz="4" w:space="0"/>
            </w:tcBorders>
            <w:shd w:val="clear" w:color="auto" w:fill="auto"/>
            <w:noWrap/>
            <w:vAlign w:val="center"/>
          </w:tcPr>
          <w:p w14:paraId="4068202A">
            <w:pPr>
              <w:widowControl/>
              <w:jc w:val="center"/>
              <w:rPr>
                <w:sz w:val="15"/>
                <w:szCs w:val="15"/>
                <w:highlight w:val="none"/>
              </w:rPr>
            </w:pPr>
            <w:r>
              <w:rPr>
                <w:sz w:val="15"/>
                <w:szCs w:val="15"/>
                <w:highlight w:val="none"/>
              </w:rPr>
              <w:t>209.22</w:t>
            </w:r>
          </w:p>
        </w:tc>
        <w:tc>
          <w:tcPr>
            <w:tcW w:w="462" w:type="pct"/>
            <w:tcBorders>
              <w:top w:val="nil"/>
              <w:left w:val="nil"/>
              <w:bottom w:val="single" w:color="auto" w:sz="4" w:space="0"/>
              <w:right w:val="single" w:color="auto" w:sz="4" w:space="0"/>
            </w:tcBorders>
            <w:shd w:val="clear" w:color="auto" w:fill="auto"/>
            <w:noWrap/>
            <w:vAlign w:val="center"/>
          </w:tcPr>
          <w:p w14:paraId="75A6BF1A">
            <w:pPr>
              <w:widowControl/>
              <w:jc w:val="center"/>
              <w:rPr>
                <w:sz w:val="15"/>
                <w:szCs w:val="15"/>
                <w:highlight w:val="none"/>
              </w:rPr>
            </w:pPr>
            <w:r>
              <w:rPr>
                <w:sz w:val="15"/>
                <w:szCs w:val="15"/>
                <w:highlight w:val="none"/>
              </w:rPr>
              <w:t>5.77</w:t>
            </w:r>
          </w:p>
        </w:tc>
        <w:tc>
          <w:tcPr>
            <w:tcW w:w="462" w:type="pct"/>
            <w:tcBorders>
              <w:top w:val="nil"/>
              <w:left w:val="nil"/>
              <w:bottom w:val="single" w:color="auto" w:sz="4" w:space="0"/>
              <w:right w:val="single" w:color="auto" w:sz="4" w:space="0"/>
            </w:tcBorders>
            <w:shd w:val="clear" w:color="auto" w:fill="auto"/>
            <w:noWrap/>
            <w:vAlign w:val="center"/>
          </w:tcPr>
          <w:p w14:paraId="18FE2C1A">
            <w:pPr>
              <w:widowControl/>
              <w:jc w:val="center"/>
              <w:rPr>
                <w:sz w:val="15"/>
                <w:szCs w:val="15"/>
                <w:highlight w:val="none"/>
              </w:rPr>
            </w:pPr>
            <w:r>
              <w:rPr>
                <w:sz w:val="15"/>
                <w:szCs w:val="15"/>
                <w:highlight w:val="none"/>
              </w:rPr>
              <w:t>4.90</w:t>
            </w:r>
          </w:p>
        </w:tc>
        <w:tc>
          <w:tcPr>
            <w:tcW w:w="36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9EEAB66">
            <w:pPr>
              <w:widowControl/>
              <w:jc w:val="center"/>
              <w:rPr>
                <w:sz w:val="15"/>
                <w:szCs w:val="15"/>
                <w:highlight w:val="none"/>
              </w:rPr>
            </w:pPr>
            <w:r>
              <w:rPr>
                <w:sz w:val="15"/>
                <w:szCs w:val="15"/>
                <w:highlight w:val="none"/>
              </w:rPr>
              <w:t>0.74</w:t>
            </w:r>
          </w:p>
        </w:tc>
        <w:tc>
          <w:tcPr>
            <w:tcW w:w="368" w:type="pct"/>
            <w:tcBorders>
              <w:top w:val="nil"/>
              <w:left w:val="nil"/>
              <w:bottom w:val="single" w:color="auto" w:sz="4" w:space="0"/>
              <w:right w:val="single" w:color="auto" w:sz="4" w:space="0"/>
            </w:tcBorders>
            <w:shd w:val="clear" w:color="auto" w:fill="auto"/>
            <w:noWrap/>
            <w:vAlign w:val="center"/>
          </w:tcPr>
          <w:p w14:paraId="04324C9D">
            <w:pPr>
              <w:widowControl/>
              <w:jc w:val="center"/>
              <w:rPr>
                <w:sz w:val="15"/>
                <w:szCs w:val="15"/>
                <w:highlight w:val="none"/>
              </w:rPr>
            </w:pPr>
            <w:r>
              <w:rPr>
                <w:sz w:val="15"/>
                <w:szCs w:val="15"/>
                <w:highlight w:val="none"/>
              </w:rPr>
              <w:t>0</w:t>
            </w:r>
          </w:p>
        </w:tc>
        <w:tc>
          <w:tcPr>
            <w:tcW w:w="425" w:type="pct"/>
            <w:tcBorders>
              <w:top w:val="nil"/>
              <w:left w:val="nil"/>
              <w:bottom w:val="single" w:color="auto" w:sz="4" w:space="0"/>
              <w:right w:val="single" w:color="auto" w:sz="4" w:space="0"/>
            </w:tcBorders>
            <w:shd w:val="clear" w:color="auto" w:fill="auto"/>
            <w:noWrap/>
            <w:vAlign w:val="center"/>
          </w:tcPr>
          <w:p w14:paraId="18B1CD5F">
            <w:pPr>
              <w:widowControl/>
              <w:jc w:val="center"/>
              <w:rPr>
                <w:sz w:val="15"/>
                <w:szCs w:val="15"/>
                <w:highlight w:val="none"/>
              </w:rPr>
            </w:pPr>
            <w:r>
              <w:rPr>
                <w:sz w:val="15"/>
                <w:szCs w:val="15"/>
                <w:highlight w:val="none"/>
              </w:rPr>
              <w:t>7</w:t>
            </w:r>
          </w:p>
        </w:tc>
        <w:tc>
          <w:tcPr>
            <w:tcW w:w="268" w:type="pct"/>
            <w:tcBorders>
              <w:top w:val="nil"/>
              <w:left w:val="nil"/>
              <w:bottom w:val="single" w:color="auto" w:sz="4" w:space="0"/>
              <w:right w:val="single" w:color="auto" w:sz="4" w:space="0"/>
            </w:tcBorders>
            <w:shd w:val="clear" w:color="auto" w:fill="auto"/>
            <w:noWrap/>
            <w:vAlign w:val="center"/>
          </w:tcPr>
          <w:p w14:paraId="78208109">
            <w:pPr>
              <w:widowControl/>
              <w:jc w:val="center"/>
              <w:rPr>
                <w:sz w:val="15"/>
                <w:szCs w:val="15"/>
                <w:highlight w:val="none"/>
              </w:rPr>
            </w:pPr>
            <w:r>
              <w:rPr>
                <w:sz w:val="15"/>
                <w:szCs w:val="15"/>
                <w:highlight w:val="none"/>
              </w:rPr>
              <w:t>/</w:t>
            </w:r>
          </w:p>
        </w:tc>
      </w:tr>
      <w:tr w14:paraId="5676BCD0">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20D78B80">
            <w:pPr>
              <w:widowControl/>
              <w:jc w:val="center"/>
              <w:rPr>
                <w:sz w:val="15"/>
                <w:szCs w:val="15"/>
                <w:highlight w:val="none"/>
              </w:rPr>
            </w:pPr>
            <w:r>
              <w:rPr>
                <w:sz w:val="15"/>
                <w:szCs w:val="15"/>
                <w:highlight w:val="none"/>
              </w:rPr>
              <w:t>2025.10.11</w:t>
            </w:r>
          </w:p>
        </w:tc>
        <w:tc>
          <w:tcPr>
            <w:tcW w:w="268" w:type="pct"/>
            <w:tcBorders>
              <w:top w:val="nil"/>
              <w:left w:val="nil"/>
              <w:bottom w:val="single" w:color="auto" w:sz="4" w:space="0"/>
              <w:right w:val="single" w:color="auto" w:sz="4" w:space="0"/>
            </w:tcBorders>
            <w:shd w:val="clear" w:color="auto" w:fill="auto"/>
            <w:noWrap/>
            <w:vAlign w:val="center"/>
          </w:tcPr>
          <w:p w14:paraId="080F6181">
            <w:pPr>
              <w:widowControl/>
              <w:jc w:val="center"/>
              <w:rPr>
                <w:sz w:val="15"/>
                <w:szCs w:val="15"/>
                <w:highlight w:val="none"/>
              </w:rPr>
            </w:pPr>
            <w:r>
              <w:rPr>
                <w:sz w:val="15"/>
                <w:szCs w:val="15"/>
                <w:highlight w:val="none"/>
              </w:rPr>
              <w:t>7.79</w:t>
            </w:r>
          </w:p>
        </w:tc>
        <w:tc>
          <w:tcPr>
            <w:tcW w:w="354" w:type="pct"/>
            <w:tcBorders>
              <w:top w:val="nil"/>
              <w:left w:val="nil"/>
              <w:bottom w:val="single" w:color="auto" w:sz="4" w:space="0"/>
              <w:right w:val="single" w:color="auto" w:sz="4" w:space="0"/>
            </w:tcBorders>
            <w:shd w:val="clear" w:color="auto" w:fill="auto"/>
            <w:noWrap/>
            <w:vAlign w:val="center"/>
          </w:tcPr>
          <w:p w14:paraId="511C4796">
            <w:pPr>
              <w:widowControl/>
              <w:jc w:val="center"/>
              <w:rPr>
                <w:sz w:val="15"/>
                <w:szCs w:val="15"/>
                <w:highlight w:val="none"/>
              </w:rPr>
            </w:pPr>
            <w:r>
              <w:rPr>
                <w:sz w:val="15"/>
                <w:szCs w:val="15"/>
                <w:highlight w:val="none"/>
              </w:rPr>
              <w:t>2.00</w:t>
            </w:r>
          </w:p>
        </w:tc>
        <w:tc>
          <w:tcPr>
            <w:tcW w:w="401" w:type="pct"/>
            <w:tcBorders>
              <w:top w:val="nil"/>
              <w:left w:val="nil"/>
              <w:bottom w:val="single" w:color="auto" w:sz="4" w:space="0"/>
              <w:right w:val="single" w:color="auto" w:sz="4" w:space="0"/>
            </w:tcBorders>
            <w:shd w:val="clear" w:color="auto" w:fill="auto"/>
            <w:noWrap/>
            <w:vAlign w:val="center"/>
          </w:tcPr>
          <w:p w14:paraId="44F32866">
            <w:pPr>
              <w:widowControl/>
              <w:jc w:val="center"/>
              <w:rPr>
                <w:sz w:val="15"/>
                <w:szCs w:val="15"/>
                <w:highlight w:val="none"/>
              </w:rPr>
            </w:pPr>
            <w:r>
              <w:rPr>
                <w:sz w:val="15"/>
                <w:szCs w:val="15"/>
                <w:highlight w:val="none"/>
              </w:rPr>
              <w:t>1753</w:t>
            </w:r>
          </w:p>
        </w:tc>
        <w:tc>
          <w:tcPr>
            <w:tcW w:w="382" w:type="pct"/>
            <w:tcBorders>
              <w:top w:val="nil"/>
              <w:left w:val="nil"/>
              <w:bottom w:val="single" w:color="auto" w:sz="4" w:space="0"/>
              <w:right w:val="single" w:color="auto" w:sz="4" w:space="0"/>
            </w:tcBorders>
            <w:shd w:val="clear" w:color="auto" w:fill="auto"/>
            <w:noWrap/>
            <w:vAlign w:val="center"/>
          </w:tcPr>
          <w:p w14:paraId="3F61A1E7">
            <w:pPr>
              <w:widowControl/>
              <w:jc w:val="center"/>
              <w:rPr>
                <w:sz w:val="15"/>
                <w:szCs w:val="15"/>
                <w:highlight w:val="none"/>
              </w:rPr>
            </w:pPr>
            <w:r>
              <w:rPr>
                <w:sz w:val="15"/>
                <w:szCs w:val="15"/>
                <w:highlight w:val="none"/>
              </w:rPr>
              <w:t>21.6</w:t>
            </w:r>
          </w:p>
        </w:tc>
        <w:tc>
          <w:tcPr>
            <w:tcW w:w="368" w:type="pct"/>
            <w:tcBorders>
              <w:top w:val="nil"/>
              <w:left w:val="nil"/>
              <w:bottom w:val="single" w:color="auto" w:sz="4" w:space="0"/>
              <w:right w:val="single" w:color="auto" w:sz="4" w:space="0"/>
            </w:tcBorders>
            <w:shd w:val="clear" w:color="auto" w:fill="auto"/>
            <w:noWrap/>
            <w:vAlign w:val="center"/>
          </w:tcPr>
          <w:p w14:paraId="1F8CF462">
            <w:pPr>
              <w:widowControl/>
              <w:jc w:val="center"/>
              <w:rPr>
                <w:sz w:val="15"/>
                <w:szCs w:val="15"/>
                <w:highlight w:val="none"/>
              </w:rPr>
            </w:pPr>
            <w:r>
              <w:rPr>
                <w:sz w:val="15"/>
                <w:szCs w:val="15"/>
                <w:highlight w:val="none"/>
              </w:rPr>
              <w:t>0.47</w:t>
            </w:r>
          </w:p>
        </w:tc>
        <w:tc>
          <w:tcPr>
            <w:tcW w:w="368" w:type="pct"/>
            <w:tcBorders>
              <w:top w:val="nil"/>
              <w:left w:val="nil"/>
              <w:bottom w:val="single" w:color="auto" w:sz="4" w:space="0"/>
              <w:right w:val="single" w:color="auto" w:sz="4" w:space="0"/>
            </w:tcBorders>
            <w:shd w:val="clear" w:color="auto" w:fill="auto"/>
            <w:noWrap/>
            <w:vAlign w:val="center"/>
          </w:tcPr>
          <w:p w14:paraId="7D8828CB">
            <w:pPr>
              <w:widowControl/>
              <w:jc w:val="center"/>
              <w:rPr>
                <w:sz w:val="15"/>
                <w:szCs w:val="15"/>
                <w:highlight w:val="none"/>
              </w:rPr>
            </w:pPr>
            <w:r>
              <w:rPr>
                <w:sz w:val="15"/>
                <w:szCs w:val="15"/>
                <w:highlight w:val="none"/>
              </w:rPr>
              <w:t>258.12</w:t>
            </w:r>
          </w:p>
        </w:tc>
        <w:tc>
          <w:tcPr>
            <w:tcW w:w="462" w:type="pct"/>
            <w:tcBorders>
              <w:top w:val="nil"/>
              <w:left w:val="nil"/>
              <w:bottom w:val="single" w:color="auto" w:sz="4" w:space="0"/>
              <w:right w:val="single" w:color="auto" w:sz="4" w:space="0"/>
            </w:tcBorders>
            <w:shd w:val="clear" w:color="auto" w:fill="auto"/>
            <w:noWrap/>
            <w:vAlign w:val="center"/>
          </w:tcPr>
          <w:p w14:paraId="6B91E1BD">
            <w:pPr>
              <w:widowControl/>
              <w:jc w:val="center"/>
              <w:rPr>
                <w:sz w:val="15"/>
                <w:szCs w:val="15"/>
                <w:highlight w:val="none"/>
              </w:rPr>
            </w:pPr>
            <w:r>
              <w:rPr>
                <w:sz w:val="15"/>
                <w:szCs w:val="15"/>
                <w:highlight w:val="none"/>
              </w:rPr>
              <w:t>5.86</w:t>
            </w:r>
          </w:p>
        </w:tc>
        <w:tc>
          <w:tcPr>
            <w:tcW w:w="462" w:type="pct"/>
            <w:tcBorders>
              <w:top w:val="nil"/>
              <w:left w:val="nil"/>
              <w:bottom w:val="single" w:color="auto" w:sz="4" w:space="0"/>
              <w:right w:val="single" w:color="auto" w:sz="4" w:space="0"/>
            </w:tcBorders>
            <w:shd w:val="clear" w:color="auto" w:fill="auto"/>
            <w:noWrap/>
            <w:vAlign w:val="center"/>
          </w:tcPr>
          <w:p w14:paraId="568E0260">
            <w:pPr>
              <w:widowControl/>
              <w:jc w:val="center"/>
              <w:rPr>
                <w:sz w:val="15"/>
                <w:szCs w:val="15"/>
                <w:highlight w:val="none"/>
              </w:rPr>
            </w:pPr>
            <w:r>
              <w:rPr>
                <w:sz w:val="15"/>
                <w:szCs w:val="15"/>
                <w:highlight w:val="none"/>
              </w:rPr>
              <w:t>4.90</w:t>
            </w:r>
          </w:p>
        </w:tc>
        <w:tc>
          <w:tcPr>
            <w:tcW w:w="36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0FDFA50">
            <w:pPr>
              <w:widowControl/>
              <w:jc w:val="center"/>
              <w:rPr>
                <w:sz w:val="15"/>
                <w:szCs w:val="15"/>
                <w:highlight w:val="none"/>
              </w:rPr>
            </w:pPr>
            <w:r>
              <w:rPr>
                <w:sz w:val="15"/>
                <w:szCs w:val="15"/>
                <w:highlight w:val="none"/>
              </w:rPr>
              <w:t>0.77</w:t>
            </w:r>
          </w:p>
        </w:tc>
        <w:tc>
          <w:tcPr>
            <w:tcW w:w="368" w:type="pct"/>
            <w:tcBorders>
              <w:top w:val="nil"/>
              <w:left w:val="nil"/>
              <w:bottom w:val="single" w:color="auto" w:sz="4" w:space="0"/>
              <w:right w:val="single" w:color="auto" w:sz="4" w:space="0"/>
            </w:tcBorders>
            <w:shd w:val="clear" w:color="auto" w:fill="auto"/>
            <w:noWrap/>
            <w:vAlign w:val="center"/>
          </w:tcPr>
          <w:p w14:paraId="4A7895F2">
            <w:pPr>
              <w:widowControl/>
              <w:jc w:val="center"/>
              <w:rPr>
                <w:sz w:val="15"/>
                <w:szCs w:val="15"/>
                <w:highlight w:val="none"/>
              </w:rPr>
            </w:pPr>
            <w:r>
              <w:rPr>
                <w:sz w:val="15"/>
                <w:szCs w:val="15"/>
                <w:highlight w:val="none"/>
              </w:rPr>
              <w:t>0</w:t>
            </w:r>
          </w:p>
        </w:tc>
        <w:tc>
          <w:tcPr>
            <w:tcW w:w="425" w:type="pct"/>
            <w:tcBorders>
              <w:top w:val="nil"/>
              <w:left w:val="nil"/>
              <w:bottom w:val="single" w:color="auto" w:sz="4" w:space="0"/>
              <w:right w:val="single" w:color="auto" w:sz="4" w:space="0"/>
            </w:tcBorders>
            <w:shd w:val="clear" w:color="auto" w:fill="auto"/>
            <w:noWrap/>
            <w:vAlign w:val="center"/>
          </w:tcPr>
          <w:p w14:paraId="0F1D3850">
            <w:pPr>
              <w:widowControl/>
              <w:jc w:val="center"/>
              <w:rPr>
                <w:sz w:val="15"/>
                <w:szCs w:val="15"/>
                <w:highlight w:val="none"/>
              </w:rPr>
            </w:pPr>
            <w:r>
              <w:rPr>
                <w:sz w:val="15"/>
                <w:szCs w:val="15"/>
                <w:highlight w:val="none"/>
              </w:rPr>
              <w:t>8</w:t>
            </w:r>
          </w:p>
        </w:tc>
        <w:tc>
          <w:tcPr>
            <w:tcW w:w="268" w:type="pct"/>
            <w:tcBorders>
              <w:top w:val="nil"/>
              <w:left w:val="nil"/>
              <w:bottom w:val="single" w:color="auto" w:sz="4" w:space="0"/>
              <w:right w:val="single" w:color="auto" w:sz="4" w:space="0"/>
            </w:tcBorders>
            <w:shd w:val="clear" w:color="auto" w:fill="auto"/>
            <w:noWrap/>
            <w:vAlign w:val="center"/>
          </w:tcPr>
          <w:p w14:paraId="6F060EE8">
            <w:pPr>
              <w:widowControl/>
              <w:jc w:val="center"/>
              <w:rPr>
                <w:sz w:val="15"/>
                <w:szCs w:val="15"/>
                <w:highlight w:val="none"/>
              </w:rPr>
            </w:pPr>
            <w:r>
              <w:rPr>
                <w:sz w:val="15"/>
                <w:szCs w:val="15"/>
                <w:highlight w:val="none"/>
              </w:rPr>
              <w:t>/</w:t>
            </w:r>
          </w:p>
        </w:tc>
      </w:tr>
      <w:tr w14:paraId="6A665194">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24364C02">
            <w:pPr>
              <w:widowControl/>
              <w:jc w:val="center"/>
              <w:rPr>
                <w:sz w:val="15"/>
                <w:szCs w:val="15"/>
                <w:highlight w:val="none"/>
              </w:rPr>
            </w:pPr>
            <w:r>
              <w:rPr>
                <w:sz w:val="15"/>
                <w:szCs w:val="15"/>
                <w:highlight w:val="none"/>
              </w:rPr>
              <w:t>2025.10.16</w:t>
            </w:r>
          </w:p>
        </w:tc>
        <w:tc>
          <w:tcPr>
            <w:tcW w:w="268" w:type="pct"/>
            <w:tcBorders>
              <w:top w:val="nil"/>
              <w:left w:val="nil"/>
              <w:bottom w:val="single" w:color="auto" w:sz="4" w:space="0"/>
              <w:right w:val="single" w:color="auto" w:sz="4" w:space="0"/>
            </w:tcBorders>
            <w:shd w:val="clear" w:color="auto" w:fill="auto"/>
            <w:noWrap/>
            <w:vAlign w:val="center"/>
          </w:tcPr>
          <w:p w14:paraId="520EB767">
            <w:pPr>
              <w:widowControl/>
              <w:jc w:val="center"/>
              <w:rPr>
                <w:sz w:val="15"/>
                <w:szCs w:val="15"/>
                <w:highlight w:val="none"/>
              </w:rPr>
            </w:pPr>
            <w:r>
              <w:rPr>
                <w:sz w:val="15"/>
                <w:szCs w:val="15"/>
                <w:highlight w:val="none"/>
              </w:rPr>
              <w:t>7.04</w:t>
            </w:r>
          </w:p>
        </w:tc>
        <w:tc>
          <w:tcPr>
            <w:tcW w:w="354" w:type="pct"/>
            <w:tcBorders>
              <w:top w:val="nil"/>
              <w:left w:val="nil"/>
              <w:bottom w:val="single" w:color="auto" w:sz="4" w:space="0"/>
              <w:right w:val="single" w:color="auto" w:sz="4" w:space="0"/>
            </w:tcBorders>
            <w:shd w:val="clear" w:color="auto" w:fill="auto"/>
            <w:noWrap/>
            <w:vAlign w:val="center"/>
          </w:tcPr>
          <w:p w14:paraId="199EB99F">
            <w:pPr>
              <w:widowControl/>
              <w:jc w:val="center"/>
              <w:rPr>
                <w:sz w:val="15"/>
                <w:szCs w:val="15"/>
                <w:highlight w:val="none"/>
              </w:rPr>
            </w:pPr>
            <w:r>
              <w:rPr>
                <w:sz w:val="15"/>
                <w:szCs w:val="15"/>
                <w:highlight w:val="none"/>
              </w:rPr>
              <w:t>1.24</w:t>
            </w:r>
          </w:p>
        </w:tc>
        <w:tc>
          <w:tcPr>
            <w:tcW w:w="401" w:type="pct"/>
            <w:tcBorders>
              <w:top w:val="nil"/>
              <w:left w:val="nil"/>
              <w:bottom w:val="single" w:color="auto" w:sz="4" w:space="0"/>
              <w:right w:val="single" w:color="auto" w:sz="4" w:space="0"/>
            </w:tcBorders>
            <w:shd w:val="clear" w:color="auto" w:fill="auto"/>
            <w:noWrap/>
            <w:vAlign w:val="center"/>
          </w:tcPr>
          <w:p w14:paraId="7943BC02">
            <w:pPr>
              <w:widowControl/>
              <w:jc w:val="center"/>
              <w:rPr>
                <w:sz w:val="15"/>
                <w:szCs w:val="15"/>
                <w:highlight w:val="none"/>
              </w:rPr>
            </w:pPr>
            <w:r>
              <w:rPr>
                <w:sz w:val="15"/>
                <w:szCs w:val="15"/>
                <w:highlight w:val="none"/>
              </w:rPr>
              <w:t>1667</w:t>
            </w:r>
          </w:p>
        </w:tc>
        <w:tc>
          <w:tcPr>
            <w:tcW w:w="382" w:type="pct"/>
            <w:tcBorders>
              <w:top w:val="nil"/>
              <w:left w:val="nil"/>
              <w:bottom w:val="single" w:color="auto" w:sz="4" w:space="0"/>
              <w:right w:val="single" w:color="auto" w:sz="4" w:space="0"/>
            </w:tcBorders>
            <w:shd w:val="clear" w:color="auto" w:fill="auto"/>
            <w:noWrap/>
            <w:vAlign w:val="center"/>
          </w:tcPr>
          <w:p w14:paraId="3690A239">
            <w:pPr>
              <w:widowControl/>
              <w:jc w:val="center"/>
              <w:rPr>
                <w:sz w:val="15"/>
                <w:szCs w:val="15"/>
                <w:highlight w:val="none"/>
              </w:rPr>
            </w:pPr>
            <w:r>
              <w:rPr>
                <w:sz w:val="15"/>
                <w:szCs w:val="15"/>
                <w:highlight w:val="none"/>
              </w:rPr>
              <w:t>14.5</w:t>
            </w:r>
          </w:p>
        </w:tc>
        <w:tc>
          <w:tcPr>
            <w:tcW w:w="368" w:type="pct"/>
            <w:tcBorders>
              <w:top w:val="nil"/>
              <w:left w:val="nil"/>
              <w:bottom w:val="single" w:color="auto" w:sz="4" w:space="0"/>
              <w:right w:val="single" w:color="auto" w:sz="4" w:space="0"/>
            </w:tcBorders>
            <w:shd w:val="clear" w:color="auto" w:fill="auto"/>
            <w:noWrap/>
            <w:vAlign w:val="center"/>
          </w:tcPr>
          <w:p w14:paraId="65AC242B">
            <w:pPr>
              <w:widowControl/>
              <w:jc w:val="center"/>
              <w:rPr>
                <w:sz w:val="15"/>
                <w:szCs w:val="15"/>
                <w:highlight w:val="none"/>
              </w:rPr>
            </w:pPr>
            <w:r>
              <w:rPr>
                <w:sz w:val="15"/>
                <w:szCs w:val="15"/>
                <w:highlight w:val="none"/>
              </w:rPr>
              <w:t>0.52</w:t>
            </w:r>
          </w:p>
        </w:tc>
        <w:tc>
          <w:tcPr>
            <w:tcW w:w="368" w:type="pct"/>
            <w:tcBorders>
              <w:top w:val="nil"/>
              <w:left w:val="nil"/>
              <w:bottom w:val="single" w:color="auto" w:sz="4" w:space="0"/>
              <w:right w:val="single" w:color="auto" w:sz="4" w:space="0"/>
            </w:tcBorders>
            <w:shd w:val="clear" w:color="auto" w:fill="auto"/>
            <w:noWrap/>
            <w:vAlign w:val="center"/>
          </w:tcPr>
          <w:p w14:paraId="17F4800F">
            <w:pPr>
              <w:widowControl/>
              <w:jc w:val="center"/>
              <w:rPr>
                <w:sz w:val="15"/>
                <w:szCs w:val="15"/>
                <w:highlight w:val="none"/>
              </w:rPr>
            </w:pPr>
            <w:r>
              <w:rPr>
                <w:sz w:val="15"/>
                <w:szCs w:val="15"/>
                <w:highlight w:val="none"/>
              </w:rPr>
              <w:t xml:space="preserve">204.40 </w:t>
            </w:r>
          </w:p>
        </w:tc>
        <w:tc>
          <w:tcPr>
            <w:tcW w:w="462" w:type="pct"/>
            <w:tcBorders>
              <w:top w:val="nil"/>
              <w:left w:val="nil"/>
              <w:bottom w:val="single" w:color="auto" w:sz="4" w:space="0"/>
              <w:right w:val="single" w:color="auto" w:sz="4" w:space="0"/>
            </w:tcBorders>
            <w:shd w:val="clear" w:color="auto" w:fill="auto"/>
            <w:noWrap/>
            <w:vAlign w:val="center"/>
          </w:tcPr>
          <w:p w14:paraId="19E16B49">
            <w:pPr>
              <w:widowControl/>
              <w:jc w:val="center"/>
              <w:rPr>
                <w:sz w:val="15"/>
                <w:szCs w:val="15"/>
                <w:highlight w:val="none"/>
              </w:rPr>
            </w:pPr>
            <w:r>
              <w:rPr>
                <w:sz w:val="15"/>
                <w:szCs w:val="15"/>
                <w:highlight w:val="none"/>
              </w:rPr>
              <w:t>5.07</w:t>
            </w:r>
          </w:p>
        </w:tc>
        <w:tc>
          <w:tcPr>
            <w:tcW w:w="462" w:type="pct"/>
            <w:tcBorders>
              <w:top w:val="nil"/>
              <w:left w:val="nil"/>
              <w:bottom w:val="single" w:color="auto" w:sz="4" w:space="0"/>
              <w:right w:val="single" w:color="auto" w:sz="4" w:space="0"/>
            </w:tcBorders>
            <w:shd w:val="clear" w:color="auto" w:fill="auto"/>
            <w:noWrap/>
            <w:vAlign w:val="center"/>
          </w:tcPr>
          <w:p w14:paraId="77DD8CF5">
            <w:pPr>
              <w:widowControl/>
              <w:jc w:val="center"/>
              <w:rPr>
                <w:sz w:val="15"/>
                <w:szCs w:val="15"/>
                <w:highlight w:val="none"/>
              </w:rPr>
            </w:pPr>
            <w:r>
              <w:rPr>
                <w:sz w:val="15"/>
                <w:szCs w:val="15"/>
                <w:highlight w:val="none"/>
              </w:rPr>
              <w:t>4.70</w:t>
            </w:r>
          </w:p>
        </w:tc>
        <w:tc>
          <w:tcPr>
            <w:tcW w:w="368" w:type="pct"/>
            <w:tcBorders>
              <w:top w:val="nil"/>
              <w:left w:val="nil"/>
              <w:bottom w:val="single" w:color="auto" w:sz="4" w:space="0"/>
              <w:right w:val="single" w:color="auto" w:sz="4" w:space="0"/>
            </w:tcBorders>
            <w:shd w:val="clear" w:color="auto" w:fill="auto"/>
            <w:noWrap/>
            <w:vAlign w:val="center"/>
          </w:tcPr>
          <w:p w14:paraId="0975911D">
            <w:pPr>
              <w:widowControl/>
              <w:jc w:val="center"/>
              <w:rPr>
                <w:sz w:val="15"/>
                <w:szCs w:val="15"/>
                <w:highlight w:val="none"/>
              </w:rPr>
            </w:pPr>
            <w:r>
              <w:rPr>
                <w:sz w:val="15"/>
                <w:szCs w:val="15"/>
                <w:highlight w:val="none"/>
              </w:rPr>
              <w:t>0.41</w:t>
            </w:r>
          </w:p>
        </w:tc>
        <w:tc>
          <w:tcPr>
            <w:tcW w:w="368" w:type="pct"/>
            <w:tcBorders>
              <w:top w:val="nil"/>
              <w:left w:val="nil"/>
              <w:bottom w:val="single" w:color="auto" w:sz="4" w:space="0"/>
              <w:right w:val="single" w:color="auto" w:sz="4" w:space="0"/>
            </w:tcBorders>
            <w:shd w:val="clear" w:color="auto" w:fill="auto"/>
            <w:noWrap/>
            <w:vAlign w:val="center"/>
          </w:tcPr>
          <w:p w14:paraId="7E4CAD9E">
            <w:pPr>
              <w:widowControl/>
              <w:jc w:val="center"/>
              <w:rPr>
                <w:sz w:val="15"/>
                <w:szCs w:val="15"/>
                <w:highlight w:val="none"/>
              </w:rPr>
            </w:pPr>
            <w:r>
              <w:rPr>
                <w:sz w:val="15"/>
                <w:szCs w:val="15"/>
                <w:highlight w:val="none"/>
              </w:rPr>
              <w:t>0</w:t>
            </w:r>
          </w:p>
        </w:tc>
        <w:tc>
          <w:tcPr>
            <w:tcW w:w="425" w:type="pct"/>
            <w:tcBorders>
              <w:top w:val="nil"/>
              <w:left w:val="nil"/>
              <w:bottom w:val="single" w:color="auto" w:sz="4" w:space="0"/>
              <w:right w:val="single" w:color="auto" w:sz="4" w:space="0"/>
            </w:tcBorders>
            <w:shd w:val="clear" w:color="auto" w:fill="auto"/>
            <w:noWrap/>
            <w:vAlign w:val="center"/>
          </w:tcPr>
          <w:p w14:paraId="5EAD8D6B">
            <w:pPr>
              <w:widowControl/>
              <w:jc w:val="center"/>
              <w:rPr>
                <w:sz w:val="15"/>
                <w:szCs w:val="15"/>
                <w:highlight w:val="none"/>
              </w:rPr>
            </w:pPr>
            <w:r>
              <w:rPr>
                <w:sz w:val="15"/>
                <w:szCs w:val="15"/>
                <w:highlight w:val="none"/>
              </w:rPr>
              <w:t>6</w:t>
            </w:r>
          </w:p>
        </w:tc>
        <w:tc>
          <w:tcPr>
            <w:tcW w:w="268" w:type="pct"/>
            <w:tcBorders>
              <w:top w:val="nil"/>
              <w:left w:val="nil"/>
              <w:bottom w:val="single" w:color="auto" w:sz="4" w:space="0"/>
              <w:right w:val="single" w:color="auto" w:sz="4" w:space="0"/>
            </w:tcBorders>
            <w:shd w:val="clear" w:color="auto" w:fill="auto"/>
            <w:noWrap/>
            <w:vAlign w:val="center"/>
          </w:tcPr>
          <w:p w14:paraId="43172800">
            <w:pPr>
              <w:widowControl/>
              <w:jc w:val="center"/>
              <w:rPr>
                <w:sz w:val="15"/>
                <w:szCs w:val="15"/>
                <w:highlight w:val="none"/>
              </w:rPr>
            </w:pPr>
            <w:r>
              <w:rPr>
                <w:sz w:val="15"/>
                <w:szCs w:val="15"/>
                <w:highlight w:val="none"/>
              </w:rPr>
              <w:t>/</w:t>
            </w:r>
          </w:p>
        </w:tc>
      </w:tr>
      <w:tr w14:paraId="06443F3F">
        <w:tblPrEx>
          <w:tblCellMar>
            <w:top w:w="0" w:type="dxa"/>
            <w:left w:w="108" w:type="dxa"/>
            <w:bottom w:w="0" w:type="dxa"/>
            <w:right w:w="108" w:type="dxa"/>
          </w:tblCellMar>
        </w:tblPrEx>
        <w:trPr>
          <w:trHeight w:val="300" w:hRule="atLeast"/>
        </w:trPr>
        <w:tc>
          <w:tcPr>
            <w:tcW w:w="49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25482D7">
            <w:pPr>
              <w:widowControl/>
              <w:jc w:val="center"/>
              <w:rPr>
                <w:sz w:val="15"/>
                <w:szCs w:val="15"/>
                <w:highlight w:val="none"/>
              </w:rPr>
            </w:pPr>
            <w:r>
              <w:rPr>
                <w:sz w:val="15"/>
                <w:szCs w:val="15"/>
                <w:highlight w:val="none"/>
              </w:rPr>
              <w:t>2025.10.23</w:t>
            </w:r>
          </w:p>
        </w:tc>
        <w:tc>
          <w:tcPr>
            <w:tcW w:w="26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F2C5769">
            <w:pPr>
              <w:widowControl/>
              <w:jc w:val="center"/>
              <w:rPr>
                <w:sz w:val="15"/>
                <w:szCs w:val="15"/>
                <w:highlight w:val="none"/>
              </w:rPr>
            </w:pPr>
            <w:r>
              <w:rPr>
                <w:sz w:val="15"/>
                <w:szCs w:val="15"/>
                <w:highlight w:val="none"/>
              </w:rPr>
              <w:t>7.88</w:t>
            </w:r>
          </w:p>
        </w:tc>
        <w:tc>
          <w:tcPr>
            <w:tcW w:w="35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32220CC">
            <w:pPr>
              <w:widowControl/>
              <w:jc w:val="center"/>
              <w:rPr>
                <w:sz w:val="15"/>
                <w:szCs w:val="15"/>
                <w:highlight w:val="none"/>
              </w:rPr>
            </w:pPr>
            <w:r>
              <w:rPr>
                <w:sz w:val="15"/>
                <w:szCs w:val="15"/>
                <w:highlight w:val="none"/>
              </w:rPr>
              <w:t>2.07</w:t>
            </w:r>
          </w:p>
        </w:tc>
        <w:tc>
          <w:tcPr>
            <w:tcW w:w="40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F512127">
            <w:pPr>
              <w:widowControl/>
              <w:jc w:val="center"/>
              <w:rPr>
                <w:sz w:val="15"/>
                <w:szCs w:val="15"/>
                <w:highlight w:val="none"/>
              </w:rPr>
            </w:pPr>
            <w:r>
              <w:rPr>
                <w:sz w:val="15"/>
                <w:szCs w:val="15"/>
                <w:highlight w:val="none"/>
              </w:rPr>
              <w:t>1738</w:t>
            </w:r>
          </w:p>
        </w:tc>
        <w:tc>
          <w:tcPr>
            <w:tcW w:w="38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671B65A">
            <w:pPr>
              <w:widowControl/>
              <w:jc w:val="center"/>
              <w:rPr>
                <w:sz w:val="15"/>
                <w:szCs w:val="15"/>
                <w:highlight w:val="none"/>
              </w:rPr>
            </w:pPr>
            <w:r>
              <w:rPr>
                <w:sz w:val="15"/>
                <w:szCs w:val="15"/>
                <w:highlight w:val="none"/>
              </w:rPr>
              <w:t>7.4</w:t>
            </w:r>
          </w:p>
        </w:tc>
        <w:tc>
          <w:tcPr>
            <w:tcW w:w="36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36D64BA">
            <w:pPr>
              <w:widowControl/>
              <w:jc w:val="center"/>
              <w:rPr>
                <w:sz w:val="15"/>
                <w:szCs w:val="15"/>
                <w:highlight w:val="none"/>
              </w:rPr>
            </w:pPr>
            <w:r>
              <w:rPr>
                <w:sz w:val="15"/>
                <w:szCs w:val="15"/>
                <w:highlight w:val="none"/>
              </w:rPr>
              <w:t>0.12</w:t>
            </w:r>
          </w:p>
        </w:tc>
        <w:tc>
          <w:tcPr>
            <w:tcW w:w="36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6BDF8BA">
            <w:pPr>
              <w:widowControl/>
              <w:jc w:val="center"/>
              <w:rPr>
                <w:sz w:val="15"/>
                <w:szCs w:val="15"/>
                <w:highlight w:val="none"/>
              </w:rPr>
            </w:pPr>
            <w:r>
              <w:rPr>
                <w:sz w:val="15"/>
                <w:szCs w:val="15"/>
                <w:highlight w:val="none"/>
              </w:rPr>
              <w:t>250.20</w:t>
            </w:r>
          </w:p>
        </w:tc>
        <w:tc>
          <w:tcPr>
            <w:tcW w:w="46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0FBEA83">
            <w:pPr>
              <w:widowControl/>
              <w:jc w:val="center"/>
              <w:rPr>
                <w:sz w:val="15"/>
                <w:szCs w:val="15"/>
                <w:highlight w:val="none"/>
              </w:rPr>
            </w:pPr>
            <w:r>
              <w:rPr>
                <w:sz w:val="15"/>
                <w:szCs w:val="15"/>
                <w:highlight w:val="none"/>
              </w:rPr>
              <w:t>5.36</w:t>
            </w:r>
          </w:p>
        </w:tc>
        <w:tc>
          <w:tcPr>
            <w:tcW w:w="46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B606F7D">
            <w:pPr>
              <w:widowControl/>
              <w:jc w:val="center"/>
              <w:rPr>
                <w:sz w:val="15"/>
                <w:szCs w:val="15"/>
                <w:highlight w:val="none"/>
              </w:rPr>
            </w:pPr>
            <w:r>
              <w:rPr>
                <w:sz w:val="15"/>
                <w:szCs w:val="15"/>
                <w:highlight w:val="none"/>
              </w:rPr>
              <w:t>4.17</w:t>
            </w:r>
          </w:p>
        </w:tc>
        <w:tc>
          <w:tcPr>
            <w:tcW w:w="36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DA20EB0">
            <w:pPr>
              <w:widowControl/>
              <w:jc w:val="center"/>
              <w:rPr>
                <w:sz w:val="15"/>
                <w:szCs w:val="15"/>
                <w:highlight w:val="none"/>
              </w:rPr>
            </w:pPr>
            <w:r>
              <w:rPr>
                <w:sz w:val="15"/>
                <w:szCs w:val="15"/>
                <w:highlight w:val="none"/>
              </w:rPr>
              <w:t>0.80</w:t>
            </w:r>
          </w:p>
        </w:tc>
        <w:tc>
          <w:tcPr>
            <w:tcW w:w="36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D1A4E95">
            <w:pPr>
              <w:widowControl/>
              <w:jc w:val="center"/>
              <w:rPr>
                <w:sz w:val="15"/>
                <w:szCs w:val="15"/>
                <w:highlight w:val="none"/>
              </w:rPr>
            </w:pPr>
            <w:r>
              <w:rPr>
                <w:sz w:val="15"/>
                <w:szCs w:val="15"/>
                <w:highlight w:val="none"/>
              </w:rPr>
              <w:t>0</w:t>
            </w:r>
          </w:p>
        </w:tc>
        <w:tc>
          <w:tcPr>
            <w:tcW w:w="42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5455909">
            <w:pPr>
              <w:widowControl/>
              <w:jc w:val="center"/>
              <w:rPr>
                <w:sz w:val="15"/>
                <w:szCs w:val="15"/>
                <w:highlight w:val="none"/>
              </w:rPr>
            </w:pPr>
            <w:r>
              <w:rPr>
                <w:sz w:val="15"/>
                <w:szCs w:val="15"/>
                <w:highlight w:val="none"/>
              </w:rPr>
              <w:t>5</w:t>
            </w:r>
          </w:p>
        </w:tc>
        <w:tc>
          <w:tcPr>
            <w:tcW w:w="26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0757CDF">
            <w:pPr>
              <w:widowControl/>
              <w:jc w:val="center"/>
              <w:rPr>
                <w:sz w:val="15"/>
                <w:szCs w:val="15"/>
                <w:highlight w:val="none"/>
              </w:rPr>
            </w:pPr>
            <w:r>
              <w:rPr>
                <w:sz w:val="15"/>
                <w:szCs w:val="15"/>
                <w:highlight w:val="none"/>
              </w:rPr>
              <w:t>/</w:t>
            </w:r>
          </w:p>
        </w:tc>
      </w:tr>
      <w:tr w14:paraId="77A88CB8">
        <w:tblPrEx>
          <w:tblCellMar>
            <w:top w:w="0" w:type="dxa"/>
            <w:left w:w="108" w:type="dxa"/>
            <w:bottom w:w="0" w:type="dxa"/>
            <w:right w:w="108" w:type="dxa"/>
          </w:tblCellMar>
        </w:tblPrEx>
        <w:trPr>
          <w:trHeight w:val="300" w:hRule="atLeast"/>
        </w:trPr>
        <w:tc>
          <w:tcPr>
            <w:tcW w:w="49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33B0B43">
            <w:pPr>
              <w:widowControl/>
              <w:jc w:val="center"/>
              <w:rPr>
                <w:sz w:val="15"/>
                <w:szCs w:val="15"/>
                <w:highlight w:val="none"/>
              </w:rPr>
            </w:pPr>
            <w:r>
              <w:rPr>
                <w:sz w:val="15"/>
                <w:szCs w:val="15"/>
                <w:highlight w:val="none"/>
              </w:rPr>
              <w:t>2025.10.30</w:t>
            </w:r>
          </w:p>
        </w:tc>
        <w:tc>
          <w:tcPr>
            <w:tcW w:w="268" w:type="pct"/>
            <w:tcBorders>
              <w:top w:val="single" w:color="auto" w:sz="4" w:space="0"/>
              <w:left w:val="nil"/>
              <w:bottom w:val="single" w:color="auto" w:sz="4" w:space="0"/>
              <w:right w:val="single" w:color="auto" w:sz="4" w:space="0"/>
            </w:tcBorders>
            <w:shd w:val="clear" w:color="auto" w:fill="auto"/>
            <w:noWrap/>
            <w:vAlign w:val="center"/>
          </w:tcPr>
          <w:p w14:paraId="0B2BC5BC">
            <w:pPr>
              <w:widowControl/>
              <w:jc w:val="center"/>
              <w:rPr>
                <w:sz w:val="15"/>
                <w:szCs w:val="15"/>
                <w:highlight w:val="none"/>
              </w:rPr>
            </w:pPr>
            <w:r>
              <w:rPr>
                <w:sz w:val="15"/>
                <w:szCs w:val="15"/>
                <w:highlight w:val="none"/>
              </w:rPr>
              <w:t>6.72</w:t>
            </w:r>
          </w:p>
        </w:tc>
        <w:tc>
          <w:tcPr>
            <w:tcW w:w="354" w:type="pct"/>
            <w:tcBorders>
              <w:top w:val="single" w:color="auto" w:sz="4" w:space="0"/>
              <w:left w:val="nil"/>
              <w:bottom w:val="single" w:color="auto" w:sz="4" w:space="0"/>
              <w:right w:val="single" w:color="auto" w:sz="4" w:space="0"/>
            </w:tcBorders>
            <w:shd w:val="clear" w:color="auto" w:fill="auto"/>
            <w:noWrap/>
            <w:vAlign w:val="center"/>
          </w:tcPr>
          <w:p w14:paraId="294D8036">
            <w:pPr>
              <w:widowControl/>
              <w:jc w:val="center"/>
              <w:rPr>
                <w:sz w:val="15"/>
                <w:szCs w:val="15"/>
                <w:highlight w:val="none"/>
              </w:rPr>
            </w:pPr>
            <w:r>
              <w:rPr>
                <w:sz w:val="15"/>
                <w:szCs w:val="15"/>
                <w:highlight w:val="none"/>
              </w:rPr>
              <w:t>1.30</w:t>
            </w:r>
          </w:p>
        </w:tc>
        <w:tc>
          <w:tcPr>
            <w:tcW w:w="401" w:type="pct"/>
            <w:tcBorders>
              <w:top w:val="single" w:color="auto" w:sz="4" w:space="0"/>
              <w:left w:val="nil"/>
              <w:bottom w:val="single" w:color="auto" w:sz="4" w:space="0"/>
              <w:right w:val="single" w:color="auto" w:sz="4" w:space="0"/>
            </w:tcBorders>
            <w:shd w:val="clear" w:color="auto" w:fill="auto"/>
            <w:noWrap/>
            <w:vAlign w:val="center"/>
          </w:tcPr>
          <w:p w14:paraId="1D3C69F5">
            <w:pPr>
              <w:widowControl/>
              <w:jc w:val="center"/>
              <w:rPr>
                <w:sz w:val="15"/>
                <w:szCs w:val="15"/>
                <w:highlight w:val="none"/>
              </w:rPr>
            </w:pPr>
            <w:r>
              <w:rPr>
                <w:sz w:val="15"/>
                <w:szCs w:val="15"/>
                <w:highlight w:val="none"/>
              </w:rPr>
              <w:t>1490</w:t>
            </w:r>
          </w:p>
        </w:tc>
        <w:tc>
          <w:tcPr>
            <w:tcW w:w="382" w:type="pct"/>
            <w:tcBorders>
              <w:top w:val="single" w:color="auto" w:sz="4" w:space="0"/>
              <w:left w:val="nil"/>
              <w:bottom w:val="single" w:color="auto" w:sz="4" w:space="0"/>
              <w:right w:val="single" w:color="auto" w:sz="4" w:space="0"/>
            </w:tcBorders>
            <w:shd w:val="clear" w:color="auto" w:fill="auto"/>
            <w:noWrap/>
            <w:vAlign w:val="center"/>
          </w:tcPr>
          <w:p w14:paraId="31B99823">
            <w:pPr>
              <w:widowControl/>
              <w:jc w:val="center"/>
              <w:rPr>
                <w:sz w:val="15"/>
                <w:szCs w:val="15"/>
                <w:highlight w:val="none"/>
              </w:rPr>
            </w:pPr>
            <w:r>
              <w:rPr>
                <w:sz w:val="15"/>
                <w:szCs w:val="15"/>
                <w:highlight w:val="none"/>
              </w:rPr>
              <w:t>7.7</w:t>
            </w:r>
          </w:p>
        </w:tc>
        <w:tc>
          <w:tcPr>
            <w:tcW w:w="368" w:type="pct"/>
            <w:tcBorders>
              <w:top w:val="single" w:color="auto" w:sz="4" w:space="0"/>
              <w:left w:val="nil"/>
              <w:bottom w:val="single" w:color="auto" w:sz="4" w:space="0"/>
              <w:right w:val="single" w:color="auto" w:sz="4" w:space="0"/>
            </w:tcBorders>
            <w:shd w:val="clear" w:color="auto" w:fill="auto"/>
            <w:noWrap/>
            <w:vAlign w:val="center"/>
          </w:tcPr>
          <w:p w14:paraId="380E346B">
            <w:pPr>
              <w:widowControl/>
              <w:jc w:val="center"/>
              <w:rPr>
                <w:sz w:val="15"/>
                <w:szCs w:val="15"/>
                <w:highlight w:val="none"/>
              </w:rPr>
            </w:pPr>
            <w:r>
              <w:rPr>
                <w:sz w:val="15"/>
                <w:szCs w:val="15"/>
                <w:highlight w:val="none"/>
              </w:rPr>
              <w:t>0.09</w:t>
            </w:r>
          </w:p>
        </w:tc>
        <w:tc>
          <w:tcPr>
            <w:tcW w:w="368" w:type="pct"/>
            <w:tcBorders>
              <w:top w:val="single" w:color="auto" w:sz="4" w:space="0"/>
              <w:left w:val="nil"/>
              <w:bottom w:val="single" w:color="auto" w:sz="4" w:space="0"/>
              <w:right w:val="single" w:color="auto" w:sz="4" w:space="0"/>
            </w:tcBorders>
            <w:shd w:val="clear" w:color="auto" w:fill="auto"/>
            <w:noWrap/>
            <w:vAlign w:val="center"/>
          </w:tcPr>
          <w:p w14:paraId="13FDC9D3">
            <w:pPr>
              <w:widowControl/>
              <w:jc w:val="center"/>
              <w:rPr>
                <w:sz w:val="15"/>
                <w:szCs w:val="15"/>
                <w:highlight w:val="none"/>
              </w:rPr>
            </w:pPr>
            <w:r>
              <w:rPr>
                <w:sz w:val="15"/>
                <w:szCs w:val="15"/>
                <w:highlight w:val="none"/>
              </w:rPr>
              <w:t>176.72</w:t>
            </w:r>
          </w:p>
        </w:tc>
        <w:tc>
          <w:tcPr>
            <w:tcW w:w="462" w:type="pct"/>
            <w:tcBorders>
              <w:top w:val="single" w:color="auto" w:sz="4" w:space="0"/>
              <w:left w:val="nil"/>
              <w:bottom w:val="single" w:color="auto" w:sz="4" w:space="0"/>
              <w:right w:val="single" w:color="auto" w:sz="4" w:space="0"/>
            </w:tcBorders>
            <w:shd w:val="clear" w:color="auto" w:fill="auto"/>
            <w:noWrap/>
            <w:vAlign w:val="center"/>
          </w:tcPr>
          <w:p w14:paraId="0A345077">
            <w:pPr>
              <w:widowControl/>
              <w:jc w:val="center"/>
              <w:rPr>
                <w:sz w:val="15"/>
                <w:szCs w:val="15"/>
                <w:highlight w:val="none"/>
              </w:rPr>
            </w:pPr>
            <w:r>
              <w:rPr>
                <w:sz w:val="15"/>
                <w:szCs w:val="15"/>
                <w:highlight w:val="none"/>
              </w:rPr>
              <w:t>4.39</w:t>
            </w:r>
          </w:p>
        </w:tc>
        <w:tc>
          <w:tcPr>
            <w:tcW w:w="462" w:type="pct"/>
            <w:tcBorders>
              <w:top w:val="single" w:color="auto" w:sz="4" w:space="0"/>
              <w:left w:val="nil"/>
              <w:bottom w:val="single" w:color="auto" w:sz="4" w:space="0"/>
              <w:right w:val="single" w:color="auto" w:sz="4" w:space="0"/>
            </w:tcBorders>
            <w:shd w:val="clear" w:color="auto" w:fill="auto"/>
            <w:noWrap/>
            <w:vAlign w:val="center"/>
          </w:tcPr>
          <w:p w14:paraId="13FF8A2C">
            <w:pPr>
              <w:widowControl/>
              <w:jc w:val="center"/>
              <w:rPr>
                <w:sz w:val="15"/>
                <w:szCs w:val="15"/>
                <w:highlight w:val="none"/>
              </w:rPr>
            </w:pPr>
            <w:r>
              <w:rPr>
                <w:sz w:val="15"/>
                <w:szCs w:val="15"/>
                <w:highlight w:val="none"/>
              </w:rPr>
              <w:t>3.96</w:t>
            </w:r>
          </w:p>
        </w:tc>
        <w:tc>
          <w:tcPr>
            <w:tcW w:w="368" w:type="pct"/>
            <w:tcBorders>
              <w:top w:val="single" w:color="auto" w:sz="4" w:space="0"/>
              <w:left w:val="nil"/>
              <w:bottom w:val="single" w:color="auto" w:sz="4" w:space="0"/>
              <w:right w:val="single" w:color="auto" w:sz="4" w:space="0"/>
            </w:tcBorders>
            <w:shd w:val="clear" w:color="auto" w:fill="auto"/>
            <w:noWrap/>
            <w:vAlign w:val="center"/>
          </w:tcPr>
          <w:p w14:paraId="4D648284">
            <w:pPr>
              <w:widowControl/>
              <w:jc w:val="center"/>
              <w:rPr>
                <w:sz w:val="15"/>
                <w:szCs w:val="15"/>
                <w:highlight w:val="none"/>
              </w:rPr>
            </w:pPr>
            <w:r>
              <w:rPr>
                <w:sz w:val="15"/>
                <w:szCs w:val="15"/>
                <w:highlight w:val="none"/>
              </w:rPr>
              <w:t>0.42</w:t>
            </w:r>
          </w:p>
        </w:tc>
        <w:tc>
          <w:tcPr>
            <w:tcW w:w="368" w:type="pct"/>
            <w:tcBorders>
              <w:top w:val="single" w:color="auto" w:sz="4" w:space="0"/>
              <w:left w:val="nil"/>
              <w:bottom w:val="single" w:color="auto" w:sz="4" w:space="0"/>
              <w:right w:val="single" w:color="auto" w:sz="4" w:space="0"/>
            </w:tcBorders>
            <w:shd w:val="clear" w:color="auto" w:fill="auto"/>
            <w:noWrap/>
            <w:vAlign w:val="center"/>
          </w:tcPr>
          <w:p w14:paraId="23EFD533">
            <w:pPr>
              <w:widowControl/>
              <w:jc w:val="center"/>
              <w:rPr>
                <w:sz w:val="15"/>
                <w:szCs w:val="15"/>
                <w:highlight w:val="none"/>
              </w:rPr>
            </w:pPr>
            <w:r>
              <w:rPr>
                <w:sz w:val="15"/>
                <w:szCs w:val="15"/>
                <w:highlight w:val="none"/>
              </w:rPr>
              <w:t>0</w:t>
            </w:r>
          </w:p>
        </w:tc>
        <w:tc>
          <w:tcPr>
            <w:tcW w:w="425" w:type="pct"/>
            <w:tcBorders>
              <w:top w:val="single" w:color="auto" w:sz="4" w:space="0"/>
              <w:left w:val="nil"/>
              <w:bottom w:val="single" w:color="auto" w:sz="4" w:space="0"/>
              <w:right w:val="single" w:color="auto" w:sz="4" w:space="0"/>
            </w:tcBorders>
            <w:shd w:val="clear" w:color="auto" w:fill="auto"/>
            <w:noWrap/>
            <w:vAlign w:val="center"/>
          </w:tcPr>
          <w:p w14:paraId="42D2D7CC">
            <w:pPr>
              <w:widowControl/>
              <w:jc w:val="center"/>
              <w:rPr>
                <w:sz w:val="15"/>
                <w:szCs w:val="15"/>
                <w:highlight w:val="none"/>
              </w:rPr>
            </w:pPr>
            <w:r>
              <w:rPr>
                <w:sz w:val="15"/>
                <w:szCs w:val="15"/>
                <w:highlight w:val="none"/>
              </w:rPr>
              <w:t>7</w:t>
            </w:r>
          </w:p>
        </w:tc>
        <w:tc>
          <w:tcPr>
            <w:tcW w:w="268" w:type="pct"/>
            <w:tcBorders>
              <w:top w:val="single" w:color="auto" w:sz="4" w:space="0"/>
              <w:left w:val="nil"/>
              <w:bottom w:val="single" w:color="auto" w:sz="4" w:space="0"/>
              <w:right w:val="single" w:color="auto" w:sz="4" w:space="0"/>
            </w:tcBorders>
            <w:shd w:val="clear" w:color="auto" w:fill="auto"/>
            <w:noWrap/>
            <w:vAlign w:val="center"/>
          </w:tcPr>
          <w:p w14:paraId="2DAD97E2">
            <w:pPr>
              <w:widowControl/>
              <w:jc w:val="center"/>
              <w:rPr>
                <w:sz w:val="15"/>
                <w:szCs w:val="15"/>
                <w:highlight w:val="none"/>
              </w:rPr>
            </w:pPr>
            <w:r>
              <w:rPr>
                <w:sz w:val="15"/>
                <w:szCs w:val="15"/>
                <w:highlight w:val="none"/>
              </w:rPr>
              <w:t>0.03</w:t>
            </w:r>
          </w:p>
        </w:tc>
      </w:tr>
      <w:tr w14:paraId="443DD049">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182B63F6">
            <w:pPr>
              <w:widowControl/>
              <w:jc w:val="center"/>
              <w:rPr>
                <w:sz w:val="15"/>
                <w:szCs w:val="15"/>
                <w:highlight w:val="none"/>
              </w:rPr>
            </w:pPr>
            <w:r>
              <w:rPr>
                <w:sz w:val="15"/>
                <w:szCs w:val="15"/>
                <w:highlight w:val="none"/>
              </w:rPr>
              <w:t>2025.11.06</w:t>
            </w:r>
          </w:p>
        </w:tc>
        <w:tc>
          <w:tcPr>
            <w:tcW w:w="268" w:type="pct"/>
            <w:tcBorders>
              <w:top w:val="nil"/>
              <w:left w:val="nil"/>
              <w:bottom w:val="single" w:color="auto" w:sz="4" w:space="0"/>
              <w:right w:val="single" w:color="auto" w:sz="4" w:space="0"/>
            </w:tcBorders>
            <w:shd w:val="clear" w:color="auto" w:fill="auto"/>
            <w:noWrap/>
            <w:vAlign w:val="center"/>
          </w:tcPr>
          <w:p w14:paraId="53A6843F">
            <w:pPr>
              <w:widowControl/>
              <w:jc w:val="center"/>
              <w:rPr>
                <w:sz w:val="15"/>
                <w:szCs w:val="15"/>
                <w:highlight w:val="none"/>
              </w:rPr>
            </w:pPr>
            <w:r>
              <w:rPr>
                <w:sz w:val="15"/>
                <w:szCs w:val="15"/>
                <w:highlight w:val="none"/>
              </w:rPr>
              <w:t>7.35</w:t>
            </w:r>
          </w:p>
        </w:tc>
        <w:tc>
          <w:tcPr>
            <w:tcW w:w="354" w:type="pct"/>
            <w:tcBorders>
              <w:top w:val="nil"/>
              <w:left w:val="nil"/>
              <w:bottom w:val="single" w:color="auto" w:sz="4" w:space="0"/>
              <w:right w:val="single" w:color="auto" w:sz="4" w:space="0"/>
            </w:tcBorders>
            <w:shd w:val="clear" w:color="auto" w:fill="auto"/>
            <w:noWrap/>
            <w:vAlign w:val="center"/>
          </w:tcPr>
          <w:p w14:paraId="362C4159">
            <w:pPr>
              <w:widowControl/>
              <w:jc w:val="center"/>
              <w:rPr>
                <w:sz w:val="15"/>
                <w:szCs w:val="15"/>
                <w:highlight w:val="none"/>
              </w:rPr>
            </w:pPr>
            <w:r>
              <w:rPr>
                <w:sz w:val="15"/>
                <w:szCs w:val="15"/>
                <w:highlight w:val="none"/>
              </w:rPr>
              <w:t>4.49</w:t>
            </w:r>
          </w:p>
        </w:tc>
        <w:tc>
          <w:tcPr>
            <w:tcW w:w="401" w:type="pct"/>
            <w:tcBorders>
              <w:top w:val="nil"/>
              <w:left w:val="nil"/>
              <w:bottom w:val="single" w:color="auto" w:sz="4" w:space="0"/>
              <w:right w:val="single" w:color="auto" w:sz="4" w:space="0"/>
            </w:tcBorders>
            <w:shd w:val="clear" w:color="auto" w:fill="auto"/>
            <w:noWrap/>
            <w:vAlign w:val="center"/>
          </w:tcPr>
          <w:p w14:paraId="5AD3D2B7">
            <w:pPr>
              <w:widowControl/>
              <w:jc w:val="center"/>
              <w:rPr>
                <w:sz w:val="15"/>
                <w:szCs w:val="15"/>
                <w:highlight w:val="none"/>
              </w:rPr>
            </w:pPr>
            <w:r>
              <w:rPr>
                <w:sz w:val="15"/>
                <w:szCs w:val="15"/>
                <w:highlight w:val="none"/>
              </w:rPr>
              <w:t>1500</w:t>
            </w:r>
          </w:p>
        </w:tc>
        <w:tc>
          <w:tcPr>
            <w:tcW w:w="382" w:type="pct"/>
            <w:tcBorders>
              <w:top w:val="nil"/>
              <w:left w:val="nil"/>
              <w:bottom w:val="single" w:color="auto" w:sz="4" w:space="0"/>
              <w:right w:val="single" w:color="auto" w:sz="4" w:space="0"/>
            </w:tcBorders>
            <w:shd w:val="clear" w:color="auto" w:fill="auto"/>
            <w:noWrap/>
            <w:vAlign w:val="center"/>
          </w:tcPr>
          <w:p w14:paraId="0B479917">
            <w:pPr>
              <w:widowControl/>
              <w:jc w:val="center"/>
              <w:rPr>
                <w:sz w:val="15"/>
                <w:szCs w:val="15"/>
                <w:highlight w:val="none"/>
              </w:rPr>
            </w:pPr>
            <w:r>
              <w:rPr>
                <w:sz w:val="15"/>
                <w:szCs w:val="15"/>
                <w:highlight w:val="none"/>
              </w:rPr>
              <w:t>12.3</w:t>
            </w:r>
          </w:p>
        </w:tc>
        <w:tc>
          <w:tcPr>
            <w:tcW w:w="368" w:type="pct"/>
            <w:tcBorders>
              <w:top w:val="nil"/>
              <w:left w:val="nil"/>
              <w:bottom w:val="single" w:color="auto" w:sz="4" w:space="0"/>
              <w:right w:val="single" w:color="auto" w:sz="4" w:space="0"/>
            </w:tcBorders>
            <w:shd w:val="clear" w:color="auto" w:fill="auto"/>
            <w:noWrap/>
            <w:vAlign w:val="center"/>
          </w:tcPr>
          <w:p w14:paraId="54C8BC54">
            <w:pPr>
              <w:widowControl/>
              <w:jc w:val="center"/>
              <w:rPr>
                <w:sz w:val="15"/>
                <w:szCs w:val="15"/>
                <w:highlight w:val="none"/>
              </w:rPr>
            </w:pPr>
            <w:r>
              <w:rPr>
                <w:sz w:val="15"/>
                <w:szCs w:val="15"/>
                <w:highlight w:val="none"/>
              </w:rPr>
              <w:t>1.07</w:t>
            </w:r>
          </w:p>
        </w:tc>
        <w:tc>
          <w:tcPr>
            <w:tcW w:w="368" w:type="pct"/>
            <w:tcBorders>
              <w:top w:val="nil"/>
              <w:left w:val="nil"/>
              <w:bottom w:val="single" w:color="auto" w:sz="4" w:space="0"/>
              <w:right w:val="single" w:color="auto" w:sz="4" w:space="0"/>
            </w:tcBorders>
            <w:shd w:val="clear" w:color="auto" w:fill="auto"/>
            <w:noWrap/>
            <w:vAlign w:val="center"/>
          </w:tcPr>
          <w:p w14:paraId="33EDCC77">
            <w:pPr>
              <w:widowControl/>
              <w:jc w:val="center"/>
              <w:rPr>
                <w:sz w:val="15"/>
                <w:szCs w:val="15"/>
                <w:highlight w:val="none"/>
              </w:rPr>
            </w:pPr>
            <w:r>
              <w:rPr>
                <w:sz w:val="15"/>
                <w:szCs w:val="15"/>
                <w:highlight w:val="none"/>
              </w:rPr>
              <w:t>184.92</w:t>
            </w:r>
          </w:p>
        </w:tc>
        <w:tc>
          <w:tcPr>
            <w:tcW w:w="462" w:type="pct"/>
            <w:tcBorders>
              <w:top w:val="nil"/>
              <w:left w:val="nil"/>
              <w:bottom w:val="single" w:color="auto" w:sz="4" w:space="0"/>
              <w:right w:val="single" w:color="auto" w:sz="4" w:space="0"/>
            </w:tcBorders>
            <w:shd w:val="clear" w:color="auto" w:fill="auto"/>
            <w:noWrap/>
            <w:vAlign w:val="center"/>
          </w:tcPr>
          <w:p w14:paraId="44C9C4ED">
            <w:pPr>
              <w:widowControl/>
              <w:jc w:val="center"/>
              <w:rPr>
                <w:sz w:val="15"/>
                <w:szCs w:val="15"/>
                <w:highlight w:val="none"/>
              </w:rPr>
            </w:pPr>
            <w:r>
              <w:rPr>
                <w:sz w:val="15"/>
                <w:szCs w:val="15"/>
                <w:highlight w:val="none"/>
              </w:rPr>
              <w:t>4.88</w:t>
            </w:r>
          </w:p>
        </w:tc>
        <w:tc>
          <w:tcPr>
            <w:tcW w:w="462" w:type="pct"/>
            <w:tcBorders>
              <w:top w:val="nil"/>
              <w:left w:val="nil"/>
              <w:bottom w:val="single" w:color="auto" w:sz="4" w:space="0"/>
              <w:right w:val="single" w:color="auto" w:sz="4" w:space="0"/>
            </w:tcBorders>
            <w:shd w:val="clear" w:color="auto" w:fill="auto"/>
            <w:noWrap/>
            <w:vAlign w:val="center"/>
          </w:tcPr>
          <w:p w14:paraId="0B948DD2">
            <w:pPr>
              <w:widowControl/>
              <w:jc w:val="center"/>
              <w:rPr>
                <w:sz w:val="15"/>
                <w:szCs w:val="15"/>
                <w:highlight w:val="none"/>
              </w:rPr>
            </w:pPr>
            <w:r>
              <w:rPr>
                <w:sz w:val="15"/>
                <w:szCs w:val="15"/>
                <w:highlight w:val="none"/>
              </w:rPr>
              <w:t>4.49</w:t>
            </w:r>
          </w:p>
        </w:tc>
        <w:tc>
          <w:tcPr>
            <w:tcW w:w="36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D115CF9">
            <w:pPr>
              <w:widowControl/>
              <w:jc w:val="center"/>
              <w:rPr>
                <w:sz w:val="15"/>
                <w:szCs w:val="15"/>
                <w:highlight w:val="none"/>
              </w:rPr>
            </w:pPr>
            <w:r>
              <w:rPr>
                <w:sz w:val="15"/>
                <w:szCs w:val="15"/>
                <w:highlight w:val="none"/>
              </w:rPr>
              <w:t>0.61</w:t>
            </w:r>
          </w:p>
        </w:tc>
        <w:tc>
          <w:tcPr>
            <w:tcW w:w="368" w:type="pct"/>
            <w:tcBorders>
              <w:top w:val="nil"/>
              <w:left w:val="nil"/>
              <w:bottom w:val="single" w:color="auto" w:sz="4" w:space="0"/>
              <w:right w:val="single" w:color="auto" w:sz="4" w:space="0"/>
            </w:tcBorders>
            <w:shd w:val="clear" w:color="auto" w:fill="auto"/>
            <w:noWrap/>
            <w:vAlign w:val="center"/>
          </w:tcPr>
          <w:p w14:paraId="7E289252">
            <w:pPr>
              <w:widowControl/>
              <w:jc w:val="center"/>
              <w:rPr>
                <w:sz w:val="15"/>
                <w:szCs w:val="15"/>
                <w:highlight w:val="none"/>
              </w:rPr>
            </w:pPr>
            <w:r>
              <w:rPr>
                <w:sz w:val="15"/>
                <w:szCs w:val="15"/>
                <w:highlight w:val="none"/>
              </w:rPr>
              <w:t>0</w:t>
            </w:r>
          </w:p>
        </w:tc>
        <w:tc>
          <w:tcPr>
            <w:tcW w:w="425" w:type="pct"/>
            <w:tcBorders>
              <w:top w:val="nil"/>
              <w:left w:val="nil"/>
              <w:bottom w:val="single" w:color="auto" w:sz="4" w:space="0"/>
              <w:right w:val="single" w:color="auto" w:sz="4" w:space="0"/>
            </w:tcBorders>
            <w:shd w:val="clear" w:color="auto" w:fill="auto"/>
            <w:noWrap/>
            <w:vAlign w:val="center"/>
          </w:tcPr>
          <w:p w14:paraId="75825A22">
            <w:pPr>
              <w:widowControl/>
              <w:jc w:val="center"/>
              <w:rPr>
                <w:sz w:val="15"/>
                <w:szCs w:val="15"/>
                <w:highlight w:val="none"/>
              </w:rPr>
            </w:pPr>
            <w:r>
              <w:rPr>
                <w:sz w:val="15"/>
                <w:szCs w:val="15"/>
                <w:highlight w:val="none"/>
              </w:rPr>
              <w:t>9</w:t>
            </w:r>
          </w:p>
        </w:tc>
        <w:tc>
          <w:tcPr>
            <w:tcW w:w="268" w:type="pct"/>
            <w:tcBorders>
              <w:top w:val="nil"/>
              <w:left w:val="nil"/>
              <w:bottom w:val="single" w:color="auto" w:sz="4" w:space="0"/>
              <w:right w:val="single" w:color="auto" w:sz="4" w:space="0"/>
            </w:tcBorders>
            <w:shd w:val="clear" w:color="auto" w:fill="auto"/>
            <w:noWrap/>
            <w:vAlign w:val="center"/>
          </w:tcPr>
          <w:p w14:paraId="24C8BE6B">
            <w:pPr>
              <w:widowControl/>
              <w:jc w:val="center"/>
              <w:rPr>
                <w:sz w:val="15"/>
                <w:szCs w:val="15"/>
                <w:highlight w:val="none"/>
              </w:rPr>
            </w:pPr>
            <w:r>
              <w:rPr>
                <w:sz w:val="15"/>
                <w:szCs w:val="15"/>
                <w:highlight w:val="none"/>
              </w:rPr>
              <w:t>/</w:t>
            </w:r>
          </w:p>
        </w:tc>
      </w:tr>
      <w:tr w14:paraId="67D9EE88">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126C49F4">
            <w:pPr>
              <w:widowControl/>
              <w:jc w:val="center"/>
              <w:rPr>
                <w:sz w:val="15"/>
                <w:szCs w:val="15"/>
                <w:highlight w:val="none"/>
              </w:rPr>
            </w:pPr>
            <w:r>
              <w:rPr>
                <w:sz w:val="15"/>
                <w:szCs w:val="15"/>
                <w:highlight w:val="none"/>
              </w:rPr>
              <w:t>2025.11.13</w:t>
            </w:r>
          </w:p>
        </w:tc>
        <w:tc>
          <w:tcPr>
            <w:tcW w:w="268" w:type="pct"/>
            <w:tcBorders>
              <w:top w:val="nil"/>
              <w:left w:val="nil"/>
              <w:bottom w:val="single" w:color="auto" w:sz="4" w:space="0"/>
              <w:right w:val="single" w:color="auto" w:sz="4" w:space="0"/>
            </w:tcBorders>
            <w:shd w:val="clear" w:color="auto" w:fill="auto"/>
            <w:noWrap/>
            <w:vAlign w:val="center"/>
          </w:tcPr>
          <w:p w14:paraId="5F5DC96A">
            <w:pPr>
              <w:widowControl/>
              <w:jc w:val="center"/>
              <w:rPr>
                <w:sz w:val="15"/>
                <w:szCs w:val="15"/>
                <w:highlight w:val="none"/>
              </w:rPr>
            </w:pPr>
            <w:r>
              <w:rPr>
                <w:sz w:val="15"/>
                <w:szCs w:val="15"/>
                <w:highlight w:val="none"/>
              </w:rPr>
              <w:t>7.46</w:t>
            </w:r>
          </w:p>
        </w:tc>
        <w:tc>
          <w:tcPr>
            <w:tcW w:w="354" w:type="pct"/>
            <w:tcBorders>
              <w:top w:val="nil"/>
              <w:left w:val="nil"/>
              <w:bottom w:val="single" w:color="auto" w:sz="4" w:space="0"/>
              <w:right w:val="single" w:color="auto" w:sz="4" w:space="0"/>
            </w:tcBorders>
            <w:shd w:val="clear" w:color="auto" w:fill="auto"/>
            <w:noWrap/>
            <w:vAlign w:val="center"/>
          </w:tcPr>
          <w:p w14:paraId="2C04D50E">
            <w:pPr>
              <w:widowControl/>
              <w:jc w:val="center"/>
              <w:rPr>
                <w:sz w:val="15"/>
                <w:szCs w:val="15"/>
                <w:highlight w:val="none"/>
              </w:rPr>
            </w:pPr>
            <w:r>
              <w:rPr>
                <w:sz w:val="15"/>
                <w:szCs w:val="15"/>
                <w:highlight w:val="none"/>
              </w:rPr>
              <w:t>2.06</w:t>
            </w:r>
          </w:p>
        </w:tc>
        <w:tc>
          <w:tcPr>
            <w:tcW w:w="401" w:type="pct"/>
            <w:tcBorders>
              <w:top w:val="nil"/>
              <w:left w:val="nil"/>
              <w:bottom w:val="single" w:color="auto" w:sz="4" w:space="0"/>
              <w:right w:val="single" w:color="auto" w:sz="4" w:space="0"/>
            </w:tcBorders>
            <w:shd w:val="clear" w:color="auto" w:fill="auto"/>
            <w:noWrap/>
            <w:vAlign w:val="center"/>
          </w:tcPr>
          <w:p w14:paraId="506E42FE">
            <w:pPr>
              <w:widowControl/>
              <w:jc w:val="center"/>
              <w:rPr>
                <w:sz w:val="15"/>
                <w:szCs w:val="15"/>
                <w:highlight w:val="none"/>
              </w:rPr>
            </w:pPr>
            <w:r>
              <w:rPr>
                <w:sz w:val="15"/>
                <w:szCs w:val="15"/>
                <w:highlight w:val="none"/>
              </w:rPr>
              <w:t>1691</w:t>
            </w:r>
          </w:p>
        </w:tc>
        <w:tc>
          <w:tcPr>
            <w:tcW w:w="382" w:type="pct"/>
            <w:tcBorders>
              <w:top w:val="nil"/>
              <w:left w:val="nil"/>
              <w:bottom w:val="single" w:color="auto" w:sz="4" w:space="0"/>
              <w:right w:val="single" w:color="auto" w:sz="4" w:space="0"/>
            </w:tcBorders>
            <w:shd w:val="clear" w:color="auto" w:fill="auto"/>
            <w:noWrap/>
            <w:vAlign w:val="center"/>
          </w:tcPr>
          <w:p w14:paraId="310CDA00">
            <w:pPr>
              <w:widowControl/>
              <w:jc w:val="center"/>
              <w:rPr>
                <w:sz w:val="15"/>
                <w:szCs w:val="15"/>
                <w:highlight w:val="none"/>
              </w:rPr>
            </w:pPr>
            <w:r>
              <w:rPr>
                <w:sz w:val="15"/>
                <w:szCs w:val="15"/>
                <w:highlight w:val="none"/>
              </w:rPr>
              <w:t>11.4</w:t>
            </w:r>
          </w:p>
        </w:tc>
        <w:tc>
          <w:tcPr>
            <w:tcW w:w="368" w:type="pct"/>
            <w:tcBorders>
              <w:top w:val="nil"/>
              <w:left w:val="nil"/>
              <w:bottom w:val="single" w:color="auto" w:sz="4" w:space="0"/>
              <w:right w:val="single" w:color="auto" w:sz="4" w:space="0"/>
            </w:tcBorders>
            <w:shd w:val="clear" w:color="auto" w:fill="auto"/>
            <w:noWrap/>
            <w:vAlign w:val="center"/>
          </w:tcPr>
          <w:p w14:paraId="5513EFAA">
            <w:pPr>
              <w:widowControl/>
              <w:jc w:val="center"/>
              <w:rPr>
                <w:sz w:val="15"/>
                <w:szCs w:val="15"/>
                <w:highlight w:val="none"/>
              </w:rPr>
            </w:pPr>
            <w:r>
              <w:rPr>
                <w:sz w:val="15"/>
                <w:szCs w:val="15"/>
                <w:highlight w:val="none"/>
              </w:rPr>
              <w:t>0.07</w:t>
            </w:r>
          </w:p>
        </w:tc>
        <w:tc>
          <w:tcPr>
            <w:tcW w:w="368" w:type="pct"/>
            <w:tcBorders>
              <w:top w:val="nil"/>
              <w:left w:val="nil"/>
              <w:bottom w:val="single" w:color="auto" w:sz="4" w:space="0"/>
              <w:right w:val="single" w:color="auto" w:sz="4" w:space="0"/>
            </w:tcBorders>
            <w:shd w:val="clear" w:color="auto" w:fill="auto"/>
            <w:noWrap/>
            <w:vAlign w:val="center"/>
          </w:tcPr>
          <w:p w14:paraId="78DE3967">
            <w:pPr>
              <w:widowControl/>
              <w:jc w:val="center"/>
              <w:rPr>
                <w:sz w:val="15"/>
                <w:szCs w:val="15"/>
                <w:highlight w:val="none"/>
              </w:rPr>
            </w:pPr>
            <w:r>
              <w:rPr>
                <w:sz w:val="15"/>
                <w:szCs w:val="15"/>
                <w:highlight w:val="none"/>
              </w:rPr>
              <w:t>220.47</w:t>
            </w:r>
          </w:p>
        </w:tc>
        <w:tc>
          <w:tcPr>
            <w:tcW w:w="462" w:type="pct"/>
            <w:tcBorders>
              <w:top w:val="nil"/>
              <w:left w:val="nil"/>
              <w:bottom w:val="single" w:color="auto" w:sz="4" w:space="0"/>
              <w:right w:val="single" w:color="auto" w:sz="4" w:space="0"/>
            </w:tcBorders>
            <w:shd w:val="clear" w:color="auto" w:fill="auto"/>
            <w:noWrap/>
            <w:vAlign w:val="center"/>
          </w:tcPr>
          <w:p w14:paraId="004D0CCC">
            <w:pPr>
              <w:widowControl/>
              <w:jc w:val="center"/>
              <w:rPr>
                <w:sz w:val="15"/>
                <w:szCs w:val="15"/>
                <w:highlight w:val="none"/>
              </w:rPr>
            </w:pPr>
            <w:r>
              <w:rPr>
                <w:sz w:val="15"/>
                <w:szCs w:val="15"/>
                <w:highlight w:val="none"/>
              </w:rPr>
              <w:t>5.56</w:t>
            </w:r>
          </w:p>
        </w:tc>
        <w:tc>
          <w:tcPr>
            <w:tcW w:w="462" w:type="pct"/>
            <w:tcBorders>
              <w:top w:val="nil"/>
              <w:left w:val="nil"/>
              <w:bottom w:val="single" w:color="auto" w:sz="4" w:space="0"/>
              <w:right w:val="single" w:color="auto" w:sz="4" w:space="0"/>
            </w:tcBorders>
            <w:shd w:val="clear" w:color="auto" w:fill="auto"/>
            <w:noWrap/>
            <w:vAlign w:val="center"/>
          </w:tcPr>
          <w:p w14:paraId="26F0A2A3">
            <w:pPr>
              <w:widowControl/>
              <w:jc w:val="center"/>
              <w:rPr>
                <w:sz w:val="15"/>
                <w:szCs w:val="15"/>
                <w:highlight w:val="none"/>
              </w:rPr>
            </w:pPr>
            <w:r>
              <w:rPr>
                <w:sz w:val="15"/>
                <w:szCs w:val="15"/>
                <w:highlight w:val="none"/>
              </w:rPr>
              <w:t>4.49</w:t>
            </w:r>
          </w:p>
        </w:tc>
        <w:tc>
          <w:tcPr>
            <w:tcW w:w="368" w:type="pct"/>
            <w:tcBorders>
              <w:top w:val="nil"/>
              <w:left w:val="nil"/>
              <w:bottom w:val="single" w:color="auto" w:sz="4" w:space="0"/>
              <w:right w:val="single" w:color="auto" w:sz="4" w:space="0"/>
            </w:tcBorders>
            <w:shd w:val="clear" w:color="auto" w:fill="auto"/>
            <w:noWrap/>
            <w:vAlign w:val="center"/>
          </w:tcPr>
          <w:p w14:paraId="789C075A">
            <w:pPr>
              <w:widowControl/>
              <w:jc w:val="center"/>
              <w:rPr>
                <w:sz w:val="15"/>
                <w:szCs w:val="15"/>
                <w:highlight w:val="none"/>
              </w:rPr>
            </w:pPr>
            <w:r>
              <w:rPr>
                <w:sz w:val="15"/>
                <w:szCs w:val="15"/>
                <w:highlight w:val="none"/>
              </w:rPr>
              <w:t>0.33</w:t>
            </w:r>
          </w:p>
        </w:tc>
        <w:tc>
          <w:tcPr>
            <w:tcW w:w="368" w:type="pct"/>
            <w:tcBorders>
              <w:top w:val="nil"/>
              <w:left w:val="nil"/>
              <w:bottom w:val="single" w:color="auto" w:sz="4" w:space="0"/>
              <w:right w:val="single" w:color="auto" w:sz="4" w:space="0"/>
            </w:tcBorders>
            <w:shd w:val="clear" w:color="auto" w:fill="auto"/>
            <w:noWrap/>
            <w:vAlign w:val="center"/>
          </w:tcPr>
          <w:p w14:paraId="14D30281">
            <w:pPr>
              <w:widowControl/>
              <w:jc w:val="center"/>
              <w:rPr>
                <w:sz w:val="15"/>
                <w:szCs w:val="15"/>
                <w:highlight w:val="none"/>
              </w:rPr>
            </w:pPr>
            <w:r>
              <w:rPr>
                <w:sz w:val="15"/>
                <w:szCs w:val="15"/>
                <w:highlight w:val="none"/>
              </w:rPr>
              <w:t>0</w:t>
            </w:r>
          </w:p>
        </w:tc>
        <w:tc>
          <w:tcPr>
            <w:tcW w:w="425" w:type="pct"/>
            <w:tcBorders>
              <w:top w:val="nil"/>
              <w:left w:val="nil"/>
              <w:bottom w:val="single" w:color="auto" w:sz="4" w:space="0"/>
              <w:right w:val="single" w:color="auto" w:sz="4" w:space="0"/>
            </w:tcBorders>
            <w:shd w:val="clear" w:color="auto" w:fill="auto"/>
            <w:noWrap/>
            <w:vAlign w:val="center"/>
          </w:tcPr>
          <w:p w14:paraId="7E13DD9C">
            <w:pPr>
              <w:widowControl/>
              <w:jc w:val="center"/>
              <w:rPr>
                <w:sz w:val="15"/>
                <w:szCs w:val="15"/>
                <w:highlight w:val="none"/>
              </w:rPr>
            </w:pPr>
            <w:r>
              <w:rPr>
                <w:sz w:val="15"/>
                <w:szCs w:val="15"/>
                <w:highlight w:val="none"/>
              </w:rPr>
              <w:t>7</w:t>
            </w:r>
          </w:p>
        </w:tc>
        <w:tc>
          <w:tcPr>
            <w:tcW w:w="268" w:type="pct"/>
            <w:tcBorders>
              <w:top w:val="nil"/>
              <w:left w:val="nil"/>
              <w:bottom w:val="single" w:color="auto" w:sz="4" w:space="0"/>
              <w:right w:val="single" w:color="auto" w:sz="4" w:space="0"/>
            </w:tcBorders>
            <w:shd w:val="clear" w:color="auto" w:fill="auto"/>
            <w:noWrap/>
            <w:vAlign w:val="center"/>
          </w:tcPr>
          <w:p w14:paraId="5B29A634">
            <w:pPr>
              <w:widowControl/>
              <w:jc w:val="center"/>
              <w:rPr>
                <w:sz w:val="15"/>
                <w:szCs w:val="15"/>
                <w:highlight w:val="none"/>
              </w:rPr>
            </w:pPr>
            <w:r>
              <w:rPr>
                <w:sz w:val="15"/>
                <w:szCs w:val="15"/>
                <w:highlight w:val="none"/>
              </w:rPr>
              <w:t>/</w:t>
            </w:r>
          </w:p>
        </w:tc>
      </w:tr>
      <w:tr w14:paraId="3524708D">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2EA0C8D9">
            <w:pPr>
              <w:widowControl/>
              <w:jc w:val="center"/>
              <w:rPr>
                <w:sz w:val="15"/>
                <w:szCs w:val="15"/>
                <w:highlight w:val="none"/>
              </w:rPr>
            </w:pPr>
            <w:r>
              <w:rPr>
                <w:sz w:val="15"/>
                <w:szCs w:val="15"/>
                <w:highlight w:val="none"/>
              </w:rPr>
              <w:t>2025.11.20</w:t>
            </w:r>
          </w:p>
        </w:tc>
        <w:tc>
          <w:tcPr>
            <w:tcW w:w="268" w:type="pct"/>
            <w:tcBorders>
              <w:top w:val="nil"/>
              <w:left w:val="nil"/>
              <w:bottom w:val="single" w:color="auto" w:sz="4" w:space="0"/>
              <w:right w:val="single" w:color="auto" w:sz="4" w:space="0"/>
            </w:tcBorders>
            <w:shd w:val="clear" w:color="auto" w:fill="auto"/>
            <w:noWrap/>
            <w:vAlign w:val="center"/>
          </w:tcPr>
          <w:p w14:paraId="694606D2">
            <w:pPr>
              <w:widowControl/>
              <w:jc w:val="center"/>
              <w:rPr>
                <w:sz w:val="15"/>
                <w:szCs w:val="15"/>
                <w:highlight w:val="none"/>
              </w:rPr>
            </w:pPr>
            <w:r>
              <w:rPr>
                <w:sz w:val="15"/>
                <w:szCs w:val="15"/>
                <w:highlight w:val="none"/>
              </w:rPr>
              <w:t>7.39</w:t>
            </w:r>
          </w:p>
        </w:tc>
        <w:tc>
          <w:tcPr>
            <w:tcW w:w="354" w:type="pct"/>
            <w:tcBorders>
              <w:top w:val="nil"/>
              <w:left w:val="nil"/>
              <w:bottom w:val="single" w:color="auto" w:sz="4" w:space="0"/>
              <w:right w:val="single" w:color="auto" w:sz="4" w:space="0"/>
            </w:tcBorders>
            <w:shd w:val="clear" w:color="auto" w:fill="auto"/>
            <w:noWrap/>
            <w:vAlign w:val="center"/>
          </w:tcPr>
          <w:p w14:paraId="3E8085E6">
            <w:pPr>
              <w:widowControl/>
              <w:jc w:val="center"/>
              <w:rPr>
                <w:sz w:val="15"/>
                <w:szCs w:val="15"/>
                <w:highlight w:val="none"/>
              </w:rPr>
            </w:pPr>
            <w:r>
              <w:rPr>
                <w:sz w:val="15"/>
                <w:szCs w:val="15"/>
                <w:highlight w:val="none"/>
              </w:rPr>
              <w:t>2.37</w:t>
            </w:r>
          </w:p>
        </w:tc>
        <w:tc>
          <w:tcPr>
            <w:tcW w:w="401" w:type="pct"/>
            <w:tcBorders>
              <w:top w:val="nil"/>
              <w:left w:val="nil"/>
              <w:bottom w:val="single" w:color="auto" w:sz="4" w:space="0"/>
              <w:right w:val="single" w:color="auto" w:sz="4" w:space="0"/>
            </w:tcBorders>
            <w:shd w:val="clear" w:color="auto" w:fill="auto"/>
            <w:noWrap/>
            <w:vAlign w:val="center"/>
          </w:tcPr>
          <w:p w14:paraId="639D99B3">
            <w:pPr>
              <w:widowControl/>
              <w:jc w:val="center"/>
              <w:rPr>
                <w:sz w:val="15"/>
                <w:szCs w:val="15"/>
                <w:highlight w:val="none"/>
              </w:rPr>
            </w:pPr>
            <w:r>
              <w:rPr>
                <w:sz w:val="15"/>
                <w:szCs w:val="15"/>
                <w:highlight w:val="none"/>
              </w:rPr>
              <w:t>1482</w:t>
            </w:r>
          </w:p>
        </w:tc>
        <w:tc>
          <w:tcPr>
            <w:tcW w:w="382" w:type="pct"/>
            <w:tcBorders>
              <w:top w:val="nil"/>
              <w:left w:val="nil"/>
              <w:bottom w:val="single" w:color="auto" w:sz="4" w:space="0"/>
              <w:right w:val="single" w:color="auto" w:sz="4" w:space="0"/>
            </w:tcBorders>
            <w:shd w:val="clear" w:color="auto" w:fill="auto"/>
            <w:noWrap/>
            <w:vAlign w:val="center"/>
          </w:tcPr>
          <w:p w14:paraId="301E5D5E">
            <w:pPr>
              <w:widowControl/>
              <w:jc w:val="center"/>
              <w:rPr>
                <w:sz w:val="15"/>
                <w:szCs w:val="15"/>
                <w:highlight w:val="none"/>
              </w:rPr>
            </w:pPr>
            <w:r>
              <w:rPr>
                <w:sz w:val="15"/>
                <w:szCs w:val="15"/>
                <w:highlight w:val="none"/>
              </w:rPr>
              <w:t>15.2</w:t>
            </w:r>
          </w:p>
        </w:tc>
        <w:tc>
          <w:tcPr>
            <w:tcW w:w="368" w:type="pct"/>
            <w:tcBorders>
              <w:top w:val="nil"/>
              <w:left w:val="nil"/>
              <w:bottom w:val="single" w:color="auto" w:sz="4" w:space="0"/>
              <w:right w:val="single" w:color="auto" w:sz="4" w:space="0"/>
            </w:tcBorders>
            <w:shd w:val="clear" w:color="auto" w:fill="auto"/>
            <w:noWrap/>
            <w:vAlign w:val="center"/>
          </w:tcPr>
          <w:p w14:paraId="17F0A3DC">
            <w:pPr>
              <w:widowControl/>
              <w:jc w:val="center"/>
              <w:rPr>
                <w:sz w:val="15"/>
                <w:szCs w:val="15"/>
                <w:highlight w:val="none"/>
              </w:rPr>
            </w:pPr>
            <w:r>
              <w:rPr>
                <w:sz w:val="15"/>
                <w:szCs w:val="15"/>
                <w:highlight w:val="none"/>
              </w:rPr>
              <w:t>1.23</w:t>
            </w:r>
          </w:p>
        </w:tc>
        <w:tc>
          <w:tcPr>
            <w:tcW w:w="368" w:type="pct"/>
            <w:tcBorders>
              <w:top w:val="nil"/>
              <w:left w:val="nil"/>
              <w:bottom w:val="single" w:color="auto" w:sz="4" w:space="0"/>
              <w:right w:val="single" w:color="auto" w:sz="4" w:space="0"/>
            </w:tcBorders>
            <w:shd w:val="clear" w:color="auto" w:fill="auto"/>
            <w:noWrap/>
            <w:vAlign w:val="center"/>
          </w:tcPr>
          <w:p w14:paraId="05CAF80E">
            <w:pPr>
              <w:widowControl/>
              <w:jc w:val="center"/>
              <w:rPr>
                <w:sz w:val="15"/>
                <w:szCs w:val="15"/>
                <w:highlight w:val="none"/>
              </w:rPr>
            </w:pPr>
            <w:r>
              <w:rPr>
                <w:sz w:val="15"/>
                <w:szCs w:val="15"/>
                <w:highlight w:val="none"/>
              </w:rPr>
              <w:t>186.63</w:t>
            </w:r>
          </w:p>
        </w:tc>
        <w:tc>
          <w:tcPr>
            <w:tcW w:w="462" w:type="pct"/>
            <w:tcBorders>
              <w:top w:val="nil"/>
              <w:left w:val="nil"/>
              <w:bottom w:val="single" w:color="auto" w:sz="4" w:space="0"/>
              <w:right w:val="single" w:color="auto" w:sz="4" w:space="0"/>
            </w:tcBorders>
            <w:shd w:val="clear" w:color="auto" w:fill="auto"/>
            <w:noWrap/>
            <w:vAlign w:val="center"/>
          </w:tcPr>
          <w:p w14:paraId="569AEF5A">
            <w:pPr>
              <w:widowControl/>
              <w:jc w:val="center"/>
              <w:rPr>
                <w:sz w:val="15"/>
                <w:szCs w:val="15"/>
                <w:highlight w:val="none"/>
              </w:rPr>
            </w:pPr>
            <w:r>
              <w:rPr>
                <w:sz w:val="15"/>
                <w:szCs w:val="15"/>
                <w:highlight w:val="none"/>
              </w:rPr>
              <w:t>3.90</w:t>
            </w:r>
          </w:p>
        </w:tc>
        <w:tc>
          <w:tcPr>
            <w:tcW w:w="462" w:type="pct"/>
            <w:tcBorders>
              <w:top w:val="nil"/>
              <w:left w:val="nil"/>
              <w:bottom w:val="single" w:color="auto" w:sz="4" w:space="0"/>
              <w:right w:val="single" w:color="auto" w:sz="4" w:space="0"/>
            </w:tcBorders>
            <w:shd w:val="clear" w:color="auto" w:fill="auto"/>
            <w:noWrap/>
            <w:vAlign w:val="center"/>
          </w:tcPr>
          <w:p w14:paraId="10DD275D">
            <w:pPr>
              <w:widowControl/>
              <w:jc w:val="center"/>
              <w:rPr>
                <w:sz w:val="15"/>
                <w:szCs w:val="15"/>
                <w:highlight w:val="none"/>
              </w:rPr>
            </w:pPr>
            <w:r>
              <w:rPr>
                <w:sz w:val="15"/>
                <w:szCs w:val="15"/>
                <w:highlight w:val="none"/>
              </w:rPr>
              <w:t>4.49</w:t>
            </w:r>
          </w:p>
        </w:tc>
        <w:tc>
          <w:tcPr>
            <w:tcW w:w="368" w:type="pct"/>
            <w:tcBorders>
              <w:top w:val="nil"/>
              <w:left w:val="nil"/>
              <w:bottom w:val="single" w:color="auto" w:sz="4" w:space="0"/>
              <w:right w:val="single" w:color="auto" w:sz="4" w:space="0"/>
            </w:tcBorders>
            <w:shd w:val="clear" w:color="auto" w:fill="auto"/>
            <w:noWrap/>
            <w:vAlign w:val="center"/>
          </w:tcPr>
          <w:p w14:paraId="0F3BE232">
            <w:pPr>
              <w:widowControl/>
              <w:jc w:val="center"/>
              <w:rPr>
                <w:sz w:val="15"/>
                <w:szCs w:val="15"/>
                <w:highlight w:val="none"/>
              </w:rPr>
            </w:pPr>
            <w:r>
              <w:rPr>
                <w:sz w:val="15"/>
                <w:szCs w:val="15"/>
                <w:highlight w:val="none"/>
              </w:rPr>
              <w:t>0.37</w:t>
            </w:r>
          </w:p>
        </w:tc>
        <w:tc>
          <w:tcPr>
            <w:tcW w:w="368" w:type="pct"/>
            <w:tcBorders>
              <w:top w:val="nil"/>
              <w:left w:val="nil"/>
              <w:bottom w:val="single" w:color="auto" w:sz="4" w:space="0"/>
              <w:right w:val="single" w:color="auto" w:sz="4" w:space="0"/>
            </w:tcBorders>
            <w:shd w:val="clear" w:color="auto" w:fill="auto"/>
            <w:noWrap/>
            <w:vAlign w:val="center"/>
          </w:tcPr>
          <w:p w14:paraId="07614F9D">
            <w:pPr>
              <w:widowControl/>
              <w:jc w:val="center"/>
              <w:rPr>
                <w:sz w:val="15"/>
                <w:szCs w:val="15"/>
                <w:highlight w:val="none"/>
              </w:rPr>
            </w:pPr>
            <w:r>
              <w:rPr>
                <w:sz w:val="15"/>
                <w:szCs w:val="15"/>
                <w:highlight w:val="none"/>
              </w:rPr>
              <w:t>0</w:t>
            </w:r>
          </w:p>
        </w:tc>
        <w:tc>
          <w:tcPr>
            <w:tcW w:w="425" w:type="pct"/>
            <w:tcBorders>
              <w:top w:val="nil"/>
              <w:left w:val="nil"/>
              <w:bottom w:val="single" w:color="auto" w:sz="4" w:space="0"/>
              <w:right w:val="single" w:color="auto" w:sz="4" w:space="0"/>
            </w:tcBorders>
            <w:shd w:val="clear" w:color="auto" w:fill="auto"/>
            <w:noWrap/>
            <w:vAlign w:val="center"/>
          </w:tcPr>
          <w:p w14:paraId="3B37FD65">
            <w:pPr>
              <w:widowControl/>
              <w:jc w:val="center"/>
              <w:rPr>
                <w:sz w:val="15"/>
                <w:szCs w:val="15"/>
                <w:highlight w:val="none"/>
              </w:rPr>
            </w:pPr>
            <w:r>
              <w:rPr>
                <w:sz w:val="15"/>
                <w:szCs w:val="15"/>
                <w:highlight w:val="none"/>
              </w:rPr>
              <w:t>6</w:t>
            </w:r>
          </w:p>
        </w:tc>
        <w:tc>
          <w:tcPr>
            <w:tcW w:w="268" w:type="pct"/>
            <w:tcBorders>
              <w:top w:val="nil"/>
              <w:left w:val="nil"/>
              <w:bottom w:val="single" w:color="auto" w:sz="4" w:space="0"/>
              <w:right w:val="single" w:color="auto" w:sz="4" w:space="0"/>
            </w:tcBorders>
            <w:shd w:val="clear" w:color="auto" w:fill="auto"/>
            <w:noWrap/>
            <w:vAlign w:val="center"/>
          </w:tcPr>
          <w:p w14:paraId="6E00F0D8">
            <w:pPr>
              <w:widowControl/>
              <w:jc w:val="center"/>
              <w:rPr>
                <w:sz w:val="15"/>
                <w:szCs w:val="15"/>
                <w:highlight w:val="none"/>
              </w:rPr>
            </w:pPr>
            <w:r>
              <w:rPr>
                <w:sz w:val="15"/>
                <w:szCs w:val="15"/>
                <w:highlight w:val="none"/>
              </w:rPr>
              <w:t>/</w:t>
            </w:r>
          </w:p>
        </w:tc>
      </w:tr>
      <w:tr w14:paraId="78243EF9">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51FEA238">
            <w:pPr>
              <w:widowControl/>
              <w:jc w:val="center"/>
              <w:rPr>
                <w:sz w:val="15"/>
                <w:szCs w:val="15"/>
                <w:highlight w:val="none"/>
              </w:rPr>
            </w:pPr>
            <w:r>
              <w:rPr>
                <w:sz w:val="15"/>
                <w:szCs w:val="15"/>
                <w:highlight w:val="none"/>
              </w:rPr>
              <w:t>2025.11.24</w:t>
            </w:r>
          </w:p>
        </w:tc>
        <w:tc>
          <w:tcPr>
            <w:tcW w:w="268" w:type="pct"/>
            <w:tcBorders>
              <w:top w:val="nil"/>
              <w:left w:val="nil"/>
              <w:bottom w:val="single" w:color="auto" w:sz="4" w:space="0"/>
              <w:right w:val="single" w:color="auto" w:sz="4" w:space="0"/>
            </w:tcBorders>
            <w:shd w:val="clear" w:color="auto" w:fill="auto"/>
            <w:noWrap/>
            <w:vAlign w:val="center"/>
          </w:tcPr>
          <w:p w14:paraId="30A225BF">
            <w:pPr>
              <w:widowControl/>
              <w:jc w:val="center"/>
              <w:rPr>
                <w:sz w:val="15"/>
                <w:szCs w:val="15"/>
                <w:highlight w:val="none"/>
              </w:rPr>
            </w:pPr>
            <w:r>
              <w:rPr>
                <w:sz w:val="15"/>
                <w:szCs w:val="15"/>
                <w:highlight w:val="none"/>
              </w:rPr>
              <w:t>7.45</w:t>
            </w:r>
          </w:p>
        </w:tc>
        <w:tc>
          <w:tcPr>
            <w:tcW w:w="354" w:type="pct"/>
            <w:tcBorders>
              <w:top w:val="nil"/>
              <w:left w:val="nil"/>
              <w:bottom w:val="single" w:color="auto" w:sz="4" w:space="0"/>
              <w:right w:val="single" w:color="auto" w:sz="4" w:space="0"/>
            </w:tcBorders>
            <w:shd w:val="clear" w:color="auto" w:fill="auto"/>
            <w:noWrap/>
            <w:vAlign w:val="center"/>
          </w:tcPr>
          <w:p w14:paraId="578EDD56">
            <w:pPr>
              <w:widowControl/>
              <w:jc w:val="center"/>
              <w:rPr>
                <w:sz w:val="15"/>
                <w:szCs w:val="15"/>
                <w:highlight w:val="none"/>
              </w:rPr>
            </w:pPr>
            <w:r>
              <w:rPr>
                <w:sz w:val="15"/>
                <w:szCs w:val="15"/>
                <w:highlight w:val="none"/>
              </w:rPr>
              <w:t>5.81</w:t>
            </w:r>
          </w:p>
        </w:tc>
        <w:tc>
          <w:tcPr>
            <w:tcW w:w="401" w:type="pct"/>
            <w:tcBorders>
              <w:top w:val="nil"/>
              <w:left w:val="nil"/>
              <w:bottom w:val="single" w:color="auto" w:sz="4" w:space="0"/>
              <w:right w:val="single" w:color="auto" w:sz="4" w:space="0"/>
            </w:tcBorders>
            <w:shd w:val="clear" w:color="auto" w:fill="auto"/>
            <w:noWrap/>
            <w:vAlign w:val="center"/>
          </w:tcPr>
          <w:p w14:paraId="1ECE1AFD">
            <w:pPr>
              <w:widowControl/>
              <w:jc w:val="center"/>
              <w:rPr>
                <w:sz w:val="15"/>
                <w:szCs w:val="15"/>
                <w:highlight w:val="none"/>
              </w:rPr>
            </w:pPr>
            <w:r>
              <w:rPr>
                <w:sz w:val="15"/>
                <w:szCs w:val="15"/>
                <w:highlight w:val="none"/>
              </w:rPr>
              <w:t>1535</w:t>
            </w:r>
          </w:p>
        </w:tc>
        <w:tc>
          <w:tcPr>
            <w:tcW w:w="382" w:type="pct"/>
            <w:tcBorders>
              <w:top w:val="nil"/>
              <w:left w:val="nil"/>
              <w:bottom w:val="single" w:color="auto" w:sz="4" w:space="0"/>
              <w:right w:val="single" w:color="auto" w:sz="4" w:space="0"/>
            </w:tcBorders>
            <w:shd w:val="clear" w:color="auto" w:fill="auto"/>
            <w:noWrap/>
            <w:vAlign w:val="center"/>
          </w:tcPr>
          <w:p w14:paraId="63EE2138">
            <w:pPr>
              <w:widowControl/>
              <w:jc w:val="center"/>
              <w:rPr>
                <w:sz w:val="15"/>
                <w:szCs w:val="15"/>
                <w:highlight w:val="none"/>
              </w:rPr>
            </w:pPr>
            <w:r>
              <w:rPr>
                <w:sz w:val="15"/>
                <w:szCs w:val="15"/>
                <w:highlight w:val="none"/>
              </w:rPr>
              <w:t>31.3</w:t>
            </w:r>
          </w:p>
        </w:tc>
        <w:tc>
          <w:tcPr>
            <w:tcW w:w="368" w:type="pct"/>
            <w:tcBorders>
              <w:top w:val="nil"/>
              <w:left w:val="nil"/>
              <w:bottom w:val="single" w:color="auto" w:sz="4" w:space="0"/>
              <w:right w:val="single" w:color="auto" w:sz="4" w:space="0"/>
            </w:tcBorders>
            <w:shd w:val="clear" w:color="auto" w:fill="auto"/>
            <w:noWrap/>
            <w:vAlign w:val="center"/>
          </w:tcPr>
          <w:p w14:paraId="417D3BDB">
            <w:pPr>
              <w:widowControl/>
              <w:jc w:val="center"/>
              <w:rPr>
                <w:sz w:val="15"/>
                <w:szCs w:val="15"/>
                <w:highlight w:val="none"/>
              </w:rPr>
            </w:pPr>
            <w:r>
              <w:rPr>
                <w:sz w:val="15"/>
                <w:szCs w:val="15"/>
                <w:highlight w:val="none"/>
              </w:rPr>
              <w:t>1.08</w:t>
            </w:r>
          </w:p>
        </w:tc>
        <w:tc>
          <w:tcPr>
            <w:tcW w:w="368" w:type="pct"/>
            <w:tcBorders>
              <w:top w:val="nil"/>
              <w:left w:val="nil"/>
              <w:bottom w:val="single" w:color="auto" w:sz="4" w:space="0"/>
              <w:right w:val="single" w:color="auto" w:sz="4" w:space="0"/>
            </w:tcBorders>
            <w:shd w:val="clear" w:color="auto" w:fill="auto"/>
            <w:noWrap/>
            <w:vAlign w:val="center"/>
          </w:tcPr>
          <w:p w14:paraId="7C6E2A94">
            <w:pPr>
              <w:widowControl/>
              <w:jc w:val="center"/>
              <w:rPr>
                <w:sz w:val="15"/>
                <w:szCs w:val="15"/>
                <w:highlight w:val="none"/>
              </w:rPr>
            </w:pPr>
            <w:r>
              <w:rPr>
                <w:sz w:val="15"/>
                <w:szCs w:val="15"/>
                <w:highlight w:val="none"/>
              </w:rPr>
              <w:t>208.85</w:t>
            </w:r>
          </w:p>
        </w:tc>
        <w:tc>
          <w:tcPr>
            <w:tcW w:w="462" w:type="pct"/>
            <w:tcBorders>
              <w:top w:val="nil"/>
              <w:left w:val="nil"/>
              <w:bottom w:val="single" w:color="auto" w:sz="4" w:space="0"/>
              <w:right w:val="single" w:color="auto" w:sz="4" w:space="0"/>
            </w:tcBorders>
            <w:shd w:val="clear" w:color="auto" w:fill="auto"/>
            <w:noWrap/>
            <w:vAlign w:val="center"/>
          </w:tcPr>
          <w:p w14:paraId="296470CB">
            <w:pPr>
              <w:widowControl/>
              <w:jc w:val="center"/>
              <w:rPr>
                <w:sz w:val="15"/>
                <w:szCs w:val="15"/>
                <w:highlight w:val="none"/>
              </w:rPr>
            </w:pPr>
            <w:r>
              <w:rPr>
                <w:sz w:val="15"/>
                <w:szCs w:val="15"/>
                <w:highlight w:val="none"/>
              </w:rPr>
              <w:t>4.39</w:t>
            </w:r>
          </w:p>
        </w:tc>
        <w:tc>
          <w:tcPr>
            <w:tcW w:w="462" w:type="pct"/>
            <w:tcBorders>
              <w:top w:val="nil"/>
              <w:left w:val="nil"/>
              <w:bottom w:val="single" w:color="auto" w:sz="4" w:space="0"/>
              <w:right w:val="single" w:color="auto" w:sz="4" w:space="0"/>
            </w:tcBorders>
            <w:shd w:val="clear" w:color="auto" w:fill="auto"/>
            <w:noWrap/>
            <w:vAlign w:val="center"/>
          </w:tcPr>
          <w:p w14:paraId="0D47ED7F">
            <w:pPr>
              <w:widowControl/>
              <w:jc w:val="center"/>
              <w:rPr>
                <w:sz w:val="15"/>
                <w:szCs w:val="15"/>
                <w:highlight w:val="none"/>
              </w:rPr>
            </w:pPr>
            <w:r>
              <w:rPr>
                <w:sz w:val="15"/>
                <w:szCs w:val="15"/>
                <w:highlight w:val="none"/>
              </w:rPr>
              <w:t>4.70</w:t>
            </w:r>
          </w:p>
        </w:tc>
        <w:tc>
          <w:tcPr>
            <w:tcW w:w="36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B6EDB22">
            <w:pPr>
              <w:widowControl/>
              <w:jc w:val="center"/>
              <w:rPr>
                <w:sz w:val="15"/>
                <w:szCs w:val="15"/>
                <w:highlight w:val="none"/>
              </w:rPr>
            </w:pPr>
            <w:r>
              <w:rPr>
                <w:sz w:val="15"/>
                <w:szCs w:val="15"/>
                <w:highlight w:val="none"/>
              </w:rPr>
              <w:t>1.09</w:t>
            </w:r>
          </w:p>
        </w:tc>
        <w:tc>
          <w:tcPr>
            <w:tcW w:w="368" w:type="pct"/>
            <w:tcBorders>
              <w:top w:val="nil"/>
              <w:left w:val="nil"/>
              <w:bottom w:val="single" w:color="auto" w:sz="4" w:space="0"/>
              <w:right w:val="single" w:color="auto" w:sz="4" w:space="0"/>
            </w:tcBorders>
            <w:shd w:val="clear" w:color="auto" w:fill="auto"/>
            <w:noWrap/>
            <w:vAlign w:val="center"/>
          </w:tcPr>
          <w:p w14:paraId="06D97176">
            <w:pPr>
              <w:widowControl/>
              <w:jc w:val="center"/>
              <w:rPr>
                <w:sz w:val="15"/>
                <w:szCs w:val="15"/>
                <w:highlight w:val="none"/>
              </w:rPr>
            </w:pPr>
            <w:r>
              <w:rPr>
                <w:sz w:val="15"/>
                <w:szCs w:val="15"/>
                <w:highlight w:val="none"/>
              </w:rPr>
              <w:t>0</w:t>
            </w:r>
          </w:p>
        </w:tc>
        <w:tc>
          <w:tcPr>
            <w:tcW w:w="42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EE261A1">
            <w:pPr>
              <w:widowControl/>
              <w:jc w:val="center"/>
              <w:rPr>
                <w:sz w:val="15"/>
                <w:szCs w:val="15"/>
                <w:highlight w:val="none"/>
              </w:rPr>
            </w:pPr>
            <w:r>
              <w:rPr>
                <w:sz w:val="15"/>
                <w:szCs w:val="15"/>
                <w:highlight w:val="none"/>
              </w:rPr>
              <w:t>28</w:t>
            </w:r>
          </w:p>
        </w:tc>
        <w:tc>
          <w:tcPr>
            <w:tcW w:w="268" w:type="pct"/>
            <w:tcBorders>
              <w:top w:val="nil"/>
              <w:left w:val="nil"/>
              <w:bottom w:val="single" w:color="auto" w:sz="4" w:space="0"/>
              <w:right w:val="single" w:color="auto" w:sz="4" w:space="0"/>
            </w:tcBorders>
            <w:shd w:val="clear" w:color="auto" w:fill="auto"/>
            <w:noWrap/>
            <w:vAlign w:val="center"/>
          </w:tcPr>
          <w:p w14:paraId="2DC84C4F">
            <w:pPr>
              <w:widowControl/>
              <w:jc w:val="center"/>
              <w:rPr>
                <w:sz w:val="15"/>
                <w:szCs w:val="15"/>
                <w:highlight w:val="none"/>
              </w:rPr>
            </w:pPr>
            <w:r>
              <w:rPr>
                <w:sz w:val="15"/>
                <w:szCs w:val="15"/>
                <w:highlight w:val="none"/>
              </w:rPr>
              <w:t>0.05</w:t>
            </w:r>
          </w:p>
        </w:tc>
      </w:tr>
      <w:tr w14:paraId="46C9A391">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2190D337">
            <w:pPr>
              <w:widowControl/>
              <w:jc w:val="center"/>
              <w:rPr>
                <w:sz w:val="15"/>
                <w:szCs w:val="15"/>
                <w:highlight w:val="none"/>
              </w:rPr>
            </w:pPr>
            <w:r>
              <w:rPr>
                <w:sz w:val="15"/>
                <w:szCs w:val="15"/>
                <w:highlight w:val="none"/>
              </w:rPr>
              <w:t>2025.12.04</w:t>
            </w:r>
          </w:p>
        </w:tc>
        <w:tc>
          <w:tcPr>
            <w:tcW w:w="268" w:type="pct"/>
            <w:tcBorders>
              <w:top w:val="nil"/>
              <w:left w:val="nil"/>
              <w:bottom w:val="single" w:color="auto" w:sz="4" w:space="0"/>
              <w:right w:val="single" w:color="auto" w:sz="4" w:space="0"/>
            </w:tcBorders>
            <w:shd w:val="clear" w:color="auto" w:fill="auto"/>
            <w:noWrap/>
            <w:vAlign w:val="center"/>
          </w:tcPr>
          <w:p w14:paraId="4C03A917">
            <w:pPr>
              <w:widowControl/>
              <w:jc w:val="center"/>
              <w:rPr>
                <w:sz w:val="15"/>
                <w:szCs w:val="15"/>
                <w:highlight w:val="none"/>
              </w:rPr>
            </w:pPr>
            <w:r>
              <w:rPr>
                <w:sz w:val="15"/>
                <w:szCs w:val="15"/>
                <w:highlight w:val="none"/>
              </w:rPr>
              <w:t>7.08</w:t>
            </w:r>
          </w:p>
        </w:tc>
        <w:tc>
          <w:tcPr>
            <w:tcW w:w="354" w:type="pct"/>
            <w:tcBorders>
              <w:top w:val="nil"/>
              <w:left w:val="nil"/>
              <w:bottom w:val="single" w:color="auto" w:sz="4" w:space="0"/>
              <w:right w:val="single" w:color="auto" w:sz="4" w:space="0"/>
            </w:tcBorders>
            <w:shd w:val="clear" w:color="auto" w:fill="auto"/>
            <w:noWrap/>
            <w:vAlign w:val="center"/>
          </w:tcPr>
          <w:p w14:paraId="437AB577">
            <w:pPr>
              <w:widowControl/>
              <w:jc w:val="center"/>
              <w:rPr>
                <w:sz w:val="15"/>
                <w:szCs w:val="15"/>
                <w:highlight w:val="none"/>
              </w:rPr>
            </w:pPr>
            <w:r>
              <w:rPr>
                <w:sz w:val="15"/>
                <w:szCs w:val="15"/>
                <w:highlight w:val="none"/>
              </w:rPr>
              <w:t>4.95</w:t>
            </w:r>
          </w:p>
        </w:tc>
        <w:tc>
          <w:tcPr>
            <w:tcW w:w="401" w:type="pct"/>
            <w:tcBorders>
              <w:top w:val="nil"/>
              <w:left w:val="nil"/>
              <w:bottom w:val="single" w:color="auto" w:sz="4" w:space="0"/>
              <w:right w:val="single" w:color="auto" w:sz="4" w:space="0"/>
            </w:tcBorders>
            <w:shd w:val="clear" w:color="auto" w:fill="auto"/>
            <w:noWrap/>
            <w:vAlign w:val="center"/>
          </w:tcPr>
          <w:p w14:paraId="55907577">
            <w:pPr>
              <w:widowControl/>
              <w:jc w:val="center"/>
              <w:rPr>
                <w:sz w:val="15"/>
                <w:szCs w:val="15"/>
                <w:highlight w:val="none"/>
              </w:rPr>
            </w:pPr>
            <w:r>
              <w:rPr>
                <w:sz w:val="15"/>
                <w:szCs w:val="15"/>
                <w:highlight w:val="none"/>
              </w:rPr>
              <w:t>1615</w:t>
            </w:r>
          </w:p>
        </w:tc>
        <w:tc>
          <w:tcPr>
            <w:tcW w:w="382" w:type="pct"/>
            <w:tcBorders>
              <w:top w:val="nil"/>
              <w:left w:val="nil"/>
              <w:bottom w:val="single" w:color="auto" w:sz="4" w:space="0"/>
              <w:right w:val="single" w:color="auto" w:sz="4" w:space="0"/>
            </w:tcBorders>
            <w:shd w:val="clear" w:color="auto" w:fill="auto"/>
            <w:noWrap/>
            <w:vAlign w:val="center"/>
          </w:tcPr>
          <w:p w14:paraId="21F72AE7">
            <w:pPr>
              <w:widowControl/>
              <w:jc w:val="center"/>
              <w:rPr>
                <w:sz w:val="15"/>
                <w:szCs w:val="15"/>
                <w:highlight w:val="none"/>
              </w:rPr>
            </w:pPr>
            <w:r>
              <w:rPr>
                <w:sz w:val="15"/>
                <w:szCs w:val="15"/>
                <w:highlight w:val="none"/>
              </w:rPr>
              <w:t>37.4</w:t>
            </w:r>
          </w:p>
        </w:tc>
        <w:tc>
          <w:tcPr>
            <w:tcW w:w="368" w:type="pct"/>
            <w:tcBorders>
              <w:top w:val="nil"/>
              <w:left w:val="nil"/>
              <w:bottom w:val="single" w:color="auto" w:sz="4" w:space="0"/>
              <w:right w:val="single" w:color="auto" w:sz="4" w:space="0"/>
            </w:tcBorders>
            <w:shd w:val="clear" w:color="auto" w:fill="auto"/>
            <w:noWrap/>
            <w:vAlign w:val="center"/>
          </w:tcPr>
          <w:p w14:paraId="22359D23">
            <w:pPr>
              <w:widowControl/>
              <w:jc w:val="center"/>
              <w:rPr>
                <w:sz w:val="15"/>
                <w:szCs w:val="15"/>
                <w:highlight w:val="none"/>
              </w:rPr>
            </w:pPr>
            <w:r>
              <w:rPr>
                <w:sz w:val="15"/>
                <w:szCs w:val="15"/>
                <w:highlight w:val="none"/>
              </w:rPr>
              <w:t>3.59</w:t>
            </w:r>
          </w:p>
        </w:tc>
        <w:tc>
          <w:tcPr>
            <w:tcW w:w="368" w:type="pct"/>
            <w:tcBorders>
              <w:top w:val="nil"/>
              <w:left w:val="nil"/>
              <w:bottom w:val="single" w:color="auto" w:sz="4" w:space="0"/>
              <w:right w:val="single" w:color="auto" w:sz="4" w:space="0"/>
            </w:tcBorders>
            <w:shd w:val="clear" w:color="auto" w:fill="auto"/>
            <w:noWrap/>
            <w:vAlign w:val="center"/>
          </w:tcPr>
          <w:p w14:paraId="7DDA0A8C">
            <w:pPr>
              <w:widowControl/>
              <w:jc w:val="center"/>
              <w:rPr>
                <w:sz w:val="15"/>
                <w:szCs w:val="15"/>
                <w:highlight w:val="none"/>
              </w:rPr>
            </w:pPr>
            <w:r>
              <w:rPr>
                <w:sz w:val="15"/>
                <w:szCs w:val="15"/>
                <w:highlight w:val="none"/>
              </w:rPr>
              <w:t>215.34</w:t>
            </w:r>
          </w:p>
        </w:tc>
        <w:tc>
          <w:tcPr>
            <w:tcW w:w="462" w:type="pct"/>
            <w:tcBorders>
              <w:top w:val="nil"/>
              <w:left w:val="nil"/>
              <w:bottom w:val="single" w:color="auto" w:sz="4" w:space="0"/>
              <w:right w:val="single" w:color="auto" w:sz="4" w:space="0"/>
            </w:tcBorders>
            <w:shd w:val="clear" w:color="auto" w:fill="auto"/>
            <w:noWrap/>
            <w:vAlign w:val="center"/>
          </w:tcPr>
          <w:p w14:paraId="30D39DF6">
            <w:pPr>
              <w:widowControl/>
              <w:jc w:val="center"/>
              <w:rPr>
                <w:sz w:val="15"/>
                <w:szCs w:val="15"/>
                <w:highlight w:val="none"/>
              </w:rPr>
            </w:pPr>
            <w:r>
              <w:rPr>
                <w:sz w:val="15"/>
                <w:szCs w:val="15"/>
                <w:highlight w:val="none"/>
              </w:rPr>
              <w:t>5.46</w:t>
            </w:r>
          </w:p>
        </w:tc>
        <w:tc>
          <w:tcPr>
            <w:tcW w:w="462" w:type="pct"/>
            <w:tcBorders>
              <w:top w:val="nil"/>
              <w:left w:val="nil"/>
              <w:bottom w:val="single" w:color="auto" w:sz="4" w:space="0"/>
              <w:right w:val="single" w:color="auto" w:sz="4" w:space="0"/>
            </w:tcBorders>
            <w:shd w:val="clear" w:color="auto" w:fill="auto"/>
            <w:noWrap/>
            <w:vAlign w:val="center"/>
          </w:tcPr>
          <w:p w14:paraId="415FBF02">
            <w:pPr>
              <w:widowControl/>
              <w:jc w:val="center"/>
              <w:rPr>
                <w:sz w:val="15"/>
                <w:szCs w:val="15"/>
                <w:highlight w:val="none"/>
              </w:rPr>
            </w:pPr>
            <w:r>
              <w:rPr>
                <w:sz w:val="15"/>
                <w:szCs w:val="15"/>
                <w:highlight w:val="none"/>
              </w:rPr>
              <w:t>4.90</w:t>
            </w:r>
          </w:p>
        </w:tc>
        <w:tc>
          <w:tcPr>
            <w:tcW w:w="36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12F8500">
            <w:pPr>
              <w:widowControl/>
              <w:jc w:val="center"/>
              <w:rPr>
                <w:sz w:val="15"/>
                <w:szCs w:val="15"/>
                <w:highlight w:val="none"/>
              </w:rPr>
            </w:pPr>
            <w:r>
              <w:rPr>
                <w:sz w:val="15"/>
                <w:szCs w:val="15"/>
                <w:highlight w:val="none"/>
              </w:rPr>
              <w:t>0.66</w:t>
            </w:r>
          </w:p>
        </w:tc>
        <w:tc>
          <w:tcPr>
            <w:tcW w:w="368" w:type="pct"/>
            <w:tcBorders>
              <w:top w:val="nil"/>
              <w:left w:val="nil"/>
              <w:bottom w:val="single" w:color="auto" w:sz="4" w:space="0"/>
              <w:right w:val="single" w:color="auto" w:sz="4" w:space="0"/>
            </w:tcBorders>
            <w:shd w:val="clear" w:color="auto" w:fill="auto"/>
            <w:noWrap/>
            <w:vAlign w:val="center"/>
          </w:tcPr>
          <w:p w14:paraId="670DF93C">
            <w:pPr>
              <w:widowControl/>
              <w:jc w:val="center"/>
              <w:rPr>
                <w:sz w:val="15"/>
                <w:szCs w:val="15"/>
                <w:highlight w:val="none"/>
              </w:rPr>
            </w:pPr>
            <w:r>
              <w:rPr>
                <w:sz w:val="15"/>
                <w:szCs w:val="15"/>
                <w:highlight w:val="none"/>
              </w:rPr>
              <w:t>0</w:t>
            </w:r>
          </w:p>
        </w:tc>
        <w:tc>
          <w:tcPr>
            <w:tcW w:w="42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E1F6165">
            <w:pPr>
              <w:widowControl/>
              <w:jc w:val="center"/>
              <w:rPr>
                <w:sz w:val="15"/>
                <w:szCs w:val="15"/>
                <w:highlight w:val="none"/>
              </w:rPr>
            </w:pPr>
            <w:r>
              <w:rPr>
                <w:sz w:val="15"/>
                <w:szCs w:val="15"/>
                <w:highlight w:val="none"/>
              </w:rPr>
              <w:t>38</w:t>
            </w:r>
          </w:p>
        </w:tc>
        <w:tc>
          <w:tcPr>
            <w:tcW w:w="268" w:type="pct"/>
            <w:tcBorders>
              <w:top w:val="nil"/>
              <w:left w:val="nil"/>
              <w:bottom w:val="single" w:color="auto" w:sz="4" w:space="0"/>
              <w:right w:val="single" w:color="auto" w:sz="4" w:space="0"/>
            </w:tcBorders>
            <w:shd w:val="clear" w:color="auto" w:fill="auto"/>
            <w:noWrap/>
            <w:vAlign w:val="center"/>
          </w:tcPr>
          <w:p w14:paraId="34E81710">
            <w:pPr>
              <w:widowControl/>
              <w:jc w:val="center"/>
              <w:rPr>
                <w:sz w:val="15"/>
                <w:szCs w:val="15"/>
                <w:highlight w:val="none"/>
              </w:rPr>
            </w:pPr>
            <w:r>
              <w:rPr>
                <w:sz w:val="15"/>
                <w:szCs w:val="15"/>
                <w:highlight w:val="none"/>
              </w:rPr>
              <w:t>/</w:t>
            </w:r>
          </w:p>
        </w:tc>
      </w:tr>
      <w:tr w14:paraId="6CC33FD0">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4094DAF3">
            <w:pPr>
              <w:widowControl/>
              <w:jc w:val="center"/>
              <w:rPr>
                <w:sz w:val="15"/>
                <w:szCs w:val="15"/>
                <w:highlight w:val="none"/>
              </w:rPr>
            </w:pPr>
            <w:r>
              <w:rPr>
                <w:sz w:val="15"/>
                <w:szCs w:val="15"/>
                <w:highlight w:val="none"/>
              </w:rPr>
              <w:t>2025.12.11</w:t>
            </w:r>
          </w:p>
        </w:tc>
        <w:tc>
          <w:tcPr>
            <w:tcW w:w="268" w:type="pct"/>
            <w:tcBorders>
              <w:top w:val="nil"/>
              <w:left w:val="nil"/>
              <w:bottom w:val="single" w:color="auto" w:sz="4" w:space="0"/>
              <w:right w:val="single" w:color="auto" w:sz="4" w:space="0"/>
            </w:tcBorders>
            <w:shd w:val="clear" w:color="auto" w:fill="auto"/>
            <w:noWrap/>
            <w:vAlign w:val="center"/>
          </w:tcPr>
          <w:p w14:paraId="29A07DFC">
            <w:pPr>
              <w:widowControl/>
              <w:jc w:val="center"/>
              <w:rPr>
                <w:sz w:val="15"/>
                <w:szCs w:val="15"/>
                <w:highlight w:val="none"/>
              </w:rPr>
            </w:pPr>
            <w:r>
              <w:rPr>
                <w:sz w:val="15"/>
                <w:szCs w:val="15"/>
                <w:highlight w:val="none"/>
              </w:rPr>
              <w:t>7.30</w:t>
            </w:r>
          </w:p>
        </w:tc>
        <w:tc>
          <w:tcPr>
            <w:tcW w:w="354" w:type="pct"/>
            <w:tcBorders>
              <w:top w:val="nil"/>
              <w:left w:val="nil"/>
              <w:bottom w:val="single" w:color="auto" w:sz="4" w:space="0"/>
              <w:right w:val="single" w:color="auto" w:sz="4" w:space="0"/>
            </w:tcBorders>
            <w:shd w:val="clear" w:color="auto" w:fill="auto"/>
            <w:noWrap/>
            <w:vAlign w:val="center"/>
          </w:tcPr>
          <w:p w14:paraId="0D0E00FF">
            <w:pPr>
              <w:widowControl/>
              <w:jc w:val="center"/>
              <w:rPr>
                <w:sz w:val="15"/>
                <w:szCs w:val="15"/>
                <w:highlight w:val="none"/>
              </w:rPr>
            </w:pPr>
            <w:r>
              <w:rPr>
                <w:sz w:val="15"/>
                <w:szCs w:val="15"/>
                <w:highlight w:val="none"/>
              </w:rPr>
              <w:t>4.45</w:t>
            </w:r>
          </w:p>
        </w:tc>
        <w:tc>
          <w:tcPr>
            <w:tcW w:w="401" w:type="pct"/>
            <w:tcBorders>
              <w:top w:val="nil"/>
              <w:left w:val="nil"/>
              <w:bottom w:val="single" w:color="auto" w:sz="4" w:space="0"/>
              <w:right w:val="single" w:color="auto" w:sz="4" w:space="0"/>
            </w:tcBorders>
            <w:shd w:val="clear" w:color="auto" w:fill="auto"/>
            <w:noWrap/>
            <w:vAlign w:val="center"/>
          </w:tcPr>
          <w:p w14:paraId="6D48DEF2">
            <w:pPr>
              <w:widowControl/>
              <w:jc w:val="center"/>
              <w:rPr>
                <w:sz w:val="15"/>
                <w:szCs w:val="15"/>
                <w:highlight w:val="none"/>
              </w:rPr>
            </w:pPr>
            <w:r>
              <w:rPr>
                <w:sz w:val="15"/>
                <w:szCs w:val="15"/>
                <w:highlight w:val="none"/>
              </w:rPr>
              <w:t>1011</w:t>
            </w:r>
          </w:p>
        </w:tc>
        <w:tc>
          <w:tcPr>
            <w:tcW w:w="382" w:type="pct"/>
            <w:tcBorders>
              <w:top w:val="nil"/>
              <w:left w:val="nil"/>
              <w:bottom w:val="single" w:color="auto" w:sz="4" w:space="0"/>
              <w:right w:val="single" w:color="auto" w:sz="4" w:space="0"/>
            </w:tcBorders>
            <w:shd w:val="clear" w:color="auto" w:fill="auto"/>
            <w:noWrap/>
            <w:vAlign w:val="center"/>
          </w:tcPr>
          <w:p w14:paraId="1F9DDF7B">
            <w:pPr>
              <w:widowControl/>
              <w:jc w:val="center"/>
              <w:rPr>
                <w:sz w:val="15"/>
                <w:szCs w:val="15"/>
                <w:highlight w:val="none"/>
              </w:rPr>
            </w:pPr>
            <w:r>
              <w:rPr>
                <w:sz w:val="15"/>
                <w:szCs w:val="15"/>
                <w:highlight w:val="none"/>
              </w:rPr>
              <w:t>21.2</w:t>
            </w:r>
          </w:p>
        </w:tc>
        <w:tc>
          <w:tcPr>
            <w:tcW w:w="368" w:type="pct"/>
            <w:tcBorders>
              <w:top w:val="nil"/>
              <w:left w:val="nil"/>
              <w:bottom w:val="single" w:color="auto" w:sz="4" w:space="0"/>
              <w:right w:val="single" w:color="auto" w:sz="4" w:space="0"/>
            </w:tcBorders>
            <w:shd w:val="clear" w:color="auto" w:fill="auto"/>
            <w:noWrap/>
            <w:vAlign w:val="center"/>
          </w:tcPr>
          <w:p w14:paraId="06932503">
            <w:pPr>
              <w:widowControl/>
              <w:jc w:val="center"/>
              <w:rPr>
                <w:sz w:val="15"/>
                <w:szCs w:val="15"/>
                <w:highlight w:val="none"/>
              </w:rPr>
            </w:pPr>
            <w:r>
              <w:rPr>
                <w:sz w:val="15"/>
                <w:szCs w:val="15"/>
                <w:highlight w:val="none"/>
              </w:rPr>
              <w:t>2.03</w:t>
            </w:r>
          </w:p>
        </w:tc>
        <w:tc>
          <w:tcPr>
            <w:tcW w:w="368" w:type="pct"/>
            <w:tcBorders>
              <w:top w:val="nil"/>
              <w:left w:val="nil"/>
              <w:bottom w:val="single" w:color="auto" w:sz="4" w:space="0"/>
              <w:right w:val="single" w:color="auto" w:sz="4" w:space="0"/>
            </w:tcBorders>
            <w:shd w:val="clear" w:color="auto" w:fill="auto"/>
            <w:noWrap/>
            <w:vAlign w:val="center"/>
          </w:tcPr>
          <w:p w14:paraId="55FFA7D3">
            <w:pPr>
              <w:widowControl/>
              <w:jc w:val="center"/>
              <w:rPr>
                <w:sz w:val="15"/>
                <w:szCs w:val="15"/>
                <w:highlight w:val="none"/>
              </w:rPr>
            </w:pPr>
            <w:r>
              <w:rPr>
                <w:sz w:val="15"/>
                <w:szCs w:val="15"/>
                <w:highlight w:val="none"/>
              </w:rPr>
              <w:t>252.60</w:t>
            </w:r>
          </w:p>
        </w:tc>
        <w:tc>
          <w:tcPr>
            <w:tcW w:w="462" w:type="pct"/>
            <w:tcBorders>
              <w:top w:val="nil"/>
              <w:left w:val="nil"/>
              <w:bottom w:val="single" w:color="auto" w:sz="4" w:space="0"/>
              <w:right w:val="single" w:color="auto" w:sz="4" w:space="0"/>
            </w:tcBorders>
            <w:shd w:val="clear" w:color="auto" w:fill="auto"/>
            <w:noWrap/>
            <w:vAlign w:val="center"/>
          </w:tcPr>
          <w:p w14:paraId="4BD62B49">
            <w:pPr>
              <w:widowControl/>
              <w:jc w:val="center"/>
              <w:rPr>
                <w:sz w:val="15"/>
                <w:szCs w:val="15"/>
                <w:highlight w:val="none"/>
              </w:rPr>
            </w:pPr>
            <w:r>
              <w:rPr>
                <w:sz w:val="15"/>
                <w:szCs w:val="15"/>
                <w:highlight w:val="none"/>
              </w:rPr>
              <w:t>3.32</w:t>
            </w:r>
          </w:p>
        </w:tc>
        <w:tc>
          <w:tcPr>
            <w:tcW w:w="462" w:type="pct"/>
            <w:tcBorders>
              <w:top w:val="nil"/>
              <w:left w:val="nil"/>
              <w:bottom w:val="single" w:color="auto" w:sz="4" w:space="0"/>
              <w:right w:val="single" w:color="auto" w:sz="4" w:space="0"/>
            </w:tcBorders>
            <w:shd w:val="clear" w:color="auto" w:fill="auto"/>
            <w:noWrap/>
            <w:vAlign w:val="center"/>
          </w:tcPr>
          <w:p w14:paraId="72475CFE">
            <w:pPr>
              <w:widowControl/>
              <w:jc w:val="center"/>
              <w:rPr>
                <w:sz w:val="15"/>
                <w:szCs w:val="15"/>
                <w:highlight w:val="none"/>
              </w:rPr>
            </w:pPr>
            <w:r>
              <w:rPr>
                <w:sz w:val="15"/>
                <w:szCs w:val="15"/>
                <w:highlight w:val="none"/>
              </w:rPr>
              <w:t>3.65</w:t>
            </w:r>
          </w:p>
        </w:tc>
        <w:tc>
          <w:tcPr>
            <w:tcW w:w="368" w:type="pct"/>
            <w:tcBorders>
              <w:top w:val="nil"/>
              <w:left w:val="nil"/>
              <w:bottom w:val="single" w:color="auto" w:sz="4" w:space="0"/>
              <w:right w:val="single" w:color="auto" w:sz="4" w:space="0"/>
            </w:tcBorders>
            <w:shd w:val="clear" w:color="auto" w:fill="auto"/>
            <w:noWrap/>
            <w:vAlign w:val="center"/>
          </w:tcPr>
          <w:p w14:paraId="36C7756F">
            <w:pPr>
              <w:widowControl/>
              <w:jc w:val="center"/>
              <w:rPr>
                <w:sz w:val="15"/>
                <w:szCs w:val="15"/>
                <w:highlight w:val="none"/>
              </w:rPr>
            </w:pPr>
            <w:r>
              <w:rPr>
                <w:sz w:val="15"/>
                <w:szCs w:val="15"/>
                <w:highlight w:val="none"/>
              </w:rPr>
              <w:t>0.29</w:t>
            </w:r>
          </w:p>
        </w:tc>
        <w:tc>
          <w:tcPr>
            <w:tcW w:w="368" w:type="pct"/>
            <w:tcBorders>
              <w:top w:val="nil"/>
              <w:left w:val="nil"/>
              <w:bottom w:val="single" w:color="auto" w:sz="4" w:space="0"/>
              <w:right w:val="single" w:color="auto" w:sz="4" w:space="0"/>
            </w:tcBorders>
            <w:shd w:val="clear" w:color="auto" w:fill="auto"/>
            <w:noWrap/>
            <w:vAlign w:val="center"/>
          </w:tcPr>
          <w:p w14:paraId="1CF0F23A">
            <w:pPr>
              <w:widowControl/>
              <w:jc w:val="center"/>
              <w:rPr>
                <w:sz w:val="15"/>
                <w:szCs w:val="15"/>
                <w:highlight w:val="none"/>
              </w:rPr>
            </w:pPr>
            <w:r>
              <w:rPr>
                <w:sz w:val="15"/>
                <w:szCs w:val="15"/>
                <w:highlight w:val="none"/>
              </w:rPr>
              <w:t>0</w:t>
            </w:r>
          </w:p>
        </w:tc>
        <w:tc>
          <w:tcPr>
            <w:tcW w:w="425" w:type="pct"/>
            <w:tcBorders>
              <w:top w:val="nil"/>
              <w:left w:val="nil"/>
              <w:bottom w:val="single" w:color="auto" w:sz="4" w:space="0"/>
              <w:right w:val="single" w:color="auto" w:sz="4" w:space="0"/>
            </w:tcBorders>
            <w:shd w:val="clear" w:color="auto" w:fill="auto"/>
            <w:noWrap/>
            <w:vAlign w:val="center"/>
          </w:tcPr>
          <w:p w14:paraId="628958CF">
            <w:pPr>
              <w:widowControl/>
              <w:jc w:val="center"/>
              <w:rPr>
                <w:sz w:val="15"/>
                <w:szCs w:val="15"/>
                <w:highlight w:val="none"/>
              </w:rPr>
            </w:pPr>
            <w:r>
              <w:rPr>
                <w:sz w:val="15"/>
                <w:szCs w:val="15"/>
                <w:highlight w:val="none"/>
              </w:rPr>
              <w:t>8</w:t>
            </w:r>
          </w:p>
        </w:tc>
        <w:tc>
          <w:tcPr>
            <w:tcW w:w="268" w:type="pct"/>
            <w:tcBorders>
              <w:top w:val="nil"/>
              <w:left w:val="nil"/>
              <w:bottom w:val="single" w:color="auto" w:sz="4" w:space="0"/>
              <w:right w:val="single" w:color="auto" w:sz="4" w:space="0"/>
            </w:tcBorders>
            <w:shd w:val="clear" w:color="auto" w:fill="auto"/>
            <w:noWrap/>
            <w:vAlign w:val="center"/>
          </w:tcPr>
          <w:p w14:paraId="4A20F0D0">
            <w:pPr>
              <w:widowControl/>
              <w:jc w:val="center"/>
              <w:rPr>
                <w:sz w:val="15"/>
                <w:szCs w:val="15"/>
                <w:highlight w:val="none"/>
              </w:rPr>
            </w:pPr>
            <w:r>
              <w:rPr>
                <w:sz w:val="15"/>
                <w:szCs w:val="15"/>
                <w:highlight w:val="none"/>
              </w:rPr>
              <w:t>/</w:t>
            </w:r>
          </w:p>
        </w:tc>
      </w:tr>
      <w:tr w14:paraId="08932C00">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1974101E">
            <w:pPr>
              <w:widowControl/>
              <w:jc w:val="center"/>
              <w:rPr>
                <w:sz w:val="15"/>
                <w:szCs w:val="15"/>
                <w:highlight w:val="none"/>
              </w:rPr>
            </w:pPr>
            <w:r>
              <w:rPr>
                <w:sz w:val="15"/>
                <w:szCs w:val="15"/>
                <w:highlight w:val="none"/>
              </w:rPr>
              <w:t>2025.12.17</w:t>
            </w:r>
          </w:p>
        </w:tc>
        <w:tc>
          <w:tcPr>
            <w:tcW w:w="268" w:type="pct"/>
            <w:tcBorders>
              <w:top w:val="nil"/>
              <w:left w:val="nil"/>
              <w:bottom w:val="single" w:color="auto" w:sz="4" w:space="0"/>
              <w:right w:val="single" w:color="auto" w:sz="4" w:space="0"/>
            </w:tcBorders>
            <w:shd w:val="clear" w:color="auto" w:fill="auto"/>
            <w:noWrap/>
            <w:vAlign w:val="center"/>
          </w:tcPr>
          <w:p w14:paraId="149B04A0">
            <w:pPr>
              <w:widowControl/>
              <w:jc w:val="center"/>
              <w:rPr>
                <w:sz w:val="15"/>
                <w:szCs w:val="15"/>
                <w:highlight w:val="none"/>
              </w:rPr>
            </w:pPr>
            <w:r>
              <w:rPr>
                <w:sz w:val="15"/>
                <w:szCs w:val="15"/>
                <w:highlight w:val="none"/>
              </w:rPr>
              <w:t>7.60</w:t>
            </w:r>
          </w:p>
        </w:tc>
        <w:tc>
          <w:tcPr>
            <w:tcW w:w="354" w:type="pct"/>
            <w:tcBorders>
              <w:top w:val="nil"/>
              <w:left w:val="nil"/>
              <w:bottom w:val="single" w:color="auto" w:sz="4" w:space="0"/>
              <w:right w:val="single" w:color="auto" w:sz="4" w:space="0"/>
            </w:tcBorders>
            <w:shd w:val="clear" w:color="auto" w:fill="auto"/>
            <w:noWrap/>
            <w:vAlign w:val="center"/>
          </w:tcPr>
          <w:p w14:paraId="1A0D2AAB">
            <w:pPr>
              <w:widowControl/>
              <w:jc w:val="center"/>
              <w:rPr>
                <w:sz w:val="15"/>
                <w:szCs w:val="15"/>
                <w:highlight w:val="none"/>
              </w:rPr>
            </w:pPr>
            <w:r>
              <w:rPr>
                <w:sz w:val="15"/>
                <w:szCs w:val="15"/>
                <w:highlight w:val="none"/>
              </w:rPr>
              <w:t>30.50</w:t>
            </w:r>
          </w:p>
        </w:tc>
        <w:tc>
          <w:tcPr>
            <w:tcW w:w="401" w:type="pct"/>
            <w:tcBorders>
              <w:top w:val="nil"/>
              <w:left w:val="nil"/>
              <w:bottom w:val="single" w:color="auto" w:sz="4" w:space="0"/>
              <w:right w:val="single" w:color="auto" w:sz="4" w:space="0"/>
            </w:tcBorders>
            <w:shd w:val="clear" w:color="auto" w:fill="auto"/>
            <w:noWrap/>
            <w:vAlign w:val="center"/>
          </w:tcPr>
          <w:p w14:paraId="062AB2F9">
            <w:pPr>
              <w:widowControl/>
              <w:jc w:val="center"/>
              <w:rPr>
                <w:sz w:val="15"/>
                <w:szCs w:val="15"/>
                <w:highlight w:val="none"/>
              </w:rPr>
            </w:pPr>
            <w:r>
              <w:rPr>
                <w:sz w:val="15"/>
                <w:szCs w:val="15"/>
                <w:highlight w:val="none"/>
              </w:rPr>
              <w:t>1567</w:t>
            </w:r>
          </w:p>
        </w:tc>
        <w:tc>
          <w:tcPr>
            <w:tcW w:w="382" w:type="pct"/>
            <w:tcBorders>
              <w:top w:val="nil"/>
              <w:left w:val="nil"/>
              <w:bottom w:val="single" w:color="auto" w:sz="4" w:space="0"/>
              <w:right w:val="single" w:color="auto" w:sz="4" w:space="0"/>
            </w:tcBorders>
            <w:shd w:val="clear" w:color="auto" w:fill="auto"/>
            <w:noWrap/>
            <w:vAlign w:val="center"/>
          </w:tcPr>
          <w:p w14:paraId="2F20AD8F">
            <w:pPr>
              <w:widowControl/>
              <w:jc w:val="center"/>
              <w:rPr>
                <w:sz w:val="15"/>
                <w:szCs w:val="15"/>
                <w:highlight w:val="none"/>
              </w:rPr>
            </w:pPr>
            <w:r>
              <w:rPr>
                <w:sz w:val="15"/>
                <w:szCs w:val="15"/>
                <w:highlight w:val="none"/>
              </w:rPr>
              <w:t>33.6</w:t>
            </w:r>
          </w:p>
        </w:tc>
        <w:tc>
          <w:tcPr>
            <w:tcW w:w="368" w:type="pct"/>
            <w:tcBorders>
              <w:top w:val="nil"/>
              <w:left w:val="nil"/>
              <w:bottom w:val="single" w:color="auto" w:sz="4" w:space="0"/>
              <w:right w:val="single" w:color="auto" w:sz="4" w:space="0"/>
            </w:tcBorders>
            <w:shd w:val="clear" w:color="auto" w:fill="auto"/>
            <w:noWrap/>
            <w:vAlign w:val="center"/>
          </w:tcPr>
          <w:p w14:paraId="13AF1C25">
            <w:pPr>
              <w:widowControl/>
              <w:jc w:val="center"/>
              <w:rPr>
                <w:sz w:val="15"/>
                <w:szCs w:val="15"/>
                <w:highlight w:val="none"/>
              </w:rPr>
            </w:pPr>
            <w:r>
              <w:rPr>
                <w:sz w:val="15"/>
                <w:szCs w:val="15"/>
                <w:highlight w:val="none"/>
              </w:rPr>
              <w:t>3.12</w:t>
            </w:r>
          </w:p>
        </w:tc>
        <w:tc>
          <w:tcPr>
            <w:tcW w:w="368" w:type="pct"/>
            <w:tcBorders>
              <w:top w:val="nil"/>
              <w:left w:val="nil"/>
              <w:bottom w:val="single" w:color="auto" w:sz="4" w:space="0"/>
              <w:right w:val="single" w:color="auto" w:sz="4" w:space="0"/>
            </w:tcBorders>
            <w:shd w:val="clear" w:color="auto" w:fill="auto"/>
            <w:noWrap/>
            <w:vAlign w:val="center"/>
          </w:tcPr>
          <w:p w14:paraId="3FD77F13">
            <w:pPr>
              <w:widowControl/>
              <w:jc w:val="center"/>
              <w:rPr>
                <w:sz w:val="15"/>
                <w:szCs w:val="15"/>
                <w:highlight w:val="none"/>
              </w:rPr>
            </w:pPr>
            <w:r>
              <w:rPr>
                <w:sz w:val="15"/>
                <w:szCs w:val="15"/>
                <w:highlight w:val="none"/>
              </w:rPr>
              <w:t>276.87</w:t>
            </w:r>
          </w:p>
        </w:tc>
        <w:tc>
          <w:tcPr>
            <w:tcW w:w="462" w:type="pct"/>
            <w:tcBorders>
              <w:top w:val="nil"/>
              <w:left w:val="nil"/>
              <w:bottom w:val="single" w:color="auto" w:sz="4" w:space="0"/>
              <w:right w:val="single" w:color="auto" w:sz="4" w:space="0"/>
            </w:tcBorders>
            <w:shd w:val="clear" w:color="auto" w:fill="auto"/>
            <w:noWrap/>
            <w:vAlign w:val="center"/>
          </w:tcPr>
          <w:p w14:paraId="4932C841">
            <w:pPr>
              <w:widowControl/>
              <w:jc w:val="center"/>
              <w:rPr>
                <w:sz w:val="15"/>
                <w:szCs w:val="15"/>
                <w:highlight w:val="none"/>
              </w:rPr>
            </w:pPr>
            <w:r>
              <w:rPr>
                <w:sz w:val="15"/>
                <w:szCs w:val="15"/>
                <w:highlight w:val="none"/>
              </w:rPr>
              <w:t>5.17</w:t>
            </w:r>
          </w:p>
        </w:tc>
        <w:tc>
          <w:tcPr>
            <w:tcW w:w="462" w:type="pct"/>
            <w:tcBorders>
              <w:top w:val="nil"/>
              <w:left w:val="nil"/>
              <w:bottom w:val="single" w:color="auto" w:sz="4" w:space="0"/>
              <w:right w:val="single" w:color="auto" w:sz="4" w:space="0"/>
            </w:tcBorders>
            <w:shd w:val="clear" w:color="auto" w:fill="auto"/>
            <w:noWrap/>
            <w:vAlign w:val="center"/>
          </w:tcPr>
          <w:p w14:paraId="3C3942F9">
            <w:pPr>
              <w:widowControl/>
              <w:jc w:val="center"/>
              <w:rPr>
                <w:sz w:val="15"/>
                <w:szCs w:val="15"/>
                <w:highlight w:val="none"/>
              </w:rPr>
            </w:pPr>
            <w:r>
              <w:rPr>
                <w:sz w:val="15"/>
                <w:szCs w:val="15"/>
                <w:highlight w:val="none"/>
              </w:rPr>
              <w:t>4.70</w:t>
            </w:r>
          </w:p>
        </w:tc>
        <w:tc>
          <w:tcPr>
            <w:tcW w:w="368" w:type="pct"/>
            <w:tcBorders>
              <w:top w:val="nil"/>
              <w:left w:val="nil"/>
              <w:bottom w:val="single" w:color="auto" w:sz="4" w:space="0"/>
              <w:right w:val="single" w:color="auto" w:sz="4" w:space="0"/>
            </w:tcBorders>
            <w:shd w:val="clear" w:color="auto" w:fill="auto"/>
            <w:noWrap/>
            <w:vAlign w:val="center"/>
          </w:tcPr>
          <w:p w14:paraId="7BCB30BB">
            <w:pPr>
              <w:widowControl/>
              <w:jc w:val="center"/>
              <w:rPr>
                <w:sz w:val="15"/>
                <w:szCs w:val="15"/>
                <w:highlight w:val="none"/>
              </w:rPr>
            </w:pPr>
            <w:r>
              <w:rPr>
                <w:sz w:val="15"/>
                <w:szCs w:val="15"/>
                <w:highlight w:val="none"/>
              </w:rPr>
              <w:t>0.46</w:t>
            </w:r>
          </w:p>
        </w:tc>
        <w:tc>
          <w:tcPr>
            <w:tcW w:w="368" w:type="pct"/>
            <w:tcBorders>
              <w:top w:val="nil"/>
              <w:left w:val="nil"/>
              <w:bottom w:val="single" w:color="auto" w:sz="4" w:space="0"/>
              <w:right w:val="single" w:color="auto" w:sz="4" w:space="0"/>
            </w:tcBorders>
            <w:shd w:val="clear" w:color="auto" w:fill="auto"/>
            <w:noWrap/>
            <w:vAlign w:val="center"/>
          </w:tcPr>
          <w:p w14:paraId="3D1973D0">
            <w:pPr>
              <w:widowControl/>
              <w:jc w:val="center"/>
              <w:rPr>
                <w:sz w:val="15"/>
                <w:szCs w:val="15"/>
                <w:highlight w:val="none"/>
              </w:rPr>
            </w:pPr>
            <w:r>
              <w:rPr>
                <w:sz w:val="15"/>
                <w:szCs w:val="15"/>
                <w:highlight w:val="none"/>
              </w:rPr>
              <w:t>0</w:t>
            </w:r>
          </w:p>
        </w:tc>
        <w:tc>
          <w:tcPr>
            <w:tcW w:w="425" w:type="pct"/>
            <w:tcBorders>
              <w:top w:val="nil"/>
              <w:left w:val="nil"/>
              <w:bottom w:val="single" w:color="auto" w:sz="4" w:space="0"/>
              <w:right w:val="single" w:color="auto" w:sz="4" w:space="0"/>
            </w:tcBorders>
            <w:shd w:val="clear" w:color="auto" w:fill="auto"/>
            <w:noWrap/>
            <w:vAlign w:val="center"/>
          </w:tcPr>
          <w:p w14:paraId="147CD266">
            <w:pPr>
              <w:widowControl/>
              <w:jc w:val="center"/>
              <w:rPr>
                <w:sz w:val="15"/>
                <w:szCs w:val="15"/>
                <w:highlight w:val="none"/>
              </w:rPr>
            </w:pPr>
            <w:r>
              <w:rPr>
                <w:sz w:val="15"/>
                <w:szCs w:val="15"/>
                <w:highlight w:val="none"/>
              </w:rPr>
              <w:t>400</w:t>
            </w:r>
          </w:p>
        </w:tc>
        <w:tc>
          <w:tcPr>
            <w:tcW w:w="268" w:type="pct"/>
            <w:tcBorders>
              <w:top w:val="nil"/>
              <w:left w:val="nil"/>
              <w:bottom w:val="single" w:color="auto" w:sz="4" w:space="0"/>
              <w:right w:val="single" w:color="auto" w:sz="4" w:space="0"/>
            </w:tcBorders>
            <w:shd w:val="clear" w:color="auto" w:fill="auto"/>
            <w:noWrap/>
            <w:vAlign w:val="center"/>
          </w:tcPr>
          <w:p w14:paraId="13A052BF">
            <w:pPr>
              <w:widowControl/>
              <w:jc w:val="center"/>
              <w:rPr>
                <w:sz w:val="15"/>
                <w:szCs w:val="15"/>
                <w:highlight w:val="none"/>
              </w:rPr>
            </w:pPr>
            <w:r>
              <w:rPr>
                <w:sz w:val="15"/>
                <w:szCs w:val="15"/>
                <w:highlight w:val="none"/>
              </w:rPr>
              <w:t>/</w:t>
            </w:r>
          </w:p>
        </w:tc>
      </w:tr>
      <w:tr w14:paraId="1ED9C155">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110BC1D6">
            <w:pPr>
              <w:widowControl/>
              <w:jc w:val="center"/>
              <w:rPr>
                <w:sz w:val="15"/>
                <w:szCs w:val="15"/>
                <w:highlight w:val="none"/>
              </w:rPr>
            </w:pPr>
            <w:r>
              <w:rPr>
                <w:sz w:val="15"/>
                <w:szCs w:val="15"/>
                <w:highlight w:val="none"/>
              </w:rPr>
              <w:t>2025.12.25</w:t>
            </w:r>
          </w:p>
        </w:tc>
        <w:tc>
          <w:tcPr>
            <w:tcW w:w="268" w:type="pct"/>
            <w:tcBorders>
              <w:top w:val="nil"/>
              <w:left w:val="nil"/>
              <w:bottom w:val="single" w:color="auto" w:sz="4" w:space="0"/>
              <w:right w:val="single" w:color="auto" w:sz="4" w:space="0"/>
            </w:tcBorders>
            <w:shd w:val="clear" w:color="auto" w:fill="auto"/>
            <w:noWrap/>
            <w:vAlign w:val="center"/>
          </w:tcPr>
          <w:p w14:paraId="0B17ED50">
            <w:pPr>
              <w:widowControl/>
              <w:jc w:val="center"/>
              <w:rPr>
                <w:sz w:val="15"/>
                <w:szCs w:val="15"/>
                <w:highlight w:val="none"/>
              </w:rPr>
            </w:pPr>
            <w:r>
              <w:rPr>
                <w:sz w:val="15"/>
                <w:szCs w:val="15"/>
                <w:highlight w:val="none"/>
              </w:rPr>
              <w:t>8.16</w:t>
            </w:r>
          </w:p>
        </w:tc>
        <w:tc>
          <w:tcPr>
            <w:tcW w:w="354" w:type="pct"/>
            <w:tcBorders>
              <w:top w:val="nil"/>
              <w:left w:val="nil"/>
              <w:bottom w:val="single" w:color="auto" w:sz="4" w:space="0"/>
              <w:right w:val="single" w:color="auto" w:sz="4" w:space="0"/>
            </w:tcBorders>
            <w:shd w:val="clear" w:color="auto" w:fill="auto"/>
            <w:noWrap/>
            <w:vAlign w:val="center"/>
          </w:tcPr>
          <w:p w14:paraId="2FF7BCE0">
            <w:pPr>
              <w:widowControl/>
              <w:jc w:val="center"/>
              <w:rPr>
                <w:sz w:val="15"/>
                <w:szCs w:val="15"/>
                <w:highlight w:val="none"/>
              </w:rPr>
            </w:pPr>
            <w:r>
              <w:rPr>
                <w:sz w:val="15"/>
                <w:szCs w:val="15"/>
                <w:highlight w:val="none"/>
              </w:rPr>
              <w:t>2.15</w:t>
            </w:r>
          </w:p>
        </w:tc>
        <w:tc>
          <w:tcPr>
            <w:tcW w:w="401" w:type="pct"/>
            <w:tcBorders>
              <w:top w:val="nil"/>
              <w:left w:val="nil"/>
              <w:bottom w:val="single" w:color="auto" w:sz="4" w:space="0"/>
              <w:right w:val="single" w:color="auto" w:sz="4" w:space="0"/>
            </w:tcBorders>
            <w:shd w:val="clear" w:color="auto" w:fill="auto"/>
            <w:noWrap/>
            <w:vAlign w:val="center"/>
          </w:tcPr>
          <w:p w14:paraId="4E15BAA9">
            <w:pPr>
              <w:widowControl/>
              <w:jc w:val="center"/>
              <w:rPr>
                <w:sz w:val="15"/>
                <w:szCs w:val="15"/>
                <w:highlight w:val="none"/>
              </w:rPr>
            </w:pPr>
            <w:r>
              <w:rPr>
                <w:sz w:val="15"/>
                <w:szCs w:val="15"/>
                <w:highlight w:val="none"/>
              </w:rPr>
              <w:t>531</w:t>
            </w:r>
          </w:p>
        </w:tc>
        <w:tc>
          <w:tcPr>
            <w:tcW w:w="382" w:type="pct"/>
            <w:tcBorders>
              <w:top w:val="nil"/>
              <w:left w:val="nil"/>
              <w:bottom w:val="single" w:color="auto" w:sz="4" w:space="0"/>
              <w:right w:val="single" w:color="auto" w:sz="4" w:space="0"/>
            </w:tcBorders>
            <w:shd w:val="clear" w:color="auto" w:fill="auto"/>
            <w:noWrap/>
            <w:vAlign w:val="center"/>
          </w:tcPr>
          <w:p w14:paraId="32A6C4B4">
            <w:pPr>
              <w:widowControl/>
              <w:jc w:val="center"/>
              <w:rPr>
                <w:sz w:val="15"/>
                <w:szCs w:val="15"/>
                <w:highlight w:val="none"/>
              </w:rPr>
            </w:pPr>
            <w:r>
              <w:rPr>
                <w:sz w:val="15"/>
                <w:szCs w:val="15"/>
                <w:highlight w:val="none"/>
              </w:rPr>
              <w:t>4.80</w:t>
            </w:r>
          </w:p>
        </w:tc>
        <w:tc>
          <w:tcPr>
            <w:tcW w:w="368" w:type="pct"/>
            <w:tcBorders>
              <w:top w:val="nil"/>
              <w:left w:val="nil"/>
              <w:bottom w:val="single" w:color="auto" w:sz="4" w:space="0"/>
              <w:right w:val="single" w:color="auto" w:sz="4" w:space="0"/>
            </w:tcBorders>
            <w:shd w:val="clear" w:color="auto" w:fill="auto"/>
            <w:noWrap/>
            <w:vAlign w:val="center"/>
          </w:tcPr>
          <w:p w14:paraId="42D50907">
            <w:pPr>
              <w:widowControl/>
              <w:jc w:val="center"/>
              <w:rPr>
                <w:sz w:val="15"/>
                <w:szCs w:val="15"/>
                <w:highlight w:val="none"/>
              </w:rPr>
            </w:pPr>
            <w:r>
              <w:rPr>
                <w:sz w:val="15"/>
                <w:szCs w:val="15"/>
                <w:highlight w:val="none"/>
              </w:rPr>
              <w:t>0.19</w:t>
            </w:r>
          </w:p>
        </w:tc>
        <w:tc>
          <w:tcPr>
            <w:tcW w:w="368" w:type="pct"/>
            <w:tcBorders>
              <w:top w:val="nil"/>
              <w:left w:val="nil"/>
              <w:bottom w:val="single" w:color="auto" w:sz="4" w:space="0"/>
              <w:right w:val="single" w:color="auto" w:sz="4" w:space="0"/>
            </w:tcBorders>
            <w:shd w:val="clear" w:color="auto" w:fill="auto"/>
            <w:noWrap/>
            <w:vAlign w:val="center"/>
          </w:tcPr>
          <w:p w14:paraId="01C83101">
            <w:pPr>
              <w:widowControl/>
              <w:jc w:val="center"/>
              <w:rPr>
                <w:sz w:val="15"/>
                <w:szCs w:val="15"/>
                <w:highlight w:val="none"/>
              </w:rPr>
            </w:pPr>
            <w:r>
              <w:rPr>
                <w:sz w:val="15"/>
                <w:szCs w:val="15"/>
                <w:highlight w:val="none"/>
              </w:rPr>
              <w:t>60.80</w:t>
            </w:r>
          </w:p>
        </w:tc>
        <w:tc>
          <w:tcPr>
            <w:tcW w:w="462" w:type="pct"/>
            <w:tcBorders>
              <w:top w:val="nil"/>
              <w:left w:val="nil"/>
              <w:bottom w:val="single" w:color="auto" w:sz="4" w:space="0"/>
              <w:right w:val="single" w:color="auto" w:sz="4" w:space="0"/>
            </w:tcBorders>
            <w:shd w:val="clear" w:color="auto" w:fill="auto"/>
            <w:noWrap/>
            <w:vAlign w:val="center"/>
          </w:tcPr>
          <w:p w14:paraId="780CB692">
            <w:pPr>
              <w:widowControl/>
              <w:jc w:val="center"/>
              <w:rPr>
                <w:sz w:val="15"/>
                <w:szCs w:val="15"/>
                <w:highlight w:val="none"/>
              </w:rPr>
            </w:pPr>
            <w:r>
              <w:rPr>
                <w:sz w:val="15"/>
                <w:szCs w:val="15"/>
                <w:highlight w:val="none"/>
              </w:rPr>
              <w:t>2.54</w:t>
            </w:r>
          </w:p>
        </w:tc>
        <w:tc>
          <w:tcPr>
            <w:tcW w:w="462" w:type="pct"/>
            <w:tcBorders>
              <w:top w:val="nil"/>
              <w:left w:val="nil"/>
              <w:bottom w:val="single" w:color="auto" w:sz="4" w:space="0"/>
              <w:right w:val="single" w:color="auto" w:sz="4" w:space="0"/>
            </w:tcBorders>
            <w:shd w:val="clear" w:color="auto" w:fill="auto"/>
            <w:noWrap/>
            <w:vAlign w:val="center"/>
          </w:tcPr>
          <w:p w14:paraId="1AC4FCA0">
            <w:pPr>
              <w:widowControl/>
              <w:jc w:val="center"/>
              <w:rPr>
                <w:sz w:val="15"/>
                <w:szCs w:val="15"/>
                <w:highlight w:val="none"/>
              </w:rPr>
            </w:pPr>
            <w:r>
              <w:rPr>
                <w:sz w:val="15"/>
                <w:szCs w:val="15"/>
                <w:highlight w:val="none"/>
              </w:rPr>
              <w:t>2.09</w:t>
            </w:r>
          </w:p>
        </w:tc>
        <w:tc>
          <w:tcPr>
            <w:tcW w:w="368" w:type="pct"/>
            <w:tcBorders>
              <w:top w:val="nil"/>
              <w:left w:val="nil"/>
              <w:bottom w:val="single" w:color="auto" w:sz="4" w:space="0"/>
              <w:right w:val="single" w:color="auto" w:sz="4" w:space="0"/>
            </w:tcBorders>
            <w:shd w:val="clear" w:color="auto" w:fill="auto"/>
            <w:noWrap/>
            <w:vAlign w:val="center"/>
          </w:tcPr>
          <w:p w14:paraId="121C3ACD">
            <w:pPr>
              <w:widowControl/>
              <w:jc w:val="center"/>
              <w:rPr>
                <w:sz w:val="15"/>
                <w:szCs w:val="15"/>
                <w:highlight w:val="none"/>
              </w:rPr>
            </w:pPr>
            <w:r>
              <w:rPr>
                <w:sz w:val="15"/>
                <w:szCs w:val="15"/>
                <w:highlight w:val="none"/>
              </w:rPr>
              <w:t>0.19</w:t>
            </w:r>
          </w:p>
        </w:tc>
        <w:tc>
          <w:tcPr>
            <w:tcW w:w="368" w:type="pct"/>
            <w:tcBorders>
              <w:top w:val="nil"/>
              <w:left w:val="nil"/>
              <w:bottom w:val="single" w:color="auto" w:sz="4" w:space="0"/>
              <w:right w:val="single" w:color="auto" w:sz="4" w:space="0"/>
            </w:tcBorders>
            <w:shd w:val="clear" w:color="auto" w:fill="auto"/>
            <w:noWrap/>
            <w:vAlign w:val="center"/>
          </w:tcPr>
          <w:p w14:paraId="6008988C">
            <w:pPr>
              <w:widowControl/>
              <w:jc w:val="center"/>
              <w:rPr>
                <w:sz w:val="15"/>
                <w:szCs w:val="15"/>
                <w:highlight w:val="none"/>
              </w:rPr>
            </w:pPr>
            <w:r>
              <w:rPr>
                <w:sz w:val="15"/>
                <w:szCs w:val="15"/>
                <w:highlight w:val="none"/>
              </w:rPr>
              <w:t>0</w:t>
            </w:r>
          </w:p>
        </w:tc>
        <w:tc>
          <w:tcPr>
            <w:tcW w:w="42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4D1170A">
            <w:pPr>
              <w:widowControl/>
              <w:jc w:val="center"/>
              <w:rPr>
                <w:sz w:val="15"/>
                <w:szCs w:val="15"/>
                <w:highlight w:val="none"/>
              </w:rPr>
            </w:pPr>
            <w:r>
              <w:rPr>
                <w:sz w:val="15"/>
                <w:szCs w:val="15"/>
                <w:highlight w:val="none"/>
              </w:rPr>
              <w:t>23</w:t>
            </w:r>
          </w:p>
        </w:tc>
        <w:tc>
          <w:tcPr>
            <w:tcW w:w="268" w:type="pct"/>
            <w:tcBorders>
              <w:top w:val="nil"/>
              <w:left w:val="nil"/>
              <w:bottom w:val="single" w:color="auto" w:sz="4" w:space="0"/>
              <w:right w:val="single" w:color="auto" w:sz="4" w:space="0"/>
            </w:tcBorders>
            <w:shd w:val="clear" w:color="auto" w:fill="auto"/>
            <w:noWrap/>
            <w:vAlign w:val="center"/>
          </w:tcPr>
          <w:p w14:paraId="246DAEDB">
            <w:pPr>
              <w:widowControl/>
              <w:jc w:val="center"/>
              <w:rPr>
                <w:sz w:val="15"/>
                <w:szCs w:val="15"/>
                <w:highlight w:val="none"/>
              </w:rPr>
            </w:pPr>
            <w:r>
              <w:rPr>
                <w:sz w:val="15"/>
                <w:szCs w:val="15"/>
                <w:highlight w:val="none"/>
              </w:rPr>
              <w:t>0.03</w:t>
            </w:r>
          </w:p>
        </w:tc>
      </w:tr>
      <w:tr w14:paraId="76558F9D">
        <w:tblPrEx>
          <w:tblCellMar>
            <w:top w:w="0" w:type="dxa"/>
            <w:left w:w="108" w:type="dxa"/>
            <w:bottom w:w="0" w:type="dxa"/>
            <w:right w:w="108" w:type="dxa"/>
          </w:tblCellMar>
        </w:tblPrEx>
        <w:trPr>
          <w:trHeight w:val="300" w:hRule="atLeast"/>
        </w:trPr>
        <w:tc>
          <w:tcPr>
            <w:tcW w:w="499" w:type="pct"/>
            <w:tcBorders>
              <w:top w:val="nil"/>
              <w:left w:val="single" w:color="auto" w:sz="4" w:space="0"/>
              <w:bottom w:val="single" w:color="auto" w:sz="4" w:space="0"/>
              <w:right w:val="single" w:color="auto" w:sz="4" w:space="0"/>
            </w:tcBorders>
            <w:shd w:val="clear" w:color="auto" w:fill="auto"/>
            <w:noWrap/>
            <w:vAlign w:val="center"/>
          </w:tcPr>
          <w:p w14:paraId="22DA8F15">
            <w:pPr>
              <w:widowControl/>
              <w:jc w:val="center"/>
              <w:rPr>
                <w:sz w:val="15"/>
                <w:szCs w:val="15"/>
                <w:highlight w:val="none"/>
              </w:rPr>
            </w:pPr>
            <w:r>
              <w:rPr>
                <w:sz w:val="15"/>
                <w:szCs w:val="15"/>
                <w:highlight w:val="none"/>
              </w:rPr>
              <w:t>2025.12.31</w:t>
            </w:r>
          </w:p>
        </w:tc>
        <w:tc>
          <w:tcPr>
            <w:tcW w:w="268" w:type="pct"/>
            <w:tcBorders>
              <w:top w:val="nil"/>
              <w:left w:val="nil"/>
              <w:bottom w:val="single" w:color="auto" w:sz="4" w:space="0"/>
              <w:right w:val="single" w:color="auto" w:sz="4" w:space="0"/>
            </w:tcBorders>
            <w:shd w:val="clear" w:color="auto" w:fill="auto"/>
            <w:noWrap/>
            <w:vAlign w:val="center"/>
          </w:tcPr>
          <w:p w14:paraId="35AFCAC2">
            <w:pPr>
              <w:widowControl/>
              <w:jc w:val="center"/>
              <w:rPr>
                <w:sz w:val="15"/>
                <w:szCs w:val="15"/>
                <w:highlight w:val="none"/>
              </w:rPr>
            </w:pPr>
            <w:r>
              <w:rPr>
                <w:sz w:val="15"/>
                <w:szCs w:val="15"/>
                <w:highlight w:val="none"/>
              </w:rPr>
              <w:t>8.25</w:t>
            </w:r>
          </w:p>
        </w:tc>
        <w:tc>
          <w:tcPr>
            <w:tcW w:w="354" w:type="pct"/>
            <w:tcBorders>
              <w:top w:val="nil"/>
              <w:left w:val="nil"/>
              <w:bottom w:val="single" w:color="auto" w:sz="4" w:space="0"/>
              <w:right w:val="single" w:color="auto" w:sz="4" w:space="0"/>
            </w:tcBorders>
            <w:shd w:val="clear" w:color="auto" w:fill="auto"/>
            <w:noWrap/>
            <w:vAlign w:val="center"/>
          </w:tcPr>
          <w:p w14:paraId="34023BCF">
            <w:pPr>
              <w:widowControl/>
              <w:jc w:val="center"/>
              <w:rPr>
                <w:sz w:val="15"/>
                <w:szCs w:val="15"/>
                <w:highlight w:val="none"/>
              </w:rPr>
            </w:pPr>
            <w:r>
              <w:rPr>
                <w:sz w:val="15"/>
                <w:szCs w:val="15"/>
                <w:highlight w:val="none"/>
              </w:rPr>
              <w:t>0.78</w:t>
            </w:r>
          </w:p>
        </w:tc>
        <w:tc>
          <w:tcPr>
            <w:tcW w:w="401" w:type="pct"/>
            <w:tcBorders>
              <w:top w:val="nil"/>
              <w:left w:val="nil"/>
              <w:bottom w:val="single" w:color="auto" w:sz="4" w:space="0"/>
              <w:right w:val="single" w:color="auto" w:sz="4" w:space="0"/>
            </w:tcBorders>
            <w:shd w:val="clear" w:color="auto" w:fill="auto"/>
            <w:noWrap/>
            <w:vAlign w:val="center"/>
          </w:tcPr>
          <w:p w14:paraId="54BD4B0A">
            <w:pPr>
              <w:widowControl/>
              <w:jc w:val="center"/>
              <w:rPr>
                <w:sz w:val="15"/>
                <w:szCs w:val="15"/>
                <w:highlight w:val="none"/>
              </w:rPr>
            </w:pPr>
            <w:r>
              <w:rPr>
                <w:sz w:val="15"/>
                <w:szCs w:val="15"/>
                <w:highlight w:val="none"/>
              </w:rPr>
              <w:t>567</w:t>
            </w:r>
          </w:p>
        </w:tc>
        <w:tc>
          <w:tcPr>
            <w:tcW w:w="382" w:type="pct"/>
            <w:tcBorders>
              <w:top w:val="nil"/>
              <w:left w:val="nil"/>
              <w:bottom w:val="single" w:color="auto" w:sz="4" w:space="0"/>
              <w:right w:val="single" w:color="auto" w:sz="4" w:space="0"/>
            </w:tcBorders>
            <w:shd w:val="clear" w:color="auto" w:fill="auto"/>
            <w:noWrap/>
            <w:vAlign w:val="center"/>
          </w:tcPr>
          <w:p w14:paraId="7CF4AC79">
            <w:pPr>
              <w:widowControl/>
              <w:jc w:val="center"/>
              <w:rPr>
                <w:sz w:val="15"/>
                <w:szCs w:val="15"/>
                <w:highlight w:val="none"/>
              </w:rPr>
            </w:pPr>
            <w:r>
              <w:rPr>
                <w:sz w:val="15"/>
                <w:szCs w:val="15"/>
                <w:highlight w:val="none"/>
              </w:rPr>
              <w:t>5.20</w:t>
            </w:r>
          </w:p>
        </w:tc>
        <w:tc>
          <w:tcPr>
            <w:tcW w:w="368" w:type="pct"/>
            <w:tcBorders>
              <w:top w:val="nil"/>
              <w:left w:val="nil"/>
              <w:bottom w:val="single" w:color="auto" w:sz="4" w:space="0"/>
              <w:right w:val="single" w:color="auto" w:sz="4" w:space="0"/>
            </w:tcBorders>
            <w:shd w:val="clear" w:color="auto" w:fill="auto"/>
            <w:noWrap/>
            <w:vAlign w:val="center"/>
          </w:tcPr>
          <w:p w14:paraId="5189A919">
            <w:pPr>
              <w:widowControl/>
              <w:jc w:val="center"/>
              <w:rPr>
                <w:sz w:val="15"/>
                <w:szCs w:val="15"/>
                <w:highlight w:val="none"/>
              </w:rPr>
            </w:pPr>
            <w:r>
              <w:rPr>
                <w:sz w:val="15"/>
                <w:szCs w:val="15"/>
                <w:highlight w:val="none"/>
              </w:rPr>
              <w:t>0.11</w:t>
            </w:r>
          </w:p>
        </w:tc>
        <w:tc>
          <w:tcPr>
            <w:tcW w:w="368" w:type="pct"/>
            <w:tcBorders>
              <w:top w:val="nil"/>
              <w:left w:val="nil"/>
              <w:bottom w:val="single" w:color="auto" w:sz="4" w:space="0"/>
              <w:right w:val="single" w:color="auto" w:sz="4" w:space="0"/>
            </w:tcBorders>
            <w:shd w:val="clear" w:color="auto" w:fill="auto"/>
            <w:noWrap/>
            <w:vAlign w:val="center"/>
          </w:tcPr>
          <w:p w14:paraId="292909C3">
            <w:pPr>
              <w:widowControl/>
              <w:jc w:val="center"/>
              <w:rPr>
                <w:sz w:val="15"/>
                <w:szCs w:val="15"/>
                <w:highlight w:val="none"/>
              </w:rPr>
            </w:pPr>
            <w:r>
              <w:rPr>
                <w:sz w:val="15"/>
                <w:szCs w:val="15"/>
                <w:highlight w:val="none"/>
              </w:rPr>
              <w:t>144.36</w:t>
            </w:r>
          </w:p>
        </w:tc>
        <w:tc>
          <w:tcPr>
            <w:tcW w:w="462" w:type="pct"/>
            <w:tcBorders>
              <w:top w:val="nil"/>
              <w:left w:val="nil"/>
              <w:bottom w:val="single" w:color="auto" w:sz="4" w:space="0"/>
              <w:right w:val="single" w:color="auto" w:sz="4" w:space="0"/>
            </w:tcBorders>
            <w:shd w:val="clear" w:color="auto" w:fill="auto"/>
            <w:noWrap/>
            <w:vAlign w:val="center"/>
          </w:tcPr>
          <w:p w14:paraId="266843FA">
            <w:pPr>
              <w:widowControl/>
              <w:jc w:val="center"/>
              <w:rPr>
                <w:sz w:val="15"/>
                <w:szCs w:val="15"/>
                <w:highlight w:val="none"/>
              </w:rPr>
            </w:pPr>
            <w:r>
              <w:rPr>
                <w:sz w:val="15"/>
                <w:szCs w:val="15"/>
                <w:highlight w:val="none"/>
              </w:rPr>
              <w:t>3.76</w:t>
            </w:r>
          </w:p>
        </w:tc>
        <w:tc>
          <w:tcPr>
            <w:tcW w:w="462" w:type="pct"/>
            <w:tcBorders>
              <w:top w:val="nil"/>
              <w:left w:val="nil"/>
              <w:bottom w:val="single" w:color="auto" w:sz="4" w:space="0"/>
              <w:right w:val="single" w:color="auto" w:sz="4" w:space="0"/>
            </w:tcBorders>
            <w:shd w:val="clear" w:color="auto" w:fill="auto"/>
            <w:noWrap/>
            <w:vAlign w:val="center"/>
          </w:tcPr>
          <w:p w14:paraId="090481E6">
            <w:pPr>
              <w:widowControl/>
              <w:jc w:val="center"/>
              <w:rPr>
                <w:sz w:val="15"/>
                <w:szCs w:val="15"/>
                <w:highlight w:val="none"/>
              </w:rPr>
            </w:pPr>
            <w:r>
              <w:rPr>
                <w:sz w:val="15"/>
                <w:szCs w:val="15"/>
                <w:highlight w:val="none"/>
              </w:rPr>
              <w:t>2.40</w:t>
            </w:r>
          </w:p>
        </w:tc>
        <w:tc>
          <w:tcPr>
            <w:tcW w:w="368" w:type="pct"/>
            <w:tcBorders>
              <w:top w:val="nil"/>
              <w:left w:val="nil"/>
              <w:bottom w:val="single" w:color="auto" w:sz="4" w:space="0"/>
              <w:right w:val="single" w:color="auto" w:sz="4" w:space="0"/>
            </w:tcBorders>
            <w:shd w:val="clear" w:color="auto" w:fill="auto"/>
            <w:noWrap/>
            <w:vAlign w:val="center"/>
          </w:tcPr>
          <w:p w14:paraId="0CF81140">
            <w:pPr>
              <w:widowControl/>
              <w:jc w:val="center"/>
              <w:rPr>
                <w:sz w:val="15"/>
                <w:szCs w:val="15"/>
                <w:highlight w:val="none"/>
              </w:rPr>
            </w:pPr>
            <w:r>
              <w:rPr>
                <w:sz w:val="15"/>
                <w:szCs w:val="15"/>
                <w:highlight w:val="none"/>
              </w:rPr>
              <w:t>0.08</w:t>
            </w:r>
          </w:p>
        </w:tc>
        <w:tc>
          <w:tcPr>
            <w:tcW w:w="368" w:type="pct"/>
            <w:tcBorders>
              <w:top w:val="nil"/>
              <w:left w:val="nil"/>
              <w:bottom w:val="single" w:color="auto" w:sz="4" w:space="0"/>
              <w:right w:val="single" w:color="auto" w:sz="4" w:space="0"/>
            </w:tcBorders>
            <w:shd w:val="clear" w:color="auto" w:fill="auto"/>
            <w:noWrap/>
            <w:vAlign w:val="center"/>
          </w:tcPr>
          <w:p w14:paraId="23BA7CAC">
            <w:pPr>
              <w:widowControl/>
              <w:jc w:val="center"/>
              <w:rPr>
                <w:sz w:val="15"/>
                <w:szCs w:val="15"/>
                <w:highlight w:val="none"/>
              </w:rPr>
            </w:pPr>
            <w:r>
              <w:rPr>
                <w:sz w:val="15"/>
                <w:szCs w:val="15"/>
                <w:highlight w:val="none"/>
              </w:rPr>
              <w:t>0</w:t>
            </w:r>
          </w:p>
        </w:tc>
        <w:tc>
          <w:tcPr>
            <w:tcW w:w="425" w:type="pct"/>
            <w:tcBorders>
              <w:top w:val="nil"/>
              <w:left w:val="nil"/>
              <w:bottom w:val="single" w:color="auto" w:sz="4" w:space="0"/>
              <w:right w:val="single" w:color="auto" w:sz="4" w:space="0"/>
            </w:tcBorders>
            <w:shd w:val="clear" w:color="auto" w:fill="auto"/>
            <w:noWrap/>
            <w:vAlign w:val="center"/>
          </w:tcPr>
          <w:p w14:paraId="444DA3B5">
            <w:pPr>
              <w:widowControl/>
              <w:jc w:val="center"/>
              <w:rPr>
                <w:sz w:val="15"/>
                <w:szCs w:val="15"/>
                <w:highlight w:val="none"/>
              </w:rPr>
            </w:pPr>
            <w:r>
              <w:rPr>
                <w:sz w:val="15"/>
                <w:szCs w:val="15"/>
                <w:highlight w:val="none"/>
              </w:rPr>
              <w:t>8</w:t>
            </w:r>
          </w:p>
        </w:tc>
        <w:tc>
          <w:tcPr>
            <w:tcW w:w="268" w:type="pct"/>
            <w:tcBorders>
              <w:top w:val="nil"/>
              <w:left w:val="nil"/>
              <w:bottom w:val="single" w:color="auto" w:sz="4" w:space="0"/>
              <w:right w:val="single" w:color="auto" w:sz="4" w:space="0"/>
            </w:tcBorders>
            <w:shd w:val="clear" w:color="auto" w:fill="auto"/>
            <w:noWrap/>
            <w:vAlign w:val="center"/>
          </w:tcPr>
          <w:p w14:paraId="718E2CB2">
            <w:pPr>
              <w:widowControl/>
              <w:jc w:val="center"/>
              <w:rPr>
                <w:sz w:val="15"/>
                <w:szCs w:val="15"/>
                <w:highlight w:val="none"/>
              </w:rPr>
            </w:pPr>
            <w:r>
              <w:rPr>
                <w:sz w:val="15"/>
                <w:szCs w:val="15"/>
                <w:highlight w:val="none"/>
              </w:rPr>
              <w:t>/</w:t>
            </w:r>
          </w:p>
        </w:tc>
      </w:tr>
    </w:tbl>
    <w:p w14:paraId="4B736A0D">
      <w:pPr>
        <w:rPr>
          <w:highlight w:val="none"/>
          <w:lang w:val="zh-CN"/>
        </w:rPr>
      </w:pPr>
    </w:p>
    <w:p w14:paraId="39803E00">
      <w:pPr>
        <w:rPr>
          <w:highlight w:val="none"/>
          <w:lang w:val="zh-CN"/>
        </w:rPr>
      </w:pPr>
    </w:p>
    <w:p w14:paraId="07D74F0F">
      <w:pPr>
        <w:snapToGrid w:val="0"/>
        <w:spacing w:line="360" w:lineRule="auto"/>
        <w:ind w:firstLine="318" w:firstLineChars="177"/>
        <w:jc w:val="center"/>
        <w:rPr>
          <w:sz w:val="18"/>
          <w:szCs w:val="18"/>
          <w:highlight w:val="none"/>
          <w:lang w:val="zh-CN"/>
        </w:rPr>
      </w:pPr>
      <w:r>
        <w:rPr>
          <w:rFonts w:hint="eastAsia"/>
          <w:sz w:val="18"/>
          <w:szCs w:val="18"/>
          <w:highlight w:val="none"/>
          <w:lang w:val="zh-CN"/>
        </w:rPr>
        <w:t>表</w:t>
      </w:r>
      <w:r>
        <w:rPr>
          <w:sz w:val="18"/>
          <w:szCs w:val="18"/>
          <w:highlight w:val="none"/>
          <w:lang w:val="zh-CN"/>
        </w:rPr>
        <w:t>-</w:t>
      </w:r>
      <w:r>
        <w:rPr>
          <w:sz w:val="18"/>
          <w:szCs w:val="18"/>
          <w:highlight w:val="none"/>
        </w:rPr>
        <w:t>2</w:t>
      </w:r>
      <w:r>
        <w:rPr>
          <w:sz w:val="18"/>
          <w:szCs w:val="18"/>
          <w:highlight w:val="none"/>
          <w:lang w:val="zh-CN"/>
        </w:rPr>
        <w:t xml:space="preserve">       </w:t>
      </w:r>
      <w:r>
        <w:rPr>
          <w:rFonts w:hint="eastAsia"/>
          <w:sz w:val="18"/>
          <w:szCs w:val="18"/>
          <w:highlight w:val="none"/>
          <w:lang w:val="zh-CN"/>
        </w:rPr>
        <w:t>超滤装置进水（</w:t>
      </w:r>
      <w:r>
        <w:rPr>
          <w:sz w:val="18"/>
          <w:szCs w:val="18"/>
          <w:highlight w:val="none"/>
          <w:lang w:val="zh-CN"/>
        </w:rPr>
        <w:t>A</w:t>
      </w:r>
      <w:r>
        <w:rPr>
          <w:rFonts w:hint="eastAsia"/>
          <w:sz w:val="18"/>
          <w:szCs w:val="18"/>
          <w:highlight w:val="none"/>
          <w:lang w:val="zh-CN"/>
        </w:rPr>
        <w:t>工业水池）水质分析资料</w:t>
      </w:r>
    </w:p>
    <w:tbl>
      <w:tblPr>
        <w:tblStyle w:val="21"/>
        <w:tblW w:w="5061" w:type="pct"/>
        <w:tblInd w:w="0" w:type="dxa"/>
        <w:tblLayout w:type="autofit"/>
        <w:tblCellMar>
          <w:top w:w="0" w:type="dxa"/>
          <w:left w:w="108" w:type="dxa"/>
          <w:bottom w:w="0" w:type="dxa"/>
          <w:right w:w="108" w:type="dxa"/>
        </w:tblCellMar>
      </w:tblPr>
      <w:tblGrid>
        <w:gridCol w:w="891"/>
        <w:gridCol w:w="558"/>
        <w:gridCol w:w="670"/>
        <w:gridCol w:w="633"/>
        <w:gridCol w:w="716"/>
        <w:gridCol w:w="683"/>
        <w:gridCol w:w="658"/>
        <w:gridCol w:w="658"/>
        <w:gridCol w:w="825"/>
        <w:gridCol w:w="825"/>
        <w:gridCol w:w="658"/>
        <w:gridCol w:w="658"/>
        <w:gridCol w:w="658"/>
      </w:tblGrid>
      <w:tr w14:paraId="74858092">
        <w:tblPrEx>
          <w:tblCellMar>
            <w:top w:w="0" w:type="dxa"/>
            <w:left w:w="108" w:type="dxa"/>
            <w:bottom w:w="0" w:type="dxa"/>
            <w:right w:w="108" w:type="dxa"/>
          </w:tblCellMar>
        </w:tblPrEx>
        <w:trPr>
          <w:trHeight w:val="630" w:hRule="atLeast"/>
          <w:tblHeader/>
        </w:trPr>
        <w:tc>
          <w:tcPr>
            <w:tcW w:w="490" w:type="pct"/>
            <w:vMerge w:val="restart"/>
            <w:tcBorders>
              <w:top w:val="single" w:color="auto" w:sz="4" w:space="0"/>
              <w:left w:val="single" w:color="auto" w:sz="8" w:space="0"/>
              <w:bottom w:val="single" w:color="000000" w:sz="4" w:space="0"/>
              <w:right w:val="nil"/>
              <w:tl2br w:val="single" w:color="auto" w:sz="8" w:space="0"/>
            </w:tcBorders>
            <w:shd w:val="clear" w:color="auto" w:fill="auto"/>
            <w:vAlign w:val="center"/>
          </w:tcPr>
          <w:p w14:paraId="6A00A9BE">
            <w:pPr>
              <w:widowControl/>
              <w:jc w:val="center"/>
              <w:rPr>
                <w:b/>
                <w:bCs/>
                <w:sz w:val="15"/>
                <w:szCs w:val="15"/>
                <w:highlight w:val="none"/>
              </w:rPr>
            </w:pPr>
            <w:r>
              <w:rPr>
                <w:b/>
                <w:bCs/>
                <w:sz w:val="15"/>
                <w:szCs w:val="15"/>
                <w:highlight w:val="none"/>
              </w:rPr>
              <w:t xml:space="preserve">分析项目  取样日期    </w:t>
            </w:r>
          </w:p>
        </w:tc>
        <w:tc>
          <w:tcPr>
            <w:tcW w:w="306" w:type="pct"/>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367CE02D">
            <w:pPr>
              <w:widowControl/>
              <w:jc w:val="center"/>
              <w:rPr>
                <w:b/>
                <w:bCs/>
                <w:sz w:val="15"/>
                <w:szCs w:val="15"/>
                <w:highlight w:val="none"/>
              </w:rPr>
            </w:pPr>
            <w:r>
              <w:rPr>
                <w:b/>
                <w:bCs/>
                <w:sz w:val="15"/>
                <w:szCs w:val="15"/>
                <w:highlight w:val="none"/>
              </w:rPr>
              <w:t>取样时间</w:t>
            </w:r>
          </w:p>
        </w:tc>
        <w:tc>
          <w:tcPr>
            <w:tcW w:w="368" w:type="pct"/>
            <w:tcBorders>
              <w:top w:val="single" w:color="auto" w:sz="4" w:space="0"/>
              <w:left w:val="nil"/>
              <w:bottom w:val="single" w:color="auto" w:sz="4" w:space="0"/>
              <w:right w:val="single" w:color="auto" w:sz="4" w:space="0"/>
            </w:tcBorders>
            <w:shd w:val="clear" w:color="auto" w:fill="auto"/>
            <w:vAlign w:val="center"/>
          </w:tcPr>
          <w:p w14:paraId="6FB0E561">
            <w:pPr>
              <w:widowControl/>
              <w:jc w:val="center"/>
              <w:rPr>
                <w:b/>
                <w:bCs/>
                <w:sz w:val="15"/>
                <w:szCs w:val="15"/>
                <w:highlight w:val="none"/>
              </w:rPr>
            </w:pPr>
            <w:r>
              <w:rPr>
                <w:b/>
                <w:bCs/>
                <w:sz w:val="15"/>
                <w:szCs w:val="15"/>
                <w:highlight w:val="none"/>
              </w:rPr>
              <w:t>pH</w:t>
            </w:r>
          </w:p>
        </w:tc>
        <w:tc>
          <w:tcPr>
            <w:tcW w:w="348" w:type="pct"/>
            <w:tcBorders>
              <w:top w:val="single" w:color="auto" w:sz="4" w:space="0"/>
              <w:left w:val="nil"/>
              <w:bottom w:val="single" w:color="auto" w:sz="4" w:space="0"/>
              <w:right w:val="single" w:color="auto" w:sz="4" w:space="0"/>
            </w:tcBorders>
            <w:shd w:val="clear" w:color="auto" w:fill="auto"/>
            <w:vAlign w:val="center"/>
          </w:tcPr>
          <w:p w14:paraId="705C9B91">
            <w:pPr>
              <w:widowControl/>
              <w:jc w:val="center"/>
              <w:rPr>
                <w:b/>
                <w:bCs/>
                <w:sz w:val="15"/>
                <w:szCs w:val="15"/>
                <w:highlight w:val="none"/>
              </w:rPr>
            </w:pPr>
            <w:r>
              <w:rPr>
                <w:b/>
                <w:bCs/>
                <w:sz w:val="15"/>
                <w:szCs w:val="15"/>
                <w:highlight w:val="none"/>
              </w:rPr>
              <w:t>浊度</w:t>
            </w:r>
            <w:r>
              <w:rPr>
                <w:b/>
                <w:bCs/>
                <w:sz w:val="15"/>
                <w:szCs w:val="15"/>
                <w:highlight w:val="none"/>
              </w:rPr>
              <w:br w:type="textWrapping"/>
            </w:r>
            <w:r>
              <w:rPr>
                <w:b/>
                <w:bCs/>
                <w:sz w:val="15"/>
                <w:szCs w:val="15"/>
                <w:highlight w:val="none"/>
              </w:rPr>
              <w:t>(NTU)</w:t>
            </w:r>
          </w:p>
        </w:tc>
        <w:tc>
          <w:tcPr>
            <w:tcW w:w="393" w:type="pct"/>
            <w:tcBorders>
              <w:top w:val="single" w:color="auto" w:sz="4" w:space="0"/>
              <w:left w:val="nil"/>
              <w:bottom w:val="single" w:color="auto" w:sz="4" w:space="0"/>
              <w:right w:val="single" w:color="auto" w:sz="4" w:space="0"/>
            </w:tcBorders>
            <w:shd w:val="clear" w:color="auto" w:fill="auto"/>
            <w:vAlign w:val="center"/>
          </w:tcPr>
          <w:p w14:paraId="2BC90815">
            <w:pPr>
              <w:widowControl/>
              <w:jc w:val="center"/>
              <w:rPr>
                <w:b/>
                <w:bCs/>
                <w:sz w:val="15"/>
                <w:szCs w:val="15"/>
                <w:highlight w:val="none"/>
              </w:rPr>
            </w:pPr>
            <w:r>
              <w:rPr>
                <w:b/>
                <w:bCs/>
                <w:sz w:val="15"/>
                <w:szCs w:val="15"/>
                <w:highlight w:val="none"/>
              </w:rPr>
              <w:t>电导率</w:t>
            </w:r>
            <w:r>
              <w:rPr>
                <w:b/>
                <w:bCs/>
                <w:sz w:val="15"/>
                <w:szCs w:val="15"/>
                <w:highlight w:val="none"/>
              </w:rPr>
              <w:br w:type="textWrapping"/>
            </w:r>
            <w:r>
              <w:rPr>
                <w:b/>
                <w:bCs/>
                <w:sz w:val="15"/>
                <w:szCs w:val="15"/>
                <w:highlight w:val="none"/>
              </w:rPr>
              <w:t>(uS/cm)</w:t>
            </w:r>
          </w:p>
        </w:tc>
        <w:tc>
          <w:tcPr>
            <w:tcW w:w="375" w:type="pct"/>
            <w:tcBorders>
              <w:top w:val="single" w:color="auto" w:sz="4" w:space="0"/>
              <w:left w:val="nil"/>
              <w:bottom w:val="single" w:color="auto" w:sz="4" w:space="0"/>
              <w:right w:val="single" w:color="auto" w:sz="4" w:space="0"/>
            </w:tcBorders>
            <w:shd w:val="clear" w:color="auto" w:fill="auto"/>
            <w:vAlign w:val="center"/>
          </w:tcPr>
          <w:p w14:paraId="5A47D196">
            <w:pPr>
              <w:widowControl/>
              <w:jc w:val="center"/>
              <w:rPr>
                <w:b/>
                <w:bCs/>
                <w:sz w:val="15"/>
                <w:szCs w:val="15"/>
                <w:highlight w:val="none"/>
              </w:rPr>
            </w:pPr>
            <w:r>
              <w:rPr>
                <w:b/>
                <w:bCs/>
                <w:sz w:val="15"/>
                <w:szCs w:val="15"/>
                <w:highlight w:val="none"/>
              </w:rPr>
              <w:t>CODcr</w:t>
            </w:r>
          </w:p>
          <w:p w14:paraId="10405E08">
            <w:pPr>
              <w:widowControl/>
              <w:jc w:val="center"/>
              <w:rPr>
                <w:b/>
                <w:bCs/>
                <w:sz w:val="15"/>
                <w:szCs w:val="15"/>
                <w:highlight w:val="none"/>
              </w:rPr>
            </w:pPr>
            <w:r>
              <w:rPr>
                <w:b/>
                <w:bCs/>
                <w:sz w:val="15"/>
                <w:szCs w:val="15"/>
                <w:highlight w:val="none"/>
              </w:rPr>
              <w:t>(mg/L)</w:t>
            </w:r>
          </w:p>
        </w:tc>
        <w:tc>
          <w:tcPr>
            <w:tcW w:w="361" w:type="pct"/>
            <w:tcBorders>
              <w:top w:val="single" w:color="auto" w:sz="4" w:space="0"/>
              <w:left w:val="nil"/>
              <w:bottom w:val="single" w:color="auto" w:sz="4" w:space="0"/>
              <w:right w:val="single" w:color="auto" w:sz="4" w:space="0"/>
            </w:tcBorders>
            <w:shd w:val="clear" w:color="auto" w:fill="auto"/>
            <w:vAlign w:val="center"/>
          </w:tcPr>
          <w:p w14:paraId="10641A06">
            <w:pPr>
              <w:widowControl/>
              <w:jc w:val="center"/>
              <w:rPr>
                <w:b/>
                <w:bCs/>
                <w:sz w:val="15"/>
                <w:szCs w:val="15"/>
                <w:highlight w:val="none"/>
              </w:rPr>
            </w:pPr>
            <w:r>
              <w:rPr>
                <w:b/>
                <w:bCs/>
                <w:sz w:val="15"/>
                <w:szCs w:val="15"/>
                <w:highlight w:val="none"/>
              </w:rPr>
              <w:t>NH</w:t>
            </w:r>
            <w:r>
              <w:rPr>
                <w:b/>
                <w:bCs/>
                <w:sz w:val="15"/>
                <w:szCs w:val="15"/>
                <w:highlight w:val="none"/>
                <w:vertAlign w:val="subscript"/>
              </w:rPr>
              <w:t>3</w:t>
            </w:r>
            <w:r>
              <w:rPr>
                <w:b/>
                <w:bCs/>
                <w:sz w:val="15"/>
                <w:szCs w:val="15"/>
                <w:highlight w:val="none"/>
              </w:rPr>
              <w:t>-N</w:t>
            </w:r>
          </w:p>
          <w:p w14:paraId="6B4705BC">
            <w:pPr>
              <w:widowControl/>
              <w:jc w:val="center"/>
              <w:rPr>
                <w:b/>
                <w:bCs/>
                <w:sz w:val="15"/>
                <w:szCs w:val="15"/>
                <w:highlight w:val="none"/>
              </w:rPr>
            </w:pPr>
            <w:r>
              <w:rPr>
                <w:b/>
                <w:bCs/>
                <w:sz w:val="15"/>
                <w:szCs w:val="15"/>
                <w:highlight w:val="none"/>
              </w:rPr>
              <w:t>(mg/L)</w:t>
            </w:r>
          </w:p>
        </w:tc>
        <w:tc>
          <w:tcPr>
            <w:tcW w:w="361" w:type="pct"/>
            <w:tcBorders>
              <w:top w:val="single" w:color="auto" w:sz="4" w:space="0"/>
              <w:left w:val="nil"/>
              <w:bottom w:val="single" w:color="auto" w:sz="4" w:space="0"/>
              <w:right w:val="single" w:color="auto" w:sz="4" w:space="0"/>
            </w:tcBorders>
            <w:shd w:val="clear" w:color="auto" w:fill="auto"/>
            <w:vAlign w:val="center"/>
          </w:tcPr>
          <w:p w14:paraId="1EB3E7EC">
            <w:pPr>
              <w:widowControl/>
              <w:jc w:val="center"/>
              <w:rPr>
                <w:b/>
                <w:bCs/>
                <w:sz w:val="15"/>
                <w:szCs w:val="15"/>
                <w:highlight w:val="none"/>
              </w:rPr>
            </w:pPr>
            <w:r>
              <w:rPr>
                <w:b/>
                <w:bCs/>
                <w:sz w:val="15"/>
                <w:szCs w:val="15"/>
                <w:highlight w:val="none"/>
              </w:rPr>
              <w:t>Cl</w:t>
            </w:r>
            <w:r>
              <w:rPr>
                <w:b/>
                <w:bCs/>
                <w:sz w:val="15"/>
                <w:szCs w:val="15"/>
                <w:highlight w:val="none"/>
                <w:vertAlign w:val="superscript"/>
              </w:rPr>
              <w:t>-</w:t>
            </w:r>
            <w:r>
              <w:rPr>
                <w:b/>
                <w:bCs/>
                <w:sz w:val="15"/>
                <w:szCs w:val="15"/>
                <w:highlight w:val="none"/>
              </w:rPr>
              <w:t xml:space="preserve"> (mg/L)</w:t>
            </w:r>
          </w:p>
        </w:tc>
        <w:tc>
          <w:tcPr>
            <w:tcW w:w="453" w:type="pct"/>
            <w:tcBorders>
              <w:top w:val="single" w:color="auto" w:sz="4" w:space="0"/>
              <w:left w:val="nil"/>
              <w:bottom w:val="single" w:color="auto" w:sz="4" w:space="0"/>
              <w:right w:val="single" w:color="auto" w:sz="4" w:space="0"/>
            </w:tcBorders>
            <w:shd w:val="clear" w:color="auto" w:fill="auto"/>
            <w:vAlign w:val="center"/>
          </w:tcPr>
          <w:p w14:paraId="76D50E7D">
            <w:pPr>
              <w:widowControl/>
              <w:jc w:val="center"/>
              <w:rPr>
                <w:b/>
                <w:bCs/>
                <w:sz w:val="15"/>
                <w:szCs w:val="15"/>
                <w:highlight w:val="none"/>
              </w:rPr>
            </w:pPr>
            <w:r>
              <w:rPr>
                <w:b/>
                <w:bCs/>
                <w:sz w:val="15"/>
                <w:szCs w:val="15"/>
                <w:highlight w:val="none"/>
              </w:rPr>
              <w:t>总硬度(mmol/L)</w:t>
            </w:r>
          </w:p>
        </w:tc>
        <w:tc>
          <w:tcPr>
            <w:tcW w:w="453" w:type="pct"/>
            <w:tcBorders>
              <w:top w:val="single" w:color="auto" w:sz="4" w:space="0"/>
              <w:left w:val="nil"/>
              <w:bottom w:val="single" w:color="auto" w:sz="4" w:space="0"/>
              <w:right w:val="single" w:color="auto" w:sz="4" w:space="0"/>
            </w:tcBorders>
            <w:shd w:val="clear" w:color="auto" w:fill="auto"/>
            <w:vAlign w:val="center"/>
          </w:tcPr>
          <w:p w14:paraId="6699D5BB">
            <w:pPr>
              <w:widowControl/>
              <w:jc w:val="center"/>
              <w:rPr>
                <w:b/>
                <w:bCs/>
                <w:sz w:val="15"/>
                <w:szCs w:val="15"/>
                <w:highlight w:val="none"/>
              </w:rPr>
            </w:pPr>
            <w:r>
              <w:rPr>
                <w:b/>
                <w:bCs/>
                <w:sz w:val="15"/>
                <w:szCs w:val="15"/>
                <w:highlight w:val="none"/>
              </w:rPr>
              <w:t>总碱度(mmol/L)</w:t>
            </w:r>
          </w:p>
        </w:tc>
        <w:tc>
          <w:tcPr>
            <w:tcW w:w="361" w:type="pct"/>
            <w:tcBorders>
              <w:top w:val="single" w:color="auto" w:sz="4" w:space="0"/>
              <w:left w:val="single" w:color="auto" w:sz="4" w:space="0"/>
              <w:bottom w:val="single" w:color="auto" w:sz="4" w:space="0"/>
              <w:right w:val="single" w:color="auto" w:sz="4" w:space="0"/>
            </w:tcBorders>
            <w:shd w:val="clear" w:color="auto" w:fill="auto"/>
            <w:vAlign w:val="center"/>
          </w:tcPr>
          <w:p w14:paraId="36A95EBF">
            <w:pPr>
              <w:widowControl/>
              <w:jc w:val="center"/>
              <w:rPr>
                <w:b/>
                <w:bCs/>
                <w:sz w:val="15"/>
                <w:szCs w:val="15"/>
                <w:highlight w:val="none"/>
              </w:rPr>
            </w:pPr>
            <w:r>
              <w:rPr>
                <w:b/>
                <w:bCs/>
                <w:sz w:val="15"/>
                <w:szCs w:val="15"/>
                <w:highlight w:val="none"/>
              </w:rPr>
              <w:t>余氯 (mg/L)</w:t>
            </w:r>
          </w:p>
        </w:tc>
        <w:tc>
          <w:tcPr>
            <w:tcW w:w="361" w:type="pct"/>
            <w:tcBorders>
              <w:top w:val="single" w:color="auto" w:sz="4" w:space="0"/>
              <w:left w:val="single" w:color="auto" w:sz="4" w:space="0"/>
              <w:bottom w:val="single" w:color="auto" w:sz="4" w:space="0"/>
              <w:right w:val="single" w:color="auto" w:sz="4" w:space="0"/>
            </w:tcBorders>
            <w:shd w:val="clear" w:color="auto" w:fill="auto"/>
            <w:vAlign w:val="center"/>
          </w:tcPr>
          <w:p w14:paraId="1AA489E0">
            <w:pPr>
              <w:widowControl/>
              <w:jc w:val="center"/>
              <w:rPr>
                <w:b/>
                <w:bCs/>
                <w:sz w:val="15"/>
                <w:szCs w:val="15"/>
                <w:highlight w:val="none"/>
              </w:rPr>
            </w:pPr>
            <w:r>
              <w:rPr>
                <w:b/>
                <w:bCs/>
                <w:sz w:val="15"/>
                <w:szCs w:val="15"/>
                <w:highlight w:val="none"/>
              </w:rPr>
              <w:t>总磷（以P计）</w:t>
            </w:r>
            <w:r>
              <w:rPr>
                <w:b/>
                <w:bCs/>
                <w:sz w:val="15"/>
                <w:szCs w:val="15"/>
                <w:highlight w:val="none"/>
              </w:rPr>
              <w:br w:type="textWrapping"/>
            </w:r>
            <w:r>
              <w:rPr>
                <w:b/>
                <w:bCs/>
                <w:sz w:val="15"/>
                <w:szCs w:val="15"/>
                <w:highlight w:val="none"/>
              </w:rPr>
              <w:t>(mg/L)</w:t>
            </w:r>
          </w:p>
        </w:tc>
        <w:tc>
          <w:tcPr>
            <w:tcW w:w="361" w:type="pct"/>
            <w:tcBorders>
              <w:top w:val="single" w:color="auto" w:sz="4" w:space="0"/>
              <w:left w:val="nil"/>
              <w:bottom w:val="single" w:color="auto" w:sz="4" w:space="0"/>
              <w:right w:val="single" w:color="auto" w:sz="4" w:space="0"/>
            </w:tcBorders>
            <w:shd w:val="clear" w:color="auto" w:fill="auto"/>
            <w:vAlign w:val="center"/>
          </w:tcPr>
          <w:p w14:paraId="354A0A9A">
            <w:pPr>
              <w:widowControl/>
              <w:jc w:val="center"/>
              <w:rPr>
                <w:b/>
                <w:bCs/>
                <w:sz w:val="15"/>
                <w:szCs w:val="15"/>
                <w:highlight w:val="none"/>
              </w:rPr>
            </w:pPr>
            <w:r>
              <w:rPr>
                <w:b/>
                <w:bCs/>
                <w:sz w:val="15"/>
                <w:szCs w:val="15"/>
                <w:highlight w:val="none"/>
              </w:rPr>
              <w:t>铝离子 (mg/L)</w:t>
            </w:r>
          </w:p>
        </w:tc>
      </w:tr>
      <w:tr w14:paraId="3ADA1489">
        <w:tblPrEx>
          <w:tblCellMar>
            <w:top w:w="0" w:type="dxa"/>
            <w:left w:w="108" w:type="dxa"/>
            <w:bottom w:w="0" w:type="dxa"/>
            <w:right w:w="108" w:type="dxa"/>
          </w:tblCellMar>
        </w:tblPrEx>
        <w:trPr>
          <w:trHeight w:val="300" w:hRule="atLeast"/>
          <w:tblHeader/>
        </w:trPr>
        <w:tc>
          <w:tcPr>
            <w:tcW w:w="490" w:type="pct"/>
            <w:vMerge w:val="continue"/>
            <w:tcBorders>
              <w:top w:val="single" w:color="auto" w:sz="4" w:space="0"/>
              <w:left w:val="single" w:color="auto" w:sz="8" w:space="0"/>
              <w:bottom w:val="single" w:color="000000" w:sz="4" w:space="0"/>
              <w:right w:val="nil"/>
            </w:tcBorders>
            <w:shd w:val="clear" w:color="auto" w:fill="auto"/>
            <w:vAlign w:val="center"/>
          </w:tcPr>
          <w:p w14:paraId="40A25DF2">
            <w:pPr>
              <w:widowControl/>
              <w:rPr>
                <w:b/>
                <w:bCs/>
                <w:sz w:val="15"/>
                <w:szCs w:val="15"/>
                <w:highlight w:val="none"/>
              </w:rPr>
            </w:pPr>
          </w:p>
        </w:tc>
        <w:tc>
          <w:tcPr>
            <w:tcW w:w="306" w:type="pct"/>
            <w:vMerge w:val="continue"/>
            <w:tcBorders>
              <w:top w:val="single" w:color="auto" w:sz="4" w:space="0"/>
              <w:left w:val="single" w:color="auto" w:sz="4" w:space="0"/>
              <w:bottom w:val="single" w:color="000000" w:sz="4" w:space="0"/>
              <w:right w:val="single" w:color="auto" w:sz="4" w:space="0"/>
            </w:tcBorders>
            <w:shd w:val="clear" w:color="auto" w:fill="auto"/>
            <w:vAlign w:val="center"/>
          </w:tcPr>
          <w:p w14:paraId="2FFADEF6">
            <w:pPr>
              <w:widowControl/>
              <w:rPr>
                <w:b/>
                <w:bCs/>
                <w:sz w:val="15"/>
                <w:szCs w:val="15"/>
                <w:highlight w:val="none"/>
              </w:rPr>
            </w:pPr>
          </w:p>
        </w:tc>
        <w:tc>
          <w:tcPr>
            <w:tcW w:w="368" w:type="pct"/>
            <w:tcBorders>
              <w:top w:val="nil"/>
              <w:left w:val="nil"/>
              <w:bottom w:val="single" w:color="auto" w:sz="4" w:space="0"/>
              <w:right w:val="single" w:color="auto" w:sz="4" w:space="0"/>
            </w:tcBorders>
            <w:shd w:val="clear" w:color="auto" w:fill="auto"/>
            <w:vAlign w:val="center"/>
          </w:tcPr>
          <w:p w14:paraId="4648593C">
            <w:pPr>
              <w:widowControl/>
              <w:jc w:val="center"/>
              <w:rPr>
                <w:b/>
                <w:bCs/>
                <w:sz w:val="15"/>
                <w:szCs w:val="15"/>
                <w:highlight w:val="none"/>
              </w:rPr>
            </w:pPr>
            <w:r>
              <w:rPr>
                <w:b/>
                <w:bCs/>
                <w:sz w:val="15"/>
                <w:szCs w:val="15"/>
                <w:highlight w:val="none"/>
              </w:rPr>
              <w:t>6.5~8.5</w:t>
            </w:r>
          </w:p>
        </w:tc>
        <w:tc>
          <w:tcPr>
            <w:tcW w:w="348" w:type="pct"/>
            <w:tcBorders>
              <w:top w:val="nil"/>
              <w:left w:val="nil"/>
              <w:bottom w:val="single" w:color="auto" w:sz="4" w:space="0"/>
              <w:right w:val="single" w:color="auto" w:sz="4" w:space="0"/>
            </w:tcBorders>
            <w:shd w:val="clear" w:color="auto" w:fill="auto"/>
            <w:vAlign w:val="center"/>
          </w:tcPr>
          <w:p w14:paraId="609432C7">
            <w:pPr>
              <w:widowControl/>
              <w:jc w:val="center"/>
              <w:rPr>
                <w:b/>
                <w:bCs/>
                <w:sz w:val="15"/>
                <w:szCs w:val="15"/>
                <w:highlight w:val="none"/>
              </w:rPr>
            </w:pPr>
            <w:r>
              <w:rPr>
                <w:b/>
                <w:bCs/>
                <w:sz w:val="15"/>
                <w:szCs w:val="15"/>
                <w:highlight w:val="none"/>
              </w:rPr>
              <w:t>≤5</w:t>
            </w:r>
          </w:p>
        </w:tc>
        <w:tc>
          <w:tcPr>
            <w:tcW w:w="393" w:type="pct"/>
            <w:tcBorders>
              <w:top w:val="nil"/>
              <w:left w:val="nil"/>
              <w:bottom w:val="single" w:color="auto" w:sz="4" w:space="0"/>
              <w:right w:val="single" w:color="auto" w:sz="4" w:space="0"/>
            </w:tcBorders>
            <w:shd w:val="clear" w:color="auto" w:fill="auto"/>
            <w:vAlign w:val="center"/>
          </w:tcPr>
          <w:p w14:paraId="306CF049">
            <w:pPr>
              <w:widowControl/>
              <w:jc w:val="center"/>
              <w:rPr>
                <w:b/>
                <w:bCs/>
                <w:sz w:val="15"/>
                <w:szCs w:val="15"/>
                <w:highlight w:val="none"/>
              </w:rPr>
            </w:pPr>
            <w:r>
              <w:rPr>
                <w:b/>
                <w:bCs/>
                <w:sz w:val="15"/>
                <w:szCs w:val="15"/>
                <w:highlight w:val="none"/>
              </w:rPr>
              <w:t>≤2500</w:t>
            </w:r>
          </w:p>
        </w:tc>
        <w:tc>
          <w:tcPr>
            <w:tcW w:w="375" w:type="pct"/>
            <w:tcBorders>
              <w:top w:val="nil"/>
              <w:left w:val="nil"/>
              <w:bottom w:val="single" w:color="auto" w:sz="4" w:space="0"/>
              <w:right w:val="single" w:color="auto" w:sz="4" w:space="0"/>
            </w:tcBorders>
            <w:shd w:val="clear" w:color="auto" w:fill="auto"/>
            <w:vAlign w:val="center"/>
          </w:tcPr>
          <w:p w14:paraId="5E4ADAE3">
            <w:pPr>
              <w:widowControl/>
              <w:jc w:val="center"/>
              <w:rPr>
                <w:b/>
                <w:bCs/>
                <w:sz w:val="15"/>
                <w:szCs w:val="15"/>
                <w:highlight w:val="none"/>
              </w:rPr>
            </w:pPr>
            <w:r>
              <w:rPr>
                <w:b/>
                <w:bCs/>
                <w:sz w:val="15"/>
                <w:szCs w:val="15"/>
                <w:highlight w:val="none"/>
              </w:rPr>
              <w:t>≤20</w:t>
            </w:r>
          </w:p>
        </w:tc>
        <w:tc>
          <w:tcPr>
            <w:tcW w:w="361" w:type="pct"/>
            <w:tcBorders>
              <w:top w:val="nil"/>
              <w:left w:val="nil"/>
              <w:bottom w:val="single" w:color="auto" w:sz="4" w:space="0"/>
              <w:right w:val="single" w:color="auto" w:sz="4" w:space="0"/>
            </w:tcBorders>
            <w:shd w:val="clear" w:color="auto" w:fill="auto"/>
            <w:vAlign w:val="center"/>
          </w:tcPr>
          <w:p w14:paraId="78BC2368">
            <w:pPr>
              <w:widowControl/>
              <w:jc w:val="center"/>
              <w:rPr>
                <w:b/>
                <w:bCs/>
                <w:sz w:val="15"/>
                <w:szCs w:val="15"/>
                <w:highlight w:val="none"/>
              </w:rPr>
            </w:pPr>
            <w:r>
              <w:rPr>
                <w:b/>
                <w:bCs/>
                <w:sz w:val="15"/>
                <w:szCs w:val="15"/>
                <w:highlight w:val="none"/>
              </w:rPr>
              <w:t> ≤3</w:t>
            </w:r>
          </w:p>
        </w:tc>
        <w:tc>
          <w:tcPr>
            <w:tcW w:w="361" w:type="pct"/>
            <w:tcBorders>
              <w:top w:val="nil"/>
              <w:left w:val="nil"/>
              <w:bottom w:val="single" w:color="auto" w:sz="4" w:space="0"/>
              <w:right w:val="single" w:color="auto" w:sz="4" w:space="0"/>
            </w:tcBorders>
            <w:shd w:val="clear" w:color="auto" w:fill="auto"/>
            <w:vAlign w:val="center"/>
          </w:tcPr>
          <w:p w14:paraId="64A75107">
            <w:pPr>
              <w:widowControl/>
              <w:jc w:val="center"/>
              <w:rPr>
                <w:b/>
                <w:bCs/>
                <w:sz w:val="15"/>
                <w:szCs w:val="15"/>
                <w:highlight w:val="none"/>
              </w:rPr>
            </w:pPr>
            <w:r>
              <w:rPr>
                <w:b/>
                <w:bCs/>
                <w:sz w:val="15"/>
                <w:szCs w:val="15"/>
                <w:highlight w:val="none"/>
              </w:rPr>
              <w:t>—</w:t>
            </w:r>
          </w:p>
        </w:tc>
        <w:tc>
          <w:tcPr>
            <w:tcW w:w="453" w:type="pct"/>
            <w:tcBorders>
              <w:top w:val="nil"/>
              <w:left w:val="nil"/>
              <w:bottom w:val="single" w:color="auto" w:sz="4" w:space="0"/>
              <w:right w:val="single" w:color="auto" w:sz="4" w:space="0"/>
            </w:tcBorders>
            <w:shd w:val="clear" w:color="auto" w:fill="auto"/>
            <w:vAlign w:val="center"/>
          </w:tcPr>
          <w:p w14:paraId="01DC6A50">
            <w:pPr>
              <w:widowControl/>
              <w:jc w:val="center"/>
              <w:rPr>
                <w:b/>
                <w:bCs/>
                <w:sz w:val="15"/>
                <w:szCs w:val="15"/>
                <w:highlight w:val="none"/>
              </w:rPr>
            </w:pPr>
            <w:r>
              <w:rPr>
                <w:b/>
                <w:bCs/>
                <w:sz w:val="15"/>
                <w:szCs w:val="15"/>
                <w:highlight w:val="none"/>
              </w:rPr>
              <w:t>—</w:t>
            </w:r>
          </w:p>
        </w:tc>
        <w:tc>
          <w:tcPr>
            <w:tcW w:w="453" w:type="pct"/>
            <w:tcBorders>
              <w:top w:val="nil"/>
              <w:left w:val="nil"/>
              <w:bottom w:val="single" w:color="auto" w:sz="4" w:space="0"/>
              <w:right w:val="single" w:color="auto" w:sz="4" w:space="0"/>
            </w:tcBorders>
            <w:shd w:val="clear" w:color="auto" w:fill="auto"/>
            <w:vAlign w:val="center"/>
          </w:tcPr>
          <w:p w14:paraId="7FE740B2">
            <w:pPr>
              <w:widowControl/>
              <w:jc w:val="center"/>
              <w:rPr>
                <w:b/>
                <w:bCs/>
                <w:sz w:val="15"/>
                <w:szCs w:val="15"/>
                <w:highlight w:val="none"/>
              </w:rPr>
            </w:pPr>
            <w:r>
              <w:rPr>
                <w:b/>
                <w:bCs/>
                <w:sz w:val="15"/>
                <w:szCs w:val="15"/>
                <w:highlight w:val="none"/>
              </w:rPr>
              <w:t>—</w:t>
            </w:r>
          </w:p>
        </w:tc>
        <w:tc>
          <w:tcPr>
            <w:tcW w:w="361" w:type="pct"/>
            <w:tcBorders>
              <w:top w:val="single" w:color="auto" w:sz="4" w:space="0"/>
              <w:left w:val="single" w:color="auto" w:sz="4" w:space="0"/>
              <w:bottom w:val="single" w:color="auto" w:sz="4" w:space="0"/>
              <w:right w:val="single" w:color="auto" w:sz="4" w:space="0"/>
            </w:tcBorders>
            <w:shd w:val="clear" w:color="auto" w:fill="auto"/>
            <w:vAlign w:val="center"/>
          </w:tcPr>
          <w:p w14:paraId="65A9F15D">
            <w:pPr>
              <w:widowControl/>
              <w:jc w:val="center"/>
              <w:rPr>
                <w:b/>
                <w:bCs/>
                <w:sz w:val="15"/>
                <w:szCs w:val="15"/>
                <w:highlight w:val="none"/>
              </w:rPr>
            </w:pPr>
            <w:r>
              <w:rPr>
                <w:b/>
                <w:bCs/>
                <w:sz w:val="15"/>
                <w:szCs w:val="15"/>
                <w:highlight w:val="none"/>
              </w:rPr>
              <w:t>0.1-0.4</w:t>
            </w:r>
          </w:p>
        </w:tc>
        <w:tc>
          <w:tcPr>
            <w:tcW w:w="361" w:type="pct"/>
            <w:tcBorders>
              <w:top w:val="single" w:color="auto" w:sz="4" w:space="0"/>
              <w:left w:val="single" w:color="auto" w:sz="4" w:space="0"/>
              <w:bottom w:val="single" w:color="auto" w:sz="4" w:space="0"/>
              <w:right w:val="single" w:color="auto" w:sz="4" w:space="0"/>
            </w:tcBorders>
            <w:shd w:val="clear" w:color="auto" w:fill="auto"/>
            <w:vAlign w:val="center"/>
          </w:tcPr>
          <w:p w14:paraId="439D6190">
            <w:pPr>
              <w:widowControl/>
              <w:jc w:val="center"/>
              <w:rPr>
                <w:b/>
                <w:bCs/>
                <w:sz w:val="15"/>
                <w:szCs w:val="15"/>
                <w:highlight w:val="none"/>
              </w:rPr>
            </w:pPr>
            <w:r>
              <w:rPr>
                <w:b/>
                <w:bCs/>
                <w:sz w:val="15"/>
                <w:szCs w:val="15"/>
                <w:highlight w:val="none"/>
              </w:rPr>
              <w:t>≤0.5</w:t>
            </w:r>
          </w:p>
        </w:tc>
        <w:tc>
          <w:tcPr>
            <w:tcW w:w="361" w:type="pct"/>
            <w:tcBorders>
              <w:top w:val="nil"/>
              <w:left w:val="nil"/>
              <w:bottom w:val="single" w:color="auto" w:sz="4" w:space="0"/>
              <w:right w:val="single" w:color="auto" w:sz="4" w:space="0"/>
            </w:tcBorders>
            <w:shd w:val="clear" w:color="auto" w:fill="auto"/>
            <w:vAlign w:val="center"/>
          </w:tcPr>
          <w:p w14:paraId="07B4B6EB">
            <w:pPr>
              <w:widowControl/>
              <w:jc w:val="center"/>
              <w:rPr>
                <w:b/>
                <w:bCs/>
                <w:sz w:val="15"/>
                <w:szCs w:val="15"/>
                <w:highlight w:val="none"/>
              </w:rPr>
            </w:pPr>
            <w:r>
              <w:rPr>
                <w:b/>
                <w:bCs/>
                <w:sz w:val="15"/>
                <w:szCs w:val="15"/>
                <w:highlight w:val="none"/>
              </w:rPr>
              <w:t>　</w:t>
            </w:r>
          </w:p>
        </w:tc>
      </w:tr>
      <w:tr w14:paraId="766FBE58">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5B52AA54">
            <w:pPr>
              <w:widowControl/>
              <w:jc w:val="center"/>
              <w:rPr>
                <w:sz w:val="15"/>
                <w:szCs w:val="15"/>
                <w:highlight w:val="none"/>
              </w:rPr>
            </w:pPr>
            <w:r>
              <w:rPr>
                <w:sz w:val="15"/>
                <w:szCs w:val="15"/>
                <w:highlight w:val="none"/>
              </w:rPr>
              <w:t>2025.</w:t>
            </w:r>
            <w:r>
              <w:rPr>
                <w:rFonts w:hint="eastAsia"/>
                <w:sz w:val="15"/>
                <w:szCs w:val="15"/>
                <w:highlight w:val="none"/>
              </w:rPr>
              <w:t>01</w:t>
            </w:r>
            <w:r>
              <w:rPr>
                <w:sz w:val="15"/>
                <w:szCs w:val="15"/>
                <w:highlight w:val="none"/>
              </w:rPr>
              <w:t>.</w:t>
            </w:r>
            <w:r>
              <w:rPr>
                <w:rFonts w:hint="eastAsia"/>
                <w:sz w:val="15"/>
                <w:szCs w:val="15"/>
                <w:highlight w:val="none"/>
              </w:rPr>
              <w:t>01</w:t>
            </w:r>
          </w:p>
        </w:tc>
        <w:tc>
          <w:tcPr>
            <w:tcW w:w="306" w:type="pct"/>
            <w:tcBorders>
              <w:top w:val="nil"/>
              <w:left w:val="nil"/>
              <w:bottom w:val="single" w:color="auto" w:sz="4" w:space="0"/>
              <w:right w:val="single" w:color="auto" w:sz="4" w:space="0"/>
            </w:tcBorders>
            <w:shd w:val="clear" w:color="auto" w:fill="auto"/>
            <w:noWrap/>
            <w:vAlign w:val="center"/>
          </w:tcPr>
          <w:p w14:paraId="0D5D3B33">
            <w:pPr>
              <w:widowControl/>
              <w:jc w:val="center"/>
              <w:rPr>
                <w:sz w:val="15"/>
                <w:szCs w:val="15"/>
                <w:highlight w:val="none"/>
              </w:rPr>
            </w:pPr>
            <w:r>
              <w:rPr>
                <w:sz w:val="15"/>
                <w:szCs w:val="15"/>
                <w:highlight w:val="none"/>
              </w:rPr>
              <w:t>10:30</w:t>
            </w:r>
          </w:p>
        </w:tc>
        <w:tc>
          <w:tcPr>
            <w:tcW w:w="368" w:type="pct"/>
            <w:tcBorders>
              <w:top w:val="nil"/>
              <w:left w:val="nil"/>
              <w:bottom w:val="single" w:color="auto" w:sz="4" w:space="0"/>
              <w:right w:val="single" w:color="auto" w:sz="4" w:space="0"/>
            </w:tcBorders>
            <w:shd w:val="clear" w:color="auto" w:fill="auto"/>
            <w:noWrap/>
            <w:vAlign w:val="center"/>
          </w:tcPr>
          <w:p w14:paraId="4CB4CF78">
            <w:pPr>
              <w:widowControl/>
              <w:jc w:val="center"/>
              <w:rPr>
                <w:sz w:val="15"/>
                <w:szCs w:val="15"/>
                <w:highlight w:val="none"/>
              </w:rPr>
            </w:pPr>
            <w:r>
              <w:rPr>
                <w:sz w:val="15"/>
                <w:szCs w:val="15"/>
                <w:highlight w:val="none"/>
              </w:rPr>
              <w:t>/</w:t>
            </w:r>
          </w:p>
        </w:tc>
        <w:tc>
          <w:tcPr>
            <w:tcW w:w="348" w:type="pct"/>
            <w:tcBorders>
              <w:top w:val="nil"/>
              <w:left w:val="nil"/>
              <w:bottom w:val="single" w:color="auto" w:sz="4" w:space="0"/>
              <w:right w:val="single" w:color="auto" w:sz="4" w:space="0"/>
            </w:tcBorders>
            <w:shd w:val="clear" w:color="auto" w:fill="auto"/>
            <w:noWrap/>
            <w:vAlign w:val="center"/>
          </w:tcPr>
          <w:p w14:paraId="4F88146C">
            <w:pPr>
              <w:widowControl/>
              <w:jc w:val="center"/>
              <w:rPr>
                <w:sz w:val="15"/>
                <w:szCs w:val="15"/>
                <w:highlight w:val="none"/>
              </w:rPr>
            </w:pPr>
            <w:r>
              <w:rPr>
                <w:sz w:val="15"/>
                <w:szCs w:val="15"/>
                <w:highlight w:val="none"/>
              </w:rPr>
              <w:t>/</w:t>
            </w:r>
          </w:p>
        </w:tc>
        <w:tc>
          <w:tcPr>
            <w:tcW w:w="393" w:type="pct"/>
            <w:tcBorders>
              <w:top w:val="nil"/>
              <w:left w:val="nil"/>
              <w:bottom w:val="single" w:color="auto" w:sz="4" w:space="0"/>
              <w:right w:val="single" w:color="auto" w:sz="4" w:space="0"/>
            </w:tcBorders>
            <w:shd w:val="clear" w:color="auto" w:fill="auto"/>
            <w:noWrap/>
            <w:vAlign w:val="center"/>
          </w:tcPr>
          <w:p w14:paraId="3284474E">
            <w:pPr>
              <w:widowControl/>
              <w:jc w:val="center"/>
              <w:rPr>
                <w:sz w:val="15"/>
                <w:szCs w:val="15"/>
                <w:highlight w:val="none"/>
              </w:rPr>
            </w:pPr>
            <w:r>
              <w:rPr>
                <w:sz w:val="15"/>
                <w:szCs w:val="15"/>
                <w:highlight w:val="none"/>
              </w:rPr>
              <w:t>/</w:t>
            </w:r>
          </w:p>
        </w:tc>
        <w:tc>
          <w:tcPr>
            <w:tcW w:w="375" w:type="pct"/>
            <w:tcBorders>
              <w:top w:val="nil"/>
              <w:left w:val="nil"/>
              <w:bottom w:val="single" w:color="auto" w:sz="4" w:space="0"/>
              <w:right w:val="single" w:color="auto" w:sz="4" w:space="0"/>
            </w:tcBorders>
            <w:shd w:val="clear" w:color="auto" w:fill="auto"/>
            <w:noWrap/>
            <w:vAlign w:val="center"/>
          </w:tcPr>
          <w:p w14:paraId="17B04D89">
            <w:pPr>
              <w:widowControl/>
              <w:jc w:val="center"/>
              <w:rPr>
                <w:sz w:val="15"/>
                <w:szCs w:val="15"/>
                <w:highlight w:val="none"/>
              </w:rPr>
            </w:pPr>
            <w:r>
              <w:rPr>
                <w:sz w:val="15"/>
                <w:szCs w:val="15"/>
                <w:highlight w:val="none"/>
              </w:rPr>
              <w:t xml:space="preserve">20.50 </w:t>
            </w:r>
          </w:p>
        </w:tc>
        <w:tc>
          <w:tcPr>
            <w:tcW w:w="361" w:type="pct"/>
            <w:tcBorders>
              <w:top w:val="nil"/>
              <w:left w:val="nil"/>
              <w:bottom w:val="single" w:color="auto" w:sz="4" w:space="0"/>
              <w:right w:val="single" w:color="auto" w:sz="4" w:space="0"/>
            </w:tcBorders>
            <w:shd w:val="clear" w:color="auto" w:fill="auto"/>
            <w:noWrap/>
            <w:vAlign w:val="center"/>
          </w:tcPr>
          <w:p w14:paraId="619B3E36">
            <w:pPr>
              <w:widowControl/>
              <w:jc w:val="center"/>
              <w:rPr>
                <w:sz w:val="15"/>
                <w:szCs w:val="15"/>
                <w:highlight w:val="none"/>
              </w:rPr>
            </w:pPr>
            <w:r>
              <w:rPr>
                <w:sz w:val="15"/>
                <w:szCs w:val="15"/>
                <w:highlight w:val="none"/>
              </w:rPr>
              <w:t>/</w:t>
            </w:r>
          </w:p>
        </w:tc>
        <w:tc>
          <w:tcPr>
            <w:tcW w:w="361" w:type="pct"/>
            <w:tcBorders>
              <w:top w:val="nil"/>
              <w:left w:val="nil"/>
              <w:bottom w:val="single" w:color="auto" w:sz="4" w:space="0"/>
              <w:right w:val="single" w:color="auto" w:sz="4" w:space="0"/>
            </w:tcBorders>
            <w:shd w:val="clear" w:color="auto" w:fill="auto"/>
            <w:noWrap/>
            <w:vAlign w:val="center"/>
          </w:tcPr>
          <w:p w14:paraId="1BAE755C">
            <w:pPr>
              <w:widowControl/>
              <w:jc w:val="center"/>
              <w:rPr>
                <w:sz w:val="15"/>
                <w:szCs w:val="15"/>
                <w:highlight w:val="none"/>
              </w:rPr>
            </w:pPr>
            <w:r>
              <w:rPr>
                <w:sz w:val="15"/>
                <w:szCs w:val="15"/>
                <w:highlight w:val="none"/>
              </w:rPr>
              <w:t>/</w:t>
            </w:r>
          </w:p>
        </w:tc>
        <w:tc>
          <w:tcPr>
            <w:tcW w:w="453" w:type="pct"/>
            <w:tcBorders>
              <w:top w:val="nil"/>
              <w:left w:val="nil"/>
              <w:bottom w:val="single" w:color="auto" w:sz="4" w:space="0"/>
              <w:right w:val="single" w:color="auto" w:sz="4" w:space="0"/>
            </w:tcBorders>
            <w:shd w:val="clear" w:color="auto" w:fill="auto"/>
            <w:noWrap/>
            <w:vAlign w:val="center"/>
          </w:tcPr>
          <w:p w14:paraId="0ED918CD">
            <w:pPr>
              <w:widowControl/>
              <w:jc w:val="center"/>
              <w:rPr>
                <w:sz w:val="15"/>
                <w:szCs w:val="15"/>
                <w:highlight w:val="none"/>
              </w:rPr>
            </w:pPr>
            <w:r>
              <w:rPr>
                <w:sz w:val="15"/>
                <w:szCs w:val="15"/>
                <w:highlight w:val="none"/>
              </w:rPr>
              <w:t>/</w:t>
            </w:r>
          </w:p>
        </w:tc>
        <w:tc>
          <w:tcPr>
            <w:tcW w:w="453" w:type="pct"/>
            <w:tcBorders>
              <w:top w:val="nil"/>
              <w:left w:val="nil"/>
              <w:bottom w:val="single" w:color="auto" w:sz="4" w:space="0"/>
              <w:right w:val="single" w:color="auto" w:sz="4" w:space="0"/>
            </w:tcBorders>
            <w:shd w:val="clear" w:color="auto" w:fill="auto"/>
            <w:noWrap/>
            <w:vAlign w:val="center"/>
          </w:tcPr>
          <w:p w14:paraId="399923CD">
            <w:pPr>
              <w:widowControl/>
              <w:jc w:val="center"/>
              <w:rPr>
                <w:sz w:val="15"/>
                <w:szCs w:val="15"/>
                <w:highlight w:val="none"/>
              </w:rPr>
            </w:pPr>
            <w:r>
              <w:rPr>
                <w:sz w:val="15"/>
                <w:szCs w:val="15"/>
                <w:highlight w:val="none"/>
              </w:rPr>
              <w:t>/</w:t>
            </w:r>
          </w:p>
        </w:tc>
        <w:tc>
          <w:tcPr>
            <w:tcW w:w="36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2FF3335">
            <w:pPr>
              <w:widowControl/>
              <w:jc w:val="center"/>
              <w:rPr>
                <w:sz w:val="15"/>
                <w:szCs w:val="15"/>
                <w:highlight w:val="none"/>
              </w:rPr>
            </w:pPr>
            <w:r>
              <w:rPr>
                <w:sz w:val="15"/>
                <w:szCs w:val="15"/>
                <w:highlight w:val="none"/>
              </w:rPr>
              <w:t>/</w:t>
            </w:r>
          </w:p>
        </w:tc>
        <w:tc>
          <w:tcPr>
            <w:tcW w:w="36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35C59E2">
            <w:pPr>
              <w:widowControl/>
              <w:jc w:val="center"/>
              <w:rPr>
                <w:sz w:val="15"/>
                <w:szCs w:val="15"/>
                <w:highlight w:val="none"/>
              </w:rPr>
            </w:pPr>
            <w:r>
              <w:rPr>
                <w:sz w:val="15"/>
                <w:szCs w:val="15"/>
                <w:highlight w:val="none"/>
              </w:rPr>
              <w:t>/</w:t>
            </w:r>
          </w:p>
        </w:tc>
        <w:tc>
          <w:tcPr>
            <w:tcW w:w="361" w:type="pct"/>
            <w:tcBorders>
              <w:top w:val="nil"/>
              <w:left w:val="nil"/>
              <w:bottom w:val="single" w:color="auto" w:sz="4" w:space="0"/>
              <w:right w:val="single" w:color="auto" w:sz="4" w:space="0"/>
            </w:tcBorders>
            <w:shd w:val="clear" w:color="auto" w:fill="auto"/>
            <w:noWrap/>
            <w:vAlign w:val="center"/>
          </w:tcPr>
          <w:p w14:paraId="18F126F2">
            <w:pPr>
              <w:widowControl/>
              <w:jc w:val="center"/>
              <w:rPr>
                <w:sz w:val="15"/>
                <w:szCs w:val="15"/>
                <w:highlight w:val="none"/>
              </w:rPr>
            </w:pPr>
            <w:r>
              <w:rPr>
                <w:sz w:val="15"/>
                <w:szCs w:val="15"/>
                <w:highlight w:val="none"/>
              </w:rPr>
              <w:t>/</w:t>
            </w:r>
          </w:p>
        </w:tc>
      </w:tr>
      <w:tr w14:paraId="6897394D">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37E62B28">
            <w:pPr>
              <w:widowControl/>
              <w:jc w:val="center"/>
              <w:rPr>
                <w:sz w:val="15"/>
                <w:szCs w:val="15"/>
                <w:highlight w:val="none"/>
              </w:rPr>
            </w:pPr>
            <w:r>
              <w:rPr>
                <w:sz w:val="15"/>
                <w:szCs w:val="15"/>
                <w:highlight w:val="none"/>
              </w:rPr>
              <w:t>2025.01.02</w:t>
            </w:r>
          </w:p>
        </w:tc>
        <w:tc>
          <w:tcPr>
            <w:tcW w:w="306" w:type="pct"/>
            <w:tcBorders>
              <w:top w:val="nil"/>
              <w:left w:val="nil"/>
              <w:bottom w:val="single" w:color="auto" w:sz="4" w:space="0"/>
              <w:right w:val="single" w:color="auto" w:sz="4" w:space="0"/>
            </w:tcBorders>
            <w:shd w:val="clear" w:color="auto" w:fill="auto"/>
            <w:noWrap/>
            <w:vAlign w:val="center"/>
          </w:tcPr>
          <w:p w14:paraId="14127AAC">
            <w:pPr>
              <w:widowControl/>
              <w:jc w:val="center"/>
              <w:rPr>
                <w:sz w:val="15"/>
                <w:szCs w:val="15"/>
                <w:highlight w:val="none"/>
              </w:rPr>
            </w:pPr>
            <w:r>
              <w:rPr>
                <w:sz w:val="15"/>
                <w:szCs w:val="15"/>
                <w:highlight w:val="none"/>
              </w:rPr>
              <w:t>11:05</w:t>
            </w:r>
          </w:p>
        </w:tc>
        <w:tc>
          <w:tcPr>
            <w:tcW w:w="368" w:type="pct"/>
            <w:tcBorders>
              <w:top w:val="nil"/>
              <w:left w:val="nil"/>
              <w:bottom w:val="single" w:color="auto" w:sz="4" w:space="0"/>
              <w:right w:val="single" w:color="auto" w:sz="4" w:space="0"/>
            </w:tcBorders>
            <w:shd w:val="clear" w:color="auto" w:fill="auto"/>
            <w:noWrap/>
            <w:vAlign w:val="center"/>
          </w:tcPr>
          <w:p w14:paraId="23F8C37F">
            <w:pPr>
              <w:widowControl/>
              <w:jc w:val="center"/>
              <w:rPr>
                <w:sz w:val="15"/>
                <w:szCs w:val="15"/>
                <w:highlight w:val="none"/>
              </w:rPr>
            </w:pPr>
            <w:r>
              <w:rPr>
                <w:sz w:val="15"/>
                <w:szCs w:val="15"/>
                <w:highlight w:val="none"/>
              </w:rPr>
              <w:t>7.00</w:t>
            </w:r>
          </w:p>
        </w:tc>
        <w:tc>
          <w:tcPr>
            <w:tcW w:w="348" w:type="pct"/>
            <w:tcBorders>
              <w:top w:val="nil"/>
              <w:left w:val="nil"/>
              <w:bottom w:val="single" w:color="auto" w:sz="4" w:space="0"/>
              <w:right w:val="single" w:color="auto" w:sz="4" w:space="0"/>
            </w:tcBorders>
            <w:shd w:val="clear" w:color="auto" w:fill="auto"/>
            <w:noWrap/>
            <w:vAlign w:val="center"/>
          </w:tcPr>
          <w:p w14:paraId="19709CA8">
            <w:pPr>
              <w:widowControl/>
              <w:jc w:val="center"/>
              <w:rPr>
                <w:sz w:val="15"/>
                <w:szCs w:val="15"/>
                <w:highlight w:val="none"/>
              </w:rPr>
            </w:pPr>
            <w:r>
              <w:rPr>
                <w:sz w:val="15"/>
                <w:szCs w:val="15"/>
                <w:highlight w:val="none"/>
              </w:rPr>
              <w:t>2.03</w:t>
            </w:r>
          </w:p>
        </w:tc>
        <w:tc>
          <w:tcPr>
            <w:tcW w:w="393" w:type="pct"/>
            <w:tcBorders>
              <w:top w:val="nil"/>
              <w:left w:val="nil"/>
              <w:bottom w:val="single" w:color="auto" w:sz="4" w:space="0"/>
              <w:right w:val="single" w:color="auto" w:sz="4" w:space="0"/>
            </w:tcBorders>
            <w:shd w:val="clear" w:color="auto" w:fill="auto"/>
            <w:noWrap/>
            <w:vAlign w:val="center"/>
          </w:tcPr>
          <w:p w14:paraId="10369161">
            <w:pPr>
              <w:widowControl/>
              <w:jc w:val="center"/>
              <w:rPr>
                <w:sz w:val="15"/>
                <w:szCs w:val="15"/>
                <w:highlight w:val="none"/>
              </w:rPr>
            </w:pPr>
            <w:r>
              <w:rPr>
                <w:sz w:val="15"/>
                <w:szCs w:val="15"/>
                <w:highlight w:val="none"/>
              </w:rPr>
              <w:t>1390</w:t>
            </w:r>
          </w:p>
        </w:tc>
        <w:tc>
          <w:tcPr>
            <w:tcW w:w="375" w:type="pct"/>
            <w:tcBorders>
              <w:top w:val="nil"/>
              <w:left w:val="nil"/>
              <w:bottom w:val="single" w:color="auto" w:sz="4" w:space="0"/>
              <w:right w:val="single" w:color="auto" w:sz="4" w:space="0"/>
            </w:tcBorders>
            <w:shd w:val="clear" w:color="auto" w:fill="auto"/>
            <w:noWrap/>
            <w:vAlign w:val="center"/>
          </w:tcPr>
          <w:p w14:paraId="1874007F">
            <w:pPr>
              <w:widowControl/>
              <w:jc w:val="center"/>
              <w:rPr>
                <w:sz w:val="15"/>
                <w:szCs w:val="15"/>
                <w:highlight w:val="none"/>
              </w:rPr>
            </w:pPr>
            <w:r>
              <w:rPr>
                <w:sz w:val="15"/>
                <w:szCs w:val="15"/>
                <w:highlight w:val="none"/>
              </w:rPr>
              <w:t>17.00</w:t>
            </w:r>
          </w:p>
        </w:tc>
        <w:tc>
          <w:tcPr>
            <w:tcW w:w="361" w:type="pct"/>
            <w:tcBorders>
              <w:top w:val="nil"/>
              <w:left w:val="nil"/>
              <w:bottom w:val="single" w:color="auto" w:sz="4" w:space="0"/>
              <w:right w:val="single" w:color="auto" w:sz="4" w:space="0"/>
            </w:tcBorders>
            <w:shd w:val="clear" w:color="auto" w:fill="auto"/>
            <w:noWrap/>
            <w:vAlign w:val="center"/>
          </w:tcPr>
          <w:p w14:paraId="3543BBD7">
            <w:pPr>
              <w:widowControl/>
              <w:jc w:val="center"/>
              <w:rPr>
                <w:sz w:val="15"/>
                <w:szCs w:val="15"/>
                <w:highlight w:val="none"/>
              </w:rPr>
            </w:pPr>
            <w:r>
              <w:rPr>
                <w:sz w:val="15"/>
                <w:szCs w:val="15"/>
                <w:highlight w:val="none"/>
              </w:rPr>
              <w:t>2.88</w:t>
            </w:r>
          </w:p>
        </w:tc>
        <w:tc>
          <w:tcPr>
            <w:tcW w:w="361" w:type="pct"/>
            <w:tcBorders>
              <w:top w:val="nil"/>
              <w:left w:val="nil"/>
              <w:bottom w:val="single" w:color="auto" w:sz="4" w:space="0"/>
              <w:right w:val="single" w:color="auto" w:sz="4" w:space="0"/>
            </w:tcBorders>
            <w:shd w:val="clear" w:color="auto" w:fill="auto"/>
            <w:noWrap/>
            <w:vAlign w:val="center"/>
          </w:tcPr>
          <w:p w14:paraId="0289E753">
            <w:pPr>
              <w:widowControl/>
              <w:jc w:val="center"/>
              <w:rPr>
                <w:sz w:val="15"/>
                <w:szCs w:val="15"/>
                <w:highlight w:val="none"/>
              </w:rPr>
            </w:pPr>
            <w:r>
              <w:rPr>
                <w:sz w:val="15"/>
                <w:szCs w:val="15"/>
                <w:highlight w:val="none"/>
              </w:rPr>
              <w:t>208.68</w:t>
            </w:r>
          </w:p>
        </w:tc>
        <w:tc>
          <w:tcPr>
            <w:tcW w:w="453" w:type="pct"/>
            <w:tcBorders>
              <w:top w:val="nil"/>
              <w:left w:val="nil"/>
              <w:bottom w:val="single" w:color="auto" w:sz="4" w:space="0"/>
              <w:right w:val="single" w:color="auto" w:sz="4" w:space="0"/>
            </w:tcBorders>
            <w:shd w:val="clear" w:color="auto" w:fill="auto"/>
            <w:noWrap/>
            <w:vAlign w:val="center"/>
          </w:tcPr>
          <w:p w14:paraId="7F7C01D0">
            <w:pPr>
              <w:widowControl/>
              <w:jc w:val="center"/>
              <w:rPr>
                <w:sz w:val="15"/>
                <w:szCs w:val="15"/>
                <w:highlight w:val="none"/>
              </w:rPr>
            </w:pPr>
            <w:r>
              <w:rPr>
                <w:sz w:val="15"/>
                <w:szCs w:val="15"/>
                <w:highlight w:val="none"/>
              </w:rPr>
              <w:t>3.98</w:t>
            </w:r>
          </w:p>
        </w:tc>
        <w:tc>
          <w:tcPr>
            <w:tcW w:w="453" w:type="pct"/>
            <w:tcBorders>
              <w:top w:val="nil"/>
              <w:left w:val="nil"/>
              <w:bottom w:val="single" w:color="auto" w:sz="4" w:space="0"/>
              <w:right w:val="single" w:color="auto" w:sz="4" w:space="0"/>
            </w:tcBorders>
            <w:shd w:val="clear" w:color="auto" w:fill="auto"/>
            <w:noWrap/>
            <w:vAlign w:val="center"/>
          </w:tcPr>
          <w:p w14:paraId="535E7E47">
            <w:pPr>
              <w:widowControl/>
              <w:jc w:val="center"/>
              <w:rPr>
                <w:sz w:val="15"/>
                <w:szCs w:val="15"/>
                <w:highlight w:val="none"/>
              </w:rPr>
            </w:pPr>
            <w:r>
              <w:rPr>
                <w:sz w:val="15"/>
                <w:szCs w:val="15"/>
                <w:highlight w:val="none"/>
              </w:rPr>
              <w:t>3.39</w:t>
            </w:r>
          </w:p>
        </w:tc>
        <w:tc>
          <w:tcPr>
            <w:tcW w:w="36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B1F41FB">
            <w:pPr>
              <w:widowControl/>
              <w:jc w:val="center"/>
              <w:rPr>
                <w:sz w:val="15"/>
                <w:szCs w:val="15"/>
                <w:highlight w:val="none"/>
              </w:rPr>
            </w:pPr>
            <w:r>
              <w:rPr>
                <w:sz w:val="15"/>
                <w:szCs w:val="15"/>
                <w:highlight w:val="none"/>
              </w:rPr>
              <w:t>0.05</w:t>
            </w:r>
          </w:p>
        </w:tc>
        <w:tc>
          <w:tcPr>
            <w:tcW w:w="361" w:type="pct"/>
            <w:tcBorders>
              <w:top w:val="nil"/>
              <w:left w:val="nil"/>
              <w:bottom w:val="single" w:color="auto" w:sz="4" w:space="0"/>
              <w:right w:val="single" w:color="auto" w:sz="4" w:space="0"/>
            </w:tcBorders>
            <w:shd w:val="clear" w:color="auto" w:fill="auto"/>
            <w:noWrap/>
            <w:vAlign w:val="center"/>
          </w:tcPr>
          <w:p w14:paraId="2933325F">
            <w:pPr>
              <w:widowControl/>
              <w:jc w:val="center"/>
              <w:rPr>
                <w:sz w:val="15"/>
                <w:szCs w:val="15"/>
                <w:highlight w:val="none"/>
              </w:rPr>
            </w:pPr>
            <w:r>
              <w:rPr>
                <w:sz w:val="15"/>
                <w:szCs w:val="15"/>
                <w:highlight w:val="none"/>
              </w:rPr>
              <w:t>0.20</w:t>
            </w:r>
          </w:p>
        </w:tc>
        <w:tc>
          <w:tcPr>
            <w:tcW w:w="361" w:type="pct"/>
            <w:tcBorders>
              <w:top w:val="nil"/>
              <w:left w:val="nil"/>
              <w:bottom w:val="single" w:color="auto" w:sz="4" w:space="0"/>
              <w:right w:val="single" w:color="auto" w:sz="4" w:space="0"/>
            </w:tcBorders>
            <w:shd w:val="clear" w:color="auto" w:fill="auto"/>
            <w:noWrap/>
            <w:vAlign w:val="center"/>
          </w:tcPr>
          <w:p w14:paraId="2C20277A">
            <w:pPr>
              <w:widowControl/>
              <w:jc w:val="center"/>
              <w:rPr>
                <w:sz w:val="15"/>
                <w:szCs w:val="15"/>
                <w:highlight w:val="none"/>
              </w:rPr>
            </w:pPr>
            <w:r>
              <w:rPr>
                <w:sz w:val="15"/>
                <w:szCs w:val="15"/>
                <w:highlight w:val="none"/>
              </w:rPr>
              <w:t>/</w:t>
            </w:r>
          </w:p>
        </w:tc>
      </w:tr>
      <w:tr w14:paraId="7FABF81F">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0C7E31D7">
            <w:pPr>
              <w:widowControl/>
              <w:jc w:val="center"/>
              <w:rPr>
                <w:sz w:val="15"/>
                <w:szCs w:val="15"/>
                <w:highlight w:val="none"/>
              </w:rPr>
            </w:pPr>
            <w:r>
              <w:rPr>
                <w:sz w:val="15"/>
                <w:szCs w:val="15"/>
                <w:highlight w:val="none"/>
              </w:rPr>
              <w:t>2025.01.09</w:t>
            </w:r>
          </w:p>
        </w:tc>
        <w:tc>
          <w:tcPr>
            <w:tcW w:w="306" w:type="pct"/>
            <w:tcBorders>
              <w:top w:val="nil"/>
              <w:left w:val="nil"/>
              <w:bottom w:val="single" w:color="auto" w:sz="4" w:space="0"/>
              <w:right w:val="single" w:color="auto" w:sz="4" w:space="0"/>
            </w:tcBorders>
            <w:shd w:val="clear" w:color="auto" w:fill="auto"/>
            <w:noWrap/>
            <w:vAlign w:val="center"/>
          </w:tcPr>
          <w:p w14:paraId="604ACA0A">
            <w:pPr>
              <w:widowControl/>
              <w:jc w:val="center"/>
              <w:rPr>
                <w:sz w:val="15"/>
                <w:szCs w:val="15"/>
                <w:highlight w:val="none"/>
              </w:rPr>
            </w:pPr>
            <w:r>
              <w:rPr>
                <w:sz w:val="15"/>
                <w:szCs w:val="15"/>
                <w:highlight w:val="none"/>
              </w:rPr>
              <w:t>10:55</w:t>
            </w:r>
          </w:p>
        </w:tc>
        <w:tc>
          <w:tcPr>
            <w:tcW w:w="368" w:type="pct"/>
            <w:tcBorders>
              <w:top w:val="nil"/>
              <w:left w:val="nil"/>
              <w:bottom w:val="single" w:color="auto" w:sz="4" w:space="0"/>
              <w:right w:val="single" w:color="auto" w:sz="4" w:space="0"/>
            </w:tcBorders>
            <w:shd w:val="clear" w:color="auto" w:fill="auto"/>
            <w:noWrap/>
            <w:vAlign w:val="center"/>
          </w:tcPr>
          <w:p w14:paraId="3035BFAB">
            <w:pPr>
              <w:widowControl/>
              <w:jc w:val="center"/>
              <w:rPr>
                <w:sz w:val="15"/>
                <w:szCs w:val="15"/>
                <w:highlight w:val="none"/>
              </w:rPr>
            </w:pPr>
            <w:r>
              <w:rPr>
                <w:sz w:val="15"/>
                <w:szCs w:val="15"/>
                <w:highlight w:val="none"/>
              </w:rPr>
              <w:t>6.65</w:t>
            </w:r>
          </w:p>
        </w:tc>
        <w:tc>
          <w:tcPr>
            <w:tcW w:w="348" w:type="pct"/>
            <w:tcBorders>
              <w:top w:val="nil"/>
              <w:left w:val="nil"/>
              <w:bottom w:val="single" w:color="auto" w:sz="4" w:space="0"/>
              <w:right w:val="single" w:color="auto" w:sz="4" w:space="0"/>
            </w:tcBorders>
            <w:shd w:val="clear" w:color="auto" w:fill="auto"/>
            <w:noWrap/>
            <w:vAlign w:val="center"/>
          </w:tcPr>
          <w:p w14:paraId="1906DB64">
            <w:pPr>
              <w:widowControl/>
              <w:jc w:val="center"/>
              <w:rPr>
                <w:sz w:val="15"/>
                <w:szCs w:val="15"/>
                <w:highlight w:val="none"/>
              </w:rPr>
            </w:pPr>
            <w:r>
              <w:rPr>
                <w:sz w:val="15"/>
                <w:szCs w:val="15"/>
                <w:highlight w:val="none"/>
              </w:rPr>
              <w:t>3.01</w:t>
            </w:r>
          </w:p>
        </w:tc>
        <w:tc>
          <w:tcPr>
            <w:tcW w:w="393" w:type="pct"/>
            <w:tcBorders>
              <w:top w:val="nil"/>
              <w:left w:val="nil"/>
              <w:bottom w:val="single" w:color="auto" w:sz="4" w:space="0"/>
              <w:right w:val="single" w:color="auto" w:sz="4" w:space="0"/>
            </w:tcBorders>
            <w:shd w:val="clear" w:color="auto" w:fill="auto"/>
            <w:noWrap/>
            <w:vAlign w:val="center"/>
          </w:tcPr>
          <w:p w14:paraId="371B3DC1">
            <w:pPr>
              <w:widowControl/>
              <w:jc w:val="center"/>
              <w:rPr>
                <w:sz w:val="15"/>
                <w:szCs w:val="15"/>
                <w:highlight w:val="none"/>
              </w:rPr>
            </w:pPr>
            <w:r>
              <w:rPr>
                <w:sz w:val="15"/>
                <w:szCs w:val="15"/>
                <w:highlight w:val="none"/>
              </w:rPr>
              <w:t>1421</w:t>
            </w:r>
          </w:p>
        </w:tc>
        <w:tc>
          <w:tcPr>
            <w:tcW w:w="375" w:type="pct"/>
            <w:tcBorders>
              <w:top w:val="nil"/>
              <w:left w:val="nil"/>
              <w:bottom w:val="single" w:color="auto" w:sz="4" w:space="0"/>
              <w:right w:val="single" w:color="auto" w:sz="4" w:space="0"/>
            </w:tcBorders>
            <w:shd w:val="clear" w:color="auto" w:fill="auto"/>
            <w:noWrap/>
            <w:vAlign w:val="center"/>
          </w:tcPr>
          <w:p w14:paraId="2B1CF852">
            <w:pPr>
              <w:widowControl/>
              <w:jc w:val="center"/>
              <w:rPr>
                <w:sz w:val="15"/>
                <w:szCs w:val="15"/>
                <w:highlight w:val="none"/>
              </w:rPr>
            </w:pPr>
            <w:r>
              <w:rPr>
                <w:sz w:val="15"/>
                <w:szCs w:val="15"/>
                <w:highlight w:val="none"/>
              </w:rPr>
              <w:t xml:space="preserve">13.60 </w:t>
            </w:r>
          </w:p>
        </w:tc>
        <w:tc>
          <w:tcPr>
            <w:tcW w:w="361" w:type="pct"/>
            <w:tcBorders>
              <w:top w:val="nil"/>
              <w:left w:val="nil"/>
              <w:bottom w:val="single" w:color="auto" w:sz="4" w:space="0"/>
              <w:right w:val="single" w:color="auto" w:sz="4" w:space="0"/>
            </w:tcBorders>
            <w:shd w:val="clear" w:color="auto" w:fill="auto"/>
            <w:noWrap/>
            <w:vAlign w:val="center"/>
          </w:tcPr>
          <w:p w14:paraId="116F2826">
            <w:pPr>
              <w:widowControl/>
              <w:jc w:val="center"/>
              <w:rPr>
                <w:sz w:val="15"/>
                <w:szCs w:val="15"/>
                <w:highlight w:val="none"/>
              </w:rPr>
            </w:pPr>
            <w:r>
              <w:rPr>
                <w:sz w:val="15"/>
                <w:szCs w:val="15"/>
                <w:highlight w:val="none"/>
              </w:rPr>
              <w:t>4.24</w:t>
            </w:r>
          </w:p>
        </w:tc>
        <w:tc>
          <w:tcPr>
            <w:tcW w:w="361" w:type="pct"/>
            <w:tcBorders>
              <w:top w:val="nil"/>
              <w:left w:val="nil"/>
              <w:bottom w:val="single" w:color="auto" w:sz="4" w:space="0"/>
              <w:right w:val="single" w:color="auto" w:sz="4" w:space="0"/>
            </w:tcBorders>
            <w:shd w:val="clear" w:color="auto" w:fill="auto"/>
            <w:noWrap/>
            <w:vAlign w:val="center"/>
          </w:tcPr>
          <w:p w14:paraId="706402C8">
            <w:pPr>
              <w:widowControl/>
              <w:jc w:val="center"/>
              <w:rPr>
                <w:sz w:val="15"/>
                <w:szCs w:val="15"/>
                <w:highlight w:val="none"/>
              </w:rPr>
            </w:pPr>
            <w:r>
              <w:rPr>
                <w:sz w:val="15"/>
                <w:szCs w:val="15"/>
                <w:highlight w:val="none"/>
              </w:rPr>
              <w:t>187.43</w:t>
            </w:r>
          </w:p>
        </w:tc>
        <w:tc>
          <w:tcPr>
            <w:tcW w:w="453" w:type="pct"/>
            <w:tcBorders>
              <w:top w:val="nil"/>
              <w:left w:val="nil"/>
              <w:bottom w:val="single" w:color="auto" w:sz="4" w:space="0"/>
              <w:right w:val="single" w:color="auto" w:sz="4" w:space="0"/>
            </w:tcBorders>
            <w:shd w:val="clear" w:color="auto" w:fill="auto"/>
            <w:noWrap/>
            <w:vAlign w:val="center"/>
          </w:tcPr>
          <w:p w14:paraId="47CBAFB6">
            <w:pPr>
              <w:widowControl/>
              <w:jc w:val="center"/>
              <w:rPr>
                <w:sz w:val="15"/>
                <w:szCs w:val="15"/>
                <w:highlight w:val="none"/>
              </w:rPr>
            </w:pPr>
            <w:r>
              <w:rPr>
                <w:sz w:val="15"/>
                <w:szCs w:val="15"/>
                <w:highlight w:val="none"/>
              </w:rPr>
              <w:t xml:space="preserve">3.92 </w:t>
            </w:r>
          </w:p>
        </w:tc>
        <w:tc>
          <w:tcPr>
            <w:tcW w:w="453" w:type="pct"/>
            <w:tcBorders>
              <w:top w:val="nil"/>
              <w:left w:val="nil"/>
              <w:bottom w:val="single" w:color="auto" w:sz="4" w:space="0"/>
              <w:right w:val="single" w:color="auto" w:sz="4" w:space="0"/>
            </w:tcBorders>
            <w:shd w:val="clear" w:color="auto" w:fill="auto"/>
            <w:noWrap/>
            <w:vAlign w:val="center"/>
          </w:tcPr>
          <w:p w14:paraId="6C20B919">
            <w:pPr>
              <w:widowControl/>
              <w:jc w:val="center"/>
              <w:rPr>
                <w:sz w:val="15"/>
                <w:szCs w:val="15"/>
                <w:highlight w:val="none"/>
              </w:rPr>
            </w:pPr>
            <w:r>
              <w:rPr>
                <w:sz w:val="15"/>
                <w:szCs w:val="15"/>
                <w:highlight w:val="none"/>
              </w:rPr>
              <w:t>3.19</w:t>
            </w:r>
          </w:p>
        </w:tc>
        <w:tc>
          <w:tcPr>
            <w:tcW w:w="361" w:type="pct"/>
            <w:tcBorders>
              <w:top w:val="nil"/>
              <w:left w:val="nil"/>
              <w:bottom w:val="single" w:color="auto" w:sz="4" w:space="0"/>
              <w:right w:val="single" w:color="auto" w:sz="4" w:space="0"/>
            </w:tcBorders>
            <w:shd w:val="clear" w:color="auto" w:fill="auto"/>
            <w:noWrap/>
            <w:vAlign w:val="center"/>
          </w:tcPr>
          <w:p w14:paraId="3E69E812">
            <w:pPr>
              <w:widowControl/>
              <w:jc w:val="center"/>
              <w:rPr>
                <w:sz w:val="15"/>
                <w:szCs w:val="15"/>
                <w:highlight w:val="none"/>
              </w:rPr>
            </w:pPr>
            <w:r>
              <w:rPr>
                <w:sz w:val="15"/>
                <w:szCs w:val="15"/>
                <w:highlight w:val="none"/>
              </w:rPr>
              <w:t>0.10</w:t>
            </w:r>
          </w:p>
        </w:tc>
        <w:tc>
          <w:tcPr>
            <w:tcW w:w="361" w:type="pct"/>
            <w:tcBorders>
              <w:top w:val="nil"/>
              <w:left w:val="nil"/>
              <w:bottom w:val="single" w:color="auto" w:sz="4" w:space="0"/>
              <w:right w:val="single" w:color="auto" w:sz="4" w:space="0"/>
            </w:tcBorders>
            <w:shd w:val="clear" w:color="auto" w:fill="auto"/>
            <w:noWrap/>
            <w:vAlign w:val="center"/>
          </w:tcPr>
          <w:p w14:paraId="7FF8DB45">
            <w:pPr>
              <w:widowControl/>
              <w:jc w:val="center"/>
              <w:rPr>
                <w:sz w:val="15"/>
                <w:szCs w:val="15"/>
                <w:highlight w:val="none"/>
              </w:rPr>
            </w:pPr>
            <w:r>
              <w:rPr>
                <w:sz w:val="15"/>
                <w:szCs w:val="15"/>
                <w:highlight w:val="none"/>
              </w:rPr>
              <w:t>0.41</w:t>
            </w:r>
          </w:p>
        </w:tc>
        <w:tc>
          <w:tcPr>
            <w:tcW w:w="361" w:type="pct"/>
            <w:tcBorders>
              <w:top w:val="nil"/>
              <w:left w:val="nil"/>
              <w:bottom w:val="single" w:color="auto" w:sz="4" w:space="0"/>
              <w:right w:val="single" w:color="auto" w:sz="4" w:space="0"/>
            </w:tcBorders>
            <w:shd w:val="clear" w:color="auto" w:fill="auto"/>
            <w:noWrap/>
            <w:vAlign w:val="center"/>
          </w:tcPr>
          <w:p w14:paraId="0900D304">
            <w:pPr>
              <w:widowControl/>
              <w:jc w:val="center"/>
              <w:rPr>
                <w:sz w:val="15"/>
                <w:szCs w:val="15"/>
                <w:highlight w:val="none"/>
              </w:rPr>
            </w:pPr>
            <w:r>
              <w:rPr>
                <w:sz w:val="15"/>
                <w:szCs w:val="15"/>
                <w:highlight w:val="none"/>
              </w:rPr>
              <w:t>/</w:t>
            </w:r>
          </w:p>
        </w:tc>
      </w:tr>
      <w:tr w14:paraId="7D02C158">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035ABBE5">
            <w:pPr>
              <w:widowControl/>
              <w:jc w:val="center"/>
              <w:rPr>
                <w:sz w:val="15"/>
                <w:szCs w:val="15"/>
                <w:highlight w:val="none"/>
              </w:rPr>
            </w:pPr>
            <w:r>
              <w:rPr>
                <w:sz w:val="15"/>
                <w:szCs w:val="15"/>
                <w:highlight w:val="none"/>
              </w:rPr>
              <w:t>2025.01.14</w:t>
            </w:r>
          </w:p>
        </w:tc>
        <w:tc>
          <w:tcPr>
            <w:tcW w:w="306" w:type="pct"/>
            <w:tcBorders>
              <w:top w:val="nil"/>
              <w:left w:val="nil"/>
              <w:bottom w:val="single" w:color="auto" w:sz="4" w:space="0"/>
              <w:right w:val="single" w:color="auto" w:sz="4" w:space="0"/>
            </w:tcBorders>
            <w:shd w:val="clear" w:color="auto" w:fill="auto"/>
            <w:noWrap/>
            <w:vAlign w:val="center"/>
          </w:tcPr>
          <w:p w14:paraId="4AE6F2C5">
            <w:pPr>
              <w:widowControl/>
              <w:jc w:val="center"/>
              <w:rPr>
                <w:sz w:val="15"/>
                <w:szCs w:val="15"/>
                <w:highlight w:val="none"/>
              </w:rPr>
            </w:pPr>
            <w:r>
              <w:rPr>
                <w:sz w:val="15"/>
                <w:szCs w:val="15"/>
                <w:highlight w:val="none"/>
              </w:rPr>
              <w:t>17:25</w:t>
            </w:r>
          </w:p>
        </w:tc>
        <w:tc>
          <w:tcPr>
            <w:tcW w:w="368" w:type="pct"/>
            <w:tcBorders>
              <w:top w:val="nil"/>
              <w:left w:val="nil"/>
              <w:bottom w:val="single" w:color="auto" w:sz="4" w:space="0"/>
              <w:right w:val="single" w:color="auto" w:sz="4" w:space="0"/>
            </w:tcBorders>
            <w:shd w:val="clear" w:color="auto" w:fill="auto"/>
            <w:noWrap/>
            <w:vAlign w:val="center"/>
          </w:tcPr>
          <w:p w14:paraId="18FC3A59">
            <w:pPr>
              <w:widowControl/>
              <w:jc w:val="center"/>
              <w:rPr>
                <w:sz w:val="15"/>
                <w:szCs w:val="15"/>
                <w:highlight w:val="none"/>
              </w:rPr>
            </w:pPr>
            <w:r>
              <w:rPr>
                <w:sz w:val="15"/>
                <w:szCs w:val="15"/>
                <w:highlight w:val="none"/>
              </w:rPr>
              <w:t>6.61</w:t>
            </w:r>
          </w:p>
        </w:tc>
        <w:tc>
          <w:tcPr>
            <w:tcW w:w="348" w:type="pct"/>
            <w:tcBorders>
              <w:top w:val="nil"/>
              <w:left w:val="nil"/>
              <w:bottom w:val="single" w:color="auto" w:sz="4" w:space="0"/>
              <w:right w:val="single" w:color="auto" w:sz="4" w:space="0"/>
            </w:tcBorders>
            <w:shd w:val="clear" w:color="auto" w:fill="auto"/>
            <w:noWrap/>
            <w:vAlign w:val="center"/>
          </w:tcPr>
          <w:p w14:paraId="1F572673">
            <w:pPr>
              <w:widowControl/>
              <w:jc w:val="center"/>
              <w:rPr>
                <w:sz w:val="15"/>
                <w:szCs w:val="15"/>
                <w:highlight w:val="none"/>
              </w:rPr>
            </w:pPr>
            <w:r>
              <w:rPr>
                <w:sz w:val="15"/>
                <w:szCs w:val="15"/>
                <w:highlight w:val="none"/>
              </w:rPr>
              <w:t xml:space="preserve">4.00 </w:t>
            </w:r>
          </w:p>
        </w:tc>
        <w:tc>
          <w:tcPr>
            <w:tcW w:w="393" w:type="pct"/>
            <w:tcBorders>
              <w:top w:val="nil"/>
              <w:left w:val="nil"/>
              <w:bottom w:val="single" w:color="auto" w:sz="4" w:space="0"/>
              <w:right w:val="single" w:color="auto" w:sz="4" w:space="0"/>
            </w:tcBorders>
            <w:shd w:val="clear" w:color="auto" w:fill="auto"/>
            <w:noWrap/>
            <w:vAlign w:val="center"/>
          </w:tcPr>
          <w:p w14:paraId="6D6AD381">
            <w:pPr>
              <w:widowControl/>
              <w:jc w:val="center"/>
              <w:rPr>
                <w:sz w:val="15"/>
                <w:szCs w:val="15"/>
                <w:highlight w:val="none"/>
              </w:rPr>
            </w:pPr>
            <w:r>
              <w:rPr>
                <w:sz w:val="15"/>
                <w:szCs w:val="15"/>
                <w:highlight w:val="none"/>
              </w:rPr>
              <w:t>1495</w:t>
            </w:r>
          </w:p>
        </w:tc>
        <w:tc>
          <w:tcPr>
            <w:tcW w:w="375" w:type="pct"/>
            <w:tcBorders>
              <w:top w:val="nil"/>
              <w:left w:val="nil"/>
              <w:bottom w:val="single" w:color="auto" w:sz="4" w:space="0"/>
              <w:right w:val="single" w:color="auto" w:sz="4" w:space="0"/>
            </w:tcBorders>
            <w:shd w:val="clear" w:color="auto" w:fill="auto"/>
            <w:noWrap/>
            <w:vAlign w:val="center"/>
          </w:tcPr>
          <w:p w14:paraId="3640F1E0">
            <w:pPr>
              <w:widowControl/>
              <w:jc w:val="center"/>
              <w:rPr>
                <w:sz w:val="15"/>
                <w:szCs w:val="15"/>
                <w:highlight w:val="none"/>
              </w:rPr>
            </w:pPr>
            <w:r>
              <w:rPr>
                <w:b/>
                <w:bCs/>
                <w:sz w:val="15"/>
                <w:szCs w:val="15"/>
                <w:highlight w:val="none"/>
              </w:rPr>
              <w:t>25</w:t>
            </w:r>
            <w:r>
              <w:rPr>
                <w:sz w:val="15"/>
                <w:szCs w:val="15"/>
                <w:highlight w:val="none"/>
              </w:rPr>
              <w:t xml:space="preserve">.30 </w:t>
            </w:r>
          </w:p>
        </w:tc>
        <w:tc>
          <w:tcPr>
            <w:tcW w:w="361" w:type="pct"/>
            <w:tcBorders>
              <w:top w:val="nil"/>
              <w:left w:val="nil"/>
              <w:bottom w:val="single" w:color="auto" w:sz="4" w:space="0"/>
              <w:right w:val="single" w:color="auto" w:sz="4" w:space="0"/>
            </w:tcBorders>
            <w:shd w:val="clear" w:color="auto" w:fill="auto"/>
            <w:noWrap/>
            <w:vAlign w:val="center"/>
          </w:tcPr>
          <w:p w14:paraId="748BFB82">
            <w:pPr>
              <w:widowControl/>
              <w:jc w:val="center"/>
              <w:rPr>
                <w:sz w:val="15"/>
                <w:szCs w:val="15"/>
                <w:highlight w:val="none"/>
              </w:rPr>
            </w:pPr>
            <w:r>
              <w:rPr>
                <w:sz w:val="15"/>
                <w:szCs w:val="15"/>
                <w:highlight w:val="none"/>
              </w:rPr>
              <w:t>7.96</w:t>
            </w:r>
          </w:p>
        </w:tc>
        <w:tc>
          <w:tcPr>
            <w:tcW w:w="361" w:type="pct"/>
            <w:tcBorders>
              <w:top w:val="nil"/>
              <w:left w:val="nil"/>
              <w:bottom w:val="single" w:color="auto" w:sz="4" w:space="0"/>
              <w:right w:val="single" w:color="auto" w:sz="4" w:space="0"/>
            </w:tcBorders>
            <w:shd w:val="clear" w:color="auto" w:fill="auto"/>
            <w:noWrap/>
            <w:vAlign w:val="center"/>
          </w:tcPr>
          <w:p w14:paraId="393CA1F6">
            <w:pPr>
              <w:widowControl/>
              <w:jc w:val="center"/>
              <w:rPr>
                <w:sz w:val="15"/>
                <w:szCs w:val="15"/>
                <w:highlight w:val="none"/>
              </w:rPr>
            </w:pPr>
            <w:r>
              <w:rPr>
                <w:sz w:val="15"/>
                <w:szCs w:val="15"/>
                <w:highlight w:val="none"/>
              </w:rPr>
              <w:t>188.46</w:t>
            </w:r>
          </w:p>
        </w:tc>
        <w:tc>
          <w:tcPr>
            <w:tcW w:w="453" w:type="pct"/>
            <w:tcBorders>
              <w:top w:val="nil"/>
              <w:left w:val="nil"/>
              <w:bottom w:val="single" w:color="auto" w:sz="4" w:space="0"/>
              <w:right w:val="single" w:color="auto" w:sz="4" w:space="0"/>
            </w:tcBorders>
            <w:shd w:val="clear" w:color="auto" w:fill="auto"/>
            <w:noWrap/>
            <w:vAlign w:val="center"/>
          </w:tcPr>
          <w:p w14:paraId="661E3E65">
            <w:pPr>
              <w:widowControl/>
              <w:jc w:val="center"/>
              <w:rPr>
                <w:sz w:val="15"/>
                <w:szCs w:val="15"/>
                <w:highlight w:val="none"/>
              </w:rPr>
            </w:pPr>
            <w:r>
              <w:rPr>
                <w:sz w:val="15"/>
                <w:szCs w:val="15"/>
                <w:highlight w:val="none"/>
              </w:rPr>
              <w:t xml:space="preserve">4.42 </w:t>
            </w:r>
          </w:p>
        </w:tc>
        <w:tc>
          <w:tcPr>
            <w:tcW w:w="453" w:type="pct"/>
            <w:tcBorders>
              <w:top w:val="nil"/>
              <w:left w:val="nil"/>
              <w:bottom w:val="single" w:color="auto" w:sz="4" w:space="0"/>
              <w:right w:val="single" w:color="auto" w:sz="4" w:space="0"/>
            </w:tcBorders>
            <w:shd w:val="clear" w:color="auto" w:fill="auto"/>
            <w:noWrap/>
            <w:vAlign w:val="center"/>
          </w:tcPr>
          <w:p w14:paraId="314C9557">
            <w:pPr>
              <w:widowControl/>
              <w:jc w:val="center"/>
              <w:rPr>
                <w:sz w:val="15"/>
                <w:szCs w:val="15"/>
                <w:highlight w:val="none"/>
              </w:rPr>
            </w:pPr>
            <w:r>
              <w:rPr>
                <w:sz w:val="15"/>
                <w:szCs w:val="15"/>
                <w:highlight w:val="none"/>
              </w:rPr>
              <w:t>3.50</w:t>
            </w:r>
          </w:p>
        </w:tc>
        <w:tc>
          <w:tcPr>
            <w:tcW w:w="361" w:type="pct"/>
            <w:tcBorders>
              <w:top w:val="nil"/>
              <w:left w:val="nil"/>
              <w:bottom w:val="single" w:color="auto" w:sz="4" w:space="0"/>
              <w:right w:val="single" w:color="auto" w:sz="4" w:space="0"/>
            </w:tcBorders>
            <w:shd w:val="clear" w:color="auto" w:fill="auto"/>
            <w:noWrap/>
            <w:vAlign w:val="center"/>
          </w:tcPr>
          <w:p w14:paraId="6209EC9E">
            <w:pPr>
              <w:widowControl/>
              <w:jc w:val="center"/>
              <w:rPr>
                <w:sz w:val="15"/>
                <w:szCs w:val="15"/>
                <w:highlight w:val="none"/>
              </w:rPr>
            </w:pPr>
            <w:r>
              <w:rPr>
                <w:sz w:val="15"/>
                <w:szCs w:val="15"/>
                <w:highlight w:val="none"/>
              </w:rPr>
              <w:t>0.10</w:t>
            </w:r>
          </w:p>
        </w:tc>
        <w:tc>
          <w:tcPr>
            <w:tcW w:w="361" w:type="pct"/>
            <w:tcBorders>
              <w:top w:val="nil"/>
              <w:left w:val="nil"/>
              <w:bottom w:val="single" w:color="auto" w:sz="4" w:space="0"/>
              <w:right w:val="single" w:color="auto" w:sz="4" w:space="0"/>
            </w:tcBorders>
            <w:shd w:val="clear" w:color="auto" w:fill="auto"/>
            <w:noWrap/>
            <w:vAlign w:val="center"/>
          </w:tcPr>
          <w:p w14:paraId="31C74436">
            <w:pPr>
              <w:widowControl/>
              <w:jc w:val="center"/>
              <w:rPr>
                <w:sz w:val="15"/>
                <w:szCs w:val="15"/>
                <w:highlight w:val="none"/>
              </w:rPr>
            </w:pPr>
            <w:r>
              <w:rPr>
                <w:sz w:val="15"/>
                <w:szCs w:val="15"/>
                <w:highlight w:val="none"/>
              </w:rPr>
              <w:t>0.45</w:t>
            </w:r>
          </w:p>
        </w:tc>
        <w:tc>
          <w:tcPr>
            <w:tcW w:w="361" w:type="pct"/>
            <w:tcBorders>
              <w:top w:val="nil"/>
              <w:left w:val="nil"/>
              <w:bottom w:val="single" w:color="auto" w:sz="4" w:space="0"/>
              <w:right w:val="single" w:color="auto" w:sz="4" w:space="0"/>
            </w:tcBorders>
            <w:shd w:val="clear" w:color="auto" w:fill="auto"/>
            <w:noWrap/>
            <w:vAlign w:val="center"/>
          </w:tcPr>
          <w:p w14:paraId="4490AB27">
            <w:pPr>
              <w:widowControl/>
              <w:jc w:val="center"/>
              <w:rPr>
                <w:sz w:val="15"/>
                <w:szCs w:val="15"/>
                <w:highlight w:val="none"/>
              </w:rPr>
            </w:pPr>
            <w:r>
              <w:rPr>
                <w:sz w:val="15"/>
                <w:szCs w:val="15"/>
                <w:highlight w:val="none"/>
              </w:rPr>
              <w:t>0.01</w:t>
            </w:r>
          </w:p>
        </w:tc>
      </w:tr>
      <w:tr w14:paraId="4D665E6B">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6DC0466D">
            <w:pPr>
              <w:widowControl/>
              <w:jc w:val="center"/>
              <w:rPr>
                <w:sz w:val="15"/>
                <w:szCs w:val="15"/>
                <w:highlight w:val="none"/>
              </w:rPr>
            </w:pPr>
            <w:r>
              <w:rPr>
                <w:sz w:val="15"/>
                <w:szCs w:val="15"/>
                <w:highlight w:val="none"/>
              </w:rPr>
              <w:t>2025.01.20</w:t>
            </w:r>
          </w:p>
        </w:tc>
        <w:tc>
          <w:tcPr>
            <w:tcW w:w="306" w:type="pct"/>
            <w:tcBorders>
              <w:top w:val="nil"/>
              <w:left w:val="nil"/>
              <w:bottom w:val="single" w:color="auto" w:sz="4" w:space="0"/>
              <w:right w:val="single" w:color="auto" w:sz="4" w:space="0"/>
            </w:tcBorders>
            <w:shd w:val="clear" w:color="auto" w:fill="auto"/>
            <w:noWrap/>
            <w:vAlign w:val="center"/>
          </w:tcPr>
          <w:p w14:paraId="045AAE60">
            <w:pPr>
              <w:widowControl/>
              <w:jc w:val="center"/>
              <w:rPr>
                <w:sz w:val="15"/>
                <w:szCs w:val="15"/>
                <w:highlight w:val="none"/>
              </w:rPr>
            </w:pPr>
            <w:r>
              <w:rPr>
                <w:sz w:val="15"/>
                <w:szCs w:val="15"/>
                <w:highlight w:val="none"/>
              </w:rPr>
              <w:t>11:25</w:t>
            </w:r>
          </w:p>
        </w:tc>
        <w:tc>
          <w:tcPr>
            <w:tcW w:w="368" w:type="pct"/>
            <w:tcBorders>
              <w:top w:val="nil"/>
              <w:left w:val="nil"/>
              <w:bottom w:val="single" w:color="auto" w:sz="4" w:space="0"/>
              <w:right w:val="single" w:color="auto" w:sz="4" w:space="0"/>
            </w:tcBorders>
            <w:shd w:val="clear" w:color="auto" w:fill="auto"/>
            <w:noWrap/>
            <w:vAlign w:val="center"/>
          </w:tcPr>
          <w:p w14:paraId="25E04635">
            <w:pPr>
              <w:widowControl/>
              <w:jc w:val="center"/>
              <w:rPr>
                <w:sz w:val="15"/>
                <w:szCs w:val="15"/>
                <w:highlight w:val="none"/>
              </w:rPr>
            </w:pPr>
            <w:r>
              <w:rPr>
                <w:sz w:val="15"/>
                <w:szCs w:val="15"/>
                <w:highlight w:val="none"/>
              </w:rPr>
              <w:t>6.81</w:t>
            </w:r>
          </w:p>
        </w:tc>
        <w:tc>
          <w:tcPr>
            <w:tcW w:w="348" w:type="pct"/>
            <w:tcBorders>
              <w:top w:val="nil"/>
              <w:left w:val="nil"/>
              <w:bottom w:val="single" w:color="auto" w:sz="4" w:space="0"/>
              <w:right w:val="single" w:color="auto" w:sz="4" w:space="0"/>
            </w:tcBorders>
            <w:shd w:val="clear" w:color="auto" w:fill="auto"/>
            <w:noWrap/>
            <w:vAlign w:val="center"/>
          </w:tcPr>
          <w:p w14:paraId="27F234F9">
            <w:pPr>
              <w:widowControl/>
              <w:jc w:val="center"/>
              <w:rPr>
                <w:sz w:val="15"/>
                <w:szCs w:val="15"/>
                <w:highlight w:val="none"/>
              </w:rPr>
            </w:pPr>
            <w:r>
              <w:rPr>
                <w:sz w:val="15"/>
                <w:szCs w:val="15"/>
                <w:highlight w:val="none"/>
              </w:rPr>
              <w:t xml:space="preserve">3.50 </w:t>
            </w:r>
          </w:p>
        </w:tc>
        <w:tc>
          <w:tcPr>
            <w:tcW w:w="393" w:type="pct"/>
            <w:tcBorders>
              <w:top w:val="nil"/>
              <w:left w:val="nil"/>
              <w:bottom w:val="single" w:color="auto" w:sz="4" w:space="0"/>
              <w:right w:val="single" w:color="auto" w:sz="4" w:space="0"/>
            </w:tcBorders>
            <w:shd w:val="clear" w:color="auto" w:fill="auto"/>
            <w:noWrap/>
            <w:vAlign w:val="center"/>
          </w:tcPr>
          <w:p w14:paraId="11E70682">
            <w:pPr>
              <w:widowControl/>
              <w:jc w:val="center"/>
              <w:rPr>
                <w:sz w:val="15"/>
                <w:szCs w:val="15"/>
                <w:highlight w:val="none"/>
              </w:rPr>
            </w:pPr>
            <w:r>
              <w:rPr>
                <w:sz w:val="15"/>
                <w:szCs w:val="15"/>
                <w:highlight w:val="none"/>
              </w:rPr>
              <w:t>1449</w:t>
            </w:r>
          </w:p>
        </w:tc>
        <w:tc>
          <w:tcPr>
            <w:tcW w:w="375" w:type="pct"/>
            <w:tcBorders>
              <w:top w:val="nil"/>
              <w:left w:val="nil"/>
              <w:bottom w:val="single" w:color="auto" w:sz="4" w:space="0"/>
              <w:right w:val="single" w:color="auto" w:sz="4" w:space="0"/>
            </w:tcBorders>
            <w:shd w:val="clear" w:color="auto" w:fill="auto"/>
            <w:noWrap/>
            <w:vAlign w:val="center"/>
          </w:tcPr>
          <w:p w14:paraId="66F158BB">
            <w:pPr>
              <w:widowControl/>
              <w:jc w:val="center"/>
              <w:rPr>
                <w:sz w:val="15"/>
                <w:szCs w:val="15"/>
                <w:highlight w:val="none"/>
              </w:rPr>
            </w:pPr>
            <w:r>
              <w:rPr>
                <w:sz w:val="15"/>
                <w:szCs w:val="15"/>
                <w:highlight w:val="none"/>
              </w:rPr>
              <w:t xml:space="preserve">21.40 </w:t>
            </w:r>
          </w:p>
        </w:tc>
        <w:tc>
          <w:tcPr>
            <w:tcW w:w="361" w:type="pct"/>
            <w:tcBorders>
              <w:top w:val="nil"/>
              <w:left w:val="nil"/>
              <w:bottom w:val="single" w:color="auto" w:sz="4" w:space="0"/>
              <w:right w:val="single" w:color="auto" w:sz="4" w:space="0"/>
            </w:tcBorders>
            <w:shd w:val="clear" w:color="auto" w:fill="auto"/>
            <w:noWrap/>
            <w:vAlign w:val="center"/>
          </w:tcPr>
          <w:p w14:paraId="53E5DDEA">
            <w:pPr>
              <w:widowControl/>
              <w:jc w:val="center"/>
              <w:rPr>
                <w:sz w:val="15"/>
                <w:szCs w:val="15"/>
                <w:highlight w:val="none"/>
              </w:rPr>
            </w:pPr>
            <w:r>
              <w:rPr>
                <w:sz w:val="15"/>
                <w:szCs w:val="15"/>
                <w:highlight w:val="none"/>
              </w:rPr>
              <w:t>10.95</w:t>
            </w:r>
          </w:p>
        </w:tc>
        <w:tc>
          <w:tcPr>
            <w:tcW w:w="361" w:type="pct"/>
            <w:tcBorders>
              <w:top w:val="nil"/>
              <w:left w:val="nil"/>
              <w:bottom w:val="single" w:color="auto" w:sz="4" w:space="0"/>
              <w:right w:val="single" w:color="auto" w:sz="4" w:space="0"/>
            </w:tcBorders>
            <w:shd w:val="clear" w:color="auto" w:fill="auto"/>
            <w:noWrap/>
            <w:vAlign w:val="center"/>
          </w:tcPr>
          <w:p w14:paraId="347F4DFF">
            <w:pPr>
              <w:widowControl/>
              <w:jc w:val="center"/>
              <w:rPr>
                <w:sz w:val="15"/>
                <w:szCs w:val="15"/>
                <w:highlight w:val="none"/>
              </w:rPr>
            </w:pPr>
            <w:r>
              <w:rPr>
                <w:sz w:val="15"/>
                <w:szCs w:val="15"/>
                <w:highlight w:val="none"/>
              </w:rPr>
              <w:t>184.33</w:t>
            </w:r>
          </w:p>
        </w:tc>
        <w:tc>
          <w:tcPr>
            <w:tcW w:w="453" w:type="pct"/>
            <w:tcBorders>
              <w:top w:val="nil"/>
              <w:left w:val="nil"/>
              <w:bottom w:val="single" w:color="auto" w:sz="4" w:space="0"/>
              <w:right w:val="single" w:color="auto" w:sz="4" w:space="0"/>
            </w:tcBorders>
            <w:shd w:val="clear" w:color="auto" w:fill="auto"/>
            <w:noWrap/>
            <w:vAlign w:val="center"/>
          </w:tcPr>
          <w:p w14:paraId="12E0105F">
            <w:pPr>
              <w:widowControl/>
              <w:jc w:val="center"/>
              <w:rPr>
                <w:sz w:val="15"/>
                <w:szCs w:val="15"/>
                <w:highlight w:val="none"/>
              </w:rPr>
            </w:pPr>
            <w:r>
              <w:rPr>
                <w:sz w:val="15"/>
                <w:szCs w:val="15"/>
                <w:highlight w:val="none"/>
              </w:rPr>
              <w:t xml:space="preserve">4.22 </w:t>
            </w:r>
          </w:p>
        </w:tc>
        <w:tc>
          <w:tcPr>
            <w:tcW w:w="453" w:type="pct"/>
            <w:tcBorders>
              <w:top w:val="nil"/>
              <w:left w:val="nil"/>
              <w:bottom w:val="single" w:color="auto" w:sz="4" w:space="0"/>
              <w:right w:val="single" w:color="auto" w:sz="4" w:space="0"/>
            </w:tcBorders>
            <w:shd w:val="clear" w:color="auto" w:fill="auto"/>
            <w:noWrap/>
            <w:vAlign w:val="center"/>
          </w:tcPr>
          <w:p w14:paraId="38E0D318">
            <w:pPr>
              <w:widowControl/>
              <w:jc w:val="center"/>
              <w:rPr>
                <w:sz w:val="15"/>
                <w:szCs w:val="15"/>
                <w:highlight w:val="none"/>
              </w:rPr>
            </w:pPr>
            <w:r>
              <w:rPr>
                <w:sz w:val="15"/>
                <w:szCs w:val="15"/>
                <w:highlight w:val="none"/>
              </w:rPr>
              <w:t>3.29</w:t>
            </w:r>
          </w:p>
        </w:tc>
        <w:tc>
          <w:tcPr>
            <w:tcW w:w="361" w:type="pct"/>
            <w:tcBorders>
              <w:top w:val="nil"/>
              <w:left w:val="nil"/>
              <w:bottom w:val="single" w:color="auto" w:sz="4" w:space="0"/>
              <w:right w:val="single" w:color="auto" w:sz="4" w:space="0"/>
            </w:tcBorders>
            <w:shd w:val="clear" w:color="auto" w:fill="auto"/>
            <w:noWrap/>
            <w:vAlign w:val="center"/>
          </w:tcPr>
          <w:p w14:paraId="240F1D9B">
            <w:pPr>
              <w:widowControl/>
              <w:jc w:val="center"/>
              <w:rPr>
                <w:sz w:val="15"/>
                <w:szCs w:val="15"/>
                <w:highlight w:val="none"/>
              </w:rPr>
            </w:pPr>
            <w:r>
              <w:rPr>
                <w:sz w:val="15"/>
                <w:szCs w:val="15"/>
                <w:highlight w:val="none"/>
              </w:rPr>
              <w:t>0.10</w:t>
            </w:r>
          </w:p>
        </w:tc>
        <w:tc>
          <w:tcPr>
            <w:tcW w:w="36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2EF8DA2">
            <w:pPr>
              <w:widowControl/>
              <w:jc w:val="center"/>
              <w:rPr>
                <w:sz w:val="15"/>
                <w:szCs w:val="15"/>
                <w:highlight w:val="none"/>
              </w:rPr>
            </w:pPr>
            <w:r>
              <w:rPr>
                <w:sz w:val="15"/>
                <w:szCs w:val="15"/>
                <w:highlight w:val="none"/>
              </w:rPr>
              <w:t>0.54</w:t>
            </w:r>
          </w:p>
        </w:tc>
        <w:tc>
          <w:tcPr>
            <w:tcW w:w="361" w:type="pct"/>
            <w:tcBorders>
              <w:top w:val="nil"/>
              <w:left w:val="nil"/>
              <w:bottom w:val="single" w:color="auto" w:sz="4" w:space="0"/>
              <w:right w:val="single" w:color="auto" w:sz="4" w:space="0"/>
            </w:tcBorders>
            <w:shd w:val="clear" w:color="auto" w:fill="auto"/>
            <w:noWrap/>
            <w:vAlign w:val="center"/>
          </w:tcPr>
          <w:p w14:paraId="6B19873F">
            <w:pPr>
              <w:widowControl/>
              <w:jc w:val="center"/>
              <w:rPr>
                <w:sz w:val="15"/>
                <w:szCs w:val="15"/>
                <w:highlight w:val="none"/>
              </w:rPr>
            </w:pPr>
            <w:r>
              <w:rPr>
                <w:sz w:val="15"/>
                <w:szCs w:val="15"/>
                <w:highlight w:val="none"/>
              </w:rPr>
              <w:t>/</w:t>
            </w:r>
          </w:p>
        </w:tc>
      </w:tr>
      <w:tr w14:paraId="73EEFAB3">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6B410350">
            <w:pPr>
              <w:widowControl/>
              <w:jc w:val="center"/>
              <w:rPr>
                <w:sz w:val="15"/>
                <w:szCs w:val="15"/>
                <w:highlight w:val="none"/>
              </w:rPr>
            </w:pPr>
            <w:r>
              <w:rPr>
                <w:sz w:val="15"/>
                <w:szCs w:val="15"/>
                <w:highlight w:val="none"/>
              </w:rPr>
              <w:t>2025.02.05</w:t>
            </w:r>
          </w:p>
        </w:tc>
        <w:tc>
          <w:tcPr>
            <w:tcW w:w="306" w:type="pct"/>
            <w:tcBorders>
              <w:top w:val="nil"/>
              <w:left w:val="nil"/>
              <w:bottom w:val="single" w:color="auto" w:sz="4" w:space="0"/>
              <w:right w:val="single" w:color="auto" w:sz="4" w:space="0"/>
            </w:tcBorders>
            <w:shd w:val="clear" w:color="auto" w:fill="auto"/>
            <w:noWrap/>
            <w:vAlign w:val="center"/>
          </w:tcPr>
          <w:p w14:paraId="3829091A">
            <w:pPr>
              <w:widowControl/>
              <w:jc w:val="center"/>
              <w:rPr>
                <w:sz w:val="15"/>
                <w:szCs w:val="15"/>
                <w:highlight w:val="none"/>
              </w:rPr>
            </w:pPr>
            <w:r>
              <w:rPr>
                <w:sz w:val="15"/>
                <w:szCs w:val="15"/>
                <w:highlight w:val="none"/>
              </w:rPr>
              <w:t>12:00</w:t>
            </w:r>
          </w:p>
        </w:tc>
        <w:tc>
          <w:tcPr>
            <w:tcW w:w="368" w:type="pct"/>
            <w:tcBorders>
              <w:top w:val="nil"/>
              <w:left w:val="nil"/>
              <w:bottom w:val="single" w:color="auto" w:sz="4" w:space="0"/>
              <w:right w:val="single" w:color="auto" w:sz="4" w:space="0"/>
            </w:tcBorders>
            <w:shd w:val="clear" w:color="auto" w:fill="auto"/>
            <w:noWrap/>
            <w:vAlign w:val="center"/>
          </w:tcPr>
          <w:p w14:paraId="194EF9CC">
            <w:pPr>
              <w:widowControl/>
              <w:jc w:val="center"/>
              <w:rPr>
                <w:sz w:val="15"/>
                <w:szCs w:val="15"/>
                <w:highlight w:val="none"/>
              </w:rPr>
            </w:pPr>
            <w:r>
              <w:rPr>
                <w:sz w:val="15"/>
                <w:szCs w:val="15"/>
                <w:highlight w:val="none"/>
              </w:rPr>
              <w:t>6.74</w:t>
            </w:r>
          </w:p>
        </w:tc>
        <w:tc>
          <w:tcPr>
            <w:tcW w:w="348" w:type="pct"/>
            <w:tcBorders>
              <w:top w:val="nil"/>
              <w:left w:val="nil"/>
              <w:bottom w:val="single" w:color="auto" w:sz="4" w:space="0"/>
              <w:right w:val="single" w:color="auto" w:sz="4" w:space="0"/>
            </w:tcBorders>
            <w:shd w:val="clear" w:color="auto" w:fill="auto"/>
            <w:noWrap/>
            <w:vAlign w:val="center"/>
          </w:tcPr>
          <w:p w14:paraId="05D1C84D">
            <w:pPr>
              <w:widowControl/>
              <w:jc w:val="center"/>
              <w:rPr>
                <w:sz w:val="15"/>
                <w:szCs w:val="15"/>
                <w:highlight w:val="none"/>
              </w:rPr>
            </w:pPr>
            <w:r>
              <w:rPr>
                <w:sz w:val="15"/>
                <w:szCs w:val="15"/>
                <w:highlight w:val="none"/>
              </w:rPr>
              <w:t>2.6</w:t>
            </w:r>
          </w:p>
        </w:tc>
        <w:tc>
          <w:tcPr>
            <w:tcW w:w="393" w:type="pct"/>
            <w:tcBorders>
              <w:top w:val="nil"/>
              <w:left w:val="nil"/>
              <w:bottom w:val="single" w:color="auto" w:sz="4" w:space="0"/>
              <w:right w:val="single" w:color="auto" w:sz="4" w:space="0"/>
            </w:tcBorders>
            <w:shd w:val="clear" w:color="auto" w:fill="auto"/>
            <w:noWrap/>
            <w:vAlign w:val="center"/>
          </w:tcPr>
          <w:p w14:paraId="5BFDE67F">
            <w:pPr>
              <w:widowControl/>
              <w:jc w:val="center"/>
              <w:rPr>
                <w:sz w:val="15"/>
                <w:szCs w:val="15"/>
                <w:highlight w:val="none"/>
              </w:rPr>
            </w:pPr>
            <w:r>
              <w:rPr>
                <w:sz w:val="15"/>
                <w:szCs w:val="15"/>
                <w:highlight w:val="none"/>
              </w:rPr>
              <w:t>1466</w:t>
            </w:r>
          </w:p>
        </w:tc>
        <w:tc>
          <w:tcPr>
            <w:tcW w:w="375" w:type="pct"/>
            <w:tcBorders>
              <w:top w:val="nil"/>
              <w:left w:val="nil"/>
              <w:bottom w:val="single" w:color="auto" w:sz="4" w:space="0"/>
              <w:right w:val="single" w:color="auto" w:sz="4" w:space="0"/>
            </w:tcBorders>
            <w:shd w:val="clear" w:color="auto" w:fill="auto"/>
            <w:noWrap/>
            <w:vAlign w:val="center"/>
          </w:tcPr>
          <w:p w14:paraId="36807CA4">
            <w:pPr>
              <w:widowControl/>
              <w:jc w:val="center"/>
              <w:rPr>
                <w:sz w:val="15"/>
                <w:szCs w:val="15"/>
                <w:highlight w:val="none"/>
              </w:rPr>
            </w:pPr>
            <w:r>
              <w:rPr>
                <w:sz w:val="15"/>
                <w:szCs w:val="15"/>
                <w:highlight w:val="none"/>
              </w:rPr>
              <w:t>10.6</w:t>
            </w:r>
          </w:p>
        </w:tc>
        <w:tc>
          <w:tcPr>
            <w:tcW w:w="361" w:type="pct"/>
            <w:tcBorders>
              <w:top w:val="nil"/>
              <w:left w:val="nil"/>
              <w:bottom w:val="single" w:color="auto" w:sz="4" w:space="0"/>
              <w:right w:val="single" w:color="auto" w:sz="4" w:space="0"/>
            </w:tcBorders>
            <w:shd w:val="clear" w:color="auto" w:fill="auto"/>
            <w:noWrap/>
            <w:vAlign w:val="center"/>
          </w:tcPr>
          <w:p w14:paraId="7A3A65A2">
            <w:pPr>
              <w:widowControl/>
              <w:jc w:val="center"/>
              <w:rPr>
                <w:sz w:val="15"/>
                <w:szCs w:val="15"/>
                <w:highlight w:val="none"/>
              </w:rPr>
            </w:pPr>
            <w:r>
              <w:rPr>
                <w:sz w:val="15"/>
                <w:szCs w:val="15"/>
                <w:highlight w:val="none"/>
              </w:rPr>
              <w:t>13.25</w:t>
            </w:r>
          </w:p>
        </w:tc>
        <w:tc>
          <w:tcPr>
            <w:tcW w:w="361" w:type="pct"/>
            <w:tcBorders>
              <w:top w:val="nil"/>
              <w:left w:val="nil"/>
              <w:bottom w:val="single" w:color="auto" w:sz="4" w:space="0"/>
              <w:right w:val="single" w:color="auto" w:sz="4" w:space="0"/>
            </w:tcBorders>
            <w:shd w:val="clear" w:color="auto" w:fill="auto"/>
            <w:noWrap/>
            <w:vAlign w:val="center"/>
          </w:tcPr>
          <w:p w14:paraId="2D59F1B0">
            <w:pPr>
              <w:widowControl/>
              <w:jc w:val="center"/>
              <w:rPr>
                <w:sz w:val="15"/>
                <w:szCs w:val="15"/>
                <w:highlight w:val="none"/>
              </w:rPr>
            </w:pPr>
            <w:r>
              <w:rPr>
                <w:sz w:val="15"/>
                <w:szCs w:val="15"/>
                <w:highlight w:val="none"/>
              </w:rPr>
              <w:t>202.93</w:t>
            </w:r>
          </w:p>
        </w:tc>
        <w:tc>
          <w:tcPr>
            <w:tcW w:w="453" w:type="pct"/>
            <w:tcBorders>
              <w:top w:val="nil"/>
              <w:left w:val="nil"/>
              <w:bottom w:val="single" w:color="auto" w:sz="4" w:space="0"/>
              <w:right w:val="single" w:color="auto" w:sz="4" w:space="0"/>
            </w:tcBorders>
            <w:shd w:val="clear" w:color="auto" w:fill="auto"/>
            <w:noWrap/>
            <w:vAlign w:val="center"/>
          </w:tcPr>
          <w:p w14:paraId="6E99ADE6">
            <w:pPr>
              <w:widowControl/>
              <w:jc w:val="center"/>
              <w:rPr>
                <w:sz w:val="15"/>
                <w:szCs w:val="15"/>
                <w:highlight w:val="none"/>
              </w:rPr>
            </w:pPr>
            <w:r>
              <w:rPr>
                <w:sz w:val="15"/>
                <w:szCs w:val="15"/>
                <w:highlight w:val="none"/>
              </w:rPr>
              <w:t>4.52</w:t>
            </w:r>
          </w:p>
        </w:tc>
        <w:tc>
          <w:tcPr>
            <w:tcW w:w="453" w:type="pct"/>
            <w:tcBorders>
              <w:top w:val="nil"/>
              <w:left w:val="nil"/>
              <w:bottom w:val="single" w:color="auto" w:sz="4" w:space="0"/>
              <w:right w:val="single" w:color="auto" w:sz="4" w:space="0"/>
            </w:tcBorders>
            <w:shd w:val="clear" w:color="auto" w:fill="auto"/>
            <w:noWrap/>
            <w:vAlign w:val="center"/>
          </w:tcPr>
          <w:p w14:paraId="18B13CE7">
            <w:pPr>
              <w:widowControl/>
              <w:jc w:val="center"/>
              <w:rPr>
                <w:sz w:val="15"/>
                <w:szCs w:val="15"/>
                <w:highlight w:val="none"/>
              </w:rPr>
            </w:pPr>
            <w:r>
              <w:rPr>
                <w:sz w:val="15"/>
                <w:szCs w:val="15"/>
                <w:highlight w:val="none"/>
              </w:rPr>
              <w:t>3.39</w:t>
            </w:r>
          </w:p>
        </w:tc>
        <w:tc>
          <w:tcPr>
            <w:tcW w:w="36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27A3691">
            <w:pPr>
              <w:widowControl/>
              <w:jc w:val="center"/>
              <w:rPr>
                <w:sz w:val="15"/>
                <w:szCs w:val="15"/>
                <w:highlight w:val="none"/>
              </w:rPr>
            </w:pPr>
            <w:r>
              <w:rPr>
                <w:sz w:val="15"/>
                <w:szCs w:val="15"/>
                <w:highlight w:val="none"/>
              </w:rPr>
              <w:t>0.05</w:t>
            </w:r>
          </w:p>
        </w:tc>
        <w:tc>
          <w:tcPr>
            <w:tcW w:w="36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58C51EA">
            <w:pPr>
              <w:widowControl/>
              <w:jc w:val="center"/>
              <w:rPr>
                <w:sz w:val="15"/>
                <w:szCs w:val="15"/>
                <w:highlight w:val="none"/>
              </w:rPr>
            </w:pPr>
            <w:r>
              <w:rPr>
                <w:sz w:val="15"/>
                <w:szCs w:val="15"/>
                <w:highlight w:val="none"/>
              </w:rPr>
              <w:t>0.55</w:t>
            </w:r>
          </w:p>
        </w:tc>
        <w:tc>
          <w:tcPr>
            <w:tcW w:w="361" w:type="pct"/>
            <w:tcBorders>
              <w:top w:val="nil"/>
              <w:left w:val="nil"/>
              <w:bottom w:val="single" w:color="auto" w:sz="4" w:space="0"/>
              <w:right w:val="single" w:color="auto" w:sz="4" w:space="0"/>
            </w:tcBorders>
            <w:shd w:val="clear" w:color="auto" w:fill="auto"/>
            <w:noWrap/>
            <w:vAlign w:val="center"/>
          </w:tcPr>
          <w:p w14:paraId="732F2D6F">
            <w:pPr>
              <w:widowControl/>
              <w:jc w:val="center"/>
              <w:rPr>
                <w:sz w:val="15"/>
                <w:szCs w:val="15"/>
                <w:highlight w:val="none"/>
              </w:rPr>
            </w:pPr>
            <w:r>
              <w:rPr>
                <w:sz w:val="15"/>
                <w:szCs w:val="15"/>
                <w:highlight w:val="none"/>
              </w:rPr>
              <w:t>/</w:t>
            </w:r>
          </w:p>
        </w:tc>
      </w:tr>
      <w:tr w14:paraId="597D7F48">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32149D23">
            <w:pPr>
              <w:widowControl/>
              <w:jc w:val="center"/>
              <w:rPr>
                <w:sz w:val="15"/>
                <w:szCs w:val="15"/>
                <w:highlight w:val="none"/>
              </w:rPr>
            </w:pPr>
            <w:r>
              <w:rPr>
                <w:sz w:val="15"/>
                <w:szCs w:val="15"/>
                <w:highlight w:val="none"/>
              </w:rPr>
              <w:t>2025.02.13</w:t>
            </w:r>
          </w:p>
        </w:tc>
        <w:tc>
          <w:tcPr>
            <w:tcW w:w="306" w:type="pct"/>
            <w:tcBorders>
              <w:top w:val="nil"/>
              <w:left w:val="nil"/>
              <w:bottom w:val="single" w:color="auto" w:sz="4" w:space="0"/>
              <w:right w:val="single" w:color="auto" w:sz="4" w:space="0"/>
            </w:tcBorders>
            <w:shd w:val="clear" w:color="auto" w:fill="auto"/>
            <w:noWrap/>
            <w:vAlign w:val="center"/>
          </w:tcPr>
          <w:p w14:paraId="5BDD2825">
            <w:pPr>
              <w:widowControl/>
              <w:jc w:val="center"/>
              <w:rPr>
                <w:sz w:val="15"/>
                <w:szCs w:val="15"/>
                <w:highlight w:val="none"/>
              </w:rPr>
            </w:pPr>
            <w:r>
              <w:rPr>
                <w:sz w:val="15"/>
                <w:szCs w:val="15"/>
                <w:highlight w:val="none"/>
              </w:rPr>
              <w:t>17:00</w:t>
            </w:r>
          </w:p>
        </w:tc>
        <w:tc>
          <w:tcPr>
            <w:tcW w:w="368" w:type="pct"/>
            <w:tcBorders>
              <w:top w:val="nil"/>
              <w:left w:val="nil"/>
              <w:bottom w:val="single" w:color="auto" w:sz="4" w:space="0"/>
              <w:right w:val="single" w:color="auto" w:sz="4" w:space="0"/>
            </w:tcBorders>
            <w:shd w:val="clear" w:color="auto" w:fill="auto"/>
            <w:noWrap/>
            <w:vAlign w:val="center"/>
          </w:tcPr>
          <w:p w14:paraId="4E5A0AE0">
            <w:pPr>
              <w:widowControl/>
              <w:jc w:val="center"/>
              <w:rPr>
                <w:sz w:val="15"/>
                <w:szCs w:val="15"/>
                <w:highlight w:val="none"/>
              </w:rPr>
            </w:pPr>
            <w:r>
              <w:rPr>
                <w:sz w:val="15"/>
                <w:szCs w:val="15"/>
                <w:highlight w:val="none"/>
              </w:rPr>
              <w:t>6.87</w:t>
            </w:r>
          </w:p>
        </w:tc>
        <w:tc>
          <w:tcPr>
            <w:tcW w:w="348" w:type="pct"/>
            <w:tcBorders>
              <w:top w:val="nil"/>
              <w:left w:val="nil"/>
              <w:bottom w:val="single" w:color="auto" w:sz="4" w:space="0"/>
              <w:right w:val="single" w:color="auto" w:sz="4" w:space="0"/>
            </w:tcBorders>
            <w:shd w:val="clear" w:color="auto" w:fill="auto"/>
            <w:noWrap/>
            <w:vAlign w:val="center"/>
          </w:tcPr>
          <w:p w14:paraId="6F6021BE">
            <w:pPr>
              <w:widowControl/>
              <w:jc w:val="center"/>
              <w:rPr>
                <w:sz w:val="15"/>
                <w:szCs w:val="15"/>
                <w:highlight w:val="none"/>
              </w:rPr>
            </w:pPr>
            <w:r>
              <w:rPr>
                <w:sz w:val="15"/>
                <w:szCs w:val="15"/>
                <w:highlight w:val="none"/>
              </w:rPr>
              <w:t>1.5</w:t>
            </w:r>
          </w:p>
        </w:tc>
        <w:tc>
          <w:tcPr>
            <w:tcW w:w="393" w:type="pct"/>
            <w:tcBorders>
              <w:top w:val="nil"/>
              <w:left w:val="nil"/>
              <w:bottom w:val="single" w:color="auto" w:sz="4" w:space="0"/>
              <w:right w:val="single" w:color="auto" w:sz="4" w:space="0"/>
            </w:tcBorders>
            <w:shd w:val="clear" w:color="auto" w:fill="auto"/>
            <w:noWrap/>
            <w:vAlign w:val="center"/>
          </w:tcPr>
          <w:p w14:paraId="55FB6537">
            <w:pPr>
              <w:widowControl/>
              <w:jc w:val="center"/>
              <w:rPr>
                <w:sz w:val="15"/>
                <w:szCs w:val="15"/>
                <w:highlight w:val="none"/>
              </w:rPr>
            </w:pPr>
            <w:r>
              <w:rPr>
                <w:sz w:val="15"/>
                <w:szCs w:val="15"/>
                <w:highlight w:val="none"/>
              </w:rPr>
              <w:t>1512</w:t>
            </w:r>
          </w:p>
        </w:tc>
        <w:tc>
          <w:tcPr>
            <w:tcW w:w="375" w:type="pct"/>
            <w:tcBorders>
              <w:top w:val="nil"/>
              <w:left w:val="nil"/>
              <w:bottom w:val="single" w:color="auto" w:sz="4" w:space="0"/>
              <w:right w:val="single" w:color="auto" w:sz="4" w:space="0"/>
            </w:tcBorders>
            <w:shd w:val="clear" w:color="auto" w:fill="auto"/>
            <w:noWrap/>
            <w:vAlign w:val="center"/>
          </w:tcPr>
          <w:p w14:paraId="2866DE1A">
            <w:pPr>
              <w:widowControl/>
              <w:jc w:val="center"/>
              <w:rPr>
                <w:sz w:val="15"/>
                <w:szCs w:val="15"/>
                <w:highlight w:val="none"/>
              </w:rPr>
            </w:pPr>
            <w:r>
              <w:rPr>
                <w:sz w:val="15"/>
                <w:szCs w:val="15"/>
                <w:highlight w:val="none"/>
              </w:rPr>
              <w:t>18.3</w:t>
            </w:r>
          </w:p>
        </w:tc>
        <w:tc>
          <w:tcPr>
            <w:tcW w:w="361" w:type="pct"/>
            <w:tcBorders>
              <w:top w:val="nil"/>
              <w:left w:val="nil"/>
              <w:bottom w:val="single" w:color="auto" w:sz="4" w:space="0"/>
              <w:right w:val="single" w:color="auto" w:sz="4" w:space="0"/>
            </w:tcBorders>
            <w:shd w:val="clear" w:color="auto" w:fill="auto"/>
            <w:noWrap/>
            <w:vAlign w:val="center"/>
          </w:tcPr>
          <w:p w14:paraId="0D634D3C">
            <w:pPr>
              <w:widowControl/>
              <w:jc w:val="center"/>
              <w:rPr>
                <w:sz w:val="15"/>
                <w:szCs w:val="15"/>
                <w:highlight w:val="none"/>
              </w:rPr>
            </w:pPr>
            <w:r>
              <w:rPr>
                <w:sz w:val="15"/>
                <w:szCs w:val="15"/>
                <w:highlight w:val="none"/>
              </w:rPr>
              <w:t>12.25</w:t>
            </w:r>
          </w:p>
        </w:tc>
        <w:tc>
          <w:tcPr>
            <w:tcW w:w="361" w:type="pct"/>
            <w:tcBorders>
              <w:top w:val="nil"/>
              <w:left w:val="nil"/>
              <w:bottom w:val="single" w:color="auto" w:sz="4" w:space="0"/>
              <w:right w:val="single" w:color="auto" w:sz="4" w:space="0"/>
            </w:tcBorders>
            <w:shd w:val="clear" w:color="auto" w:fill="auto"/>
            <w:noWrap/>
            <w:vAlign w:val="center"/>
          </w:tcPr>
          <w:p w14:paraId="3596BCB5">
            <w:pPr>
              <w:widowControl/>
              <w:jc w:val="center"/>
              <w:rPr>
                <w:sz w:val="15"/>
                <w:szCs w:val="15"/>
                <w:highlight w:val="none"/>
              </w:rPr>
            </w:pPr>
            <w:r>
              <w:rPr>
                <w:sz w:val="15"/>
                <w:szCs w:val="15"/>
                <w:highlight w:val="none"/>
              </w:rPr>
              <w:t>200.87</w:t>
            </w:r>
          </w:p>
        </w:tc>
        <w:tc>
          <w:tcPr>
            <w:tcW w:w="453" w:type="pct"/>
            <w:tcBorders>
              <w:top w:val="nil"/>
              <w:left w:val="nil"/>
              <w:bottom w:val="single" w:color="auto" w:sz="4" w:space="0"/>
              <w:right w:val="single" w:color="auto" w:sz="4" w:space="0"/>
            </w:tcBorders>
            <w:shd w:val="clear" w:color="auto" w:fill="auto"/>
            <w:noWrap/>
            <w:vAlign w:val="center"/>
          </w:tcPr>
          <w:p w14:paraId="72D23149">
            <w:pPr>
              <w:widowControl/>
              <w:jc w:val="center"/>
              <w:rPr>
                <w:sz w:val="15"/>
                <w:szCs w:val="15"/>
                <w:highlight w:val="none"/>
              </w:rPr>
            </w:pPr>
            <w:r>
              <w:rPr>
                <w:sz w:val="15"/>
                <w:szCs w:val="15"/>
                <w:highlight w:val="none"/>
              </w:rPr>
              <w:t>4.42</w:t>
            </w:r>
          </w:p>
        </w:tc>
        <w:tc>
          <w:tcPr>
            <w:tcW w:w="453" w:type="pct"/>
            <w:tcBorders>
              <w:top w:val="nil"/>
              <w:left w:val="nil"/>
              <w:bottom w:val="single" w:color="auto" w:sz="4" w:space="0"/>
              <w:right w:val="single" w:color="auto" w:sz="4" w:space="0"/>
            </w:tcBorders>
            <w:shd w:val="clear" w:color="auto" w:fill="auto"/>
            <w:noWrap/>
            <w:vAlign w:val="center"/>
          </w:tcPr>
          <w:p w14:paraId="04B9ACF1">
            <w:pPr>
              <w:widowControl/>
              <w:jc w:val="center"/>
              <w:rPr>
                <w:sz w:val="15"/>
                <w:szCs w:val="15"/>
                <w:highlight w:val="none"/>
              </w:rPr>
            </w:pPr>
            <w:r>
              <w:rPr>
                <w:sz w:val="15"/>
                <w:szCs w:val="15"/>
                <w:highlight w:val="none"/>
              </w:rPr>
              <w:t>4.01</w:t>
            </w:r>
          </w:p>
        </w:tc>
        <w:tc>
          <w:tcPr>
            <w:tcW w:w="361" w:type="pct"/>
            <w:tcBorders>
              <w:top w:val="nil"/>
              <w:left w:val="nil"/>
              <w:bottom w:val="single" w:color="auto" w:sz="4" w:space="0"/>
              <w:right w:val="single" w:color="auto" w:sz="4" w:space="0"/>
            </w:tcBorders>
            <w:shd w:val="clear" w:color="auto" w:fill="auto"/>
            <w:noWrap/>
            <w:vAlign w:val="center"/>
          </w:tcPr>
          <w:p w14:paraId="622C50EC">
            <w:pPr>
              <w:widowControl/>
              <w:jc w:val="center"/>
              <w:rPr>
                <w:sz w:val="15"/>
                <w:szCs w:val="15"/>
                <w:highlight w:val="none"/>
              </w:rPr>
            </w:pPr>
            <w:r>
              <w:rPr>
                <w:sz w:val="15"/>
                <w:szCs w:val="15"/>
                <w:highlight w:val="none"/>
              </w:rPr>
              <w:t>0.10</w:t>
            </w:r>
          </w:p>
        </w:tc>
        <w:tc>
          <w:tcPr>
            <w:tcW w:w="361" w:type="pct"/>
            <w:tcBorders>
              <w:top w:val="nil"/>
              <w:left w:val="nil"/>
              <w:bottom w:val="single" w:color="auto" w:sz="4" w:space="0"/>
              <w:right w:val="single" w:color="auto" w:sz="4" w:space="0"/>
            </w:tcBorders>
            <w:shd w:val="clear" w:color="auto" w:fill="auto"/>
            <w:noWrap/>
            <w:vAlign w:val="center"/>
          </w:tcPr>
          <w:p w14:paraId="5929507D">
            <w:pPr>
              <w:widowControl/>
              <w:jc w:val="center"/>
              <w:rPr>
                <w:sz w:val="15"/>
                <w:szCs w:val="15"/>
                <w:highlight w:val="none"/>
              </w:rPr>
            </w:pPr>
            <w:r>
              <w:rPr>
                <w:sz w:val="15"/>
                <w:szCs w:val="15"/>
                <w:highlight w:val="none"/>
              </w:rPr>
              <w:t>0.46</w:t>
            </w:r>
          </w:p>
        </w:tc>
        <w:tc>
          <w:tcPr>
            <w:tcW w:w="361" w:type="pct"/>
            <w:tcBorders>
              <w:top w:val="nil"/>
              <w:left w:val="nil"/>
              <w:bottom w:val="single" w:color="auto" w:sz="4" w:space="0"/>
              <w:right w:val="single" w:color="auto" w:sz="4" w:space="0"/>
            </w:tcBorders>
            <w:shd w:val="clear" w:color="auto" w:fill="auto"/>
            <w:noWrap/>
            <w:vAlign w:val="center"/>
          </w:tcPr>
          <w:p w14:paraId="2101B4B0">
            <w:pPr>
              <w:widowControl/>
              <w:jc w:val="center"/>
              <w:rPr>
                <w:sz w:val="15"/>
                <w:szCs w:val="15"/>
                <w:highlight w:val="none"/>
              </w:rPr>
            </w:pPr>
            <w:r>
              <w:rPr>
                <w:sz w:val="15"/>
                <w:szCs w:val="15"/>
                <w:highlight w:val="none"/>
              </w:rPr>
              <w:t>/</w:t>
            </w:r>
          </w:p>
        </w:tc>
      </w:tr>
      <w:tr w14:paraId="0E3D664A">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3E88C19A">
            <w:pPr>
              <w:widowControl/>
              <w:jc w:val="center"/>
              <w:rPr>
                <w:sz w:val="15"/>
                <w:szCs w:val="15"/>
                <w:highlight w:val="none"/>
              </w:rPr>
            </w:pPr>
            <w:r>
              <w:rPr>
                <w:sz w:val="15"/>
                <w:szCs w:val="15"/>
                <w:highlight w:val="none"/>
              </w:rPr>
              <w:t>2025.02.20</w:t>
            </w:r>
          </w:p>
        </w:tc>
        <w:tc>
          <w:tcPr>
            <w:tcW w:w="306" w:type="pct"/>
            <w:tcBorders>
              <w:top w:val="nil"/>
              <w:left w:val="nil"/>
              <w:bottom w:val="single" w:color="auto" w:sz="4" w:space="0"/>
              <w:right w:val="single" w:color="auto" w:sz="4" w:space="0"/>
            </w:tcBorders>
            <w:shd w:val="clear" w:color="auto" w:fill="auto"/>
            <w:noWrap/>
            <w:vAlign w:val="center"/>
          </w:tcPr>
          <w:p w14:paraId="1F77FF9F">
            <w:pPr>
              <w:widowControl/>
              <w:jc w:val="center"/>
              <w:rPr>
                <w:sz w:val="15"/>
                <w:szCs w:val="15"/>
                <w:highlight w:val="none"/>
              </w:rPr>
            </w:pPr>
            <w:r>
              <w:rPr>
                <w:sz w:val="15"/>
                <w:szCs w:val="15"/>
                <w:highlight w:val="none"/>
              </w:rPr>
              <w:t>12:00</w:t>
            </w:r>
          </w:p>
        </w:tc>
        <w:tc>
          <w:tcPr>
            <w:tcW w:w="368" w:type="pct"/>
            <w:tcBorders>
              <w:top w:val="nil"/>
              <w:left w:val="nil"/>
              <w:bottom w:val="single" w:color="auto" w:sz="4" w:space="0"/>
              <w:right w:val="single" w:color="auto" w:sz="4" w:space="0"/>
            </w:tcBorders>
            <w:shd w:val="clear" w:color="auto" w:fill="auto"/>
            <w:noWrap/>
            <w:vAlign w:val="center"/>
          </w:tcPr>
          <w:p w14:paraId="599645F6">
            <w:pPr>
              <w:widowControl/>
              <w:jc w:val="center"/>
              <w:rPr>
                <w:sz w:val="15"/>
                <w:szCs w:val="15"/>
                <w:highlight w:val="none"/>
              </w:rPr>
            </w:pPr>
            <w:r>
              <w:rPr>
                <w:sz w:val="15"/>
                <w:szCs w:val="15"/>
                <w:highlight w:val="none"/>
              </w:rPr>
              <w:t>6.90</w:t>
            </w:r>
          </w:p>
        </w:tc>
        <w:tc>
          <w:tcPr>
            <w:tcW w:w="348" w:type="pct"/>
            <w:tcBorders>
              <w:top w:val="nil"/>
              <w:left w:val="nil"/>
              <w:bottom w:val="single" w:color="auto" w:sz="4" w:space="0"/>
              <w:right w:val="single" w:color="auto" w:sz="4" w:space="0"/>
            </w:tcBorders>
            <w:shd w:val="clear" w:color="auto" w:fill="auto"/>
            <w:noWrap/>
            <w:vAlign w:val="center"/>
          </w:tcPr>
          <w:p w14:paraId="7506C7FA">
            <w:pPr>
              <w:widowControl/>
              <w:jc w:val="center"/>
              <w:rPr>
                <w:sz w:val="15"/>
                <w:szCs w:val="15"/>
                <w:highlight w:val="none"/>
              </w:rPr>
            </w:pPr>
            <w:r>
              <w:rPr>
                <w:sz w:val="15"/>
                <w:szCs w:val="15"/>
                <w:highlight w:val="none"/>
              </w:rPr>
              <w:t>3.23</w:t>
            </w:r>
          </w:p>
        </w:tc>
        <w:tc>
          <w:tcPr>
            <w:tcW w:w="393" w:type="pct"/>
            <w:tcBorders>
              <w:top w:val="nil"/>
              <w:left w:val="nil"/>
              <w:bottom w:val="single" w:color="auto" w:sz="4" w:space="0"/>
              <w:right w:val="single" w:color="auto" w:sz="4" w:space="0"/>
            </w:tcBorders>
            <w:shd w:val="clear" w:color="auto" w:fill="auto"/>
            <w:noWrap/>
            <w:vAlign w:val="center"/>
          </w:tcPr>
          <w:p w14:paraId="2032CB51">
            <w:pPr>
              <w:widowControl/>
              <w:jc w:val="center"/>
              <w:rPr>
                <w:sz w:val="15"/>
                <w:szCs w:val="15"/>
                <w:highlight w:val="none"/>
              </w:rPr>
            </w:pPr>
            <w:r>
              <w:rPr>
                <w:sz w:val="15"/>
                <w:szCs w:val="15"/>
                <w:highlight w:val="none"/>
              </w:rPr>
              <w:t>1464</w:t>
            </w:r>
          </w:p>
        </w:tc>
        <w:tc>
          <w:tcPr>
            <w:tcW w:w="375" w:type="pct"/>
            <w:tcBorders>
              <w:top w:val="nil"/>
              <w:left w:val="nil"/>
              <w:bottom w:val="single" w:color="auto" w:sz="4" w:space="0"/>
              <w:right w:val="single" w:color="auto" w:sz="4" w:space="0"/>
            </w:tcBorders>
            <w:shd w:val="clear" w:color="auto" w:fill="auto"/>
            <w:noWrap/>
            <w:vAlign w:val="center"/>
          </w:tcPr>
          <w:p w14:paraId="57AEA1E4">
            <w:pPr>
              <w:widowControl/>
              <w:jc w:val="center"/>
              <w:rPr>
                <w:sz w:val="15"/>
                <w:szCs w:val="15"/>
                <w:highlight w:val="none"/>
              </w:rPr>
            </w:pPr>
            <w:r>
              <w:rPr>
                <w:sz w:val="15"/>
                <w:szCs w:val="15"/>
                <w:highlight w:val="none"/>
              </w:rPr>
              <w:t>11.7</w:t>
            </w:r>
          </w:p>
        </w:tc>
        <w:tc>
          <w:tcPr>
            <w:tcW w:w="361" w:type="pct"/>
            <w:tcBorders>
              <w:top w:val="nil"/>
              <w:left w:val="nil"/>
              <w:bottom w:val="single" w:color="auto" w:sz="4" w:space="0"/>
              <w:right w:val="single" w:color="auto" w:sz="4" w:space="0"/>
            </w:tcBorders>
            <w:shd w:val="clear" w:color="auto" w:fill="auto"/>
            <w:noWrap/>
            <w:vAlign w:val="center"/>
          </w:tcPr>
          <w:p w14:paraId="61857BE5">
            <w:pPr>
              <w:widowControl/>
              <w:jc w:val="center"/>
              <w:rPr>
                <w:sz w:val="15"/>
                <w:szCs w:val="15"/>
                <w:highlight w:val="none"/>
              </w:rPr>
            </w:pPr>
            <w:r>
              <w:rPr>
                <w:sz w:val="15"/>
                <w:szCs w:val="15"/>
                <w:highlight w:val="none"/>
              </w:rPr>
              <w:t>11.40</w:t>
            </w:r>
          </w:p>
        </w:tc>
        <w:tc>
          <w:tcPr>
            <w:tcW w:w="361" w:type="pct"/>
            <w:tcBorders>
              <w:top w:val="nil"/>
              <w:left w:val="nil"/>
              <w:bottom w:val="single" w:color="auto" w:sz="4" w:space="0"/>
              <w:right w:val="single" w:color="auto" w:sz="4" w:space="0"/>
            </w:tcBorders>
            <w:shd w:val="clear" w:color="auto" w:fill="auto"/>
            <w:noWrap/>
            <w:vAlign w:val="center"/>
          </w:tcPr>
          <w:p w14:paraId="58EEF8C0">
            <w:pPr>
              <w:widowControl/>
              <w:jc w:val="center"/>
              <w:rPr>
                <w:sz w:val="15"/>
                <w:szCs w:val="15"/>
                <w:highlight w:val="none"/>
              </w:rPr>
            </w:pPr>
            <w:r>
              <w:rPr>
                <w:sz w:val="15"/>
                <w:szCs w:val="15"/>
                <w:highlight w:val="none"/>
              </w:rPr>
              <w:t>182.61</w:t>
            </w:r>
          </w:p>
        </w:tc>
        <w:tc>
          <w:tcPr>
            <w:tcW w:w="453" w:type="pct"/>
            <w:tcBorders>
              <w:top w:val="nil"/>
              <w:left w:val="nil"/>
              <w:bottom w:val="single" w:color="auto" w:sz="4" w:space="0"/>
              <w:right w:val="single" w:color="auto" w:sz="4" w:space="0"/>
            </w:tcBorders>
            <w:shd w:val="clear" w:color="auto" w:fill="auto"/>
            <w:noWrap/>
            <w:vAlign w:val="center"/>
          </w:tcPr>
          <w:p w14:paraId="62C9C18D">
            <w:pPr>
              <w:widowControl/>
              <w:jc w:val="center"/>
              <w:rPr>
                <w:sz w:val="15"/>
                <w:szCs w:val="15"/>
                <w:highlight w:val="none"/>
              </w:rPr>
            </w:pPr>
            <w:r>
              <w:rPr>
                <w:sz w:val="15"/>
                <w:szCs w:val="15"/>
                <w:highlight w:val="none"/>
              </w:rPr>
              <w:t>4.27</w:t>
            </w:r>
          </w:p>
        </w:tc>
        <w:tc>
          <w:tcPr>
            <w:tcW w:w="453" w:type="pct"/>
            <w:tcBorders>
              <w:top w:val="nil"/>
              <w:left w:val="nil"/>
              <w:bottom w:val="single" w:color="auto" w:sz="4" w:space="0"/>
              <w:right w:val="single" w:color="auto" w:sz="4" w:space="0"/>
            </w:tcBorders>
            <w:shd w:val="clear" w:color="auto" w:fill="auto"/>
            <w:noWrap/>
            <w:vAlign w:val="center"/>
          </w:tcPr>
          <w:p w14:paraId="71133C53">
            <w:pPr>
              <w:widowControl/>
              <w:jc w:val="center"/>
              <w:rPr>
                <w:sz w:val="15"/>
                <w:szCs w:val="15"/>
                <w:highlight w:val="none"/>
              </w:rPr>
            </w:pPr>
            <w:r>
              <w:rPr>
                <w:sz w:val="15"/>
                <w:szCs w:val="15"/>
                <w:highlight w:val="none"/>
              </w:rPr>
              <w:t>3.39</w:t>
            </w:r>
          </w:p>
        </w:tc>
        <w:tc>
          <w:tcPr>
            <w:tcW w:w="361" w:type="pct"/>
            <w:tcBorders>
              <w:top w:val="nil"/>
              <w:left w:val="nil"/>
              <w:bottom w:val="single" w:color="auto" w:sz="4" w:space="0"/>
              <w:right w:val="single" w:color="auto" w:sz="4" w:space="0"/>
            </w:tcBorders>
            <w:shd w:val="clear" w:color="auto" w:fill="auto"/>
            <w:noWrap/>
            <w:vAlign w:val="center"/>
          </w:tcPr>
          <w:p w14:paraId="09FE30E5">
            <w:pPr>
              <w:widowControl/>
              <w:jc w:val="center"/>
              <w:rPr>
                <w:sz w:val="15"/>
                <w:szCs w:val="15"/>
                <w:highlight w:val="none"/>
              </w:rPr>
            </w:pPr>
            <w:r>
              <w:rPr>
                <w:sz w:val="15"/>
                <w:szCs w:val="15"/>
                <w:highlight w:val="none"/>
              </w:rPr>
              <w:t>0.20</w:t>
            </w:r>
          </w:p>
        </w:tc>
        <w:tc>
          <w:tcPr>
            <w:tcW w:w="361" w:type="pct"/>
            <w:tcBorders>
              <w:top w:val="nil"/>
              <w:left w:val="nil"/>
              <w:bottom w:val="single" w:color="auto" w:sz="4" w:space="0"/>
              <w:right w:val="single" w:color="auto" w:sz="4" w:space="0"/>
            </w:tcBorders>
            <w:shd w:val="clear" w:color="auto" w:fill="auto"/>
            <w:noWrap/>
            <w:vAlign w:val="center"/>
          </w:tcPr>
          <w:p w14:paraId="77A674AA">
            <w:pPr>
              <w:widowControl/>
              <w:jc w:val="center"/>
              <w:rPr>
                <w:sz w:val="15"/>
                <w:szCs w:val="15"/>
                <w:highlight w:val="none"/>
              </w:rPr>
            </w:pPr>
            <w:r>
              <w:rPr>
                <w:sz w:val="15"/>
                <w:szCs w:val="15"/>
                <w:highlight w:val="none"/>
              </w:rPr>
              <w:t>0.44</w:t>
            </w:r>
          </w:p>
        </w:tc>
        <w:tc>
          <w:tcPr>
            <w:tcW w:w="361" w:type="pct"/>
            <w:tcBorders>
              <w:top w:val="nil"/>
              <w:left w:val="nil"/>
              <w:bottom w:val="single" w:color="auto" w:sz="4" w:space="0"/>
              <w:right w:val="single" w:color="auto" w:sz="4" w:space="0"/>
            </w:tcBorders>
            <w:shd w:val="clear" w:color="auto" w:fill="auto"/>
            <w:noWrap/>
            <w:vAlign w:val="center"/>
          </w:tcPr>
          <w:p w14:paraId="47D695CB">
            <w:pPr>
              <w:widowControl/>
              <w:jc w:val="center"/>
              <w:rPr>
                <w:sz w:val="15"/>
                <w:szCs w:val="15"/>
                <w:highlight w:val="none"/>
              </w:rPr>
            </w:pPr>
            <w:r>
              <w:rPr>
                <w:sz w:val="15"/>
                <w:szCs w:val="15"/>
                <w:highlight w:val="none"/>
              </w:rPr>
              <w:t>/</w:t>
            </w:r>
          </w:p>
        </w:tc>
      </w:tr>
      <w:tr w14:paraId="20D1AAFD">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6489DAAE">
            <w:pPr>
              <w:widowControl/>
              <w:jc w:val="center"/>
              <w:rPr>
                <w:sz w:val="15"/>
                <w:szCs w:val="15"/>
                <w:highlight w:val="none"/>
              </w:rPr>
            </w:pPr>
            <w:r>
              <w:rPr>
                <w:sz w:val="15"/>
                <w:szCs w:val="15"/>
                <w:highlight w:val="none"/>
              </w:rPr>
              <w:t>2025.02.27</w:t>
            </w:r>
          </w:p>
        </w:tc>
        <w:tc>
          <w:tcPr>
            <w:tcW w:w="306" w:type="pct"/>
            <w:tcBorders>
              <w:top w:val="nil"/>
              <w:left w:val="nil"/>
              <w:bottom w:val="single" w:color="auto" w:sz="4" w:space="0"/>
              <w:right w:val="single" w:color="auto" w:sz="4" w:space="0"/>
            </w:tcBorders>
            <w:shd w:val="clear" w:color="auto" w:fill="auto"/>
            <w:noWrap/>
            <w:vAlign w:val="center"/>
          </w:tcPr>
          <w:p w14:paraId="17972F16">
            <w:pPr>
              <w:widowControl/>
              <w:jc w:val="center"/>
              <w:rPr>
                <w:sz w:val="15"/>
                <w:szCs w:val="15"/>
                <w:highlight w:val="none"/>
              </w:rPr>
            </w:pPr>
            <w:r>
              <w:rPr>
                <w:sz w:val="15"/>
                <w:szCs w:val="15"/>
                <w:highlight w:val="none"/>
              </w:rPr>
              <w:t>11:00</w:t>
            </w:r>
          </w:p>
        </w:tc>
        <w:tc>
          <w:tcPr>
            <w:tcW w:w="368" w:type="pct"/>
            <w:tcBorders>
              <w:top w:val="nil"/>
              <w:left w:val="nil"/>
              <w:bottom w:val="single" w:color="auto" w:sz="4" w:space="0"/>
              <w:right w:val="single" w:color="auto" w:sz="4" w:space="0"/>
            </w:tcBorders>
            <w:shd w:val="clear" w:color="auto" w:fill="auto"/>
            <w:noWrap/>
            <w:vAlign w:val="center"/>
          </w:tcPr>
          <w:p w14:paraId="1DF62BB9">
            <w:pPr>
              <w:widowControl/>
              <w:jc w:val="center"/>
              <w:rPr>
                <w:sz w:val="15"/>
                <w:szCs w:val="15"/>
                <w:highlight w:val="none"/>
              </w:rPr>
            </w:pPr>
            <w:r>
              <w:rPr>
                <w:sz w:val="15"/>
                <w:szCs w:val="15"/>
                <w:highlight w:val="none"/>
              </w:rPr>
              <w:t>7.68</w:t>
            </w:r>
          </w:p>
        </w:tc>
        <w:tc>
          <w:tcPr>
            <w:tcW w:w="348" w:type="pct"/>
            <w:tcBorders>
              <w:top w:val="nil"/>
              <w:left w:val="nil"/>
              <w:bottom w:val="single" w:color="auto" w:sz="4" w:space="0"/>
              <w:right w:val="single" w:color="auto" w:sz="4" w:space="0"/>
            </w:tcBorders>
            <w:shd w:val="clear" w:color="auto" w:fill="auto"/>
            <w:noWrap/>
            <w:vAlign w:val="center"/>
          </w:tcPr>
          <w:p w14:paraId="07F80BB0">
            <w:pPr>
              <w:widowControl/>
              <w:jc w:val="center"/>
              <w:rPr>
                <w:sz w:val="15"/>
                <w:szCs w:val="15"/>
                <w:highlight w:val="none"/>
              </w:rPr>
            </w:pPr>
            <w:r>
              <w:rPr>
                <w:sz w:val="15"/>
                <w:szCs w:val="15"/>
                <w:highlight w:val="none"/>
              </w:rPr>
              <w:t>3.23</w:t>
            </w:r>
          </w:p>
        </w:tc>
        <w:tc>
          <w:tcPr>
            <w:tcW w:w="393" w:type="pct"/>
            <w:tcBorders>
              <w:top w:val="nil"/>
              <w:left w:val="nil"/>
              <w:bottom w:val="single" w:color="auto" w:sz="4" w:space="0"/>
              <w:right w:val="single" w:color="auto" w:sz="4" w:space="0"/>
            </w:tcBorders>
            <w:shd w:val="clear" w:color="auto" w:fill="auto"/>
            <w:noWrap/>
            <w:vAlign w:val="center"/>
          </w:tcPr>
          <w:p w14:paraId="51E50A3F">
            <w:pPr>
              <w:widowControl/>
              <w:jc w:val="center"/>
              <w:rPr>
                <w:sz w:val="15"/>
                <w:szCs w:val="15"/>
                <w:highlight w:val="none"/>
              </w:rPr>
            </w:pPr>
            <w:r>
              <w:rPr>
                <w:sz w:val="15"/>
                <w:szCs w:val="15"/>
                <w:highlight w:val="none"/>
              </w:rPr>
              <w:t>1447</w:t>
            </w:r>
          </w:p>
        </w:tc>
        <w:tc>
          <w:tcPr>
            <w:tcW w:w="375" w:type="pct"/>
            <w:tcBorders>
              <w:top w:val="nil"/>
              <w:left w:val="nil"/>
              <w:bottom w:val="single" w:color="auto" w:sz="4" w:space="0"/>
              <w:right w:val="single" w:color="auto" w:sz="4" w:space="0"/>
            </w:tcBorders>
            <w:shd w:val="clear" w:color="auto" w:fill="auto"/>
            <w:noWrap/>
            <w:vAlign w:val="center"/>
          </w:tcPr>
          <w:p w14:paraId="5AC6EC46">
            <w:pPr>
              <w:widowControl/>
              <w:jc w:val="center"/>
              <w:rPr>
                <w:sz w:val="15"/>
                <w:szCs w:val="15"/>
                <w:highlight w:val="none"/>
              </w:rPr>
            </w:pPr>
            <w:r>
              <w:rPr>
                <w:sz w:val="15"/>
                <w:szCs w:val="15"/>
                <w:highlight w:val="none"/>
              </w:rPr>
              <w:t>13.3</w:t>
            </w:r>
          </w:p>
        </w:tc>
        <w:tc>
          <w:tcPr>
            <w:tcW w:w="361" w:type="pct"/>
            <w:tcBorders>
              <w:top w:val="nil"/>
              <w:left w:val="nil"/>
              <w:bottom w:val="single" w:color="auto" w:sz="4" w:space="0"/>
              <w:right w:val="single" w:color="auto" w:sz="4" w:space="0"/>
            </w:tcBorders>
            <w:shd w:val="clear" w:color="auto" w:fill="auto"/>
            <w:noWrap/>
            <w:vAlign w:val="center"/>
          </w:tcPr>
          <w:p w14:paraId="1C632E05">
            <w:pPr>
              <w:widowControl/>
              <w:jc w:val="center"/>
              <w:rPr>
                <w:sz w:val="15"/>
                <w:szCs w:val="15"/>
                <w:highlight w:val="none"/>
              </w:rPr>
            </w:pPr>
            <w:r>
              <w:rPr>
                <w:sz w:val="15"/>
                <w:szCs w:val="15"/>
                <w:highlight w:val="none"/>
              </w:rPr>
              <w:t>8.40</w:t>
            </w:r>
          </w:p>
        </w:tc>
        <w:tc>
          <w:tcPr>
            <w:tcW w:w="361" w:type="pct"/>
            <w:tcBorders>
              <w:top w:val="nil"/>
              <w:left w:val="nil"/>
              <w:bottom w:val="single" w:color="auto" w:sz="4" w:space="0"/>
              <w:right w:val="single" w:color="auto" w:sz="4" w:space="0"/>
            </w:tcBorders>
            <w:shd w:val="clear" w:color="auto" w:fill="auto"/>
            <w:noWrap/>
            <w:vAlign w:val="center"/>
          </w:tcPr>
          <w:p w14:paraId="23E94192">
            <w:pPr>
              <w:widowControl/>
              <w:jc w:val="center"/>
              <w:rPr>
                <w:sz w:val="15"/>
                <w:szCs w:val="15"/>
                <w:highlight w:val="none"/>
              </w:rPr>
            </w:pPr>
            <w:r>
              <w:rPr>
                <w:sz w:val="15"/>
                <w:szCs w:val="15"/>
                <w:highlight w:val="none"/>
              </w:rPr>
              <w:t>183.64</w:t>
            </w:r>
          </w:p>
        </w:tc>
        <w:tc>
          <w:tcPr>
            <w:tcW w:w="453" w:type="pct"/>
            <w:tcBorders>
              <w:top w:val="nil"/>
              <w:left w:val="nil"/>
              <w:bottom w:val="single" w:color="auto" w:sz="4" w:space="0"/>
              <w:right w:val="single" w:color="auto" w:sz="4" w:space="0"/>
            </w:tcBorders>
            <w:shd w:val="clear" w:color="auto" w:fill="auto"/>
            <w:noWrap/>
            <w:vAlign w:val="center"/>
          </w:tcPr>
          <w:p w14:paraId="46854A04">
            <w:pPr>
              <w:widowControl/>
              <w:jc w:val="center"/>
              <w:rPr>
                <w:sz w:val="15"/>
                <w:szCs w:val="15"/>
                <w:highlight w:val="none"/>
              </w:rPr>
            </w:pPr>
            <w:r>
              <w:rPr>
                <w:sz w:val="15"/>
                <w:szCs w:val="15"/>
                <w:highlight w:val="none"/>
              </w:rPr>
              <w:t>4.17</w:t>
            </w:r>
          </w:p>
        </w:tc>
        <w:tc>
          <w:tcPr>
            <w:tcW w:w="453" w:type="pct"/>
            <w:tcBorders>
              <w:top w:val="nil"/>
              <w:left w:val="nil"/>
              <w:bottom w:val="single" w:color="auto" w:sz="4" w:space="0"/>
              <w:right w:val="single" w:color="auto" w:sz="4" w:space="0"/>
            </w:tcBorders>
            <w:shd w:val="clear" w:color="auto" w:fill="auto"/>
            <w:noWrap/>
            <w:vAlign w:val="center"/>
          </w:tcPr>
          <w:p w14:paraId="02755C57">
            <w:pPr>
              <w:widowControl/>
              <w:jc w:val="center"/>
              <w:rPr>
                <w:sz w:val="15"/>
                <w:szCs w:val="15"/>
                <w:highlight w:val="none"/>
              </w:rPr>
            </w:pPr>
            <w:r>
              <w:rPr>
                <w:sz w:val="15"/>
                <w:szCs w:val="15"/>
                <w:highlight w:val="none"/>
              </w:rPr>
              <w:t>4.52</w:t>
            </w:r>
          </w:p>
        </w:tc>
        <w:tc>
          <w:tcPr>
            <w:tcW w:w="361" w:type="pct"/>
            <w:tcBorders>
              <w:top w:val="nil"/>
              <w:left w:val="nil"/>
              <w:bottom w:val="single" w:color="auto" w:sz="4" w:space="0"/>
              <w:right w:val="single" w:color="auto" w:sz="4" w:space="0"/>
            </w:tcBorders>
            <w:shd w:val="clear" w:color="auto" w:fill="auto"/>
            <w:noWrap/>
            <w:vAlign w:val="center"/>
          </w:tcPr>
          <w:p w14:paraId="6B6423C2">
            <w:pPr>
              <w:widowControl/>
              <w:jc w:val="center"/>
              <w:rPr>
                <w:sz w:val="15"/>
                <w:szCs w:val="15"/>
                <w:highlight w:val="none"/>
              </w:rPr>
            </w:pPr>
            <w:r>
              <w:rPr>
                <w:sz w:val="15"/>
                <w:szCs w:val="15"/>
                <w:highlight w:val="none"/>
              </w:rPr>
              <w:t>0.10</w:t>
            </w:r>
          </w:p>
        </w:tc>
        <w:tc>
          <w:tcPr>
            <w:tcW w:w="36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BBCC57B">
            <w:pPr>
              <w:widowControl/>
              <w:jc w:val="center"/>
              <w:rPr>
                <w:sz w:val="15"/>
                <w:szCs w:val="15"/>
                <w:highlight w:val="none"/>
              </w:rPr>
            </w:pPr>
            <w:r>
              <w:rPr>
                <w:sz w:val="15"/>
                <w:szCs w:val="15"/>
                <w:highlight w:val="none"/>
              </w:rPr>
              <w:t>0.54</w:t>
            </w:r>
          </w:p>
        </w:tc>
        <w:tc>
          <w:tcPr>
            <w:tcW w:w="361" w:type="pct"/>
            <w:tcBorders>
              <w:top w:val="nil"/>
              <w:left w:val="nil"/>
              <w:bottom w:val="single" w:color="auto" w:sz="4" w:space="0"/>
              <w:right w:val="single" w:color="auto" w:sz="4" w:space="0"/>
            </w:tcBorders>
            <w:shd w:val="clear" w:color="auto" w:fill="auto"/>
            <w:noWrap/>
            <w:vAlign w:val="center"/>
          </w:tcPr>
          <w:p w14:paraId="13F10822">
            <w:pPr>
              <w:widowControl/>
              <w:jc w:val="center"/>
              <w:rPr>
                <w:sz w:val="15"/>
                <w:szCs w:val="15"/>
                <w:highlight w:val="none"/>
              </w:rPr>
            </w:pPr>
            <w:r>
              <w:rPr>
                <w:sz w:val="15"/>
                <w:szCs w:val="15"/>
                <w:highlight w:val="none"/>
              </w:rPr>
              <w:t>0.04</w:t>
            </w:r>
          </w:p>
        </w:tc>
      </w:tr>
      <w:tr w14:paraId="28BC6E8C">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26996CF3">
            <w:pPr>
              <w:widowControl/>
              <w:jc w:val="center"/>
              <w:rPr>
                <w:sz w:val="15"/>
                <w:szCs w:val="15"/>
                <w:highlight w:val="none"/>
              </w:rPr>
            </w:pPr>
            <w:r>
              <w:rPr>
                <w:sz w:val="15"/>
                <w:szCs w:val="15"/>
                <w:highlight w:val="none"/>
              </w:rPr>
              <w:t>2025.03.06</w:t>
            </w:r>
          </w:p>
        </w:tc>
        <w:tc>
          <w:tcPr>
            <w:tcW w:w="306" w:type="pct"/>
            <w:tcBorders>
              <w:top w:val="nil"/>
              <w:left w:val="nil"/>
              <w:bottom w:val="single" w:color="auto" w:sz="4" w:space="0"/>
              <w:right w:val="single" w:color="auto" w:sz="4" w:space="0"/>
            </w:tcBorders>
            <w:shd w:val="clear" w:color="auto" w:fill="auto"/>
            <w:noWrap/>
            <w:vAlign w:val="center"/>
          </w:tcPr>
          <w:p w14:paraId="66F5733A">
            <w:pPr>
              <w:widowControl/>
              <w:jc w:val="center"/>
              <w:rPr>
                <w:sz w:val="15"/>
                <w:szCs w:val="15"/>
                <w:highlight w:val="none"/>
              </w:rPr>
            </w:pPr>
            <w:r>
              <w:rPr>
                <w:sz w:val="15"/>
                <w:szCs w:val="15"/>
                <w:highlight w:val="none"/>
              </w:rPr>
              <w:t>10:52</w:t>
            </w:r>
          </w:p>
        </w:tc>
        <w:tc>
          <w:tcPr>
            <w:tcW w:w="368" w:type="pct"/>
            <w:tcBorders>
              <w:top w:val="nil"/>
              <w:left w:val="nil"/>
              <w:bottom w:val="single" w:color="auto" w:sz="4" w:space="0"/>
              <w:right w:val="single" w:color="auto" w:sz="4" w:space="0"/>
            </w:tcBorders>
            <w:shd w:val="clear" w:color="auto" w:fill="auto"/>
            <w:noWrap/>
            <w:vAlign w:val="center"/>
          </w:tcPr>
          <w:p w14:paraId="715266D0">
            <w:pPr>
              <w:widowControl/>
              <w:jc w:val="center"/>
              <w:rPr>
                <w:sz w:val="15"/>
                <w:szCs w:val="15"/>
                <w:highlight w:val="none"/>
              </w:rPr>
            </w:pPr>
            <w:r>
              <w:rPr>
                <w:sz w:val="15"/>
                <w:szCs w:val="15"/>
                <w:highlight w:val="none"/>
              </w:rPr>
              <w:t>7.66</w:t>
            </w:r>
          </w:p>
        </w:tc>
        <w:tc>
          <w:tcPr>
            <w:tcW w:w="348" w:type="pct"/>
            <w:tcBorders>
              <w:top w:val="nil"/>
              <w:left w:val="nil"/>
              <w:bottom w:val="single" w:color="auto" w:sz="4" w:space="0"/>
              <w:right w:val="single" w:color="auto" w:sz="4" w:space="0"/>
            </w:tcBorders>
            <w:shd w:val="clear" w:color="auto" w:fill="auto"/>
            <w:noWrap/>
            <w:vAlign w:val="center"/>
          </w:tcPr>
          <w:p w14:paraId="013F253D">
            <w:pPr>
              <w:widowControl/>
              <w:jc w:val="center"/>
              <w:rPr>
                <w:sz w:val="15"/>
                <w:szCs w:val="15"/>
                <w:highlight w:val="none"/>
              </w:rPr>
            </w:pPr>
            <w:r>
              <w:rPr>
                <w:sz w:val="15"/>
                <w:szCs w:val="15"/>
                <w:highlight w:val="none"/>
              </w:rPr>
              <w:t>3.57</w:t>
            </w:r>
          </w:p>
        </w:tc>
        <w:tc>
          <w:tcPr>
            <w:tcW w:w="393" w:type="pct"/>
            <w:tcBorders>
              <w:top w:val="nil"/>
              <w:left w:val="nil"/>
              <w:bottom w:val="single" w:color="auto" w:sz="4" w:space="0"/>
              <w:right w:val="single" w:color="auto" w:sz="4" w:space="0"/>
            </w:tcBorders>
            <w:shd w:val="clear" w:color="auto" w:fill="auto"/>
            <w:noWrap/>
            <w:vAlign w:val="center"/>
          </w:tcPr>
          <w:p w14:paraId="6E844962">
            <w:pPr>
              <w:widowControl/>
              <w:jc w:val="center"/>
              <w:rPr>
                <w:sz w:val="15"/>
                <w:szCs w:val="15"/>
                <w:highlight w:val="none"/>
              </w:rPr>
            </w:pPr>
            <w:r>
              <w:rPr>
                <w:sz w:val="15"/>
                <w:szCs w:val="15"/>
                <w:highlight w:val="none"/>
              </w:rPr>
              <w:t>1430</w:t>
            </w:r>
          </w:p>
        </w:tc>
        <w:tc>
          <w:tcPr>
            <w:tcW w:w="375" w:type="pct"/>
            <w:tcBorders>
              <w:top w:val="nil"/>
              <w:left w:val="nil"/>
              <w:bottom w:val="single" w:color="auto" w:sz="4" w:space="0"/>
              <w:right w:val="single" w:color="auto" w:sz="4" w:space="0"/>
            </w:tcBorders>
            <w:shd w:val="clear" w:color="auto" w:fill="auto"/>
            <w:noWrap/>
            <w:vAlign w:val="center"/>
          </w:tcPr>
          <w:p w14:paraId="64002598">
            <w:pPr>
              <w:widowControl/>
              <w:jc w:val="center"/>
              <w:rPr>
                <w:sz w:val="15"/>
                <w:szCs w:val="15"/>
                <w:highlight w:val="none"/>
              </w:rPr>
            </w:pPr>
            <w:r>
              <w:rPr>
                <w:sz w:val="15"/>
                <w:szCs w:val="15"/>
                <w:highlight w:val="none"/>
              </w:rPr>
              <w:t>23.1</w:t>
            </w:r>
          </w:p>
        </w:tc>
        <w:tc>
          <w:tcPr>
            <w:tcW w:w="361" w:type="pct"/>
            <w:tcBorders>
              <w:top w:val="nil"/>
              <w:left w:val="nil"/>
              <w:bottom w:val="single" w:color="auto" w:sz="4" w:space="0"/>
              <w:right w:val="single" w:color="auto" w:sz="4" w:space="0"/>
            </w:tcBorders>
            <w:shd w:val="clear" w:color="auto" w:fill="auto"/>
            <w:noWrap/>
            <w:vAlign w:val="center"/>
          </w:tcPr>
          <w:p w14:paraId="74AF1A4C">
            <w:pPr>
              <w:widowControl/>
              <w:jc w:val="center"/>
              <w:rPr>
                <w:sz w:val="15"/>
                <w:szCs w:val="15"/>
                <w:highlight w:val="none"/>
              </w:rPr>
            </w:pPr>
            <w:r>
              <w:rPr>
                <w:sz w:val="15"/>
                <w:szCs w:val="15"/>
                <w:highlight w:val="none"/>
              </w:rPr>
              <w:t>11.20</w:t>
            </w:r>
          </w:p>
        </w:tc>
        <w:tc>
          <w:tcPr>
            <w:tcW w:w="361" w:type="pct"/>
            <w:tcBorders>
              <w:top w:val="nil"/>
              <w:left w:val="nil"/>
              <w:bottom w:val="single" w:color="auto" w:sz="4" w:space="0"/>
              <w:right w:val="single" w:color="auto" w:sz="4" w:space="0"/>
            </w:tcBorders>
            <w:shd w:val="clear" w:color="auto" w:fill="auto"/>
            <w:noWrap/>
            <w:vAlign w:val="center"/>
          </w:tcPr>
          <w:p w14:paraId="7C90CCE4">
            <w:pPr>
              <w:widowControl/>
              <w:jc w:val="center"/>
              <w:rPr>
                <w:sz w:val="15"/>
                <w:szCs w:val="15"/>
                <w:highlight w:val="none"/>
              </w:rPr>
            </w:pPr>
            <w:r>
              <w:rPr>
                <w:sz w:val="15"/>
                <w:szCs w:val="15"/>
                <w:highlight w:val="none"/>
              </w:rPr>
              <w:t>205.36</w:t>
            </w:r>
          </w:p>
        </w:tc>
        <w:tc>
          <w:tcPr>
            <w:tcW w:w="453" w:type="pct"/>
            <w:tcBorders>
              <w:top w:val="nil"/>
              <w:left w:val="nil"/>
              <w:bottom w:val="single" w:color="auto" w:sz="4" w:space="0"/>
              <w:right w:val="single" w:color="auto" w:sz="4" w:space="0"/>
            </w:tcBorders>
            <w:shd w:val="clear" w:color="auto" w:fill="auto"/>
            <w:noWrap/>
            <w:vAlign w:val="center"/>
          </w:tcPr>
          <w:p w14:paraId="5A114D9F">
            <w:pPr>
              <w:widowControl/>
              <w:jc w:val="center"/>
              <w:rPr>
                <w:sz w:val="15"/>
                <w:szCs w:val="15"/>
                <w:highlight w:val="none"/>
              </w:rPr>
            </w:pPr>
            <w:r>
              <w:rPr>
                <w:sz w:val="15"/>
                <w:szCs w:val="15"/>
                <w:highlight w:val="none"/>
              </w:rPr>
              <w:t>4.17</w:t>
            </w:r>
          </w:p>
        </w:tc>
        <w:tc>
          <w:tcPr>
            <w:tcW w:w="453" w:type="pct"/>
            <w:tcBorders>
              <w:top w:val="nil"/>
              <w:left w:val="nil"/>
              <w:bottom w:val="single" w:color="auto" w:sz="4" w:space="0"/>
              <w:right w:val="single" w:color="auto" w:sz="4" w:space="0"/>
            </w:tcBorders>
            <w:shd w:val="clear" w:color="auto" w:fill="auto"/>
            <w:noWrap/>
            <w:vAlign w:val="center"/>
          </w:tcPr>
          <w:p w14:paraId="64DBC445">
            <w:pPr>
              <w:widowControl/>
              <w:jc w:val="center"/>
              <w:rPr>
                <w:sz w:val="15"/>
                <w:szCs w:val="15"/>
                <w:highlight w:val="none"/>
              </w:rPr>
            </w:pPr>
            <w:r>
              <w:rPr>
                <w:sz w:val="15"/>
                <w:szCs w:val="15"/>
                <w:highlight w:val="none"/>
              </w:rPr>
              <w:t>4.93</w:t>
            </w:r>
          </w:p>
        </w:tc>
        <w:tc>
          <w:tcPr>
            <w:tcW w:w="361" w:type="pct"/>
            <w:tcBorders>
              <w:top w:val="nil"/>
              <w:left w:val="nil"/>
              <w:bottom w:val="single" w:color="auto" w:sz="4" w:space="0"/>
              <w:right w:val="single" w:color="auto" w:sz="4" w:space="0"/>
            </w:tcBorders>
            <w:shd w:val="clear" w:color="auto" w:fill="auto"/>
            <w:noWrap/>
            <w:vAlign w:val="center"/>
          </w:tcPr>
          <w:p w14:paraId="5E058067">
            <w:pPr>
              <w:widowControl/>
              <w:jc w:val="center"/>
              <w:rPr>
                <w:sz w:val="15"/>
                <w:szCs w:val="15"/>
                <w:highlight w:val="none"/>
              </w:rPr>
            </w:pPr>
            <w:r>
              <w:rPr>
                <w:sz w:val="15"/>
                <w:szCs w:val="15"/>
                <w:highlight w:val="none"/>
              </w:rPr>
              <w:t>0.20</w:t>
            </w:r>
          </w:p>
        </w:tc>
        <w:tc>
          <w:tcPr>
            <w:tcW w:w="36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41BDA7E">
            <w:pPr>
              <w:widowControl/>
              <w:jc w:val="center"/>
              <w:rPr>
                <w:sz w:val="15"/>
                <w:szCs w:val="15"/>
                <w:highlight w:val="none"/>
              </w:rPr>
            </w:pPr>
            <w:r>
              <w:rPr>
                <w:sz w:val="15"/>
                <w:szCs w:val="15"/>
                <w:highlight w:val="none"/>
              </w:rPr>
              <w:t>0.60</w:t>
            </w:r>
          </w:p>
        </w:tc>
        <w:tc>
          <w:tcPr>
            <w:tcW w:w="361" w:type="pct"/>
            <w:tcBorders>
              <w:top w:val="nil"/>
              <w:left w:val="nil"/>
              <w:bottom w:val="single" w:color="auto" w:sz="4" w:space="0"/>
              <w:right w:val="single" w:color="auto" w:sz="4" w:space="0"/>
            </w:tcBorders>
            <w:shd w:val="clear" w:color="auto" w:fill="auto"/>
            <w:noWrap/>
            <w:vAlign w:val="center"/>
          </w:tcPr>
          <w:p w14:paraId="0B99DCE8">
            <w:pPr>
              <w:widowControl/>
              <w:jc w:val="center"/>
              <w:rPr>
                <w:sz w:val="15"/>
                <w:szCs w:val="15"/>
                <w:highlight w:val="none"/>
              </w:rPr>
            </w:pPr>
            <w:r>
              <w:rPr>
                <w:sz w:val="15"/>
                <w:szCs w:val="15"/>
                <w:highlight w:val="none"/>
              </w:rPr>
              <w:t>/</w:t>
            </w:r>
          </w:p>
        </w:tc>
      </w:tr>
      <w:tr w14:paraId="552BE22E">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5FE9C886">
            <w:pPr>
              <w:widowControl/>
              <w:jc w:val="center"/>
              <w:rPr>
                <w:sz w:val="15"/>
                <w:szCs w:val="15"/>
                <w:highlight w:val="none"/>
              </w:rPr>
            </w:pPr>
            <w:r>
              <w:rPr>
                <w:sz w:val="15"/>
                <w:szCs w:val="15"/>
                <w:highlight w:val="none"/>
              </w:rPr>
              <w:t>2025.03.13</w:t>
            </w:r>
          </w:p>
        </w:tc>
        <w:tc>
          <w:tcPr>
            <w:tcW w:w="306" w:type="pct"/>
            <w:tcBorders>
              <w:top w:val="nil"/>
              <w:left w:val="nil"/>
              <w:bottom w:val="single" w:color="auto" w:sz="4" w:space="0"/>
              <w:right w:val="single" w:color="auto" w:sz="4" w:space="0"/>
            </w:tcBorders>
            <w:shd w:val="clear" w:color="auto" w:fill="auto"/>
            <w:noWrap/>
            <w:vAlign w:val="center"/>
          </w:tcPr>
          <w:p w14:paraId="26BEAA74">
            <w:pPr>
              <w:widowControl/>
              <w:jc w:val="center"/>
              <w:rPr>
                <w:sz w:val="15"/>
                <w:szCs w:val="15"/>
                <w:highlight w:val="none"/>
              </w:rPr>
            </w:pPr>
            <w:r>
              <w:rPr>
                <w:sz w:val="15"/>
                <w:szCs w:val="15"/>
                <w:highlight w:val="none"/>
              </w:rPr>
              <w:t>11:00</w:t>
            </w:r>
          </w:p>
        </w:tc>
        <w:tc>
          <w:tcPr>
            <w:tcW w:w="368" w:type="pct"/>
            <w:tcBorders>
              <w:top w:val="nil"/>
              <w:left w:val="nil"/>
              <w:bottom w:val="single" w:color="auto" w:sz="4" w:space="0"/>
              <w:right w:val="single" w:color="auto" w:sz="4" w:space="0"/>
            </w:tcBorders>
            <w:shd w:val="clear" w:color="auto" w:fill="auto"/>
            <w:noWrap/>
            <w:vAlign w:val="center"/>
          </w:tcPr>
          <w:p w14:paraId="7B9DDB96">
            <w:pPr>
              <w:widowControl/>
              <w:jc w:val="center"/>
              <w:rPr>
                <w:sz w:val="15"/>
                <w:szCs w:val="15"/>
                <w:highlight w:val="none"/>
              </w:rPr>
            </w:pPr>
            <w:r>
              <w:rPr>
                <w:sz w:val="15"/>
                <w:szCs w:val="15"/>
                <w:highlight w:val="none"/>
              </w:rPr>
              <w:t>7.17</w:t>
            </w:r>
          </w:p>
        </w:tc>
        <w:tc>
          <w:tcPr>
            <w:tcW w:w="348" w:type="pct"/>
            <w:tcBorders>
              <w:top w:val="nil"/>
              <w:left w:val="nil"/>
              <w:bottom w:val="single" w:color="auto" w:sz="4" w:space="0"/>
              <w:right w:val="single" w:color="auto" w:sz="4" w:space="0"/>
            </w:tcBorders>
            <w:shd w:val="clear" w:color="auto" w:fill="auto"/>
            <w:noWrap/>
            <w:vAlign w:val="center"/>
          </w:tcPr>
          <w:p w14:paraId="71FDF337">
            <w:pPr>
              <w:widowControl/>
              <w:jc w:val="center"/>
              <w:rPr>
                <w:sz w:val="15"/>
                <w:szCs w:val="15"/>
                <w:highlight w:val="none"/>
              </w:rPr>
            </w:pPr>
            <w:r>
              <w:rPr>
                <w:sz w:val="15"/>
                <w:szCs w:val="15"/>
                <w:highlight w:val="none"/>
              </w:rPr>
              <w:t>2.75</w:t>
            </w:r>
          </w:p>
        </w:tc>
        <w:tc>
          <w:tcPr>
            <w:tcW w:w="393" w:type="pct"/>
            <w:tcBorders>
              <w:top w:val="nil"/>
              <w:left w:val="nil"/>
              <w:bottom w:val="single" w:color="auto" w:sz="4" w:space="0"/>
              <w:right w:val="single" w:color="auto" w:sz="4" w:space="0"/>
            </w:tcBorders>
            <w:shd w:val="clear" w:color="auto" w:fill="auto"/>
            <w:noWrap/>
            <w:vAlign w:val="center"/>
          </w:tcPr>
          <w:p w14:paraId="36686A36">
            <w:pPr>
              <w:widowControl/>
              <w:jc w:val="center"/>
              <w:rPr>
                <w:sz w:val="15"/>
                <w:szCs w:val="15"/>
                <w:highlight w:val="none"/>
              </w:rPr>
            </w:pPr>
            <w:r>
              <w:rPr>
                <w:sz w:val="15"/>
                <w:szCs w:val="15"/>
                <w:highlight w:val="none"/>
              </w:rPr>
              <w:t>1420</w:t>
            </w:r>
          </w:p>
        </w:tc>
        <w:tc>
          <w:tcPr>
            <w:tcW w:w="375" w:type="pct"/>
            <w:tcBorders>
              <w:top w:val="nil"/>
              <w:left w:val="nil"/>
              <w:bottom w:val="single" w:color="auto" w:sz="4" w:space="0"/>
              <w:right w:val="single" w:color="auto" w:sz="4" w:space="0"/>
            </w:tcBorders>
            <w:shd w:val="clear" w:color="auto" w:fill="auto"/>
            <w:noWrap/>
            <w:vAlign w:val="center"/>
          </w:tcPr>
          <w:p w14:paraId="5EBF5C60">
            <w:pPr>
              <w:widowControl/>
              <w:jc w:val="center"/>
              <w:rPr>
                <w:sz w:val="15"/>
                <w:szCs w:val="15"/>
                <w:highlight w:val="none"/>
              </w:rPr>
            </w:pPr>
            <w:r>
              <w:rPr>
                <w:sz w:val="15"/>
                <w:szCs w:val="15"/>
                <w:highlight w:val="none"/>
              </w:rPr>
              <w:t>28.8</w:t>
            </w:r>
          </w:p>
        </w:tc>
        <w:tc>
          <w:tcPr>
            <w:tcW w:w="361" w:type="pct"/>
            <w:tcBorders>
              <w:top w:val="nil"/>
              <w:left w:val="nil"/>
              <w:bottom w:val="single" w:color="auto" w:sz="4" w:space="0"/>
              <w:right w:val="single" w:color="auto" w:sz="4" w:space="0"/>
            </w:tcBorders>
            <w:shd w:val="clear" w:color="auto" w:fill="auto"/>
            <w:noWrap/>
            <w:vAlign w:val="center"/>
          </w:tcPr>
          <w:p w14:paraId="6E47C901">
            <w:pPr>
              <w:widowControl/>
              <w:jc w:val="center"/>
              <w:rPr>
                <w:sz w:val="15"/>
                <w:szCs w:val="15"/>
                <w:highlight w:val="none"/>
              </w:rPr>
            </w:pPr>
            <w:r>
              <w:rPr>
                <w:sz w:val="15"/>
                <w:szCs w:val="15"/>
                <w:highlight w:val="none"/>
              </w:rPr>
              <w:t>8.30</w:t>
            </w:r>
          </w:p>
        </w:tc>
        <w:tc>
          <w:tcPr>
            <w:tcW w:w="361" w:type="pct"/>
            <w:tcBorders>
              <w:top w:val="nil"/>
              <w:left w:val="nil"/>
              <w:bottom w:val="single" w:color="auto" w:sz="4" w:space="0"/>
              <w:right w:val="single" w:color="auto" w:sz="4" w:space="0"/>
            </w:tcBorders>
            <w:shd w:val="clear" w:color="auto" w:fill="auto"/>
            <w:noWrap/>
            <w:vAlign w:val="center"/>
          </w:tcPr>
          <w:p w14:paraId="52F72E69">
            <w:pPr>
              <w:widowControl/>
              <w:jc w:val="center"/>
              <w:rPr>
                <w:sz w:val="15"/>
                <w:szCs w:val="15"/>
                <w:highlight w:val="none"/>
              </w:rPr>
            </w:pPr>
            <w:r>
              <w:rPr>
                <w:sz w:val="15"/>
                <w:szCs w:val="15"/>
                <w:highlight w:val="none"/>
              </w:rPr>
              <w:t>199.31</w:t>
            </w:r>
          </w:p>
        </w:tc>
        <w:tc>
          <w:tcPr>
            <w:tcW w:w="453" w:type="pct"/>
            <w:tcBorders>
              <w:top w:val="nil"/>
              <w:left w:val="nil"/>
              <w:bottom w:val="single" w:color="auto" w:sz="4" w:space="0"/>
              <w:right w:val="single" w:color="auto" w:sz="4" w:space="0"/>
            </w:tcBorders>
            <w:shd w:val="clear" w:color="auto" w:fill="auto"/>
            <w:noWrap/>
            <w:vAlign w:val="center"/>
          </w:tcPr>
          <w:p w14:paraId="6FBC6681">
            <w:pPr>
              <w:widowControl/>
              <w:jc w:val="center"/>
              <w:rPr>
                <w:sz w:val="15"/>
                <w:szCs w:val="15"/>
                <w:highlight w:val="none"/>
              </w:rPr>
            </w:pPr>
            <w:r>
              <w:rPr>
                <w:sz w:val="15"/>
                <w:szCs w:val="15"/>
                <w:highlight w:val="none"/>
              </w:rPr>
              <w:t>3.98</w:t>
            </w:r>
          </w:p>
        </w:tc>
        <w:tc>
          <w:tcPr>
            <w:tcW w:w="453" w:type="pct"/>
            <w:tcBorders>
              <w:top w:val="nil"/>
              <w:left w:val="nil"/>
              <w:bottom w:val="single" w:color="auto" w:sz="4" w:space="0"/>
              <w:right w:val="single" w:color="auto" w:sz="4" w:space="0"/>
            </w:tcBorders>
            <w:shd w:val="clear" w:color="auto" w:fill="auto"/>
            <w:noWrap/>
            <w:vAlign w:val="center"/>
          </w:tcPr>
          <w:p w14:paraId="29B56670">
            <w:pPr>
              <w:widowControl/>
              <w:jc w:val="center"/>
              <w:rPr>
                <w:sz w:val="15"/>
                <w:szCs w:val="15"/>
                <w:highlight w:val="none"/>
              </w:rPr>
            </w:pPr>
            <w:r>
              <w:rPr>
                <w:sz w:val="15"/>
                <w:szCs w:val="15"/>
                <w:highlight w:val="none"/>
              </w:rPr>
              <w:t>3.19</w:t>
            </w:r>
          </w:p>
        </w:tc>
        <w:tc>
          <w:tcPr>
            <w:tcW w:w="361" w:type="pct"/>
            <w:tcBorders>
              <w:top w:val="nil"/>
              <w:left w:val="nil"/>
              <w:bottom w:val="single" w:color="auto" w:sz="4" w:space="0"/>
              <w:right w:val="single" w:color="auto" w:sz="4" w:space="0"/>
            </w:tcBorders>
            <w:shd w:val="clear" w:color="auto" w:fill="auto"/>
            <w:noWrap/>
            <w:vAlign w:val="center"/>
          </w:tcPr>
          <w:p w14:paraId="2F27AF08">
            <w:pPr>
              <w:widowControl/>
              <w:jc w:val="center"/>
              <w:rPr>
                <w:sz w:val="15"/>
                <w:szCs w:val="15"/>
                <w:highlight w:val="none"/>
              </w:rPr>
            </w:pPr>
            <w:r>
              <w:rPr>
                <w:sz w:val="15"/>
                <w:szCs w:val="15"/>
                <w:highlight w:val="none"/>
              </w:rPr>
              <w:t>0.30</w:t>
            </w:r>
          </w:p>
        </w:tc>
        <w:tc>
          <w:tcPr>
            <w:tcW w:w="361" w:type="pct"/>
            <w:tcBorders>
              <w:top w:val="nil"/>
              <w:left w:val="nil"/>
              <w:bottom w:val="single" w:color="auto" w:sz="4" w:space="0"/>
              <w:right w:val="single" w:color="auto" w:sz="4" w:space="0"/>
            </w:tcBorders>
            <w:shd w:val="clear" w:color="auto" w:fill="auto"/>
            <w:noWrap/>
            <w:vAlign w:val="center"/>
          </w:tcPr>
          <w:p w14:paraId="20727F4E">
            <w:pPr>
              <w:widowControl/>
              <w:jc w:val="center"/>
              <w:rPr>
                <w:sz w:val="15"/>
                <w:szCs w:val="15"/>
                <w:highlight w:val="none"/>
              </w:rPr>
            </w:pPr>
            <w:r>
              <w:rPr>
                <w:sz w:val="15"/>
                <w:szCs w:val="15"/>
                <w:highlight w:val="none"/>
              </w:rPr>
              <w:t>0.47</w:t>
            </w:r>
          </w:p>
        </w:tc>
        <w:tc>
          <w:tcPr>
            <w:tcW w:w="361" w:type="pct"/>
            <w:tcBorders>
              <w:top w:val="nil"/>
              <w:left w:val="nil"/>
              <w:bottom w:val="single" w:color="auto" w:sz="4" w:space="0"/>
              <w:right w:val="single" w:color="auto" w:sz="4" w:space="0"/>
            </w:tcBorders>
            <w:shd w:val="clear" w:color="auto" w:fill="auto"/>
            <w:noWrap/>
            <w:vAlign w:val="center"/>
          </w:tcPr>
          <w:p w14:paraId="638A8C0E">
            <w:pPr>
              <w:widowControl/>
              <w:jc w:val="center"/>
              <w:rPr>
                <w:sz w:val="15"/>
                <w:szCs w:val="15"/>
                <w:highlight w:val="none"/>
              </w:rPr>
            </w:pPr>
            <w:r>
              <w:rPr>
                <w:sz w:val="15"/>
                <w:szCs w:val="15"/>
                <w:highlight w:val="none"/>
              </w:rPr>
              <w:t>/</w:t>
            </w:r>
          </w:p>
        </w:tc>
      </w:tr>
      <w:tr w14:paraId="445A0B2B">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0F90EA89">
            <w:pPr>
              <w:widowControl/>
              <w:jc w:val="center"/>
              <w:rPr>
                <w:sz w:val="15"/>
                <w:szCs w:val="15"/>
                <w:highlight w:val="none"/>
              </w:rPr>
            </w:pPr>
            <w:r>
              <w:rPr>
                <w:sz w:val="15"/>
                <w:szCs w:val="15"/>
                <w:highlight w:val="none"/>
              </w:rPr>
              <w:t>2025.03.20</w:t>
            </w:r>
          </w:p>
        </w:tc>
        <w:tc>
          <w:tcPr>
            <w:tcW w:w="306" w:type="pct"/>
            <w:tcBorders>
              <w:top w:val="nil"/>
              <w:left w:val="nil"/>
              <w:bottom w:val="single" w:color="auto" w:sz="4" w:space="0"/>
              <w:right w:val="single" w:color="auto" w:sz="4" w:space="0"/>
            </w:tcBorders>
            <w:shd w:val="clear" w:color="auto" w:fill="auto"/>
            <w:noWrap/>
            <w:vAlign w:val="center"/>
          </w:tcPr>
          <w:p w14:paraId="45824BDB">
            <w:pPr>
              <w:widowControl/>
              <w:jc w:val="center"/>
              <w:rPr>
                <w:sz w:val="15"/>
                <w:szCs w:val="15"/>
                <w:highlight w:val="none"/>
              </w:rPr>
            </w:pPr>
            <w:r>
              <w:rPr>
                <w:sz w:val="15"/>
                <w:szCs w:val="15"/>
                <w:highlight w:val="none"/>
              </w:rPr>
              <w:t>11:00</w:t>
            </w:r>
          </w:p>
        </w:tc>
        <w:tc>
          <w:tcPr>
            <w:tcW w:w="368" w:type="pct"/>
            <w:tcBorders>
              <w:top w:val="nil"/>
              <w:left w:val="nil"/>
              <w:bottom w:val="single" w:color="auto" w:sz="4" w:space="0"/>
              <w:right w:val="single" w:color="auto" w:sz="4" w:space="0"/>
            </w:tcBorders>
            <w:shd w:val="clear" w:color="auto" w:fill="auto"/>
            <w:noWrap/>
            <w:vAlign w:val="center"/>
          </w:tcPr>
          <w:p w14:paraId="32A4F257">
            <w:pPr>
              <w:widowControl/>
              <w:jc w:val="center"/>
              <w:rPr>
                <w:sz w:val="15"/>
                <w:szCs w:val="15"/>
                <w:highlight w:val="none"/>
              </w:rPr>
            </w:pPr>
            <w:r>
              <w:rPr>
                <w:sz w:val="15"/>
                <w:szCs w:val="15"/>
                <w:highlight w:val="none"/>
              </w:rPr>
              <w:t>6.96</w:t>
            </w:r>
          </w:p>
        </w:tc>
        <w:tc>
          <w:tcPr>
            <w:tcW w:w="348" w:type="pct"/>
            <w:tcBorders>
              <w:top w:val="nil"/>
              <w:left w:val="nil"/>
              <w:bottom w:val="single" w:color="auto" w:sz="4" w:space="0"/>
              <w:right w:val="single" w:color="auto" w:sz="4" w:space="0"/>
            </w:tcBorders>
            <w:shd w:val="clear" w:color="auto" w:fill="auto"/>
            <w:noWrap/>
            <w:vAlign w:val="center"/>
          </w:tcPr>
          <w:p w14:paraId="7CF1CF04">
            <w:pPr>
              <w:widowControl/>
              <w:jc w:val="center"/>
              <w:rPr>
                <w:sz w:val="15"/>
                <w:szCs w:val="15"/>
                <w:highlight w:val="none"/>
              </w:rPr>
            </w:pPr>
            <w:r>
              <w:rPr>
                <w:sz w:val="15"/>
                <w:szCs w:val="15"/>
                <w:highlight w:val="none"/>
              </w:rPr>
              <w:t>3.5</w:t>
            </w:r>
          </w:p>
        </w:tc>
        <w:tc>
          <w:tcPr>
            <w:tcW w:w="393" w:type="pct"/>
            <w:tcBorders>
              <w:top w:val="nil"/>
              <w:left w:val="nil"/>
              <w:bottom w:val="single" w:color="auto" w:sz="4" w:space="0"/>
              <w:right w:val="single" w:color="auto" w:sz="4" w:space="0"/>
            </w:tcBorders>
            <w:shd w:val="clear" w:color="auto" w:fill="auto"/>
            <w:noWrap/>
            <w:vAlign w:val="center"/>
          </w:tcPr>
          <w:p w14:paraId="639FBD5E">
            <w:pPr>
              <w:widowControl/>
              <w:jc w:val="center"/>
              <w:rPr>
                <w:sz w:val="15"/>
                <w:szCs w:val="15"/>
                <w:highlight w:val="none"/>
              </w:rPr>
            </w:pPr>
            <w:r>
              <w:rPr>
                <w:sz w:val="15"/>
                <w:szCs w:val="15"/>
                <w:highlight w:val="none"/>
              </w:rPr>
              <w:t>1466</w:t>
            </w:r>
          </w:p>
        </w:tc>
        <w:tc>
          <w:tcPr>
            <w:tcW w:w="375" w:type="pct"/>
            <w:tcBorders>
              <w:top w:val="nil"/>
              <w:left w:val="nil"/>
              <w:bottom w:val="single" w:color="auto" w:sz="4" w:space="0"/>
              <w:right w:val="single" w:color="auto" w:sz="4" w:space="0"/>
            </w:tcBorders>
            <w:shd w:val="clear" w:color="auto" w:fill="auto"/>
            <w:noWrap/>
            <w:vAlign w:val="center"/>
          </w:tcPr>
          <w:p w14:paraId="0230B52A">
            <w:pPr>
              <w:widowControl/>
              <w:jc w:val="center"/>
              <w:rPr>
                <w:sz w:val="15"/>
                <w:szCs w:val="15"/>
                <w:highlight w:val="none"/>
              </w:rPr>
            </w:pPr>
            <w:r>
              <w:rPr>
                <w:sz w:val="15"/>
                <w:szCs w:val="15"/>
                <w:highlight w:val="none"/>
              </w:rPr>
              <w:t>17.8</w:t>
            </w:r>
          </w:p>
        </w:tc>
        <w:tc>
          <w:tcPr>
            <w:tcW w:w="361" w:type="pct"/>
            <w:tcBorders>
              <w:top w:val="nil"/>
              <w:left w:val="nil"/>
              <w:bottom w:val="single" w:color="auto" w:sz="4" w:space="0"/>
              <w:right w:val="single" w:color="auto" w:sz="4" w:space="0"/>
            </w:tcBorders>
            <w:shd w:val="clear" w:color="auto" w:fill="auto"/>
            <w:noWrap/>
            <w:vAlign w:val="center"/>
          </w:tcPr>
          <w:p w14:paraId="21A2C2F5">
            <w:pPr>
              <w:widowControl/>
              <w:jc w:val="center"/>
              <w:rPr>
                <w:sz w:val="15"/>
                <w:szCs w:val="15"/>
                <w:highlight w:val="none"/>
              </w:rPr>
            </w:pPr>
            <w:r>
              <w:rPr>
                <w:sz w:val="15"/>
                <w:szCs w:val="15"/>
                <w:highlight w:val="none"/>
              </w:rPr>
              <w:t>6.00</w:t>
            </w:r>
          </w:p>
        </w:tc>
        <w:tc>
          <w:tcPr>
            <w:tcW w:w="361" w:type="pct"/>
            <w:tcBorders>
              <w:top w:val="nil"/>
              <w:left w:val="nil"/>
              <w:bottom w:val="single" w:color="auto" w:sz="4" w:space="0"/>
              <w:right w:val="single" w:color="auto" w:sz="4" w:space="0"/>
            </w:tcBorders>
            <w:shd w:val="clear" w:color="auto" w:fill="auto"/>
            <w:noWrap/>
            <w:vAlign w:val="center"/>
          </w:tcPr>
          <w:p w14:paraId="7C1DFB68">
            <w:pPr>
              <w:widowControl/>
              <w:jc w:val="center"/>
              <w:rPr>
                <w:sz w:val="15"/>
                <w:szCs w:val="15"/>
                <w:highlight w:val="none"/>
              </w:rPr>
            </w:pPr>
            <w:r>
              <w:rPr>
                <w:sz w:val="15"/>
                <w:szCs w:val="15"/>
                <w:highlight w:val="none"/>
              </w:rPr>
              <w:t>230.63</w:t>
            </w:r>
          </w:p>
        </w:tc>
        <w:tc>
          <w:tcPr>
            <w:tcW w:w="453" w:type="pct"/>
            <w:tcBorders>
              <w:top w:val="nil"/>
              <w:left w:val="nil"/>
              <w:bottom w:val="single" w:color="auto" w:sz="4" w:space="0"/>
              <w:right w:val="single" w:color="auto" w:sz="4" w:space="0"/>
            </w:tcBorders>
            <w:shd w:val="clear" w:color="auto" w:fill="auto"/>
            <w:noWrap/>
            <w:vAlign w:val="center"/>
          </w:tcPr>
          <w:p w14:paraId="2542C3C9">
            <w:pPr>
              <w:widowControl/>
              <w:jc w:val="center"/>
              <w:rPr>
                <w:sz w:val="15"/>
                <w:szCs w:val="15"/>
                <w:highlight w:val="none"/>
              </w:rPr>
            </w:pPr>
            <w:r>
              <w:rPr>
                <w:sz w:val="15"/>
                <w:szCs w:val="15"/>
                <w:highlight w:val="none"/>
              </w:rPr>
              <w:t>4.37</w:t>
            </w:r>
          </w:p>
        </w:tc>
        <w:tc>
          <w:tcPr>
            <w:tcW w:w="453" w:type="pct"/>
            <w:tcBorders>
              <w:top w:val="nil"/>
              <w:left w:val="nil"/>
              <w:bottom w:val="single" w:color="auto" w:sz="4" w:space="0"/>
              <w:right w:val="single" w:color="auto" w:sz="4" w:space="0"/>
            </w:tcBorders>
            <w:shd w:val="clear" w:color="auto" w:fill="auto"/>
            <w:noWrap/>
            <w:vAlign w:val="center"/>
          </w:tcPr>
          <w:p w14:paraId="0D5DCB5E">
            <w:pPr>
              <w:widowControl/>
              <w:jc w:val="center"/>
              <w:rPr>
                <w:sz w:val="15"/>
                <w:szCs w:val="15"/>
                <w:highlight w:val="none"/>
              </w:rPr>
            </w:pPr>
            <w:r>
              <w:rPr>
                <w:sz w:val="15"/>
                <w:szCs w:val="15"/>
                <w:highlight w:val="none"/>
              </w:rPr>
              <w:t>3.19</w:t>
            </w:r>
          </w:p>
        </w:tc>
        <w:tc>
          <w:tcPr>
            <w:tcW w:w="361" w:type="pct"/>
            <w:tcBorders>
              <w:top w:val="nil"/>
              <w:left w:val="nil"/>
              <w:bottom w:val="single" w:color="auto" w:sz="4" w:space="0"/>
              <w:right w:val="single" w:color="auto" w:sz="4" w:space="0"/>
            </w:tcBorders>
            <w:shd w:val="clear" w:color="auto" w:fill="auto"/>
            <w:noWrap/>
            <w:vAlign w:val="center"/>
          </w:tcPr>
          <w:p w14:paraId="624F845A">
            <w:pPr>
              <w:widowControl/>
              <w:jc w:val="center"/>
              <w:rPr>
                <w:sz w:val="15"/>
                <w:szCs w:val="15"/>
                <w:highlight w:val="none"/>
              </w:rPr>
            </w:pPr>
            <w:r>
              <w:rPr>
                <w:sz w:val="15"/>
                <w:szCs w:val="15"/>
                <w:highlight w:val="none"/>
              </w:rPr>
              <w:t>0.30</w:t>
            </w:r>
          </w:p>
        </w:tc>
        <w:tc>
          <w:tcPr>
            <w:tcW w:w="36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F955B2C">
            <w:pPr>
              <w:widowControl/>
              <w:jc w:val="center"/>
              <w:rPr>
                <w:sz w:val="15"/>
                <w:szCs w:val="15"/>
                <w:highlight w:val="none"/>
              </w:rPr>
            </w:pPr>
            <w:r>
              <w:rPr>
                <w:sz w:val="15"/>
                <w:szCs w:val="15"/>
                <w:highlight w:val="none"/>
              </w:rPr>
              <w:t>0.73</w:t>
            </w:r>
          </w:p>
        </w:tc>
        <w:tc>
          <w:tcPr>
            <w:tcW w:w="361" w:type="pct"/>
            <w:tcBorders>
              <w:top w:val="nil"/>
              <w:left w:val="nil"/>
              <w:bottom w:val="single" w:color="auto" w:sz="4" w:space="0"/>
              <w:right w:val="single" w:color="auto" w:sz="4" w:space="0"/>
            </w:tcBorders>
            <w:shd w:val="clear" w:color="auto" w:fill="auto"/>
            <w:noWrap/>
            <w:vAlign w:val="center"/>
          </w:tcPr>
          <w:p w14:paraId="3FD75EBB">
            <w:pPr>
              <w:widowControl/>
              <w:jc w:val="center"/>
              <w:rPr>
                <w:sz w:val="15"/>
                <w:szCs w:val="15"/>
                <w:highlight w:val="none"/>
              </w:rPr>
            </w:pPr>
            <w:r>
              <w:rPr>
                <w:sz w:val="15"/>
                <w:szCs w:val="15"/>
                <w:highlight w:val="none"/>
              </w:rPr>
              <w:t>/</w:t>
            </w:r>
          </w:p>
        </w:tc>
      </w:tr>
      <w:tr w14:paraId="260ABA1A">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4D6B454A">
            <w:pPr>
              <w:widowControl/>
              <w:jc w:val="center"/>
              <w:rPr>
                <w:sz w:val="15"/>
                <w:szCs w:val="15"/>
                <w:highlight w:val="none"/>
              </w:rPr>
            </w:pPr>
            <w:r>
              <w:rPr>
                <w:sz w:val="15"/>
                <w:szCs w:val="15"/>
                <w:highlight w:val="none"/>
              </w:rPr>
              <w:t>2025.03.25</w:t>
            </w:r>
          </w:p>
        </w:tc>
        <w:tc>
          <w:tcPr>
            <w:tcW w:w="306" w:type="pct"/>
            <w:tcBorders>
              <w:top w:val="nil"/>
              <w:left w:val="nil"/>
              <w:bottom w:val="single" w:color="auto" w:sz="4" w:space="0"/>
              <w:right w:val="single" w:color="auto" w:sz="4" w:space="0"/>
            </w:tcBorders>
            <w:shd w:val="clear" w:color="auto" w:fill="auto"/>
            <w:noWrap/>
            <w:vAlign w:val="center"/>
          </w:tcPr>
          <w:p w14:paraId="274E0B77">
            <w:pPr>
              <w:widowControl/>
              <w:jc w:val="center"/>
              <w:rPr>
                <w:sz w:val="15"/>
                <w:szCs w:val="15"/>
                <w:highlight w:val="none"/>
              </w:rPr>
            </w:pPr>
            <w:r>
              <w:rPr>
                <w:sz w:val="15"/>
                <w:szCs w:val="15"/>
                <w:highlight w:val="none"/>
              </w:rPr>
              <w:t>18:20</w:t>
            </w:r>
          </w:p>
        </w:tc>
        <w:tc>
          <w:tcPr>
            <w:tcW w:w="368" w:type="pct"/>
            <w:tcBorders>
              <w:top w:val="nil"/>
              <w:left w:val="nil"/>
              <w:bottom w:val="single" w:color="auto" w:sz="4" w:space="0"/>
              <w:right w:val="single" w:color="auto" w:sz="4" w:space="0"/>
            </w:tcBorders>
            <w:shd w:val="clear" w:color="auto" w:fill="auto"/>
            <w:noWrap/>
            <w:vAlign w:val="center"/>
          </w:tcPr>
          <w:p w14:paraId="781A9710">
            <w:pPr>
              <w:widowControl/>
              <w:jc w:val="center"/>
              <w:rPr>
                <w:sz w:val="15"/>
                <w:szCs w:val="15"/>
                <w:highlight w:val="none"/>
              </w:rPr>
            </w:pPr>
            <w:r>
              <w:rPr>
                <w:sz w:val="15"/>
                <w:szCs w:val="15"/>
                <w:highlight w:val="none"/>
              </w:rPr>
              <w:t>6.87</w:t>
            </w:r>
          </w:p>
        </w:tc>
        <w:tc>
          <w:tcPr>
            <w:tcW w:w="348" w:type="pct"/>
            <w:tcBorders>
              <w:top w:val="nil"/>
              <w:left w:val="nil"/>
              <w:bottom w:val="single" w:color="auto" w:sz="4" w:space="0"/>
              <w:right w:val="single" w:color="auto" w:sz="4" w:space="0"/>
            </w:tcBorders>
            <w:shd w:val="clear" w:color="auto" w:fill="auto"/>
            <w:noWrap/>
            <w:vAlign w:val="center"/>
          </w:tcPr>
          <w:p w14:paraId="2F2241EA">
            <w:pPr>
              <w:widowControl/>
              <w:jc w:val="center"/>
              <w:rPr>
                <w:sz w:val="15"/>
                <w:szCs w:val="15"/>
                <w:highlight w:val="none"/>
              </w:rPr>
            </w:pPr>
            <w:r>
              <w:rPr>
                <w:sz w:val="15"/>
                <w:szCs w:val="15"/>
                <w:highlight w:val="none"/>
              </w:rPr>
              <w:t>2.32</w:t>
            </w:r>
          </w:p>
        </w:tc>
        <w:tc>
          <w:tcPr>
            <w:tcW w:w="393" w:type="pct"/>
            <w:tcBorders>
              <w:top w:val="nil"/>
              <w:left w:val="nil"/>
              <w:bottom w:val="single" w:color="auto" w:sz="4" w:space="0"/>
              <w:right w:val="single" w:color="auto" w:sz="4" w:space="0"/>
            </w:tcBorders>
            <w:shd w:val="clear" w:color="auto" w:fill="auto"/>
            <w:noWrap/>
            <w:vAlign w:val="center"/>
          </w:tcPr>
          <w:p w14:paraId="504786A6">
            <w:pPr>
              <w:widowControl/>
              <w:jc w:val="center"/>
              <w:rPr>
                <w:sz w:val="15"/>
                <w:szCs w:val="15"/>
                <w:highlight w:val="none"/>
              </w:rPr>
            </w:pPr>
            <w:r>
              <w:rPr>
                <w:sz w:val="15"/>
                <w:szCs w:val="15"/>
                <w:highlight w:val="none"/>
              </w:rPr>
              <w:t>1113</w:t>
            </w:r>
          </w:p>
        </w:tc>
        <w:tc>
          <w:tcPr>
            <w:tcW w:w="375" w:type="pct"/>
            <w:tcBorders>
              <w:top w:val="nil"/>
              <w:left w:val="nil"/>
              <w:bottom w:val="single" w:color="auto" w:sz="4" w:space="0"/>
              <w:right w:val="single" w:color="auto" w:sz="4" w:space="0"/>
            </w:tcBorders>
            <w:shd w:val="clear" w:color="auto" w:fill="auto"/>
            <w:noWrap/>
            <w:vAlign w:val="center"/>
          </w:tcPr>
          <w:p w14:paraId="63056392">
            <w:pPr>
              <w:widowControl/>
              <w:jc w:val="center"/>
              <w:rPr>
                <w:sz w:val="15"/>
                <w:szCs w:val="15"/>
                <w:highlight w:val="none"/>
              </w:rPr>
            </w:pPr>
            <w:r>
              <w:rPr>
                <w:sz w:val="15"/>
                <w:szCs w:val="15"/>
                <w:highlight w:val="none"/>
              </w:rPr>
              <w:t>30.8</w:t>
            </w:r>
          </w:p>
        </w:tc>
        <w:tc>
          <w:tcPr>
            <w:tcW w:w="361" w:type="pct"/>
            <w:tcBorders>
              <w:top w:val="nil"/>
              <w:left w:val="nil"/>
              <w:bottom w:val="single" w:color="auto" w:sz="4" w:space="0"/>
              <w:right w:val="single" w:color="auto" w:sz="4" w:space="0"/>
            </w:tcBorders>
            <w:shd w:val="clear" w:color="auto" w:fill="auto"/>
            <w:noWrap/>
            <w:vAlign w:val="center"/>
          </w:tcPr>
          <w:p w14:paraId="60C9CD00">
            <w:pPr>
              <w:widowControl/>
              <w:jc w:val="center"/>
              <w:rPr>
                <w:sz w:val="15"/>
                <w:szCs w:val="15"/>
                <w:highlight w:val="none"/>
              </w:rPr>
            </w:pPr>
            <w:r>
              <w:rPr>
                <w:sz w:val="15"/>
                <w:szCs w:val="15"/>
                <w:highlight w:val="none"/>
              </w:rPr>
              <w:t>1.01</w:t>
            </w:r>
          </w:p>
        </w:tc>
        <w:tc>
          <w:tcPr>
            <w:tcW w:w="361" w:type="pct"/>
            <w:tcBorders>
              <w:top w:val="nil"/>
              <w:left w:val="nil"/>
              <w:bottom w:val="single" w:color="auto" w:sz="4" w:space="0"/>
              <w:right w:val="single" w:color="auto" w:sz="4" w:space="0"/>
            </w:tcBorders>
            <w:shd w:val="clear" w:color="auto" w:fill="auto"/>
            <w:noWrap/>
            <w:vAlign w:val="center"/>
          </w:tcPr>
          <w:p w14:paraId="38CA6798">
            <w:pPr>
              <w:widowControl/>
              <w:jc w:val="center"/>
              <w:rPr>
                <w:sz w:val="15"/>
                <w:szCs w:val="15"/>
                <w:highlight w:val="none"/>
              </w:rPr>
            </w:pPr>
            <w:r>
              <w:rPr>
                <w:sz w:val="15"/>
                <w:szCs w:val="15"/>
                <w:highlight w:val="none"/>
              </w:rPr>
              <w:t>180.09</w:t>
            </w:r>
          </w:p>
        </w:tc>
        <w:tc>
          <w:tcPr>
            <w:tcW w:w="453" w:type="pct"/>
            <w:tcBorders>
              <w:top w:val="nil"/>
              <w:left w:val="nil"/>
              <w:bottom w:val="single" w:color="auto" w:sz="4" w:space="0"/>
              <w:right w:val="single" w:color="auto" w:sz="4" w:space="0"/>
            </w:tcBorders>
            <w:shd w:val="clear" w:color="auto" w:fill="auto"/>
            <w:noWrap/>
            <w:vAlign w:val="center"/>
          </w:tcPr>
          <w:p w14:paraId="47F50FF4">
            <w:pPr>
              <w:widowControl/>
              <w:jc w:val="center"/>
              <w:rPr>
                <w:sz w:val="15"/>
                <w:szCs w:val="15"/>
                <w:highlight w:val="none"/>
              </w:rPr>
            </w:pPr>
            <w:r>
              <w:rPr>
                <w:sz w:val="15"/>
                <w:szCs w:val="15"/>
                <w:highlight w:val="none"/>
              </w:rPr>
              <w:t>3.83</w:t>
            </w:r>
          </w:p>
        </w:tc>
        <w:tc>
          <w:tcPr>
            <w:tcW w:w="453" w:type="pct"/>
            <w:tcBorders>
              <w:top w:val="nil"/>
              <w:left w:val="nil"/>
              <w:bottom w:val="single" w:color="auto" w:sz="4" w:space="0"/>
              <w:right w:val="single" w:color="auto" w:sz="4" w:space="0"/>
            </w:tcBorders>
            <w:shd w:val="clear" w:color="auto" w:fill="auto"/>
            <w:noWrap/>
            <w:vAlign w:val="center"/>
          </w:tcPr>
          <w:p w14:paraId="1F71E666">
            <w:pPr>
              <w:widowControl/>
              <w:jc w:val="center"/>
              <w:rPr>
                <w:sz w:val="15"/>
                <w:szCs w:val="15"/>
                <w:highlight w:val="none"/>
              </w:rPr>
            </w:pPr>
            <w:r>
              <w:rPr>
                <w:sz w:val="15"/>
                <w:szCs w:val="15"/>
                <w:highlight w:val="none"/>
              </w:rPr>
              <w:t>2.16</w:t>
            </w:r>
          </w:p>
        </w:tc>
        <w:tc>
          <w:tcPr>
            <w:tcW w:w="361" w:type="pct"/>
            <w:tcBorders>
              <w:top w:val="nil"/>
              <w:left w:val="nil"/>
              <w:bottom w:val="single" w:color="auto" w:sz="4" w:space="0"/>
              <w:right w:val="single" w:color="auto" w:sz="4" w:space="0"/>
            </w:tcBorders>
            <w:shd w:val="clear" w:color="auto" w:fill="auto"/>
            <w:noWrap/>
            <w:vAlign w:val="center"/>
          </w:tcPr>
          <w:p w14:paraId="6FA099F7">
            <w:pPr>
              <w:widowControl/>
              <w:jc w:val="center"/>
              <w:rPr>
                <w:sz w:val="15"/>
                <w:szCs w:val="15"/>
                <w:highlight w:val="none"/>
              </w:rPr>
            </w:pPr>
            <w:r>
              <w:rPr>
                <w:sz w:val="15"/>
                <w:szCs w:val="15"/>
                <w:highlight w:val="none"/>
              </w:rPr>
              <w:t>0.20</w:t>
            </w:r>
          </w:p>
        </w:tc>
        <w:tc>
          <w:tcPr>
            <w:tcW w:w="361" w:type="pct"/>
            <w:tcBorders>
              <w:top w:val="nil"/>
              <w:left w:val="nil"/>
              <w:bottom w:val="single" w:color="auto" w:sz="4" w:space="0"/>
              <w:right w:val="single" w:color="auto" w:sz="4" w:space="0"/>
            </w:tcBorders>
            <w:shd w:val="clear" w:color="auto" w:fill="auto"/>
            <w:noWrap/>
            <w:vAlign w:val="center"/>
          </w:tcPr>
          <w:p w14:paraId="7F3F7A6F">
            <w:pPr>
              <w:widowControl/>
              <w:jc w:val="center"/>
              <w:rPr>
                <w:sz w:val="15"/>
                <w:szCs w:val="15"/>
                <w:highlight w:val="none"/>
              </w:rPr>
            </w:pPr>
            <w:r>
              <w:rPr>
                <w:sz w:val="15"/>
                <w:szCs w:val="15"/>
                <w:highlight w:val="none"/>
              </w:rPr>
              <w:t>0.46</w:t>
            </w:r>
          </w:p>
        </w:tc>
        <w:tc>
          <w:tcPr>
            <w:tcW w:w="361" w:type="pct"/>
            <w:tcBorders>
              <w:top w:val="nil"/>
              <w:left w:val="nil"/>
              <w:bottom w:val="single" w:color="auto" w:sz="4" w:space="0"/>
              <w:right w:val="single" w:color="auto" w:sz="4" w:space="0"/>
            </w:tcBorders>
            <w:shd w:val="clear" w:color="auto" w:fill="auto"/>
            <w:noWrap/>
            <w:vAlign w:val="center"/>
          </w:tcPr>
          <w:p w14:paraId="4148EF22">
            <w:pPr>
              <w:widowControl/>
              <w:jc w:val="center"/>
              <w:rPr>
                <w:sz w:val="15"/>
                <w:szCs w:val="15"/>
                <w:highlight w:val="none"/>
              </w:rPr>
            </w:pPr>
            <w:r>
              <w:rPr>
                <w:sz w:val="15"/>
                <w:szCs w:val="15"/>
                <w:highlight w:val="none"/>
              </w:rPr>
              <w:t>0.01</w:t>
            </w:r>
          </w:p>
        </w:tc>
      </w:tr>
      <w:tr w14:paraId="37733CF1">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04924D9E">
            <w:pPr>
              <w:widowControl/>
              <w:jc w:val="center"/>
              <w:rPr>
                <w:sz w:val="15"/>
                <w:szCs w:val="15"/>
                <w:highlight w:val="none"/>
              </w:rPr>
            </w:pPr>
            <w:r>
              <w:rPr>
                <w:sz w:val="15"/>
                <w:szCs w:val="15"/>
                <w:highlight w:val="none"/>
              </w:rPr>
              <w:t>2025.04.03</w:t>
            </w:r>
          </w:p>
        </w:tc>
        <w:tc>
          <w:tcPr>
            <w:tcW w:w="306" w:type="pct"/>
            <w:tcBorders>
              <w:top w:val="nil"/>
              <w:left w:val="nil"/>
              <w:bottom w:val="single" w:color="auto" w:sz="4" w:space="0"/>
              <w:right w:val="single" w:color="auto" w:sz="4" w:space="0"/>
            </w:tcBorders>
            <w:shd w:val="clear" w:color="auto" w:fill="auto"/>
            <w:noWrap/>
            <w:vAlign w:val="center"/>
          </w:tcPr>
          <w:p w14:paraId="7BB85586">
            <w:pPr>
              <w:widowControl/>
              <w:jc w:val="center"/>
              <w:rPr>
                <w:sz w:val="15"/>
                <w:szCs w:val="15"/>
                <w:highlight w:val="none"/>
              </w:rPr>
            </w:pPr>
            <w:r>
              <w:rPr>
                <w:sz w:val="15"/>
                <w:szCs w:val="15"/>
                <w:highlight w:val="none"/>
              </w:rPr>
              <w:t>11:10</w:t>
            </w:r>
          </w:p>
        </w:tc>
        <w:tc>
          <w:tcPr>
            <w:tcW w:w="368" w:type="pct"/>
            <w:tcBorders>
              <w:top w:val="nil"/>
              <w:left w:val="nil"/>
              <w:bottom w:val="single" w:color="auto" w:sz="4" w:space="0"/>
              <w:right w:val="single" w:color="auto" w:sz="4" w:space="0"/>
            </w:tcBorders>
            <w:shd w:val="clear" w:color="auto" w:fill="auto"/>
            <w:noWrap/>
            <w:vAlign w:val="center"/>
          </w:tcPr>
          <w:p w14:paraId="69B5FF8C">
            <w:pPr>
              <w:widowControl/>
              <w:jc w:val="center"/>
              <w:rPr>
                <w:sz w:val="15"/>
                <w:szCs w:val="15"/>
                <w:highlight w:val="none"/>
              </w:rPr>
            </w:pPr>
            <w:r>
              <w:rPr>
                <w:sz w:val="15"/>
                <w:szCs w:val="15"/>
                <w:highlight w:val="none"/>
              </w:rPr>
              <w:t>6.68</w:t>
            </w:r>
          </w:p>
        </w:tc>
        <w:tc>
          <w:tcPr>
            <w:tcW w:w="348" w:type="pct"/>
            <w:tcBorders>
              <w:top w:val="nil"/>
              <w:left w:val="nil"/>
              <w:bottom w:val="single" w:color="auto" w:sz="4" w:space="0"/>
              <w:right w:val="single" w:color="auto" w:sz="4" w:space="0"/>
            </w:tcBorders>
            <w:shd w:val="clear" w:color="auto" w:fill="auto"/>
            <w:noWrap/>
            <w:vAlign w:val="center"/>
          </w:tcPr>
          <w:p w14:paraId="06198018">
            <w:pPr>
              <w:widowControl/>
              <w:jc w:val="center"/>
              <w:rPr>
                <w:sz w:val="15"/>
                <w:szCs w:val="15"/>
                <w:highlight w:val="none"/>
              </w:rPr>
            </w:pPr>
            <w:r>
              <w:rPr>
                <w:sz w:val="15"/>
                <w:szCs w:val="15"/>
                <w:highlight w:val="none"/>
              </w:rPr>
              <w:t>2.45</w:t>
            </w:r>
          </w:p>
        </w:tc>
        <w:tc>
          <w:tcPr>
            <w:tcW w:w="393" w:type="pct"/>
            <w:tcBorders>
              <w:top w:val="nil"/>
              <w:left w:val="nil"/>
              <w:bottom w:val="single" w:color="auto" w:sz="4" w:space="0"/>
              <w:right w:val="single" w:color="auto" w:sz="4" w:space="0"/>
            </w:tcBorders>
            <w:shd w:val="clear" w:color="auto" w:fill="auto"/>
            <w:noWrap/>
            <w:vAlign w:val="center"/>
          </w:tcPr>
          <w:p w14:paraId="1B53D138">
            <w:pPr>
              <w:widowControl/>
              <w:jc w:val="center"/>
              <w:rPr>
                <w:sz w:val="15"/>
                <w:szCs w:val="15"/>
                <w:highlight w:val="none"/>
              </w:rPr>
            </w:pPr>
            <w:r>
              <w:rPr>
                <w:sz w:val="15"/>
                <w:szCs w:val="15"/>
                <w:highlight w:val="none"/>
              </w:rPr>
              <w:t>1477</w:t>
            </w:r>
          </w:p>
        </w:tc>
        <w:tc>
          <w:tcPr>
            <w:tcW w:w="375" w:type="pct"/>
            <w:tcBorders>
              <w:top w:val="nil"/>
              <w:left w:val="nil"/>
              <w:bottom w:val="single" w:color="auto" w:sz="4" w:space="0"/>
              <w:right w:val="single" w:color="auto" w:sz="4" w:space="0"/>
            </w:tcBorders>
            <w:shd w:val="clear" w:color="auto" w:fill="auto"/>
            <w:noWrap/>
            <w:vAlign w:val="center"/>
          </w:tcPr>
          <w:p w14:paraId="798E032B">
            <w:pPr>
              <w:widowControl/>
              <w:jc w:val="center"/>
              <w:rPr>
                <w:sz w:val="15"/>
                <w:szCs w:val="15"/>
                <w:highlight w:val="none"/>
              </w:rPr>
            </w:pPr>
            <w:r>
              <w:rPr>
                <w:sz w:val="15"/>
                <w:szCs w:val="15"/>
                <w:highlight w:val="none"/>
              </w:rPr>
              <w:t>23.3</w:t>
            </w:r>
          </w:p>
        </w:tc>
        <w:tc>
          <w:tcPr>
            <w:tcW w:w="361" w:type="pct"/>
            <w:tcBorders>
              <w:top w:val="nil"/>
              <w:left w:val="nil"/>
              <w:bottom w:val="single" w:color="auto" w:sz="4" w:space="0"/>
              <w:right w:val="single" w:color="auto" w:sz="4" w:space="0"/>
            </w:tcBorders>
            <w:shd w:val="clear" w:color="auto" w:fill="auto"/>
            <w:noWrap/>
            <w:vAlign w:val="center"/>
          </w:tcPr>
          <w:p w14:paraId="581C80CE">
            <w:pPr>
              <w:widowControl/>
              <w:jc w:val="center"/>
              <w:rPr>
                <w:sz w:val="15"/>
                <w:szCs w:val="15"/>
                <w:highlight w:val="none"/>
              </w:rPr>
            </w:pPr>
            <w:r>
              <w:rPr>
                <w:sz w:val="15"/>
                <w:szCs w:val="15"/>
                <w:highlight w:val="none"/>
              </w:rPr>
              <w:t>1.44</w:t>
            </w:r>
          </w:p>
        </w:tc>
        <w:tc>
          <w:tcPr>
            <w:tcW w:w="361" w:type="pct"/>
            <w:tcBorders>
              <w:top w:val="nil"/>
              <w:left w:val="nil"/>
              <w:bottom w:val="single" w:color="auto" w:sz="4" w:space="0"/>
              <w:right w:val="single" w:color="auto" w:sz="4" w:space="0"/>
            </w:tcBorders>
            <w:shd w:val="clear" w:color="auto" w:fill="auto"/>
            <w:noWrap/>
            <w:vAlign w:val="center"/>
          </w:tcPr>
          <w:p w14:paraId="58864629">
            <w:pPr>
              <w:widowControl/>
              <w:jc w:val="center"/>
              <w:rPr>
                <w:sz w:val="15"/>
                <w:szCs w:val="15"/>
                <w:highlight w:val="none"/>
              </w:rPr>
            </w:pPr>
            <w:r>
              <w:rPr>
                <w:sz w:val="15"/>
                <w:szCs w:val="15"/>
                <w:highlight w:val="none"/>
              </w:rPr>
              <w:t>219.96</w:t>
            </w:r>
          </w:p>
        </w:tc>
        <w:tc>
          <w:tcPr>
            <w:tcW w:w="453" w:type="pct"/>
            <w:tcBorders>
              <w:top w:val="nil"/>
              <w:left w:val="nil"/>
              <w:bottom w:val="single" w:color="auto" w:sz="4" w:space="0"/>
              <w:right w:val="single" w:color="auto" w:sz="4" w:space="0"/>
            </w:tcBorders>
            <w:shd w:val="clear" w:color="auto" w:fill="auto"/>
            <w:noWrap/>
            <w:vAlign w:val="center"/>
          </w:tcPr>
          <w:p w14:paraId="323E7F3E">
            <w:pPr>
              <w:widowControl/>
              <w:jc w:val="center"/>
              <w:rPr>
                <w:sz w:val="15"/>
                <w:szCs w:val="15"/>
                <w:highlight w:val="none"/>
              </w:rPr>
            </w:pPr>
            <w:r>
              <w:rPr>
                <w:sz w:val="15"/>
                <w:szCs w:val="15"/>
                <w:highlight w:val="none"/>
              </w:rPr>
              <w:t>4.47</w:t>
            </w:r>
          </w:p>
        </w:tc>
        <w:tc>
          <w:tcPr>
            <w:tcW w:w="453" w:type="pct"/>
            <w:tcBorders>
              <w:top w:val="nil"/>
              <w:left w:val="nil"/>
              <w:bottom w:val="single" w:color="auto" w:sz="4" w:space="0"/>
              <w:right w:val="single" w:color="auto" w:sz="4" w:space="0"/>
            </w:tcBorders>
            <w:shd w:val="clear" w:color="auto" w:fill="auto"/>
            <w:noWrap/>
            <w:vAlign w:val="center"/>
          </w:tcPr>
          <w:p w14:paraId="22A43A07">
            <w:pPr>
              <w:widowControl/>
              <w:jc w:val="center"/>
              <w:rPr>
                <w:sz w:val="15"/>
                <w:szCs w:val="15"/>
                <w:highlight w:val="none"/>
              </w:rPr>
            </w:pPr>
            <w:r>
              <w:rPr>
                <w:sz w:val="15"/>
                <w:szCs w:val="15"/>
                <w:highlight w:val="none"/>
              </w:rPr>
              <w:t>2.67</w:t>
            </w:r>
          </w:p>
        </w:tc>
        <w:tc>
          <w:tcPr>
            <w:tcW w:w="361" w:type="pct"/>
            <w:tcBorders>
              <w:top w:val="nil"/>
              <w:left w:val="nil"/>
              <w:bottom w:val="single" w:color="auto" w:sz="4" w:space="0"/>
              <w:right w:val="single" w:color="auto" w:sz="4" w:space="0"/>
            </w:tcBorders>
            <w:shd w:val="clear" w:color="auto" w:fill="auto"/>
            <w:noWrap/>
            <w:vAlign w:val="center"/>
          </w:tcPr>
          <w:p w14:paraId="1152E37B">
            <w:pPr>
              <w:widowControl/>
              <w:jc w:val="center"/>
              <w:rPr>
                <w:sz w:val="15"/>
                <w:szCs w:val="15"/>
                <w:highlight w:val="none"/>
              </w:rPr>
            </w:pPr>
            <w:r>
              <w:rPr>
                <w:sz w:val="15"/>
                <w:szCs w:val="15"/>
                <w:highlight w:val="none"/>
              </w:rPr>
              <w:t>0.15</w:t>
            </w:r>
          </w:p>
        </w:tc>
        <w:tc>
          <w:tcPr>
            <w:tcW w:w="36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3ED9D5B">
            <w:pPr>
              <w:widowControl/>
              <w:jc w:val="center"/>
              <w:rPr>
                <w:sz w:val="15"/>
                <w:szCs w:val="15"/>
                <w:highlight w:val="none"/>
              </w:rPr>
            </w:pPr>
            <w:r>
              <w:rPr>
                <w:sz w:val="15"/>
                <w:szCs w:val="15"/>
                <w:highlight w:val="none"/>
              </w:rPr>
              <w:t>0.53</w:t>
            </w:r>
          </w:p>
        </w:tc>
        <w:tc>
          <w:tcPr>
            <w:tcW w:w="361" w:type="pct"/>
            <w:tcBorders>
              <w:top w:val="nil"/>
              <w:left w:val="nil"/>
              <w:bottom w:val="single" w:color="auto" w:sz="4" w:space="0"/>
              <w:right w:val="single" w:color="auto" w:sz="4" w:space="0"/>
            </w:tcBorders>
            <w:shd w:val="clear" w:color="auto" w:fill="auto"/>
            <w:noWrap/>
            <w:vAlign w:val="center"/>
          </w:tcPr>
          <w:p w14:paraId="3DBA8453">
            <w:pPr>
              <w:widowControl/>
              <w:jc w:val="center"/>
              <w:rPr>
                <w:sz w:val="15"/>
                <w:szCs w:val="15"/>
                <w:highlight w:val="none"/>
              </w:rPr>
            </w:pPr>
            <w:r>
              <w:rPr>
                <w:sz w:val="15"/>
                <w:szCs w:val="15"/>
                <w:highlight w:val="none"/>
              </w:rPr>
              <w:t>/</w:t>
            </w:r>
          </w:p>
        </w:tc>
      </w:tr>
      <w:tr w14:paraId="1B78476D">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5AF5CCC1">
            <w:pPr>
              <w:widowControl/>
              <w:jc w:val="center"/>
              <w:rPr>
                <w:sz w:val="15"/>
                <w:szCs w:val="15"/>
                <w:highlight w:val="none"/>
              </w:rPr>
            </w:pPr>
            <w:r>
              <w:rPr>
                <w:sz w:val="15"/>
                <w:szCs w:val="15"/>
                <w:highlight w:val="none"/>
              </w:rPr>
              <w:t>2025.04.08</w:t>
            </w:r>
          </w:p>
        </w:tc>
        <w:tc>
          <w:tcPr>
            <w:tcW w:w="306" w:type="pct"/>
            <w:tcBorders>
              <w:top w:val="nil"/>
              <w:left w:val="nil"/>
              <w:bottom w:val="single" w:color="auto" w:sz="4" w:space="0"/>
              <w:right w:val="single" w:color="auto" w:sz="4" w:space="0"/>
            </w:tcBorders>
            <w:shd w:val="clear" w:color="auto" w:fill="auto"/>
            <w:noWrap/>
            <w:vAlign w:val="center"/>
          </w:tcPr>
          <w:p w14:paraId="22BCF4D6">
            <w:pPr>
              <w:widowControl/>
              <w:jc w:val="center"/>
              <w:rPr>
                <w:sz w:val="15"/>
                <w:szCs w:val="15"/>
                <w:highlight w:val="none"/>
              </w:rPr>
            </w:pPr>
            <w:r>
              <w:rPr>
                <w:sz w:val="15"/>
                <w:szCs w:val="15"/>
                <w:highlight w:val="none"/>
              </w:rPr>
              <w:t>12:10</w:t>
            </w:r>
          </w:p>
        </w:tc>
        <w:tc>
          <w:tcPr>
            <w:tcW w:w="368" w:type="pct"/>
            <w:tcBorders>
              <w:top w:val="nil"/>
              <w:left w:val="nil"/>
              <w:bottom w:val="single" w:color="auto" w:sz="4" w:space="0"/>
              <w:right w:val="single" w:color="auto" w:sz="4" w:space="0"/>
            </w:tcBorders>
            <w:shd w:val="clear" w:color="auto" w:fill="auto"/>
            <w:noWrap/>
            <w:vAlign w:val="center"/>
          </w:tcPr>
          <w:p w14:paraId="46097EB9">
            <w:pPr>
              <w:widowControl/>
              <w:jc w:val="center"/>
              <w:rPr>
                <w:sz w:val="15"/>
                <w:szCs w:val="15"/>
                <w:highlight w:val="none"/>
              </w:rPr>
            </w:pPr>
            <w:r>
              <w:rPr>
                <w:sz w:val="15"/>
                <w:szCs w:val="15"/>
                <w:highlight w:val="none"/>
              </w:rPr>
              <w:t>7.41</w:t>
            </w:r>
          </w:p>
        </w:tc>
        <w:tc>
          <w:tcPr>
            <w:tcW w:w="348" w:type="pct"/>
            <w:tcBorders>
              <w:top w:val="nil"/>
              <w:left w:val="nil"/>
              <w:bottom w:val="single" w:color="auto" w:sz="4" w:space="0"/>
              <w:right w:val="single" w:color="auto" w:sz="4" w:space="0"/>
            </w:tcBorders>
            <w:shd w:val="clear" w:color="auto" w:fill="auto"/>
            <w:noWrap/>
            <w:vAlign w:val="center"/>
          </w:tcPr>
          <w:p w14:paraId="754F55E5">
            <w:pPr>
              <w:widowControl/>
              <w:jc w:val="center"/>
              <w:rPr>
                <w:sz w:val="15"/>
                <w:szCs w:val="15"/>
                <w:highlight w:val="none"/>
              </w:rPr>
            </w:pPr>
            <w:r>
              <w:rPr>
                <w:sz w:val="15"/>
                <w:szCs w:val="15"/>
                <w:highlight w:val="none"/>
              </w:rPr>
              <w:t>2.5</w:t>
            </w:r>
          </w:p>
        </w:tc>
        <w:tc>
          <w:tcPr>
            <w:tcW w:w="393" w:type="pct"/>
            <w:tcBorders>
              <w:top w:val="nil"/>
              <w:left w:val="nil"/>
              <w:bottom w:val="single" w:color="auto" w:sz="4" w:space="0"/>
              <w:right w:val="single" w:color="auto" w:sz="4" w:space="0"/>
            </w:tcBorders>
            <w:shd w:val="clear" w:color="auto" w:fill="auto"/>
            <w:noWrap/>
            <w:vAlign w:val="center"/>
          </w:tcPr>
          <w:p w14:paraId="7F9F3876">
            <w:pPr>
              <w:widowControl/>
              <w:jc w:val="center"/>
              <w:rPr>
                <w:sz w:val="15"/>
                <w:szCs w:val="15"/>
                <w:highlight w:val="none"/>
              </w:rPr>
            </w:pPr>
            <w:r>
              <w:rPr>
                <w:sz w:val="15"/>
                <w:szCs w:val="15"/>
                <w:highlight w:val="none"/>
              </w:rPr>
              <w:t>1489</w:t>
            </w:r>
          </w:p>
        </w:tc>
        <w:tc>
          <w:tcPr>
            <w:tcW w:w="375" w:type="pct"/>
            <w:tcBorders>
              <w:top w:val="nil"/>
              <w:left w:val="nil"/>
              <w:bottom w:val="single" w:color="auto" w:sz="4" w:space="0"/>
              <w:right w:val="single" w:color="auto" w:sz="4" w:space="0"/>
            </w:tcBorders>
            <w:shd w:val="clear" w:color="auto" w:fill="auto"/>
            <w:noWrap/>
            <w:vAlign w:val="center"/>
          </w:tcPr>
          <w:p w14:paraId="1A45F3E4">
            <w:pPr>
              <w:widowControl/>
              <w:jc w:val="center"/>
              <w:rPr>
                <w:sz w:val="15"/>
                <w:szCs w:val="15"/>
                <w:highlight w:val="none"/>
              </w:rPr>
            </w:pPr>
            <w:r>
              <w:rPr>
                <w:sz w:val="15"/>
                <w:szCs w:val="15"/>
                <w:highlight w:val="none"/>
              </w:rPr>
              <w:t>29.3</w:t>
            </w:r>
          </w:p>
        </w:tc>
        <w:tc>
          <w:tcPr>
            <w:tcW w:w="361" w:type="pct"/>
            <w:tcBorders>
              <w:top w:val="nil"/>
              <w:left w:val="nil"/>
              <w:bottom w:val="single" w:color="auto" w:sz="4" w:space="0"/>
              <w:right w:val="single" w:color="auto" w:sz="4" w:space="0"/>
            </w:tcBorders>
            <w:shd w:val="clear" w:color="auto" w:fill="auto"/>
            <w:noWrap/>
            <w:vAlign w:val="center"/>
          </w:tcPr>
          <w:p w14:paraId="08AA3066">
            <w:pPr>
              <w:widowControl/>
              <w:jc w:val="center"/>
              <w:rPr>
                <w:sz w:val="15"/>
                <w:szCs w:val="15"/>
                <w:highlight w:val="none"/>
              </w:rPr>
            </w:pPr>
            <w:r>
              <w:rPr>
                <w:sz w:val="15"/>
                <w:szCs w:val="15"/>
                <w:highlight w:val="none"/>
              </w:rPr>
              <w:t>2.37</w:t>
            </w:r>
          </w:p>
        </w:tc>
        <w:tc>
          <w:tcPr>
            <w:tcW w:w="361" w:type="pct"/>
            <w:tcBorders>
              <w:top w:val="nil"/>
              <w:left w:val="nil"/>
              <w:bottom w:val="single" w:color="auto" w:sz="4" w:space="0"/>
              <w:right w:val="single" w:color="auto" w:sz="4" w:space="0"/>
            </w:tcBorders>
            <w:shd w:val="clear" w:color="auto" w:fill="auto"/>
            <w:noWrap/>
            <w:vAlign w:val="center"/>
          </w:tcPr>
          <w:p w14:paraId="040F5FDF">
            <w:pPr>
              <w:widowControl/>
              <w:jc w:val="center"/>
              <w:rPr>
                <w:sz w:val="15"/>
                <w:szCs w:val="15"/>
                <w:highlight w:val="none"/>
              </w:rPr>
            </w:pPr>
            <w:r>
              <w:rPr>
                <w:sz w:val="15"/>
                <w:szCs w:val="15"/>
                <w:highlight w:val="none"/>
              </w:rPr>
              <w:t>219.60</w:t>
            </w:r>
          </w:p>
        </w:tc>
        <w:tc>
          <w:tcPr>
            <w:tcW w:w="453" w:type="pct"/>
            <w:tcBorders>
              <w:top w:val="nil"/>
              <w:left w:val="nil"/>
              <w:bottom w:val="single" w:color="auto" w:sz="4" w:space="0"/>
              <w:right w:val="single" w:color="auto" w:sz="4" w:space="0"/>
            </w:tcBorders>
            <w:shd w:val="clear" w:color="auto" w:fill="auto"/>
            <w:noWrap/>
            <w:vAlign w:val="center"/>
          </w:tcPr>
          <w:p w14:paraId="5CDDA4EF">
            <w:pPr>
              <w:widowControl/>
              <w:jc w:val="center"/>
              <w:rPr>
                <w:sz w:val="15"/>
                <w:szCs w:val="15"/>
                <w:highlight w:val="none"/>
              </w:rPr>
            </w:pPr>
            <w:r>
              <w:rPr>
                <w:sz w:val="15"/>
                <w:szCs w:val="15"/>
                <w:highlight w:val="none"/>
              </w:rPr>
              <w:t>4.82</w:t>
            </w:r>
          </w:p>
        </w:tc>
        <w:tc>
          <w:tcPr>
            <w:tcW w:w="453" w:type="pct"/>
            <w:tcBorders>
              <w:top w:val="nil"/>
              <w:left w:val="nil"/>
              <w:bottom w:val="single" w:color="auto" w:sz="4" w:space="0"/>
              <w:right w:val="single" w:color="auto" w:sz="4" w:space="0"/>
            </w:tcBorders>
            <w:shd w:val="clear" w:color="auto" w:fill="auto"/>
            <w:noWrap/>
            <w:vAlign w:val="center"/>
          </w:tcPr>
          <w:p w14:paraId="3E0D4422">
            <w:pPr>
              <w:widowControl/>
              <w:jc w:val="center"/>
              <w:rPr>
                <w:sz w:val="15"/>
                <w:szCs w:val="15"/>
                <w:highlight w:val="none"/>
              </w:rPr>
            </w:pPr>
            <w:r>
              <w:rPr>
                <w:sz w:val="15"/>
                <w:szCs w:val="15"/>
                <w:highlight w:val="none"/>
              </w:rPr>
              <w:t>3.65</w:t>
            </w:r>
          </w:p>
        </w:tc>
        <w:tc>
          <w:tcPr>
            <w:tcW w:w="361" w:type="pct"/>
            <w:tcBorders>
              <w:top w:val="nil"/>
              <w:left w:val="nil"/>
              <w:bottom w:val="single" w:color="auto" w:sz="4" w:space="0"/>
              <w:right w:val="single" w:color="auto" w:sz="4" w:space="0"/>
            </w:tcBorders>
            <w:shd w:val="clear" w:color="auto" w:fill="auto"/>
            <w:noWrap/>
            <w:vAlign w:val="center"/>
          </w:tcPr>
          <w:p w14:paraId="1DFBA7FE">
            <w:pPr>
              <w:widowControl/>
              <w:jc w:val="center"/>
              <w:rPr>
                <w:sz w:val="15"/>
                <w:szCs w:val="15"/>
                <w:highlight w:val="none"/>
              </w:rPr>
            </w:pPr>
            <w:r>
              <w:rPr>
                <w:sz w:val="15"/>
                <w:szCs w:val="15"/>
                <w:highlight w:val="none"/>
              </w:rPr>
              <w:t>0.40</w:t>
            </w:r>
          </w:p>
        </w:tc>
        <w:tc>
          <w:tcPr>
            <w:tcW w:w="361" w:type="pct"/>
            <w:tcBorders>
              <w:top w:val="nil"/>
              <w:left w:val="nil"/>
              <w:bottom w:val="single" w:color="auto" w:sz="4" w:space="0"/>
              <w:right w:val="single" w:color="auto" w:sz="4" w:space="0"/>
            </w:tcBorders>
            <w:shd w:val="clear" w:color="auto" w:fill="auto"/>
            <w:noWrap/>
            <w:vAlign w:val="center"/>
          </w:tcPr>
          <w:p w14:paraId="5A68745E">
            <w:pPr>
              <w:widowControl/>
              <w:jc w:val="center"/>
              <w:rPr>
                <w:sz w:val="15"/>
                <w:szCs w:val="15"/>
                <w:highlight w:val="none"/>
              </w:rPr>
            </w:pPr>
            <w:r>
              <w:rPr>
                <w:sz w:val="15"/>
                <w:szCs w:val="15"/>
                <w:highlight w:val="none"/>
              </w:rPr>
              <w:t>0.39</w:t>
            </w:r>
          </w:p>
        </w:tc>
        <w:tc>
          <w:tcPr>
            <w:tcW w:w="361" w:type="pct"/>
            <w:tcBorders>
              <w:top w:val="nil"/>
              <w:left w:val="nil"/>
              <w:bottom w:val="single" w:color="auto" w:sz="4" w:space="0"/>
              <w:right w:val="single" w:color="auto" w:sz="4" w:space="0"/>
            </w:tcBorders>
            <w:shd w:val="clear" w:color="auto" w:fill="auto"/>
            <w:noWrap/>
            <w:vAlign w:val="center"/>
          </w:tcPr>
          <w:p w14:paraId="744523B8">
            <w:pPr>
              <w:widowControl/>
              <w:jc w:val="center"/>
              <w:rPr>
                <w:sz w:val="15"/>
                <w:szCs w:val="15"/>
                <w:highlight w:val="none"/>
              </w:rPr>
            </w:pPr>
            <w:r>
              <w:rPr>
                <w:sz w:val="15"/>
                <w:szCs w:val="15"/>
                <w:highlight w:val="none"/>
              </w:rPr>
              <w:t>/</w:t>
            </w:r>
          </w:p>
        </w:tc>
      </w:tr>
      <w:tr w14:paraId="48D91028">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7058E48E">
            <w:pPr>
              <w:widowControl/>
              <w:jc w:val="center"/>
              <w:rPr>
                <w:sz w:val="15"/>
                <w:szCs w:val="15"/>
                <w:highlight w:val="none"/>
              </w:rPr>
            </w:pPr>
            <w:r>
              <w:rPr>
                <w:sz w:val="15"/>
                <w:szCs w:val="15"/>
                <w:highlight w:val="none"/>
              </w:rPr>
              <w:t>2025.04.17</w:t>
            </w:r>
          </w:p>
        </w:tc>
        <w:tc>
          <w:tcPr>
            <w:tcW w:w="306" w:type="pct"/>
            <w:tcBorders>
              <w:top w:val="nil"/>
              <w:left w:val="nil"/>
              <w:bottom w:val="single" w:color="auto" w:sz="4" w:space="0"/>
              <w:right w:val="single" w:color="auto" w:sz="4" w:space="0"/>
            </w:tcBorders>
            <w:shd w:val="clear" w:color="auto" w:fill="auto"/>
            <w:noWrap/>
            <w:vAlign w:val="center"/>
          </w:tcPr>
          <w:p w14:paraId="1D451220">
            <w:pPr>
              <w:widowControl/>
              <w:jc w:val="center"/>
              <w:rPr>
                <w:sz w:val="15"/>
                <w:szCs w:val="15"/>
                <w:highlight w:val="none"/>
              </w:rPr>
            </w:pPr>
            <w:r>
              <w:rPr>
                <w:sz w:val="15"/>
                <w:szCs w:val="15"/>
                <w:highlight w:val="none"/>
              </w:rPr>
              <w:t>11:30</w:t>
            </w:r>
          </w:p>
        </w:tc>
        <w:tc>
          <w:tcPr>
            <w:tcW w:w="368" w:type="pct"/>
            <w:tcBorders>
              <w:top w:val="nil"/>
              <w:left w:val="nil"/>
              <w:bottom w:val="single" w:color="auto" w:sz="4" w:space="0"/>
              <w:right w:val="single" w:color="auto" w:sz="4" w:space="0"/>
            </w:tcBorders>
            <w:shd w:val="clear" w:color="auto" w:fill="auto"/>
            <w:noWrap/>
            <w:vAlign w:val="center"/>
          </w:tcPr>
          <w:p w14:paraId="7DD516E2">
            <w:pPr>
              <w:widowControl/>
              <w:jc w:val="center"/>
              <w:rPr>
                <w:sz w:val="15"/>
                <w:szCs w:val="15"/>
                <w:highlight w:val="none"/>
              </w:rPr>
            </w:pPr>
            <w:r>
              <w:rPr>
                <w:sz w:val="15"/>
                <w:szCs w:val="15"/>
                <w:highlight w:val="none"/>
              </w:rPr>
              <w:t>6.67</w:t>
            </w:r>
          </w:p>
        </w:tc>
        <w:tc>
          <w:tcPr>
            <w:tcW w:w="348" w:type="pct"/>
            <w:tcBorders>
              <w:top w:val="nil"/>
              <w:left w:val="nil"/>
              <w:bottom w:val="single" w:color="auto" w:sz="4" w:space="0"/>
              <w:right w:val="single" w:color="auto" w:sz="4" w:space="0"/>
            </w:tcBorders>
            <w:shd w:val="clear" w:color="auto" w:fill="auto"/>
            <w:noWrap/>
            <w:vAlign w:val="center"/>
          </w:tcPr>
          <w:p w14:paraId="72DBE452">
            <w:pPr>
              <w:widowControl/>
              <w:jc w:val="center"/>
              <w:rPr>
                <w:sz w:val="15"/>
                <w:szCs w:val="15"/>
                <w:highlight w:val="none"/>
              </w:rPr>
            </w:pPr>
            <w:r>
              <w:rPr>
                <w:sz w:val="15"/>
                <w:szCs w:val="15"/>
                <w:highlight w:val="none"/>
              </w:rPr>
              <w:t>1.67</w:t>
            </w:r>
          </w:p>
        </w:tc>
        <w:tc>
          <w:tcPr>
            <w:tcW w:w="393" w:type="pct"/>
            <w:tcBorders>
              <w:top w:val="nil"/>
              <w:left w:val="nil"/>
              <w:bottom w:val="single" w:color="auto" w:sz="4" w:space="0"/>
              <w:right w:val="single" w:color="auto" w:sz="4" w:space="0"/>
            </w:tcBorders>
            <w:shd w:val="clear" w:color="auto" w:fill="auto"/>
            <w:noWrap/>
            <w:vAlign w:val="center"/>
          </w:tcPr>
          <w:p w14:paraId="78D30051">
            <w:pPr>
              <w:widowControl/>
              <w:jc w:val="center"/>
              <w:rPr>
                <w:sz w:val="15"/>
                <w:szCs w:val="15"/>
                <w:highlight w:val="none"/>
              </w:rPr>
            </w:pPr>
            <w:r>
              <w:rPr>
                <w:sz w:val="15"/>
                <w:szCs w:val="15"/>
                <w:highlight w:val="none"/>
              </w:rPr>
              <w:t>1499</w:t>
            </w:r>
          </w:p>
        </w:tc>
        <w:tc>
          <w:tcPr>
            <w:tcW w:w="375" w:type="pct"/>
            <w:tcBorders>
              <w:top w:val="nil"/>
              <w:left w:val="nil"/>
              <w:bottom w:val="single" w:color="auto" w:sz="4" w:space="0"/>
              <w:right w:val="single" w:color="auto" w:sz="4" w:space="0"/>
            </w:tcBorders>
            <w:shd w:val="clear" w:color="auto" w:fill="auto"/>
            <w:noWrap/>
            <w:vAlign w:val="center"/>
          </w:tcPr>
          <w:p w14:paraId="51C01E3C">
            <w:pPr>
              <w:widowControl/>
              <w:jc w:val="center"/>
              <w:rPr>
                <w:sz w:val="15"/>
                <w:szCs w:val="15"/>
                <w:highlight w:val="none"/>
              </w:rPr>
            </w:pPr>
            <w:r>
              <w:rPr>
                <w:sz w:val="15"/>
                <w:szCs w:val="15"/>
                <w:highlight w:val="none"/>
              </w:rPr>
              <w:t>17.4</w:t>
            </w:r>
          </w:p>
        </w:tc>
        <w:tc>
          <w:tcPr>
            <w:tcW w:w="361" w:type="pct"/>
            <w:tcBorders>
              <w:top w:val="nil"/>
              <w:left w:val="nil"/>
              <w:bottom w:val="single" w:color="auto" w:sz="4" w:space="0"/>
              <w:right w:val="single" w:color="auto" w:sz="4" w:space="0"/>
            </w:tcBorders>
            <w:shd w:val="clear" w:color="auto" w:fill="auto"/>
            <w:noWrap/>
            <w:vAlign w:val="center"/>
          </w:tcPr>
          <w:p w14:paraId="5254B28C">
            <w:pPr>
              <w:widowControl/>
              <w:jc w:val="center"/>
              <w:rPr>
                <w:sz w:val="15"/>
                <w:szCs w:val="15"/>
                <w:highlight w:val="none"/>
              </w:rPr>
            </w:pPr>
            <w:r>
              <w:rPr>
                <w:sz w:val="15"/>
                <w:szCs w:val="15"/>
                <w:highlight w:val="none"/>
              </w:rPr>
              <w:t>1.06</w:t>
            </w:r>
          </w:p>
        </w:tc>
        <w:tc>
          <w:tcPr>
            <w:tcW w:w="361" w:type="pct"/>
            <w:tcBorders>
              <w:top w:val="nil"/>
              <w:left w:val="nil"/>
              <w:bottom w:val="single" w:color="auto" w:sz="4" w:space="0"/>
              <w:right w:val="single" w:color="auto" w:sz="4" w:space="0"/>
            </w:tcBorders>
            <w:shd w:val="clear" w:color="auto" w:fill="auto"/>
            <w:noWrap/>
            <w:vAlign w:val="center"/>
          </w:tcPr>
          <w:p w14:paraId="16527B08">
            <w:pPr>
              <w:widowControl/>
              <w:jc w:val="center"/>
              <w:rPr>
                <w:sz w:val="15"/>
                <w:szCs w:val="15"/>
                <w:highlight w:val="none"/>
              </w:rPr>
            </w:pPr>
            <w:r>
              <w:rPr>
                <w:sz w:val="15"/>
                <w:szCs w:val="15"/>
                <w:highlight w:val="none"/>
              </w:rPr>
              <w:t>177.96</w:t>
            </w:r>
          </w:p>
        </w:tc>
        <w:tc>
          <w:tcPr>
            <w:tcW w:w="453" w:type="pct"/>
            <w:tcBorders>
              <w:top w:val="nil"/>
              <w:left w:val="nil"/>
              <w:bottom w:val="single" w:color="auto" w:sz="4" w:space="0"/>
              <w:right w:val="single" w:color="auto" w:sz="4" w:space="0"/>
            </w:tcBorders>
            <w:shd w:val="clear" w:color="auto" w:fill="auto"/>
            <w:noWrap/>
            <w:vAlign w:val="center"/>
          </w:tcPr>
          <w:p w14:paraId="75469109">
            <w:pPr>
              <w:widowControl/>
              <w:jc w:val="center"/>
              <w:rPr>
                <w:sz w:val="15"/>
                <w:szCs w:val="15"/>
                <w:highlight w:val="none"/>
              </w:rPr>
            </w:pPr>
            <w:r>
              <w:rPr>
                <w:sz w:val="15"/>
                <w:szCs w:val="15"/>
                <w:highlight w:val="none"/>
              </w:rPr>
              <w:t>4.57</w:t>
            </w:r>
          </w:p>
        </w:tc>
        <w:tc>
          <w:tcPr>
            <w:tcW w:w="453" w:type="pct"/>
            <w:tcBorders>
              <w:top w:val="nil"/>
              <w:left w:val="nil"/>
              <w:bottom w:val="single" w:color="auto" w:sz="4" w:space="0"/>
              <w:right w:val="single" w:color="auto" w:sz="4" w:space="0"/>
            </w:tcBorders>
            <w:shd w:val="clear" w:color="auto" w:fill="auto"/>
            <w:noWrap/>
            <w:vAlign w:val="center"/>
          </w:tcPr>
          <w:p w14:paraId="2F36E9C7">
            <w:pPr>
              <w:widowControl/>
              <w:jc w:val="center"/>
              <w:rPr>
                <w:sz w:val="15"/>
                <w:szCs w:val="15"/>
                <w:highlight w:val="none"/>
              </w:rPr>
            </w:pPr>
            <w:r>
              <w:rPr>
                <w:sz w:val="15"/>
                <w:szCs w:val="15"/>
                <w:highlight w:val="none"/>
              </w:rPr>
              <w:t>2.61</w:t>
            </w:r>
          </w:p>
        </w:tc>
        <w:tc>
          <w:tcPr>
            <w:tcW w:w="361" w:type="pct"/>
            <w:tcBorders>
              <w:top w:val="nil"/>
              <w:left w:val="nil"/>
              <w:bottom w:val="single" w:color="auto" w:sz="4" w:space="0"/>
              <w:right w:val="single" w:color="auto" w:sz="4" w:space="0"/>
            </w:tcBorders>
            <w:shd w:val="clear" w:color="auto" w:fill="auto"/>
            <w:noWrap/>
            <w:vAlign w:val="center"/>
          </w:tcPr>
          <w:p w14:paraId="68B33329">
            <w:pPr>
              <w:widowControl/>
              <w:jc w:val="center"/>
              <w:rPr>
                <w:sz w:val="15"/>
                <w:szCs w:val="15"/>
                <w:highlight w:val="none"/>
              </w:rPr>
            </w:pPr>
            <w:r>
              <w:rPr>
                <w:sz w:val="15"/>
                <w:szCs w:val="15"/>
                <w:highlight w:val="none"/>
              </w:rPr>
              <w:t>0.30</w:t>
            </w:r>
          </w:p>
        </w:tc>
        <w:tc>
          <w:tcPr>
            <w:tcW w:w="36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DBE8AC1">
            <w:pPr>
              <w:widowControl/>
              <w:jc w:val="center"/>
              <w:rPr>
                <w:sz w:val="15"/>
                <w:szCs w:val="15"/>
                <w:highlight w:val="none"/>
              </w:rPr>
            </w:pPr>
            <w:r>
              <w:rPr>
                <w:sz w:val="15"/>
                <w:szCs w:val="15"/>
                <w:highlight w:val="none"/>
              </w:rPr>
              <w:t>0.53</w:t>
            </w:r>
          </w:p>
        </w:tc>
        <w:tc>
          <w:tcPr>
            <w:tcW w:w="361" w:type="pct"/>
            <w:tcBorders>
              <w:top w:val="nil"/>
              <w:left w:val="nil"/>
              <w:bottom w:val="single" w:color="auto" w:sz="4" w:space="0"/>
              <w:right w:val="single" w:color="auto" w:sz="4" w:space="0"/>
            </w:tcBorders>
            <w:shd w:val="clear" w:color="auto" w:fill="auto"/>
            <w:noWrap/>
            <w:vAlign w:val="center"/>
          </w:tcPr>
          <w:p w14:paraId="51DDE64E">
            <w:pPr>
              <w:widowControl/>
              <w:jc w:val="center"/>
              <w:rPr>
                <w:sz w:val="15"/>
                <w:szCs w:val="15"/>
                <w:highlight w:val="none"/>
              </w:rPr>
            </w:pPr>
            <w:r>
              <w:rPr>
                <w:sz w:val="15"/>
                <w:szCs w:val="15"/>
                <w:highlight w:val="none"/>
              </w:rPr>
              <w:t>/</w:t>
            </w:r>
          </w:p>
        </w:tc>
      </w:tr>
      <w:tr w14:paraId="677DAB3E">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4A4DB5DB">
            <w:pPr>
              <w:widowControl/>
              <w:jc w:val="center"/>
              <w:rPr>
                <w:sz w:val="15"/>
                <w:szCs w:val="15"/>
                <w:highlight w:val="none"/>
              </w:rPr>
            </w:pPr>
            <w:r>
              <w:rPr>
                <w:sz w:val="15"/>
                <w:szCs w:val="15"/>
                <w:highlight w:val="none"/>
              </w:rPr>
              <w:t>2025.04.24</w:t>
            </w:r>
          </w:p>
        </w:tc>
        <w:tc>
          <w:tcPr>
            <w:tcW w:w="306" w:type="pct"/>
            <w:tcBorders>
              <w:top w:val="nil"/>
              <w:left w:val="nil"/>
              <w:bottom w:val="single" w:color="auto" w:sz="4" w:space="0"/>
              <w:right w:val="single" w:color="auto" w:sz="4" w:space="0"/>
            </w:tcBorders>
            <w:shd w:val="clear" w:color="auto" w:fill="auto"/>
            <w:noWrap/>
            <w:vAlign w:val="center"/>
          </w:tcPr>
          <w:p w14:paraId="22467EE8">
            <w:pPr>
              <w:widowControl/>
              <w:jc w:val="center"/>
              <w:rPr>
                <w:sz w:val="15"/>
                <w:szCs w:val="15"/>
                <w:highlight w:val="none"/>
              </w:rPr>
            </w:pPr>
            <w:r>
              <w:rPr>
                <w:sz w:val="15"/>
                <w:szCs w:val="15"/>
                <w:highlight w:val="none"/>
              </w:rPr>
              <w:t>11:40</w:t>
            </w:r>
          </w:p>
        </w:tc>
        <w:tc>
          <w:tcPr>
            <w:tcW w:w="368" w:type="pct"/>
            <w:tcBorders>
              <w:top w:val="nil"/>
              <w:left w:val="nil"/>
              <w:bottom w:val="single" w:color="auto" w:sz="4" w:space="0"/>
              <w:right w:val="single" w:color="auto" w:sz="4" w:space="0"/>
            </w:tcBorders>
            <w:shd w:val="clear" w:color="auto" w:fill="auto"/>
            <w:noWrap/>
            <w:vAlign w:val="center"/>
          </w:tcPr>
          <w:p w14:paraId="057F56C9">
            <w:pPr>
              <w:widowControl/>
              <w:jc w:val="center"/>
              <w:rPr>
                <w:sz w:val="15"/>
                <w:szCs w:val="15"/>
                <w:highlight w:val="none"/>
              </w:rPr>
            </w:pPr>
            <w:r>
              <w:rPr>
                <w:sz w:val="15"/>
                <w:szCs w:val="15"/>
                <w:highlight w:val="none"/>
              </w:rPr>
              <w:t>6.78</w:t>
            </w:r>
          </w:p>
        </w:tc>
        <w:tc>
          <w:tcPr>
            <w:tcW w:w="348" w:type="pct"/>
            <w:tcBorders>
              <w:top w:val="nil"/>
              <w:left w:val="nil"/>
              <w:bottom w:val="single" w:color="auto" w:sz="4" w:space="0"/>
              <w:right w:val="single" w:color="auto" w:sz="4" w:space="0"/>
            </w:tcBorders>
            <w:shd w:val="clear" w:color="auto" w:fill="auto"/>
            <w:noWrap/>
            <w:vAlign w:val="center"/>
          </w:tcPr>
          <w:p w14:paraId="013121F5">
            <w:pPr>
              <w:widowControl/>
              <w:jc w:val="center"/>
              <w:rPr>
                <w:sz w:val="15"/>
                <w:szCs w:val="15"/>
                <w:highlight w:val="none"/>
              </w:rPr>
            </w:pPr>
            <w:r>
              <w:rPr>
                <w:sz w:val="15"/>
                <w:szCs w:val="15"/>
                <w:highlight w:val="none"/>
              </w:rPr>
              <w:t>2.4</w:t>
            </w:r>
          </w:p>
        </w:tc>
        <w:tc>
          <w:tcPr>
            <w:tcW w:w="393" w:type="pct"/>
            <w:tcBorders>
              <w:top w:val="nil"/>
              <w:left w:val="nil"/>
              <w:bottom w:val="single" w:color="auto" w:sz="4" w:space="0"/>
              <w:right w:val="single" w:color="auto" w:sz="4" w:space="0"/>
            </w:tcBorders>
            <w:shd w:val="clear" w:color="auto" w:fill="auto"/>
            <w:noWrap/>
            <w:vAlign w:val="center"/>
          </w:tcPr>
          <w:p w14:paraId="54F06BAD">
            <w:pPr>
              <w:widowControl/>
              <w:jc w:val="center"/>
              <w:rPr>
                <w:sz w:val="15"/>
                <w:szCs w:val="15"/>
                <w:highlight w:val="none"/>
              </w:rPr>
            </w:pPr>
            <w:r>
              <w:rPr>
                <w:sz w:val="15"/>
                <w:szCs w:val="15"/>
                <w:highlight w:val="none"/>
              </w:rPr>
              <w:t>1509</w:t>
            </w:r>
          </w:p>
        </w:tc>
        <w:tc>
          <w:tcPr>
            <w:tcW w:w="375" w:type="pct"/>
            <w:tcBorders>
              <w:top w:val="nil"/>
              <w:left w:val="nil"/>
              <w:bottom w:val="single" w:color="auto" w:sz="4" w:space="0"/>
              <w:right w:val="single" w:color="auto" w:sz="4" w:space="0"/>
            </w:tcBorders>
            <w:shd w:val="clear" w:color="auto" w:fill="auto"/>
            <w:noWrap/>
            <w:vAlign w:val="center"/>
          </w:tcPr>
          <w:p w14:paraId="265FA41E">
            <w:pPr>
              <w:widowControl/>
              <w:jc w:val="center"/>
              <w:rPr>
                <w:sz w:val="15"/>
                <w:szCs w:val="15"/>
                <w:highlight w:val="none"/>
              </w:rPr>
            </w:pPr>
            <w:r>
              <w:rPr>
                <w:sz w:val="15"/>
                <w:szCs w:val="15"/>
                <w:highlight w:val="none"/>
              </w:rPr>
              <w:t>16</w:t>
            </w:r>
          </w:p>
        </w:tc>
        <w:tc>
          <w:tcPr>
            <w:tcW w:w="361" w:type="pct"/>
            <w:tcBorders>
              <w:top w:val="nil"/>
              <w:left w:val="nil"/>
              <w:bottom w:val="single" w:color="auto" w:sz="4" w:space="0"/>
              <w:right w:val="single" w:color="auto" w:sz="4" w:space="0"/>
            </w:tcBorders>
            <w:shd w:val="clear" w:color="auto" w:fill="auto"/>
            <w:noWrap/>
            <w:vAlign w:val="center"/>
          </w:tcPr>
          <w:p w14:paraId="3E27D0CA">
            <w:pPr>
              <w:widowControl/>
              <w:jc w:val="center"/>
              <w:rPr>
                <w:sz w:val="15"/>
                <w:szCs w:val="15"/>
                <w:highlight w:val="none"/>
              </w:rPr>
            </w:pPr>
            <w:r>
              <w:rPr>
                <w:sz w:val="15"/>
                <w:szCs w:val="15"/>
                <w:highlight w:val="none"/>
              </w:rPr>
              <w:t>0.36</w:t>
            </w:r>
          </w:p>
        </w:tc>
        <w:tc>
          <w:tcPr>
            <w:tcW w:w="361" w:type="pct"/>
            <w:tcBorders>
              <w:top w:val="nil"/>
              <w:left w:val="nil"/>
              <w:bottom w:val="single" w:color="auto" w:sz="4" w:space="0"/>
              <w:right w:val="single" w:color="auto" w:sz="4" w:space="0"/>
            </w:tcBorders>
            <w:shd w:val="clear" w:color="auto" w:fill="auto"/>
            <w:noWrap/>
            <w:vAlign w:val="center"/>
          </w:tcPr>
          <w:p w14:paraId="1881B093">
            <w:pPr>
              <w:widowControl/>
              <w:jc w:val="center"/>
              <w:rPr>
                <w:sz w:val="15"/>
                <w:szCs w:val="15"/>
                <w:highlight w:val="none"/>
              </w:rPr>
            </w:pPr>
            <w:r>
              <w:rPr>
                <w:sz w:val="15"/>
                <w:szCs w:val="15"/>
                <w:highlight w:val="none"/>
              </w:rPr>
              <w:t>260.18</w:t>
            </w:r>
          </w:p>
        </w:tc>
        <w:tc>
          <w:tcPr>
            <w:tcW w:w="453" w:type="pct"/>
            <w:tcBorders>
              <w:top w:val="nil"/>
              <w:left w:val="nil"/>
              <w:bottom w:val="single" w:color="auto" w:sz="4" w:space="0"/>
              <w:right w:val="single" w:color="auto" w:sz="4" w:space="0"/>
            </w:tcBorders>
            <w:shd w:val="clear" w:color="auto" w:fill="auto"/>
            <w:noWrap/>
            <w:vAlign w:val="center"/>
          </w:tcPr>
          <w:p w14:paraId="425FAD0D">
            <w:pPr>
              <w:widowControl/>
              <w:jc w:val="center"/>
              <w:rPr>
                <w:sz w:val="15"/>
                <w:szCs w:val="15"/>
                <w:highlight w:val="none"/>
              </w:rPr>
            </w:pPr>
            <w:r>
              <w:rPr>
                <w:sz w:val="15"/>
                <w:szCs w:val="15"/>
                <w:highlight w:val="none"/>
              </w:rPr>
              <w:t>4.58</w:t>
            </w:r>
          </w:p>
        </w:tc>
        <w:tc>
          <w:tcPr>
            <w:tcW w:w="453" w:type="pct"/>
            <w:tcBorders>
              <w:top w:val="nil"/>
              <w:left w:val="nil"/>
              <w:bottom w:val="single" w:color="auto" w:sz="4" w:space="0"/>
              <w:right w:val="single" w:color="auto" w:sz="4" w:space="0"/>
            </w:tcBorders>
            <w:shd w:val="clear" w:color="auto" w:fill="auto"/>
            <w:noWrap/>
            <w:vAlign w:val="center"/>
          </w:tcPr>
          <w:p w14:paraId="6B7EA7A8">
            <w:pPr>
              <w:widowControl/>
              <w:jc w:val="center"/>
              <w:rPr>
                <w:sz w:val="15"/>
                <w:szCs w:val="15"/>
                <w:highlight w:val="none"/>
              </w:rPr>
            </w:pPr>
            <w:r>
              <w:rPr>
                <w:sz w:val="15"/>
                <w:szCs w:val="15"/>
                <w:highlight w:val="none"/>
              </w:rPr>
              <w:t>2.4</w:t>
            </w:r>
          </w:p>
        </w:tc>
        <w:tc>
          <w:tcPr>
            <w:tcW w:w="361" w:type="pct"/>
            <w:tcBorders>
              <w:top w:val="nil"/>
              <w:left w:val="nil"/>
              <w:bottom w:val="single" w:color="auto" w:sz="4" w:space="0"/>
              <w:right w:val="single" w:color="auto" w:sz="4" w:space="0"/>
            </w:tcBorders>
            <w:shd w:val="clear" w:color="auto" w:fill="auto"/>
            <w:noWrap/>
            <w:vAlign w:val="center"/>
          </w:tcPr>
          <w:p w14:paraId="74F2D35C">
            <w:pPr>
              <w:widowControl/>
              <w:jc w:val="center"/>
              <w:rPr>
                <w:sz w:val="15"/>
                <w:szCs w:val="15"/>
                <w:highlight w:val="none"/>
              </w:rPr>
            </w:pPr>
            <w:r>
              <w:rPr>
                <w:sz w:val="15"/>
                <w:szCs w:val="15"/>
                <w:highlight w:val="none"/>
              </w:rPr>
              <w:t>0.30</w:t>
            </w:r>
          </w:p>
        </w:tc>
        <w:tc>
          <w:tcPr>
            <w:tcW w:w="361" w:type="pct"/>
            <w:tcBorders>
              <w:top w:val="nil"/>
              <w:left w:val="nil"/>
              <w:bottom w:val="single" w:color="auto" w:sz="4" w:space="0"/>
              <w:right w:val="single" w:color="auto" w:sz="4" w:space="0"/>
            </w:tcBorders>
            <w:shd w:val="clear" w:color="auto" w:fill="auto"/>
            <w:noWrap/>
            <w:vAlign w:val="center"/>
          </w:tcPr>
          <w:p w14:paraId="22A37007">
            <w:pPr>
              <w:widowControl/>
              <w:jc w:val="center"/>
              <w:rPr>
                <w:sz w:val="15"/>
                <w:szCs w:val="15"/>
                <w:highlight w:val="none"/>
              </w:rPr>
            </w:pPr>
            <w:r>
              <w:rPr>
                <w:sz w:val="15"/>
                <w:szCs w:val="15"/>
                <w:highlight w:val="none"/>
              </w:rPr>
              <w:t>0.45</w:t>
            </w:r>
          </w:p>
        </w:tc>
        <w:tc>
          <w:tcPr>
            <w:tcW w:w="361" w:type="pct"/>
            <w:tcBorders>
              <w:top w:val="nil"/>
              <w:left w:val="nil"/>
              <w:bottom w:val="single" w:color="auto" w:sz="4" w:space="0"/>
              <w:right w:val="single" w:color="auto" w:sz="4" w:space="0"/>
            </w:tcBorders>
            <w:shd w:val="clear" w:color="auto" w:fill="auto"/>
            <w:noWrap/>
            <w:vAlign w:val="center"/>
          </w:tcPr>
          <w:p w14:paraId="730D7CE7">
            <w:pPr>
              <w:widowControl/>
              <w:jc w:val="center"/>
              <w:rPr>
                <w:sz w:val="15"/>
                <w:szCs w:val="15"/>
                <w:highlight w:val="none"/>
              </w:rPr>
            </w:pPr>
            <w:r>
              <w:rPr>
                <w:sz w:val="15"/>
                <w:szCs w:val="15"/>
                <w:highlight w:val="none"/>
              </w:rPr>
              <w:t>0.01</w:t>
            </w:r>
          </w:p>
        </w:tc>
      </w:tr>
      <w:tr w14:paraId="0A2AAC60">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5B1F5724">
            <w:pPr>
              <w:widowControl/>
              <w:jc w:val="center"/>
              <w:rPr>
                <w:sz w:val="15"/>
                <w:szCs w:val="15"/>
                <w:highlight w:val="none"/>
              </w:rPr>
            </w:pPr>
            <w:r>
              <w:rPr>
                <w:sz w:val="15"/>
                <w:szCs w:val="15"/>
                <w:highlight w:val="none"/>
              </w:rPr>
              <w:t>2025.04.28</w:t>
            </w:r>
          </w:p>
        </w:tc>
        <w:tc>
          <w:tcPr>
            <w:tcW w:w="306" w:type="pct"/>
            <w:tcBorders>
              <w:top w:val="nil"/>
              <w:left w:val="nil"/>
              <w:bottom w:val="single" w:color="auto" w:sz="4" w:space="0"/>
              <w:right w:val="single" w:color="auto" w:sz="4" w:space="0"/>
            </w:tcBorders>
            <w:shd w:val="clear" w:color="auto" w:fill="auto"/>
            <w:noWrap/>
            <w:vAlign w:val="center"/>
          </w:tcPr>
          <w:p w14:paraId="5C5EF650">
            <w:pPr>
              <w:widowControl/>
              <w:jc w:val="center"/>
              <w:rPr>
                <w:sz w:val="15"/>
                <w:szCs w:val="15"/>
                <w:highlight w:val="none"/>
              </w:rPr>
            </w:pPr>
            <w:r>
              <w:rPr>
                <w:sz w:val="15"/>
                <w:szCs w:val="15"/>
                <w:highlight w:val="none"/>
              </w:rPr>
              <w:t>11:10</w:t>
            </w:r>
          </w:p>
        </w:tc>
        <w:tc>
          <w:tcPr>
            <w:tcW w:w="368" w:type="pct"/>
            <w:tcBorders>
              <w:top w:val="nil"/>
              <w:left w:val="nil"/>
              <w:bottom w:val="single" w:color="auto" w:sz="4" w:space="0"/>
              <w:right w:val="single" w:color="auto" w:sz="4" w:space="0"/>
            </w:tcBorders>
            <w:shd w:val="clear" w:color="auto" w:fill="auto"/>
            <w:noWrap/>
            <w:vAlign w:val="center"/>
          </w:tcPr>
          <w:p w14:paraId="421C4D07">
            <w:pPr>
              <w:widowControl/>
              <w:jc w:val="center"/>
              <w:rPr>
                <w:sz w:val="15"/>
                <w:szCs w:val="15"/>
                <w:highlight w:val="none"/>
              </w:rPr>
            </w:pPr>
            <w:r>
              <w:rPr>
                <w:sz w:val="15"/>
                <w:szCs w:val="15"/>
                <w:highlight w:val="none"/>
              </w:rPr>
              <w:t>6.55</w:t>
            </w:r>
          </w:p>
        </w:tc>
        <w:tc>
          <w:tcPr>
            <w:tcW w:w="348" w:type="pct"/>
            <w:tcBorders>
              <w:top w:val="nil"/>
              <w:left w:val="nil"/>
              <w:bottom w:val="single" w:color="auto" w:sz="4" w:space="0"/>
              <w:right w:val="single" w:color="auto" w:sz="4" w:space="0"/>
            </w:tcBorders>
            <w:shd w:val="clear" w:color="auto" w:fill="auto"/>
            <w:noWrap/>
            <w:vAlign w:val="center"/>
          </w:tcPr>
          <w:p w14:paraId="52C3E9F2">
            <w:pPr>
              <w:widowControl/>
              <w:jc w:val="center"/>
              <w:rPr>
                <w:sz w:val="15"/>
                <w:szCs w:val="15"/>
                <w:highlight w:val="none"/>
              </w:rPr>
            </w:pPr>
            <w:r>
              <w:rPr>
                <w:sz w:val="15"/>
                <w:szCs w:val="15"/>
                <w:highlight w:val="none"/>
              </w:rPr>
              <w:t>2</w:t>
            </w:r>
          </w:p>
        </w:tc>
        <w:tc>
          <w:tcPr>
            <w:tcW w:w="393" w:type="pct"/>
            <w:tcBorders>
              <w:top w:val="nil"/>
              <w:left w:val="nil"/>
              <w:bottom w:val="single" w:color="auto" w:sz="4" w:space="0"/>
              <w:right w:val="single" w:color="auto" w:sz="4" w:space="0"/>
            </w:tcBorders>
            <w:shd w:val="clear" w:color="auto" w:fill="auto"/>
            <w:noWrap/>
            <w:vAlign w:val="center"/>
          </w:tcPr>
          <w:p w14:paraId="40F2D20A">
            <w:pPr>
              <w:widowControl/>
              <w:jc w:val="center"/>
              <w:rPr>
                <w:sz w:val="15"/>
                <w:szCs w:val="15"/>
                <w:highlight w:val="none"/>
              </w:rPr>
            </w:pPr>
            <w:r>
              <w:rPr>
                <w:sz w:val="15"/>
                <w:szCs w:val="15"/>
                <w:highlight w:val="none"/>
              </w:rPr>
              <w:t>1479</w:t>
            </w:r>
          </w:p>
        </w:tc>
        <w:tc>
          <w:tcPr>
            <w:tcW w:w="375" w:type="pct"/>
            <w:tcBorders>
              <w:top w:val="nil"/>
              <w:left w:val="nil"/>
              <w:bottom w:val="single" w:color="auto" w:sz="4" w:space="0"/>
              <w:right w:val="single" w:color="auto" w:sz="4" w:space="0"/>
            </w:tcBorders>
            <w:shd w:val="clear" w:color="auto" w:fill="auto"/>
            <w:noWrap/>
            <w:vAlign w:val="center"/>
          </w:tcPr>
          <w:p w14:paraId="3E709D67">
            <w:pPr>
              <w:widowControl/>
              <w:jc w:val="center"/>
              <w:rPr>
                <w:sz w:val="15"/>
                <w:szCs w:val="15"/>
                <w:highlight w:val="none"/>
              </w:rPr>
            </w:pPr>
            <w:r>
              <w:rPr>
                <w:sz w:val="15"/>
                <w:szCs w:val="15"/>
                <w:highlight w:val="none"/>
              </w:rPr>
              <w:t>36.1</w:t>
            </w:r>
          </w:p>
        </w:tc>
        <w:tc>
          <w:tcPr>
            <w:tcW w:w="361" w:type="pct"/>
            <w:tcBorders>
              <w:top w:val="nil"/>
              <w:left w:val="nil"/>
              <w:bottom w:val="single" w:color="auto" w:sz="4" w:space="0"/>
              <w:right w:val="single" w:color="auto" w:sz="4" w:space="0"/>
            </w:tcBorders>
            <w:shd w:val="clear" w:color="auto" w:fill="auto"/>
            <w:noWrap/>
            <w:vAlign w:val="center"/>
          </w:tcPr>
          <w:p w14:paraId="0153551C">
            <w:pPr>
              <w:widowControl/>
              <w:jc w:val="center"/>
              <w:rPr>
                <w:sz w:val="15"/>
                <w:szCs w:val="15"/>
                <w:highlight w:val="none"/>
              </w:rPr>
            </w:pPr>
            <w:r>
              <w:rPr>
                <w:sz w:val="15"/>
                <w:szCs w:val="15"/>
                <w:highlight w:val="none"/>
              </w:rPr>
              <w:t>0.39</w:t>
            </w:r>
          </w:p>
        </w:tc>
        <w:tc>
          <w:tcPr>
            <w:tcW w:w="361" w:type="pct"/>
            <w:tcBorders>
              <w:top w:val="nil"/>
              <w:left w:val="nil"/>
              <w:bottom w:val="single" w:color="auto" w:sz="4" w:space="0"/>
              <w:right w:val="single" w:color="auto" w:sz="4" w:space="0"/>
            </w:tcBorders>
            <w:shd w:val="clear" w:color="auto" w:fill="auto"/>
            <w:noWrap/>
            <w:vAlign w:val="center"/>
          </w:tcPr>
          <w:p w14:paraId="74F4BABB">
            <w:pPr>
              <w:widowControl/>
              <w:jc w:val="center"/>
              <w:rPr>
                <w:sz w:val="15"/>
                <w:szCs w:val="15"/>
                <w:highlight w:val="none"/>
              </w:rPr>
            </w:pPr>
            <w:r>
              <w:rPr>
                <w:sz w:val="15"/>
                <w:szCs w:val="15"/>
                <w:highlight w:val="none"/>
              </w:rPr>
              <w:t>223.16</w:t>
            </w:r>
          </w:p>
        </w:tc>
        <w:tc>
          <w:tcPr>
            <w:tcW w:w="453" w:type="pct"/>
            <w:tcBorders>
              <w:top w:val="nil"/>
              <w:left w:val="nil"/>
              <w:bottom w:val="single" w:color="auto" w:sz="4" w:space="0"/>
              <w:right w:val="single" w:color="auto" w:sz="4" w:space="0"/>
            </w:tcBorders>
            <w:shd w:val="clear" w:color="auto" w:fill="auto"/>
            <w:noWrap/>
            <w:vAlign w:val="center"/>
          </w:tcPr>
          <w:p w14:paraId="6BAC948A">
            <w:pPr>
              <w:widowControl/>
              <w:jc w:val="center"/>
              <w:rPr>
                <w:sz w:val="15"/>
                <w:szCs w:val="15"/>
                <w:highlight w:val="none"/>
              </w:rPr>
            </w:pPr>
            <w:r>
              <w:rPr>
                <w:sz w:val="15"/>
                <w:szCs w:val="15"/>
                <w:highlight w:val="none"/>
              </w:rPr>
              <w:t>4.39</w:t>
            </w:r>
          </w:p>
        </w:tc>
        <w:tc>
          <w:tcPr>
            <w:tcW w:w="453" w:type="pct"/>
            <w:tcBorders>
              <w:top w:val="nil"/>
              <w:left w:val="nil"/>
              <w:bottom w:val="single" w:color="auto" w:sz="4" w:space="0"/>
              <w:right w:val="single" w:color="auto" w:sz="4" w:space="0"/>
            </w:tcBorders>
            <w:shd w:val="clear" w:color="auto" w:fill="auto"/>
            <w:noWrap/>
            <w:vAlign w:val="center"/>
          </w:tcPr>
          <w:p w14:paraId="56CB5A35">
            <w:pPr>
              <w:widowControl/>
              <w:jc w:val="center"/>
              <w:rPr>
                <w:sz w:val="15"/>
                <w:szCs w:val="15"/>
                <w:highlight w:val="none"/>
              </w:rPr>
            </w:pPr>
            <w:r>
              <w:rPr>
                <w:sz w:val="15"/>
                <w:szCs w:val="15"/>
                <w:highlight w:val="none"/>
              </w:rPr>
              <w:t>2.45</w:t>
            </w:r>
          </w:p>
        </w:tc>
        <w:tc>
          <w:tcPr>
            <w:tcW w:w="361" w:type="pct"/>
            <w:tcBorders>
              <w:top w:val="nil"/>
              <w:left w:val="nil"/>
              <w:bottom w:val="single" w:color="auto" w:sz="4" w:space="0"/>
              <w:right w:val="single" w:color="auto" w:sz="4" w:space="0"/>
            </w:tcBorders>
            <w:shd w:val="clear" w:color="auto" w:fill="auto"/>
            <w:noWrap/>
            <w:vAlign w:val="center"/>
          </w:tcPr>
          <w:p w14:paraId="525088A2">
            <w:pPr>
              <w:widowControl/>
              <w:jc w:val="center"/>
              <w:rPr>
                <w:sz w:val="15"/>
                <w:szCs w:val="15"/>
                <w:highlight w:val="none"/>
              </w:rPr>
            </w:pPr>
            <w:r>
              <w:rPr>
                <w:sz w:val="15"/>
                <w:szCs w:val="15"/>
                <w:highlight w:val="none"/>
              </w:rPr>
              <w:t>0.10</w:t>
            </w:r>
          </w:p>
        </w:tc>
        <w:tc>
          <w:tcPr>
            <w:tcW w:w="36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6967F79">
            <w:pPr>
              <w:widowControl/>
              <w:jc w:val="center"/>
              <w:rPr>
                <w:sz w:val="15"/>
                <w:szCs w:val="15"/>
                <w:highlight w:val="none"/>
              </w:rPr>
            </w:pPr>
            <w:r>
              <w:rPr>
                <w:sz w:val="15"/>
                <w:szCs w:val="15"/>
                <w:highlight w:val="none"/>
              </w:rPr>
              <w:t>0.58</w:t>
            </w:r>
          </w:p>
        </w:tc>
        <w:tc>
          <w:tcPr>
            <w:tcW w:w="361" w:type="pct"/>
            <w:tcBorders>
              <w:top w:val="nil"/>
              <w:left w:val="nil"/>
              <w:bottom w:val="single" w:color="auto" w:sz="4" w:space="0"/>
              <w:right w:val="single" w:color="auto" w:sz="4" w:space="0"/>
            </w:tcBorders>
            <w:shd w:val="clear" w:color="auto" w:fill="auto"/>
            <w:noWrap/>
            <w:vAlign w:val="center"/>
          </w:tcPr>
          <w:p w14:paraId="06A52FE2">
            <w:pPr>
              <w:widowControl/>
              <w:jc w:val="center"/>
              <w:rPr>
                <w:sz w:val="15"/>
                <w:szCs w:val="15"/>
                <w:highlight w:val="none"/>
              </w:rPr>
            </w:pPr>
            <w:r>
              <w:rPr>
                <w:sz w:val="15"/>
                <w:szCs w:val="15"/>
                <w:highlight w:val="none"/>
              </w:rPr>
              <w:t>/</w:t>
            </w:r>
          </w:p>
        </w:tc>
      </w:tr>
      <w:tr w14:paraId="59085926">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222385FD">
            <w:pPr>
              <w:widowControl/>
              <w:jc w:val="center"/>
              <w:rPr>
                <w:sz w:val="15"/>
                <w:szCs w:val="15"/>
                <w:highlight w:val="none"/>
              </w:rPr>
            </w:pPr>
            <w:r>
              <w:rPr>
                <w:sz w:val="15"/>
                <w:szCs w:val="15"/>
                <w:highlight w:val="none"/>
              </w:rPr>
              <w:t>2025.04.29</w:t>
            </w:r>
          </w:p>
        </w:tc>
        <w:tc>
          <w:tcPr>
            <w:tcW w:w="306" w:type="pct"/>
            <w:tcBorders>
              <w:top w:val="nil"/>
              <w:left w:val="nil"/>
              <w:bottom w:val="single" w:color="auto" w:sz="4" w:space="0"/>
              <w:right w:val="single" w:color="auto" w:sz="4" w:space="0"/>
            </w:tcBorders>
            <w:shd w:val="clear" w:color="auto" w:fill="auto"/>
            <w:noWrap/>
            <w:vAlign w:val="center"/>
          </w:tcPr>
          <w:p w14:paraId="47D80DB5">
            <w:pPr>
              <w:widowControl/>
              <w:jc w:val="center"/>
              <w:rPr>
                <w:sz w:val="15"/>
                <w:szCs w:val="15"/>
                <w:highlight w:val="none"/>
              </w:rPr>
            </w:pPr>
            <w:r>
              <w:rPr>
                <w:sz w:val="15"/>
                <w:szCs w:val="15"/>
                <w:highlight w:val="none"/>
              </w:rPr>
              <w:t>16:00</w:t>
            </w:r>
          </w:p>
        </w:tc>
        <w:tc>
          <w:tcPr>
            <w:tcW w:w="368" w:type="pct"/>
            <w:tcBorders>
              <w:top w:val="nil"/>
              <w:left w:val="nil"/>
              <w:bottom w:val="single" w:color="auto" w:sz="4" w:space="0"/>
              <w:right w:val="single" w:color="auto" w:sz="4" w:space="0"/>
            </w:tcBorders>
            <w:shd w:val="clear" w:color="auto" w:fill="auto"/>
            <w:noWrap/>
            <w:vAlign w:val="center"/>
          </w:tcPr>
          <w:p w14:paraId="4692A794">
            <w:pPr>
              <w:widowControl/>
              <w:jc w:val="center"/>
              <w:rPr>
                <w:sz w:val="15"/>
                <w:szCs w:val="15"/>
                <w:highlight w:val="none"/>
              </w:rPr>
            </w:pPr>
            <w:r>
              <w:rPr>
                <w:sz w:val="15"/>
                <w:szCs w:val="15"/>
                <w:highlight w:val="none"/>
              </w:rPr>
              <w:t>/</w:t>
            </w:r>
          </w:p>
        </w:tc>
        <w:tc>
          <w:tcPr>
            <w:tcW w:w="348" w:type="pct"/>
            <w:tcBorders>
              <w:top w:val="nil"/>
              <w:left w:val="nil"/>
              <w:bottom w:val="single" w:color="auto" w:sz="4" w:space="0"/>
              <w:right w:val="single" w:color="auto" w:sz="4" w:space="0"/>
            </w:tcBorders>
            <w:shd w:val="clear" w:color="auto" w:fill="auto"/>
            <w:noWrap/>
            <w:vAlign w:val="center"/>
          </w:tcPr>
          <w:p w14:paraId="0333B5E8">
            <w:pPr>
              <w:widowControl/>
              <w:jc w:val="center"/>
              <w:rPr>
                <w:sz w:val="15"/>
                <w:szCs w:val="15"/>
                <w:highlight w:val="none"/>
              </w:rPr>
            </w:pPr>
            <w:r>
              <w:rPr>
                <w:sz w:val="15"/>
                <w:szCs w:val="15"/>
                <w:highlight w:val="none"/>
              </w:rPr>
              <w:t>/</w:t>
            </w:r>
          </w:p>
        </w:tc>
        <w:tc>
          <w:tcPr>
            <w:tcW w:w="393" w:type="pct"/>
            <w:tcBorders>
              <w:top w:val="nil"/>
              <w:left w:val="nil"/>
              <w:bottom w:val="single" w:color="auto" w:sz="4" w:space="0"/>
              <w:right w:val="single" w:color="auto" w:sz="4" w:space="0"/>
            </w:tcBorders>
            <w:shd w:val="clear" w:color="auto" w:fill="auto"/>
            <w:noWrap/>
            <w:vAlign w:val="center"/>
          </w:tcPr>
          <w:p w14:paraId="71D6304A">
            <w:pPr>
              <w:widowControl/>
              <w:jc w:val="center"/>
              <w:rPr>
                <w:sz w:val="15"/>
                <w:szCs w:val="15"/>
                <w:highlight w:val="none"/>
              </w:rPr>
            </w:pPr>
            <w:r>
              <w:rPr>
                <w:sz w:val="15"/>
                <w:szCs w:val="15"/>
                <w:highlight w:val="none"/>
              </w:rPr>
              <w:t>1698</w:t>
            </w:r>
          </w:p>
        </w:tc>
        <w:tc>
          <w:tcPr>
            <w:tcW w:w="375" w:type="pct"/>
            <w:tcBorders>
              <w:top w:val="nil"/>
              <w:left w:val="nil"/>
              <w:bottom w:val="single" w:color="auto" w:sz="4" w:space="0"/>
              <w:right w:val="single" w:color="auto" w:sz="4" w:space="0"/>
            </w:tcBorders>
            <w:shd w:val="clear" w:color="auto" w:fill="auto"/>
            <w:noWrap/>
            <w:vAlign w:val="center"/>
          </w:tcPr>
          <w:p w14:paraId="41076AC4">
            <w:pPr>
              <w:widowControl/>
              <w:jc w:val="center"/>
              <w:rPr>
                <w:sz w:val="15"/>
                <w:szCs w:val="15"/>
                <w:highlight w:val="none"/>
              </w:rPr>
            </w:pPr>
            <w:r>
              <w:rPr>
                <w:sz w:val="15"/>
                <w:szCs w:val="15"/>
                <w:highlight w:val="none"/>
              </w:rPr>
              <w:t>17.8</w:t>
            </w:r>
          </w:p>
        </w:tc>
        <w:tc>
          <w:tcPr>
            <w:tcW w:w="361" w:type="pct"/>
            <w:tcBorders>
              <w:top w:val="nil"/>
              <w:left w:val="nil"/>
              <w:bottom w:val="single" w:color="auto" w:sz="4" w:space="0"/>
              <w:right w:val="single" w:color="auto" w:sz="4" w:space="0"/>
            </w:tcBorders>
            <w:shd w:val="clear" w:color="auto" w:fill="auto"/>
            <w:noWrap/>
            <w:vAlign w:val="center"/>
          </w:tcPr>
          <w:p w14:paraId="5497B08D">
            <w:pPr>
              <w:widowControl/>
              <w:jc w:val="center"/>
              <w:rPr>
                <w:sz w:val="15"/>
                <w:szCs w:val="15"/>
                <w:highlight w:val="none"/>
              </w:rPr>
            </w:pPr>
            <w:r>
              <w:rPr>
                <w:sz w:val="15"/>
                <w:szCs w:val="15"/>
                <w:highlight w:val="none"/>
              </w:rPr>
              <w:t>/</w:t>
            </w:r>
          </w:p>
        </w:tc>
        <w:tc>
          <w:tcPr>
            <w:tcW w:w="361" w:type="pct"/>
            <w:tcBorders>
              <w:top w:val="nil"/>
              <w:left w:val="nil"/>
              <w:bottom w:val="single" w:color="auto" w:sz="4" w:space="0"/>
              <w:right w:val="single" w:color="auto" w:sz="4" w:space="0"/>
            </w:tcBorders>
            <w:shd w:val="clear" w:color="auto" w:fill="auto"/>
            <w:noWrap/>
            <w:vAlign w:val="center"/>
          </w:tcPr>
          <w:p w14:paraId="5A5CF8C6">
            <w:pPr>
              <w:widowControl/>
              <w:jc w:val="center"/>
              <w:rPr>
                <w:sz w:val="15"/>
                <w:szCs w:val="15"/>
                <w:highlight w:val="none"/>
              </w:rPr>
            </w:pPr>
            <w:r>
              <w:rPr>
                <w:sz w:val="15"/>
                <w:szCs w:val="15"/>
                <w:highlight w:val="none"/>
              </w:rPr>
              <w:t>227.21</w:t>
            </w:r>
          </w:p>
        </w:tc>
        <w:tc>
          <w:tcPr>
            <w:tcW w:w="453" w:type="pct"/>
            <w:tcBorders>
              <w:top w:val="nil"/>
              <w:left w:val="nil"/>
              <w:bottom w:val="single" w:color="auto" w:sz="4" w:space="0"/>
              <w:right w:val="single" w:color="auto" w:sz="4" w:space="0"/>
            </w:tcBorders>
            <w:shd w:val="clear" w:color="auto" w:fill="auto"/>
            <w:noWrap/>
            <w:vAlign w:val="center"/>
          </w:tcPr>
          <w:p w14:paraId="3BC09ED1">
            <w:pPr>
              <w:widowControl/>
              <w:jc w:val="center"/>
              <w:rPr>
                <w:sz w:val="15"/>
                <w:szCs w:val="15"/>
                <w:highlight w:val="none"/>
              </w:rPr>
            </w:pPr>
            <w:r>
              <w:rPr>
                <w:sz w:val="15"/>
                <w:szCs w:val="15"/>
                <w:highlight w:val="none"/>
              </w:rPr>
              <w:t>/</w:t>
            </w:r>
          </w:p>
        </w:tc>
        <w:tc>
          <w:tcPr>
            <w:tcW w:w="453" w:type="pct"/>
            <w:tcBorders>
              <w:top w:val="nil"/>
              <w:left w:val="nil"/>
              <w:bottom w:val="single" w:color="auto" w:sz="4" w:space="0"/>
              <w:right w:val="single" w:color="auto" w:sz="4" w:space="0"/>
            </w:tcBorders>
            <w:shd w:val="clear" w:color="auto" w:fill="auto"/>
            <w:noWrap/>
            <w:vAlign w:val="center"/>
          </w:tcPr>
          <w:p w14:paraId="67999E6D">
            <w:pPr>
              <w:widowControl/>
              <w:jc w:val="center"/>
              <w:rPr>
                <w:sz w:val="15"/>
                <w:szCs w:val="15"/>
                <w:highlight w:val="none"/>
              </w:rPr>
            </w:pPr>
            <w:r>
              <w:rPr>
                <w:sz w:val="15"/>
                <w:szCs w:val="15"/>
                <w:highlight w:val="none"/>
              </w:rPr>
              <w:t>/</w:t>
            </w:r>
          </w:p>
        </w:tc>
        <w:tc>
          <w:tcPr>
            <w:tcW w:w="36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B5FA806">
            <w:pPr>
              <w:widowControl/>
              <w:jc w:val="center"/>
              <w:rPr>
                <w:sz w:val="15"/>
                <w:szCs w:val="15"/>
                <w:highlight w:val="none"/>
              </w:rPr>
            </w:pPr>
            <w:r>
              <w:rPr>
                <w:sz w:val="15"/>
                <w:szCs w:val="15"/>
                <w:highlight w:val="none"/>
              </w:rPr>
              <w:t>/</w:t>
            </w:r>
          </w:p>
        </w:tc>
        <w:tc>
          <w:tcPr>
            <w:tcW w:w="36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FBD9B49">
            <w:pPr>
              <w:widowControl/>
              <w:jc w:val="center"/>
              <w:rPr>
                <w:sz w:val="15"/>
                <w:szCs w:val="15"/>
                <w:highlight w:val="none"/>
              </w:rPr>
            </w:pPr>
            <w:r>
              <w:rPr>
                <w:sz w:val="15"/>
                <w:szCs w:val="15"/>
                <w:highlight w:val="none"/>
              </w:rPr>
              <w:t>/</w:t>
            </w:r>
          </w:p>
        </w:tc>
        <w:tc>
          <w:tcPr>
            <w:tcW w:w="361" w:type="pct"/>
            <w:tcBorders>
              <w:top w:val="nil"/>
              <w:left w:val="nil"/>
              <w:bottom w:val="single" w:color="auto" w:sz="4" w:space="0"/>
              <w:right w:val="single" w:color="auto" w:sz="4" w:space="0"/>
            </w:tcBorders>
            <w:shd w:val="clear" w:color="auto" w:fill="auto"/>
            <w:noWrap/>
            <w:vAlign w:val="center"/>
          </w:tcPr>
          <w:p w14:paraId="57FB26B2">
            <w:pPr>
              <w:widowControl/>
              <w:jc w:val="center"/>
              <w:rPr>
                <w:sz w:val="15"/>
                <w:szCs w:val="15"/>
                <w:highlight w:val="none"/>
              </w:rPr>
            </w:pPr>
            <w:r>
              <w:rPr>
                <w:sz w:val="15"/>
                <w:szCs w:val="15"/>
                <w:highlight w:val="none"/>
              </w:rPr>
              <w:t>/</w:t>
            </w:r>
          </w:p>
        </w:tc>
      </w:tr>
      <w:tr w14:paraId="4DBEA56B">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3050E285">
            <w:pPr>
              <w:widowControl/>
              <w:jc w:val="center"/>
              <w:rPr>
                <w:sz w:val="15"/>
                <w:szCs w:val="15"/>
                <w:highlight w:val="none"/>
              </w:rPr>
            </w:pPr>
            <w:r>
              <w:rPr>
                <w:sz w:val="15"/>
                <w:szCs w:val="15"/>
                <w:highlight w:val="none"/>
              </w:rPr>
              <w:t>2025.04.30</w:t>
            </w:r>
          </w:p>
        </w:tc>
        <w:tc>
          <w:tcPr>
            <w:tcW w:w="306" w:type="pct"/>
            <w:tcBorders>
              <w:top w:val="nil"/>
              <w:left w:val="nil"/>
              <w:bottom w:val="single" w:color="auto" w:sz="4" w:space="0"/>
              <w:right w:val="single" w:color="auto" w:sz="4" w:space="0"/>
            </w:tcBorders>
            <w:shd w:val="clear" w:color="auto" w:fill="auto"/>
            <w:noWrap/>
            <w:vAlign w:val="center"/>
          </w:tcPr>
          <w:p w14:paraId="2A0EC862">
            <w:pPr>
              <w:widowControl/>
              <w:jc w:val="center"/>
              <w:rPr>
                <w:sz w:val="15"/>
                <w:szCs w:val="15"/>
                <w:highlight w:val="none"/>
              </w:rPr>
            </w:pPr>
            <w:r>
              <w:rPr>
                <w:sz w:val="15"/>
                <w:szCs w:val="15"/>
                <w:highlight w:val="none"/>
              </w:rPr>
              <w:t>16:00</w:t>
            </w:r>
          </w:p>
        </w:tc>
        <w:tc>
          <w:tcPr>
            <w:tcW w:w="368" w:type="pct"/>
            <w:tcBorders>
              <w:top w:val="nil"/>
              <w:left w:val="nil"/>
              <w:bottom w:val="single" w:color="auto" w:sz="4" w:space="0"/>
              <w:right w:val="single" w:color="auto" w:sz="4" w:space="0"/>
            </w:tcBorders>
            <w:shd w:val="clear" w:color="auto" w:fill="auto"/>
            <w:noWrap/>
            <w:vAlign w:val="center"/>
          </w:tcPr>
          <w:p w14:paraId="142A16B2">
            <w:pPr>
              <w:widowControl/>
              <w:jc w:val="center"/>
              <w:rPr>
                <w:sz w:val="15"/>
                <w:szCs w:val="15"/>
                <w:highlight w:val="none"/>
              </w:rPr>
            </w:pPr>
            <w:r>
              <w:rPr>
                <w:sz w:val="15"/>
                <w:szCs w:val="15"/>
                <w:highlight w:val="none"/>
              </w:rPr>
              <w:t>/</w:t>
            </w:r>
          </w:p>
        </w:tc>
        <w:tc>
          <w:tcPr>
            <w:tcW w:w="348" w:type="pct"/>
            <w:tcBorders>
              <w:top w:val="nil"/>
              <w:left w:val="nil"/>
              <w:bottom w:val="single" w:color="auto" w:sz="4" w:space="0"/>
              <w:right w:val="single" w:color="auto" w:sz="4" w:space="0"/>
            </w:tcBorders>
            <w:shd w:val="clear" w:color="auto" w:fill="auto"/>
            <w:noWrap/>
            <w:vAlign w:val="center"/>
          </w:tcPr>
          <w:p w14:paraId="2DB55BE5">
            <w:pPr>
              <w:widowControl/>
              <w:jc w:val="center"/>
              <w:rPr>
                <w:sz w:val="15"/>
                <w:szCs w:val="15"/>
                <w:highlight w:val="none"/>
              </w:rPr>
            </w:pPr>
            <w:r>
              <w:rPr>
                <w:sz w:val="15"/>
                <w:szCs w:val="15"/>
                <w:highlight w:val="none"/>
              </w:rPr>
              <w:t>/</w:t>
            </w:r>
          </w:p>
        </w:tc>
        <w:tc>
          <w:tcPr>
            <w:tcW w:w="393" w:type="pct"/>
            <w:tcBorders>
              <w:top w:val="nil"/>
              <w:left w:val="nil"/>
              <w:bottom w:val="single" w:color="auto" w:sz="4" w:space="0"/>
              <w:right w:val="single" w:color="auto" w:sz="4" w:space="0"/>
            </w:tcBorders>
            <w:shd w:val="clear" w:color="auto" w:fill="auto"/>
            <w:noWrap/>
            <w:vAlign w:val="center"/>
          </w:tcPr>
          <w:p w14:paraId="219320A2">
            <w:pPr>
              <w:widowControl/>
              <w:jc w:val="center"/>
              <w:rPr>
                <w:sz w:val="15"/>
                <w:szCs w:val="15"/>
                <w:highlight w:val="none"/>
              </w:rPr>
            </w:pPr>
            <w:r>
              <w:rPr>
                <w:sz w:val="15"/>
                <w:szCs w:val="15"/>
                <w:highlight w:val="none"/>
              </w:rPr>
              <w:t>1531</w:t>
            </w:r>
          </w:p>
        </w:tc>
        <w:tc>
          <w:tcPr>
            <w:tcW w:w="375" w:type="pct"/>
            <w:tcBorders>
              <w:top w:val="nil"/>
              <w:left w:val="nil"/>
              <w:bottom w:val="single" w:color="auto" w:sz="4" w:space="0"/>
              <w:right w:val="single" w:color="auto" w:sz="4" w:space="0"/>
            </w:tcBorders>
            <w:shd w:val="clear" w:color="auto" w:fill="auto"/>
            <w:noWrap/>
            <w:vAlign w:val="center"/>
          </w:tcPr>
          <w:p w14:paraId="2457A26C">
            <w:pPr>
              <w:widowControl/>
              <w:jc w:val="center"/>
              <w:rPr>
                <w:sz w:val="15"/>
                <w:szCs w:val="15"/>
                <w:highlight w:val="none"/>
              </w:rPr>
            </w:pPr>
            <w:r>
              <w:rPr>
                <w:sz w:val="15"/>
                <w:szCs w:val="15"/>
                <w:highlight w:val="none"/>
              </w:rPr>
              <w:t>7.1</w:t>
            </w:r>
          </w:p>
        </w:tc>
        <w:tc>
          <w:tcPr>
            <w:tcW w:w="361" w:type="pct"/>
            <w:tcBorders>
              <w:top w:val="nil"/>
              <w:left w:val="nil"/>
              <w:bottom w:val="single" w:color="auto" w:sz="4" w:space="0"/>
              <w:right w:val="single" w:color="auto" w:sz="4" w:space="0"/>
            </w:tcBorders>
            <w:shd w:val="clear" w:color="auto" w:fill="auto"/>
            <w:noWrap/>
            <w:vAlign w:val="center"/>
          </w:tcPr>
          <w:p w14:paraId="50FECC38">
            <w:pPr>
              <w:widowControl/>
              <w:jc w:val="center"/>
              <w:rPr>
                <w:sz w:val="15"/>
                <w:szCs w:val="15"/>
                <w:highlight w:val="none"/>
              </w:rPr>
            </w:pPr>
            <w:r>
              <w:rPr>
                <w:sz w:val="15"/>
                <w:szCs w:val="15"/>
                <w:highlight w:val="none"/>
              </w:rPr>
              <w:t>/</w:t>
            </w:r>
          </w:p>
        </w:tc>
        <w:tc>
          <w:tcPr>
            <w:tcW w:w="361" w:type="pct"/>
            <w:tcBorders>
              <w:top w:val="nil"/>
              <w:left w:val="nil"/>
              <w:bottom w:val="single" w:color="auto" w:sz="4" w:space="0"/>
              <w:right w:val="single" w:color="auto" w:sz="4" w:space="0"/>
            </w:tcBorders>
            <w:shd w:val="clear" w:color="auto" w:fill="auto"/>
            <w:noWrap/>
            <w:vAlign w:val="center"/>
          </w:tcPr>
          <w:p w14:paraId="59ED6904">
            <w:pPr>
              <w:widowControl/>
              <w:jc w:val="center"/>
              <w:rPr>
                <w:sz w:val="15"/>
                <w:szCs w:val="15"/>
                <w:highlight w:val="none"/>
              </w:rPr>
            </w:pPr>
            <w:r>
              <w:rPr>
                <w:sz w:val="15"/>
                <w:szCs w:val="15"/>
                <w:highlight w:val="none"/>
              </w:rPr>
              <w:t>242.49</w:t>
            </w:r>
          </w:p>
        </w:tc>
        <w:tc>
          <w:tcPr>
            <w:tcW w:w="453" w:type="pct"/>
            <w:tcBorders>
              <w:top w:val="nil"/>
              <w:left w:val="nil"/>
              <w:bottom w:val="single" w:color="auto" w:sz="4" w:space="0"/>
              <w:right w:val="single" w:color="auto" w:sz="4" w:space="0"/>
            </w:tcBorders>
            <w:shd w:val="clear" w:color="auto" w:fill="auto"/>
            <w:noWrap/>
            <w:vAlign w:val="center"/>
          </w:tcPr>
          <w:p w14:paraId="03E2B525">
            <w:pPr>
              <w:widowControl/>
              <w:jc w:val="center"/>
              <w:rPr>
                <w:sz w:val="15"/>
                <w:szCs w:val="15"/>
                <w:highlight w:val="none"/>
              </w:rPr>
            </w:pPr>
            <w:r>
              <w:rPr>
                <w:sz w:val="15"/>
                <w:szCs w:val="15"/>
                <w:highlight w:val="none"/>
              </w:rPr>
              <w:t>/</w:t>
            </w:r>
          </w:p>
        </w:tc>
        <w:tc>
          <w:tcPr>
            <w:tcW w:w="453" w:type="pct"/>
            <w:tcBorders>
              <w:top w:val="nil"/>
              <w:left w:val="nil"/>
              <w:bottom w:val="single" w:color="auto" w:sz="4" w:space="0"/>
              <w:right w:val="single" w:color="auto" w:sz="4" w:space="0"/>
            </w:tcBorders>
            <w:shd w:val="clear" w:color="auto" w:fill="auto"/>
            <w:noWrap/>
            <w:vAlign w:val="center"/>
          </w:tcPr>
          <w:p w14:paraId="2B4BF521">
            <w:pPr>
              <w:widowControl/>
              <w:jc w:val="center"/>
              <w:rPr>
                <w:sz w:val="15"/>
                <w:szCs w:val="15"/>
                <w:highlight w:val="none"/>
              </w:rPr>
            </w:pPr>
            <w:r>
              <w:rPr>
                <w:sz w:val="15"/>
                <w:szCs w:val="15"/>
                <w:highlight w:val="none"/>
              </w:rPr>
              <w:t>/</w:t>
            </w:r>
          </w:p>
        </w:tc>
        <w:tc>
          <w:tcPr>
            <w:tcW w:w="36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C07BEAB">
            <w:pPr>
              <w:widowControl/>
              <w:jc w:val="center"/>
              <w:rPr>
                <w:sz w:val="15"/>
                <w:szCs w:val="15"/>
                <w:highlight w:val="none"/>
              </w:rPr>
            </w:pPr>
            <w:r>
              <w:rPr>
                <w:sz w:val="15"/>
                <w:szCs w:val="15"/>
                <w:highlight w:val="none"/>
              </w:rPr>
              <w:t>/</w:t>
            </w:r>
          </w:p>
        </w:tc>
        <w:tc>
          <w:tcPr>
            <w:tcW w:w="36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02A6B21">
            <w:pPr>
              <w:widowControl/>
              <w:jc w:val="center"/>
              <w:rPr>
                <w:sz w:val="15"/>
                <w:szCs w:val="15"/>
                <w:highlight w:val="none"/>
              </w:rPr>
            </w:pPr>
            <w:r>
              <w:rPr>
                <w:sz w:val="15"/>
                <w:szCs w:val="15"/>
                <w:highlight w:val="none"/>
              </w:rPr>
              <w:t>/</w:t>
            </w:r>
          </w:p>
        </w:tc>
        <w:tc>
          <w:tcPr>
            <w:tcW w:w="361" w:type="pct"/>
            <w:tcBorders>
              <w:top w:val="nil"/>
              <w:left w:val="nil"/>
              <w:bottom w:val="single" w:color="auto" w:sz="4" w:space="0"/>
              <w:right w:val="single" w:color="auto" w:sz="4" w:space="0"/>
            </w:tcBorders>
            <w:shd w:val="clear" w:color="auto" w:fill="auto"/>
            <w:noWrap/>
            <w:vAlign w:val="center"/>
          </w:tcPr>
          <w:p w14:paraId="265CB5FE">
            <w:pPr>
              <w:widowControl/>
              <w:jc w:val="center"/>
              <w:rPr>
                <w:sz w:val="15"/>
                <w:szCs w:val="15"/>
                <w:highlight w:val="none"/>
              </w:rPr>
            </w:pPr>
            <w:r>
              <w:rPr>
                <w:sz w:val="15"/>
                <w:szCs w:val="15"/>
                <w:highlight w:val="none"/>
              </w:rPr>
              <w:t>/</w:t>
            </w:r>
          </w:p>
        </w:tc>
      </w:tr>
      <w:tr w14:paraId="141F263B">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25DCD30A">
            <w:pPr>
              <w:widowControl/>
              <w:jc w:val="center"/>
              <w:rPr>
                <w:sz w:val="15"/>
                <w:szCs w:val="15"/>
                <w:highlight w:val="none"/>
              </w:rPr>
            </w:pPr>
            <w:r>
              <w:rPr>
                <w:sz w:val="15"/>
                <w:szCs w:val="15"/>
                <w:highlight w:val="none"/>
              </w:rPr>
              <w:t>2025.05.07</w:t>
            </w:r>
          </w:p>
        </w:tc>
        <w:tc>
          <w:tcPr>
            <w:tcW w:w="306" w:type="pct"/>
            <w:tcBorders>
              <w:top w:val="nil"/>
              <w:left w:val="nil"/>
              <w:bottom w:val="single" w:color="auto" w:sz="4" w:space="0"/>
              <w:right w:val="single" w:color="auto" w:sz="4" w:space="0"/>
            </w:tcBorders>
            <w:shd w:val="clear" w:color="auto" w:fill="auto"/>
            <w:noWrap/>
            <w:vAlign w:val="center"/>
          </w:tcPr>
          <w:p w14:paraId="2398DFF4">
            <w:pPr>
              <w:widowControl/>
              <w:jc w:val="center"/>
              <w:rPr>
                <w:sz w:val="15"/>
                <w:szCs w:val="15"/>
                <w:highlight w:val="none"/>
              </w:rPr>
            </w:pPr>
            <w:r>
              <w:rPr>
                <w:sz w:val="15"/>
                <w:szCs w:val="15"/>
                <w:highlight w:val="none"/>
              </w:rPr>
              <w:t>16:10</w:t>
            </w:r>
          </w:p>
        </w:tc>
        <w:tc>
          <w:tcPr>
            <w:tcW w:w="368" w:type="pct"/>
            <w:tcBorders>
              <w:top w:val="nil"/>
              <w:left w:val="nil"/>
              <w:bottom w:val="single" w:color="auto" w:sz="4" w:space="0"/>
              <w:right w:val="single" w:color="auto" w:sz="4" w:space="0"/>
            </w:tcBorders>
            <w:shd w:val="clear" w:color="auto" w:fill="auto"/>
            <w:noWrap/>
            <w:vAlign w:val="center"/>
          </w:tcPr>
          <w:p w14:paraId="3AD46BC2">
            <w:pPr>
              <w:widowControl/>
              <w:jc w:val="center"/>
              <w:rPr>
                <w:sz w:val="15"/>
                <w:szCs w:val="15"/>
                <w:highlight w:val="none"/>
              </w:rPr>
            </w:pPr>
            <w:r>
              <w:rPr>
                <w:sz w:val="15"/>
                <w:szCs w:val="15"/>
                <w:highlight w:val="none"/>
              </w:rPr>
              <w:t>/</w:t>
            </w:r>
          </w:p>
        </w:tc>
        <w:tc>
          <w:tcPr>
            <w:tcW w:w="348" w:type="pct"/>
            <w:tcBorders>
              <w:top w:val="nil"/>
              <w:left w:val="nil"/>
              <w:bottom w:val="single" w:color="auto" w:sz="4" w:space="0"/>
              <w:right w:val="single" w:color="auto" w:sz="4" w:space="0"/>
            </w:tcBorders>
            <w:shd w:val="clear" w:color="auto" w:fill="auto"/>
            <w:noWrap/>
            <w:vAlign w:val="center"/>
          </w:tcPr>
          <w:p w14:paraId="0236BC56">
            <w:pPr>
              <w:widowControl/>
              <w:jc w:val="center"/>
              <w:rPr>
                <w:sz w:val="15"/>
                <w:szCs w:val="15"/>
                <w:highlight w:val="none"/>
              </w:rPr>
            </w:pPr>
            <w:r>
              <w:rPr>
                <w:sz w:val="15"/>
                <w:szCs w:val="15"/>
                <w:highlight w:val="none"/>
              </w:rPr>
              <w:t>/</w:t>
            </w:r>
          </w:p>
        </w:tc>
        <w:tc>
          <w:tcPr>
            <w:tcW w:w="393" w:type="pct"/>
            <w:tcBorders>
              <w:top w:val="nil"/>
              <w:left w:val="nil"/>
              <w:bottom w:val="single" w:color="auto" w:sz="4" w:space="0"/>
              <w:right w:val="single" w:color="auto" w:sz="4" w:space="0"/>
            </w:tcBorders>
            <w:shd w:val="clear" w:color="auto" w:fill="auto"/>
            <w:noWrap/>
            <w:vAlign w:val="center"/>
          </w:tcPr>
          <w:p w14:paraId="08E3CDF7">
            <w:pPr>
              <w:widowControl/>
              <w:jc w:val="center"/>
              <w:rPr>
                <w:sz w:val="15"/>
                <w:szCs w:val="15"/>
                <w:highlight w:val="none"/>
              </w:rPr>
            </w:pPr>
            <w:r>
              <w:rPr>
                <w:sz w:val="15"/>
                <w:szCs w:val="15"/>
                <w:highlight w:val="none"/>
              </w:rPr>
              <w:t>1971</w:t>
            </w:r>
          </w:p>
        </w:tc>
        <w:tc>
          <w:tcPr>
            <w:tcW w:w="375" w:type="pct"/>
            <w:tcBorders>
              <w:top w:val="nil"/>
              <w:left w:val="nil"/>
              <w:bottom w:val="single" w:color="auto" w:sz="4" w:space="0"/>
              <w:right w:val="single" w:color="auto" w:sz="4" w:space="0"/>
            </w:tcBorders>
            <w:shd w:val="clear" w:color="auto" w:fill="auto"/>
            <w:noWrap/>
            <w:vAlign w:val="center"/>
          </w:tcPr>
          <w:p w14:paraId="26614258">
            <w:pPr>
              <w:widowControl/>
              <w:jc w:val="center"/>
              <w:rPr>
                <w:sz w:val="15"/>
                <w:szCs w:val="15"/>
                <w:highlight w:val="none"/>
              </w:rPr>
            </w:pPr>
            <w:r>
              <w:rPr>
                <w:sz w:val="15"/>
                <w:szCs w:val="15"/>
                <w:highlight w:val="none"/>
              </w:rPr>
              <w:t>/</w:t>
            </w:r>
          </w:p>
        </w:tc>
        <w:tc>
          <w:tcPr>
            <w:tcW w:w="361" w:type="pct"/>
            <w:tcBorders>
              <w:top w:val="nil"/>
              <w:left w:val="nil"/>
              <w:bottom w:val="single" w:color="auto" w:sz="4" w:space="0"/>
              <w:right w:val="single" w:color="auto" w:sz="4" w:space="0"/>
            </w:tcBorders>
            <w:shd w:val="clear" w:color="auto" w:fill="auto"/>
            <w:noWrap/>
            <w:vAlign w:val="center"/>
          </w:tcPr>
          <w:p w14:paraId="7C3AEA9F">
            <w:pPr>
              <w:widowControl/>
              <w:jc w:val="center"/>
              <w:rPr>
                <w:sz w:val="15"/>
                <w:szCs w:val="15"/>
                <w:highlight w:val="none"/>
              </w:rPr>
            </w:pPr>
            <w:r>
              <w:rPr>
                <w:sz w:val="15"/>
                <w:szCs w:val="15"/>
                <w:highlight w:val="none"/>
              </w:rPr>
              <w:t>/</w:t>
            </w:r>
          </w:p>
        </w:tc>
        <w:tc>
          <w:tcPr>
            <w:tcW w:w="361" w:type="pct"/>
            <w:tcBorders>
              <w:top w:val="nil"/>
              <w:left w:val="nil"/>
              <w:bottom w:val="single" w:color="auto" w:sz="4" w:space="0"/>
              <w:right w:val="single" w:color="auto" w:sz="4" w:space="0"/>
            </w:tcBorders>
            <w:shd w:val="clear" w:color="auto" w:fill="auto"/>
            <w:noWrap/>
            <w:vAlign w:val="center"/>
          </w:tcPr>
          <w:p w14:paraId="7B47BD59">
            <w:pPr>
              <w:widowControl/>
              <w:jc w:val="center"/>
              <w:rPr>
                <w:sz w:val="15"/>
                <w:szCs w:val="15"/>
                <w:highlight w:val="none"/>
              </w:rPr>
            </w:pPr>
            <w:r>
              <w:rPr>
                <w:sz w:val="15"/>
                <w:szCs w:val="15"/>
                <w:highlight w:val="none"/>
              </w:rPr>
              <w:t>/</w:t>
            </w:r>
          </w:p>
        </w:tc>
        <w:tc>
          <w:tcPr>
            <w:tcW w:w="453" w:type="pct"/>
            <w:tcBorders>
              <w:top w:val="nil"/>
              <w:left w:val="nil"/>
              <w:bottom w:val="single" w:color="auto" w:sz="4" w:space="0"/>
              <w:right w:val="single" w:color="auto" w:sz="4" w:space="0"/>
            </w:tcBorders>
            <w:shd w:val="clear" w:color="auto" w:fill="auto"/>
            <w:noWrap/>
            <w:vAlign w:val="center"/>
          </w:tcPr>
          <w:p w14:paraId="0A37F100">
            <w:pPr>
              <w:widowControl/>
              <w:jc w:val="center"/>
              <w:rPr>
                <w:sz w:val="15"/>
                <w:szCs w:val="15"/>
                <w:highlight w:val="none"/>
              </w:rPr>
            </w:pPr>
            <w:r>
              <w:rPr>
                <w:sz w:val="15"/>
                <w:szCs w:val="15"/>
                <w:highlight w:val="none"/>
              </w:rPr>
              <w:t>/</w:t>
            </w:r>
          </w:p>
        </w:tc>
        <w:tc>
          <w:tcPr>
            <w:tcW w:w="453" w:type="pct"/>
            <w:tcBorders>
              <w:top w:val="nil"/>
              <w:left w:val="nil"/>
              <w:bottom w:val="single" w:color="auto" w:sz="4" w:space="0"/>
              <w:right w:val="single" w:color="auto" w:sz="4" w:space="0"/>
            </w:tcBorders>
            <w:shd w:val="clear" w:color="auto" w:fill="auto"/>
            <w:noWrap/>
            <w:vAlign w:val="center"/>
          </w:tcPr>
          <w:p w14:paraId="1F25559C">
            <w:pPr>
              <w:widowControl/>
              <w:jc w:val="center"/>
              <w:rPr>
                <w:sz w:val="15"/>
                <w:szCs w:val="15"/>
                <w:highlight w:val="none"/>
              </w:rPr>
            </w:pPr>
            <w:r>
              <w:rPr>
                <w:sz w:val="15"/>
                <w:szCs w:val="15"/>
                <w:highlight w:val="none"/>
              </w:rPr>
              <w:t>/</w:t>
            </w:r>
          </w:p>
        </w:tc>
        <w:tc>
          <w:tcPr>
            <w:tcW w:w="36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651F585">
            <w:pPr>
              <w:widowControl/>
              <w:jc w:val="center"/>
              <w:rPr>
                <w:sz w:val="15"/>
                <w:szCs w:val="15"/>
                <w:highlight w:val="none"/>
              </w:rPr>
            </w:pPr>
            <w:r>
              <w:rPr>
                <w:sz w:val="15"/>
                <w:szCs w:val="15"/>
                <w:highlight w:val="none"/>
              </w:rPr>
              <w:t>/</w:t>
            </w:r>
          </w:p>
        </w:tc>
        <w:tc>
          <w:tcPr>
            <w:tcW w:w="36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144E3D5">
            <w:pPr>
              <w:widowControl/>
              <w:jc w:val="center"/>
              <w:rPr>
                <w:sz w:val="15"/>
                <w:szCs w:val="15"/>
                <w:highlight w:val="none"/>
              </w:rPr>
            </w:pPr>
            <w:r>
              <w:rPr>
                <w:sz w:val="15"/>
                <w:szCs w:val="15"/>
                <w:highlight w:val="none"/>
              </w:rPr>
              <w:t>/</w:t>
            </w:r>
          </w:p>
        </w:tc>
        <w:tc>
          <w:tcPr>
            <w:tcW w:w="361" w:type="pct"/>
            <w:tcBorders>
              <w:top w:val="nil"/>
              <w:left w:val="nil"/>
              <w:bottom w:val="single" w:color="auto" w:sz="4" w:space="0"/>
              <w:right w:val="single" w:color="auto" w:sz="4" w:space="0"/>
            </w:tcBorders>
            <w:shd w:val="clear" w:color="auto" w:fill="auto"/>
            <w:noWrap/>
            <w:vAlign w:val="center"/>
          </w:tcPr>
          <w:p w14:paraId="0AE5273E">
            <w:pPr>
              <w:widowControl/>
              <w:jc w:val="center"/>
              <w:rPr>
                <w:sz w:val="15"/>
                <w:szCs w:val="15"/>
                <w:highlight w:val="none"/>
              </w:rPr>
            </w:pPr>
            <w:r>
              <w:rPr>
                <w:sz w:val="15"/>
                <w:szCs w:val="15"/>
                <w:highlight w:val="none"/>
              </w:rPr>
              <w:t>/</w:t>
            </w:r>
          </w:p>
        </w:tc>
      </w:tr>
      <w:tr w14:paraId="594153E1">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0A0A5B76">
            <w:pPr>
              <w:widowControl/>
              <w:jc w:val="center"/>
              <w:rPr>
                <w:sz w:val="15"/>
                <w:szCs w:val="15"/>
                <w:highlight w:val="none"/>
              </w:rPr>
            </w:pPr>
            <w:r>
              <w:rPr>
                <w:sz w:val="15"/>
                <w:szCs w:val="15"/>
                <w:highlight w:val="none"/>
              </w:rPr>
              <w:t>2025.05.08</w:t>
            </w:r>
          </w:p>
        </w:tc>
        <w:tc>
          <w:tcPr>
            <w:tcW w:w="306" w:type="pct"/>
            <w:tcBorders>
              <w:top w:val="nil"/>
              <w:left w:val="nil"/>
              <w:bottom w:val="single" w:color="auto" w:sz="4" w:space="0"/>
              <w:right w:val="single" w:color="auto" w:sz="4" w:space="0"/>
            </w:tcBorders>
            <w:shd w:val="clear" w:color="auto" w:fill="auto"/>
            <w:noWrap/>
            <w:vAlign w:val="center"/>
          </w:tcPr>
          <w:p w14:paraId="4A636FEB">
            <w:pPr>
              <w:widowControl/>
              <w:jc w:val="center"/>
              <w:rPr>
                <w:sz w:val="15"/>
                <w:szCs w:val="15"/>
                <w:highlight w:val="none"/>
              </w:rPr>
            </w:pPr>
            <w:r>
              <w:rPr>
                <w:sz w:val="15"/>
                <w:szCs w:val="15"/>
                <w:highlight w:val="none"/>
              </w:rPr>
              <w:t>10:50</w:t>
            </w:r>
          </w:p>
        </w:tc>
        <w:tc>
          <w:tcPr>
            <w:tcW w:w="368" w:type="pct"/>
            <w:tcBorders>
              <w:top w:val="nil"/>
              <w:left w:val="nil"/>
              <w:bottom w:val="single" w:color="auto" w:sz="4" w:space="0"/>
              <w:right w:val="single" w:color="auto" w:sz="4" w:space="0"/>
            </w:tcBorders>
            <w:shd w:val="clear" w:color="auto" w:fill="auto"/>
            <w:noWrap/>
            <w:vAlign w:val="center"/>
          </w:tcPr>
          <w:p w14:paraId="63C97119">
            <w:pPr>
              <w:widowControl/>
              <w:jc w:val="center"/>
              <w:rPr>
                <w:sz w:val="15"/>
                <w:szCs w:val="15"/>
                <w:highlight w:val="none"/>
              </w:rPr>
            </w:pPr>
            <w:r>
              <w:rPr>
                <w:sz w:val="15"/>
                <w:szCs w:val="15"/>
                <w:highlight w:val="none"/>
              </w:rPr>
              <w:t>6.88</w:t>
            </w:r>
          </w:p>
        </w:tc>
        <w:tc>
          <w:tcPr>
            <w:tcW w:w="348" w:type="pct"/>
            <w:tcBorders>
              <w:top w:val="nil"/>
              <w:left w:val="nil"/>
              <w:bottom w:val="single" w:color="auto" w:sz="4" w:space="0"/>
              <w:right w:val="single" w:color="auto" w:sz="4" w:space="0"/>
            </w:tcBorders>
            <w:shd w:val="clear" w:color="auto" w:fill="auto"/>
            <w:noWrap/>
            <w:vAlign w:val="center"/>
          </w:tcPr>
          <w:p w14:paraId="4204A70C">
            <w:pPr>
              <w:widowControl/>
              <w:jc w:val="center"/>
              <w:rPr>
                <w:sz w:val="15"/>
                <w:szCs w:val="15"/>
                <w:highlight w:val="none"/>
              </w:rPr>
            </w:pPr>
            <w:r>
              <w:rPr>
                <w:sz w:val="15"/>
                <w:szCs w:val="15"/>
                <w:highlight w:val="none"/>
              </w:rPr>
              <w:t>0.97</w:t>
            </w:r>
          </w:p>
        </w:tc>
        <w:tc>
          <w:tcPr>
            <w:tcW w:w="393" w:type="pct"/>
            <w:tcBorders>
              <w:top w:val="nil"/>
              <w:left w:val="nil"/>
              <w:bottom w:val="single" w:color="auto" w:sz="4" w:space="0"/>
              <w:right w:val="single" w:color="auto" w:sz="4" w:space="0"/>
            </w:tcBorders>
            <w:shd w:val="clear" w:color="auto" w:fill="auto"/>
            <w:noWrap/>
            <w:vAlign w:val="center"/>
          </w:tcPr>
          <w:p w14:paraId="47893E77">
            <w:pPr>
              <w:widowControl/>
              <w:jc w:val="center"/>
              <w:rPr>
                <w:sz w:val="15"/>
                <w:szCs w:val="15"/>
                <w:highlight w:val="none"/>
              </w:rPr>
            </w:pPr>
            <w:r>
              <w:rPr>
                <w:sz w:val="15"/>
                <w:szCs w:val="15"/>
                <w:highlight w:val="none"/>
              </w:rPr>
              <w:t>1588</w:t>
            </w:r>
          </w:p>
        </w:tc>
        <w:tc>
          <w:tcPr>
            <w:tcW w:w="375" w:type="pct"/>
            <w:tcBorders>
              <w:top w:val="nil"/>
              <w:left w:val="nil"/>
              <w:bottom w:val="single" w:color="auto" w:sz="4" w:space="0"/>
              <w:right w:val="single" w:color="auto" w:sz="4" w:space="0"/>
            </w:tcBorders>
            <w:shd w:val="clear" w:color="auto" w:fill="auto"/>
            <w:noWrap/>
            <w:vAlign w:val="center"/>
          </w:tcPr>
          <w:p w14:paraId="772E4387">
            <w:pPr>
              <w:widowControl/>
              <w:jc w:val="center"/>
              <w:rPr>
                <w:sz w:val="15"/>
                <w:szCs w:val="15"/>
                <w:highlight w:val="none"/>
              </w:rPr>
            </w:pPr>
            <w:r>
              <w:rPr>
                <w:sz w:val="15"/>
                <w:szCs w:val="15"/>
                <w:highlight w:val="none"/>
              </w:rPr>
              <w:t>17.1</w:t>
            </w:r>
          </w:p>
        </w:tc>
        <w:tc>
          <w:tcPr>
            <w:tcW w:w="361" w:type="pct"/>
            <w:tcBorders>
              <w:top w:val="nil"/>
              <w:left w:val="nil"/>
              <w:bottom w:val="single" w:color="auto" w:sz="4" w:space="0"/>
              <w:right w:val="single" w:color="auto" w:sz="4" w:space="0"/>
            </w:tcBorders>
            <w:shd w:val="clear" w:color="auto" w:fill="auto"/>
            <w:noWrap/>
            <w:vAlign w:val="center"/>
          </w:tcPr>
          <w:p w14:paraId="44E18C40">
            <w:pPr>
              <w:widowControl/>
              <w:jc w:val="center"/>
              <w:rPr>
                <w:sz w:val="15"/>
                <w:szCs w:val="15"/>
                <w:highlight w:val="none"/>
              </w:rPr>
            </w:pPr>
            <w:r>
              <w:rPr>
                <w:sz w:val="15"/>
                <w:szCs w:val="15"/>
                <w:highlight w:val="none"/>
              </w:rPr>
              <w:t>0.31</w:t>
            </w:r>
          </w:p>
        </w:tc>
        <w:tc>
          <w:tcPr>
            <w:tcW w:w="361" w:type="pct"/>
            <w:tcBorders>
              <w:top w:val="nil"/>
              <w:left w:val="nil"/>
              <w:bottom w:val="single" w:color="auto" w:sz="4" w:space="0"/>
              <w:right w:val="single" w:color="auto" w:sz="4" w:space="0"/>
            </w:tcBorders>
            <w:shd w:val="clear" w:color="auto" w:fill="auto"/>
            <w:noWrap/>
            <w:vAlign w:val="center"/>
          </w:tcPr>
          <w:p w14:paraId="1BCE56FB">
            <w:pPr>
              <w:widowControl/>
              <w:jc w:val="center"/>
              <w:rPr>
                <w:sz w:val="15"/>
                <w:szCs w:val="15"/>
                <w:highlight w:val="none"/>
              </w:rPr>
            </w:pPr>
            <w:r>
              <w:rPr>
                <w:sz w:val="15"/>
                <w:szCs w:val="15"/>
                <w:highlight w:val="none"/>
              </w:rPr>
              <w:t>232.18</w:t>
            </w:r>
          </w:p>
        </w:tc>
        <w:tc>
          <w:tcPr>
            <w:tcW w:w="453" w:type="pct"/>
            <w:tcBorders>
              <w:top w:val="nil"/>
              <w:left w:val="nil"/>
              <w:bottom w:val="single" w:color="auto" w:sz="4" w:space="0"/>
              <w:right w:val="single" w:color="auto" w:sz="4" w:space="0"/>
            </w:tcBorders>
            <w:shd w:val="clear" w:color="auto" w:fill="auto"/>
            <w:noWrap/>
            <w:vAlign w:val="center"/>
          </w:tcPr>
          <w:p w14:paraId="55EBABF5">
            <w:pPr>
              <w:widowControl/>
              <w:jc w:val="center"/>
              <w:rPr>
                <w:sz w:val="15"/>
                <w:szCs w:val="15"/>
                <w:highlight w:val="none"/>
              </w:rPr>
            </w:pPr>
            <w:r>
              <w:rPr>
                <w:sz w:val="15"/>
                <w:szCs w:val="15"/>
                <w:highlight w:val="none"/>
              </w:rPr>
              <w:t>4.78</w:t>
            </w:r>
          </w:p>
        </w:tc>
        <w:tc>
          <w:tcPr>
            <w:tcW w:w="453" w:type="pct"/>
            <w:tcBorders>
              <w:top w:val="nil"/>
              <w:left w:val="nil"/>
              <w:bottom w:val="single" w:color="auto" w:sz="4" w:space="0"/>
              <w:right w:val="single" w:color="auto" w:sz="4" w:space="0"/>
            </w:tcBorders>
            <w:shd w:val="clear" w:color="auto" w:fill="auto"/>
            <w:noWrap/>
            <w:vAlign w:val="center"/>
          </w:tcPr>
          <w:p w14:paraId="4D30A880">
            <w:pPr>
              <w:widowControl/>
              <w:jc w:val="center"/>
              <w:rPr>
                <w:sz w:val="15"/>
                <w:szCs w:val="15"/>
                <w:highlight w:val="none"/>
              </w:rPr>
            </w:pPr>
            <w:r>
              <w:rPr>
                <w:sz w:val="15"/>
                <w:szCs w:val="15"/>
                <w:highlight w:val="none"/>
              </w:rPr>
              <w:t>3.03</w:t>
            </w:r>
          </w:p>
        </w:tc>
        <w:tc>
          <w:tcPr>
            <w:tcW w:w="361" w:type="pct"/>
            <w:tcBorders>
              <w:top w:val="nil"/>
              <w:left w:val="nil"/>
              <w:bottom w:val="single" w:color="auto" w:sz="4" w:space="0"/>
              <w:right w:val="single" w:color="auto" w:sz="4" w:space="0"/>
            </w:tcBorders>
            <w:shd w:val="clear" w:color="auto" w:fill="auto"/>
            <w:noWrap/>
            <w:vAlign w:val="center"/>
          </w:tcPr>
          <w:p w14:paraId="5EBD0FD0">
            <w:pPr>
              <w:widowControl/>
              <w:jc w:val="center"/>
              <w:rPr>
                <w:sz w:val="15"/>
                <w:szCs w:val="15"/>
                <w:highlight w:val="none"/>
              </w:rPr>
            </w:pPr>
            <w:r>
              <w:rPr>
                <w:sz w:val="15"/>
                <w:szCs w:val="15"/>
                <w:highlight w:val="none"/>
              </w:rPr>
              <w:t>0.10</w:t>
            </w:r>
          </w:p>
        </w:tc>
        <w:tc>
          <w:tcPr>
            <w:tcW w:w="36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6148C2F">
            <w:pPr>
              <w:widowControl/>
              <w:jc w:val="center"/>
              <w:rPr>
                <w:sz w:val="15"/>
                <w:szCs w:val="15"/>
                <w:highlight w:val="none"/>
              </w:rPr>
            </w:pPr>
            <w:r>
              <w:rPr>
                <w:sz w:val="15"/>
                <w:szCs w:val="15"/>
                <w:highlight w:val="none"/>
              </w:rPr>
              <w:t>0.68</w:t>
            </w:r>
          </w:p>
        </w:tc>
        <w:tc>
          <w:tcPr>
            <w:tcW w:w="361" w:type="pct"/>
            <w:tcBorders>
              <w:top w:val="nil"/>
              <w:left w:val="nil"/>
              <w:bottom w:val="single" w:color="auto" w:sz="4" w:space="0"/>
              <w:right w:val="single" w:color="auto" w:sz="4" w:space="0"/>
            </w:tcBorders>
            <w:shd w:val="clear" w:color="auto" w:fill="auto"/>
            <w:noWrap/>
            <w:vAlign w:val="center"/>
          </w:tcPr>
          <w:p w14:paraId="2D52B6F3">
            <w:pPr>
              <w:widowControl/>
              <w:jc w:val="center"/>
              <w:rPr>
                <w:sz w:val="15"/>
                <w:szCs w:val="15"/>
                <w:highlight w:val="none"/>
              </w:rPr>
            </w:pPr>
            <w:r>
              <w:rPr>
                <w:sz w:val="15"/>
                <w:szCs w:val="15"/>
                <w:highlight w:val="none"/>
              </w:rPr>
              <w:t>/</w:t>
            </w:r>
          </w:p>
        </w:tc>
      </w:tr>
      <w:tr w14:paraId="136B8A44">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3A3BC325">
            <w:pPr>
              <w:widowControl/>
              <w:jc w:val="center"/>
              <w:rPr>
                <w:sz w:val="15"/>
                <w:szCs w:val="15"/>
                <w:highlight w:val="none"/>
              </w:rPr>
            </w:pPr>
            <w:r>
              <w:rPr>
                <w:sz w:val="15"/>
                <w:szCs w:val="15"/>
                <w:highlight w:val="none"/>
              </w:rPr>
              <w:t>2025.05.15</w:t>
            </w:r>
          </w:p>
        </w:tc>
        <w:tc>
          <w:tcPr>
            <w:tcW w:w="306" w:type="pct"/>
            <w:tcBorders>
              <w:top w:val="nil"/>
              <w:left w:val="nil"/>
              <w:bottom w:val="single" w:color="auto" w:sz="4" w:space="0"/>
              <w:right w:val="single" w:color="auto" w:sz="4" w:space="0"/>
            </w:tcBorders>
            <w:shd w:val="clear" w:color="auto" w:fill="auto"/>
            <w:noWrap/>
            <w:vAlign w:val="center"/>
          </w:tcPr>
          <w:p w14:paraId="21BA2534">
            <w:pPr>
              <w:widowControl/>
              <w:jc w:val="center"/>
              <w:rPr>
                <w:sz w:val="15"/>
                <w:szCs w:val="15"/>
                <w:highlight w:val="none"/>
              </w:rPr>
            </w:pPr>
            <w:r>
              <w:rPr>
                <w:sz w:val="15"/>
                <w:szCs w:val="15"/>
                <w:highlight w:val="none"/>
              </w:rPr>
              <w:t>11:10</w:t>
            </w:r>
          </w:p>
        </w:tc>
        <w:tc>
          <w:tcPr>
            <w:tcW w:w="368" w:type="pct"/>
            <w:tcBorders>
              <w:top w:val="nil"/>
              <w:left w:val="nil"/>
              <w:bottom w:val="single" w:color="auto" w:sz="4" w:space="0"/>
              <w:right w:val="single" w:color="auto" w:sz="4" w:space="0"/>
            </w:tcBorders>
            <w:shd w:val="clear" w:color="auto" w:fill="auto"/>
            <w:noWrap/>
            <w:vAlign w:val="center"/>
          </w:tcPr>
          <w:p w14:paraId="7D320FA8">
            <w:pPr>
              <w:widowControl/>
              <w:jc w:val="center"/>
              <w:rPr>
                <w:sz w:val="15"/>
                <w:szCs w:val="15"/>
                <w:highlight w:val="none"/>
              </w:rPr>
            </w:pPr>
            <w:r>
              <w:rPr>
                <w:sz w:val="15"/>
                <w:szCs w:val="15"/>
                <w:highlight w:val="none"/>
              </w:rPr>
              <w:t>6.74</w:t>
            </w:r>
          </w:p>
        </w:tc>
        <w:tc>
          <w:tcPr>
            <w:tcW w:w="348" w:type="pct"/>
            <w:tcBorders>
              <w:top w:val="nil"/>
              <w:left w:val="nil"/>
              <w:bottom w:val="single" w:color="auto" w:sz="4" w:space="0"/>
              <w:right w:val="single" w:color="auto" w:sz="4" w:space="0"/>
            </w:tcBorders>
            <w:shd w:val="clear" w:color="auto" w:fill="auto"/>
            <w:noWrap/>
            <w:vAlign w:val="center"/>
          </w:tcPr>
          <w:p w14:paraId="048FA316">
            <w:pPr>
              <w:widowControl/>
              <w:jc w:val="center"/>
              <w:rPr>
                <w:sz w:val="15"/>
                <w:szCs w:val="15"/>
                <w:highlight w:val="none"/>
              </w:rPr>
            </w:pPr>
            <w:r>
              <w:rPr>
                <w:sz w:val="15"/>
                <w:szCs w:val="15"/>
                <w:highlight w:val="none"/>
              </w:rPr>
              <w:t>0.97</w:t>
            </w:r>
          </w:p>
        </w:tc>
        <w:tc>
          <w:tcPr>
            <w:tcW w:w="393" w:type="pct"/>
            <w:tcBorders>
              <w:top w:val="nil"/>
              <w:left w:val="nil"/>
              <w:bottom w:val="single" w:color="auto" w:sz="4" w:space="0"/>
              <w:right w:val="single" w:color="auto" w:sz="4" w:space="0"/>
            </w:tcBorders>
            <w:shd w:val="clear" w:color="auto" w:fill="auto"/>
            <w:noWrap/>
            <w:vAlign w:val="center"/>
          </w:tcPr>
          <w:p w14:paraId="15702AA2">
            <w:pPr>
              <w:widowControl/>
              <w:jc w:val="center"/>
              <w:rPr>
                <w:sz w:val="15"/>
                <w:szCs w:val="15"/>
                <w:highlight w:val="none"/>
              </w:rPr>
            </w:pPr>
            <w:r>
              <w:rPr>
                <w:sz w:val="15"/>
                <w:szCs w:val="15"/>
                <w:highlight w:val="none"/>
              </w:rPr>
              <w:t>1568</w:t>
            </w:r>
          </w:p>
        </w:tc>
        <w:tc>
          <w:tcPr>
            <w:tcW w:w="375" w:type="pct"/>
            <w:tcBorders>
              <w:top w:val="nil"/>
              <w:left w:val="nil"/>
              <w:bottom w:val="single" w:color="auto" w:sz="4" w:space="0"/>
              <w:right w:val="single" w:color="auto" w:sz="4" w:space="0"/>
            </w:tcBorders>
            <w:shd w:val="clear" w:color="auto" w:fill="auto"/>
            <w:noWrap/>
            <w:vAlign w:val="center"/>
          </w:tcPr>
          <w:p w14:paraId="0B203FB4">
            <w:pPr>
              <w:widowControl/>
              <w:jc w:val="center"/>
              <w:rPr>
                <w:sz w:val="15"/>
                <w:szCs w:val="15"/>
                <w:highlight w:val="none"/>
              </w:rPr>
            </w:pPr>
            <w:r>
              <w:rPr>
                <w:sz w:val="15"/>
                <w:szCs w:val="15"/>
                <w:highlight w:val="none"/>
              </w:rPr>
              <w:t>17.3</w:t>
            </w:r>
          </w:p>
        </w:tc>
        <w:tc>
          <w:tcPr>
            <w:tcW w:w="361" w:type="pct"/>
            <w:tcBorders>
              <w:top w:val="nil"/>
              <w:left w:val="nil"/>
              <w:bottom w:val="single" w:color="auto" w:sz="4" w:space="0"/>
              <w:right w:val="single" w:color="auto" w:sz="4" w:space="0"/>
            </w:tcBorders>
            <w:shd w:val="clear" w:color="auto" w:fill="auto"/>
            <w:noWrap/>
            <w:vAlign w:val="center"/>
          </w:tcPr>
          <w:p w14:paraId="6F388E5E">
            <w:pPr>
              <w:widowControl/>
              <w:jc w:val="center"/>
              <w:rPr>
                <w:sz w:val="15"/>
                <w:szCs w:val="15"/>
                <w:highlight w:val="none"/>
              </w:rPr>
            </w:pPr>
            <w:r>
              <w:rPr>
                <w:sz w:val="15"/>
                <w:szCs w:val="15"/>
                <w:highlight w:val="none"/>
              </w:rPr>
              <w:t>0.21</w:t>
            </w:r>
          </w:p>
        </w:tc>
        <w:tc>
          <w:tcPr>
            <w:tcW w:w="361" w:type="pct"/>
            <w:tcBorders>
              <w:top w:val="nil"/>
              <w:left w:val="nil"/>
              <w:bottom w:val="single" w:color="auto" w:sz="4" w:space="0"/>
              <w:right w:val="single" w:color="auto" w:sz="4" w:space="0"/>
            </w:tcBorders>
            <w:shd w:val="clear" w:color="auto" w:fill="auto"/>
            <w:noWrap/>
            <w:vAlign w:val="center"/>
          </w:tcPr>
          <w:p w14:paraId="67BA8BE8">
            <w:pPr>
              <w:widowControl/>
              <w:jc w:val="center"/>
              <w:rPr>
                <w:sz w:val="15"/>
                <w:szCs w:val="15"/>
                <w:highlight w:val="none"/>
              </w:rPr>
            </w:pPr>
            <w:r>
              <w:rPr>
                <w:sz w:val="15"/>
                <w:szCs w:val="15"/>
                <w:highlight w:val="none"/>
              </w:rPr>
              <w:t>246.05</w:t>
            </w:r>
          </w:p>
        </w:tc>
        <w:tc>
          <w:tcPr>
            <w:tcW w:w="453" w:type="pct"/>
            <w:tcBorders>
              <w:top w:val="nil"/>
              <w:left w:val="nil"/>
              <w:bottom w:val="single" w:color="auto" w:sz="4" w:space="0"/>
              <w:right w:val="single" w:color="auto" w:sz="4" w:space="0"/>
            </w:tcBorders>
            <w:shd w:val="clear" w:color="auto" w:fill="auto"/>
            <w:noWrap/>
            <w:vAlign w:val="center"/>
          </w:tcPr>
          <w:p w14:paraId="7A962283">
            <w:pPr>
              <w:widowControl/>
              <w:jc w:val="center"/>
              <w:rPr>
                <w:sz w:val="15"/>
                <w:szCs w:val="15"/>
                <w:highlight w:val="none"/>
              </w:rPr>
            </w:pPr>
            <w:r>
              <w:rPr>
                <w:sz w:val="15"/>
                <w:szCs w:val="15"/>
                <w:highlight w:val="none"/>
              </w:rPr>
              <w:t>4.39</w:t>
            </w:r>
          </w:p>
        </w:tc>
        <w:tc>
          <w:tcPr>
            <w:tcW w:w="453" w:type="pct"/>
            <w:tcBorders>
              <w:top w:val="nil"/>
              <w:left w:val="nil"/>
              <w:bottom w:val="single" w:color="auto" w:sz="4" w:space="0"/>
              <w:right w:val="single" w:color="auto" w:sz="4" w:space="0"/>
            </w:tcBorders>
            <w:shd w:val="clear" w:color="auto" w:fill="auto"/>
            <w:noWrap/>
            <w:vAlign w:val="center"/>
          </w:tcPr>
          <w:p w14:paraId="6CB6F69F">
            <w:pPr>
              <w:widowControl/>
              <w:jc w:val="center"/>
              <w:rPr>
                <w:sz w:val="15"/>
                <w:szCs w:val="15"/>
                <w:highlight w:val="none"/>
              </w:rPr>
            </w:pPr>
            <w:r>
              <w:rPr>
                <w:sz w:val="15"/>
                <w:szCs w:val="15"/>
                <w:highlight w:val="none"/>
              </w:rPr>
              <w:t>2.97</w:t>
            </w:r>
          </w:p>
        </w:tc>
        <w:tc>
          <w:tcPr>
            <w:tcW w:w="361" w:type="pct"/>
            <w:tcBorders>
              <w:top w:val="nil"/>
              <w:left w:val="nil"/>
              <w:bottom w:val="single" w:color="auto" w:sz="4" w:space="0"/>
              <w:right w:val="single" w:color="auto" w:sz="4" w:space="0"/>
            </w:tcBorders>
            <w:shd w:val="clear" w:color="auto" w:fill="auto"/>
            <w:noWrap/>
            <w:vAlign w:val="center"/>
          </w:tcPr>
          <w:p w14:paraId="4220157E">
            <w:pPr>
              <w:widowControl/>
              <w:jc w:val="center"/>
              <w:rPr>
                <w:sz w:val="15"/>
                <w:szCs w:val="15"/>
                <w:highlight w:val="none"/>
              </w:rPr>
            </w:pPr>
            <w:r>
              <w:rPr>
                <w:sz w:val="15"/>
                <w:szCs w:val="15"/>
                <w:highlight w:val="none"/>
              </w:rPr>
              <w:t>0.10</w:t>
            </w:r>
          </w:p>
        </w:tc>
        <w:tc>
          <w:tcPr>
            <w:tcW w:w="36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3E5539F">
            <w:pPr>
              <w:widowControl/>
              <w:jc w:val="center"/>
              <w:rPr>
                <w:sz w:val="15"/>
                <w:szCs w:val="15"/>
                <w:highlight w:val="none"/>
              </w:rPr>
            </w:pPr>
            <w:r>
              <w:rPr>
                <w:sz w:val="15"/>
                <w:szCs w:val="15"/>
                <w:highlight w:val="none"/>
              </w:rPr>
              <w:t>0.86</w:t>
            </w:r>
          </w:p>
        </w:tc>
        <w:tc>
          <w:tcPr>
            <w:tcW w:w="361" w:type="pct"/>
            <w:tcBorders>
              <w:top w:val="nil"/>
              <w:left w:val="nil"/>
              <w:bottom w:val="single" w:color="auto" w:sz="4" w:space="0"/>
              <w:right w:val="single" w:color="auto" w:sz="4" w:space="0"/>
            </w:tcBorders>
            <w:shd w:val="clear" w:color="auto" w:fill="auto"/>
            <w:noWrap/>
            <w:vAlign w:val="center"/>
          </w:tcPr>
          <w:p w14:paraId="6FC5D439">
            <w:pPr>
              <w:widowControl/>
              <w:jc w:val="center"/>
              <w:rPr>
                <w:sz w:val="15"/>
                <w:szCs w:val="15"/>
                <w:highlight w:val="none"/>
              </w:rPr>
            </w:pPr>
            <w:r>
              <w:rPr>
                <w:sz w:val="15"/>
                <w:szCs w:val="15"/>
                <w:highlight w:val="none"/>
              </w:rPr>
              <w:t>/</w:t>
            </w:r>
          </w:p>
        </w:tc>
      </w:tr>
      <w:tr w14:paraId="552D5083">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1FA41A69">
            <w:pPr>
              <w:widowControl/>
              <w:jc w:val="center"/>
              <w:rPr>
                <w:sz w:val="15"/>
                <w:szCs w:val="15"/>
                <w:highlight w:val="none"/>
              </w:rPr>
            </w:pPr>
            <w:r>
              <w:rPr>
                <w:sz w:val="15"/>
                <w:szCs w:val="15"/>
                <w:highlight w:val="none"/>
              </w:rPr>
              <w:t>2025.05.22</w:t>
            </w:r>
          </w:p>
        </w:tc>
        <w:tc>
          <w:tcPr>
            <w:tcW w:w="306" w:type="pct"/>
            <w:tcBorders>
              <w:top w:val="nil"/>
              <w:left w:val="nil"/>
              <w:bottom w:val="single" w:color="auto" w:sz="4" w:space="0"/>
              <w:right w:val="single" w:color="auto" w:sz="4" w:space="0"/>
            </w:tcBorders>
            <w:shd w:val="clear" w:color="auto" w:fill="auto"/>
            <w:noWrap/>
            <w:vAlign w:val="center"/>
          </w:tcPr>
          <w:p w14:paraId="75960176">
            <w:pPr>
              <w:widowControl/>
              <w:jc w:val="center"/>
              <w:rPr>
                <w:sz w:val="15"/>
                <w:szCs w:val="15"/>
                <w:highlight w:val="none"/>
              </w:rPr>
            </w:pPr>
            <w:r>
              <w:rPr>
                <w:sz w:val="15"/>
                <w:szCs w:val="15"/>
                <w:highlight w:val="none"/>
              </w:rPr>
              <w:t>10:30</w:t>
            </w:r>
          </w:p>
        </w:tc>
        <w:tc>
          <w:tcPr>
            <w:tcW w:w="368" w:type="pct"/>
            <w:tcBorders>
              <w:top w:val="nil"/>
              <w:left w:val="nil"/>
              <w:bottom w:val="single" w:color="auto" w:sz="4" w:space="0"/>
              <w:right w:val="single" w:color="auto" w:sz="4" w:space="0"/>
            </w:tcBorders>
            <w:shd w:val="clear" w:color="auto" w:fill="auto"/>
            <w:noWrap/>
            <w:vAlign w:val="center"/>
          </w:tcPr>
          <w:p w14:paraId="16C30B79">
            <w:pPr>
              <w:widowControl/>
              <w:jc w:val="center"/>
              <w:rPr>
                <w:sz w:val="15"/>
                <w:szCs w:val="15"/>
                <w:highlight w:val="none"/>
              </w:rPr>
            </w:pPr>
            <w:r>
              <w:rPr>
                <w:sz w:val="15"/>
                <w:szCs w:val="15"/>
                <w:highlight w:val="none"/>
              </w:rPr>
              <w:t>7.15</w:t>
            </w:r>
          </w:p>
        </w:tc>
        <w:tc>
          <w:tcPr>
            <w:tcW w:w="348" w:type="pct"/>
            <w:tcBorders>
              <w:top w:val="nil"/>
              <w:left w:val="nil"/>
              <w:bottom w:val="single" w:color="auto" w:sz="4" w:space="0"/>
              <w:right w:val="single" w:color="auto" w:sz="4" w:space="0"/>
            </w:tcBorders>
            <w:shd w:val="clear" w:color="auto" w:fill="auto"/>
            <w:noWrap/>
            <w:vAlign w:val="center"/>
          </w:tcPr>
          <w:p w14:paraId="539BE152">
            <w:pPr>
              <w:widowControl/>
              <w:jc w:val="center"/>
              <w:rPr>
                <w:sz w:val="15"/>
                <w:szCs w:val="15"/>
                <w:highlight w:val="none"/>
              </w:rPr>
            </w:pPr>
            <w:r>
              <w:rPr>
                <w:sz w:val="15"/>
                <w:szCs w:val="15"/>
                <w:highlight w:val="none"/>
              </w:rPr>
              <w:t>1.85</w:t>
            </w:r>
          </w:p>
        </w:tc>
        <w:tc>
          <w:tcPr>
            <w:tcW w:w="393" w:type="pct"/>
            <w:tcBorders>
              <w:top w:val="nil"/>
              <w:left w:val="nil"/>
              <w:bottom w:val="single" w:color="auto" w:sz="4" w:space="0"/>
              <w:right w:val="single" w:color="auto" w:sz="4" w:space="0"/>
            </w:tcBorders>
            <w:shd w:val="clear" w:color="auto" w:fill="auto"/>
            <w:noWrap/>
            <w:vAlign w:val="center"/>
          </w:tcPr>
          <w:p w14:paraId="1E1FE1C1">
            <w:pPr>
              <w:widowControl/>
              <w:jc w:val="center"/>
              <w:rPr>
                <w:sz w:val="15"/>
                <w:szCs w:val="15"/>
                <w:highlight w:val="none"/>
              </w:rPr>
            </w:pPr>
            <w:r>
              <w:rPr>
                <w:sz w:val="15"/>
                <w:szCs w:val="15"/>
                <w:highlight w:val="none"/>
              </w:rPr>
              <w:t>1586</w:t>
            </w:r>
          </w:p>
        </w:tc>
        <w:tc>
          <w:tcPr>
            <w:tcW w:w="375" w:type="pct"/>
            <w:tcBorders>
              <w:top w:val="nil"/>
              <w:left w:val="nil"/>
              <w:bottom w:val="single" w:color="auto" w:sz="4" w:space="0"/>
              <w:right w:val="single" w:color="auto" w:sz="4" w:space="0"/>
            </w:tcBorders>
            <w:shd w:val="clear" w:color="auto" w:fill="auto"/>
            <w:noWrap/>
            <w:vAlign w:val="center"/>
          </w:tcPr>
          <w:p w14:paraId="48247038">
            <w:pPr>
              <w:widowControl/>
              <w:jc w:val="center"/>
              <w:rPr>
                <w:sz w:val="15"/>
                <w:szCs w:val="15"/>
                <w:highlight w:val="none"/>
              </w:rPr>
            </w:pPr>
            <w:r>
              <w:rPr>
                <w:sz w:val="15"/>
                <w:szCs w:val="15"/>
                <w:highlight w:val="none"/>
              </w:rPr>
              <w:t>7.6</w:t>
            </w:r>
          </w:p>
        </w:tc>
        <w:tc>
          <w:tcPr>
            <w:tcW w:w="361" w:type="pct"/>
            <w:tcBorders>
              <w:top w:val="nil"/>
              <w:left w:val="nil"/>
              <w:bottom w:val="single" w:color="auto" w:sz="4" w:space="0"/>
              <w:right w:val="single" w:color="auto" w:sz="4" w:space="0"/>
            </w:tcBorders>
            <w:shd w:val="clear" w:color="auto" w:fill="auto"/>
            <w:noWrap/>
            <w:vAlign w:val="center"/>
          </w:tcPr>
          <w:p w14:paraId="38F1FCA5">
            <w:pPr>
              <w:widowControl/>
              <w:jc w:val="center"/>
              <w:rPr>
                <w:sz w:val="15"/>
                <w:szCs w:val="15"/>
                <w:highlight w:val="none"/>
              </w:rPr>
            </w:pPr>
            <w:r>
              <w:rPr>
                <w:sz w:val="15"/>
                <w:szCs w:val="15"/>
                <w:highlight w:val="none"/>
              </w:rPr>
              <w:t>0.20</w:t>
            </w:r>
          </w:p>
        </w:tc>
        <w:tc>
          <w:tcPr>
            <w:tcW w:w="361" w:type="pct"/>
            <w:tcBorders>
              <w:top w:val="nil"/>
              <w:left w:val="nil"/>
              <w:bottom w:val="single" w:color="auto" w:sz="4" w:space="0"/>
              <w:right w:val="single" w:color="auto" w:sz="4" w:space="0"/>
            </w:tcBorders>
            <w:shd w:val="clear" w:color="auto" w:fill="auto"/>
            <w:noWrap/>
            <w:vAlign w:val="center"/>
          </w:tcPr>
          <w:p w14:paraId="367619C9">
            <w:pPr>
              <w:widowControl/>
              <w:jc w:val="center"/>
              <w:rPr>
                <w:sz w:val="15"/>
                <w:szCs w:val="15"/>
                <w:highlight w:val="none"/>
              </w:rPr>
            </w:pPr>
            <w:r>
              <w:rPr>
                <w:sz w:val="15"/>
                <w:szCs w:val="15"/>
                <w:highlight w:val="none"/>
              </w:rPr>
              <w:t>241.07</w:t>
            </w:r>
          </w:p>
        </w:tc>
        <w:tc>
          <w:tcPr>
            <w:tcW w:w="453" w:type="pct"/>
            <w:tcBorders>
              <w:top w:val="nil"/>
              <w:left w:val="nil"/>
              <w:bottom w:val="single" w:color="auto" w:sz="4" w:space="0"/>
              <w:right w:val="single" w:color="auto" w:sz="4" w:space="0"/>
            </w:tcBorders>
            <w:shd w:val="clear" w:color="auto" w:fill="auto"/>
            <w:noWrap/>
            <w:vAlign w:val="center"/>
          </w:tcPr>
          <w:p w14:paraId="6BC817AC">
            <w:pPr>
              <w:widowControl/>
              <w:jc w:val="center"/>
              <w:rPr>
                <w:sz w:val="15"/>
                <w:szCs w:val="15"/>
                <w:highlight w:val="none"/>
              </w:rPr>
            </w:pPr>
            <w:r>
              <w:rPr>
                <w:sz w:val="15"/>
                <w:szCs w:val="15"/>
                <w:highlight w:val="none"/>
              </w:rPr>
              <w:t>4.88</w:t>
            </w:r>
          </w:p>
        </w:tc>
        <w:tc>
          <w:tcPr>
            <w:tcW w:w="453" w:type="pct"/>
            <w:tcBorders>
              <w:top w:val="nil"/>
              <w:left w:val="nil"/>
              <w:bottom w:val="single" w:color="auto" w:sz="4" w:space="0"/>
              <w:right w:val="single" w:color="auto" w:sz="4" w:space="0"/>
            </w:tcBorders>
            <w:shd w:val="clear" w:color="auto" w:fill="auto"/>
            <w:noWrap/>
            <w:vAlign w:val="center"/>
          </w:tcPr>
          <w:p w14:paraId="764111A6">
            <w:pPr>
              <w:widowControl/>
              <w:jc w:val="center"/>
              <w:rPr>
                <w:sz w:val="15"/>
                <w:szCs w:val="15"/>
                <w:highlight w:val="none"/>
              </w:rPr>
            </w:pPr>
            <w:r>
              <w:rPr>
                <w:sz w:val="15"/>
                <w:szCs w:val="15"/>
                <w:highlight w:val="none"/>
              </w:rPr>
              <w:t>3.44</w:t>
            </w:r>
          </w:p>
        </w:tc>
        <w:tc>
          <w:tcPr>
            <w:tcW w:w="361" w:type="pct"/>
            <w:tcBorders>
              <w:top w:val="nil"/>
              <w:left w:val="nil"/>
              <w:bottom w:val="single" w:color="auto" w:sz="4" w:space="0"/>
              <w:right w:val="single" w:color="auto" w:sz="4" w:space="0"/>
            </w:tcBorders>
            <w:shd w:val="clear" w:color="auto" w:fill="auto"/>
            <w:noWrap/>
            <w:vAlign w:val="center"/>
          </w:tcPr>
          <w:p w14:paraId="394F0A5C">
            <w:pPr>
              <w:widowControl/>
              <w:jc w:val="center"/>
              <w:rPr>
                <w:sz w:val="15"/>
                <w:szCs w:val="15"/>
                <w:highlight w:val="none"/>
              </w:rPr>
            </w:pPr>
            <w:r>
              <w:rPr>
                <w:sz w:val="15"/>
                <w:szCs w:val="15"/>
                <w:highlight w:val="none"/>
              </w:rPr>
              <w:t>0.30</w:t>
            </w:r>
          </w:p>
        </w:tc>
        <w:tc>
          <w:tcPr>
            <w:tcW w:w="36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84D4B68">
            <w:pPr>
              <w:widowControl/>
              <w:jc w:val="center"/>
              <w:rPr>
                <w:sz w:val="15"/>
                <w:szCs w:val="15"/>
                <w:highlight w:val="none"/>
              </w:rPr>
            </w:pPr>
            <w:r>
              <w:rPr>
                <w:sz w:val="15"/>
                <w:szCs w:val="15"/>
                <w:highlight w:val="none"/>
              </w:rPr>
              <w:t>1.21</w:t>
            </w:r>
          </w:p>
        </w:tc>
        <w:tc>
          <w:tcPr>
            <w:tcW w:w="361" w:type="pct"/>
            <w:tcBorders>
              <w:top w:val="nil"/>
              <w:left w:val="nil"/>
              <w:bottom w:val="single" w:color="auto" w:sz="4" w:space="0"/>
              <w:right w:val="single" w:color="auto" w:sz="4" w:space="0"/>
            </w:tcBorders>
            <w:shd w:val="clear" w:color="auto" w:fill="auto"/>
            <w:noWrap/>
            <w:vAlign w:val="center"/>
          </w:tcPr>
          <w:p w14:paraId="3852A268">
            <w:pPr>
              <w:widowControl/>
              <w:jc w:val="center"/>
              <w:rPr>
                <w:sz w:val="15"/>
                <w:szCs w:val="15"/>
                <w:highlight w:val="none"/>
              </w:rPr>
            </w:pPr>
            <w:r>
              <w:rPr>
                <w:sz w:val="15"/>
                <w:szCs w:val="15"/>
                <w:highlight w:val="none"/>
              </w:rPr>
              <w:t>/</w:t>
            </w:r>
          </w:p>
        </w:tc>
      </w:tr>
      <w:tr w14:paraId="61AF88E8">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46769E89">
            <w:pPr>
              <w:widowControl/>
              <w:jc w:val="center"/>
              <w:rPr>
                <w:sz w:val="15"/>
                <w:szCs w:val="15"/>
                <w:highlight w:val="none"/>
              </w:rPr>
            </w:pPr>
            <w:r>
              <w:rPr>
                <w:sz w:val="15"/>
                <w:szCs w:val="15"/>
                <w:highlight w:val="none"/>
              </w:rPr>
              <w:t>2025.05.29</w:t>
            </w:r>
          </w:p>
        </w:tc>
        <w:tc>
          <w:tcPr>
            <w:tcW w:w="306" w:type="pct"/>
            <w:tcBorders>
              <w:top w:val="nil"/>
              <w:left w:val="nil"/>
              <w:bottom w:val="single" w:color="auto" w:sz="4" w:space="0"/>
              <w:right w:val="single" w:color="auto" w:sz="4" w:space="0"/>
            </w:tcBorders>
            <w:shd w:val="clear" w:color="auto" w:fill="auto"/>
            <w:noWrap/>
            <w:vAlign w:val="center"/>
          </w:tcPr>
          <w:p w14:paraId="4FACCBA7">
            <w:pPr>
              <w:widowControl/>
              <w:jc w:val="center"/>
              <w:rPr>
                <w:sz w:val="15"/>
                <w:szCs w:val="15"/>
                <w:highlight w:val="none"/>
              </w:rPr>
            </w:pPr>
            <w:r>
              <w:rPr>
                <w:sz w:val="15"/>
                <w:szCs w:val="15"/>
                <w:highlight w:val="none"/>
              </w:rPr>
              <w:t>10:55</w:t>
            </w:r>
          </w:p>
        </w:tc>
        <w:tc>
          <w:tcPr>
            <w:tcW w:w="368" w:type="pct"/>
            <w:tcBorders>
              <w:top w:val="nil"/>
              <w:left w:val="nil"/>
              <w:bottom w:val="single" w:color="auto" w:sz="4" w:space="0"/>
              <w:right w:val="single" w:color="auto" w:sz="4" w:space="0"/>
            </w:tcBorders>
            <w:shd w:val="clear" w:color="auto" w:fill="auto"/>
            <w:noWrap/>
            <w:vAlign w:val="center"/>
          </w:tcPr>
          <w:p w14:paraId="330DB65C">
            <w:pPr>
              <w:widowControl/>
              <w:jc w:val="center"/>
              <w:rPr>
                <w:sz w:val="15"/>
                <w:szCs w:val="15"/>
                <w:highlight w:val="none"/>
              </w:rPr>
            </w:pPr>
            <w:r>
              <w:rPr>
                <w:sz w:val="15"/>
                <w:szCs w:val="15"/>
                <w:highlight w:val="none"/>
              </w:rPr>
              <w:t>7.01</w:t>
            </w:r>
          </w:p>
        </w:tc>
        <w:tc>
          <w:tcPr>
            <w:tcW w:w="348" w:type="pct"/>
            <w:tcBorders>
              <w:top w:val="nil"/>
              <w:left w:val="nil"/>
              <w:bottom w:val="single" w:color="auto" w:sz="4" w:space="0"/>
              <w:right w:val="single" w:color="auto" w:sz="4" w:space="0"/>
            </w:tcBorders>
            <w:shd w:val="clear" w:color="auto" w:fill="auto"/>
            <w:noWrap/>
            <w:vAlign w:val="center"/>
          </w:tcPr>
          <w:p w14:paraId="3019C875">
            <w:pPr>
              <w:widowControl/>
              <w:jc w:val="center"/>
              <w:rPr>
                <w:sz w:val="15"/>
                <w:szCs w:val="15"/>
                <w:highlight w:val="none"/>
              </w:rPr>
            </w:pPr>
            <w:r>
              <w:rPr>
                <w:sz w:val="15"/>
                <w:szCs w:val="15"/>
                <w:highlight w:val="none"/>
              </w:rPr>
              <w:t>1.82</w:t>
            </w:r>
          </w:p>
        </w:tc>
        <w:tc>
          <w:tcPr>
            <w:tcW w:w="393" w:type="pct"/>
            <w:tcBorders>
              <w:top w:val="nil"/>
              <w:left w:val="nil"/>
              <w:bottom w:val="single" w:color="auto" w:sz="4" w:space="0"/>
              <w:right w:val="single" w:color="auto" w:sz="4" w:space="0"/>
            </w:tcBorders>
            <w:shd w:val="clear" w:color="auto" w:fill="auto"/>
            <w:noWrap/>
            <w:vAlign w:val="center"/>
          </w:tcPr>
          <w:p w14:paraId="682BEC98">
            <w:pPr>
              <w:widowControl/>
              <w:jc w:val="center"/>
              <w:rPr>
                <w:sz w:val="15"/>
                <w:szCs w:val="15"/>
                <w:highlight w:val="none"/>
              </w:rPr>
            </w:pPr>
            <w:r>
              <w:rPr>
                <w:sz w:val="15"/>
                <w:szCs w:val="15"/>
                <w:highlight w:val="none"/>
              </w:rPr>
              <w:t>1690</w:t>
            </w:r>
          </w:p>
        </w:tc>
        <w:tc>
          <w:tcPr>
            <w:tcW w:w="375" w:type="pct"/>
            <w:tcBorders>
              <w:top w:val="nil"/>
              <w:left w:val="nil"/>
              <w:bottom w:val="single" w:color="auto" w:sz="4" w:space="0"/>
              <w:right w:val="single" w:color="auto" w:sz="4" w:space="0"/>
            </w:tcBorders>
            <w:shd w:val="clear" w:color="auto" w:fill="auto"/>
            <w:noWrap/>
            <w:vAlign w:val="center"/>
          </w:tcPr>
          <w:p w14:paraId="782076FB">
            <w:pPr>
              <w:widowControl/>
              <w:jc w:val="center"/>
              <w:rPr>
                <w:sz w:val="15"/>
                <w:szCs w:val="15"/>
                <w:highlight w:val="none"/>
              </w:rPr>
            </w:pPr>
            <w:r>
              <w:rPr>
                <w:sz w:val="15"/>
                <w:szCs w:val="15"/>
                <w:highlight w:val="none"/>
              </w:rPr>
              <w:t>13.5</w:t>
            </w:r>
          </w:p>
        </w:tc>
        <w:tc>
          <w:tcPr>
            <w:tcW w:w="361" w:type="pct"/>
            <w:tcBorders>
              <w:top w:val="nil"/>
              <w:left w:val="nil"/>
              <w:bottom w:val="single" w:color="auto" w:sz="4" w:space="0"/>
              <w:right w:val="single" w:color="auto" w:sz="4" w:space="0"/>
            </w:tcBorders>
            <w:shd w:val="clear" w:color="auto" w:fill="auto"/>
            <w:noWrap/>
            <w:vAlign w:val="center"/>
          </w:tcPr>
          <w:p w14:paraId="10816D61">
            <w:pPr>
              <w:widowControl/>
              <w:jc w:val="center"/>
              <w:rPr>
                <w:sz w:val="15"/>
                <w:szCs w:val="15"/>
                <w:highlight w:val="none"/>
              </w:rPr>
            </w:pPr>
            <w:r>
              <w:rPr>
                <w:sz w:val="15"/>
                <w:szCs w:val="15"/>
                <w:highlight w:val="none"/>
              </w:rPr>
              <w:t>0.49</w:t>
            </w:r>
          </w:p>
        </w:tc>
        <w:tc>
          <w:tcPr>
            <w:tcW w:w="361" w:type="pct"/>
            <w:tcBorders>
              <w:top w:val="nil"/>
              <w:left w:val="nil"/>
              <w:bottom w:val="single" w:color="auto" w:sz="4" w:space="0"/>
              <w:right w:val="single" w:color="auto" w:sz="4" w:space="0"/>
            </w:tcBorders>
            <w:shd w:val="clear" w:color="auto" w:fill="auto"/>
            <w:noWrap/>
            <w:vAlign w:val="center"/>
          </w:tcPr>
          <w:p w14:paraId="504DCED2">
            <w:pPr>
              <w:widowControl/>
              <w:jc w:val="center"/>
              <w:rPr>
                <w:sz w:val="15"/>
                <w:szCs w:val="15"/>
                <w:highlight w:val="none"/>
              </w:rPr>
            </w:pPr>
            <w:r>
              <w:rPr>
                <w:sz w:val="15"/>
                <w:szCs w:val="15"/>
                <w:highlight w:val="none"/>
              </w:rPr>
              <w:t>252.81</w:t>
            </w:r>
          </w:p>
        </w:tc>
        <w:tc>
          <w:tcPr>
            <w:tcW w:w="453" w:type="pct"/>
            <w:tcBorders>
              <w:top w:val="nil"/>
              <w:left w:val="nil"/>
              <w:bottom w:val="single" w:color="auto" w:sz="4" w:space="0"/>
              <w:right w:val="single" w:color="auto" w:sz="4" w:space="0"/>
            </w:tcBorders>
            <w:shd w:val="clear" w:color="auto" w:fill="auto"/>
            <w:noWrap/>
            <w:vAlign w:val="center"/>
          </w:tcPr>
          <w:p w14:paraId="54042B0D">
            <w:pPr>
              <w:widowControl/>
              <w:jc w:val="center"/>
              <w:rPr>
                <w:sz w:val="15"/>
                <w:szCs w:val="15"/>
                <w:highlight w:val="none"/>
              </w:rPr>
            </w:pPr>
            <w:r>
              <w:rPr>
                <w:sz w:val="15"/>
                <w:szCs w:val="15"/>
                <w:highlight w:val="none"/>
              </w:rPr>
              <w:t>5.07</w:t>
            </w:r>
          </w:p>
        </w:tc>
        <w:tc>
          <w:tcPr>
            <w:tcW w:w="453" w:type="pct"/>
            <w:tcBorders>
              <w:top w:val="nil"/>
              <w:left w:val="nil"/>
              <w:bottom w:val="single" w:color="auto" w:sz="4" w:space="0"/>
              <w:right w:val="single" w:color="auto" w:sz="4" w:space="0"/>
            </w:tcBorders>
            <w:shd w:val="clear" w:color="auto" w:fill="auto"/>
            <w:noWrap/>
            <w:vAlign w:val="center"/>
          </w:tcPr>
          <w:p w14:paraId="3EF4669E">
            <w:pPr>
              <w:widowControl/>
              <w:jc w:val="center"/>
              <w:rPr>
                <w:sz w:val="15"/>
                <w:szCs w:val="15"/>
                <w:highlight w:val="none"/>
              </w:rPr>
            </w:pPr>
            <w:r>
              <w:rPr>
                <w:sz w:val="15"/>
                <w:szCs w:val="15"/>
                <w:highlight w:val="none"/>
              </w:rPr>
              <w:t>2.92</w:t>
            </w:r>
          </w:p>
        </w:tc>
        <w:tc>
          <w:tcPr>
            <w:tcW w:w="36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1118D85">
            <w:pPr>
              <w:widowControl/>
              <w:jc w:val="center"/>
              <w:rPr>
                <w:sz w:val="15"/>
                <w:szCs w:val="15"/>
                <w:highlight w:val="none"/>
              </w:rPr>
            </w:pPr>
            <w:r>
              <w:rPr>
                <w:sz w:val="15"/>
                <w:szCs w:val="15"/>
                <w:highlight w:val="none"/>
              </w:rPr>
              <w:t>0.05</w:t>
            </w:r>
          </w:p>
        </w:tc>
        <w:tc>
          <w:tcPr>
            <w:tcW w:w="361" w:type="pct"/>
            <w:tcBorders>
              <w:top w:val="nil"/>
              <w:left w:val="nil"/>
              <w:bottom w:val="single" w:color="auto" w:sz="4" w:space="0"/>
              <w:right w:val="single" w:color="auto" w:sz="4" w:space="0"/>
            </w:tcBorders>
            <w:shd w:val="clear" w:color="auto" w:fill="auto"/>
            <w:noWrap/>
            <w:vAlign w:val="center"/>
          </w:tcPr>
          <w:p w14:paraId="596F0427">
            <w:pPr>
              <w:widowControl/>
              <w:jc w:val="center"/>
              <w:rPr>
                <w:sz w:val="15"/>
                <w:szCs w:val="15"/>
                <w:highlight w:val="none"/>
              </w:rPr>
            </w:pPr>
            <w:r>
              <w:rPr>
                <w:sz w:val="15"/>
                <w:szCs w:val="15"/>
                <w:highlight w:val="none"/>
              </w:rPr>
              <w:t>0.35</w:t>
            </w:r>
          </w:p>
        </w:tc>
        <w:tc>
          <w:tcPr>
            <w:tcW w:w="361" w:type="pct"/>
            <w:tcBorders>
              <w:top w:val="nil"/>
              <w:left w:val="nil"/>
              <w:bottom w:val="single" w:color="auto" w:sz="4" w:space="0"/>
              <w:right w:val="single" w:color="auto" w:sz="4" w:space="0"/>
            </w:tcBorders>
            <w:shd w:val="clear" w:color="auto" w:fill="auto"/>
            <w:noWrap/>
            <w:vAlign w:val="center"/>
          </w:tcPr>
          <w:p w14:paraId="12FF2808">
            <w:pPr>
              <w:widowControl/>
              <w:jc w:val="center"/>
              <w:rPr>
                <w:sz w:val="15"/>
                <w:szCs w:val="15"/>
                <w:highlight w:val="none"/>
              </w:rPr>
            </w:pPr>
            <w:r>
              <w:rPr>
                <w:sz w:val="15"/>
                <w:szCs w:val="15"/>
                <w:highlight w:val="none"/>
              </w:rPr>
              <w:t>0.03</w:t>
            </w:r>
          </w:p>
        </w:tc>
      </w:tr>
      <w:tr w14:paraId="035B7D0D">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2624097E">
            <w:pPr>
              <w:widowControl/>
              <w:jc w:val="center"/>
              <w:rPr>
                <w:sz w:val="15"/>
                <w:szCs w:val="15"/>
                <w:highlight w:val="none"/>
              </w:rPr>
            </w:pPr>
            <w:r>
              <w:rPr>
                <w:sz w:val="15"/>
                <w:szCs w:val="15"/>
                <w:highlight w:val="none"/>
              </w:rPr>
              <w:t>2025.06.04</w:t>
            </w:r>
          </w:p>
        </w:tc>
        <w:tc>
          <w:tcPr>
            <w:tcW w:w="306" w:type="pct"/>
            <w:tcBorders>
              <w:top w:val="nil"/>
              <w:left w:val="nil"/>
              <w:bottom w:val="single" w:color="auto" w:sz="4" w:space="0"/>
              <w:right w:val="single" w:color="auto" w:sz="4" w:space="0"/>
            </w:tcBorders>
            <w:shd w:val="clear" w:color="auto" w:fill="auto"/>
            <w:noWrap/>
            <w:vAlign w:val="center"/>
          </w:tcPr>
          <w:p w14:paraId="4F8CFF1D">
            <w:pPr>
              <w:widowControl/>
              <w:jc w:val="center"/>
              <w:rPr>
                <w:sz w:val="15"/>
                <w:szCs w:val="15"/>
                <w:highlight w:val="none"/>
              </w:rPr>
            </w:pPr>
            <w:r>
              <w:rPr>
                <w:sz w:val="15"/>
                <w:szCs w:val="15"/>
                <w:highlight w:val="none"/>
              </w:rPr>
              <w:t>10:45</w:t>
            </w:r>
          </w:p>
        </w:tc>
        <w:tc>
          <w:tcPr>
            <w:tcW w:w="368" w:type="pct"/>
            <w:tcBorders>
              <w:top w:val="nil"/>
              <w:left w:val="nil"/>
              <w:bottom w:val="single" w:color="auto" w:sz="4" w:space="0"/>
              <w:right w:val="single" w:color="auto" w:sz="4" w:space="0"/>
            </w:tcBorders>
            <w:shd w:val="clear" w:color="auto" w:fill="auto"/>
            <w:noWrap/>
            <w:vAlign w:val="center"/>
          </w:tcPr>
          <w:p w14:paraId="6F23DB4A">
            <w:pPr>
              <w:widowControl/>
              <w:jc w:val="center"/>
              <w:rPr>
                <w:sz w:val="15"/>
                <w:szCs w:val="15"/>
                <w:highlight w:val="none"/>
              </w:rPr>
            </w:pPr>
            <w:r>
              <w:rPr>
                <w:sz w:val="15"/>
                <w:szCs w:val="15"/>
                <w:highlight w:val="none"/>
              </w:rPr>
              <w:t>6.76</w:t>
            </w:r>
          </w:p>
        </w:tc>
        <w:tc>
          <w:tcPr>
            <w:tcW w:w="348" w:type="pct"/>
            <w:tcBorders>
              <w:top w:val="nil"/>
              <w:left w:val="nil"/>
              <w:bottom w:val="single" w:color="auto" w:sz="4" w:space="0"/>
              <w:right w:val="single" w:color="auto" w:sz="4" w:space="0"/>
            </w:tcBorders>
            <w:shd w:val="clear" w:color="auto" w:fill="auto"/>
            <w:noWrap/>
            <w:vAlign w:val="center"/>
          </w:tcPr>
          <w:p w14:paraId="4DA0AB54">
            <w:pPr>
              <w:widowControl/>
              <w:jc w:val="center"/>
              <w:rPr>
                <w:sz w:val="15"/>
                <w:szCs w:val="15"/>
                <w:highlight w:val="none"/>
              </w:rPr>
            </w:pPr>
            <w:r>
              <w:rPr>
                <w:sz w:val="15"/>
                <w:szCs w:val="15"/>
                <w:highlight w:val="none"/>
              </w:rPr>
              <w:t>1.36</w:t>
            </w:r>
          </w:p>
        </w:tc>
        <w:tc>
          <w:tcPr>
            <w:tcW w:w="393" w:type="pct"/>
            <w:tcBorders>
              <w:top w:val="nil"/>
              <w:left w:val="nil"/>
              <w:bottom w:val="single" w:color="auto" w:sz="4" w:space="0"/>
              <w:right w:val="single" w:color="auto" w:sz="4" w:space="0"/>
            </w:tcBorders>
            <w:shd w:val="clear" w:color="auto" w:fill="auto"/>
            <w:noWrap/>
            <w:vAlign w:val="center"/>
          </w:tcPr>
          <w:p w14:paraId="27D9A2B0">
            <w:pPr>
              <w:widowControl/>
              <w:jc w:val="center"/>
              <w:rPr>
                <w:sz w:val="15"/>
                <w:szCs w:val="15"/>
                <w:highlight w:val="none"/>
              </w:rPr>
            </w:pPr>
            <w:r>
              <w:rPr>
                <w:sz w:val="15"/>
                <w:szCs w:val="15"/>
                <w:highlight w:val="none"/>
              </w:rPr>
              <w:t>1764</w:t>
            </w:r>
          </w:p>
        </w:tc>
        <w:tc>
          <w:tcPr>
            <w:tcW w:w="375" w:type="pct"/>
            <w:tcBorders>
              <w:top w:val="nil"/>
              <w:left w:val="nil"/>
              <w:bottom w:val="single" w:color="auto" w:sz="4" w:space="0"/>
              <w:right w:val="single" w:color="auto" w:sz="4" w:space="0"/>
            </w:tcBorders>
            <w:shd w:val="clear" w:color="auto" w:fill="auto"/>
            <w:noWrap/>
            <w:vAlign w:val="center"/>
          </w:tcPr>
          <w:p w14:paraId="6343065D">
            <w:pPr>
              <w:widowControl/>
              <w:jc w:val="center"/>
              <w:rPr>
                <w:sz w:val="15"/>
                <w:szCs w:val="15"/>
                <w:highlight w:val="none"/>
              </w:rPr>
            </w:pPr>
            <w:r>
              <w:rPr>
                <w:sz w:val="15"/>
                <w:szCs w:val="15"/>
                <w:highlight w:val="none"/>
              </w:rPr>
              <w:t>12.2</w:t>
            </w:r>
          </w:p>
        </w:tc>
        <w:tc>
          <w:tcPr>
            <w:tcW w:w="361" w:type="pct"/>
            <w:tcBorders>
              <w:top w:val="nil"/>
              <w:left w:val="nil"/>
              <w:bottom w:val="single" w:color="auto" w:sz="4" w:space="0"/>
              <w:right w:val="single" w:color="auto" w:sz="4" w:space="0"/>
            </w:tcBorders>
            <w:shd w:val="clear" w:color="auto" w:fill="auto"/>
            <w:noWrap/>
            <w:vAlign w:val="center"/>
          </w:tcPr>
          <w:p w14:paraId="1D58021E">
            <w:pPr>
              <w:widowControl/>
              <w:jc w:val="center"/>
              <w:rPr>
                <w:sz w:val="15"/>
                <w:szCs w:val="15"/>
                <w:highlight w:val="none"/>
              </w:rPr>
            </w:pPr>
            <w:r>
              <w:rPr>
                <w:sz w:val="15"/>
                <w:szCs w:val="15"/>
                <w:highlight w:val="none"/>
              </w:rPr>
              <w:t>0.31</w:t>
            </w:r>
          </w:p>
        </w:tc>
        <w:tc>
          <w:tcPr>
            <w:tcW w:w="361" w:type="pct"/>
            <w:tcBorders>
              <w:top w:val="nil"/>
              <w:left w:val="nil"/>
              <w:bottom w:val="single" w:color="auto" w:sz="4" w:space="0"/>
              <w:right w:val="single" w:color="auto" w:sz="4" w:space="0"/>
            </w:tcBorders>
            <w:shd w:val="clear" w:color="auto" w:fill="auto"/>
            <w:noWrap/>
            <w:vAlign w:val="center"/>
          </w:tcPr>
          <w:p w14:paraId="5455F4B1">
            <w:pPr>
              <w:widowControl/>
              <w:jc w:val="center"/>
              <w:rPr>
                <w:sz w:val="15"/>
                <w:szCs w:val="15"/>
                <w:highlight w:val="none"/>
              </w:rPr>
            </w:pPr>
            <w:r>
              <w:rPr>
                <w:sz w:val="15"/>
                <w:szCs w:val="15"/>
                <w:highlight w:val="none"/>
              </w:rPr>
              <w:t>261.34</w:t>
            </w:r>
          </w:p>
        </w:tc>
        <w:tc>
          <w:tcPr>
            <w:tcW w:w="453" w:type="pct"/>
            <w:tcBorders>
              <w:top w:val="nil"/>
              <w:left w:val="nil"/>
              <w:bottom w:val="single" w:color="auto" w:sz="4" w:space="0"/>
              <w:right w:val="single" w:color="auto" w:sz="4" w:space="0"/>
            </w:tcBorders>
            <w:shd w:val="clear" w:color="auto" w:fill="auto"/>
            <w:noWrap/>
            <w:vAlign w:val="center"/>
          </w:tcPr>
          <w:p w14:paraId="00990232">
            <w:pPr>
              <w:widowControl/>
              <w:jc w:val="center"/>
              <w:rPr>
                <w:sz w:val="15"/>
                <w:szCs w:val="15"/>
                <w:highlight w:val="none"/>
              </w:rPr>
            </w:pPr>
            <w:r>
              <w:rPr>
                <w:sz w:val="15"/>
                <w:szCs w:val="15"/>
                <w:highlight w:val="none"/>
              </w:rPr>
              <w:t>4.88</w:t>
            </w:r>
          </w:p>
        </w:tc>
        <w:tc>
          <w:tcPr>
            <w:tcW w:w="453" w:type="pct"/>
            <w:tcBorders>
              <w:top w:val="nil"/>
              <w:left w:val="nil"/>
              <w:bottom w:val="single" w:color="auto" w:sz="4" w:space="0"/>
              <w:right w:val="single" w:color="auto" w:sz="4" w:space="0"/>
            </w:tcBorders>
            <w:shd w:val="clear" w:color="auto" w:fill="auto"/>
            <w:noWrap/>
            <w:vAlign w:val="center"/>
          </w:tcPr>
          <w:p w14:paraId="08F5EE1E">
            <w:pPr>
              <w:widowControl/>
              <w:jc w:val="center"/>
              <w:rPr>
                <w:sz w:val="15"/>
                <w:szCs w:val="15"/>
                <w:highlight w:val="none"/>
              </w:rPr>
            </w:pPr>
            <w:r>
              <w:rPr>
                <w:sz w:val="15"/>
                <w:szCs w:val="15"/>
                <w:highlight w:val="none"/>
              </w:rPr>
              <w:t>2.4</w:t>
            </w:r>
          </w:p>
        </w:tc>
        <w:tc>
          <w:tcPr>
            <w:tcW w:w="361" w:type="pct"/>
            <w:tcBorders>
              <w:top w:val="nil"/>
              <w:left w:val="nil"/>
              <w:bottom w:val="single" w:color="auto" w:sz="4" w:space="0"/>
              <w:right w:val="single" w:color="auto" w:sz="4" w:space="0"/>
            </w:tcBorders>
            <w:shd w:val="clear" w:color="auto" w:fill="auto"/>
            <w:noWrap/>
            <w:vAlign w:val="center"/>
          </w:tcPr>
          <w:p w14:paraId="5DBC9FFB">
            <w:pPr>
              <w:widowControl/>
              <w:jc w:val="center"/>
              <w:rPr>
                <w:sz w:val="15"/>
                <w:szCs w:val="15"/>
                <w:highlight w:val="none"/>
              </w:rPr>
            </w:pPr>
            <w:r>
              <w:rPr>
                <w:sz w:val="15"/>
                <w:szCs w:val="15"/>
                <w:highlight w:val="none"/>
              </w:rPr>
              <w:t>0.30</w:t>
            </w:r>
          </w:p>
        </w:tc>
        <w:tc>
          <w:tcPr>
            <w:tcW w:w="36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8525689">
            <w:pPr>
              <w:widowControl/>
              <w:jc w:val="center"/>
              <w:rPr>
                <w:sz w:val="15"/>
                <w:szCs w:val="15"/>
                <w:highlight w:val="none"/>
              </w:rPr>
            </w:pPr>
            <w:r>
              <w:rPr>
                <w:sz w:val="15"/>
                <w:szCs w:val="15"/>
                <w:highlight w:val="none"/>
              </w:rPr>
              <w:t>1.35</w:t>
            </w:r>
          </w:p>
        </w:tc>
        <w:tc>
          <w:tcPr>
            <w:tcW w:w="361" w:type="pct"/>
            <w:tcBorders>
              <w:top w:val="nil"/>
              <w:left w:val="nil"/>
              <w:bottom w:val="single" w:color="auto" w:sz="4" w:space="0"/>
              <w:right w:val="single" w:color="auto" w:sz="4" w:space="0"/>
            </w:tcBorders>
            <w:shd w:val="clear" w:color="auto" w:fill="auto"/>
            <w:noWrap/>
            <w:vAlign w:val="center"/>
          </w:tcPr>
          <w:p w14:paraId="79CE889A">
            <w:pPr>
              <w:widowControl/>
              <w:jc w:val="center"/>
              <w:rPr>
                <w:sz w:val="15"/>
                <w:szCs w:val="15"/>
                <w:highlight w:val="none"/>
              </w:rPr>
            </w:pPr>
            <w:r>
              <w:rPr>
                <w:sz w:val="15"/>
                <w:szCs w:val="15"/>
                <w:highlight w:val="none"/>
              </w:rPr>
              <w:t>/</w:t>
            </w:r>
          </w:p>
        </w:tc>
      </w:tr>
      <w:tr w14:paraId="5389DD71">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67D90DFF">
            <w:pPr>
              <w:widowControl/>
              <w:jc w:val="center"/>
              <w:rPr>
                <w:sz w:val="15"/>
                <w:szCs w:val="15"/>
                <w:highlight w:val="none"/>
              </w:rPr>
            </w:pPr>
            <w:r>
              <w:rPr>
                <w:sz w:val="15"/>
                <w:szCs w:val="15"/>
                <w:highlight w:val="none"/>
              </w:rPr>
              <w:t>2025.06.12</w:t>
            </w:r>
          </w:p>
        </w:tc>
        <w:tc>
          <w:tcPr>
            <w:tcW w:w="306" w:type="pct"/>
            <w:tcBorders>
              <w:top w:val="nil"/>
              <w:left w:val="nil"/>
              <w:bottom w:val="single" w:color="auto" w:sz="4" w:space="0"/>
              <w:right w:val="single" w:color="auto" w:sz="4" w:space="0"/>
            </w:tcBorders>
            <w:shd w:val="clear" w:color="auto" w:fill="auto"/>
            <w:noWrap/>
            <w:vAlign w:val="center"/>
          </w:tcPr>
          <w:p w14:paraId="0CFAEB46">
            <w:pPr>
              <w:widowControl/>
              <w:jc w:val="center"/>
              <w:rPr>
                <w:sz w:val="15"/>
                <w:szCs w:val="15"/>
                <w:highlight w:val="none"/>
              </w:rPr>
            </w:pPr>
            <w:r>
              <w:rPr>
                <w:sz w:val="15"/>
                <w:szCs w:val="15"/>
                <w:highlight w:val="none"/>
              </w:rPr>
              <w:t>10:55</w:t>
            </w:r>
          </w:p>
        </w:tc>
        <w:tc>
          <w:tcPr>
            <w:tcW w:w="368" w:type="pct"/>
            <w:tcBorders>
              <w:top w:val="nil"/>
              <w:left w:val="nil"/>
              <w:bottom w:val="single" w:color="auto" w:sz="4" w:space="0"/>
              <w:right w:val="single" w:color="auto" w:sz="4" w:space="0"/>
            </w:tcBorders>
            <w:shd w:val="clear" w:color="auto" w:fill="auto"/>
            <w:noWrap/>
            <w:vAlign w:val="center"/>
          </w:tcPr>
          <w:p w14:paraId="112084AB">
            <w:pPr>
              <w:widowControl/>
              <w:jc w:val="center"/>
              <w:rPr>
                <w:sz w:val="15"/>
                <w:szCs w:val="15"/>
                <w:highlight w:val="none"/>
              </w:rPr>
            </w:pPr>
            <w:r>
              <w:rPr>
                <w:sz w:val="15"/>
                <w:szCs w:val="15"/>
                <w:highlight w:val="none"/>
              </w:rPr>
              <w:t>6.68</w:t>
            </w:r>
          </w:p>
        </w:tc>
        <w:tc>
          <w:tcPr>
            <w:tcW w:w="348" w:type="pct"/>
            <w:tcBorders>
              <w:top w:val="nil"/>
              <w:left w:val="nil"/>
              <w:bottom w:val="single" w:color="auto" w:sz="4" w:space="0"/>
              <w:right w:val="single" w:color="auto" w:sz="4" w:space="0"/>
            </w:tcBorders>
            <w:shd w:val="clear" w:color="auto" w:fill="auto"/>
            <w:noWrap/>
            <w:vAlign w:val="center"/>
          </w:tcPr>
          <w:p w14:paraId="278E5C5B">
            <w:pPr>
              <w:widowControl/>
              <w:jc w:val="center"/>
              <w:rPr>
                <w:sz w:val="15"/>
                <w:szCs w:val="15"/>
                <w:highlight w:val="none"/>
              </w:rPr>
            </w:pPr>
            <w:r>
              <w:rPr>
                <w:sz w:val="15"/>
                <w:szCs w:val="15"/>
                <w:highlight w:val="none"/>
              </w:rPr>
              <w:t>1.82</w:t>
            </w:r>
          </w:p>
        </w:tc>
        <w:tc>
          <w:tcPr>
            <w:tcW w:w="393" w:type="pct"/>
            <w:tcBorders>
              <w:top w:val="nil"/>
              <w:left w:val="nil"/>
              <w:bottom w:val="single" w:color="auto" w:sz="4" w:space="0"/>
              <w:right w:val="single" w:color="auto" w:sz="4" w:space="0"/>
            </w:tcBorders>
            <w:shd w:val="clear" w:color="auto" w:fill="auto"/>
            <w:noWrap/>
            <w:vAlign w:val="center"/>
          </w:tcPr>
          <w:p w14:paraId="1B79C66F">
            <w:pPr>
              <w:widowControl/>
              <w:jc w:val="center"/>
              <w:rPr>
                <w:sz w:val="15"/>
                <w:szCs w:val="15"/>
                <w:highlight w:val="none"/>
              </w:rPr>
            </w:pPr>
            <w:r>
              <w:rPr>
                <w:sz w:val="15"/>
                <w:szCs w:val="15"/>
                <w:highlight w:val="none"/>
              </w:rPr>
              <w:t>1688</w:t>
            </w:r>
          </w:p>
        </w:tc>
        <w:tc>
          <w:tcPr>
            <w:tcW w:w="375" w:type="pct"/>
            <w:tcBorders>
              <w:top w:val="nil"/>
              <w:left w:val="nil"/>
              <w:bottom w:val="single" w:color="auto" w:sz="4" w:space="0"/>
              <w:right w:val="single" w:color="auto" w:sz="4" w:space="0"/>
            </w:tcBorders>
            <w:shd w:val="clear" w:color="auto" w:fill="auto"/>
            <w:noWrap/>
            <w:vAlign w:val="center"/>
          </w:tcPr>
          <w:p w14:paraId="29BE4CB8">
            <w:pPr>
              <w:widowControl/>
              <w:jc w:val="center"/>
              <w:rPr>
                <w:sz w:val="15"/>
                <w:szCs w:val="15"/>
                <w:highlight w:val="none"/>
              </w:rPr>
            </w:pPr>
            <w:r>
              <w:rPr>
                <w:sz w:val="15"/>
                <w:szCs w:val="15"/>
                <w:highlight w:val="none"/>
              </w:rPr>
              <w:t>11.4</w:t>
            </w:r>
          </w:p>
        </w:tc>
        <w:tc>
          <w:tcPr>
            <w:tcW w:w="361" w:type="pct"/>
            <w:tcBorders>
              <w:top w:val="nil"/>
              <w:left w:val="nil"/>
              <w:bottom w:val="single" w:color="auto" w:sz="4" w:space="0"/>
              <w:right w:val="single" w:color="auto" w:sz="4" w:space="0"/>
            </w:tcBorders>
            <w:shd w:val="clear" w:color="auto" w:fill="auto"/>
            <w:noWrap/>
            <w:vAlign w:val="center"/>
          </w:tcPr>
          <w:p w14:paraId="0491F1C2">
            <w:pPr>
              <w:widowControl/>
              <w:jc w:val="center"/>
              <w:rPr>
                <w:sz w:val="15"/>
                <w:szCs w:val="15"/>
                <w:highlight w:val="none"/>
              </w:rPr>
            </w:pPr>
            <w:r>
              <w:rPr>
                <w:sz w:val="15"/>
                <w:szCs w:val="15"/>
                <w:highlight w:val="none"/>
              </w:rPr>
              <w:t>0.38</w:t>
            </w:r>
          </w:p>
        </w:tc>
        <w:tc>
          <w:tcPr>
            <w:tcW w:w="361" w:type="pct"/>
            <w:tcBorders>
              <w:top w:val="nil"/>
              <w:left w:val="nil"/>
              <w:bottom w:val="single" w:color="auto" w:sz="4" w:space="0"/>
              <w:right w:val="single" w:color="auto" w:sz="4" w:space="0"/>
            </w:tcBorders>
            <w:shd w:val="clear" w:color="auto" w:fill="auto"/>
            <w:noWrap/>
            <w:vAlign w:val="center"/>
          </w:tcPr>
          <w:p w14:paraId="6DF45AD1">
            <w:pPr>
              <w:widowControl/>
              <w:jc w:val="center"/>
              <w:rPr>
                <w:sz w:val="15"/>
                <w:szCs w:val="15"/>
                <w:highlight w:val="none"/>
              </w:rPr>
            </w:pPr>
            <w:r>
              <w:rPr>
                <w:sz w:val="15"/>
                <w:szCs w:val="15"/>
                <w:highlight w:val="none"/>
              </w:rPr>
              <w:t>254.58</w:t>
            </w:r>
          </w:p>
        </w:tc>
        <w:tc>
          <w:tcPr>
            <w:tcW w:w="453" w:type="pct"/>
            <w:tcBorders>
              <w:top w:val="nil"/>
              <w:left w:val="nil"/>
              <w:bottom w:val="single" w:color="auto" w:sz="4" w:space="0"/>
              <w:right w:val="single" w:color="auto" w:sz="4" w:space="0"/>
            </w:tcBorders>
            <w:shd w:val="clear" w:color="auto" w:fill="auto"/>
            <w:noWrap/>
            <w:vAlign w:val="center"/>
          </w:tcPr>
          <w:p w14:paraId="524CFEBC">
            <w:pPr>
              <w:widowControl/>
              <w:jc w:val="center"/>
              <w:rPr>
                <w:sz w:val="15"/>
                <w:szCs w:val="15"/>
                <w:highlight w:val="none"/>
              </w:rPr>
            </w:pPr>
            <w:r>
              <w:rPr>
                <w:sz w:val="15"/>
                <w:szCs w:val="15"/>
                <w:highlight w:val="none"/>
              </w:rPr>
              <w:t>4.97</w:t>
            </w:r>
          </w:p>
        </w:tc>
        <w:tc>
          <w:tcPr>
            <w:tcW w:w="453" w:type="pct"/>
            <w:tcBorders>
              <w:top w:val="nil"/>
              <w:left w:val="nil"/>
              <w:bottom w:val="single" w:color="auto" w:sz="4" w:space="0"/>
              <w:right w:val="single" w:color="auto" w:sz="4" w:space="0"/>
            </w:tcBorders>
            <w:shd w:val="clear" w:color="auto" w:fill="auto"/>
            <w:noWrap/>
            <w:vAlign w:val="center"/>
          </w:tcPr>
          <w:p w14:paraId="6ED5410B">
            <w:pPr>
              <w:widowControl/>
              <w:jc w:val="center"/>
              <w:rPr>
                <w:sz w:val="15"/>
                <w:szCs w:val="15"/>
                <w:highlight w:val="none"/>
              </w:rPr>
            </w:pPr>
            <w:r>
              <w:rPr>
                <w:sz w:val="15"/>
                <w:szCs w:val="15"/>
                <w:highlight w:val="none"/>
              </w:rPr>
              <w:t>2.82</w:t>
            </w:r>
          </w:p>
        </w:tc>
        <w:tc>
          <w:tcPr>
            <w:tcW w:w="361" w:type="pct"/>
            <w:tcBorders>
              <w:top w:val="nil"/>
              <w:left w:val="nil"/>
              <w:bottom w:val="single" w:color="auto" w:sz="4" w:space="0"/>
              <w:right w:val="single" w:color="auto" w:sz="4" w:space="0"/>
            </w:tcBorders>
            <w:shd w:val="clear" w:color="auto" w:fill="auto"/>
            <w:noWrap/>
            <w:vAlign w:val="center"/>
          </w:tcPr>
          <w:p w14:paraId="062D3F88">
            <w:pPr>
              <w:widowControl/>
              <w:jc w:val="center"/>
              <w:rPr>
                <w:sz w:val="15"/>
                <w:szCs w:val="15"/>
                <w:highlight w:val="none"/>
              </w:rPr>
            </w:pPr>
            <w:r>
              <w:rPr>
                <w:sz w:val="15"/>
                <w:szCs w:val="15"/>
                <w:highlight w:val="none"/>
              </w:rPr>
              <w:t>0.30</w:t>
            </w:r>
          </w:p>
        </w:tc>
        <w:tc>
          <w:tcPr>
            <w:tcW w:w="36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0EAF3B0">
            <w:pPr>
              <w:widowControl/>
              <w:jc w:val="center"/>
              <w:rPr>
                <w:sz w:val="15"/>
                <w:szCs w:val="15"/>
                <w:highlight w:val="none"/>
              </w:rPr>
            </w:pPr>
            <w:r>
              <w:rPr>
                <w:sz w:val="15"/>
                <w:szCs w:val="15"/>
                <w:highlight w:val="none"/>
              </w:rPr>
              <w:t>0.85</w:t>
            </w:r>
          </w:p>
        </w:tc>
        <w:tc>
          <w:tcPr>
            <w:tcW w:w="361" w:type="pct"/>
            <w:tcBorders>
              <w:top w:val="nil"/>
              <w:left w:val="nil"/>
              <w:bottom w:val="single" w:color="auto" w:sz="4" w:space="0"/>
              <w:right w:val="single" w:color="auto" w:sz="4" w:space="0"/>
            </w:tcBorders>
            <w:shd w:val="clear" w:color="auto" w:fill="auto"/>
            <w:noWrap/>
            <w:vAlign w:val="center"/>
          </w:tcPr>
          <w:p w14:paraId="20937205">
            <w:pPr>
              <w:widowControl/>
              <w:jc w:val="center"/>
              <w:rPr>
                <w:sz w:val="15"/>
                <w:szCs w:val="15"/>
                <w:highlight w:val="none"/>
              </w:rPr>
            </w:pPr>
            <w:r>
              <w:rPr>
                <w:sz w:val="15"/>
                <w:szCs w:val="15"/>
                <w:highlight w:val="none"/>
              </w:rPr>
              <w:t>/</w:t>
            </w:r>
          </w:p>
        </w:tc>
      </w:tr>
      <w:tr w14:paraId="27495918">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6B0117A8">
            <w:pPr>
              <w:widowControl/>
              <w:jc w:val="center"/>
              <w:rPr>
                <w:sz w:val="15"/>
                <w:szCs w:val="15"/>
                <w:highlight w:val="none"/>
              </w:rPr>
            </w:pPr>
            <w:r>
              <w:rPr>
                <w:sz w:val="15"/>
                <w:szCs w:val="15"/>
                <w:highlight w:val="none"/>
              </w:rPr>
              <w:t>2025.06.16</w:t>
            </w:r>
          </w:p>
        </w:tc>
        <w:tc>
          <w:tcPr>
            <w:tcW w:w="306" w:type="pct"/>
            <w:tcBorders>
              <w:top w:val="nil"/>
              <w:left w:val="nil"/>
              <w:bottom w:val="single" w:color="auto" w:sz="4" w:space="0"/>
              <w:right w:val="single" w:color="auto" w:sz="4" w:space="0"/>
            </w:tcBorders>
            <w:shd w:val="clear" w:color="auto" w:fill="auto"/>
            <w:noWrap/>
            <w:vAlign w:val="center"/>
          </w:tcPr>
          <w:p w14:paraId="23F57F8B">
            <w:pPr>
              <w:widowControl/>
              <w:jc w:val="center"/>
              <w:rPr>
                <w:sz w:val="15"/>
                <w:szCs w:val="15"/>
                <w:highlight w:val="none"/>
              </w:rPr>
            </w:pPr>
            <w:r>
              <w:rPr>
                <w:sz w:val="15"/>
                <w:szCs w:val="15"/>
                <w:highlight w:val="none"/>
              </w:rPr>
              <w:t>10:45</w:t>
            </w:r>
          </w:p>
        </w:tc>
        <w:tc>
          <w:tcPr>
            <w:tcW w:w="368" w:type="pct"/>
            <w:tcBorders>
              <w:top w:val="nil"/>
              <w:left w:val="nil"/>
              <w:bottom w:val="single" w:color="auto" w:sz="4" w:space="0"/>
              <w:right w:val="single" w:color="auto" w:sz="4" w:space="0"/>
            </w:tcBorders>
            <w:shd w:val="clear" w:color="auto" w:fill="auto"/>
            <w:noWrap/>
            <w:vAlign w:val="center"/>
          </w:tcPr>
          <w:p w14:paraId="1C2AC68C">
            <w:pPr>
              <w:widowControl/>
              <w:jc w:val="center"/>
              <w:rPr>
                <w:sz w:val="15"/>
                <w:szCs w:val="15"/>
                <w:highlight w:val="none"/>
              </w:rPr>
            </w:pPr>
            <w:r>
              <w:rPr>
                <w:sz w:val="15"/>
                <w:szCs w:val="15"/>
                <w:highlight w:val="none"/>
              </w:rPr>
              <w:t>6.78</w:t>
            </w:r>
          </w:p>
        </w:tc>
        <w:tc>
          <w:tcPr>
            <w:tcW w:w="348" w:type="pct"/>
            <w:tcBorders>
              <w:top w:val="nil"/>
              <w:left w:val="nil"/>
              <w:bottom w:val="single" w:color="auto" w:sz="4" w:space="0"/>
              <w:right w:val="single" w:color="auto" w:sz="4" w:space="0"/>
            </w:tcBorders>
            <w:shd w:val="clear" w:color="auto" w:fill="auto"/>
            <w:noWrap/>
            <w:vAlign w:val="center"/>
          </w:tcPr>
          <w:p w14:paraId="300FB48A">
            <w:pPr>
              <w:widowControl/>
              <w:jc w:val="center"/>
              <w:rPr>
                <w:sz w:val="15"/>
                <w:szCs w:val="15"/>
                <w:highlight w:val="none"/>
              </w:rPr>
            </w:pPr>
            <w:r>
              <w:rPr>
                <w:sz w:val="15"/>
                <w:szCs w:val="15"/>
                <w:highlight w:val="none"/>
              </w:rPr>
              <w:t>1.05</w:t>
            </w:r>
          </w:p>
        </w:tc>
        <w:tc>
          <w:tcPr>
            <w:tcW w:w="393" w:type="pct"/>
            <w:tcBorders>
              <w:top w:val="nil"/>
              <w:left w:val="nil"/>
              <w:bottom w:val="single" w:color="auto" w:sz="4" w:space="0"/>
              <w:right w:val="single" w:color="auto" w:sz="4" w:space="0"/>
            </w:tcBorders>
            <w:shd w:val="clear" w:color="auto" w:fill="auto"/>
            <w:noWrap/>
            <w:vAlign w:val="center"/>
          </w:tcPr>
          <w:p w14:paraId="658DD724">
            <w:pPr>
              <w:widowControl/>
              <w:jc w:val="center"/>
              <w:rPr>
                <w:sz w:val="15"/>
                <w:szCs w:val="15"/>
                <w:highlight w:val="none"/>
              </w:rPr>
            </w:pPr>
            <w:r>
              <w:rPr>
                <w:sz w:val="15"/>
                <w:szCs w:val="15"/>
                <w:highlight w:val="none"/>
              </w:rPr>
              <w:t>1621</w:t>
            </w:r>
          </w:p>
        </w:tc>
        <w:tc>
          <w:tcPr>
            <w:tcW w:w="375" w:type="pct"/>
            <w:tcBorders>
              <w:top w:val="nil"/>
              <w:left w:val="nil"/>
              <w:bottom w:val="single" w:color="auto" w:sz="4" w:space="0"/>
              <w:right w:val="single" w:color="auto" w:sz="4" w:space="0"/>
            </w:tcBorders>
            <w:shd w:val="clear" w:color="auto" w:fill="auto"/>
            <w:noWrap/>
            <w:vAlign w:val="center"/>
          </w:tcPr>
          <w:p w14:paraId="0D836516">
            <w:pPr>
              <w:widowControl/>
              <w:jc w:val="center"/>
              <w:rPr>
                <w:sz w:val="15"/>
                <w:szCs w:val="15"/>
                <w:highlight w:val="none"/>
              </w:rPr>
            </w:pPr>
            <w:r>
              <w:rPr>
                <w:sz w:val="15"/>
                <w:szCs w:val="15"/>
                <w:highlight w:val="none"/>
              </w:rPr>
              <w:t>14.7</w:t>
            </w:r>
          </w:p>
        </w:tc>
        <w:tc>
          <w:tcPr>
            <w:tcW w:w="361" w:type="pct"/>
            <w:tcBorders>
              <w:top w:val="nil"/>
              <w:left w:val="nil"/>
              <w:bottom w:val="single" w:color="auto" w:sz="4" w:space="0"/>
              <w:right w:val="single" w:color="auto" w:sz="4" w:space="0"/>
            </w:tcBorders>
            <w:shd w:val="clear" w:color="auto" w:fill="auto"/>
            <w:noWrap/>
            <w:vAlign w:val="center"/>
          </w:tcPr>
          <w:p w14:paraId="04C9AAC7">
            <w:pPr>
              <w:widowControl/>
              <w:jc w:val="center"/>
              <w:rPr>
                <w:sz w:val="15"/>
                <w:szCs w:val="15"/>
                <w:highlight w:val="none"/>
              </w:rPr>
            </w:pPr>
            <w:r>
              <w:rPr>
                <w:sz w:val="15"/>
                <w:szCs w:val="15"/>
                <w:highlight w:val="none"/>
              </w:rPr>
              <w:t>0.22</w:t>
            </w:r>
          </w:p>
        </w:tc>
        <w:tc>
          <w:tcPr>
            <w:tcW w:w="361" w:type="pct"/>
            <w:tcBorders>
              <w:top w:val="nil"/>
              <w:left w:val="nil"/>
              <w:bottom w:val="single" w:color="auto" w:sz="4" w:space="0"/>
              <w:right w:val="single" w:color="auto" w:sz="4" w:space="0"/>
            </w:tcBorders>
            <w:shd w:val="clear" w:color="auto" w:fill="auto"/>
            <w:noWrap/>
            <w:vAlign w:val="center"/>
          </w:tcPr>
          <w:p w14:paraId="47A94718">
            <w:pPr>
              <w:widowControl/>
              <w:jc w:val="center"/>
              <w:rPr>
                <w:sz w:val="15"/>
                <w:szCs w:val="15"/>
                <w:highlight w:val="none"/>
              </w:rPr>
            </w:pPr>
            <w:r>
              <w:rPr>
                <w:sz w:val="15"/>
                <w:szCs w:val="15"/>
                <w:highlight w:val="none"/>
              </w:rPr>
              <w:t>266.67</w:t>
            </w:r>
          </w:p>
        </w:tc>
        <w:tc>
          <w:tcPr>
            <w:tcW w:w="453" w:type="pct"/>
            <w:tcBorders>
              <w:top w:val="nil"/>
              <w:left w:val="nil"/>
              <w:bottom w:val="single" w:color="auto" w:sz="4" w:space="0"/>
              <w:right w:val="single" w:color="auto" w:sz="4" w:space="0"/>
            </w:tcBorders>
            <w:shd w:val="clear" w:color="auto" w:fill="auto"/>
            <w:noWrap/>
            <w:vAlign w:val="center"/>
          </w:tcPr>
          <w:p w14:paraId="44194367">
            <w:pPr>
              <w:widowControl/>
              <w:jc w:val="center"/>
              <w:rPr>
                <w:sz w:val="15"/>
                <w:szCs w:val="15"/>
                <w:highlight w:val="none"/>
              </w:rPr>
            </w:pPr>
            <w:r>
              <w:rPr>
                <w:sz w:val="15"/>
                <w:szCs w:val="15"/>
                <w:highlight w:val="none"/>
              </w:rPr>
              <w:t>4.97</w:t>
            </w:r>
          </w:p>
        </w:tc>
        <w:tc>
          <w:tcPr>
            <w:tcW w:w="453" w:type="pct"/>
            <w:tcBorders>
              <w:top w:val="nil"/>
              <w:left w:val="nil"/>
              <w:bottom w:val="single" w:color="auto" w:sz="4" w:space="0"/>
              <w:right w:val="single" w:color="auto" w:sz="4" w:space="0"/>
            </w:tcBorders>
            <w:shd w:val="clear" w:color="auto" w:fill="auto"/>
            <w:noWrap/>
            <w:vAlign w:val="center"/>
          </w:tcPr>
          <w:p w14:paraId="183B9E89">
            <w:pPr>
              <w:widowControl/>
              <w:jc w:val="center"/>
              <w:rPr>
                <w:sz w:val="15"/>
                <w:szCs w:val="15"/>
                <w:highlight w:val="none"/>
              </w:rPr>
            </w:pPr>
            <w:r>
              <w:rPr>
                <w:sz w:val="15"/>
                <w:szCs w:val="15"/>
                <w:highlight w:val="none"/>
              </w:rPr>
              <w:t>3.03</w:t>
            </w:r>
          </w:p>
        </w:tc>
        <w:tc>
          <w:tcPr>
            <w:tcW w:w="36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23DB8A0">
            <w:pPr>
              <w:widowControl/>
              <w:jc w:val="center"/>
              <w:rPr>
                <w:sz w:val="15"/>
                <w:szCs w:val="15"/>
                <w:highlight w:val="none"/>
              </w:rPr>
            </w:pPr>
            <w:r>
              <w:rPr>
                <w:sz w:val="15"/>
                <w:szCs w:val="15"/>
                <w:highlight w:val="none"/>
              </w:rPr>
              <w:t>0.05</w:t>
            </w:r>
          </w:p>
        </w:tc>
        <w:tc>
          <w:tcPr>
            <w:tcW w:w="36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4E09735">
            <w:pPr>
              <w:widowControl/>
              <w:jc w:val="center"/>
              <w:rPr>
                <w:sz w:val="15"/>
                <w:szCs w:val="15"/>
                <w:highlight w:val="none"/>
              </w:rPr>
            </w:pPr>
            <w:r>
              <w:rPr>
                <w:sz w:val="15"/>
                <w:szCs w:val="15"/>
                <w:highlight w:val="none"/>
              </w:rPr>
              <w:t>0.86</w:t>
            </w:r>
          </w:p>
        </w:tc>
        <w:tc>
          <w:tcPr>
            <w:tcW w:w="361" w:type="pct"/>
            <w:tcBorders>
              <w:top w:val="nil"/>
              <w:left w:val="nil"/>
              <w:bottom w:val="single" w:color="auto" w:sz="4" w:space="0"/>
              <w:right w:val="single" w:color="auto" w:sz="4" w:space="0"/>
            </w:tcBorders>
            <w:shd w:val="clear" w:color="auto" w:fill="auto"/>
            <w:noWrap/>
            <w:vAlign w:val="center"/>
          </w:tcPr>
          <w:p w14:paraId="4715B83A">
            <w:pPr>
              <w:widowControl/>
              <w:jc w:val="center"/>
              <w:rPr>
                <w:sz w:val="15"/>
                <w:szCs w:val="15"/>
                <w:highlight w:val="none"/>
              </w:rPr>
            </w:pPr>
            <w:r>
              <w:rPr>
                <w:sz w:val="15"/>
                <w:szCs w:val="15"/>
                <w:highlight w:val="none"/>
              </w:rPr>
              <w:t>/</w:t>
            </w:r>
          </w:p>
        </w:tc>
      </w:tr>
      <w:tr w14:paraId="4E8AB13B">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43EBC742">
            <w:pPr>
              <w:widowControl/>
              <w:jc w:val="center"/>
              <w:rPr>
                <w:sz w:val="15"/>
                <w:szCs w:val="15"/>
                <w:highlight w:val="none"/>
              </w:rPr>
            </w:pPr>
            <w:r>
              <w:rPr>
                <w:sz w:val="15"/>
                <w:szCs w:val="15"/>
                <w:highlight w:val="none"/>
              </w:rPr>
              <w:t>2025.07.02</w:t>
            </w:r>
          </w:p>
        </w:tc>
        <w:tc>
          <w:tcPr>
            <w:tcW w:w="306" w:type="pct"/>
            <w:tcBorders>
              <w:top w:val="nil"/>
              <w:left w:val="nil"/>
              <w:bottom w:val="single" w:color="auto" w:sz="4" w:space="0"/>
              <w:right w:val="single" w:color="auto" w:sz="4" w:space="0"/>
            </w:tcBorders>
            <w:shd w:val="clear" w:color="auto" w:fill="auto"/>
            <w:noWrap/>
            <w:vAlign w:val="center"/>
          </w:tcPr>
          <w:p w14:paraId="47480B23">
            <w:pPr>
              <w:widowControl/>
              <w:jc w:val="center"/>
              <w:rPr>
                <w:sz w:val="15"/>
                <w:szCs w:val="15"/>
                <w:highlight w:val="none"/>
              </w:rPr>
            </w:pPr>
            <w:r>
              <w:rPr>
                <w:sz w:val="15"/>
                <w:szCs w:val="15"/>
                <w:highlight w:val="none"/>
              </w:rPr>
              <w:t>10:40</w:t>
            </w:r>
          </w:p>
        </w:tc>
        <w:tc>
          <w:tcPr>
            <w:tcW w:w="368" w:type="pct"/>
            <w:tcBorders>
              <w:top w:val="nil"/>
              <w:left w:val="nil"/>
              <w:bottom w:val="single" w:color="auto" w:sz="4" w:space="0"/>
              <w:right w:val="single" w:color="auto" w:sz="4" w:space="0"/>
            </w:tcBorders>
            <w:shd w:val="clear" w:color="auto" w:fill="auto"/>
            <w:noWrap/>
            <w:vAlign w:val="center"/>
          </w:tcPr>
          <w:p w14:paraId="31E02797">
            <w:pPr>
              <w:widowControl/>
              <w:jc w:val="center"/>
              <w:rPr>
                <w:sz w:val="15"/>
                <w:szCs w:val="15"/>
                <w:highlight w:val="none"/>
              </w:rPr>
            </w:pPr>
            <w:r>
              <w:rPr>
                <w:sz w:val="15"/>
                <w:szCs w:val="15"/>
                <w:highlight w:val="none"/>
              </w:rPr>
              <w:t>6.70</w:t>
            </w:r>
          </w:p>
        </w:tc>
        <w:tc>
          <w:tcPr>
            <w:tcW w:w="348" w:type="pct"/>
            <w:tcBorders>
              <w:top w:val="nil"/>
              <w:left w:val="nil"/>
              <w:bottom w:val="single" w:color="auto" w:sz="4" w:space="0"/>
              <w:right w:val="single" w:color="auto" w:sz="4" w:space="0"/>
            </w:tcBorders>
            <w:shd w:val="clear" w:color="auto" w:fill="auto"/>
            <w:noWrap/>
            <w:vAlign w:val="center"/>
          </w:tcPr>
          <w:p w14:paraId="7F5B9894">
            <w:pPr>
              <w:widowControl/>
              <w:jc w:val="center"/>
              <w:rPr>
                <w:sz w:val="15"/>
                <w:szCs w:val="15"/>
                <w:highlight w:val="none"/>
              </w:rPr>
            </w:pPr>
            <w:r>
              <w:rPr>
                <w:sz w:val="15"/>
                <w:szCs w:val="15"/>
                <w:highlight w:val="none"/>
              </w:rPr>
              <w:t>1.88</w:t>
            </w:r>
          </w:p>
        </w:tc>
        <w:tc>
          <w:tcPr>
            <w:tcW w:w="393" w:type="pct"/>
            <w:tcBorders>
              <w:top w:val="nil"/>
              <w:left w:val="nil"/>
              <w:bottom w:val="single" w:color="auto" w:sz="4" w:space="0"/>
              <w:right w:val="single" w:color="auto" w:sz="4" w:space="0"/>
            </w:tcBorders>
            <w:shd w:val="clear" w:color="auto" w:fill="auto"/>
            <w:noWrap/>
            <w:vAlign w:val="center"/>
          </w:tcPr>
          <w:p w14:paraId="77F965F7">
            <w:pPr>
              <w:widowControl/>
              <w:jc w:val="center"/>
              <w:rPr>
                <w:sz w:val="15"/>
                <w:szCs w:val="15"/>
                <w:highlight w:val="none"/>
              </w:rPr>
            </w:pPr>
            <w:r>
              <w:rPr>
                <w:sz w:val="15"/>
                <w:szCs w:val="15"/>
                <w:highlight w:val="none"/>
              </w:rPr>
              <w:t>1673</w:t>
            </w:r>
          </w:p>
        </w:tc>
        <w:tc>
          <w:tcPr>
            <w:tcW w:w="375" w:type="pct"/>
            <w:tcBorders>
              <w:top w:val="nil"/>
              <w:left w:val="nil"/>
              <w:bottom w:val="single" w:color="auto" w:sz="4" w:space="0"/>
              <w:right w:val="single" w:color="auto" w:sz="4" w:space="0"/>
            </w:tcBorders>
            <w:shd w:val="clear" w:color="auto" w:fill="auto"/>
            <w:noWrap/>
            <w:vAlign w:val="center"/>
          </w:tcPr>
          <w:p w14:paraId="35C9ACD7">
            <w:pPr>
              <w:widowControl/>
              <w:jc w:val="center"/>
              <w:rPr>
                <w:sz w:val="15"/>
                <w:szCs w:val="15"/>
                <w:highlight w:val="none"/>
              </w:rPr>
            </w:pPr>
            <w:r>
              <w:rPr>
                <w:sz w:val="15"/>
                <w:szCs w:val="15"/>
                <w:highlight w:val="none"/>
              </w:rPr>
              <w:t>13.5</w:t>
            </w:r>
          </w:p>
        </w:tc>
        <w:tc>
          <w:tcPr>
            <w:tcW w:w="361" w:type="pct"/>
            <w:tcBorders>
              <w:top w:val="nil"/>
              <w:left w:val="nil"/>
              <w:bottom w:val="single" w:color="auto" w:sz="4" w:space="0"/>
              <w:right w:val="single" w:color="auto" w:sz="4" w:space="0"/>
            </w:tcBorders>
            <w:shd w:val="clear" w:color="auto" w:fill="auto"/>
            <w:noWrap/>
            <w:vAlign w:val="center"/>
          </w:tcPr>
          <w:p w14:paraId="14F8948B">
            <w:pPr>
              <w:widowControl/>
              <w:jc w:val="center"/>
              <w:rPr>
                <w:sz w:val="15"/>
                <w:szCs w:val="15"/>
                <w:highlight w:val="none"/>
              </w:rPr>
            </w:pPr>
            <w:r>
              <w:rPr>
                <w:sz w:val="15"/>
                <w:szCs w:val="15"/>
                <w:highlight w:val="none"/>
              </w:rPr>
              <w:t>0.33</w:t>
            </w:r>
          </w:p>
        </w:tc>
        <w:tc>
          <w:tcPr>
            <w:tcW w:w="361" w:type="pct"/>
            <w:tcBorders>
              <w:top w:val="nil"/>
              <w:left w:val="nil"/>
              <w:bottom w:val="single" w:color="auto" w:sz="4" w:space="0"/>
              <w:right w:val="single" w:color="auto" w:sz="4" w:space="0"/>
            </w:tcBorders>
            <w:shd w:val="clear" w:color="auto" w:fill="auto"/>
            <w:noWrap/>
            <w:vAlign w:val="center"/>
          </w:tcPr>
          <w:p w14:paraId="1F674335">
            <w:pPr>
              <w:widowControl/>
              <w:jc w:val="center"/>
              <w:rPr>
                <w:sz w:val="15"/>
                <w:szCs w:val="15"/>
                <w:highlight w:val="none"/>
              </w:rPr>
            </w:pPr>
            <w:r>
              <w:rPr>
                <w:sz w:val="15"/>
                <w:szCs w:val="15"/>
                <w:highlight w:val="none"/>
              </w:rPr>
              <w:t>244.74</w:t>
            </w:r>
          </w:p>
        </w:tc>
        <w:tc>
          <w:tcPr>
            <w:tcW w:w="453" w:type="pct"/>
            <w:tcBorders>
              <w:top w:val="nil"/>
              <w:left w:val="nil"/>
              <w:bottom w:val="single" w:color="auto" w:sz="4" w:space="0"/>
              <w:right w:val="single" w:color="auto" w:sz="4" w:space="0"/>
            </w:tcBorders>
            <w:shd w:val="clear" w:color="auto" w:fill="auto"/>
            <w:noWrap/>
            <w:vAlign w:val="center"/>
          </w:tcPr>
          <w:p w14:paraId="578A1042">
            <w:pPr>
              <w:widowControl/>
              <w:jc w:val="center"/>
              <w:rPr>
                <w:sz w:val="15"/>
                <w:szCs w:val="15"/>
                <w:highlight w:val="none"/>
              </w:rPr>
            </w:pPr>
            <w:r>
              <w:rPr>
                <w:sz w:val="15"/>
                <w:szCs w:val="15"/>
                <w:highlight w:val="none"/>
              </w:rPr>
              <w:t>5.27</w:t>
            </w:r>
          </w:p>
        </w:tc>
        <w:tc>
          <w:tcPr>
            <w:tcW w:w="453" w:type="pct"/>
            <w:tcBorders>
              <w:top w:val="nil"/>
              <w:left w:val="nil"/>
              <w:bottom w:val="single" w:color="auto" w:sz="4" w:space="0"/>
              <w:right w:val="single" w:color="auto" w:sz="4" w:space="0"/>
            </w:tcBorders>
            <w:shd w:val="clear" w:color="auto" w:fill="auto"/>
            <w:noWrap/>
            <w:vAlign w:val="center"/>
          </w:tcPr>
          <w:p w14:paraId="669EA32B">
            <w:pPr>
              <w:widowControl/>
              <w:jc w:val="center"/>
              <w:rPr>
                <w:sz w:val="15"/>
                <w:szCs w:val="15"/>
                <w:highlight w:val="none"/>
              </w:rPr>
            </w:pPr>
            <w:r>
              <w:rPr>
                <w:sz w:val="15"/>
                <w:szCs w:val="15"/>
                <w:highlight w:val="none"/>
              </w:rPr>
              <w:t>2.3</w:t>
            </w:r>
          </w:p>
        </w:tc>
        <w:tc>
          <w:tcPr>
            <w:tcW w:w="361" w:type="pct"/>
            <w:tcBorders>
              <w:top w:val="nil"/>
              <w:left w:val="nil"/>
              <w:bottom w:val="single" w:color="auto" w:sz="4" w:space="0"/>
              <w:right w:val="single" w:color="auto" w:sz="4" w:space="0"/>
            </w:tcBorders>
            <w:shd w:val="clear" w:color="auto" w:fill="auto"/>
            <w:noWrap/>
            <w:vAlign w:val="center"/>
          </w:tcPr>
          <w:p w14:paraId="6EE697BD">
            <w:pPr>
              <w:widowControl/>
              <w:jc w:val="center"/>
              <w:rPr>
                <w:sz w:val="15"/>
                <w:szCs w:val="15"/>
                <w:highlight w:val="none"/>
              </w:rPr>
            </w:pPr>
            <w:r>
              <w:rPr>
                <w:sz w:val="15"/>
                <w:szCs w:val="15"/>
                <w:highlight w:val="none"/>
              </w:rPr>
              <w:t>0.10</w:t>
            </w:r>
          </w:p>
        </w:tc>
        <w:tc>
          <w:tcPr>
            <w:tcW w:w="36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F5815D0">
            <w:pPr>
              <w:widowControl/>
              <w:jc w:val="center"/>
              <w:rPr>
                <w:sz w:val="15"/>
                <w:szCs w:val="15"/>
                <w:highlight w:val="none"/>
              </w:rPr>
            </w:pPr>
            <w:r>
              <w:rPr>
                <w:sz w:val="15"/>
                <w:szCs w:val="15"/>
                <w:highlight w:val="none"/>
              </w:rPr>
              <w:t>1.37</w:t>
            </w:r>
          </w:p>
        </w:tc>
        <w:tc>
          <w:tcPr>
            <w:tcW w:w="361" w:type="pct"/>
            <w:tcBorders>
              <w:top w:val="nil"/>
              <w:left w:val="nil"/>
              <w:bottom w:val="single" w:color="auto" w:sz="4" w:space="0"/>
              <w:right w:val="single" w:color="auto" w:sz="4" w:space="0"/>
            </w:tcBorders>
            <w:shd w:val="clear" w:color="auto" w:fill="auto"/>
            <w:noWrap/>
            <w:vAlign w:val="center"/>
          </w:tcPr>
          <w:p w14:paraId="114992A0">
            <w:pPr>
              <w:widowControl/>
              <w:jc w:val="center"/>
              <w:rPr>
                <w:sz w:val="15"/>
                <w:szCs w:val="15"/>
                <w:highlight w:val="none"/>
              </w:rPr>
            </w:pPr>
            <w:r>
              <w:rPr>
                <w:sz w:val="15"/>
                <w:szCs w:val="15"/>
                <w:highlight w:val="none"/>
              </w:rPr>
              <w:t>/</w:t>
            </w:r>
          </w:p>
        </w:tc>
      </w:tr>
      <w:tr w14:paraId="6885EC1E">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39BE0B9C">
            <w:pPr>
              <w:widowControl/>
              <w:jc w:val="center"/>
              <w:rPr>
                <w:sz w:val="15"/>
                <w:szCs w:val="15"/>
                <w:highlight w:val="none"/>
              </w:rPr>
            </w:pPr>
            <w:r>
              <w:rPr>
                <w:sz w:val="15"/>
                <w:szCs w:val="15"/>
                <w:highlight w:val="none"/>
              </w:rPr>
              <w:t>2025.07.09</w:t>
            </w:r>
          </w:p>
        </w:tc>
        <w:tc>
          <w:tcPr>
            <w:tcW w:w="306" w:type="pct"/>
            <w:tcBorders>
              <w:top w:val="nil"/>
              <w:left w:val="nil"/>
              <w:bottom w:val="single" w:color="auto" w:sz="4" w:space="0"/>
              <w:right w:val="single" w:color="auto" w:sz="4" w:space="0"/>
            </w:tcBorders>
            <w:shd w:val="clear" w:color="auto" w:fill="auto"/>
            <w:noWrap/>
            <w:vAlign w:val="center"/>
          </w:tcPr>
          <w:p w14:paraId="4AD03E15">
            <w:pPr>
              <w:widowControl/>
              <w:jc w:val="center"/>
              <w:rPr>
                <w:sz w:val="15"/>
                <w:szCs w:val="15"/>
                <w:highlight w:val="none"/>
              </w:rPr>
            </w:pPr>
            <w:r>
              <w:rPr>
                <w:sz w:val="15"/>
                <w:szCs w:val="15"/>
                <w:highlight w:val="none"/>
              </w:rPr>
              <w:t>10:35</w:t>
            </w:r>
          </w:p>
        </w:tc>
        <w:tc>
          <w:tcPr>
            <w:tcW w:w="368" w:type="pct"/>
            <w:tcBorders>
              <w:top w:val="nil"/>
              <w:left w:val="nil"/>
              <w:bottom w:val="single" w:color="auto" w:sz="4" w:space="0"/>
              <w:right w:val="single" w:color="auto" w:sz="4" w:space="0"/>
            </w:tcBorders>
            <w:shd w:val="clear" w:color="auto" w:fill="auto"/>
            <w:noWrap/>
            <w:vAlign w:val="center"/>
          </w:tcPr>
          <w:p w14:paraId="31EA8060">
            <w:pPr>
              <w:widowControl/>
              <w:jc w:val="center"/>
              <w:rPr>
                <w:sz w:val="15"/>
                <w:szCs w:val="15"/>
                <w:highlight w:val="none"/>
              </w:rPr>
            </w:pPr>
            <w:r>
              <w:rPr>
                <w:sz w:val="15"/>
                <w:szCs w:val="15"/>
                <w:highlight w:val="none"/>
              </w:rPr>
              <w:t>7.56</w:t>
            </w:r>
          </w:p>
        </w:tc>
        <w:tc>
          <w:tcPr>
            <w:tcW w:w="348" w:type="pct"/>
            <w:tcBorders>
              <w:top w:val="nil"/>
              <w:left w:val="nil"/>
              <w:bottom w:val="single" w:color="auto" w:sz="4" w:space="0"/>
              <w:right w:val="single" w:color="auto" w:sz="4" w:space="0"/>
            </w:tcBorders>
            <w:shd w:val="clear" w:color="auto" w:fill="auto"/>
            <w:noWrap/>
            <w:vAlign w:val="center"/>
          </w:tcPr>
          <w:p w14:paraId="0C4BA710">
            <w:pPr>
              <w:widowControl/>
              <w:jc w:val="center"/>
              <w:rPr>
                <w:sz w:val="15"/>
                <w:szCs w:val="15"/>
                <w:highlight w:val="none"/>
              </w:rPr>
            </w:pPr>
            <w:r>
              <w:rPr>
                <w:sz w:val="15"/>
                <w:szCs w:val="15"/>
                <w:highlight w:val="none"/>
              </w:rPr>
              <w:t>2.21</w:t>
            </w:r>
          </w:p>
        </w:tc>
        <w:tc>
          <w:tcPr>
            <w:tcW w:w="393" w:type="pct"/>
            <w:tcBorders>
              <w:top w:val="nil"/>
              <w:left w:val="nil"/>
              <w:bottom w:val="single" w:color="auto" w:sz="4" w:space="0"/>
              <w:right w:val="single" w:color="auto" w:sz="4" w:space="0"/>
            </w:tcBorders>
            <w:shd w:val="clear" w:color="auto" w:fill="auto"/>
            <w:noWrap/>
            <w:vAlign w:val="center"/>
          </w:tcPr>
          <w:p w14:paraId="4D54CF87">
            <w:pPr>
              <w:widowControl/>
              <w:jc w:val="center"/>
              <w:rPr>
                <w:sz w:val="15"/>
                <w:szCs w:val="15"/>
                <w:highlight w:val="none"/>
              </w:rPr>
            </w:pPr>
            <w:r>
              <w:rPr>
                <w:sz w:val="15"/>
                <w:szCs w:val="15"/>
                <w:highlight w:val="none"/>
              </w:rPr>
              <w:t>1621</w:t>
            </w:r>
          </w:p>
        </w:tc>
        <w:tc>
          <w:tcPr>
            <w:tcW w:w="375" w:type="pct"/>
            <w:tcBorders>
              <w:top w:val="nil"/>
              <w:left w:val="nil"/>
              <w:bottom w:val="single" w:color="auto" w:sz="4" w:space="0"/>
              <w:right w:val="single" w:color="auto" w:sz="4" w:space="0"/>
            </w:tcBorders>
            <w:shd w:val="clear" w:color="auto" w:fill="auto"/>
            <w:noWrap/>
            <w:vAlign w:val="center"/>
          </w:tcPr>
          <w:p w14:paraId="49AA4928">
            <w:pPr>
              <w:widowControl/>
              <w:jc w:val="center"/>
              <w:rPr>
                <w:sz w:val="15"/>
                <w:szCs w:val="15"/>
                <w:highlight w:val="none"/>
              </w:rPr>
            </w:pPr>
            <w:r>
              <w:rPr>
                <w:sz w:val="15"/>
                <w:szCs w:val="15"/>
                <w:highlight w:val="none"/>
              </w:rPr>
              <w:t>14.5</w:t>
            </w:r>
          </w:p>
        </w:tc>
        <w:tc>
          <w:tcPr>
            <w:tcW w:w="361" w:type="pct"/>
            <w:tcBorders>
              <w:top w:val="nil"/>
              <w:left w:val="nil"/>
              <w:bottom w:val="single" w:color="auto" w:sz="4" w:space="0"/>
              <w:right w:val="single" w:color="auto" w:sz="4" w:space="0"/>
            </w:tcBorders>
            <w:shd w:val="clear" w:color="auto" w:fill="auto"/>
            <w:noWrap/>
            <w:vAlign w:val="center"/>
          </w:tcPr>
          <w:p w14:paraId="24C55894">
            <w:pPr>
              <w:widowControl/>
              <w:jc w:val="center"/>
              <w:rPr>
                <w:sz w:val="15"/>
                <w:szCs w:val="15"/>
                <w:highlight w:val="none"/>
              </w:rPr>
            </w:pPr>
            <w:r>
              <w:rPr>
                <w:sz w:val="15"/>
                <w:szCs w:val="15"/>
                <w:highlight w:val="none"/>
              </w:rPr>
              <w:t>0.72</w:t>
            </w:r>
          </w:p>
        </w:tc>
        <w:tc>
          <w:tcPr>
            <w:tcW w:w="361" w:type="pct"/>
            <w:tcBorders>
              <w:top w:val="nil"/>
              <w:left w:val="nil"/>
              <w:bottom w:val="single" w:color="auto" w:sz="4" w:space="0"/>
              <w:right w:val="single" w:color="auto" w:sz="4" w:space="0"/>
            </w:tcBorders>
            <w:shd w:val="clear" w:color="auto" w:fill="auto"/>
            <w:noWrap/>
            <w:vAlign w:val="center"/>
          </w:tcPr>
          <w:p w14:paraId="41E3DF76">
            <w:pPr>
              <w:widowControl/>
              <w:jc w:val="center"/>
              <w:rPr>
                <w:sz w:val="15"/>
                <w:szCs w:val="15"/>
                <w:highlight w:val="none"/>
              </w:rPr>
            </w:pPr>
            <w:r>
              <w:rPr>
                <w:sz w:val="15"/>
                <w:szCs w:val="15"/>
                <w:highlight w:val="none"/>
              </w:rPr>
              <w:t>229.7</w:t>
            </w:r>
          </w:p>
        </w:tc>
        <w:tc>
          <w:tcPr>
            <w:tcW w:w="453" w:type="pct"/>
            <w:tcBorders>
              <w:top w:val="nil"/>
              <w:left w:val="nil"/>
              <w:bottom w:val="single" w:color="auto" w:sz="4" w:space="0"/>
              <w:right w:val="single" w:color="auto" w:sz="4" w:space="0"/>
            </w:tcBorders>
            <w:shd w:val="clear" w:color="auto" w:fill="auto"/>
            <w:noWrap/>
            <w:vAlign w:val="center"/>
          </w:tcPr>
          <w:p w14:paraId="5E008676">
            <w:pPr>
              <w:widowControl/>
              <w:jc w:val="center"/>
              <w:rPr>
                <w:sz w:val="15"/>
                <w:szCs w:val="15"/>
                <w:highlight w:val="none"/>
              </w:rPr>
            </w:pPr>
            <w:r>
              <w:rPr>
                <w:sz w:val="15"/>
                <w:szCs w:val="15"/>
                <w:highlight w:val="none"/>
              </w:rPr>
              <w:t>4.97</w:t>
            </w:r>
          </w:p>
        </w:tc>
        <w:tc>
          <w:tcPr>
            <w:tcW w:w="453" w:type="pct"/>
            <w:tcBorders>
              <w:top w:val="nil"/>
              <w:left w:val="nil"/>
              <w:bottom w:val="single" w:color="auto" w:sz="4" w:space="0"/>
              <w:right w:val="single" w:color="auto" w:sz="4" w:space="0"/>
            </w:tcBorders>
            <w:shd w:val="clear" w:color="auto" w:fill="auto"/>
            <w:noWrap/>
            <w:vAlign w:val="center"/>
          </w:tcPr>
          <w:p w14:paraId="5533397A">
            <w:pPr>
              <w:widowControl/>
              <w:jc w:val="center"/>
              <w:rPr>
                <w:sz w:val="15"/>
                <w:szCs w:val="15"/>
                <w:highlight w:val="none"/>
              </w:rPr>
            </w:pPr>
            <w:r>
              <w:rPr>
                <w:sz w:val="15"/>
                <w:szCs w:val="15"/>
                <w:highlight w:val="none"/>
              </w:rPr>
              <w:t>3.76</w:t>
            </w:r>
          </w:p>
        </w:tc>
        <w:tc>
          <w:tcPr>
            <w:tcW w:w="361" w:type="pct"/>
            <w:tcBorders>
              <w:top w:val="nil"/>
              <w:left w:val="nil"/>
              <w:bottom w:val="single" w:color="auto" w:sz="4" w:space="0"/>
              <w:right w:val="single" w:color="auto" w:sz="4" w:space="0"/>
            </w:tcBorders>
            <w:shd w:val="clear" w:color="auto" w:fill="auto"/>
            <w:noWrap/>
            <w:vAlign w:val="center"/>
          </w:tcPr>
          <w:p w14:paraId="2930EAA4">
            <w:pPr>
              <w:widowControl/>
              <w:jc w:val="center"/>
              <w:rPr>
                <w:sz w:val="15"/>
                <w:szCs w:val="15"/>
                <w:highlight w:val="none"/>
              </w:rPr>
            </w:pPr>
            <w:r>
              <w:rPr>
                <w:sz w:val="15"/>
                <w:szCs w:val="15"/>
                <w:highlight w:val="none"/>
              </w:rPr>
              <w:t>0.10</w:t>
            </w:r>
          </w:p>
        </w:tc>
        <w:tc>
          <w:tcPr>
            <w:tcW w:w="361" w:type="pct"/>
            <w:tcBorders>
              <w:top w:val="nil"/>
              <w:left w:val="nil"/>
              <w:bottom w:val="single" w:color="auto" w:sz="4" w:space="0"/>
              <w:right w:val="single" w:color="auto" w:sz="4" w:space="0"/>
            </w:tcBorders>
            <w:shd w:val="clear" w:color="auto" w:fill="auto"/>
            <w:noWrap/>
            <w:vAlign w:val="center"/>
          </w:tcPr>
          <w:p w14:paraId="54A66FF1">
            <w:pPr>
              <w:widowControl/>
              <w:jc w:val="center"/>
              <w:rPr>
                <w:sz w:val="15"/>
                <w:szCs w:val="15"/>
                <w:highlight w:val="none"/>
              </w:rPr>
            </w:pPr>
            <w:r>
              <w:rPr>
                <w:sz w:val="15"/>
                <w:szCs w:val="15"/>
                <w:highlight w:val="none"/>
              </w:rPr>
              <w:t>0.48</w:t>
            </w:r>
          </w:p>
        </w:tc>
        <w:tc>
          <w:tcPr>
            <w:tcW w:w="361" w:type="pct"/>
            <w:tcBorders>
              <w:top w:val="nil"/>
              <w:left w:val="nil"/>
              <w:bottom w:val="single" w:color="auto" w:sz="4" w:space="0"/>
              <w:right w:val="single" w:color="auto" w:sz="4" w:space="0"/>
            </w:tcBorders>
            <w:shd w:val="clear" w:color="auto" w:fill="auto"/>
            <w:noWrap/>
            <w:vAlign w:val="center"/>
          </w:tcPr>
          <w:p w14:paraId="10214CA4">
            <w:pPr>
              <w:widowControl/>
              <w:jc w:val="center"/>
              <w:rPr>
                <w:sz w:val="15"/>
                <w:szCs w:val="15"/>
                <w:highlight w:val="none"/>
              </w:rPr>
            </w:pPr>
            <w:r>
              <w:rPr>
                <w:sz w:val="15"/>
                <w:szCs w:val="15"/>
                <w:highlight w:val="none"/>
              </w:rPr>
              <w:t>/</w:t>
            </w:r>
          </w:p>
        </w:tc>
      </w:tr>
      <w:tr w14:paraId="2716587F">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74C0321B">
            <w:pPr>
              <w:widowControl/>
              <w:jc w:val="center"/>
              <w:rPr>
                <w:sz w:val="15"/>
                <w:szCs w:val="15"/>
                <w:highlight w:val="none"/>
              </w:rPr>
            </w:pPr>
            <w:r>
              <w:rPr>
                <w:sz w:val="15"/>
                <w:szCs w:val="15"/>
                <w:highlight w:val="none"/>
              </w:rPr>
              <w:t>2025.07.15</w:t>
            </w:r>
          </w:p>
        </w:tc>
        <w:tc>
          <w:tcPr>
            <w:tcW w:w="306" w:type="pct"/>
            <w:tcBorders>
              <w:top w:val="nil"/>
              <w:left w:val="nil"/>
              <w:bottom w:val="single" w:color="auto" w:sz="4" w:space="0"/>
              <w:right w:val="single" w:color="auto" w:sz="4" w:space="0"/>
            </w:tcBorders>
            <w:shd w:val="clear" w:color="auto" w:fill="auto"/>
            <w:noWrap/>
            <w:vAlign w:val="center"/>
          </w:tcPr>
          <w:p w14:paraId="0C4F35A4">
            <w:pPr>
              <w:widowControl/>
              <w:jc w:val="center"/>
              <w:rPr>
                <w:sz w:val="15"/>
                <w:szCs w:val="15"/>
                <w:highlight w:val="none"/>
              </w:rPr>
            </w:pPr>
            <w:r>
              <w:rPr>
                <w:sz w:val="15"/>
                <w:szCs w:val="15"/>
                <w:highlight w:val="none"/>
              </w:rPr>
              <w:t>11:42</w:t>
            </w:r>
          </w:p>
        </w:tc>
        <w:tc>
          <w:tcPr>
            <w:tcW w:w="368" w:type="pct"/>
            <w:tcBorders>
              <w:top w:val="nil"/>
              <w:left w:val="nil"/>
              <w:bottom w:val="single" w:color="auto" w:sz="4" w:space="0"/>
              <w:right w:val="single" w:color="auto" w:sz="4" w:space="0"/>
            </w:tcBorders>
            <w:shd w:val="clear" w:color="auto" w:fill="auto"/>
            <w:noWrap/>
            <w:vAlign w:val="center"/>
          </w:tcPr>
          <w:p w14:paraId="55C9838F">
            <w:pPr>
              <w:widowControl/>
              <w:jc w:val="center"/>
              <w:rPr>
                <w:sz w:val="15"/>
                <w:szCs w:val="15"/>
                <w:highlight w:val="none"/>
              </w:rPr>
            </w:pPr>
            <w:r>
              <w:rPr>
                <w:sz w:val="15"/>
                <w:szCs w:val="15"/>
                <w:highlight w:val="none"/>
              </w:rPr>
              <w:t>6.60</w:t>
            </w:r>
          </w:p>
        </w:tc>
        <w:tc>
          <w:tcPr>
            <w:tcW w:w="348" w:type="pct"/>
            <w:tcBorders>
              <w:top w:val="nil"/>
              <w:left w:val="nil"/>
              <w:bottom w:val="single" w:color="auto" w:sz="4" w:space="0"/>
              <w:right w:val="single" w:color="auto" w:sz="4" w:space="0"/>
            </w:tcBorders>
            <w:shd w:val="clear" w:color="auto" w:fill="auto"/>
            <w:noWrap/>
            <w:vAlign w:val="center"/>
          </w:tcPr>
          <w:p w14:paraId="2EC8DA85">
            <w:pPr>
              <w:widowControl/>
              <w:jc w:val="center"/>
              <w:rPr>
                <w:sz w:val="15"/>
                <w:szCs w:val="15"/>
                <w:highlight w:val="none"/>
              </w:rPr>
            </w:pPr>
            <w:r>
              <w:rPr>
                <w:sz w:val="15"/>
                <w:szCs w:val="15"/>
                <w:highlight w:val="none"/>
              </w:rPr>
              <w:t>2.12</w:t>
            </w:r>
          </w:p>
        </w:tc>
        <w:tc>
          <w:tcPr>
            <w:tcW w:w="393" w:type="pct"/>
            <w:tcBorders>
              <w:top w:val="nil"/>
              <w:left w:val="nil"/>
              <w:bottom w:val="single" w:color="auto" w:sz="4" w:space="0"/>
              <w:right w:val="single" w:color="auto" w:sz="4" w:space="0"/>
            </w:tcBorders>
            <w:shd w:val="clear" w:color="auto" w:fill="auto"/>
            <w:noWrap/>
            <w:vAlign w:val="center"/>
          </w:tcPr>
          <w:p w14:paraId="6A73E46D">
            <w:pPr>
              <w:widowControl/>
              <w:jc w:val="center"/>
              <w:rPr>
                <w:sz w:val="15"/>
                <w:szCs w:val="15"/>
                <w:highlight w:val="none"/>
              </w:rPr>
            </w:pPr>
            <w:r>
              <w:rPr>
                <w:sz w:val="15"/>
                <w:szCs w:val="15"/>
                <w:highlight w:val="none"/>
              </w:rPr>
              <w:t>1625</w:t>
            </w:r>
          </w:p>
        </w:tc>
        <w:tc>
          <w:tcPr>
            <w:tcW w:w="375" w:type="pct"/>
            <w:tcBorders>
              <w:top w:val="nil"/>
              <w:left w:val="nil"/>
              <w:bottom w:val="single" w:color="auto" w:sz="4" w:space="0"/>
              <w:right w:val="single" w:color="auto" w:sz="4" w:space="0"/>
            </w:tcBorders>
            <w:shd w:val="clear" w:color="auto" w:fill="auto"/>
            <w:noWrap/>
            <w:vAlign w:val="center"/>
          </w:tcPr>
          <w:p w14:paraId="7B0F07B4">
            <w:pPr>
              <w:widowControl/>
              <w:jc w:val="center"/>
              <w:rPr>
                <w:sz w:val="15"/>
                <w:szCs w:val="15"/>
                <w:highlight w:val="none"/>
              </w:rPr>
            </w:pPr>
            <w:r>
              <w:rPr>
                <w:sz w:val="15"/>
                <w:szCs w:val="15"/>
                <w:highlight w:val="none"/>
              </w:rPr>
              <w:t>7.2</w:t>
            </w:r>
          </w:p>
        </w:tc>
        <w:tc>
          <w:tcPr>
            <w:tcW w:w="361" w:type="pct"/>
            <w:tcBorders>
              <w:top w:val="nil"/>
              <w:left w:val="nil"/>
              <w:bottom w:val="single" w:color="auto" w:sz="4" w:space="0"/>
              <w:right w:val="single" w:color="auto" w:sz="4" w:space="0"/>
            </w:tcBorders>
            <w:shd w:val="clear" w:color="auto" w:fill="auto"/>
            <w:noWrap/>
            <w:vAlign w:val="center"/>
          </w:tcPr>
          <w:p w14:paraId="0AA789FE">
            <w:pPr>
              <w:widowControl/>
              <w:jc w:val="center"/>
              <w:rPr>
                <w:sz w:val="15"/>
                <w:szCs w:val="15"/>
                <w:highlight w:val="none"/>
              </w:rPr>
            </w:pPr>
            <w:r>
              <w:rPr>
                <w:sz w:val="15"/>
                <w:szCs w:val="15"/>
                <w:highlight w:val="none"/>
              </w:rPr>
              <w:t>0.45</w:t>
            </w:r>
          </w:p>
        </w:tc>
        <w:tc>
          <w:tcPr>
            <w:tcW w:w="361" w:type="pct"/>
            <w:tcBorders>
              <w:top w:val="nil"/>
              <w:left w:val="nil"/>
              <w:bottom w:val="single" w:color="auto" w:sz="4" w:space="0"/>
              <w:right w:val="single" w:color="auto" w:sz="4" w:space="0"/>
            </w:tcBorders>
            <w:shd w:val="clear" w:color="auto" w:fill="auto"/>
            <w:noWrap/>
            <w:vAlign w:val="center"/>
          </w:tcPr>
          <w:p w14:paraId="586583A7">
            <w:pPr>
              <w:widowControl/>
              <w:jc w:val="center"/>
              <w:rPr>
                <w:sz w:val="15"/>
                <w:szCs w:val="15"/>
                <w:highlight w:val="none"/>
              </w:rPr>
            </w:pPr>
            <w:r>
              <w:rPr>
                <w:sz w:val="15"/>
                <w:szCs w:val="15"/>
                <w:highlight w:val="none"/>
              </w:rPr>
              <w:t>229.01</w:t>
            </w:r>
          </w:p>
        </w:tc>
        <w:tc>
          <w:tcPr>
            <w:tcW w:w="453" w:type="pct"/>
            <w:tcBorders>
              <w:top w:val="nil"/>
              <w:left w:val="nil"/>
              <w:bottom w:val="single" w:color="auto" w:sz="4" w:space="0"/>
              <w:right w:val="single" w:color="auto" w:sz="4" w:space="0"/>
            </w:tcBorders>
            <w:shd w:val="clear" w:color="auto" w:fill="auto"/>
            <w:noWrap/>
            <w:vAlign w:val="center"/>
          </w:tcPr>
          <w:p w14:paraId="49788837">
            <w:pPr>
              <w:widowControl/>
              <w:jc w:val="center"/>
              <w:rPr>
                <w:sz w:val="15"/>
                <w:szCs w:val="15"/>
                <w:highlight w:val="none"/>
              </w:rPr>
            </w:pPr>
            <w:r>
              <w:rPr>
                <w:sz w:val="15"/>
                <w:szCs w:val="15"/>
                <w:highlight w:val="none"/>
              </w:rPr>
              <w:t>4.92</w:t>
            </w:r>
          </w:p>
        </w:tc>
        <w:tc>
          <w:tcPr>
            <w:tcW w:w="453" w:type="pct"/>
            <w:tcBorders>
              <w:top w:val="nil"/>
              <w:left w:val="nil"/>
              <w:bottom w:val="single" w:color="auto" w:sz="4" w:space="0"/>
              <w:right w:val="single" w:color="auto" w:sz="4" w:space="0"/>
            </w:tcBorders>
            <w:shd w:val="clear" w:color="auto" w:fill="auto"/>
            <w:noWrap/>
            <w:vAlign w:val="center"/>
          </w:tcPr>
          <w:p w14:paraId="300E8B0F">
            <w:pPr>
              <w:widowControl/>
              <w:jc w:val="center"/>
              <w:rPr>
                <w:sz w:val="15"/>
                <w:szCs w:val="15"/>
                <w:highlight w:val="none"/>
              </w:rPr>
            </w:pPr>
            <w:r>
              <w:rPr>
                <w:sz w:val="15"/>
                <w:szCs w:val="15"/>
                <w:highlight w:val="none"/>
              </w:rPr>
              <w:t>2.61</w:t>
            </w:r>
          </w:p>
        </w:tc>
        <w:tc>
          <w:tcPr>
            <w:tcW w:w="361" w:type="pct"/>
            <w:tcBorders>
              <w:top w:val="nil"/>
              <w:left w:val="nil"/>
              <w:bottom w:val="single" w:color="auto" w:sz="4" w:space="0"/>
              <w:right w:val="single" w:color="auto" w:sz="4" w:space="0"/>
            </w:tcBorders>
            <w:shd w:val="clear" w:color="auto" w:fill="auto"/>
            <w:noWrap/>
            <w:vAlign w:val="center"/>
          </w:tcPr>
          <w:p w14:paraId="38F99990">
            <w:pPr>
              <w:widowControl/>
              <w:jc w:val="center"/>
              <w:rPr>
                <w:sz w:val="15"/>
                <w:szCs w:val="15"/>
                <w:highlight w:val="none"/>
              </w:rPr>
            </w:pPr>
            <w:r>
              <w:rPr>
                <w:sz w:val="15"/>
                <w:szCs w:val="15"/>
                <w:highlight w:val="none"/>
              </w:rPr>
              <w:t>0.15</w:t>
            </w:r>
          </w:p>
        </w:tc>
        <w:tc>
          <w:tcPr>
            <w:tcW w:w="36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A84FE5B">
            <w:pPr>
              <w:widowControl/>
              <w:jc w:val="center"/>
              <w:rPr>
                <w:sz w:val="15"/>
                <w:szCs w:val="15"/>
                <w:highlight w:val="none"/>
              </w:rPr>
            </w:pPr>
            <w:r>
              <w:rPr>
                <w:sz w:val="15"/>
                <w:szCs w:val="15"/>
                <w:highlight w:val="none"/>
              </w:rPr>
              <w:t>0.74</w:t>
            </w:r>
          </w:p>
        </w:tc>
        <w:tc>
          <w:tcPr>
            <w:tcW w:w="361" w:type="pct"/>
            <w:tcBorders>
              <w:top w:val="nil"/>
              <w:left w:val="nil"/>
              <w:bottom w:val="single" w:color="auto" w:sz="4" w:space="0"/>
              <w:right w:val="single" w:color="auto" w:sz="4" w:space="0"/>
            </w:tcBorders>
            <w:shd w:val="clear" w:color="auto" w:fill="auto"/>
            <w:noWrap/>
            <w:vAlign w:val="center"/>
          </w:tcPr>
          <w:p w14:paraId="3B1EC91E">
            <w:pPr>
              <w:widowControl/>
              <w:jc w:val="center"/>
              <w:rPr>
                <w:sz w:val="15"/>
                <w:szCs w:val="15"/>
                <w:highlight w:val="none"/>
              </w:rPr>
            </w:pPr>
            <w:r>
              <w:rPr>
                <w:sz w:val="15"/>
                <w:szCs w:val="15"/>
                <w:highlight w:val="none"/>
              </w:rPr>
              <w:t>/</w:t>
            </w:r>
          </w:p>
        </w:tc>
      </w:tr>
      <w:tr w14:paraId="572187B0">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1F4DB663">
            <w:pPr>
              <w:widowControl/>
              <w:jc w:val="center"/>
              <w:rPr>
                <w:sz w:val="15"/>
                <w:szCs w:val="15"/>
                <w:highlight w:val="none"/>
              </w:rPr>
            </w:pPr>
            <w:r>
              <w:rPr>
                <w:sz w:val="15"/>
                <w:szCs w:val="15"/>
                <w:highlight w:val="none"/>
              </w:rPr>
              <w:t>2025.07.23</w:t>
            </w:r>
          </w:p>
        </w:tc>
        <w:tc>
          <w:tcPr>
            <w:tcW w:w="306" w:type="pct"/>
            <w:tcBorders>
              <w:top w:val="nil"/>
              <w:left w:val="nil"/>
              <w:bottom w:val="single" w:color="auto" w:sz="4" w:space="0"/>
              <w:right w:val="single" w:color="auto" w:sz="4" w:space="0"/>
            </w:tcBorders>
            <w:shd w:val="clear" w:color="auto" w:fill="auto"/>
            <w:noWrap/>
            <w:vAlign w:val="center"/>
          </w:tcPr>
          <w:p w14:paraId="035ABAED">
            <w:pPr>
              <w:widowControl/>
              <w:jc w:val="center"/>
              <w:rPr>
                <w:sz w:val="15"/>
                <w:szCs w:val="15"/>
                <w:highlight w:val="none"/>
              </w:rPr>
            </w:pPr>
            <w:r>
              <w:rPr>
                <w:sz w:val="15"/>
                <w:szCs w:val="15"/>
                <w:highlight w:val="none"/>
              </w:rPr>
              <w:t>11:15</w:t>
            </w:r>
          </w:p>
        </w:tc>
        <w:tc>
          <w:tcPr>
            <w:tcW w:w="368" w:type="pct"/>
            <w:tcBorders>
              <w:top w:val="nil"/>
              <w:left w:val="nil"/>
              <w:bottom w:val="single" w:color="auto" w:sz="4" w:space="0"/>
              <w:right w:val="single" w:color="auto" w:sz="4" w:space="0"/>
            </w:tcBorders>
            <w:shd w:val="clear" w:color="auto" w:fill="auto"/>
            <w:noWrap/>
            <w:vAlign w:val="center"/>
          </w:tcPr>
          <w:p w14:paraId="4AC1CA19">
            <w:pPr>
              <w:widowControl/>
              <w:jc w:val="center"/>
              <w:rPr>
                <w:sz w:val="15"/>
                <w:szCs w:val="15"/>
                <w:highlight w:val="none"/>
              </w:rPr>
            </w:pPr>
            <w:r>
              <w:rPr>
                <w:sz w:val="15"/>
                <w:szCs w:val="15"/>
                <w:highlight w:val="none"/>
              </w:rPr>
              <w:t>6.83</w:t>
            </w:r>
          </w:p>
        </w:tc>
        <w:tc>
          <w:tcPr>
            <w:tcW w:w="348" w:type="pct"/>
            <w:tcBorders>
              <w:top w:val="nil"/>
              <w:left w:val="nil"/>
              <w:bottom w:val="single" w:color="auto" w:sz="4" w:space="0"/>
              <w:right w:val="single" w:color="auto" w:sz="4" w:space="0"/>
            </w:tcBorders>
            <w:shd w:val="clear" w:color="auto" w:fill="auto"/>
            <w:noWrap/>
            <w:vAlign w:val="center"/>
          </w:tcPr>
          <w:p w14:paraId="0772FD2C">
            <w:pPr>
              <w:widowControl/>
              <w:jc w:val="center"/>
              <w:rPr>
                <w:sz w:val="15"/>
                <w:szCs w:val="15"/>
                <w:highlight w:val="none"/>
              </w:rPr>
            </w:pPr>
            <w:r>
              <w:rPr>
                <w:sz w:val="15"/>
                <w:szCs w:val="15"/>
                <w:highlight w:val="none"/>
              </w:rPr>
              <w:t>1.21</w:t>
            </w:r>
          </w:p>
        </w:tc>
        <w:tc>
          <w:tcPr>
            <w:tcW w:w="393" w:type="pct"/>
            <w:tcBorders>
              <w:top w:val="nil"/>
              <w:left w:val="nil"/>
              <w:bottom w:val="single" w:color="auto" w:sz="4" w:space="0"/>
              <w:right w:val="single" w:color="auto" w:sz="4" w:space="0"/>
            </w:tcBorders>
            <w:shd w:val="clear" w:color="auto" w:fill="auto"/>
            <w:noWrap/>
            <w:vAlign w:val="center"/>
          </w:tcPr>
          <w:p w14:paraId="61673D86">
            <w:pPr>
              <w:widowControl/>
              <w:jc w:val="center"/>
              <w:rPr>
                <w:sz w:val="15"/>
                <w:szCs w:val="15"/>
                <w:highlight w:val="none"/>
              </w:rPr>
            </w:pPr>
            <w:r>
              <w:rPr>
                <w:sz w:val="15"/>
                <w:szCs w:val="15"/>
                <w:highlight w:val="none"/>
              </w:rPr>
              <w:t>1780</w:t>
            </w:r>
          </w:p>
        </w:tc>
        <w:tc>
          <w:tcPr>
            <w:tcW w:w="375" w:type="pct"/>
            <w:tcBorders>
              <w:top w:val="nil"/>
              <w:left w:val="nil"/>
              <w:bottom w:val="single" w:color="auto" w:sz="4" w:space="0"/>
              <w:right w:val="single" w:color="auto" w:sz="4" w:space="0"/>
            </w:tcBorders>
            <w:shd w:val="clear" w:color="auto" w:fill="auto"/>
            <w:noWrap/>
            <w:vAlign w:val="center"/>
          </w:tcPr>
          <w:p w14:paraId="50B034E4">
            <w:pPr>
              <w:widowControl/>
              <w:jc w:val="center"/>
              <w:rPr>
                <w:sz w:val="15"/>
                <w:szCs w:val="15"/>
                <w:highlight w:val="none"/>
              </w:rPr>
            </w:pPr>
            <w:r>
              <w:rPr>
                <w:sz w:val="15"/>
                <w:szCs w:val="15"/>
                <w:highlight w:val="none"/>
              </w:rPr>
              <w:t>13.1</w:t>
            </w:r>
          </w:p>
        </w:tc>
        <w:tc>
          <w:tcPr>
            <w:tcW w:w="361" w:type="pct"/>
            <w:tcBorders>
              <w:top w:val="nil"/>
              <w:left w:val="nil"/>
              <w:bottom w:val="single" w:color="auto" w:sz="4" w:space="0"/>
              <w:right w:val="single" w:color="auto" w:sz="4" w:space="0"/>
            </w:tcBorders>
            <w:shd w:val="clear" w:color="auto" w:fill="auto"/>
            <w:noWrap/>
            <w:vAlign w:val="center"/>
          </w:tcPr>
          <w:p w14:paraId="12E9E84C">
            <w:pPr>
              <w:widowControl/>
              <w:jc w:val="center"/>
              <w:rPr>
                <w:sz w:val="15"/>
                <w:szCs w:val="15"/>
                <w:highlight w:val="none"/>
              </w:rPr>
            </w:pPr>
            <w:r>
              <w:rPr>
                <w:sz w:val="15"/>
                <w:szCs w:val="15"/>
                <w:highlight w:val="none"/>
              </w:rPr>
              <w:t>0.45</w:t>
            </w:r>
          </w:p>
        </w:tc>
        <w:tc>
          <w:tcPr>
            <w:tcW w:w="361" w:type="pct"/>
            <w:tcBorders>
              <w:top w:val="nil"/>
              <w:left w:val="nil"/>
              <w:bottom w:val="single" w:color="auto" w:sz="4" w:space="0"/>
              <w:right w:val="single" w:color="auto" w:sz="4" w:space="0"/>
            </w:tcBorders>
            <w:shd w:val="clear" w:color="auto" w:fill="auto"/>
            <w:noWrap/>
            <w:vAlign w:val="center"/>
          </w:tcPr>
          <w:p w14:paraId="32815A71">
            <w:pPr>
              <w:widowControl/>
              <w:jc w:val="center"/>
              <w:rPr>
                <w:sz w:val="15"/>
                <w:szCs w:val="15"/>
                <w:highlight w:val="none"/>
              </w:rPr>
            </w:pPr>
            <w:r>
              <w:rPr>
                <w:sz w:val="15"/>
                <w:szCs w:val="15"/>
                <w:highlight w:val="none"/>
              </w:rPr>
              <w:t>252.6</w:t>
            </w:r>
          </w:p>
        </w:tc>
        <w:tc>
          <w:tcPr>
            <w:tcW w:w="453" w:type="pct"/>
            <w:tcBorders>
              <w:top w:val="nil"/>
              <w:left w:val="nil"/>
              <w:bottom w:val="single" w:color="auto" w:sz="4" w:space="0"/>
              <w:right w:val="single" w:color="auto" w:sz="4" w:space="0"/>
            </w:tcBorders>
            <w:shd w:val="clear" w:color="auto" w:fill="auto"/>
            <w:noWrap/>
            <w:vAlign w:val="center"/>
          </w:tcPr>
          <w:p w14:paraId="277768AF">
            <w:pPr>
              <w:widowControl/>
              <w:jc w:val="center"/>
              <w:rPr>
                <w:sz w:val="15"/>
                <w:szCs w:val="15"/>
                <w:highlight w:val="none"/>
              </w:rPr>
            </w:pPr>
            <w:r>
              <w:rPr>
                <w:sz w:val="15"/>
                <w:szCs w:val="15"/>
                <w:highlight w:val="none"/>
              </w:rPr>
              <w:t>5.66</w:t>
            </w:r>
          </w:p>
        </w:tc>
        <w:tc>
          <w:tcPr>
            <w:tcW w:w="453" w:type="pct"/>
            <w:tcBorders>
              <w:top w:val="nil"/>
              <w:left w:val="nil"/>
              <w:bottom w:val="single" w:color="auto" w:sz="4" w:space="0"/>
              <w:right w:val="single" w:color="auto" w:sz="4" w:space="0"/>
            </w:tcBorders>
            <w:shd w:val="clear" w:color="auto" w:fill="auto"/>
            <w:noWrap/>
            <w:vAlign w:val="center"/>
          </w:tcPr>
          <w:p w14:paraId="2AF7CDEE">
            <w:pPr>
              <w:widowControl/>
              <w:jc w:val="center"/>
              <w:rPr>
                <w:sz w:val="15"/>
                <w:szCs w:val="15"/>
                <w:highlight w:val="none"/>
              </w:rPr>
            </w:pPr>
            <w:r>
              <w:rPr>
                <w:sz w:val="15"/>
                <w:szCs w:val="15"/>
                <w:highlight w:val="none"/>
              </w:rPr>
              <w:t>2.19</w:t>
            </w:r>
          </w:p>
        </w:tc>
        <w:tc>
          <w:tcPr>
            <w:tcW w:w="361" w:type="pct"/>
            <w:tcBorders>
              <w:top w:val="nil"/>
              <w:left w:val="nil"/>
              <w:bottom w:val="single" w:color="auto" w:sz="4" w:space="0"/>
              <w:right w:val="single" w:color="auto" w:sz="4" w:space="0"/>
            </w:tcBorders>
            <w:shd w:val="clear" w:color="auto" w:fill="auto"/>
            <w:noWrap/>
            <w:vAlign w:val="center"/>
          </w:tcPr>
          <w:p w14:paraId="7FA3DA74">
            <w:pPr>
              <w:widowControl/>
              <w:jc w:val="center"/>
              <w:rPr>
                <w:sz w:val="15"/>
                <w:szCs w:val="15"/>
                <w:highlight w:val="none"/>
              </w:rPr>
            </w:pPr>
            <w:r>
              <w:rPr>
                <w:sz w:val="15"/>
                <w:szCs w:val="15"/>
                <w:highlight w:val="none"/>
              </w:rPr>
              <w:t>0.10</w:t>
            </w:r>
          </w:p>
        </w:tc>
        <w:tc>
          <w:tcPr>
            <w:tcW w:w="36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C00A0C8">
            <w:pPr>
              <w:widowControl/>
              <w:jc w:val="center"/>
              <w:rPr>
                <w:sz w:val="15"/>
                <w:szCs w:val="15"/>
                <w:highlight w:val="none"/>
              </w:rPr>
            </w:pPr>
            <w:r>
              <w:rPr>
                <w:sz w:val="15"/>
                <w:szCs w:val="15"/>
                <w:highlight w:val="none"/>
              </w:rPr>
              <w:t>0.62</w:t>
            </w:r>
          </w:p>
        </w:tc>
        <w:tc>
          <w:tcPr>
            <w:tcW w:w="361" w:type="pct"/>
            <w:tcBorders>
              <w:top w:val="nil"/>
              <w:left w:val="nil"/>
              <w:bottom w:val="single" w:color="auto" w:sz="4" w:space="0"/>
              <w:right w:val="single" w:color="auto" w:sz="4" w:space="0"/>
            </w:tcBorders>
            <w:shd w:val="clear" w:color="auto" w:fill="auto"/>
            <w:noWrap/>
            <w:vAlign w:val="center"/>
          </w:tcPr>
          <w:p w14:paraId="4F24F03F">
            <w:pPr>
              <w:widowControl/>
              <w:jc w:val="center"/>
              <w:rPr>
                <w:sz w:val="15"/>
                <w:szCs w:val="15"/>
                <w:highlight w:val="none"/>
              </w:rPr>
            </w:pPr>
            <w:r>
              <w:rPr>
                <w:sz w:val="15"/>
                <w:szCs w:val="15"/>
                <w:highlight w:val="none"/>
              </w:rPr>
              <w:t>0.02</w:t>
            </w:r>
          </w:p>
        </w:tc>
      </w:tr>
      <w:tr w14:paraId="0C9EC0CE">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3C5F4CDF">
            <w:pPr>
              <w:widowControl/>
              <w:jc w:val="center"/>
              <w:rPr>
                <w:sz w:val="15"/>
                <w:szCs w:val="15"/>
                <w:highlight w:val="none"/>
              </w:rPr>
            </w:pPr>
            <w:r>
              <w:rPr>
                <w:sz w:val="15"/>
                <w:szCs w:val="15"/>
                <w:highlight w:val="none"/>
              </w:rPr>
              <w:t>2025.07.31</w:t>
            </w:r>
          </w:p>
        </w:tc>
        <w:tc>
          <w:tcPr>
            <w:tcW w:w="306" w:type="pct"/>
            <w:tcBorders>
              <w:top w:val="nil"/>
              <w:left w:val="nil"/>
              <w:bottom w:val="single" w:color="auto" w:sz="4" w:space="0"/>
              <w:right w:val="single" w:color="auto" w:sz="4" w:space="0"/>
            </w:tcBorders>
            <w:shd w:val="clear" w:color="auto" w:fill="auto"/>
            <w:noWrap/>
            <w:vAlign w:val="center"/>
          </w:tcPr>
          <w:p w14:paraId="2F14CA00">
            <w:pPr>
              <w:widowControl/>
              <w:jc w:val="center"/>
              <w:rPr>
                <w:sz w:val="15"/>
                <w:szCs w:val="15"/>
                <w:highlight w:val="none"/>
              </w:rPr>
            </w:pPr>
            <w:r>
              <w:rPr>
                <w:sz w:val="15"/>
                <w:szCs w:val="15"/>
                <w:highlight w:val="none"/>
              </w:rPr>
              <w:t>10:40</w:t>
            </w:r>
          </w:p>
        </w:tc>
        <w:tc>
          <w:tcPr>
            <w:tcW w:w="368" w:type="pct"/>
            <w:tcBorders>
              <w:top w:val="nil"/>
              <w:left w:val="nil"/>
              <w:bottom w:val="single" w:color="auto" w:sz="4" w:space="0"/>
              <w:right w:val="single" w:color="auto" w:sz="4" w:space="0"/>
            </w:tcBorders>
            <w:shd w:val="clear" w:color="auto" w:fill="auto"/>
            <w:noWrap/>
            <w:vAlign w:val="center"/>
          </w:tcPr>
          <w:p w14:paraId="4B962450">
            <w:pPr>
              <w:widowControl/>
              <w:jc w:val="center"/>
              <w:rPr>
                <w:sz w:val="15"/>
                <w:szCs w:val="15"/>
                <w:highlight w:val="none"/>
              </w:rPr>
            </w:pPr>
            <w:r>
              <w:rPr>
                <w:sz w:val="15"/>
                <w:szCs w:val="15"/>
                <w:highlight w:val="none"/>
              </w:rPr>
              <w:t>6.53</w:t>
            </w:r>
          </w:p>
        </w:tc>
        <w:tc>
          <w:tcPr>
            <w:tcW w:w="348" w:type="pct"/>
            <w:tcBorders>
              <w:top w:val="nil"/>
              <w:left w:val="nil"/>
              <w:bottom w:val="single" w:color="auto" w:sz="4" w:space="0"/>
              <w:right w:val="single" w:color="auto" w:sz="4" w:space="0"/>
            </w:tcBorders>
            <w:shd w:val="clear" w:color="auto" w:fill="auto"/>
            <w:noWrap/>
            <w:vAlign w:val="center"/>
          </w:tcPr>
          <w:p w14:paraId="59FBE162">
            <w:pPr>
              <w:widowControl/>
              <w:jc w:val="center"/>
              <w:rPr>
                <w:sz w:val="15"/>
                <w:szCs w:val="15"/>
                <w:highlight w:val="none"/>
              </w:rPr>
            </w:pPr>
            <w:r>
              <w:rPr>
                <w:sz w:val="15"/>
                <w:szCs w:val="15"/>
                <w:highlight w:val="none"/>
              </w:rPr>
              <w:t>1.46</w:t>
            </w:r>
          </w:p>
        </w:tc>
        <w:tc>
          <w:tcPr>
            <w:tcW w:w="393" w:type="pct"/>
            <w:tcBorders>
              <w:top w:val="nil"/>
              <w:left w:val="nil"/>
              <w:bottom w:val="single" w:color="auto" w:sz="4" w:space="0"/>
              <w:right w:val="single" w:color="auto" w:sz="4" w:space="0"/>
            </w:tcBorders>
            <w:shd w:val="clear" w:color="auto" w:fill="auto"/>
            <w:noWrap/>
            <w:vAlign w:val="center"/>
          </w:tcPr>
          <w:p w14:paraId="2F026204">
            <w:pPr>
              <w:widowControl/>
              <w:jc w:val="center"/>
              <w:rPr>
                <w:sz w:val="15"/>
                <w:szCs w:val="15"/>
                <w:highlight w:val="none"/>
              </w:rPr>
            </w:pPr>
            <w:r>
              <w:rPr>
                <w:sz w:val="15"/>
                <w:szCs w:val="15"/>
                <w:highlight w:val="none"/>
              </w:rPr>
              <w:t>1637</w:t>
            </w:r>
          </w:p>
        </w:tc>
        <w:tc>
          <w:tcPr>
            <w:tcW w:w="375" w:type="pct"/>
            <w:tcBorders>
              <w:top w:val="nil"/>
              <w:left w:val="nil"/>
              <w:bottom w:val="single" w:color="auto" w:sz="4" w:space="0"/>
              <w:right w:val="single" w:color="auto" w:sz="4" w:space="0"/>
            </w:tcBorders>
            <w:shd w:val="clear" w:color="auto" w:fill="auto"/>
            <w:noWrap/>
            <w:vAlign w:val="center"/>
          </w:tcPr>
          <w:p w14:paraId="0976FF22">
            <w:pPr>
              <w:widowControl/>
              <w:jc w:val="center"/>
              <w:rPr>
                <w:sz w:val="15"/>
                <w:szCs w:val="15"/>
                <w:highlight w:val="none"/>
              </w:rPr>
            </w:pPr>
            <w:r>
              <w:rPr>
                <w:sz w:val="15"/>
                <w:szCs w:val="15"/>
                <w:highlight w:val="none"/>
              </w:rPr>
              <w:t>12.7</w:t>
            </w:r>
          </w:p>
        </w:tc>
        <w:tc>
          <w:tcPr>
            <w:tcW w:w="361" w:type="pct"/>
            <w:tcBorders>
              <w:top w:val="nil"/>
              <w:left w:val="nil"/>
              <w:bottom w:val="single" w:color="auto" w:sz="4" w:space="0"/>
              <w:right w:val="single" w:color="auto" w:sz="4" w:space="0"/>
            </w:tcBorders>
            <w:shd w:val="clear" w:color="auto" w:fill="auto"/>
            <w:noWrap/>
            <w:vAlign w:val="center"/>
          </w:tcPr>
          <w:p w14:paraId="3526805D">
            <w:pPr>
              <w:widowControl/>
              <w:jc w:val="center"/>
              <w:rPr>
                <w:sz w:val="15"/>
                <w:szCs w:val="15"/>
                <w:highlight w:val="none"/>
              </w:rPr>
            </w:pPr>
            <w:r>
              <w:rPr>
                <w:sz w:val="15"/>
                <w:szCs w:val="15"/>
                <w:highlight w:val="none"/>
              </w:rPr>
              <w:t>0.41</w:t>
            </w:r>
          </w:p>
        </w:tc>
        <w:tc>
          <w:tcPr>
            <w:tcW w:w="361" w:type="pct"/>
            <w:tcBorders>
              <w:top w:val="nil"/>
              <w:left w:val="nil"/>
              <w:bottom w:val="single" w:color="auto" w:sz="4" w:space="0"/>
              <w:right w:val="single" w:color="auto" w:sz="4" w:space="0"/>
            </w:tcBorders>
            <w:shd w:val="clear" w:color="auto" w:fill="auto"/>
            <w:noWrap/>
            <w:vAlign w:val="center"/>
          </w:tcPr>
          <w:p w14:paraId="21172E6D">
            <w:pPr>
              <w:widowControl/>
              <w:jc w:val="center"/>
              <w:rPr>
                <w:sz w:val="15"/>
                <w:szCs w:val="15"/>
                <w:highlight w:val="none"/>
              </w:rPr>
            </w:pPr>
            <w:r>
              <w:rPr>
                <w:sz w:val="15"/>
                <w:szCs w:val="15"/>
                <w:highlight w:val="none"/>
              </w:rPr>
              <w:t>250.55</w:t>
            </w:r>
          </w:p>
        </w:tc>
        <w:tc>
          <w:tcPr>
            <w:tcW w:w="453" w:type="pct"/>
            <w:tcBorders>
              <w:top w:val="nil"/>
              <w:left w:val="nil"/>
              <w:bottom w:val="single" w:color="auto" w:sz="4" w:space="0"/>
              <w:right w:val="single" w:color="auto" w:sz="4" w:space="0"/>
            </w:tcBorders>
            <w:shd w:val="clear" w:color="auto" w:fill="auto"/>
            <w:noWrap/>
            <w:vAlign w:val="center"/>
          </w:tcPr>
          <w:p w14:paraId="115CDFBF">
            <w:pPr>
              <w:widowControl/>
              <w:jc w:val="center"/>
              <w:rPr>
                <w:sz w:val="15"/>
                <w:szCs w:val="15"/>
                <w:highlight w:val="none"/>
              </w:rPr>
            </w:pPr>
            <w:r>
              <w:rPr>
                <w:sz w:val="15"/>
                <w:szCs w:val="15"/>
                <w:highlight w:val="none"/>
              </w:rPr>
              <w:t>5.07</w:t>
            </w:r>
          </w:p>
        </w:tc>
        <w:tc>
          <w:tcPr>
            <w:tcW w:w="453" w:type="pct"/>
            <w:tcBorders>
              <w:top w:val="nil"/>
              <w:left w:val="nil"/>
              <w:bottom w:val="single" w:color="auto" w:sz="4" w:space="0"/>
              <w:right w:val="single" w:color="auto" w:sz="4" w:space="0"/>
            </w:tcBorders>
            <w:shd w:val="clear" w:color="auto" w:fill="auto"/>
            <w:noWrap/>
            <w:vAlign w:val="center"/>
          </w:tcPr>
          <w:p w14:paraId="33005530">
            <w:pPr>
              <w:widowControl/>
              <w:jc w:val="center"/>
              <w:rPr>
                <w:sz w:val="15"/>
                <w:szCs w:val="15"/>
                <w:highlight w:val="none"/>
              </w:rPr>
            </w:pPr>
            <w:r>
              <w:rPr>
                <w:sz w:val="15"/>
                <w:szCs w:val="15"/>
                <w:highlight w:val="none"/>
              </w:rPr>
              <w:t>2.09</w:t>
            </w:r>
          </w:p>
        </w:tc>
        <w:tc>
          <w:tcPr>
            <w:tcW w:w="361" w:type="pct"/>
            <w:tcBorders>
              <w:top w:val="nil"/>
              <w:left w:val="nil"/>
              <w:bottom w:val="single" w:color="auto" w:sz="4" w:space="0"/>
              <w:right w:val="single" w:color="auto" w:sz="4" w:space="0"/>
            </w:tcBorders>
            <w:shd w:val="clear" w:color="auto" w:fill="auto"/>
            <w:noWrap/>
            <w:vAlign w:val="center"/>
          </w:tcPr>
          <w:p w14:paraId="2ED0F21F">
            <w:pPr>
              <w:widowControl/>
              <w:jc w:val="center"/>
              <w:rPr>
                <w:sz w:val="15"/>
                <w:szCs w:val="15"/>
                <w:highlight w:val="none"/>
              </w:rPr>
            </w:pPr>
            <w:r>
              <w:rPr>
                <w:sz w:val="15"/>
                <w:szCs w:val="15"/>
                <w:highlight w:val="none"/>
              </w:rPr>
              <w:t>0.10</w:t>
            </w:r>
          </w:p>
        </w:tc>
        <w:tc>
          <w:tcPr>
            <w:tcW w:w="36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0E56761">
            <w:pPr>
              <w:widowControl/>
              <w:jc w:val="center"/>
              <w:rPr>
                <w:sz w:val="15"/>
                <w:szCs w:val="15"/>
                <w:highlight w:val="none"/>
              </w:rPr>
            </w:pPr>
            <w:r>
              <w:rPr>
                <w:sz w:val="15"/>
                <w:szCs w:val="15"/>
                <w:highlight w:val="none"/>
              </w:rPr>
              <w:t>0.81</w:t>
            </w:r>
          </w:p>
        </w:tc>
        <w:tc>
          <w:tcPr>
            <w:tcW w:w="361" w:type="pct"/>
            <w:tcBorders>
              <w:top w:val="nil"/>
              <w:left w:val="nil"/>
              <w:bottom w:val="single" w:color="auto" w:sz="4" w:space="0"/>
              <w:right w:val="single" w:color="auto" w:sz="4" w:space="0"/>
            </w:tcBorders>
            <w:shd w:val="clear" w:color="auto" w:fill="auto"/>
            <w:noWrap/>
            <w:vAlign w:val="center"/>
          </w:tcPr>
          <w:p w14:paraId="1BBBBF18">
            <w:pPr>
              <w:widowControl/>
              <w:jc w:val="center"/>
              <w:rPr>
                <w:sz w:val="15"/>
                <w:szCs w:val="15"/>
                <w:highlight w:val="none"/>
              </w:rPr>
            </w:pPr>
            <w:r>
              <w:rPr>
                <w:sz w:val="15"/>
                <w:szCs w:val="15"/>
                <w:highlight w:val="none"/>
              </w:rPr>
              <w:t>/</w:t>
            </w:r>
          </w:p>
        </w:tc>
      </w:tr>
      <w:tr w14:paraId="7C22C997">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41576472">
            <w:pPr>
              <w:widowControl/>
              <w:jc w:val="center"/>
              <w:rPr>
                <w:sz w:val="15"/>
                <w:szCs w:val="15"/>
                <w:highlight w:val="none"/>
              </w:rPr>
            </w:pPr>
            <w:r>
              <w:rPr>
                <w:sz w:val="15"/>
                <w:szCs w:val="15"/>
                <w:highlight w:val="none"/>
              </w:rPr>
              <w:t>2025.08.07</w:t>
            </w:r>
          </w:p>
        </w:tc>
        <w:tc>
          <w:tcPr>
            <w:tcW w:w="306" w:type="pct"/>
            <w:tcBorders>
              <w:top w:val="nil"/>
              <w:left w:val="nil"/>
              <w:bottom w:val="single" w:color="auto" w:sz="4" w:space="0"/>
              <w:right w:val="single" w:color="auto" w:sz="4" w:space="0"/>
            </w:tcBorders>
            <w:shd w:val="clear" w:color="auto" w:fill="auto"/>
            <w:noWrap/>
            <w:vAlign w:val="center"/>
          </w:tcPr>
          <w:p w14:paraId="50B53970">
            <w:pPr>
              <w:widowControl/>
              <w:jc w:val="center"/>
              <w:rPr>
                <w:sz w:val="15"/>
                <w:szCs w:val="15"/>
                <w:highlight w:val="none"/>
              </w:rPr>
            </w:pPr>
            <w:r>
              <w:rPr>
                <w:sz w:val="15"/>
                <w:szCs w:val="15"/>
                <w:highlight w:val="none"/>
              </w:rPr>
              <w:t>10:50</w:t>
            </w:r>
          </w:p>
        </w:tc>
        <w:tc>
          <w:tcPr>
            <w:tcW w:w="368" w:type="pct"/>
            <w:tcBorders>
              <w:top w:val="nil"/>
              <w:left w:val="nil"/>
              <w:bottom w:val="single" w:color="auto" w:sz="4" w:space="0"/>
              <w:right w:val="single" w:color="auto" w:sz="4" w:space="0"/>
            </w:tcBorders>
            <w:shd w:val="clear" w:color="auto" w:fill="auto"/>
            <w:noWrap/>
            <w:vAlign w:val="center"/>
          </w:tcPr>
          <w:p w14:paraId="5369573A">
            <w:pPr>
              <w:widowControl/>
              <w:jc w:val="center"/>
              <w:rPr>
                <w:sz w:val="15"/>
                <w:szCs w:val="15"/>
                <w:highlight w:val="none"/>
              </w:rPr>
            </w:pPr>
            <w:r>
              <w:rPr>
                <w:sz w:val="15"/>
                <w:szCs w:val="15"/>
                <w:highlight w:val="none"/>
              </w:rPr>
              <w:t>6.57</w:t>
            </w:r>
          </w:p>
        </w:tc>
        <w:tc>
          <w:tcPr>
            <w:tcW w:w="348" w:type="pct"/>
            <w:tcBorders>
              <w:top w:val="nil"/>
              <w:left w:val="nil"/>
              <w:bottom w:val="single" w:color="auto" w:sz="4" w:space="0"/>
              <w:right w:val="single" w:color="auto" w:sz="4" w:space="0"/>
            </w:tcBorders>
            <w:shd w:val="clear" w:color="auto" w:fill="auto"/>
            <w:noWrap/>
            <w:vAlign w:val="center"/>
          </w:tcPr>
          <w:p w14:paraId="0B44283C">
            <w:pPr>
              <w:widowControl/>
              <w:jc w:val="center"/>
              <w:rPr>
                <w:sz w:val="15"/>
                <w:szCs w:val="15"/>
                <w:highlight w:val="none"/>
              </w:rPr>
            </w:pPr>
            <w:r>
              <w:rPr>
                <w:sz w:val="15"/>
                <w:szCs w:val="15"/>
                <w:highlight w:val="none"/>
              </w:rPr>
              <w:t>1.87</w:t>
            </w:r>
          </w:p>
        </w:tc>
        <w:tc>
          <w:tcPr>
            <w:tcW w:w="393" w:type="pct"/>
            <w:tcBorders>
              <w:top w:val="nil"/>
              <w:left w:val="nil"/>
              <w:bottom w:val="single" w:color="auto" w:sz="4" w:space="0"/>
              <w:right w:val="single" w:color="auto" w:sz="4" w:space="0"/>
            </w:tcBorders>
            <w:shd w:val="clear" w:color="auto" w:fill="auto"/>
            <w:noWrap/>
            <w:vAlign w:val="center"/>
          </w:tcPr>
          <w:p w14:paraId="50C8494E">
            <w:pPr>
              <w:widowControl/>
              <w:jc w:val="center"/>
              <w:rPr>
                <w:sz w:val="15"/>
                <w:szCs w:val="15"/>
                <w:highlight w:val="none"/>
              </w:rPr>
            </w:pPr>
            <w:r>
              <w:rPr>
                <w:sz w:val="15"/>
                <w:szCs w:val="15"/>
                <w:highlight w:val="none"/>
              </w:rPr>
              <w:t>1694</w:t>
            </w:r>
          </w:p>
        </w:tc>
        <w:tc>
          <w:tcPr>
            <w:tcW w:w="375" w:type="pct"/>
            <w:tcBorders>
              <w:top w:val="nil"/>
              <w:left w:val="nil"/>
              <w:bottom w:val="single" w:color="auto" w:sz="4" w:space="0"/>
              <w:right w:val="single" w:color="auto" w:sz="4" w:space="0"/>
            </w:tcBorders>
            <w:shd w:val="clear" w:color="auto" w:fill="auto"/>
            <w:noWrap/>
            <w:vAlign w:val="center"/>
          </w:tcPr>
          <w:p w14:paraId="2EB1286D">
            <w:pPr>
              <w:widowControl/>
              <w:jc w:val="center"/>
              <w:rPr>
                <w:sz w:val="15"/>
                <w:szCs w:val="15"/>
                <w:highlight w:val="none"/>
              </w:rPr>
            </w:pPr>
            <w:r>
              <w:rPr>
                <w:sz w:val="15"/>
                <w:szCs w:val="15"/>
                <w:highlight w:val="none"/>
              </w:rPr>
              <w:t>10</w:t>
            </w:r>
          </w:p>
        </w:tc>
        <w:tc>
          <w:tcPr>
            <w:tcW w:w="361" w:type="pct"/>
            <w:tcBorders>
              <w:top w:val="nil"/>
              <w:left w:val="nil"/>
              <w:bottom w:val="single" w:color="auto" w:sz="4" w:space="0"/>
              <w:right w:val="single" w:color="auto" w:sz="4" w:space="0"/>
            </w:tcBorders>
            <w:shd w:val="clear" w:color="auto" w:fill="auto"/>
            <w:noWrap/>
            <w:vAlign w:val="center"/>
          </w:tcPr>
          <w:p w14:paraId="5D68B76F">
            <w:pPr>
              <w:widowControl/>
              <w:jc w:val="center"/>
              <w:rPr>
                <w:sz w:val="15"/>
                <w:szCs w:val="15"/>
                <w:highlight w:val="none"/>
              </w:rPr>
            </w:pPr>
            <w:r>
              <w:rPr>
                <w:sz w:val="15"/>
                <w:szCs w:val="15"/>
                <w:highlight w:val="none"/>
              </w:rPr>
              <w:t>0.10</w:t>
            </w:r>
          </w:p>
        </w:tc>
        <w:tc>
          <w:tcPr>
            <w:tcW w:w="361" w:type="pct"/>
            <w:tcBorders>
              <w:top w:val="nil"/>
              <w:left w:val="nil"/>
              <w:bottom w:val="single" w:color="auto" w:sz="4" w:space="0"/>
              <w:right w:val="single" w:color="auto" w:sz="4" w:space="0"/>
            </w:tcBorders>
            <w:shd w:val="clear" w:color="auto" w:fill="auto"/>
            <w:noWrap/>
            <w:vAlign w:val="center"/>
          </w:tcPr>
          <w:p w14:paraId="1552155D">
            <w:pPr>
              <w:widowControl/>
              <w:jc w:val="center"/>
              <w:rPr>
                <w:sz w:val="15"/>
                <w:szCs w:val="15"/>
                <w:highlight w:val="none"/>
              </w:rPr>
            </w:pPr>
            <w:r>
              <w:rPr>
                <w:sz w:val="15"/>
                <w:szCs w:val="15"/>
                <w:highlight w:val="none"/>
              </w:rPr>
              <w:t>275.84</w:t>
            </w:r>
          </w:p>
        </w:tc>
        <w:tc>
          <w:tcPr>
            <w:tcW w:w="453" w:type="pct"/>
            <w:tcBorders>
              <w:top w:val="nil"/>
              <w:left w:val="nil"/>
              <w:bottom w:val="single" w:color="auto" w:sz="4" w:space="0"/>
              <w:right w:val="single" w:color="auto" w:sz="4" w:space="0"/>
            </w:tcBorders>
            <w:shd w:val="clear" w:color="auto" w:fill="auto"/>
            <w:noWrap/>
            <w:vAlign w:val="center"/>
          </w:tcPr>
          <w:p w14:paraId="090A43D1">
            <w:pPr>
              <w:widowControl/>
              <w:jc w:val="center"/>
              <w:rPr>
                <w:sz w:val="15"/>
                <w:szCs w:val="15"/>
                <w:highlight w:val="none"/>
              </w:rPr>
            </w:pPr>
            <w:r>
              <w:rPr>
                <w:sz w:val="15"/>
                <w:szCs w:val="15"/>
                <w:highlight w:val="none"/>
              </w:rPr>
              <w:t>5.07</w:t>
            </w:r>
          </w:p>
        </w:tc>
        <w:tc>
          <w:tcPr>
            <w:tcW w:w="453" w:type="pct"/>
            <w:tcBorders>
              <w:top w:val="nil"/>
              <w:left w:val="nil"/>
              <w:bottom w:val="single" w:color="auto" w:sz="4" w:space="0"/>
              <w:right w:val="single" w:color="auto" w:sz="4" w:space="0"/>
            </w:tcBorders>
            <w:shd w:val="clear" w:color="auto" w:fill="auto"/>
            <w:noWrap/>
            <w:vAlign w:val="center"/>
          </w:tcPr>
          <w:p w14:paraId="69D850C9">
            <w:pPr>
              <w:widowControl/>
              <w:jc w:val="center"/>
              <w:rPr>
                <w:sz w:val="15"/>
                <w:szCs w:val="15"/>
                <w:highlight w:val="none"/>
              </w:rPr>
            </w:pPr>
            <w:r>
              <w:rPr>
                <w:sz w:val="15"/>
                <w:szCs w:val="15"/>
                <w:highlight w:val="none"/>
              </w:rPr>
              <w:t>2.09</w:t>
            </w:r>
          </w:p>
        </w:tc>
        <w:tc>
          <w:tcPr>
            <w:tcW w:w="361" w:type="pct"/>
            <w:tcBorders>
              <w:top w:val="nil"/>
              <w:left w:val="nil"/>
              <w:bottom w:val="single" w:color="auto" w:sz="4" w:space="0"/>
              <w:right w:val="single" w:color="auto" w:sz="4" w:space="0"/>
            </w:tcBorders>
            <w:shd w:val="clear" w:color="auto" w:fill="auto"/>
            <w:noWrap/>
            <w:vAlign w:val="center"/>
          </w:tcPr>
          <w:p w14:paraId="2AA02123">
            <w:pPr>
              <w:widowControl/>
              <w:jc w:val="center"/>
              <w:rPr>
                <w:sz w:val="15"/>
                <w:szCs w:val="15"/>
                <w:highlight w:val="none"/>
              </w:rPr>
            </w:pPr>
            <w:r>
              <w:rPr>
                <w:sz w:val="15"/>
                <w:szCs w:val="15"/>
                <w:highlight w:val="none"/>
              </w:rPr>
              <w:t>0.10</w:t>
            </w:r>
          </w:p>
        </w:tc>
        <w:tc>
          <w:tcPr>
            <w:tcW w:w="36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C2407B1">
            <w:pPr>
              <w:widowControl/>
              <w:jc w:val="center"/>
              <w:rPr>
                <w:sz w:val="15"/>
                <w:szCs w:val="15"/>
                <w:highlight w:val="none"/>
              </w:rPr>
            </w:pPr>
            <w:r>
              <w:rPr>
                <w:sz w:val="15"/>
                <w:szCs w:val="15"/>
                <w:highlight w:val="none"/>
              </w:rPr>
              <w:t>0.61</w:t>
            </w:r>
          </w:p>
        </w:tc>
        <w:tc>
          <w:tcPr>
            <w:tcW w:w="361" w:type="pct"/>
            <w:tcBorders>
              <w:top w:val="nil"/>
              <w:left w:val="nil"/>
              <w:bottom w:val="single" w:color="auto" w:sz="4" w:space="0"/>
              <w:right w:val="single" w:color="auto" w:sz="4" w:space="0"/>
            </w:tcBorders>
            <w:shd w:val="clear" w:color="auto" w:fill="auto"/>
            <w:noWrap/>
            <w:vAlign w:val="center"/>
          </w:tcPr>
          <w:p w14:paraId="6D47F22E">
            <w:pPr>
              <w:widowControl/>
              <w:jc w:val="center"/>
              <w:rPr>
                <w:sz w:val="15"/>
                <w:szCs w:val="15"/>
                <w:highlight w:val="none"/>
              </w:rPr>
            </w:pPr>
            <w:r>
              <w:rPr>
                <w:sz w:val="15"/>
                <w:szCs w:val="15"/>
                <w:highlight w:val="none"/>
              </w:rPr>
              <w:t>/</w:t>
            </w:r>
          </w:p>
        </w:tc>
      </w:tr>
      <w:tr w14:paraId="0A4AA985">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5D9CA1DC">
            <w:pPr>
              <w:widowControl/>
              <w:jc w:val="center"/>
              <w:rPr>
                <w:sz w:val="15"/>
                <w:szCs w:val="15"/>
                <w:highlight w:val="none"/>
              </w:rPr>
            </w:pPr>
            <w:r>
              <w:rPr>
                <w:sz w:val="15"/>
                <w:szCs w:val="15"/>
                <w:highlight w:val="none"/>
              </w:rPr>
              <w:t>2025.08.14</w:t>
            </w:r>
          </w:p>
        </w:tc>
        <w:tc>
          <w:tcPr>
            <w:tcW w:w="306" w:type="pct"/>
            <w:tcBorders>
              <w:top w:val="nil"/>
              <w:left w:val="nil"/>
              <w:bottom w:val="single" w:color="auto" w:sz="4" w:space="0"/>
              <w:right w:val="single" w:color="auto" w:sz="4" w:space="0"/>
            </w:tcBorders>
            <w:shd w:val="clear" w:color="auto" w:fill="auto"/>
            <w:noWrap/>
            <w:vAlign w:val="center"/>
          </w:tcPr>
          <w:p w14:paraId="5CFA6670">
            <w:pPr>
              <w:widowControl/>
              <w:jc w:val="center"/>
              <w:rPr>
                <w:sz w:val="15"/>
                <w:szCs w:val="15"/>
                <w:highlight w:val="none"/>
              </w:rPr>
            </w:pPr>
            <w:r>
              <w:rPr>
                <w:sz w:val="15"/>
                <w:szCs w:val="15"/>
                <w:highlight w:val="none"/>
              </w:rPr>
              <w:t>10:35</w:t>
            </w:r>
          </w:p>
        </w:tc>
        <w:tc>
          <w:tcPr>
            <w:tcW w:w="368" w:type="pct"/>
            <w:tcBorders>
              <w:top w:val="nil"/>
              <w:left w:val="nil"/>
              <w:bottom w:val="single" w:color="auto" w:sz="4" w:space="0"/>
              <w:right w:val="single" w:color="auto" w:sz="4" w:space="0"/>
            </w:tcBorders>
            <w:shd w:val="clear" w:color="auto" w:fill="auto"/>
            <w:noWrap/>
            <w:vAlign w:val="center"/>
          </w:tcPr>
          <w:p w14:paraId="0D38B7A6">
            <w:pPr>
              <w:widowControl/>
              <w:jc w:val="center"/>
              <w:rPr>
                <w:sz w:val="15"/>
                <w:szCs w:val="15"/>
                <w:highlight w:val="none"/>
              </w:rPr>
            </w:pPr>
            <w:r>
              <w:rPr>
                <w:sz w:val="15"/>
                <w:szCs w:val="15"/>
                <w:highlight w:val="none"/>
              </w:rPr>
              <w:t>6.66</w:t>
            </w:r>
          </w:p>
        </w:tc>
        <w:tc>
          <w:tcPr>
            <w:tcW w:w="348" w:type="pct"/>
            <w:tcBorders>
              <w:top w:val="nil"/>
              <w:left w:val="nil"/>
              <w:bottom w:val="single" w:color="auto" w:sz="4" w:space="0"/>
              <w:right w:val="single" w:color="auto" w:sz="4" w:space="0"/>
            </w:tcBorders>
            <w:shd w:val="clear" w:color="auto" w:fill="auto"/>
            <w:noWrap/>
            <w:vAlign w:val="center"/>
          </w:tcPr>
          <w:p w14:paraId="53EA106E">
            <w:pPr>
              <w:widowControl/>
              <w:jc w:val="center"/>
              <w:rPr>
                <w:sz w:val="15"/>
                <w:szCs w:val="15"/>
                <w:highlight w:val="none"/>
              </w:rPr>
            </w:pPr>
            <w:r>
              <w:rPr>
                <w:sz w:val="15"/>
                <w:szCs w:val="15"/>
                <w:highlight w:val="none"/>
              </w:rPr>
              <w:t>1.64</w:t>
            </w:r>
          </w:p>
        </w:tc>
        <w:tc>
          <w:tcPr>
            <w:tcW w:w="393" w:type="pct"/>
            <w:tcBorders>
              <w:top w:val="nil"/>
              <w:left w:val="nil"/>
              <w:bottom w:val="single" w:color="auto" w:sz="4" w:space="0"/>
              <w:right w:val="single" w:color="auto" w:sz="4" w:space="0"/>
            </w:tcBorders>
            <w:shd w:val="clear" w:color="auto" w:fill="auto"/>
            <w:noWrap/>
            <w:vAlign w:val="center"/>
          </w:tcPr>
          <w:p w14:paraId="55851D7B">
            <w:pPr>
              <w:widowControl/>
              <w:jc w:val="center"/>
              <w:rPr>
                <w:sz w:val="15"/>
                <w:szCs w:val="15"/>
                <w:highlight w:val="none"/>
              </w:rPr>
            </w:pPr>
            <w:r>
              <w:rPr>
                <w:sz w:val="15"/>
                <w:szCs w:val="15"/>
                <w:highlight w:val="none"/>
              </w:rPr>
              <w:t>1699</w:t>
            </w:r>
          </w:p>
        </w:tc>
        <w:tc>
          <w:tcPr>
            <w:tcW w:w="375" w:type="pct"/>
            <w:tcBorders>
              <w:top w:val="nil"/>
              <w:left w:val="nil"/>
              <w:bottom w:val="single" w:color="auto" w:sz="4" w:space="0"/>
              <w:right w:val="single" w:color="auto" w:sz="4" w:space="0"/>
            </w:tcBorders>
            <w:shd w:val="clear" w:color="auto" w:fill="auto"/>
            <w:noWrap/>
            <w:vAlign w:val="center"/>
          </w:tcPr>
          <w:p w14:paraId="6EC8E97F">
            <w:pPr>
              <w:widowControl/>
              <w:jc w:val="center"/>
              <w:rPr>
                <w:sz w:val="15"/>
                <w:szCs w:val="15"/>
                <w:highlight w:val="none"/>
              </w:rPr>
            </w:pPr>
            <w:r>
              <w:rPr>
                <w:sz w:val="15"/>
                <w:szCs w:val="15"/>
                <w:highlight w:val="none"/>
              </w:rPr>
              <w:t>9.5</w:t>
            </w:r>
          </w:p>
        </w:tc>
        <w:tc>
          <w:tcPr>
            <w:tcW w:w="361" w:type="pct"/>
            <w:tcBorders>
              <w:top w:val="nil"/>
              <w:left w:val="nil"/>
              <w:bottom w:val="single" w:color="auto" w:sz="4" w:space="0"/>
              <w:right w:val="single" w:color="auto" w:sz="4" w:space="0"/>
            </w:tcBorders>
            <w:shd w:val="clear" w:color="auto" w:fill="auto"/>
            <w:noWrap/>
            <w:vAlign w:val="center"/>
          </w:tcPr>
          <w:p w14:paraId="2CB2A9F8">
            <w:pPr>
              <w:widowControl/>
              <w:jc w:val="center"/>
              <w:rPr>
                <w:sz w:val="15"/>
                <w:szCs w:val="15"/>
                <w:highlight w:val="none"/>
              </w:rPr>
            </w:pPr>
            <w:r>
              <w:rPr>
                <w:sz w:val="15"/>
                <w:szCs w:val="15"/>
                <w:highlight w:val="none"/>
              </w:rPr>
              <w:t>0.08</w:t>
            </w:r>
          </w:p>
        </w:tc>
        <w:tc>
          <w:tcPr>
            <w:tcW w:w="361" w:type="pct"/>
            <w:tcBorders>
              <w:top w:val="nil"/>
              <w:left w:val="nil"/>
              <w:bottom w:val="single" w:color="auto" w:sz="4" w:space="0"/>
              <w:right w:val="single" w:color="auto" w:sz="4" w:space="0"/>
            </w:tcBorders>
            <w:shd w:val="clear" w:color="auto" w:fill="auto"/>
            <w:noWrap/>
            <w:vAlign w:val="center"/>
          </w:tcPr>
          <w:p w14:paraId="5D2F5A3F">
            <w:pPr>
              <w:widowControl/>
              <w:jc w:val="center"/>
              <w:rPr>
                <w:sz w:val="15"/>
                <w:szCs w:val="15"/>
                <w:highlight w:val="none"/>
              </w:rPr>
            </w:pPr>
            <w:r>
              <w:rPr>
                <w:sz w:val="15"/>
                <w:szCs w:val="15"/>
                <w:highlight w:val="none"/>
              </w:rPr>
              <w:t>260.92</w:t>
            </w:r>
          </w:p>
        </w:tc>
        <w:tc>
          <w:tcPr>
            <w:tcW w:w="453" w:type="pct"/>
            <w:tcBorders>
              <w:top w:val="nil"/>
              <w:left w:val="nil"/>
              <w:bottom w:val="single" w:color="auto" w:sz="4" w:space="0"/>
              <w:right w:val="single" w:color="auto" w:sz="4" w:space="0"/>
            </w:tcBorders>
            <w:shd w:val="clear" w:color="auto" w:fill="auto"/>
            <w:noWrap/>
            <w:vAlign w:val="center"/>
          </w:tcPr>
          <w:p w14:paraId="7CA603D7">
            <w:pPr>
              <w:widowControl/>
              <w:jc w:val="center"/>
              <w:rPr>
                <w:sz w:val="15"/>
                <w:szCs w:val="15"/>
                <w:highlight w:val="none"/>
              </w:rPr>
            </w:pPr>
            <w:r>
              <w:rPr>
                <w:sz w:val="15"/>
                <w:szCs w:val="15"/>
                <w:highlight w:val="none"/>
              </w:rPr>
              <w:t>4.71</w:t>
            </w:r>
          </w:p>
        </w:tc>
        <w:tc>
          <w:tcPr>
            <w:tcW w:w="453" w:type="pct"/>
            <w:tcBorders>
              <w:top w:val="nil"/>
              <w:left w:val="nil"/>
              <w:bottom w:val="single" w:color="auto" w:sz="4" w:space="0"/>
              <w:right w:val="single" w:color="auto" w:sz="4" w:space="0"/>
            </w:tcBorders>
            <w:shd w:val="clear" w:color="auto" w:fill="auto"/>
            <w:noWrap/>
            <w:vAlign w:val="center"/>
          </w:tcPr>
          <w:p w14:paraId="07EE50F6">
            <w:pPr>
              <w:widowControl/>
              <w:jc w:val="center"/>
              <w:rPr>
                <w:sz w:val="15"/>
                <w:szCs w:val="15"/>
                <w:highlight w:val="none"/>
              </w:rPr>
            </w:pPr>
            <w:r>
              <w:rPr>
                <w:sz w:val="15"/>
                <w:szCs w:val="15"/>
                <w:highlight w:val="none"/>
              </w:rPr>
              <w:t>2.14</w:t>
            </w:r>
          </w:p>
        </w:tc>
        <w:tc>
          <w:tcPr>
            <w:tcW w:w="361" w:type="pct"/>
            <w:tcBorders>
              <w:top w:val="nil"/>
              <w:left w:val="nil"/>
              <w:bottom w:val="single" w:color="auto" w:sz="4" w:space="0"/>
              <w:right w:val="single" w:color="auto" w:sz="4" w:space="0"/>
            </w:tcBorders>
            <w:shd w:val="clear" w:color="auto" w:fill="auto"/>
            <w:noWrap/>
            <w:vAlign w:val="center"/>
          </w:tcPr>
          <w:p w14:paraId="5CA49899">
            <w:pPr>
              <w:widowControl/>
              <w:jc w:val="center"/>
              <w:rPr>
                <w:sz w:val="15"/>
                <w:szCs w:val="15"/>
                <w:highlight w:val="none"/>
              </w:rPr>
            </w:pPr>
            <w:r>
              <w:rPr>
                <w:sz w:val="15"/>
                <w:szCs w:val="15"/>
                <w:highlight w:val="none"/>
              </w:rPr>
              <w:t>0.30</w:t>
            </w:r>
          </w:p>
        </w:tc>
        <w:tc>
          <w:tcPr>
            <w:tcW w:w="36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17F1E5E">
            <w:pPr>
              <w:widowControl/>
              <w:jc w:val="center"/>
              <w:rPr>
                <w:sz w:val="15"/>
                <w:szCs w:val="15"/>
                <w:highlight w:val="none"/>
              </w:rPr>
            </w:pPr>
            <w:r>
              <w:rPr>
                <w:sz w:val="15"/>
                <w:szCs w:val="15"/>
                <w:highlight w:val="none"/>
              </w:rPr>
              <w:t>0.56</w:t>
            </w:r>
          </w:p>
        </w:tc>
        <w:tc>
          <w:tcPr>
            <w:tcW w:w="361" w:type="pct"/>
            <w:tcBorders>
              <w:top w:val="nil"/>
              <w:left w:val="nil"/>
              <w:bottom w:val="single" w:color="auto" w:sz="4" w:space="0"/>
              <w:right w:val="single" w:color="auto" w:sz="4" w:space="0"/>
            </w:tcBorders>
            <w:shd w:val="clear" w:color="auto" w:fill="auto"/>
            <w:noWrap/>
            <w:vAlign w:val="center"/>
          </w:tcPr>
          <w:p w14:paraId="74BCCE7E">
            <w:pPr>
              <w:widowControl/>
              <w:jc w:val="center"/>
              <w:rPr>
                <w:sz w:val="15"/>
                <w:szCs w:val="15"/>
                <w:highlight w:val="none"/>
              </w:rPr>
            </w:pPr>
            <w:r>
              <w:rPr>
                <w:sz w:val="15"/>
                <w:szCs w:val="15"/>
                <w:highlight w:val="none"/>
              </w:rPr>
              <w:t>/</w:t>
            </w:r>
          </w:p>
        </w:tc>
      </w:tr>
      <w:tr w14:paraId="3606E87A">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6D55FC99">
            <w:pPr>
              <w:widowControl/>
              <w:jc w:val="center"/>
              <w:rPr>
                <w:sz w:val="15"/>
                <w:szCs w:val="15"/>
                <w:highlight w:val="none"/>
              </w:rPr>
            </w:pPr>
            <w:r>
              <w:rPr>
                <w:sz w:val="15"/>
                <w:szCs w:val="15"/>
                <w:highlight w:val="none"/>
              </w:rPr>
              <w:t>2025.08.21</w:t>
            </w:r>
          </w:p>
        </w:tc>
        <w:tc>
          <w:tcPr>
            <w:tcW w:w="306" w:type="pct"/>
            <w:tcBorders>
              <w:top w:val="nil"/>
              <w:left w:val="nil"/>
              <w:bottom w:val="single" w:color="auto" w:sz="4" w:space="0"/>
              <w:right w:val="single" w:color="auto" w:sz="4" w:space="0"/>
            </w:tcBorders>
            <w:shd w:val="clear" w:color="auto" w:fill="auto"/>
            <w:noWrap/>
            <w:vAlign w:val="center"/>
          </w:tcPr>
          <w:p w14:paraId="16C87D02">
            <w:pPr>
              <w:widowControl/>
              <w:jc w:val="center"/>
              <w:rPr>
                <w:sz w:val="15"/>
                <w:szCs w:val="15"/>
                <w:highlight w:val="none"/>
              </w:rPr>
            </w:pPr>
            <w:r>
              <w:rPr>
                <w:sz w:val="15"/>
                <w:szCs w:val="15"/>
                <w:highlight w:val="none"/>
              </w:rPr>
              <w:t>10:59</w:t>
            </w:r>
          </w:p>
        </w:tc>
        <w:tc>
          <w:tcPr>
            <w:tcW w:w="368" w:type="pct"/>
            <w:tcBorders>
              <w:top w:val="nil"/>
              <w:left w:val="nil"/>
              <w:bottom w:val="single" w:color="auto" w:sz="4" w:space="0"/>
              <w:right w:val="single" w:color="auto" w:sz="4" w:space="0"/>
            </w:tcBorders>
            <w:shd w:val="clear" w:color="auto" w:fill="auto"/>
            <w:noWrap/>
            <w:vAlign w:val="center"/>
          </w:tcPr>
          <w:p w14:paraId="24708048">
            <w:pPr>
              <w:widowControl/>
              <w:jc w:val="center"/>
              <w:rPr>
                <w:sz w:val="15"/>
                <w:szCs w:val="15"/>
                <w:highlight w:val="none"/>
              </w:rPr>
            </w:pPr>
            <w:r>
              <w:rPr>
                <w:sz w:val="15"/>
                <w:szCs w:val="15"/>
                <w:highlight w:val="none"/>
              </w:rPr>
              <w:t>6.60</w:t>
            </w:r>
          </w:p>
        </w:tc>
        <w:tc>
          <w:tcPr>
            <w:tcW w:w="348" w:type="pct"/>
            <w:tcBorders>
              <w:top w:val="nil"/>
              <w:left w:val="nil"/>
              <w:bottom w:val="single" w:color="auto" w:sz="4" w:space="0"/>
              <w:right w:val="single" w:color="auto" w:sz="4" w:space="0"/>
            </w:tcBorders>
            <w:shd w:val="clear" w:color="auto" w:fill="auto"/>
            <w:noWrap/>
            <w:vAlign w:val="center"/>
          </w:tcPr>
          <w:p w14:paraId="0AF619BC">
            <w:pPr>
              <w:widowControl/>
              <w:jc w:val="center"/>
              <w:rPr>
                <w:sz w:val="15"/>
                <w:szCs w:val="15"/>
                <w:highlight w:val="none"/>
              </w:rPr>
            </w:pPr>
            <w:r>
              <w:rPr>
                <w:sz w:val="15"/>
                <w:szCs w:val="15"/>
                <w:highlight w:val="none"/>
              </w:rPr>
              <w:t>1.72</w:t>
            </w:r>
          </w:p>
        </w:tc>
        <w:tc>
          <w:tcPr>
            <w:tcW w:w="393" w:type="pct"/>
            <w:tcBorders>
              <w:top w:val="nil"/>
              <w:left w:val="nil"/>
              <w:bottom w:val="single" w:color="auto" w:sz="4" w:space="0"/>
              <w:right w:val="single" w:color="auto" w:sz="4" w:space="0"/>
            </w:tcBorders>
            <w:shd w:val="clear" w:color="auto" w:fill="auto"/>
            <w:noWrap/>
            <w:vAlign w:val="center"/>
          </w:tcPr>
          <w:p w14:paraId="1E45F107">
            <w:pPr>
              <w:widowControl/>
              <w:jc w:val="center"/>
              <w:rPr>
                <w:sz w:val="15"/>
                <w:szCs w:val="15"/>
                <w:highlight w:val="none"/>
              </w:rPr>
            </w:pPr>
            <w:r>
              <w:rPr>
                <w:sz w:val="15"/>
                <w:szCs w:val="15"/>
                <w:highlight w:val="none"/>
              </w:rPr>
              <w:t>1683</w:t>
            </w:r>
          </w:p>
        </w:tc>
        <w:tc>
          <w:tcPr>
            <w:tcW w:w="375" w:type="pct"/>
            <w:tcBorders>
              <w:top w:val="nil"/>
              <w:left w:val="nil"/>
              <w:bottom w:val="single" w:color="auto" w:sz="4" w:space="0"/>
              <w:right w:val="single" w:color="auto" w:sz="4" w:space="0"/>
            </w:tcBorders>
            <w:shd w:val="clear" w:color="auto" w:fill="auto"/>
            <w:noWrap/>
            <w:vAlign w:val="center"/>
          </w:tcPr>
          <w:p w14:paraId="7C3C6811">
            <w:pPr>
              <w:widowControl/>
              <w:jc w:val="center"/>
              <w:rPr>
                <w:sz w:val="15"/>
                <w:szCs w:val="15"/>
                <w:highlight w:val="none"/>
              </w:rPr>
            </w:pPr>
            <w:r>
              <w:rPr>
                <w:sz w:val="15"/>
                <w:szCs w:val="15"/>
                <w:highlight w:val="none"/>
              </w:rPr>
              <w:t>5.4</w:t>
            </w:r>
          </w:p>
        </w:tc>
        <w:tc>
          <w:tcPr>
            <w:tcW w:w="361" w:type="pct"/>
            <w:tcBorders>
              <w:top w:val="nil"/>
              <w:left w:val="nil"/>
              <w:bottom w:val="single" w:color="auto" w:sz="4" w:space="0"/>
              <w:right w:val="single" w:color="auto" w:sz="4" w:space="0"/>
            </w:tcBorders>
            <w:shd w:val="clear" w:color="auto" w:fill="auto"/>
            <w:noWrap/>
            <w:vAlign w:val="center"/>
          </w:tcPr>
          <w:p w14:paraId="34713BCD">
            <w:pPr>
              <w:widowControl/>
              <w:jc w:val="center"/>
              <w:rPr>
                <w:sz w:val="15"/>
                <w:szCs w:val="15"/>
                <w:highlight w:val="none"/>
              </w:rPr>
            </w:pPr>
            <w:r>
              <w:rPr>
                <w:sz w:val="15"/>
                <w:szCs w:val="15"/>
                <w:highlight w:val="none"/>
              </w:rPr>
              <w:t>0.16</w:t>
            </w:r>
          </w:p>
        </w:tc>
        <w:tc>
          <w:tcPr>
            <w:tcW w:w="361" w:type="pct"/>
            <w:tcBorders>
              <w:top w:val="nil"/>
              <w:left w:val="nil"/>
              <w:bottom w:val="single" w:color="auto" w:sz="4" w:space="0"/>
              <w:right w:val="single" w:color="auto" w:sz="4" w:space="0"/>
            </w:tcBorders>
            <w:shd w:val="clear" w:color="auto" w:fill="auto"/>
            <w:noWrap/>
            <w:vAlign w:val="center"/>
          </w:tcPr>
          <w:p w14:paraId="77100967">
            <w:pPr>
              <w:widowControl/>
              <w:jc w:val="center"/>
              <w:rPr>
                <w:sz w:val="15"/>
                <w:szCs w:val="15"/>
                <w:highlight w:val="none"/>
              </w:rPr>
            </w:pPr>
            <w:r>
              <w:rPr>
                <w:sz w:val="15"/>
                <w:szCs w:val="15"/>
                <w:highlight w:val="none"/>
              </w:rPr>
              <w:t>264.06</w:t>
            </w:r>
          </w:p>
        </w:tc>
        <w:tc>
          <w:tcPr>
            <w:tcW w:w="453" w:type="pct"/>
            <w:tcBorders>
              <w:top w:val="nil"/>
              <w:left w:val="nil"/>
              <w:bottom w:val="single" w:color="auto" w:sz="4" w:space="0"/>
              <w:right w:val="single" w:color="auto" w:sz="4" w:space="0"/>
            </w:tcBorders>
            <w:shd w:val="clear" w:color="auto" w:fill="auto"/>
            <w:noWrap/>
            <w:vAlign w:val="center"/>
          </w:tcPr>
          <w:p w14:paraId="3D459DC5">
            <w:pPr>
              <w:widowControl/>
              <w:jc w:val="center"/>
              <w:rPr>
                <w:sz w:val="15"/>
                <w:szCs w:val="15"/>
                <w:highlight w:val="none"/>
              </w:rPr>
            </w:pPr>
            <w:r>
              <w:rPr>
                <w:sz w:val="15"/>
                <w:szCs w:val="15"/>
                <w:highlight w:val="none"/>
              </w:rPr>
              <w:t>4.91</w:t>
            </w:r>
          </w:p>
        </w:tc>
        <w:tc>
          <w:tcPr>
            <w:tcW w:w="453" w:type="pct"/>
            <w:tcBorders>
              <w:top w:val="nil"/>
              <w:left w:val="nil"/>
              <w:bottom w:val="single" w:color="auto" w:sz="4" w:space="0"/>
              <w:right w:val="single" w:color="auto" w:sz="4" w:space="0"/>
            </w:tcBorders>
            <w:shd w:val="clear" w:color="auto" w:fill="auto"/>
            <w:noWrap/>
            <w:vAlign w:val="center"/>
          </w:tcPr>
          <w:p w14:paraId="32C25107">
            <w:pPr>
              <w:widowControl/>
              <w:jc w:val="center"/>
              <w:rPr>
                <w:sz w:val="15"/>
                <w:szCs w:val="15"/>
                <w:highlight w:val="none"/>
              </w:rPr>
            </w:pPr>
            <w:r>
              <w:rPr>
                <w:sz w:val="15"/>
                <w:szCs w:val="15"/>
                <w:highlight w:val="none"/>
              </w:rPr>
              <w:t>2.40</w:t>
            </w:r>
          </w:p>
        </w:tc>
        <w:tc>
          <w:tcPr>
            <w:tcW w:w="361" w:type="pct"/>
            <w:tcBorders>
              <w:top w:val="nil"/>
              <w:left w:val="nil"/>
              <w:bottom w:val="single" w:color="auto" w:sz="4" w:space="0"/>
              <w:right w:val="single" w:color="auto" w:sz="4" w:space="0"/>
            </w:tcBorders>
            <w:shd w:val="clear" w:color="auto" w:fill="auto"/>
            <w:noWrap/>
            <w:vAlign w:val="center"/>
          </w:tcPr>
          <w:p w14:paraId="63AB57CD">
            <w:pPr>
              <w:widowControl/>
              <w:jc w:val="center"/>
              <w:rPr>
                <w:sz w:val="15"/>
                <w:szCs w:val="15"/>
                <w:highlight w:val="none"/>
              </w:rPr>
            </w:pPr>
            <w:r>
              <w:rPr>
                <w:sz w:val="15"/>
                <w:szCs w:val="15"/>
                <w:highlight w:val="none"/>
              </w:rPr>
              <w:t xml:space="preserve">0.10 </w:t>
            </w:r>
          </w:p>
        </w:tc>
        <w:tc>
          <w:tcPr>
            <w:tcW w:w="36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F5440A5">
            <w:pPr>
              <w:widowControl/>
              <w:jc w:val="center"/>
              <w:rPr>
                <w:sz w:val="15"/>
                <w:szCs w:val="15"/>
                <w:highlight w:val="none"/>
              </w:rPr>
            </w:pPr>
            <w:r>
              <w:rPr>
                <w:sz w:val="15"/>
                <w:szCs w:val="15"/>
                <w:highlight w:val="none"/>
              </w:rPr>
              <w:t>0.75</w:t>
            </w:r>
          </w:p>
        </w:tc>
        <w:tc>
          <w:tcPr>
            <w:tcW w:w="361" w:type="pct"/>
            <w:tcBorders>
              <w:top w:val="nil"/>
              <w:left w:val="nil"/>
              <w:bottom w:val="single" w:color="auto" w:sz="4" w:space="0"/>
              <w:right w:val="single" w:color="auto" w:sz="4" w:space="0"/>
            </w:tcBorders>
            <w:shd w:val="clear" w:color="auto" w:fill="auto"/>
            <w:noWrap/>
            <w:vAlign w:val="center"/>
          </w:tcPr>
          <w:p w14:paraId="1E40C65F">
            <w:pPr>
              <w:widowControl/>
              <w:jc w:val="center"/>
              <w:rPr>
                <w:sz w:val="15"/>
                <w:szCs w:val="15"/>
                <w:highlight w:val="none"/>
              </w:rPr>
            </w:pPr>
            <w:r>
              <w:rPr>
                <w:sz w:val="15"/>
                <w:szCs w:val="15"/>
                <w:highlight w:val="none"/>
              </w:rPr>
              <w:t>/</w:t>
            </w:r>
          </w:p>
        </w:tc>
      </w:tr>
      <w:tr w14:paraId="350800A3">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4211727A">
            <w:pPr>
              <w:widowControl/>
              <w:jc w:val="center"/>
              <w:rPr>
                <w:sz w:val="15"/>
                <w:szCs w:val="15"/>
                <w:highlight w:val="none"/>
              </w:rPr>
            </w:pPr>
            <w:r>
              <w:rPr>
                <w:sz w:val="15"/>
                <w:szCs w:val="15"/>
                <w:highlight w:val="none"/>
              </w:rPr>
              <w:t>2025.08.28</w:t>
            </w:r>
          </w:p>
        </w:tc>
        <w:tc>
          <w:tcPr>
            <w:tcW w:w="306" w:type="pct"/>
            <w:tcBorders>
              <w:top w:val="nil"/>
              <w:left w:val="nil"/>
              <w:bottom w:val="single" w:color="auto" w:sz="4" w:space="0"/>
              <w:right w:val="single" w:color="auto" w:sz="4" w:space="0"/>
            </w:tcBorders>
            <w:shd w:val="clear" w:color="auto" w:fill="auto"/>
            <w:noWrap/>
            <w:vAlign w:val="center"/>
          </w:tcPr>
          <w:p w14:paraId="32618A36">
            <w:pPr>
              <w:widowControl/>
              <w:jc w:val="center"/>
              <w:rPr>
                <w:sz w:val="15"/>
                <w:szCs w:val="15"/>
                <w:highlight w:val="none"/>
              </w:rPr>
            </w:pPr>
            <w:r>
              <w:rPr>
                <w:sz w:val="15"/>
                <w:szCs w:val="15"/>
                <w:highlight w:val="none"/>
              </w:rPr>
              <w:t>10:20</w:t>
            </w:r>
          </w:p>
        </w:tc>
        <w:tc>
          <w:tcPr>
            <w:tcW w:w="368" w:type="pct"/>
            <w:tcBorders>
              <w:top w:val="nil"/>
              <w:left w:val="nil"/>
              <w:bottom w:val="single" w:color="auto" w:sz="4" w:space="0"/>
              <w:right w:val="single" w:color="auto" w:sz="4" w:space="0"/>
            </w:tcBorders>
            <w:shd w:val="clear" w:color="auto" w:fill="auto"/>
            <w:noWrap/>
            <w:vAlign w:val="center"/>
          </w:tcPr>
          <w:p w14:paraId="630015ED">
            <w:pPr>
              <w:widowControl/>
              <w:jc w:val="center"/>
              <w:rPr>
                <w:sz w:val="15"/>
                <w:szCs w:val="15"/>
                <w:highlight w:val="none"/>
              </w:rPr>
            </w:pPr>
            <w:r>
              <w:rPr>
                <w:sz w:val="15"/>
                <w:szCs w:val="15"/>
                <w:highlight w:val="none"/>
              </w:rPr>
              <w:t>6.67</w:t>
            </w:r>
          </w:p>
        </w:tc>
        <w:tc>
          <w:tcPr>
            <w:tcW w:w="348" w:type="pct"/>
            <w:tcBorders>
              <w:top w:val="nil"/>
              <w:left w:val="nil"/>
              <w:bottom w:val="single" w:color="auto" w:sz="4" w:space="0"/>
              <w:right w:val="single" w:color="auto" w:sz="4" w:space="0"/>
            </w:tcBorders>
            <w:shd w:val="clear" w:color="auto" w:fill="auto"/>
            <w:noWrap/>
            <w:vAlign w:val="center"/>
          </w:tcPr>
          <w:p w14:paraId="15561CE9">
            <w:pPr>
              <w:widowControl/>
              <w:jc w:val="center"/>
              <w:rPr>
                <w:sz w:val="15"/>
                <w:szCs w:val="15"/>
                <w:highlight w:val="none"/>
              </w:rPr>
            </w:pPr>
            <w:r>
              <w:rPr>
                <w:sz w:val="15"/>
                <w:szCs w:val="15"/>
                <w:highlight w:val="none"/>
              </w:rPr>
              <w:t>1.39</w:t>
            </w:r>
          </w:p>
        </w:tc>
        <w:tc>
          <w:tcPr>
            <w:tcW w:w="393" w:type="pct"/>
            <w:tcBorders>
              <w:top w:val="nil"/>
              <w:left w:val="nil"/>
              <w:bottom w:val="single" w:color="auto" w:sz="4" w:space="0"/>
              <w:right w:val="single" w:color="auto" w:sz="4" w:space="0"/>
            </w:tcBorders>
            <w:shd w:val="clear" w:color="auto" w:fill="auto"/>
            <w:noWrap/>
            <w:vAlign w:val="center"/>
          </w:tcPr>
          <w:p w14:paraId="239FDB22">
            <w:pPr>
              <w:widowControl/>
              <w:jc w:val="center"/>
              <w:rPr>
                <w:sz w:val="15"/>
                <w:szCs w:val="15"/>
                <w:highlight w:val="none"/>
              </w:rPr>
            </w:pPr>
            <w:r>
              <w:rPr>
                <w:sz w:val="15"/>
                <w:szCs w:val="15"/>
                <w:highlight w:val="none"/>
              </w:rPr>
              <w:t>1699</w:t>
            </w:r>
          </w:p>
        </w:tc>
        <w:tc>
          <w:tcPr>
            <w:tcW w:w="375" w:type="pct"/>
            <w:tcBorders>
              <w:top w:val="nil"/>
              <w:left w:val="nil"/>
              <w:bottom w:val="single" w:color="auto" w:sz="4" w:space="0"/>
              <w:right w:val="single" w:color="auto" w:sz="4" w:space="0"/>
            </w:tcBorders>
            <w:shd w:val="clear" w:color="auto" w:fill="auto"/>
            <w:noWrap/>
            <w:vAlign w:val="center"/>
          </w:tcPr>
          <w:p w14:paraId="46A65B94">
            <w:pPr>
              <w:widowControl/>
              <w:jc w:val="center"/>
              <w:rPr>
                <w:sz w:val="15"/>
                <w:szCs w:val="15"/>
                <w:highlight w:val="none"/>
              </w:rPr>
            </w:pPr>
            <w:r>
              <w:rPr>
                <w:sz w:val="15"/>
                <w:szCs w:val="15"/>
                <w:highlight w:val="none"/>
              </w:rPr>
              <w:t>6.3</w:t>
            </w:r>
          </w:p>
        </w:tc>
        <w:tc>
          <w:tcPr>
            <w:tcW w:w="361" w:type="pct"/>
            <w:tcBorders>
              <w:top w:val="nil"/>
              <w:left w:val="nil"/>
              <w:bottom w:val="single" w:color="auto" w:sz="4" w:space="0"/>
              <w:right w:val="single" w:color="auto" w:sz="4" w:space="0"/>
            </w:tcBorders>
            <w:shd w:val="clear" w:color="auto" w:fill="auto"/>
            <w:noWrap/>
            <w:vAlign w:val="center"/>
          </w:tcPr>
          <w:p w14:paraId="77140764">
            <w:pPr>
              <w:widowControl/>
              <w:jc w:val="center"/>
              <w:rPr>
                <w:sz w:val="15"/>
                <w:szCs w:val="15"/>
                <w:highlight w:val="none"/>
              </w:rPr>
            </w:pPr>
            <w:r>
              <w:rPr>
                <w:sz w:val="15"/>
                <w:szCs w:val="15"/>
                <w:highlight w:val="none"/>
              </w:rPr>
              <w:t>0.25</w:t>
            </w:r>
          </w:p>
        </w:tc>
        <w:tc>
          <w:tcPr>
            <w:tcW w:w="361" w:type="pct"/>
            <w:tcBorders>
              <w:top w:val="nil"/>
              <w:left w:val="nil"/>
              <w:bottom w:val="single" w:color="auto" w:sz="4" w:space="0"/>
              <w:right w:val="single" w:color="auto" w:sz="4" w:space="0"/>
            </w:tcBorders>
            <w:shd w:val="clear" w:color="auto" w:fill="auto"/>
            <w:noWrap/>
            <w:vAlign w:val="center"/>
          </w:tcPr>
          <w:p w14:paraId="566C843C">
            <w:pPr>
              <w:widowControl/>
              <w:jc w:val="center"/>
              <w:rPr>
                <w:sz w:val="15"/>
                <w:szCs w:val="15"/>
                <w:highlight w:val="none"/>
              </w:rPr>
            </w:pPr>
            <w:r>
              <w:rPr>
                <w:sz w:val="15"/>
                <w:szCs w:val="15"/>
                <w:highlight w:val="none"/>
              </w:rPr>
              <w:t>248.34</w:t>
            </w:r>
          </w:p>
        </w:tc>
        <w:tc>
          <w:tcPr>
            <w:tcW w:w="453" w:type="pct"/>
            <w:tcBorders>
              <w:top w:val="nil"/>
              <w:left w:val="nil"/>
              <w:bottom w:val="single" w:color="auto" w:sz="4" w:space="0"/>
              <w:right w:val="single" w:color="auto" w:sz="4" w:space="0"/>
            </w:tcBorders>
            <w:shd w:val="clear" w:color="auto" w:fill="auto"/>
            <w:noWrap/>
            <w:vAlign w:val="center"/>
          </w:tcPr>
          <w:p w14:paraId="1C19C3D9">
            <w:pPr>
              <w:widowControl/>
              <w:jc w:val="center"/>
              <w:rPr>
                <w:sz w:val="15"/>
                <w:szCs w:val="15"/>
                <w:highlight w:val="none"/>
              </w:rPr>
            </w:pPr>
            <w:r>
              <w:rPr>
                <w:sz w:val="15"/>
                <w:szCs w:val="15"/>
                <w:highlight w:val="none"/>
              </w:rPr>
              <w:t>5.19</w:t>
            </w:r>
          </w:p>
        </w:tc>
        <w:tc>
          <w:tcPr>
            <w:tcW w:w="453" w:type="pct"/>
            <w:tcBorders>
              <w:top w:val="nil"/>
              <w:left w:val="nil"/>
              <w:bottom w:val="single" w:color="auto" w:sz="4" w:space="0"/>
              <w:right w:val="single" w:color="auto" w:sz="4" w:space="0"/>
            </w:tcBorders>
            <w:shd w:val="clear" w:color="auto" w:fill="auto"/>
            <w:noWrap/>
            <w:vAlign w:val="center"/>
          </w:tcPr>
          <w:p w14:paraId="237B0B57">
            <w:pPr>
              <w:widowControl/>
              <w:jc w:val="center"/>
              <w:rPr>
                <w:sz w:val="15"/>
                <w:szCs w:val="15"/>
                <w:highlight w:val="none"/>
              </w:rPr>
            </w:pPr>
            <w:r>
              <w:rPr>
                <w:sz w:val="15"/>
                <w:szCs w:val="15"/>
                <w:highlight w:val="none"/>
              </w:rPr>
              <w:t>2.50</w:t>
            </w:r>
          </w:p>
        </w:tc>
        <w:tc>
          <w:tcPr>
            <w:tcW w:w="361" w:type="pct"/>
            <w:tcBorders>
              <w:top w:val="nil"/>
              <w:left w:val="nil"/>
              <w:bottom w:val="single" w:color="auto" w:sz="4" w:space="0"/>
              <w:right w:val="single" w:color="auto" w:sz="4" w:space="0"/>
            </w:tcBorders>
            <w:shd w:val="clear" w:color="auto" w:fill="auto"/>
            <w:noWrap/>
            <w:vAlign w:val="center"/>
          </w:tcPr>
          <w:p w14:paraId="426EC23A">
            <w:pPr>
              <w:widowControl/>
              <w:jc w:val="center"/>
              <w:rPr>
                <w:sz w:val="15"/>
                <w:szCs w:val="15"/>
                <w:highlight w:val="none"/>
              </w:rPr>
            </w:pPr>
            <w:r>
              <w:rPr>
                <w:sz w:val="15"/>
                <w:szCs w:val="15"/>
                <w:highlight w:val="none"/>
              </w:rPr>
              <w:t>0.20</w:t>
            </w:r>
          </w:p>
        </w:tc>
        <w:tc>
          <w:tcPr>
            <w:tcW w:w="36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E1DF8B3">
            <w:pPr>
              <w:widowControl/>
              <w:jc w:val="center"/>
              <w:rPr>
                <w:sz w:val="15"/>
                <w:szCs w:val="15"/>
                <w:highlight w:val="none"/>
              </w:rPr>
            </w:pPr>
            <w:r>
              <w:rPr>
                <w:sz w:val="15"/>
                <w:szCs w:val="15"/>
                <w:highlight w:val="none"/>
              </w:rPr>
              <w:t>0.61</w:t>
            </w:r>
          </w:p>
        </w:tc>
        <w:tc>
          <w:tcPr>
            <w:tcW w:w="361" w:type="pct"/>
            <w:tcBorders>
              <w:top w:val="nil"/>
              <w:left w:val="nil"/>
              <w:bottom w:val="single" w:color="auto" w:sz="4" w:space="0"/>
              <w:right w:val="single" w:color="auto" w:sz="4" w:space="0"/>
            </w:tcBorders>
            <w:shd w:val="clear" w:color="auto" w:fill="auto"/>
            <w:noWrap/>
            <w:vAlign w:val="center"/>
          </w:tcPr>
          <w:p w14:paraId="4EDAA565">
            <w:pPr>
              <w:widowControl/>
              <w:jc w:val="center"/>
              <w:rPr>
                <w:sz w:val="15"/>
                <w:szCs w:val="15"/>
                <w:highlight w:val="none"/>
              </w:rPr>
            </w:pPr>
            <w:r>
              <w:rPr>
                <w:sz w:val="15"/>
                <w:szCs w:val="15"/>
                <w:highlight w:val="none"/>
              </w:rPr>
              <w:t>0.02</w:t>
            </w:r>
          </w:p>
        </w:tc>
      </w:tr>
      <w:tr w14:paraId="04D8D3E5">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0F0D4B1A">
            <w:pPr>
              <w:widowControl/>
              <w:jc w:val="center"/>
              <w:rPr>
                <w:sz w:val="15"/>
                <w:szCs w:val="15"/>
                <w:highlight w:val="none"/>
              </w:rPr>
            </w:pPr>
            <w:r>
              <w:rPr>
                <w:sz w:val="15"/>
                <w:szCs w:val="15"/>
                <w:highlight w:val="none"/>
              </w:rPr>
              <w:t>2025.09.04</w:t>
            </w:r>
          </w:p>
        </w:tc>
        <w:tc>
          <w:tcPr>
            <w:tcW w:w="306" w:type="pct"/>
            <w:tcBorders>
              <w:top w:val="nil"/>
              <w:left w:val="nil"/>
              <w:bottom w:val="single" w:color="auto" w:sz="4" w:space="0"/>
              <w:right w:val="single" w:color="auto" w:sz="4" w:space="0"/>
            </w:tcBorders>
            <w:shd w:val="clear" w:color="auto" w:fill="auto"/>
            <w:noWrap/>
            <w:vAlign w:val="center"/>
          </w:tcPr>
          <w:p w14:paraId="0C06EEC7">
            <w:pPr>
              <w:widowControl/>
              <w:jc w:val="center"/>
              <w:rPr>
                <w:sz w:val="15"/>
                <w:szCs w:val="15"/>
                <w:highlight w:val="none"/>
              </w:rPr>
            </w:pPr>
            <w:r>
              <w:rPr>
                <w:sz w:val="15"/>
                <w:szCs w:val="15"/>
                <w:highlight w:val="none"/>
              </w:rPr>
              <w:t>10:56</w:t>
            </w:r>
          </w:p>
        </w:tc>
        <w:tc>
          <w:tcPr>
            <w:tcW w:w="368" w:type="pct"/>
            <w:tcBorders>
              <w:top w:val="nil"/>
              <w:left w:val="nil"/>
              <w:bottom w:val="single" w:color="auto" w:sz="4" w:space="0"/>
              <w:right w:val="single" w:color="auto" w:sz="4" w:space="0"/>
            </w:tcBorders>
            <w:shd w:val="clear" w:color="auto" w:fill="auto"/>
            <w:noWrap/>
            <w:vAlign w:val="center"/>
          </w:tcPr>
          <w:p w14:paraId="010302F7">
            <w:pPr>
              <w:widowControl/>
              <w:jc w:val="center"/>
              <w:rPr>
                <w:sz w:val="15"/>
                <w:szCs w:val="15"/>
                <w:highlight w:val="none"/>
              </w:rPr>
            </w:pPr>
            <w:r>
              <w:rPr>
                <w:sz w:val="15"/>
                <w:szCs w:val="15"/>
                <w:highlight w:val="none"/>
              </w:rPr>
              <w:t>7.49</w:t>
            </w:r>
          </w:p>
        </w:tc>
        <w:tc>
          <w:tcPr>
            <w:tcW w:w="348" w:type="pct"/>
            <w:tcBorders>
              <w:top w:val="nil"/>
              <w:left w:val="nil"/>
              <w:bottom w:val="single" w:color="auto" w:sz="4" w:space="0"/>
              <w:right w:val="single" w:color="auto" w:sz="4" w:space="0"/>
            </w:tcBorders>
            <w:shd w:val="clear" w:color="auto" w:fill="auto"/>
            <w:noWrap/>
            <w:vAlign w:val="center"/>
          </w:tcPr>
          <w:p w14:paraId="6B9579D2">
            <w:pPr>
              <w:widowControl/>
              <w:jc w:val="center"/>
              <w:rPr>
                <w:sz w:val="15"/>
                <w:szCs w:val="15"/>
                <w:highlight w:val="none"/>
              </w:rPr>
            </w:pPr>
            <w:r>
              <w:rPr>
                <w:sz w:val="15"/>
                <w:szCs w:val="15"/>
                <w:highlight w:val="none"/>
              </w:rPr>
              <w:t>1.23</w:t>
            </w:r>
          </w:p>
        </w:tc>
        <w:tc>
          <w:tcPr>
            <w:tcW w:w="393" w:type="pct"/>
            <w:tcBorders>
              <w:top w:val="nil"/>
              <w:left w:val="nil"/>
              <w:bottom w:val="single" w:color="auto" w:sz="4" w:space="0"/>
              <w:right w:val="single" w:color="auto" w:sz="4" w:space="0"/>
            </w:tcBorders>
            <w:shd w:val="clear" w:color="auto" w:fill="auto"/>
            <w:noWrap/>
            <w:vAlign w:val="center"/>
          </w:tcPr>
          <w:p w14:paraId="606F610E">
            <w:pPr>
              <w:widowControl/>
              <w:jc w:val="center"/>
              <w:rPr>
                <w:sz w:val="15"/>
                <w:szCs w:val="15"/>
                <w:highlight w:val="none"/>
              </w:rPr>
            </w:pPr>
            <w:r>
              <w:rPr>
                <w:sz w:val="15"/>
                <w:szCs w:val="15"/>
                <w:highlight w:val="none"/>
              </w:rPr>
              <w:t>1683</w:t>
            </w:r>
          </w:p>
        </w:tc>
        <w:tc>
          <w:tcPr>
            <w:tcW w:w="375" w:type="pct"/>
            <w:tcBorders>
              <w:top w:val="nil"/>
              <w:left w:val="nil"/>
              <w:bottom w:val="single" w:color="auto" w:sz="4" w:space="0"/>
              <w:right w:val="single" w:color="auto" w:sz="4" w:space="0"/>
            </w:tcBorders>
            <w:shd w:val="clear" w:color="auto" w:fill="auto"/>
            <w:noWrap/>
            <w:vAlign w:val="center"/>
          </w:tcPr>
          <w:p w14:paraId="2BEB2D87">
            <w:pPr>
              <w:widowControl/>
              <w:jc w:val="center"/>
              <w:rPr>
                <w:sz w:val="15"/>
                <w:szCs w:val="15"/>
                <w:highlight w:val="none"/>
              </w:rPr>
            </w:pPr>
            <w:r>
              <w:rPr>
                <w:sz w:val="15"/>
                <w:szCs w:val="15"/>
                <w:highlight w:val="none"/>
              </w:rPr>
              <w:t>11.1</w:t>
            </w:r>
          </w:p>
        </w:tc>
        <w:tc>
          <w:tcPr>
            <w:tcW w:w="361" w:type="pct"/>
            <w:tcBorders>
              <w:top w:val="nil"/>
              <w:left w:val="nil"/>
              <w:bottom w:val="single" w:color="auto" w:sz="4" w:space="0"/>
              <w:right w:val="single" w:color="auto" w:sz="4" w:space="0"/>
            </w:tcBorders>
            <w:shd w:val="clear" w:color="auto" w:fill="auto"/>
            <w:noWrap/>
            <w:vAlign w:val="center"/>
          </w:tcPr>
          <w:p w14:paraId="783E6CE8">
            <w:pPr>
              <w:widowControl/>
              <w:jc w:val="center"/>
              <w:rPr>
                <w:sz w:val="15"/>
                <w:szCs w:val="15"/>
                <w:highlight w:val="none"/>
              </w:rPr>
            </w:pPr>
            <w:r>
              <w:rPr>
                <w:sz w:val="15"/>
                <w:szCs w:val="15"/>
                <w:highlight w:val="none"/>
              </w:rPr>
              <w:t>0.37</w:t>
            </w:r>
          </w:p>
        </w:tc>
        <w:tc>
          <w:tcPr>
            <w:tcW w:w="361" w:type="pct"/>
            <w:tcBorders>
              <w:top w:val="nil"/>
              <w:left w:val="nil"/>
              <w:bottom w:val="single" w:color="auto" w:sz="4" w:space="0"/>
              <w:right w:val="single" w:color="auto" w:sz="4" w:space="0"/>
            </w:tcBorders>
            <w:shd w:val="clear" w:color="auto" w:fill="auto"/>
            <w:noWrap/>
            <w:vAlign w:val="center"/>
          </w:tcPr>
          <w:p w14:paraId="0DE4EA75">
            <w:pPr>
              <w:widowControl/>
              <w:jc w:val="center"/>
              <w:rPr>
                <w:sz w:val="15"/>
                <w:szCs w:val="15"/>
                <w:highlight w:val="none"/>
              </w:rPr>
            </w:pPr>
            <w:r>
              <w:rPr>
                <w:sz w:val="15"/>
                <w:szCs w:val="15"/>
                <w:highlight w:val="none"/>
              </w:rPr>
              <w:t>232.98</w:t>
            </w:r>
          </w:p>
        </w:tc>
        <w:tc>
          <w:tcPr>
            <w:tcW w:w="453" w:type="pct"/>
            <w:tcBorders>
              <w:top w:val="nil"/>
              <w:left w:val="nil"/>
              <w:bottom w:val="single" w:color="auto" w:sz="4" w:space="0"/>
              <w:right w:val="single" w:color="auto" w:sz="4" w:space="0"/>
            </w:tcBorders>
            <w:shd w:val="clear" w:color="auto" w:fill="auto"/>
            <w:noWrap/>
            <w:vAlign w:val="center"/>
          </w:tcPr>
          <w:p w14:paraId="22034CD1">
            <w:pPr>
              <w:widowControl/>
              <w:jc w:val="center"/>
              <w:rPr>
                <w:sz w:val="15"/>
                <w:szCs w:val="15"/>
                <w:highlight w:val="none"/>
              </w:rPr>
            </w:pPr>
            <w:r>
              <w:rPr>
                <w:sz w:val="15"/>
                <w:szCs w:val="15"/>
                <w:highlight w:val="none"/>
              </w:rPr>
              <w:t>4.91</w:t>
            </w:r>
          </w:p>
        </w:tc>
        <w:tc>
          <w:tcPr>
            <w:tcW w:w="453" w:type="pct"/>
            <w:tcBorders>
              <w:top w:val="nil"/>
              <w:left w:val="nil"/>
              <w:bottom w:val="single" w:color="auto" w:sz="4" w:space="0"/>
              <w:right w:val="single" w:color="auto" w:sz="4" w:space="0"/>
            </w:tcBorders>
            <w:shd w:val="clear" w:color="auto" w:fill="auto"/>
            <w:noWrap/>
            <w:vAlign w:val="center"/>
          </w:tcPr>
          <w:p w14:paraId="73A6BE3F">
            <w:pPr>
              <w:widowControl/>
              <w:jc w:val="center"/>
              <w:rPr>
                <w:sz w:val="15"/>
                <w:szCs w:val="15"/>
                <w:highlight w:val="none"/>
              </w:rPr>
            </w:pPr>
            <w:r>
              <w:rPr>
                <w:sz w:val="15"/>
                <w:szCs w:val="15"/>
                <w:highlight w:val="none"/>
              </w:rPr>
              <w:t>3.86</w:t>
            </w:r>
          </w:p>
        </w:tc>
        <w:tc>
          <w:tcPr>
            <w:tcW w:w="361" w:type="pct"/>
            <w:tcBorders>
              <w:top w:val="nil"/>
              <w:left w:val="nil"/>
              <w:bottom w:val="single" w:color="auto" w:sz="4" w:space="0"/>
              <w:right w:val="single" w:color="auto" w:sz="4" w:space="0"/>
            </w:tcBorders>
            <w:shd w:val="clear" w:color="auto" w:fill="auto"/>
            <w:noWrap/>
            <w:vAlign w:val="center"/>
          </w:tcPr>
          <w:p w14:paraId="5EDD6C4C">
            <w:pPr>
              <w:widowControl/>
              <w:jc w:val="center"/>
              <w:rPr>
                <w:sz w:val="15"/>
                <w:szCs w:val="15"/>
                <w:highlight w:val="none"/>
              </w:rPr>
            </w:pPr>
            <w:r>
              <w:rPr>
                <w:sz w:val="15"/>
                <w:szCs w:val="15"/>
                <w:highlight w:val="none"/>
              </w:rPr>
              <w:t>0.2</w:t>
            </w:r>
          </w:p>
        </w:tc>
        <w:tc>
          <w:tcPr>
            <w:tcW w:w="361" w:type="pct"/>
            <w:tcBorders>
              <w:top w:val="nil"/>
              <w:left w:val="nil"/>
              <w:bottom w:val="single" w:color="auto" w:sz="4" w:space="0"/>
              <w:right w:val="single" w:color="auto" w:sz="4" w:space="0"/>
            </w:tcBorders>
            <w:shd w:val="clear" w:color="auto" w:fill="auto"/>
            <w:noWrap/>
            <w:vAlign w:val="center"/>
          </w:tcPr>
          <w:p w14:paraId="6F9091B9">
            <w:pPr>
              <w:widowControl/>
              <w:jc w:val="center"/>
              <w:rPr>
                <w:sz w:val="15"/>
                <w:szCs w:val="15"/>
                <w:highlight w:val="none"/>
              </w:rPr>
            </w:pPr>
            <w:r>
              <w:rPr>
                <w:sz w:val="15"/>
                <w:szCs w:val="15"/>
                <w:highlight w:val="none"/>
              </w:rPr>
              <w:t>0.47</w:t>
            </w:r>
          </w:p>
        </w:tc>
        <w:tc>
          <w:tcPr>
            <w:tcW w:w="361" w:type="pct"/>
            <w:tcBorders>
              <w:top w:val="nil"/>
              <w:left w:val="nil"/>
              <w:bottom w:val="single" w:color="auto" w:sz="4" w:space="0"/>
              <w:right w:val="single" w:color="auto" w:sz="4" w:space="0"/>
            </w:tcBorders>
            <w:shd w:val="clear" w:color="auto" w:fill="auto"/>
            <w:noWrap/>
            <w:vAlign w:val="center"/>
          </w:tcPr>
          <w:p w14:paraId="1833588D">
            <w:pPr>
              <w:widowControl/>
              <w:jc w:val="center"/>
              <w:rPr>
                <w:sz w:val="15"/>
                <w:szCs w:val="15"/>
                <w:highlight w:val="none"/>
              </w:rPr>
            </w:pPr>
            <w:r>
              <w:rPr>
                <w:sz w:val="15"/>
                <w:szCs w:val="15"/>
                <w:highlight w:val="none"/>
              </w:rPr>
              <w:t>/</w:t>
            </w:r>
          </w:p>
        </w:tc>
      </w:tr>
      <w:tr w14:paraId="4E68FF6B">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0D45B44A">
            <w:pPr>
              <w:widowControl/>
              <w:jc w:val="center"/>
              <w:rPr>
                <w:sz w:val="15"/>
                <w:szCs w:val="15"/>
                <w:highlight w:val="none"/>
              </w:rPr>
            </w:pPr>
            <w:r>
              <w:rPr>
                <w:sz w:val="15"/>
                <w:szCs w:val="15"/>
                <w:highlight w:val="none"/>
              </w:rPr>
              <w:t>2025.09.11</w:t>
            </w:r>
          </w:p>
        </w:tc>
        <w:tc>
          <w:tcPr>
            <w:tcW w:w="306" w:type="pct"/>
            <w:tcBorders>
              <w:top w:val="nil"/>
              <w:left w:val="nil"/>
              <w:bottom w:val="single" w:color="auto" w:sz="4" w:space="0"/>
              <w:right w:val="single" w:color="auto" w:sz="4" w:space="0"/>
            </w:tcBorders>
            <w:shd w:val="clear" w:color="auto" w:fill="auto"/>
            <w:noWrap/>
            <w:vAlign w:val="center"/>
          </w:tcPr>
          <w:p w14:paraId="462221EC">
            <w:pPr>
              <w:widowControl/>
              <w:jc w:val="center"/>
              <w:rPr>
                <w:sz w:val="15"/>
                <w:szCs w:val="15"/>
                <w:highlight w:val="none"/>
              </w:rPr>
            </w:pPr>
            <w:r>
              <w:rPr>
                <w:sz w:val="15"/>
                <w:szCs w:val="15"/>
                <w:highlight w:val="none"/>
              </w:rPr>
              <w:t>10:32</w:t>
            </w:r>
          </w:p>
        </w:tc>
        <w:tc>
          <w:tcPr>
            <w:tcW w:w="368" w:type="pct"/>
            <w:tcBorders>
              <w:top w:val="nil"/>
              <w:left w:val="nil"/>
              <w:bottom w:val="single" w:color="auto" w:sz="4" w:space="0"/>
              <w:right w:val="single" w:color="auto" w:sz="4" w:space="0"/>
            </w:tcBorders>
            <w:shd w:val="clear" w:color="auto" w:fill="auto"/>
            <w:noWrap/>
            <w:vAlign w:val="center"/>
          </w:tcPr>
          <w:p w14:paraId="267C2690">
            <w:pPr>
              <w:widowControl/>
              <w:jc w:val="center"/>
              <w:rPr>
                <w:sz w:val="15"/>
                <w:szCs w:val="15"/>
                <w:highlight w:val="none"/>
              </w:rPr>
            </w:pPr>
            <w:r>
              <w:rPr>
                <w:sz w:val="15"/>
                <w:szCs w:val="15"/>
                <w:highlight w:val="none"/>
              </w:rPr>
              <w:t>7.66</w:t>
            </w:r>
          </w:p>
        </w:tc>
        <w:tc>
          <w:tcPr>
            <w:tcW w:w="348" w:type="pct"/>
            <w:tcBorders>
              <w:top w:val="nil"/>
              <w:left w:val="nil"/>
              <w:bottom w:val="single" w:color="auto" w:sz="4" w:space="0"/>
              <w:right w:val="single" w:color="auto" w:sz="4" w:space="0"/>
            </w:tcBorders>
            <w:shd w:val="clear" w:color="auto" w:fill="auto"/>
            <w:noWrap/>
            <w:vAlign w:val="center"/>
          </w:tcPr>
          <w:p w14:paraId="03E03543">
            <w:pPr>
              <w:widowControl/>
              <w:jc w:val="center"/>
              <w:rPr>
                <w:sz w:val="15"/>
                <w:szCs w:val="15"/>
                <w:highlight w:val="none"/>
              </w:rPr>
            </w:pPr>
            <w:r>
              <w:rPr>
                <w:sz w:val="15"/>
                <w:szCs w:val="15"/>
                <w:highlight w:val="none"/>
              </w:rPr>
              <w:t>0.9</w:t>
            </w:r>
          </w:p>
        </w:tc>
        <w:tc>
          <w:tcPr>
            <w:tcW w:w="393" w:type="pct"/>
            <w:tcBorders>
              <w:top w:val="nil"/>
              <w:left w:val="nil"/>
              <w:bottom w:val="single" w:color="auto" w:sz="4" w:space="0"/>
              <w:right w:val="single" w:color="auto" w:sz="4" w:space="0"/>
            </w:tcBorders>
            <w:shd w:val="clear" w:color="auto" w:fill="auto"/>
            <w:noWrap/>
            <w:vAlign w:val="center"/>
          </w:tcPr>
          <w:p w14:paraId="4B6801BD">
            <w:pPr>
              <w:widowControl/>
              <w:jc w:val="center"/>
              <w:rPr>
                <w:sz w:val="15"/>
                <w:szCs w:val="15"/>
                <w:highlight w:val="none"/>
              </w:rPr>
            </w:pPr>
            <w:r>
              <w:rPr>
                <w:sz w:val="15"/>
                <w:szCs w:val="15"/>
                <w:highlight w:val="none"/>
              </w:rPr>
              <w:t>1701</w:t>
            </w:r>
          </w:p>
        </w:tc>
        <w:tc>
          <w:tcPr>
            <w:tcW w:w="375" w:type="pct"/>
            <w:tcBorders>
              <w:top w:val="nil"/>
              <w:left w:val="nil"/>
              <w:bottom w:val="single" w:color="auto" w:sz="4" w:space="0"/>
              <w:right w:val="single" w:color="auto" w:sz="4" w:space="0"/>
            </w:tcBorders>
            <w:shd w:val="clear" w:color="auto" w:fill="auto"/>
            <w:noWrap/>
            <w:vAlign w:val="center"/>
          </w:tcPr>
          <w:p w14:paraId="7017848D">
            <w:pPr>
              <w:widowControl/>
              <w:jc w:val="center"/>
              <w:rPr>
                <w:sz w:val="15"/>
                <w:szCs w:val="15"/>
                <w:highlight w:val="none"/>
              </w:rPr>
            </w:pPr>
            <w:r>
              <w:rPr>
                <w:sz w:val="15"/>
                <w:szCs w:val="15"/>
                <w:highlight w:val="none"/>
              </w:rPr>
              <w:t>18.7</w:t>
            </w:r>
          </w:p>
        </w:tc>
        <w:tc>
          <w:tcPr>
            <w:tcW w:w="361" w:type="pct"/>
            <w:tcBorders>
              <w:top w:val="nil"/>
              <w:left w:val="nil"/>
              <w:bottom w:val="single" w:color="auto" w:sz="4" w:space="0"/>
              <w:right w:val="single" w:color="auto" w:sz="4" w:space="0"/>
            </w:tcBorders>
            <w:shd w:val="clear" w:color="auto" w:fill="auto"/>
            <w:noWrap/>
            <w:vAlign w:val="center"/>
          </w:tcPr>
          <w:p w14:paraId="51450DB5">
            <w:pPr>
              <w:widowControl/>
              <w:jc w:val="center"/>
              <w:rPr>
                <w:sz w:val="15"/>
                <w:szCs w:val="15"/>
                <w:highlight w:val="none"/>
              </w:rPr>
            </w:pPr>
            <w:r>
              <w:rPr>
                <w:sz w:val="15"/>
                <w:szCs w:val="15"/>
                <w:highlight w:val="none"/>
              </w:rPr>
              <w:t>0.15</w:t>
            </w:r>
          </w:p>
        </w:tc>
        <w:tc>
          <w:tcPr>
            <w:tcW w:w="361" w:type="pct"/>
            <w:tcBorders>
              <w:top w:val="nil"/>
              <w:left w:val="nil"/>
              <w:bottom w:val="single" w:color="auto" w:sz="4" w:space="0"/>
              <w:right w:val="single" w:color="auto" w:sz="4" w:space="0"/>
            </w:tcBorders>
            <w:shd w:val="clear" w:color="auto" w:fill="auto"/>
            <w:noWrap/>
            <w:vAlign w:val="center"/>
          </w:tcPr>
          <w:p w14:paraId="612BB597">
            <w:pPr>
              <w:widowControl/>
              <w:jc w:val="center"/>
              <w:rPr>
                <w:sz w:val="15"/>
                <w:szCs w:val="15"/>
                <w:highlight w:val="none"/>
              </w:rPr>
            </w:pPr>
            <w:r>
              <w:rPr>
                <w:sz w:val="15"/>
                <w:szCs w:val="15"/>
                <w:highlight w:val="none"/>
              </w:rPr>
              <w:t>265.46</w:t>
            </w:r>
          </w:p>
        </w:tc>
        <w:tc>
          <w:tcPr>
            <w:tcW w:w="453" w:type="pct"/>
            <w:tcBorders>
              <w:top w:val="nil"/>
              <w:left w:val="nil"/>
              <w:bottom w:val="single" w:color="auto" w:sz="4" w:space="0"/>
              <w:right w:val="single" w:color="auto" w:sz="4" w:space="0"/>
            </w:tcBorders>
            <w:shd w:val="clear" w:color="auto" w:fill="auto"/>
            <w:noWrap/>
            <w:vAlign w:val="center"/>
          </w:tcPr>
          <w:p w14:paraId="64E23DB7">
            <w:pPr>
              <w:widowControl/>
              <w:jc w:val="center"/>
              <w:rPr>
                <w:sz w:val="15"/>
                <w:szCs w:val="15"/>
                <w:highlight w:val="none"/>
              </w:rPr>
            </w:pPr>
            <w:r>
              <w:rPr>
                <w:sz w:val="15"/>
                <w:szCs w:val="15"/>
                <w:highlight w:val="none"/>
              </w:rPr>
              <w:t>5.1</w:t>
            </w:r>
          </w:p>
        </w:tc>
        <w:tc>
          <w:tcPr>
            <w:tcW w:w="453" w:type="pct"/>
            <w:tcBorders>
              <w:top w:val="nil"/>
              <w:left w:val="nil"/>
              <w:bottom w:val="single" w:color="auto" w:sz="4" w:space="0"/>
              <w:right w:val="single" w:color="auto" w:sz="4" w:space="0"/>
            </w:tcBorders>
            <w:shd w:val="clear" w:color="auto" w:fill="auto"/>
            <w:noWrap/>
            <w:vAlign w:val="center"/>
          </w:tcPr>
          <w:p w14:paraId="566689D8">
            <w:pPr>
              <w:widowControl/>
              <w:jc w:val="center"/>
              <w:rPr>
                <w:sz w:val="15"/>
                <w:szCs w:val="15"/>
                <w:highlight w:val="none"/>
              </w:rPr>
            </w:pPr>
            <w:r>
              <w:rPr>
                <w:sz w:val="15"/>
                <w:szCs w:val="15"/>
                <w:highlight w:val="none"/>
              </w:rPr>
              <w:t>4.22</w:t>
            </w:r>
          </w:p>
        </w:tc>
        <w:tc>
          <w:tcPr>
            <w:tcW w:w="361" w:type="pct"/>
            <w:tcBorders>
              <w:top w:val="nil"/>
              <w:left w:val="nil"/>
              <w:bottom w:val="single" w:color="auto" w:sz="4" w:space="0"/>
              <w:right w:val="single" w:color="auto" w:sz="4" w:space="0"/>
            </w:tcBorders>
            <w:shd w:val="clear" w:color="auto" w:fill="auto"/>
            <w:noWrap/>
            <w:vAlign w:val="center"/>
          </w:tcPr>
          <w:p w14:paraId="36C300AE">
            <w:pPr>
              <w:widowControl/>
              <w:jc w:val="center"/>
              <w:rPr>
                <w:sz w:val="15"/>
                <w:szCs w:val="15"/>
                <w:highlight w:val="none"/>
              </w:rPr>
            </w:pPr>
            <w:r>
              <w:rPr>
                <w:sz w:val="15"/>
                <w:szCs w:val="15"/>
                <w:highlight w:val="none"/>
              </w:rPr>
              <w:t>0.15</w:t>
            </w:r>
          </w:p>
        </w:tc>
        <w:tc>
          <w:tcPr>
            <w:tcW w:w="36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1FDEB8C">
            <w:pPr>
              <w:widowControl/>
              <w:jc w:val="center"/>
              <w:rPr>
                <w:sz w:val="15"/>
                <w:szCs w:val="15"/>
                <w:highlight w:val="none"/>
              </w:rPr>
            </w:pPr>
            <w:r>
              <w:rPr>
                <w:sz w:val="15"/>
                <w:szCs w:val="15"/>
                <w:highlight w:val="none"/>
              </w:rPr>
              <w:t>0.53</w:t>
            </w:r>
          </w:p>
        </w:tc>
        <w:tc>
          <w:tcPr>
            <w:tcW w:w="361" w:type="pct"/>
            <w:tcBorders>
              <w:top w:val="nil"/>
              <w:left w:val="nil"/>
              <w:bottom w:val="single" w:color="auto" w:sz="4" w:space="0"/>
              <w:right w:val="single" w:color="auto" w:sz="4" w:space="0"/>
            </w:tcBorders>
            <w:shd w:val="clear" w:color="auto" w:fill="auto"/>
            <w:noWrap/>
            <w:vAlign w:val="center"/>
          </w:tcPr>
          <w:p w14:paraId="35425FFB">
            <w:pPr>
              <w:widowControl/>
              <w:jc w:val="center"/>
              <w:rPr>
                <w:sz w:val="15"/>
                <w:szCs w:val="15"/>
                <w:highlight w:val="none"/>
              </w:rPr>
            </w:pPr>
            <w:r>
              <w:rPr>
                <w:sz w:val="15"/>
                <w:szCs w:val="15"/>
                <w:highlight w:val="none"/>
              </w:rPr>
              <w:t>/</w:t>
            </w:r>
          </w:p>
        </w:tc>
      </w:tr>
      <w:tr w14:paraId="6579E9E4">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2D1B808B">
            <w:pPr>
              <w:widowControl/>
              <w:jc w:val="center"/>
              <w:rPr>
                <w:sz w:val="15"/>
                <w:szCs w:val="15"/>
                <w:highlight w:val="none"/>
              </w:rPr>
            </w:pPr>
            <w:r>
              <w:rPr>
                <w:sz w:val="15"/>
                <w:szCs w:val="15"/>
                <w:highlight w:val="none"/>
              </w:rPr>
              <w:t>2025.09.18</w:t>
            </w:r>
          </w:p>
        </w:tc>
        <w:tc>
          <w:tcPr>
            <w:tcW w:w="306" w:type="pct"/>
            <w:tcBorders>
              <w:top w:val="nil"/>
              <w:left w:val="nil"/>
              <w:bottom w:val="single" w:color="auto" w:sz="4" w:space="0"/>
              <w:right w:val="single" w:color="auto" w:sz="4" w:space="0"/>
            </w:tcBorders>
            <w:shd w:val="clear" w:color="auto" w:fill="auto"/>
            <w:noWrap/>
            <w:vAlign w:val="center"/>
          </w:tcPr>
          <w:p w14:paraId="131F11B7">
            <w:pPr>
              <w:widowControl/>
              <w:jc w:val="center"/>
              <w:rPr>
                <w:sz w:val="15"/>
                <w:szCs w:val="15"/>
                <w:highlight w:val="none"/>
              </w:rPr>
            </w:pPr>
            <w:r>
              <w:rPr>
                <w:sz w:val="15"/>
                <w:szCs w:val="15"/>
                <w:highlight w:val="none"/>
              </w:rPr>
              <w:t>10:25</w:t>
            </w:r>
          </w:p>
        </w:tc>
        <w:tc>
          <w:tcPr>
            <w:tcW w:w="368" w:type="pct"/>
            <w:tcBorders>
              <w:top w:val="nil"/>
              <w:left w:val="nil"/>
              <w:bottom w:val="single" w:color="auto" w:sz="4" w:space="0"/>
              <w:right w:val="single" w:color="auto" w:sz="4" w:space="0"/>
            </w:tcBorders>
            <w:shd w:val="clear" w:color="auto" w:fill="auto"/>
            <w:noWrap/>
            <w:vAlign w:val="center"/>
          </w:tcPr>
          <w:p w14:paraId="29F75C51">
            <w:pPr>
              <w:widowControl/>
              <w:jc w:val="center"/>
              <w:rPr>
                <w:sz w:val="15"/>
                <w:szCs w:val="15"/>
                <w:highlight w:val="none"/>
              </w:rPr>
            </w:pPr>
            <w:r>
              <w:rPr>
                <w:sz w:val="15"/>
                <w:szCs w:val="15"/>
                <w:highlight w:val="none"/>
              </w:rPr>
              <w:t>7.05</w:t>
            </w:r>
          </w:p>
        </w:tc>
        <w:tc>
          <w:tcPr>
            <w:tcW w:w="348" w:type="pct"/>
            <w:tcBorders>
              <w:top w:val="nil"/>
              <w:left w:val="nil"/>
              <w:bottom w:val="single" w:color="auto" w:sz="4" w:space="0"/>
              <w:right w:val="single" w:color="auto" w:sz="4" w:space="0"/>
            </w:tcBorders>
            <w:shd w:val="clear" w:color="auto" w:fill="auto"/>
            <w:noWrap/>
            <w:vAlign w:val="center"/>
          </w:tcPr>
          <w:p w14:paraId="119D6A2B">
            <w:pPr>
              <w:widowControl/>
              <w:jc w:val="center"/>
              <w:rPr>
                <w:sz w:val="15"/>
                <w:szCs w:val="15"/>
                <w:highlight w:val="none"/>
              </w:rPr>
            </w:pPr>
            <w:r>
              <w:rPr>
                <w:sz w:val="15"/>
                <w:szCs w:val="15"/>
                <w:highlight w:val="none"/>
              </w:rPr>
              <w:t>1</w:t>
            </w:r>
          </w:p>
        </w:tc>
        <w:tc>
          <w:tcPr>
            <w:tcW w:w="393" w:type="pct"/>
            <w:tcBorders>
              <w:top w:val="nil"/>
              <w:left w:val="nil"/>
              <w:bottom w:val="single" w:color="auto" w:sz="4" w:space="0"/>
              <w:right w:val="single" w:color="auto" w:sz="4" w:space="0"/>
            </w:tcBorders>
            <w:shd w:val="clear" w:color="auto" w:fill="auto"/>
            <w:noWrap/>
            <w:vAlign w:val="center"/>
          </w:tcPr>
          <w:p w14:paraId="5EFEA5D2">
            <w:pPr>
              <w:widowControl/>
              <w:jc w:val="center"/>
              <w:rPr>
                <w:sz w:val="15"/>
                <w:szCs w:val="15"/>
                <w:highlight w:val="none"/>
              </w:rPr>
            </w:pPr>
            <w:r>
              <w:rPr>
                <w:sz w:val="15"/>
                <w:szCs w:val="15"/>
                <w:highlight w:val="none"/>
              </w:rPr>
              <w:t>1719</w:t>
            </w:r>
          </w:p>
        </w:tc>
        <w:tc>
          <w:tcPr>
            <w:tcW w:w="375" w:type="pct"/>
            <w:tcBorders>
              <w:top w:val="nil"/>
              <w:left w:val="nil"/>
              <w:bottom w:val="single" w:color="auto" w:sz="4" w:space="0"/>
              <w:right w:val="single" w:color="auto" w:sz="4" w:space="0"/>
            </w:tcBorders>
            <w:shd w:val="clear" w:color="auto" w:fill="auto"/>
            <w:noWrap/>
            <w:vAlign w:val="center"/>
          </w:tcPr>
          <w:p w14:paraId="6A2C5DF3">
            <w:pPr>
              <w:widowControl/>
              <w:jc w:val="center"/>
              <w:rPr>
                <w:sz w:val="15"/>
                <w:szCs w:val="15"/>
                <w:highlight w:val="none"/>
              </w:rPr>
            </w:pPr>
            <w:r>
              <w:rPr>
                <w:sz w:val="15"/>
                <w:szCs w:val="15"/>
                <w:highlight w:val="none"/>
              </w:rPr>
              <w:t>15.5</w:t>
            </w:r>
          </w:p>
        </w:tc>
        <w:tc>
          <w:tcPr>
            <w:tcW w:w="361" w:type="pct"/>
            <w:tcBorders>
              <w:top w:val="nil"/>
              <w:left w:val="nil"/>
              <w:bottom w:val="single" w:color="auto" w:sz="4" w:space="0"/>
              <w:right w:val="single" w:color="auto" w:sz="4" w:space="0"/>
            </w:tcBorders>
            <w:shd w:val="clear" w:color="auto" w:fill="auto"/>
            <w:noWrap/>
            <w:vAlign w:val="center"/>
          </w:tcPr>
          <w:p w14:paraId="431D2C5D">
            <w:pPr>
              <w:widowControl/>
              <w:jc w:val="center"/>
              <w:rPr>
                <w:sz w:val="15"/>
                <w:szCs w:val="15"/>
                <w:highlight w:val="none"/>
              </w:rPr>
            </w:pPr>
            <w:r>
              <w:rPr>
                <w:sz w:val="15"/>
                <w:szCs w:val="15"/>
                <w:highlight w:val="none"/>
              </w:rPr>
              <w:t>0.12</w:t>
            </w:r>
          </w:p>
        </w:tc>
        <w:tc>
          <w:tcPr>
            <w:tcW w:w="361" w:type="pct"/>
            <w:tcBorders>
              <w:top w:val="nil"/>
              <w:left w:val="nil"/>
              <w:bottom w:val="single" w:color="auto" w:sz="4" w:space="0"/>
              <w:right w:val="single" w:color="auto" w:sz="4" w:space="0"/>
            </w:tcBorders>
            <w:shd w:val="clear" w:color="auto" w:fill="auto"/>
            <w:noWrap/>
            <w:vAlign w:val="center"/>
          </w:tcPr>
          <w:p w14:paraId="513BB3A4">
            <w:pPr>
              <w:widowControl/>
              <w:jc w:val="center"/>
              <w:rPr>
                <w:sz w:val="15"/>
                <w:szCs w:val="15"/>
                <w:highlight w:val="none"/>
              </w:rPr>
            </w:pPr>
            <w:r>
              <w:rPr>
                <w:sz w:val="15"/>
                <w:szCs w:val="15"/>
                <w:highlight w:val="none"/>
              </w:rPr>
              <w:t>200.84</w:t>
            </w:r>
          </w:p>
        </w:tc>
        <w:tc>
          <w:tcPr>
            <w:tcW w:w="453" w:type="pct"/>
            <w:tcBorders>
              <w:top w:val="nil"/>
              <w:left w:val="nil"/>
              <w:bottom w:val="single" w:color="auto" w:sz="4" w:space="0"/>
              <w:right w:val="single" w:color="auto" w:sz="4" w:space="0"/>
            </w:tcBorders>
            <w:shd w:val="clear" w:color="auto" w:fill="auto"/>
            <w:noWrap/>
            <w:vAlign w:val="center"/>
          </w:tcPr>
          <w:p w14:paraId="7A677BD5">
            <w:pPr>
              <w:widowControl/>
              <w:jc w:val="center"/>
              <w:rPr>
                <w:sz w:val="15"/>
                <w:szCs w:val="15"/>
                <w:highlight w:val="none"/>
              </w:rPr>
            </w:pPr>
            <w:r>
              <w:rPr>
                <w:sz w:val="15"/>
                <w:szCs w:val="15"/>
                <w:highlight w:val="none"/>
              </w:rPr>
              <w:t>5.19</w:t>
            </w:r>
          </w:p>
        </w:tc>
        <w:tc>
          <w:tcPr>
            <w:tcW w:w="453" w:type="pct"/>
            <w:tcBorders>
              <w:top w:val="nil"/>
              <w:left w:val="nil"/>
              <w:bottom w:val="single" w:color="auto" w:sz="4" w:space="0"/>
              <w:right w:val="single" w:color="auto" w:sz="4" w:space="0"/>
            </w:tcBorders>
            <w:shd w:val="clear" w:color="auto" w:fill="auto"/>
            <w:noWrap/>
            <w:vAlign w:val="center"/>
          </w:tcPr>
          <w:p w14:paraId="6F0691BD">
            <w:pPr>
              <w:widowControl/>
              <w:jc w:val="center"/>
              <w:rPr>
                <w:sz w:val="15"/>
                <w:szCs w:val="15"/>
                <w:highlight w:val="none"/>
              </w:rPr>
            </w:pPr>
            <w:r>
              <w:rPr>
                <w:sz w:val="15"/>
                <w:szCs w:val="15"/>
                <w:highlight w:val="none"/>
              </w:rPr>
              <w:t>3.24</w:t>
            </w:r>
          </w:p>
        </w:tc>
        <w:tc>
          <w:tcPr>
            <w:tcW w:w="361" w:type="pct"/>
            <w:tcBorders>
              <w:top w:val="nil"/>
              <w:left w:val="nil"/>
              <w:bottom w:val="single" w:color="auto" w:sz="4" w:space="0"/>
              <w:right w:val="single" w:color="auto" w:sz="4" w:space="0"/>
            </w:tcBorders>
            <w:shd w:val="clear" w:color="auto" w:fill="auto"/>
            <w:noWrap/>
            <w:vAlign w:val="center"/>
          </w:tcPr>
          <w:p w14:paraId="6A11E722">
            <w:pPr>
              <w:widowControl/>
              <w:jc w:val="center"/>
              <w:rPr>
                <w:sz w:val="15"/>
                <w:szCs w:val="15"/>
                <w:highlight w:val="none"/>
              </w:rPr>
            </w:pPr>
            <w:r>
              <w:rPr>
                <w:sz w:val="15"/>
                <w:szCs w:val="15"/>
                <w:highlight w:val="none"/>
              </w:rPr>
              <w:t>0.10</w:t>
            </w:r>
          </w:p>
        </w:tc>
        <w:tc>
          <w:tcPr>
            <w:tcW w:w="361" w:type="pct"/>
            <w:tcBorders>
              <w:top w:val="nil"/>
              <w:left w:val="nil"/>
              <w:bottom w:val="single" w:color="auto" w:sz="4" w:space="0"/>
              <w:right w:val="single" w:color="auto" w:sz="4" w:space="0"/>
            </w:tcBorders>
            <w:shd w:val="clear" w:color="auto" w:fill="auto"/>
            <w:noWrap/>
            <w:vAlign w:val="center"/>
          </w:tcPr>
          <w:p w14:paraId="4BDCFDB6">
            <w:pPr>
              <w:widowControl/>
              <w:jc w:val="center"/>
              <w:rPr>
                <w:sz w:val="15"/>
                <w:szCs w:val="15"/>
                <w:highlight w:val="none"/>
              </w:rPr>
            </w:pPr>
            <w:r>
              <w:rPr>
                <w:sz w:val="15"/>
                <w:szCs w:val="15"/>
                <w:highlight w:val="none"/>
              </w:rPr>
              <w:t>0.40</w:t>
            </w:r>
          </w:p>
        </w:tc>
        <w:tc>
          <w:tcPr>
            <w:tcW w:w="361" w:type="pct"/>
            <w:tcBorders>
              <w:top w:val="nil"/>
              <w:left w:val="nil"/>
              <w:bottom w:val="single" w:color="auto" w:sz="4" w:space="0"/>
              <w:right w:val="single" w:color="auto" w:sz="4" w:space="0"/>
            </w:tcBorders>
            <w:shd w:val="clear" w:color="auto" w:fill="auto"/>
            <w:noWrap/>
            <w:vAlign w:val="center"/>
          </w:tcPr>
          <w:p w14:paraId="77FDFA58">
            <w:pPr>
              <w:widowControl/>
              <w:jc w:val="center"/>
              <w:rPr>
                <w:sz w:val="15"/>
                <w:szCs w:val="15"/>
                <w:highlight w:val="none"/>
              </w:rPr>
            </w:pPr>
            <w:r>
              <w:rPr>
                <w:sz w:val="15"/>
                <w:szCs w:val="15"/>
                <w:highlight w:val="none"/>
              </w:rPr>
              <w:t>/</w:t>
            </w:r>
          </w:p>
        </w:tc>
      </w:tr>
      <w:tr w14:paraId="5E97561B">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110ECDA3">
            <w:pPr>
              <w:widowControl/>
              <w:jc w:val="center"/>
              <w:rPr>
                <w:sz w:val="15"/>
                <w:szCs w:val="15"/>
                <w:highlight w:val="none"/>
              </w:rPr>
            </w:pPr>
            <w:r>
              <w:rPr>
                <w:sz w:val="15"/>
                <w:szCs w:val="15"/>
                <w:highlight w:val="none"/>
              </w:rPr>
              <w:t>2025.09.25</w:t>
            </w:r>
          </w:p>
        </w:tc>
        <w:tc>
          <w:tcPr>
            <w:tcW w:w="306" w:type="pct"/>
            <w:tcBorders>
              <w:top w:val="nil"/>
              <w:left w:val="nil"/>
              <w:bottom w:val="single" w:color="auto" w:sz="4" w:space="0"/>
              <w:right w:val="single" w:color="auto" w:sz="4" w:space="0"/>
            </w:tcBorders>
            <w:shd w:val="clear" w:color="auto" w:fill="auto"/>
            <w:noWrap/>
            <w:vAlign w:val="center"/>
          </w:tcPr>
          <w:p w14:paraId="7FF398B7">
            <w:pPr>
              <w:widowControl/>
              <w:jc w:val="center"/>
              <w:rPr>
                <w:sz w:val="15"/>
                <w:szCs w:val="15"/>
                <w:highlight w:val="none"/>
              </w:rPr>
            </w:pPr>
            <w:r>
              <w:rPr>
                <w:sz w:val="15"/>
                <w:szCs w:val="15"/>
                <w:highlight w:val="none"/>
              </w:rPr>
              <w:t>11:20</w:t>
            </w:r>
          </w:p>
        </w:tc>
        <w:tc>
          <w:tcPr>
            <w:tcW w:w="368" w:type="pct"/>
            <w:tcBorders>
              <w:top w:val="nil"/>
              <w:left w:val="nil"/>
              <w:bottom w:val="single" w:color="auto" w:sz="4" w:space="0"/>
              <w:right w:val="single" w:color="auto" w:sz="4" w:space="0"/>
            </w:tcBorders>
            <w:shd w:val="clear" w:color="auto" w:fill="auto"/>
            <w:noWrap/>
            <w:vAlign w:val="center"/>
          </w:tcPr>
          <w:p w14:paraId="3F368EA7">
            <w:pPr>
              <w:widowControl/>
              <w:jc w:val="center"/>
              <w:rPr>
                <w:sz w:val="15"/>
                <w:szCs w:val="15"/>
                <w:highlight w:val="none"/>
              </w:rPr>
            </w:pPr>
            <w:r>
              <w:rPr>
                <w:sz w:val="15"/>
                <w:szCs w:val="15"/>
                <w:highlight w:val="none"/>
              </w:rPr>
              <w:t>6.75</w:t>
            </w:r>
          </w:p>
        </w:tc>
        <w:tc>
          <w:tcPr>
            <w:tcW w:w="348" w:type="pct"/>
            <w:tcBorders>
              <w:top w:val="nil"/>
              <w:left w:val="nil"/>
              <w:bottom w:val="single" w:color="auto" w:sz="4" w:space="0"/>
              <w:right w:val="single" w:color="auto" w:sz="4" w:space="0"/>
            </w:tcBorders>
            <w:shd w:val="clear" w:color="auto" w:fill="auto"/>
            <w:noWrap/>
            <w:vAlign w:val="center"/>
          </w:tcPr>
          <w:p w14:paraId="2B0B8558">
            <w:pPr>
              <w:widowControl/>
              <w:jc w:val="center"/>
              <w:rPr>
                <w:sz w:val="15"/>
                <w:szCs w:val="15"/>
                <w:highlight w:val="none"/>
              </w:rPr>
            </w:pPr>
            <w:r>
              <w:rPr>
                <w:sz w:val="15"/>
                <w:szCs w:val="15"/>
                <w:highlight w:val="none"/>
              </w:rPr>
              <w:t>0.88</w:t>
            </w:r>
          </w:p>
        </w:tc>
        <w:tc>
          <w:tcPr>
            <w:tcW w:w="393" w:type="pct"/>
            <w:tcBorders>
              <w:top w:val="nil"/>
              <w:left w:val="nil"/>
              <w:bottom w:val="single" w:color="auto" w:sz="4" w:space="0"/>
              <w:right w:val="single" w:color="auto" w:sz="4" w:space="0"/>
            </w:tcBorders>
            <w:shd w:val="clear" w:color="auto" w:fill="auto"/>
            <w:noWrap/>
            <w:vAlign w:val="center"/>
          </w:tcPr>
          <w:p w14:paraId="7407514A">
            <w:pPr>
              <w:widowControl/>
              <w:jc w:val="center"/>
              <w:rPr>
                <w:sz w:val="15"/>
                <w:szCs w:val="15"/>
                <w:highlight w:val="none"/>
              </w:rPr>
            </w:pPr>
            <w:r>
              <w:rPr>
                <w:sz w:val="15"/>
                <w:szCs w:val="15"/>
                <w:highlight w:val="none"/>
              </w:rPr>
              <w:t>1797</w:t>
            </w:r>
          </w:p>
        </w:tc>
        <w:tc>
          <w:tcPr>
            <w:tcW w:w="375" w:type="pct"/>
            <w:tcBorders>
              <w:top w:val="nil"/>
              <w:left w:val="nil"/>
              <w:bottom w:val="single" w:color="auto" w:sz="4" w:space="0"/>
              <w:right w:val="single" w:color="auto" w:sz="4" w:space="0"/>
            </w:tcBorders>
            <w:shd w:val="clear" w:color="auto" w:fill="auto"/>
            <w:noWrap/>
            <w:vAlign w:val="center"/>
          </w:tcPr>
          <w:p w14:paraId="57C6794B">
            <w:pPr>
              <w:widowControl/>
              <w:jc w:val="center"/>
              <w:rPr>
                <w:sz w:val="15"/>
                <w:szCs w:val="15"/>
                <w:highlight w:val="none"/>
              </w:rPr>
            </w:pPr>
            <w:r>
              <w:rPr>
                <w:sz w:val="15"/>
                <w:szCs w:val="15"/>
                <w:highlight w:val="none"/>
              </w:rPr>
              <w:t>12.6</w:t>
            </w:r>
          </w:p>
        </w:tc>
        <w:tc>
          <w:tcPr>
            <w:tcW w:w="361" w:type="pct"/>
            <w:tcBorders>
              <w:top w:val="nil"/>
              <w:left w:val="nil"/>
              <w:bottom w:val="single" w:color="auto" w:sz="4" w:space="0"/>
              <w:right w:val="single" w:color="auto" w:sz="4" w:space="0"/>
            </w:tcBorders>
            <w:shd w:val="clear" w:color="auto" w:fill="auto"/>
            <w:noWrap/>
            <w:vAlign w:val="center"/>
          </w:tcPr>
          <w:p w14:paraId="7428245C">
            <w:pPr>
              <w:widowControl/>
              <w:jc w:val="center"/>
              <w:rPr>
                <w:sz w:val="15"/>
                <w:szCs w:val="15"/>
                <w:highlight w:val="none"/>
              </w:rPr>
            </w:pPr>
            <w:r>
              <w:rPr>
                <w:sz w:val="15"/>
                <w:szCs w:val="15"/>
                <w:highlight w:val="none"/>
              </w:rPr>
              <w:t>0.35</w:t>
            </w:r>
          </w:p>
        </w:tc>
        <w:tc>
          <w:tcPr>
            <w:tcW w:w="361" w:type="pct"/>
            <w:tcBorders>
              <w:top w:val="nil"/>
              <w:left w:val="nil"/>
              <w:bottom w:val="single" w:color="auto" w:sz="4" w:space="0"/>
              <w:right w:val="single" w:color="auto" w:sz="4" w:space="0"/>
            </w:tcBorders>
            <w:shd w:val="clear" w:color="auto" w:fill="auto"/>
            <w:noWrap/>
            <w:vAlign w:val="center"/>
          </w:tcPr>
          <w:p w14:paraId="4307CFC3">
            <w:pPr>
              <w:widowControl/>
              <w:jc w:val="center"/>
              <w:rPr>
                <w:sz w:val="15"/>
                <w:szCs w:val="15"/>
                <w:highlight w:val="none"/>
              </w:rPr>
            </w:pPr>
            <w:r>
              <w:rPr>
                <w:sz w:val="15"/>
                <w:szCs w:val="15"/>
                <w:highlight w:val="none"/>
              </w:rPr>
              <w:t>236.12</w:t>
            </w:r>
          </w:p>
        </w:tc>
        <w:tc>
          <w:tcPr>
            <w:tcW w:w="453" w:type="pct"/>
            <w:tcBorders>
              <w:top w:val="nil"/>
              <w:left w:val="nil"/>
              <w:bottom w:val="single" w:color="auto" w:sz="4" w:space="0"/>
              <w:right w:val="single" w:color="auto" w:sz="4" w:space="0"/>
            </w:tcBorders>
            <w:shd w:val="clear" w:color="auto" w:fill="auto"/>
            <w:noWrap/>
            <w:vAlign w:val="center"/>
          </w:tcPr>
          <w:p w14:paraId="1DBA4CE0">
            <w:pPr>
              <w:widowControl/>
              <w:jc w:val="center"/>
              <w:rPr>
                <w:sz w:val="15"/>
                <w:szCs w:val="15"/>
                <w:highlight w:val="none"/>
              </w:rPr>
            </w:pPr>
            <w:r>
              <w:rPr>
                <w:sz w:val="15"/>
                <w:szCs w:val="15"/>
                <w:highlight w:val="none"/>
              </w:rPr>
              <w:t>5.21</w:t>
            </w:r>
          </w:p>
        </w:tc>
        <w:tc>
          <w:tcPr>
            <w:tcW w:w="453" w:type="pct"/>
            <w:tcBorders>
              <w:top w:val="nil"/>
              <w:left w:val="nil"/>
              <w:bottom w:val="single" w:color="auto" w:sz="4" w:space="0"/>
              <w:right w:val="single" w:color="auto" w:sz="4" w:space="0"/>
            </w:tcBorders>
            <w:shd w:val="clear" w:color="auto" w:fill="auto"/>
            <w:noWrap/>
            <w:vAlign w:val="center"/>
          </w:tcPr>
          <w:p w14:paraId="0F23E979">
            <w:pPr>
              <w:widowControl/>
              <w:jc w:val="center"/>
              <w:rPr>
                <w:sz w:val="15"/>
                <w:szCs w:val="15"/>
                <w:highlight w:val="none"/>
              </w:rPr>
            </w:pPr>
            <w:r>
              <w:rPr>
                <w:sz w:val="15"/>
                <w:szCs w:val="15"/>
                <w:highlight w:val="none"/>
              </w:rPr>
              <w:t>2.5</w:t>
            </w:r>
          </w:p>
        </w:tc>
        <w:tc>
          <w:tcPr>
            <w:tcW w:w="361" w:type="pct"/>
            <w:tcBorders>
              <w:top w:val="nil"/>
              <w:left w:val="nil"/>
              <w:bottom w:val="single" w:color="auto" w:sz="4" w:space="0"/>
              <w:right w:val="single" w:color="auto" w:sz="4" w:space="0"/>
            </w:tcBorders>
            <w:shd w:val="clear" w:color="auto" w:fill="auto"/>
            <w:noWrap/>
            <w:vAlign w:val="center"/>
          </w:tcPr>
          <w:p w14:paraId="6FC06DFE">
            <w:pPr>
              <w:widowControl/>
              <w:jc w:val="center"/>
              <w:rPr>
                <w:sz w:val="15"/>
                <w:szCs w:val="15"/>
                <w:highlight w:val="none"/>
              </w:rPr>
            </w:pPr>
            <w:r>
              <w:rPr>
                <w:sz w:val="15"/>
                <w:szCs w:val="15"/>
                <w:highlight w:val="none"/>
              </w:rPr>
              <w:t>0.10</w:t>
            </w:r>
          </w:p>
        </w:tc>
        <w:tc>
          <w:tcPr>
            <w:tcW w:w="361" w:type="pct"/>
            <w:tcBorders>
              <w:top w:val="nil"/>
              <w:left w:val="nil"/>
              <w:bottom w:val="single" w:color="auto" w:sz="4" w:space="0"/>
              <w:right w:val="single" w:color="auto" w:sz="4" w:space="0"/>
            </w:tcBorders>
            <w:shd w:val="clear" w:color="auto" w:fill="auto"/>
            <w:noWrap/>
            <w:vAlign w:val="center"/>
          </w:tcPr>
          <w:p w14:paraId="44489B77">
            <w:pPr>
              <w:widowControl/>
              <w:jc w:val="center"/>
              <w:rPr>
                <w:sz w:val="15"/>
                <w:szCs w:val="15"/>
                <w:highlight w:val="none"/>
              </w:rPr>
            </w:pPr>
            <w:r>
              <w:rPr>
                <w:sz w:val="15"/>
                <w:szCs w:val="15"/>
                <w:highlight w:val="none"/>
              </w:rPr>
              <w:t>0.30</w:t>
            </w:r>
          </w:p>
        </w:tc>
        <w:tc>
          <w:tcPr>
            <w:tcW w:w="361" w:type="pct"/>
            <w:tcBorders>
              <w:top w:val="nil"/>
              <w:left w:val="nil"/>
              <w:bottom w:val="single" w:color="auto" w:sz="4" w:space="0"/>
              <w:right w:val="single" w:color="auto" w:sz="4" w:space="0"/>
            </w:tcBorders>
            <w:shd w:val="clear" w:color="auto" w:fill="auto"/>
            <w:noWrap/>
            <w:vAlign w:val="center"/>
          </w:tcPr>
          <w:p w14:paraId="3080F72D">
            <w:pPr>
              <w:widowControl/>
              <w:jc w:val="center"/>
              <w:rPr>
                <w:sz w:val="15"/>
                <w:szCs w:val="15"/>
                <w:highlight w:val="none"/>
              </w:rPr>
            </w:pPr>
            <w:r>
              <w:rPr>
                <w:sz w:val="15"/>
                <w:szCs w:val="15"/>
                <w:highlight w:val="none"/>
              </w:rPr>
              <w:t>0.02</w:t>
            </w:r>
          </w:p>
        </w:tc>
      </w:tr>
      <w:tr w14:paraId="69872B8D">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6ECF4510">
            <w:pPr>
              <w:widowControl/>
              <w:jc w:val="center"/>
              <w:rPr>
                <w:sz w:val="15"/>
                <w:szCs w:val="15"/>
                <w:highlight w:val="none"/>
              </w:rPr>
            </w:pPr>
            <w:r>
              <w:rPr>
                <w:sz w:val="15"/>
                <w:szCs w:val="15"/>
                <w:highlight w:val="none"/>
              </w:rPr>
              <w:t>2025.09.29</w:t>
            </w:r>
          </w:p>
        </w:tc>
        <w:tc>
          <w:tcPr>
            <w:tcW w:w="306" w:type="pct"/>
            <w:tcBorders>
              <w:top w:val="nil"/>
              <w:left w:val="nil"/>
              <w:bottom w:val="single" w:color="auto" w:sz="4" w:space="0"/>
              <w:right w:val="single" w:color="auto" w:sz="4" w:space="0"/>
            </w:tcBorders>
            <w:shd w:val="clear" w:color="auto" w:fill="auto"/>
            <w:noWrap/>
            <w:vAlign w:val="center"/>
          </w:tcPr>
          <w:p w14:paraId="20996F4D">
            <w:pPr>
              <w:widowControl/>
              <w:jc w:val="center"/>
              <w:rPr>
                <w:sz w:val="15"/>
                <w:szCs w:val="15"/>
                <w:highlight w:val="none"/>
              </w:rPr>
            </w:pPr>
            <w:r>
              <w:rPr>
                <w:sz w:val="15"/>
                <w:szCs w:val="15"/>
                <w:highlight w:val="none"/>
              </w:rPr>
              <w:t>11:30</w:t>
            </w:r>
          </w:p>
        </w:tc>
        <w:tc>
          <w:tcPr>
            <w:tcW w:w="368" w:type="pct"/>
            <w:tcBorders>
              <w:top w:val="nil"/>
              <w:left w:val="nil"/>
              <w:bottom w:val="single" w:color="auto" w:sz="4" w:space="0"/>
              <w:right w:val="single" w:color="auto" w:sz="4" w:space="0"/>
            </w:tcBorders>
            <w:shd w:val="clear" w:color="auto" w:fill="auto"/>
            <w:noWrap/>
            <w:vAlign w:val="center"/>
          </w:tcPr>
          <w:p w14:paraId="394F9372">
            <w:pPr>
              <w:widowControl/>
              <w:jc w:val="center"/>
              <w:rPr>
                <w:sz w:val="15"/>
                <w:szCs w:val="15"/>
                <w:highlight w:val="none"/>
              </w:rPr>
            </w:pPr>
            <w:r>
              <w:rPr>
                <w:sz w:val="15"/>
                <w:szCs w:val="15"/>
                <w:highlight w:val="none"/>
              </w:rPr>
              <w:t>6.80</w:t>
            </w:r>
          </w:p>
        </w:tc>
        <w:tc>
          <w:tcPr>
            <w:tcW w:w="348" w:type="pct"/>
            <w:tcBorders>
              <w:top w:val="nil"/>
              <w:left w:val="nil"/>
              <w:bottom w:val="single" w:color="auto" w:sz="4" w:space="0"/>
              <w:right w:val="single" w:color="auto" w:sz="4" w:space="0"/>
            </w:tcBorders>
            <w:shd w:val="clear" w:color="auto" w:fill="auto"/>
            <w:noWrap/>
            <w:vAlign w:val="center"/>
          </w:tcPr>
          <w:p w14:paraId="3CD85847">
            <w:pPr>
              <w:widowControl/>
              <w:jc w:val="center"/>
              <w:rPr>
                <w:sz w:val="15"/>
                <w:szCs w:val="15"/>
                <w:highlight w:val="none"/>
              </w:rPr>
            </w:pPr>
            <w:r>
              <w:rPr>
                <w:sz w:val="15"/>
                <w:szCs w:val="15"/>
                <w:highlight w:val="none"/>
              </w:rPr>
              <w:t>0.68</w:t>
            </w:r>
          </w:p>
        </w:tc>
        <w:tc>
          <w:tcPr>
            <w:tcW w:w="393" w:type="pct"/>
            <w:tcBorders>
              <w:top w:val="nil"/>
              <w:left w:val="nil"/>
              <w:bottom w:val="single" w:color="auto" w:sz="4" w:space="0"/>
              <w:right w:val="single" w:color="auto" w:sz="4" w:space="0"/>
            </w:tcBorders>
            <w:shd w:val="clear" w:color="auto" w:fill="auto"/>
            <w:noWrap/>
            <w:vAlign w:val="center"/>
          </w:tcPr>
          <w:p w14:paraId="52BF69CB">
            <w:pPr>
              <w:widowControl/>
              <w:jc w:val="center"/>
              <w:rPr>
                <w:sz w:val="15"/>
                <w:szCs w:val="15"/>
                <w:highlight w:val="none"/>
              </w:rPr>
            </w:pPr>
            <w:r>
              <w:rPr>
                <w:sz w:val="15"/>
                <w:szCs w:val="15"/>
                <w:highlight w:val="none"/>
              </w:rPr>
              <w:t>1756</w:t>
            </w:r>
          </w:p>
        </w:tc>
        <w:tc>
          <w:tcPr>
            <w:tcW w:w="375" w:type="pct"/>
            <w:tcBorders>
              <w:top w:val="nil"/>
              <w:left w:val="nil"/>
              <w:bottom w:val="single" w:color="auto" w:sz="4" w:space="0"/>
              <w:right w:val="single" w:color="auto" w:sz="4" w:space="0"/>
            </w:tcBorders>
            <w:shd w:val="clear" w:color="auto" w:fill="auto"/>
            <w:noWrap/>
            <w:vAlign w:val="center"/>
          </w:tcPr>
          <w:p w14:paraId="144A6DF6">
            <w:pPr>
              <w:widowControl/>
              <w:jc w:val="center"/>
              <w:rPr>
                <w:sz w:val="15"/>
                <w:szCs w:val="15"/>
                <w:highlight w:val="none"/>
              </w:rPr>
            </w:pPr>
            <w:r>
              <w:rPr>
                <w:sz w:val="15"/>
                <w:szCs w:val="15"/>
                <w:highlight w:val="none"/>
              </w:rPr>
              <w:t>5.3</w:t>
            </w:r>
          </w:p>
        </w:tc>
        <w:tc>
          <w:tcPr>
            <w:tcW w:w="361" w:type="pct"/>
            <w:tcBorders>
              <w:top w:val="nil"/>
              <w:left w:val="nil"/>
              <w:bottom w:val="single" w:color="auto" w:sz="4" w:space="0"/>
              <w:right w:val="single" w:color="auto" w:sz="4" w:space="0"/>
            </w:tcBorders>
            <w:shd w:val="clear" w:color="auto" w:fill="auto"/>
            <w:noWrap/>
            <w:vAlign w:val="center"/>
          </w:tcPr>
          <w:p w14:paraId="06692859">
            <w:pPr>
              <w:widowControl/>
              <w:jc w:val="center"/>
              <w:rPr>
                <w:sz w:val="15"/>
                <w:szCs w:val="15"/>
                <w:highlight w:val="none"/>
              </w:rPr>
            </w:pPr>
            <w:r>
              <w:rPr>
                <w:sz w:val="15"/>
                <w:szCs w:val="15"/>
                <w:highlight w:val="none"/>
              </w:rPr>
              <w:t>0.07</w:t>
            </w:r>
          </w:p>
        </w:tc>
        <w:tc>
          <w:tcPr>
            <w:tcW w:w="361" w:type="pct"/>
            <w:tcBorders>
              <w:top w:val="nil"/>
              <w:left w:val="nil"/>
              <w:bottom w:val="single" w:color="auto" w:sz="4" w:space="0"/>
              <w:right w:val="single" w:color="auto" w:sz="4" w:space="0"/>
            </w:tcBorders>
            <w:shd w:val="clear" w:color="auto" w:fill="auto"/>
            <w:noWrap/>
            <w:vAlign w:val="center"/>
          </w:tcPr>
          <w:p w14:paraId="0B3D97BB">
            <w:pPr>
              <w:widowControl/>
              <w:jc w:val="center"/>
              <w:rPr>
                <w:sz w:val="15"/>
                <w:szCs w:val="15"/>
                <w:highlight w:val="none"/>
              </w:rPr>
            </w:pPr>
            <w:r>
              <w:rPr>
                <w:sz w:val="15"/>
                <w:szCs w:val="15"/>
                <w:highlight w:val="none"/>
              </w:rPr>
              <w:t>220.40</w:t>
            </w:r>
          </w:p>
        </w:tc>
        <w:tc>
          <w:tcPr>
            <w:tcW w:w="453" w:type="pct"/>
            <w:tcBorders>
              <w:top w:val="nil"/>
              <w:left w:val="nil"/>
              <w:bottom w:val="single" w:color="auto" w:sz="4" w:space="0"/>
              <w:right w:val="single" w:color="auto" w:sz="4" w:space="0"/>
            </w:tcBorders>
            <w:shd w:val="clear" w:color="auto" w:fill="auto"/>
            <w:noWrap/>
            <w:vAlign w:val="center"/>
          </w:tcPr>
          <w:p w14:paraId="54F299A7">
            <w:pPr>
              <w:widowControl/>
              <w:jc w:val="center"/>
              <w:rPr>
                <w:sz w:val="15"/>
                <w:szCs w:val="15"/>
                <w:highlight w:val="none"/>
              </w:rPr>
            </w:pPr>
            <w:r>
              <w:rPr>
                <w:sz w:val="15"/>
                <w:szCs w:val="15"/>
                <w:highlight w:val="none"/>
              </w:rPr>
              <w:t>5.58</w:t>
            </w:r>
          </w:p>
        </w:tc>
        <w:tc>
          <w:tcPr>
            <w:tcW w:w="453" w:type="pct"/>
            <w:tcBorders>
              <w:top w:val="nil"/>
              <w:left w:val="nil"/>
              <w:bottom w:val="single" w:color="auto" w:sz="4" w:space="0"/>
              <w:right w:val="single" w:color="auto" w:sz="4" w:space="0"/>
            </w:tcBorders>
            <w:shd w:val="clear" w:color="auto" w:fill="auto"/>
            <w:noWrap/>
            <w:vAlign w:val="center"/>
          </w:tcPr>
          <w:p w14:paraId="79FD88C3">
            <w:pPr>
              <w:widowControl/>
              <w:jc w:val="center"/>
              <w:rPr>
                <w:sz w:val="15"/>
                <w:szCs w:val="15"/>
                <w:highlight w:val="none"/>
              </w:rPr>
            </w:pPr>
            <w:r>
              <w:rPr>
                <w:sz w:val="15"/>
                <w:szCs w:val="15"/>
                <w:highlight w:val="none"/>
              </w:rPr>
              <w:t>3.13</w:t>
            </w:r>
          </w:p>
        </w:tc>
        <w:tc>
          <w:tcPr>
            <w:tcW w:w="361" w:type="pct"/>
            <w:tcBorders>
              <w:top w:val="nil"/>
              <w:left w:val="nil"/>
              <w:bottom w:val="single" w:color="auto" w:sz="4" w:space="0"/>
              <w:right w:val="single" w:color="auto" w:sz="4" w:space="0"/>
            </w:tcBorders>
            <w:shd w:val="clear" w:color="auto" w:fill="auto"/>
            <w:noWrap/>
            <w:vAlign w:val="center"/>
          </w:tcPr>
          <w:p w14:paraId="0E748CAA">
            <w:pPr>
              <w:widowControl/>
              <w:jc w:val="center"/>
              <w:rPr>
                <w:sz w:val="15"/>
                <w:szCs w:val="15"/>
                <w:highlight w:val="none"/>
              </w:rPr>
            </w:pPr>
            <w:r>
              <w:rPr>
                <w:sz w:val="15"/>
                <w:szCs w:val="15"/>
                <w:highlight w:val="none"/>
              </w:rPr>
              <w:t>0.10</w:t>
            </w:r>
          </w:p>
        </w:tc>
        <w:tc>
          <w:tcPr>
            <w:tcW w:w="36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84517EC">
            <w:pPr>
              <w:widowControl/>
              <w:jc w:val="center"/>
              <w:rPr>
                <w:sz w:val="15"/>
                <w:szCs w:val="15"/>
                <w:highlight w:val="none"/>
              </w:rPr>
            </w:pPr>
            <w:r>
              <w:rPr>
                <w:sz w:val="15"/>
                <w:szCs w:val="15"/>
                <w:highlight w:val="none"/>
              </w:rPr>
              <w:t>0.70</w:t>
            </w:r>
          </w:p>
        </w:tc>
        <w:tc>
          <w:tcPr>
            <w:tcW w:w="361" w:type="pct"/>
            <w:tcBorders>
              <w:top w:val="nil"/>
              <w:left w:val="nil"/>
              <w:bottom w:val="single" w:color="auto" w:sz="4" w:space="0"/>
              <w:right w:val="single" w:color="auto" w:sz="4" w:space="0"/>
            </w:tcBorders>
            <w:shd w:val="clear" w:color="auto" w:fill="auto"/>
            <w:noWrap/>
            <w:vAlign w:val="center"/>
          </w:tcPr>
          <w:p w14:paraId="7DB37B1E">
            <w:pPr>
              <w:widowControl/>
              <w:jc w:val="center"/>
              <w:rPr>
                <w:sz w:val="15"/>
                <w:szCs w:val="15"/>
                <w:highlight w:val="none"/>
              </w:rPr>
            </w:pPr>
            <w:r>
              <w:rPr>
                <w:sz w:val="15"/>
                <w:szCs w:val="15"/>
                <w:highlight w:val="none"/>
              </w:rPr>
              <w:t>/</w:t>
            </w:r>
          </w:p>
        </w:tc>
      </w:tr>
      <w:tr w14:paraId="4C11BA6E">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019EB198">
            <w:pPr>
              <w:widowControl/>
              <w:jc w:val="center"/>
              <w:rPr>
                <w:sz w:val="15"/>
                <w:szCs w:val="15"/>
                <w:highlight w:val="none"/>
              </w:rPr>
            </w:pPr>
            <w:r>
              <w:rPr>
                <w:sz w:val="15"/>
                <w:szCs w:val="15"/>
                <w:highlight w:val="none"/>
              </w:rPr>
              <w:t>2025.10.11</w:t>
            </w:r>
          </w:p>
        </w:tc>
        <w:tc>
          <w:tcPr>
            <w:tcW w:w="306" w:type="pct"/>
            <w:tcBorders>
              <w:top w:val="nil"/>
              <w:left w:val="nil"/>
              <w:bottom w:val="single" w:color="auto" w:sz="4" w:space="0"/>
              <w:right w:val="single" w:color="auto" w:sz="4" w:space="0"/>
            </w:tcBorders>
            <w:shd w:val="clear" w:color="auto" w:fill="auto"/>
            <w:noWrap/>
            <w:vAlign w:val="center"/>
          </w:tcPr>
          <w:p w14:paraId="400FC0E0">
            <w:pPr>
              <w:widowControl/>
              <w:jc w:val="center"/>
              <w:rPr>
                <w:sz w:val="15"/>
                <w:szCs w:val="15"/>
                <w:highlight w:val="none"/>
              </w:rPr>
            </w:pPr>
            <w:r>
              <w:rPr>
                <w:sz w:val="15"/>
                <w:szCs w:val="15"/>
                <w:highlight w:val="none"/>
              </w:rPr>
              <w:t>10:20</w:t>
            </w:r>
          </w:p>
        </w:tc>
        <w:tc>
          <w:tcPr>
            <w:tcW w:w="368" w:type="pct"/>
            <w:tcBorders>
              <w:top w:val="nil"/>
              <w:left w:val="nil"/>
              <w:bottom w:val="single" w:color="auto" w:sz="4" w:space="0"/>
              <w:right w:val="single" w:color="auto" w:sz="4" w:space="0"/>
            </w:tcBorders>
            <w:shd w:val="clear" w:color="auto" w:fill="auto"/>
            <w:noWrap/>
            <w:vAlign w:val="center"/>
          </w:tcPr>
          <w:p w14:paraId="3767351B">
            <w:pPr>
              <w:widowControl/>
              <w:jc w:val="center"/>
              <w:rPr>
                <w:sz w:val="15"/>
                <w:szCs w:val="15"/>
                <w:highlight w:val="none"/>
              </w:rPr>
            </w:pPr>
            <w:r>
              <w:rPr>
                <w:sz w:val="15"/>
                <w:szCs w:val="15"/>
                <w:highlight w:val="none"/>
              </w:rPr>
              <w:t>7.65</w:t>
            </w:r>
          </w:p>
        </w:tc>
        <w:tc>
          <w:tcPr>
            <w:tcW w:w="348" w:type="pct"/>
            <w:tcBorders>
              <w:top w:val="nil"/>
              <w:left w:val="nil"/>
              <w:bottom w:val="single" w:color="auto" w:sz="4" w:space="0"/>
              <w:right w:val="single" w:color="auto" w:sz="4" w:space="0"/>
            </w:tcBorders>
            <w:shd w:val="clear" w:color="auto" w:fill="auto"/>
            <w:noWrap/>
            <w:vAlign w:val="center"/>
          </w:tcPr>
          <w:p w14:paraId="0D6D290C">
            <w:pPr>
              <w:widowControl/>
              <w:jc w:val="center"/>
              <w:rPr>
                <w:sz w:val="15"/>
                <w:szCs w:val="15"/>
                <w:highlight w:val="none"/>
              </w:rPr>
            </w:pPr>
            <w:r>
              <w:rPr>
                <w:sz w:val="15"/>
                <w:szCs w:val="15"/>
                <w:highlight w:val="none"/>
              </w:rPr>
              <w:t>1.27</w:t>
            </w:r>
          </w:p>
        </w:tc>
        <w:tc>
          <w:tcPr>
            <w:tcW w:w="393" w:type="pct"/>
            <w:tcBorders>
              <w:top w:val="nil"/>
              <w:left w:val="nil"/>
              <w:bottom w:val="single" w:color="auto" w:sz="4" w:space="0"/>
              <w:right w:val="single" w:color="auto" w:sz="4" w:space="0"/>
            </w:tcBorders>
            <w:shd w:val="clear" w:color="auto" w:fill="auto"/>
            <w:noWrap/>
            <w:vAlign w:val="center"/>
          </w:tcPr>
          <w:p w14:paraId="2FCC7BD7">
            <w:pPr>
              <w:widowControl/>
              <w:jc w:val="center"/>
              <w:rPr>
                <w:sz w:val="15"/>
                <w:szCs w:val="15"/>
                <w:highlight w:val="none"/>
              </w:rPr>
            </w:pPr>
            <w:r>
              <w:rPr>
                <w:sz w:val="15"/>
                <w:szCs w:val="15"/>
                <w:highlight w:val="none"/>
              </w:rPr>
              <w:t>1898</w:t>
            </w:r>
          </w:p>
        </w:tc>
        <w:tc>
          <w:tcPr>
            <w:tcW w:w="375" w:type="pct"/>
            <w:tcBorders>
              <w:top w:val="nil"/>
              <w:left w:val="nil"/>
              <w:bottom w:val="single" w:color="auto" w:sz="4" w:space="0"/>
              <w:right w:val="single" w:color="auto" w:sz="4" w:space="0"/>
            </w:tcBorders>
            <w:shd w:val="clear" w:color="auto" w:fill="auto"/>
            <w:noWrap/>
            <w:vAlign w:val="center"/>
          </w:tcPr>
          <w:p w14:paraId="52B7AFB6">
            <w:pPr>
              <w:widowControl/>
              <w:jc w:val="center"/>
              <w:rPr>
                <w:sz w:val="15"/>
                <w:szCs w:val="15"/>
                <w:highlight w:val="none"/>
              </w:rPr>
            </w:pPr>
            <w:r>
              <w:rPr>
                <w:sz w:val="15"/>
                <w:szCs w:val="15"/>
                <w:highlight w:val="none"/>
              </w:rPr>
              <w:t>7.9</w:t>
            </w:r>
          </w:p>
        </w:tc>
        <w:tc>
          <w:tcPr>
            <w:tcW w:w="361" w:type="pct"/>
            <w:tcBorders>
              <w:top w:val="nil"/>
              <w:left w:val="nil"/>
              <w:bottom w:val="single" w:color="auto" w:sz="4" w:space="0"/>
              <w:right w:val="single" w:color="auto" w:sz="4" w:space="0"/>
            </w:tcBorders>
            <w:shd w:val="clear" w:color="auto" w:fill="auto"/>
            <w:noWrap/>
            <w:vAlign w:val="center"/>
          </w:tcPr>
          <w:p w14:paraId="6BDCB354">
            <w:pPr>
              <w:widowControl/>
              <w:jc w:val="center"/>
              <w:rPr>
                <w:sz w:val="15"/>
                <w:szCs w:val="15"/>
                <w:highlight w:val="none"/>
              </w:rPr>
            </w:pPr>
            <w:r>
              <w:rPr>
                <w:sz w:val="15"/>
                <w:szCs w:val="15"/>
                <w:highlight w:val="none"/>
              </w:rPr>
              <w:t>0.26</w:t>
            </w:r>
          </w:p>
        </w:tc>
        <w:tc>
          <w:tcPr>
            <w:tcW w:w="361" w:type="pct"/>
            <w:tcBorders>
              <w:top w:val="nil"/>
              <w:left w:val="nil"/>
              <w:bottom w:val="single" w:color="auto" w:sz="4" w:space="0"/>
              <w:right w:val="single" w:color="auto" w:sz="4" w:space="0"/>
            </w:tcBorders>
            <w:shd w:val="clear" w:color="auto" w:fill="auto"/>
            <w:noWrap/>
            <w:vAlign w:val="center"/>
          </w:tcPr>
          <w:p w14:paraId="0CD89208">
            <w:pPr>
              <w:widowControl/>
              <w:jc w:val="center"/>
              <w:rPr>
                <w:sz w:val="15"/>
                <w:szCs w:val="15"/>
                <w:highlight w:val="none"/>
              </w:rPr>
            </w:pPr>
            <w:r>
              <w:rPr>
                <w:sz w:val="15"/>
                <w:szCs w:val="15"/>
                <w:highlight w:val="none"/>
              </w:rPr>
              <w:t>242.76</w:t>
            </w:r>
          </w:p>
        </w:tc>
        <w:tc>
          <w:tcPr>
            <w:tcW w:w="453" w:type="pct"/>
            <w:tcBorders>
              <w:top w:val="nil"/>
              <w:left w:val="nil"/>
              <w:bottom w:val="single" w:color="auto" w:sz="4" w:space="0"/>
              <w:right w:val="single" w:color="auto" w:sz="4" w:space="0"/>
            </w:tcBorders>
            <w:shd w:val="clear" w:color="auto" w:fill="auto"/>
            <w:noWrap/>
            <w:vAlign w:val="center"/>
          </w:tcPr>
          <w:p w14:paraId="6B6701C3">
            <w:pPr>
              <w:widowControl/>
              <w:jc w:val="center"/>
              <w:rPr>
                <w:sz w:val="15"/>
                <w:szCs w:val="15"/>
                <w:highlight w:val="none"/>
              </w:rPr>
            </w:pPr>
            <w:r>
              <w:rPr>
                <w:sz w:val="15"/>
                <w:szCs w:val="15"/>
                <w:highlight w:val="none"/>
              </w:rPr>
              <w:t>4.97</w:t>
            </w:r>
          </w:p>
        </w:tc>
        <w:tc>
          <w:tcPr>
            <w:tcW w:w="453" w:type="pct"/>
            <w:tcBorders>
              <w:top w:val="nil"/>
              <w:left w:val="nil"/>
              <w:bottom w:val="single" w:color="auto" w:sz="4" w:space="0"/>
              <w:right w:val="single" w:color="auto" w:sz="4" w:space="0"/>
            </w:tcBorders>
            <w:shd w:val="clear" w:color="auto" w:fill="auto"/>
            <w:noWrap/>
            <w:vAlign w:val="center"/>
          </w:tcPr>
          <w:p w14:paraId="69BB9345">
            <w:pPr>
              <w:widowControl/>
              <w:jc w:val="center"/>
              <w:rPr>
                <w:sz w:val="15"/>
                <w:szCs w:val="15"/>
                <w:highlight w:val="none"/>
              </w:rPr>
            </w:pPr>
            <w:r>
              <w:rPr>
                <w:sz w:val="15"/>
                <w:szCs w:val="15"/>
                <w:highlight w:val="none"/>
              </w:rPr>
              <w:t>3.02</w:t>
            </w:r>
          </w:p>
        </w:tc>
        <w:tc>
          <w:tcPr>
            <w:tcW w:w="361" w:type="pct"/>
            <w:tcBorders>
              <w:top w:val="nil"/>
              <w:left w:val="nil"/>
              <w:bottom w:val="single" w:color="auto" w:sz="4" w:space="0"/>
              <w:right w:val="single" w:color="auto" w:sz="4" w:space="0"/>
            </w:tcBorders>
            <w:shd w:val="clear" w:color="auto" w:fill="auto"/>
            <w:noWrap/>
            <w:vAlign w:val="center"/>
          </w:tcPr>
          <w:p w14:paraId="5C0D9A9A">
            <w:pPr>
              <w:widowControl/>
              <w:jc w:val="center"/>
              <w:rPr>
                <w:sz w:val="15"/>
                <w:szCs w:val="15"/>
                <w:highlight w:val="none"/>
              </w:rPr>
            </w:pPr>
            <w:r>
              <w:rPr>
                <w:sz w:val="15"/>
                <w:szCs w:val="15"/>
                <w:highlight w:val="none"/>
              </w:rPr>
              <w:t>0.10</w:t>
            </w:r>
          </w:p>
        </w:tc>
        <w:tc>
          <w:tcPr>
            <w:tcW w:w="36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0F0EC4D">
            <w:pPr>
              <w:widowControl/>
              <w:jc w:val="center"/>
              <w:rPr>
                <w:sz w:val="15"/>
                <w:szCs w:val="15"/>
                <w:highlight w:val="none"/>
              </w:rPr>
            </w:pPr>
            <w:r>
              <w:rPr>
                <w:sz w:val="15"/>
                <w:szCs w:val="15"/>
                <w:highlight w:val="none"/>
              </w:rPr>
              <w:t>0.63</w:t>
            </w:r>
          </w:p>
        </w:tc>
        <w:tc>
          <w:tcPr>
            <w:tcW w:w="361" w:type="pct"/>
            <w:tcBorders>
              <w:top w:val="nil"/>
              <w:left w:val="nil"/>
              <w:bottom w:val="single" w:color="auto" w:sz="4" w:space="0"/>
              <w:right w:val="single" w:color="auto" w:sz="4" w:space="0"/>
            </w:tcBorders>
            <w:shd w:val="clear" w:color="auto" w:fill="auto"/>
            <w:noWrap/>
            <w:vAlign w:val="center"/>
          </w:tcPr>
          <w:p w14:paraId="05A5FE19">
            <w:pPr>
              <w:widowControl/>
              <w:jc w:val="center"/>
              <w:rPr>
                <w:sz w:val="15"/>
                <w:szCs w:val="15"/>
                <w:highlight w:val="none"/>
              </w:rPr>
            </w:pPr>
            <w:r>
              <w:rPr>
                <w:sz w:val="15"/>
                <w:szCs w:val="15"/>
                <w:highlight w:val="none"/>
              </w:rPr>
              <w:t>/</w:t>
            </w:r>
          </w:p>
        </w:tc>
      </w:tr>
      <w:tr w14:paraId="592DA123">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5F29F463">
            <w:pPr>
              <w:widowControl/>
              <w:jc w:val="center"/>
              <w:rPr>
                <w:sz w:val="15"/>
                <w:szCs w:val="15"/>
                <w:highlight w:val="none"/>
              </w:rPr>
            </w:pPr>
            <w:r>
              <w:rPr>
                <w:sz w:val="15"/>
                <w:szCs w:val="15"/>
                <w:highlight w:val="none"/>
              </w:rPr>
              <w:t>2025.10.16</w:t>
            </w:r>
          </w:p>
        </w:tc>
        <w:tc>
          <w:tcPr>
            <w:tcW w:w="306" w:type="pct"/>
            <w:tcBorders>
              <w:top w:val="nil"/>
              <w:left w:val="nil"/>
              <w:bottom w:val="single" w:color="auto" w:sz="4" w:space="0"/>
              <w:right w:val="single" w:color="auto" w:sz="4" w:space="0"/>
            </w:tcBorders>
            <w:shd w:val="clear" w:color="auto" w:fill="auto"/>
            <w:noWrap/>
            <w:vAlign w:val="center"/>
          </w:tcPr>
          <w:p w14:paraId="67915F6A">
            <w:pPr>
              <w:widowControl/>
              <w:jc w:val="center"/>
              <w:rPr>
                <w:sz w:val="15"/>
                <w:szCs w:val="15"/>
                <w:highlight w:val="none"/>
              </w:rPr>
            </w:pPr>
            <w:r>
              <w:rPr>
                <w:sz w:val="15"/>
                <w:szCs w:val="15"/>
                <w:highlight w:val="none"/>
              </w:rPr>
              <w:t>11:00</w:t>
            </w:r>
          </w:p>
        </w:tc>
        <w:tc>
          <w:tcPr>
            <w:tcW w:w="368" w:type="pct"/>
            <w:tcBorders>
              <w:top w:val="nil"/>
              <w:left w:val="nil"/>
              <w:bottom w:val="single" w:color="auto" w:sz="4" w:space="0"/>
              <w:right w:val="single" w:color="auto" w:sz="4" w:space="0"/>
            </w:tcBorders>
            <w:shd w:val="clear" w:color="auto" w:fill="auto"/>
            <w:noWrap/>
            <w:vAlign w:val="center"/>
          </w:tcPr>
          <w:p w14:paraId="4F066376">
            <w:pPr>
              <w:widowControl/>
              <w:jc w:val="center"/>
              <w:rPr>
                <w:sz w:val="15"/>
                <w:szCs w:val="15"/>
                <w:highlight w:val="none"/>
              </w:rPr>
            </w:pPr>
            <w:r>
              <w:rPr>
                <w:sz w:val="15"/>
                <w:szCs w:val="15"/>
                <w:highlight w:val="none"/>
              </w:rPr>
              <w:t>7.27</w:t>
            </w:r>
          </w:p>
        </w:tc>
        <w:tc>
          <w:tcPr>
            <w:tcW w:w="348" w:type="pct"/>
            <w:tcBorders>
              <w:top w:val="nil"/>
              <w:left w:val="nil"/>
              <w:bottom w:val="single" w:color="auto" w:sz="4" w:space="0"/>
              <w:right w:val="single" w:color="auto" w:sz="4" w:space="0"/>
            </w:tcBorders>
            <w:shd w:val="clear" w:color="auto" w:fill="auto"/>
            <w:noWrap/>
            <w:vAlign w:val="center"/>
          </w:tcPr>
          <w:p w14:paraId="43228CAB">
            <w:pPr>
              <w:widowControl/>
              <w:jc w:val="center"/>
              <w:rPr>
                <w:sz w:val="15"/>
                <w:szCs w:val="15"/>
                <w:highlight w:val="none"/>
              </w:rPr>
            </w:pPr>
            <w:r>
              <w:rPr>
                <w:sz w:val="15"/>
                <w:szCs w:val="15"/>
                <w:highlight w:val="none"/>
              </w:rPr>
              <w:t>1.36</w:t>
            </w:r>
          </w:p>
        </w:tc>
        <w:tc>
          <w:tcPr>
            <w:tcW w:w="393" w:type="pct"/>
            <w:tcBorders>
              <w:top w:val="nil"/>
              <w:left w:val="nil"/>
              <w:bottom w:val="single" w:color="auto" w:sz="4" w:space="0"/>
              <w:right w:val="single" w:color="auto" w:sz="4" w:space="0"/>
            </w:tcBorders>
            <w:shd w:val="clear" w:color="auto" w:fill="auto"/>
            <w:noWrap/>
            <w:vAlign w:val="center"/>
          </w:tcPr>
          <w:p w14:paraId="1F7B5E0E">
            <w:pPr>
              <w:widowControl/>
              <w:jc w:val="center"/>
              <w:rPr>
                <w:sz w:val="15"/>
                <w:szCs w:val="15"/>
                <w:highlight w:val="none"/>
              </w:rPr>
            </w:pPr>
            <w:r>
              <w:rPr>
                <w:sz w:val="15"/>
                <w:szCs w:val="15"/>
                <w:highlight w:val="none"/>
              </w:rPr>
              <w:t>1758</w:t>
            </w:r>
          </w:p>
        </w:tc>
        <w:tc>
          <w:tcPr>
            <w:tcW w:w="375" w:type="pct"/>
            <w:tcBorders>
              <w:top w:val="nil"/>
              <w:left w:val="nil"/>
              <w:bottom w:val="single" w:color="auto" w:sz="4" w:space="0"/>
              <w:right w:val="single" w:color="auto" w:sz="4" w:space="0"/>
            </w:tcBorders>
            <w:shd w:val="clear" w:color="auto" w:fill="auto"/>
            <w:noWrap/>
            <w:vAlign w:val="center"/>
          </w:tcPr>
          <w:p w14:paraId="5AD40212">
            <w:pPr>
              <w:widowControl/>
              <w:jc w:val="center"/>
              <w:rPr>
                <w:sz w:val="15"/>
                <w:szCs w:val="15"/>
                <w:highlight w:val="none"/>
              </w:rPr>
            </w:pPr>
            <w:r>
              <w:rPr>
                <w:sz w:val="15"/>
                <w:szCs w:val="15"/>
                <w:highlight w:val="none"/>
              </w:rPr>
              <w:t>6.5</w:t>
            </w:r>
          </w:p>
        </w:tc>
        <w:tc>
          <w:tcPr>
            <w:tcW w:w="361" w:type="pct"/>
            <w:tcBorders>
              <w:top w:val="nil"/>
              <w:left w:val="nil"/>
              <w:bottom w:val="single" w:color="auto" w:sz="4" w:space="0"/>
              <w:right w:val="single" w:color="auto" w:sz="4" w:space="0"/>
            </w:tcBorders>
            <w:shd w:val="clear" w:color="auto" w:fill="auto"/>
            <w:noWrap/>
            <w:vAlign w:val="center"/>
          </w:tcPr>
          <w:p w14:paraId="12605538">
            <w:pPr>
              <w:widowControl/>
              <w:jc w:val="center"/>
              <w:rPr>
                <w:sz w:val="15"/>
                <w:szCs w:val="15"/>
                <w:highlight w:val="none"/>
              </w:rPr>
            </w:pPr>
            <w:r>
              <w:rPr>
                <w:sz w:val="15"/>
                <w:szCs w:val="15"/>
                <w:highlight w:val="none"/>
              </w:rPr>
              <w:t>0.32</w:t>
            </w:r>
          </w:p>
        </w:tc>
        <w:tc>
          <w:tcPr>
            <w:tcW w:w="361" w:type="pct"/>
            <w:tcBorders>
              <w:top w:val="nil"/>
              <w:left w:val="nil"/>
              <w:bottom w:val="single" w:color="auto" w:sz="4" w:space="0"/>
              <w:right w:val="single" w:color="auto" w:sz="4" w:space="0"/>
            </w:tcBorders>
            <w:shd w:val="clear" w:color="auto" w:fill="auto"/>
            <w:noWrap/>
            <w:vAlign w:val="center"/>
          </w:tcPr>
          <w:p w14:paraId="14B1EF4E">
            <w:pPr>
              <w:widowControl/>
              <w:jc w:val="center"/>
              <w:rPr>
                <w:sz w:val="15"/>
                <w:szCs w:val="15"/>
                <w:highlight w:val="none"/>
              </w:rPr>
            </w:pPr>
            <w:r>
              <w:rPr>
                <w:sz w:val="15"/>
                <w:szCs w:val="15"/>
                <w:highlight w:val="none"/>
              </w:rPr>
              <w:t>224.23</w:t>
            </w:r>
          </w:p>
        </w:tc>
        <w:tc>
          <w:tcPr>
            <w:tcW w:w="453" w:type="pct"/>
            <w:tcBorders>
              <w:top w:val="nil"/>
              <w:left w:val="nil"/>
              <w:bottom w:val="single" w:color="auto" w:sz="4" w:space="0"/>
              <w:right w:val="single" w:color="auto" w:sz="4" w:space="0"/>
            </w:tcBorders>
            <w:shd w:val="clear" w:color="auto" w:fill="auto"/>
            <w:noWrap/>
            <w:vAlign w:val="center"/>
          </w:tcPr>
          <w:p w14:paraId="09365264">
            <w:pPr>
              <w:widowControl/>
              <w:jc w:val="center"/>
              <w:rPr>
                <w:sz w:val="15"/>
                <w:szCs w:val="15"/>
                <w:highlight w:val="none"/>
              </w:rPr>
            </w:pPr>
            <w:r>
              <w:rPr>
                <w:sz w:val="15"/>
                <w:szCs w:val="15"/>
                <w:highlight w:val="none"/>
              </w:rPr>
              <w:t>5.36</w:t>
            </w:r>
          </w:p>
        </w:tc>
        <w:tc>
          <w:tcPr>
            <w:tcW w:w="453" w:type="pct"/>
            <w:tcBorders>
              <w:top w:val="nil"/>
              <w:left w:val="nil"/>
              <w:bottom w:val="single" w:color="auto" w:sz="4" w:space="0"/>
              <w:right w:val="single" w:color="auto" w:sz="4" w:space="0"/>
            </w:tcBorders>
            <w:shd w:val="clear" w:color="auto" w:fill="auto"/>
            <w:noWrap/>
            <w:vAlign w:val="center"/>
          </w:tcPr>
          <w:p w14:paraId="04036BA5">
            <w:pPr>
              <w:widowControl/>
              <w:jc w:val="center"/>
              <w:rPr>
                <w:sz w:val="15"/>
                <w:szCs w:val="15"/>
                <w:highlight w:val="none"/>
              </w:rPr>
            </w:pPr>
            <w:r>
              <w:rPr>
                <w:sz w:val="15"/>
                <w:szCs w:val="15"/>
                <w:highlight w:val="none"/>
              </w:rPr>
              <w:t>3.44</w:t>
            </w:r>
          </w:p>
        </w:tc>
        <w:tc>
          <w:tcPr>
            <w:tcW w:w="361" w:type="pct"/>
            <w:tcBorders>
              <w:top w:val="nil"/>
              <w:left w:val="nil"/>
              <w:bottom w:val="single" w:color="auto" w:sz="4" w:space="0"/>
              <w:right w:val="single" w:color="auto" w:sz="4" w:space="0"/>
            </w:tcBorders>
            <w:shd w:val="clear" w:color="auto" w:fill="auto"/>
            <w:noWrap/>
            <w:vAlign w:val="center"/>
          </w:tcPr>
          <w:p w14:paraId="12455DF4">
            <w:pPr>
              <w:widowControl/>
              <w:jc w:val="center"/>
              <w:rPr>
                <w:sz w:val="15"/>
                <w:szCs w:val="15"/>
                <w:highlight w:val="none"/>
              </w:rPr>
            </w:pPr>
            <w:r>
              <w:rPr>
                <w:sz w:val="15"/>
                <w:szCs w:val="15"/>
                <w:highlight w:val="none"/>
              </w:rPr>
              <w:t>0.20</w:t>
            </w:r>
          </w:p>
        </w:tc>
        <w:tc>
          <w:tcPr>
            <w:tcW w:w="361" w:type="pct"/>
            <w:tcBorders>
              <w:top w:val="nil"/>
              <w:left w:val="nil"/>
              <w:bottom w:val="single" w:color="auto" w:sz="4" w:space="0"/>
              <w:right w:val="single" w:color="auto" w:sz="4" w:space="0"/>
            </w:tcBorders>
            <w:shd w:val="clear" w:color="auto" w:fill="auto"/>
            <w:noWrap/>
            <w:vAlign w:val="center"/>
          </w:tcPr>
          <w:p w14:paraId="0A321849">
            <w:pPr>
              <w:widowControl/>
              <w:jc w:val="center"/>
              <w:rPr>
                <w:sz w:val="15"/>
                <w:szCs w:val="15"/>
                <w:highlight w:val="none"/>
              </w:rPr>
            </w:pPr>
            <w:r>
              <w:rPr>
                <w:sz w:val="15"/>
                <w:szCs w:val="15"/>
                <w:highlight w:val="none"/>
              </w:rPr>
              <w:t>0.45</w:t>
            </w:r>
          </w:p>
        </w:tc>
        <w:tc>
          <w:tcPr>
            <w:tcW w:w="361" w:type="pct"/>
            <w:tcBorders>
              <w:top w:val="nil"/>
              <w:left w:val="nil"/>
              <w:bottom w:val="single" w:color="auto" w:sz="4" w:space="0"/>
              <w:right w:val="single" w:color="auto" w:sz="4" w:space="0"/>
            </w:tcBorders>
            <w:shd w:val="clear" w:color="auto" w:fill="auto"/>
            <w:noWrap/>
            <w:vAlign w:val="center"/>
          </w:tcPr>
          <w:p w14:paraId="3EDA564D">
            <w:pPr>
              <w:widowControl/>
              <w:jc w:val="center"/>
              <w:rPr>
                <w:sz w:val="15"/>
                <w:szCs w:val="15"/>
                <w:highlight w:val="none"/>
              </w:rPr>
            </w:pPr>
            <w:r>
              <w:rPr>
                <w:sz w:val="15"/>
                <w:szCs w:val="15"/>
                <w:highlight w:val="none"/>
              </w:rPr>
              <w:t>/</w:t>
            </w:r>
          </w:p>
        </w:tc>
      </w:tr>
      <w:tr w14:paraId="7AD25199">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468B9B66">
            <w:pPr>
              <w:widowControl/>
              <w:jc w:val="center"/>
              <w:rPr>
                <w:sz w:val="15"/>
                <w:szCs w:val="15"/>
                <w:highlight w:val="none"/>
              </w:rPr>
            </w:pPr>
            <w:r>
              <w:rPr>
                <w:sz w:val="15"/>
                <w:szCs w:val="15"/>
                <w:highlight w:val="none"/>
              </w:rPr>
              <w:t>2025.10.23</w:t>
            </w:r>
          </w:p>
        </w:tc>
        <w:tc>
          <w:tcPr>
            <w:tcW w:w="306" w:type="pct"/>
            <w:tcBorders>
              <w:top w:val="nil"/>
              <w:left w:val="nil"/>
              <w:bottom w:val="single" w:color="auto" w:sz="4" w:space="0"/>
              <w:right w:val="single" w:color="auto" w:sz="4" w:space="0"/>
            </w:tcBorders>
            <w:shd w:val="clear" w:color="auto" w:fill="auto"/>
            <w:noWrap/>
            <w:vAlign w:val="center"/>
          </w:tcPr>
          <w:p w14:paraId="74D5702B">
            <w:pPr>
              <w:widowControl/>
              <w:jc w:val="center"/>
              <w:rPr>
                <w:sz w:val="15"/>
                <w:szCs w:val="15"/>
                <w:highlight w:val="none"/>
              </w:rPr>
            </w:pPr>
            <w:r>
              <w:rPr>
                <w:sz w:val="15"/>
                <w:szCs w:val="15"/>
                <w:highlight w:val="none"/>
              </w:rPr>
              <w:t>10:55</w:t>
            </w:r>
          </w:p>
        </w:tc>
        <w:tc>
          <w:tcPr>
            <w:tcW w:w="368" w:type="pct"/>
            <w:tcBorders>
              <w:top w:val="nil"/>
              <w:left w:val="nil"/>
              <w:bottom w:val="single" w:color="auto" w:sz="4" w:space="0"/>
              <w:right w:val="single" w:color="auto" w:sz="4" w:space="0"/>
            </w:tcBorders>
            <w:shd w:val="clear" w:color="auto" w:fill="auto"/>
            <w:noWrap/>
            <w:vAlign w:val="center"/>
          </w:tcPr>
          <w:p w14:paraId="3B3D12D7">
            <w:pPr>
              <w:widowControl/>
              <w:jc w:val="center"/>
              <w:rPr>
                <w:sz w:val="15"/>
                <w:szCs w:val="15"/>
                <w:highlight w:val="none"/>
              </w:rPr>
            </w:pPr>
            <w:r>
              <w:rPr>
                <w:sz w:val="15"/>
                <w:szCs w:val="15"/>
                <w:highlight w:val="none"/>
              </w:rPr>
              <w:t>7.71</w:t>
            </w:r>
          </w:p>
        </w:tc>
        <w:tc>
          <w:tcPr>
            <w:tcW w:w="348" w:type="pct"/>
            <w:tcBorders>
              <w:top w:val="nil"/>
              <w:left w:val="nil"/>
              <w:bottom w:val="single" w:color="auto" w:sz="4" w:space="0"/>
              <w:right w:val="single" w:color="auto" w:sz="4" w:space="0"/>
            </w:tcBorders>
            <w:shd w:val="clear" w:color="auto" w:fill="auto"/>
            <w:noWrap/>
            <w:vAlign w:val="center"/>
          </w:tcPr>
          <w:p w14:paraId="31088744">
            <w:pPr>
              <w:widowControl/>
              <w:jc w:val="center"/>
              <w:rPr>
                <w:sz w:val="15"/>
                <w:szCs w:val="15"/>
                <w:highlight w:val="none"/>
              </w:rPr>
            </w:pPr>
            <w:r>
              <w:rPr>
                <w:sz w:val="15"/>
                <w:szCs w:val="15"/>
                <w:highlight w:val="none"/>
              </w:rPr>
              <w:t>1.09</w:t>
            </w:r>
          </w:p>
        </w:tc>
        <w:tc>
          <w:tcPr>
            <w:tcW w:w="393" w:type="pct"/>
            <w:tcBorders>
              <w:top w:val="nil"/>
              <w:left w:val="nil"/>
              <w:bottom w:val="single" w:color="auto" w:sz="4" w:space="0"/>
              <w:right w:val="single" w:color="auto" w:sz="4" w:space="0"/>
            </w:tcBorders>
            <w:shd w:val="clear" w:color="auto" w:fill="auto"/>
            <w:noWrap/>
            <w:vAlign w:val="center"/>
          </w:tcPr>
          <w:p w14:paraId="2F3A0848">
            <w:pPr>
              <w:widowControl/>
              <w:jc w:val="center"/>
              <w:rPr>
                <w:sz w:val="15"/>
                <w:szCs w:val="15"/>
                <w:highlight w:val="none"/>
              </w:rPr>
            </w:pPr>
            <w:r>
              <w:rPr>
                <w:sz w:val="15"/>
                <w:szCs w:val="15"/>
                <w:highlight w:val="none"/>
              </w:rPr>
              <w:t>1685</w:t>
            </w:r>
          </w:p>
        </w:tc>
        <w:tc>
          <w:tcPr>
            <w:tcW w:w="375" w:type="pct"/>
            <w:tcBorders>
              <w:top w:val="nil"/>
              <w:left w:val="nil"/>
              <w:bottom w:val="single" w:color="auto" w:sz="4" w:space="0"/>
              <w:right w:val="single" w:color="auto" w:sz="4" w:space="0"/>
            </w:tcBorders>
            <w:shd w:val="clear" w:color="auto" w:fill="auto"/>
            <w:noWrap/>
            <w:vAlign w:val="center"/>
          </w:tcPr>
          <w:p w14:paraId="605C7E0F">
            <w:pPr>
              <w:widowControl/>
              <w:jc w:val="center"/>
              <w:rPr>
                <w:sz w:val="15"/>
                <w:szCs w:val="15"/>
                <w:highlight w:val="none"/>
              </w:rPr>
            </w:pPr>
            <w:r>
              <w:rPr>
                <w:sz w:val="15"/>
                <w:szCs w:val="15"/>
                <w:highlight w:val="none"/>
              </w:rPr>
              <w:t>12.9</w:t>
            </w:r>
          </w:p>
        </w:tc>
        <w:tc>
          <w:tcPr>
            <w:tcW w:w="361" w:type="pct"/>
            <w:tcBorders>
              <w:top w:val="nil"/>
              <w:left w:val="nil"/>
              <w:bottom w:val="single" w:color="auto" w:sz="4" w:space="0"/>
              <w:right w:val="single" w:color="auto" w:sz="4" w:space="0"/>
            </w:tcBorders>
            <w:shd w:val="clear" w:color="auto" w:fill="auto"/>
            <w:noWrap/>
            <w:vAlign w:val="center"/>
          </w:tcPr>
          <w:p w14:paraId="575CDF5D">
            <w:pPr>
              <w:widowControl/>
              <w:jc w:val="center"/>
              <w:rPr>
                <w:sz w:val="15"/>
                <w:szCs w:val="15"/>
                <w:highlight w:val="none"/>
              </w:rPr>
            </w:pPr>
            <w:r>
              <w:rPr>
                <w:sz w:val="15"/>
                <w:szCs w:val="15"/>
                <w:highlight w:val="none"/>
              </w:rPr>
              <w:t>0.08</w:t>
            </w:r>
          </w:p>
        </w:tc>
        <w:tc>
          <w:tcPr>
            <w:tcW w:w="361" w:type="pct"/>
            <w:tcBorders>
              <w:top w:val="nil"/>
              <w:left w:val="nil"/>
              <w:bottom w:val="single" w:color="auto" w:sz="4" w:space="0"/>
              <w:right w:val="single" w:color="auto" w:sz="4" w:space="0"/>
            </w:tcBorders>
            <w:shd w:val="clear" w:color="auto" w:fill="auto"/>
            <w:noWrap/>
            <w:vAlign w:val="center"/>
          </w:tcPr>
          <w:p w14:paraId="20F1CB6D">
            <w:pPr>
              <w:widowControl/>
              <w:jc w:val="center"/>
              <w:rPr>
                <w:sz w:val="15"/>
                <w:szCs w:val="15"/>
                <w:highlight w:val="none"/>
              </w:rPr>
            </w:pPr>
            <w:r>
              <w:rPr>
                <w:sz w:val="15"/>
                <w:szCs w:val="15"/>
                <w:highlight w:val="none"/>
              </w:rPr>
              <w:t>211.92</w:t>
            </w:r>
          </w:p>
        </w:tc>
        <w:tc>
          <w:tcPr>
            <w:tcW w:w="453" w:type="pct"/>
            <w:tcBorders>
              <w:top w:val="nil"/>
              <w:left w:val="nil"/>
              <w:bottom w:val="single" w:color="auto" w:sz="4" w:space="0"/>
              <w:right w:val="single" w:color="auto" w:sz="4" w:space="0"/>
            </w:tcBorders>
            <w:shd w:val="clear" w:color="auto" w:fill="auto"/>
            <w:noWrap/>
            <w:vAlign w:val="center"/>
          </w:tcPr>
          <w:p w14:paraId="7715E9DD">
            <w:pPr>
              <w:widowControl/>
              <w:jc w:val="center"/>
              <w:rPr>
                <w:sz w:val="15"/>
                <w:szCs w:val="15"/>
                <w:highlight w:val="none"/>
              </w:rPr>
            </w:pPr>
            <w:r>
              <w:rPr>
                <w:sz w:val="15"/>
                <w:szCs w:val="15"/>
                <w:highlight w:val="none"/>
              </w:rPr>
              <w:t>4.68</w:t>
            </w:r>
          </w:p>
        </w:tc>
        <w:tc>
          <w:tcPr>
            <w:tcW w:w="453" w:type="pct"/>
            <w:tcBorders>
              <w:top w:val="nil"/>
              <w:left w:val="nil"/>
              <w:bottom w:val="single" w:color="auto" w:sz="4" w:space="0"/>
              <w:right w:val="single" w:color="auto" w:sz="4" w:space="0"/>
            </w:tcBorders>
            <w:shd w:val="clear" w:color="auto" w:fill="auto"/>
            <w:noWrap/>
            <w:vAlign w:val="center"/>
          </w:tcPr>
          <w:p w14:paraId="1EB9B840">
            <w:pPr>
              <w:widowControl/>
              <w:jc w:val="center"/>
              <w:rPr>
                <w:sz w:val="15"/>
                <w:szCs w:val="15"/>
                <w:highlight w:val="none"/>
              </w:rPr>
            </w:pPr>
            <w:r>
              <w:rPr>
                <w:sz w:val="15"/>
                <w:szCs w:val="15"/>
                <w:highlight w:val="none"/>
              </w:rPr>
              <w:t>2.92</w:t>
            </w:r>
          </w:p>
        </w:tc>
        <w:tc>
          <w:tcPr>
            <w:tcW w:w="361" w:type="pct"/>
            <w:tcBorders>
              <w:top w:val="nil"/>
              <w:left w:val="nil"/>
              <w:bottom w:val="single" w:color="auto" w:sz="4" w:space="0"/>
              <w:right w:val="single" w:color="auto" w:sz="4" w:space="0"/>
            </w:tcBorders>
            <w:shd w:val="clear" w:color="auto" w:fill="auto"/>
            <w:noWrap/>
            <w:vAlign w:val="center"/>
          </w:tcPr>
          <w:p w14:paraId="55DE378E">
            <w:pPr>
              <w:widowControl/>
              <w:jc w:val="center"/>
              <w:rPr>
                <w:sz w:val="15"/>
                <w:szCs w:val="15"/>
                <w:highlight w:val="none"/>
              </w:rPr>
            </w:pPr>
            <w:r>
              <w:rPr>
                <w:sz w:val="15"/>
                <w:szCs w:val="15"/>
                <w:highlight w:val="none"/>
              </w:rPr>
              <w:t>0.10</w:t>
            </w:r>
          </w:p>
        </w:tc>
        <w:tc>
          <w:tcPr>
            <w:tcW w:w="361" w:type="pct"/>
            <w:tcBorders>
              <w:top w:val="nil"/>
              <w:left w:val="nil"/>
              <w:bottom w:val="single" w:color="auto" w:sz="4" w:space="0"/>
              <w:right w:val="single" w:color="auto" w:sz="4" w:space="0"/>
            </w:tcBorders>
            <w:shd w:val="clear" w:color="auto" w:fill="auto"/>
            <w:noWrap/>
            <w:vAlign w:val="center"/>
          </w:tcPr>
          <w:p w14:paraId="4906274A">
            <w:pPr>
              <w:widowControl/>
              <w:jc w:val="center"/>
              <w:rPr>
                <w:sz w:val="15"/>
                <w:szCs w:val="15"/>
                <w:highlight w:val="none"/>
              </w:rPr>
            </w:pPr>
            <w:r>
              <w:rPr>
                <w:sz w:val="15"/>
                <w:szCs w:val="15"/>
                <w:highlight w:val="none"/>
              </w:rPr>
              <w:t>0.37</w:t>
            </w:r>
          </w:p>
        </w:tc>
        <w:tc>
          <w:tcPr>
            <w:tcW w:w="361" w:type="pct"/>
            <w:tcBorders>
              <w:top w:val="nil"/>
              <w:left w:val="nil"/>
              <w:bottom w:val="single" w:color="auto" w:sz="4" w:space="0"/>
              <w:right w:val="single" w:color="auto" w:sz="4" w:space="0"/>
            </w:tcBorders>
            <w:shd w:val="clear" w:color="auto" w:fill="auto"/>
            <w:noWrap/>
            <w:vAlign w:val="center"/>
          </w:tcPr>
          <w:p w14:paraId="0C1E2085">
            <w:pPr>
              <w:widowControl/>
              <w:jc w:val="center"/>
              <w:rPr>
                <w:sz w:val="15"/>
                <w:szCs w:val="15"/>
                <w:highlight w:val="none"/>
              </w:rPr>
            </w:pPr>
            <w:r>
              <w:rPr>
                <w:sz w:val="15"/>
                <w:szCs w:val="15"/>
                <w:highlight w:val="none"/>
              </w:rPr>
              <w:t>/</w:t>
            </w:r>
          </w:p>
        </w:tc>
      </w:tr>
      <w:tr w14:paraId="764C184D">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71915F21">
            <w:pPr>
              <w:widowControl/>
              <w:jc w:val="center"/>
              <w:rPr>
                <w:sz w:val="15"/>
                <w:szCs w:val="15"/>
                <w:highlight w:val="none"/>
              </w:rPr>
            </w:pPr>
            <w:r>
              <w:rPr>
                <w:sz w:val="15"/>
                <w:szCs w:val="15"/>
                <w:highlight w:val="none"/>
              </w:rPr>
              <w:t>2025.10.30</w:t>
            </w:r>
          </w:p>
        </w:tc>
        <w:tc>
          <w:tcPr>
            <w:tcW w:w="306" w:type="pct"/>
            <w:tcBorders>
              <w:top w:val="nil"/>
              <w:left w:val="nil"/>
              <w:bottom w:val="single" w:color="auto" w:sz="4" w:space="0"/>
              <w:right w:val="single" w:color="auto" w:sz="4" w:space="0"/>
            </w:tcBorders>
            <w:shd w:val="clear" w:color="auto" w:fill="auto"/>
            <w:noWrap/>
            <w:vAlign w:val="center"/>
          </w:tcPr>
          <w:p w14:paraId="70FB5B43">
            <w:pPr>
              <w:widowControl/>
              <w:jc w:val="center"/>
              <w:rPr>
                <w:sz w:val="15"/>
                <w:szCs w:val="15"/>
                <w:highlight w:val="none"/>
              </w:rPr>
            </w:pPr>
            <w:r>
              <w:rPr>
                <w:sz w:val="15"/>
                <w:szCs w:val="15"/>
                <w:highlight w:val="none"/>
              </w:rPr>
              <w:t>11:15</w:t>
            </w:r>
          </w:p>
        </w:tc>
        <w:tc>
          <w:tcPr>
            <w:tcW w:w="368" w:type="pct"/>
            <w:tcBorders>
              <w:top w:val="nil"/>
              <w:left w:val="nil"/>
              <w:bottom w:val="nil"/>
              <w:right w:val="single" w:color="auto" w:sz="4" w:space="0"/>
            </w:tcBorders>
            <w:shd w:val="clear" w:color="auto" w:fill="auto"/>
            <w:noWrap/>
            <w:vAlign w:val="center"/>
          </w:tcPr>
          <w:p w14:paraId="75E9174B">
            <w:pPr>
              <w:widowControl/>
              <w:jc w:val="center"/>
              <w:rPr>
                <w:sz w:val="15"/>
                <w:szCs w:val="15"/>
                <w:highlight w:val="none"/>
              </w:rPr>
            </w:pPr>
            <w:r>
              <w:rPr>
                <w:sz w:val="15"/>
                <w:szCs w:val="15"/>
                <w:highlight w:val="none"/>
              </w:rPr>
              <w:t>6.83</w:t>
            </w:r>
          </w:p>
        </w:tc>
        <w:tc>
          <w:tcPr>
            <w:tcW w:w="348" w:type="pct"/>
            <w:tcBorders>
              <w:top w:val="nil"/>
              <w:left w:val="nil"/>
              <w:bottom w:val="nil"/>
              <w:right w:val="single" w:color="auto" w:sz="4" w:space="0"/>
            </w:tcBorders>
            <w:shd w:val="clear" w:color="auto" w:fill="auto"/>
            <w:noWrap/>
            <w:vAlign w:val="center"/>
          </w:tcPr>
          <w:p w14:paraId="0A2F7F20">
            <w:pPr>
              <w:widowControl/>
              <w:jc w:val="center"/>
              <w:rPr>
                <w:sz w:val="15"/>
                <w:szCs w:val="15"/>
                <w:highlight w:val="none"/>
              </w:rPr>
            </w:pPr>
            <w:r>
              <w:rPr>
                <w:sz w:val="15"/>
                <w:szCs w:val="15"/>
                <w:highlight w:val="none"/>
              </w:rPr>
              <w:t>0.63</w:t>
            </w:r>
          </w:p>
        </w:tc>
        <w:tc>
          <w:tcPr>
            <w:tcW w:w="393" w:type="pct"/>
            <w:tcBorders>
              <w:top w:val="nil"/>
              <w:left w:val="nil"/>
              <w:bottom w:val="nil"/>
              <w:right w:val="single" w:color="auto" w:sz="4" w:space="0"/>
            </w:tcBorders>
            <w:shd w:val="clear" w:color="auto" w:fill="auto"/>
            <w:noWrap/>
            <w:vAlign w:val="center"/>
          </w:tcPr>
          <w:p w14:paraId="5B2CB13C">
            <w:pPr>
              <w:widowControl/>
              <w:jc w:val="center"/>
              <w:rPr>
                <w:sz w:val="15"/>
                <w:szCs w:val="15"/>
                <w:highlight w:val="none"/>
              </w:rPr>
            </w:pPr>
            <w:r>
              <w:rPr>
                <w:sz w:val="15"/>
                <w:szCs w:val="15"/>
                <w:highlight w:val="none"/>
              </w:rPr>
              <w:t>1612</w:t>
            </w:r>
          </w:p>
        </w:tc>
        <w:tc>
          <w:tcPr>
            <w:tcW w:w="375" w:type="pct"/>
            <w:tcBorders>
              <w:top w:val="nil"/>
              <w:left w:val="nil"/>
              <w:bottom w:val="nil"/>
              <w:right w:val="single" w:color="auto" w:sz="4" w:space="0"/>
            </w:tcBorders>
            <w:shd w:val="clear" w:color="auto" w:fill="auto"/>
            <w:noWrap/>
            <w:vAlign w:val="center"/>
          </w:tcPr>
          <w:p w14:paraId="5C9836FE">
            <w:pPr>
              <w:widowControl/>
              <w:jc w:val="center"/>
              <w:rPr>
                <w:sz w:val="15"/>
                <w:szCs w:val="15"/>
                <w:highlight w:val="none"/>
              </w:rPr>
            </w:pPr>
            <w:r>
              <w:rPr>
                <w:sz w:val="15"/>
                <w:szCs w:val="15"/>
                <w:highlight w:val="none"/>
              </w:rPr>
              <w:t>5.1</w:t>
            </w:r>
          </w:p>
        </w:tc>
        <w:tc>
          <w:tcPr>
            <w:tcW w:w="361" w:type="pct"/>
            <w:tcBorders>
              <w:top w:val="nil"/>
              <w:left w:val="nil"/>
              <w:bottom w:val="nil"/>
              <w:right w:val="single" w:color="auto" w:sz="4" w:space="0"/>
            </w:tcBorders>
            <w:shd w:val="clear" w:color="auto" w:fill="auto"/>
            <w:noWrap/>
            <w:vAlign w:val="center"/>
          </w:tcPr>
          <w:p w14:paraId="56829333">
            <w:pPr>
              <w:widowControl/>
              <w:jc w:val="center"/>
              <w:rPr>
                <w:sz w:val="15"/>
                <w:szCs w:val="15"/>
                <w:highlight w:val="none"/>
              </w:rPr>
            </w:pPr>
            <w:r>
              <w:rPr>
                <w:sz w:val="15"/>
                <w:szCs w:val="15"/>
                <w:highlight w:val="none"/>
              </w:rPr>
              <w:t>0.04</w:t>
            </w:r>
          </w:p>
        </w:tc>
        <w:tc>
          <w:tcPr>
            <w:tcW w:w="361" w:type="pct"/>
            <w:tcBorders>
              <w:top w:val="nil"/>
              <w:left w:val="nil"/>
              <w:bottom w:val="nil"/>
              <w:right w:val="single" w:color="auto" w:sz="4" w:space="0"/>
            </w:tcBorders>
            <w:shd w:val="clear" w:color="auto" w:fill="auto"/>
            <w:noWrap/>
            <w:vAlign w:val="center"/>
          </w:tcPr>
          <w:p w14:paraId="6A55FF11">
            <w:pPr>
              <w:widowControl/>
              <w:jc w:val="center"/>
              <w:rPr>
                <w:sz w:val="15"/>
                <w:szCs w:val="15"/>
                <w:highlight w:val="none"/>
              </w:rPr>
            </w:pPr>
            <w:r>
              <w:rPr>
                <w:sz w:val="15"/>
                <w:szCs w:val="15"/>
                <w:highlight w:val="none"/>
              </w:rPr>
              <w:t>203.72</w:t>
            </w:r>
          </w:p>
        </w:tc>
        <w:tc>
          <w:tcPr>
            <w:tcW w:w="453" w:type="pct"/>
            <w:tcBorders>
              <w:top w:val="nil"/>
              <w:left w:val="nil"/>
              <w:bottom w:val="nil"/>
              <w:right w:val="single" w:color="auto" w:sz="4" w:space="0"/>
            </w:tcBorders>
            <w:shd w:val="clear" w:color="auto" w:fill="auto"/>
            <w:noWrap/>
            <w:vAlign w:val="center"/>
          </w:tcPr>
          <w:p w14:paraId="00270C77">
            <w:pPr>
              <w:widowControl/>
              <w:jc w:val="center"/>
              <w:rPr>
                <w:sz w:val="15"/>
                <w:szCs w:val="15"/>
                <w:highlight w:val="none"/>
              </w:rPr>
            </w:pPr>
            <w:r>
              <w:rPr>
                <w:sz w:val="15"/>
                <w:szCs w:val="15"/>
                <w:highlight w:val="none"/>
              </w:rPr>
              <w:t>4.68</w:t>
            </w:r>
          </w:p>
        </w:tc>
        <w:tc>
          <w:tcPr>
            <w:tcW w:w="453" w:type="pct"/>
            <w:tcBorders>
              <w:top w:val="nil"/>
              <w:left w:val="nil"/>
              <w:bottom w:val="nil"/>
              <w:right w:val="single" w:color="auto" w:sz="4" w:space="0"/>
            </w:tcBorders>
            <w:shd w:val="clear" w:color="auto" w:fill="auto"/>
            <w:noWrap/>
            <w:vAlign w:val="center"/>
          </w:tcPr>
          <w:p w14:paraId="7515EA2C">
            <w:pPr>
              <w:widowControl/>
              <w:jc w:val="center"/>
              <w:rPr>
                <w:sz w:val="15"/>
                <w:szCs w:val="15"/>
                <w:highlight w:val="none"/>
              </w:rPr>
            </w:pPr>
            <w:r>
              <w:rPr>
                <w:sz w:val="15"/>
                <w:szCs w:val="15"/>
                <w:highlight w:val="none"/>
              </w:rPr>
              <w:t>3.13</w:t>
            </w:r>
          </w:p>
        </w:tc>
        <w:tc>
          <w:tcPr>
            <w:tcW w:w="361" w:type="pct"/>
            <w:tcBorders>
              <w:top w:val="nil"/>
              <w:left w:val="nil"/>
              <w:bottom w:val="nil"/>
              <w:right w:val="single" w:color="auto" w:sz="4" w:space="0"/>
            </w:tcBorders>
            <w:shd w:val="clear" w:color="auto" w:fill="auto"/>
            <w:noWrap/>
            <w:vAlign w:val="center"/>
          </w:tcPr>
          <w:p w14:paraId="64C59BFC">
            <w:pPr>
              <w:widowControl/>
              <w:jc w:val="center"/>
              <w:rPr>
                <w:sz w:val="15"/>
                <w:szCs w:val="15"/>
                <w:highlight w:val="none"/>
              </w:rPr>
            </w:pPr>
            <w:r>
              <w:rPr>
                <w:sz w:val="15"/>
                <w:szCs w:val="15"/>
                <w:highlight w:val="none"/>
              </w:rPr>
              <w:t>0.10</w:t>
            </w:r>
          </w:p>
        </w:tc>
        <w:tc>
          <w:tcPr>
            <w:tcW w:w="361" w:type="pct"/>
            <w:tcBorders>
              <w:top w:val="nil"/>
              <w:left w:val="nil"/>
              <w:bottom w:val="nil"/>
              <w:right w:val="single" w:color="auto" w:sz="4" w:space="0"/>
            </w:tcBorders>
            <w:shd w:val="clear" w:color="auto" w:fill="auto"/>
            <w:noWrap/>
            <w:vAlign w:val="center"/>
          </w:tcPr>
          <w:p w14:paraId="0BFE0078">
            <w:pPr>
              <w:widowControl/>
              <w:jc w:val="center"/>
              <w:rPr>
                <w:sz w:val="15"/>
                <w:szCs w:val="15"/>
                <w:highlight w:val="none"/>
              </w:rPr>
            </w:pPr>
            <w:r>
              <w:rPr>
                <w:sz w:val="15"/>
                <w:szCs w:val="15"/>
                <w:highlight w:val="none"/>
              </w:rPr>
              <w:t>0.49</w:t>
            </w:r>
          </w:p>
        </w:tc>
        <w:tc>
          <w:tcPr>
            <w:tcW w:w="361" w:type="pct"/>
            <w:tcBorders>
              <w:top w:val="nil"/>
              <w:left w:val="nil"/>
              <w:bottom w:val="nil"/>
              <w:right w:val="single" w:color="auto" w:sz="4" w:space="0"/>
            </w:tcBorders>
            <w:shd w:val="clear" w:color="auto" w:fill="auto"/>
            <w:noWrap/>
            <w:vAlign w:val="center"/>
          </w:tcPr>
          <w:p w14:paraId="2A64C0FB">
            <w:pPr>
              <w:widowControl/>
              <w:jc w:val="center"/>
              <w:rPr>
                <w:sz w:val="15"/>
                <w:szCs w:val="15"/>
                <w:highlight w:val="none"/>
              </w:rPr>
            </w:pPr>
            <w:r>
              <w:rPr>
                <w:sz w:val="15"/>
                <w:szCs w:val="15"/>
                <w:highlight w:val="none"/>
              </w:rPr>
              <w:t>0.03</w:t>
            </w:r>
          </w:p>
        </w:tc>
      </w:tr>
      <w:tr w14:paraId="5F369F67">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604D27E0">
            <w:pPr>
              <w:widowControl/>
              <w:jc w:val="center"/>
              <w:rPr>
                <w:sz w:val="15"/>
                <w:szCs w:val="15"/>
                <w:highlight w:val="none"/>
              </w:rPr>
            </w:pPr>
            <w:r>
              <w:rPr>
                <w:sz w:val="15"/>
                <w:szCs w:val="15"/>
                <w:highlight w:val="none"/>
              </w:rPr>
              <w:t>2025.11.06</w:t>
            </w:r>
          </w:p>
        </w:tc>
        <w:tc>
          <w:tcPr>
            <w:tcW w:w="306" w:type="pct"/>
            <w:tcBorders>
              <w:top w:val="nil"/>
              <w:left w:val="nil"/>
              <w:bottom w:val="single" w:color="auto" w:sz="4" w:space="0"/>
              <w:right w:val="single" w:color="auto" w:sz="4" w:space="0"/>
            </w:tcBorders>
            <w:shd w:val="clear" w:color="auto" w:fill="auto"/>
            <w:noWrap/>
            <w:vAlign w:val="center"/>
          </w:tcPr>
          <w:p w14:paraId="0AFF976B">
            <w:pPr>
              <w:widowControl/>
              <w:jc w:val="center"/>
              <w:rPr>
                <w:sz w:val="15"/>
                <w:szCs w:val="15"/>
                <w:highlight w:val="none"/>
              </w:rPr>
            </w:pPr>
            <w:r>
              <w:rPr>
                <w:sz w:val="15"/>
                <w:szCs w:val="15"/>
                <w:highlight w:val="none"/>
              </w:rPr>
              <w:t>11:30</w:t>
            </w:r>
          </w:p>
        </w:tc>
        <w:tc>
          <w:tcPr>
            <w:tcW w:w="368" w:type="pct"/>
            <w:tcBorders>
              <w:top w:val="single" w:color="auto" w:sz="4" w:space="0"/>
              <w:left w:val="nil"/>
              <w:bottom w:val="single" w:color="auto" w:sz="4" w:space="0"/>
              <w:right w:val="single" w:color="auto" w:sz="4" w:space="0"/>
            </w:tcBorders>
            <w:shd w:val="clear" w:color="auto" w:fill="auto"/>
            <w:noWrap/>
            <w:vAlign w:val="center"/>
          </w:tcPr>
          <w:p w14:paraId="0A608B96">
            <w:pPr>
              <w:widowControl/>
              <w:jc w:val="center"/>
              <w:rPr>
                <w:sz w:val="15"/>
                <w:szCs w:val="15"/>
                <w:highlight w:val="none"/>
              </w:rPr>
            </w:pPr>
            <w:r>
              <w:rPr>
                <w:sz w:val="15"/>
                <w:szCs w:val="15"/>
                <w:highlight w:val="none"/>
              </w:rPr>
              <w:t>7.18</w:t>
            </w:r>
          </w:p>
        </w:tc>
        <w:tc>
          <w:tcPr>
            <w:tcW w:w="348" w:type="pct"/>
            <w:tcBorders>
              <w:top w:val="single" w:color="auto" w:sz="4" w:space="0"/>
              <w:left w:val="nil"/>
              <w:bottom w:val="single" w:color="auto" w:sz="4" w:space="0"/>
              <w:right w:val="single" w:color="auto" w:sz="4" w:space="0"/>
            </w:tcBorders>
            <w:shd w:val="clear" w:color="auto" w:fill="auto"/>
            <w:noWrap/>
            <w:vAlign w:val="center"/>
          </w:tcPr>
          <w:p w14:paraId="34D7B74F">
            <w:pPr>
              <w:widowControl/>
              <w:jc w:val="center"/>
              <w:rPr>
                <w:sz w:val="15"/>
                <w:szCs w:val="15"/>
                <w:highlight w:val="none"/>
              </w:rPr>
            </w:pPr>
            <w:r>
              <w:rPr>
                <w:sz w:val="15"/>
                <w:szCs w:val="15"/>
                <w:highlight w:val="none"/>
              </w:rPr>
              <w:t>1.51</w:t>
            </w:r>
          </w:p>
        </w:tc>
        <w:tc>
          <w:tcPr>
            <w:tcW w:w="393" w:type="pct"/>
            <w:tcBorders>
              <w:top w:val="single" w:color="auto" w:sz="4" w:space="0"/>
              <w:left w:val="nil"/>
              <w:bottom w:val="single" w:color="auto" w:sz="4" w:space="0"/>
              <w:right w:val="single" w:color="auto" w:sz="4" w:space="0"/>
            </w:tcBorders>
            <w:shd w:val="clear" w:color="auto" w:fill="auto"/>
            <w:noWrap/>
            <w:vAlign w:val="center"/>
          </w:tcPr>
          <w:p w14:paraId="52A025EB">
            <w:pPr>
              <w:widowControl/>
              <w:jc w:val="center"/>
              <w:rPr>
                <w:sz w:val="15"/>
                <w:szCs w:val="15"/>
                <w:highlight w:val="none"/>
              </w:rPr>
            </w:pPr>
            <w:r>
              <w:rPr>
                <w:sz w:val="15"/>
                <w:szCs w:val="15"/>
                <w:highlight w:val="none"/>
              </w:rPr>
              <w:t>1625</w:t>
            </w:r>
          </w:p>
        </w:tc>
        <w:tc>
          <w:tcPr>
            <w:tcW w:w="375" w:type="pct"/>
            <w:tcBorders>
              <w:top w:val="single" w:color="auto" w:sz="4" w:space="0"/>
              <w:left w:val="nil"/>
              <w:bottom w:val="single" w:color="auto" w:sz="4" w:space="0"/>
              <w:right w:val="single" w:color="auto" w:sz="4" w:space="0"/>
            </w:tcBorders>
            <w:shd w:val="clear" w:color="auto" w:fill="auto"/>
            <w:noWrap/>
            <w:vAlign w:val="center"/>
          </w:tcPr>
          <w:p w14:paraId="64DB8881">
            <w:pPr>
              <w:widowControl/>
              <w:jc w:val="center"/>
              <w:rPr>
                <w:sz w:val="15"/>
                <w:szCs w:val="15"/>
                <w:highlight w:val="none"/>
              </w:rPr>
            </w:pPr>
            <w:r>
              <w:rPr>
                <w:sz w:val="15"/>
                <w:szCs w:val="15"/>
                <w:highlight w:val="none"/>
              </w:rPr>
              <w:t>12.7</w:t>
            </w:r>
          </w:p>
        </w:tc>
        <w:tc>
          <w:tcPr>
            <w:tcW w:w="361" w:type="pct"/>
            <w:tcBorders>
              <w:top w:val="single" w:color="auto" w:sz="4" w:space="0"/>
              <w:left w:val="nil"/>
              <w:bottom w:val="single" w:color="auto" w:sz="4" w:space="0"/>
              <w:right w:val="single" w:color="auto" w:sz="4" w:space="0"/>
            </w:tcBorders>
            <w:shd w:val="clear" w:color="auto" w:fill="auto"/>
            <w:noWrap/>
            <w:vAlign w:val="center"/>
          </w:tcPr>
          <w:p w14:paraId="5510986D">
            <w:pPr>
              <w:widowControl/>
              <w:jc w:val="center"/>
              <w:rPr>
                <w:sz w:val="15"/>
                <w:szCs w:val="15"/>
                <w:highlight w:val="none"/>
              </w:rPr>
            </w:pPr>
            <w:r>
              <w:rPr>
                <w:sz w:val="15"/>
                <w:szCs w:val="15"/>
                <w:highlight w:val="none"/>
              </w:rPr>
              <w:t>0.13</w:t>
            </w:r>
          </w:p>
        </w:tc>
        <w:tc>
          <w:tcPr>
            <w:tcW w:w="361" w:type="pct"/>
            <w:tcBorders>
              <w:top w:val="single" w:color="auto" w:sz="4" w:space="0"/>
              <w:left w:val="nil"/>
              <w:bottom w:val="single" w:color="auto" w:sz="4" w:space="0"/>
              <w:right w:val="single" w:color="auto" w:sz="4" w:space="0"/>
            </w:tcBorders>
            <w:shd w:val="clear" w:color="auto" w:fill="auto"/>
            <w:noWrap/>
            <w:vAlign w:val="center"/>
          </w:tcPr>
          <w:p w14:paraId="78B46616">
            <w:pPr>
              <w:widowControl/>
              <w:jc w:val="center"/>
              <w:rPr>
                <w:sz w:val="15"/>
                <w:szCs w:val="15"/>
                <w:highlight w:val="none"/>
              </w:rPr>
            </w:pPr>
            <w:r>
              <w:rPr>
                <w:sz w:val="15"/>
                <w:szCs w:val="15"/>
                <w:highlight w:val="none"/>
              </w:rPr>
              <w:t>205.43</w:t>
            </w:r>
          </w:p>
        </w:tc>
        <w:tc>
          <w:tcPr>
            <w:tcW w:w="453" w:type="pct"/>
            <w:tcBorders>
              <w:top w:val="single" w:color="auto" w:sz="4" w:space="0"/>
              <w:left w:val="nil"/>
              <w:bottom w:val="single" w:color="auto" w:sz="4" w:space="0"/>
              <w:right w:val="single" w:color="auto" w:sz="4" w:space="0"/>
            </w:tcBorders>
            <w:shd w:val="clear" w:color="auto" w:fill="auto"/>
            <w:noWrap/>
            <w:vAlign w:val="center"/>
          </w:tcPr>
          <w:p w14:paraId="3BBD47B0">
            <w:pPr>
              <w:widowControl/>
              <w:jc w:val="center"/>
              <w:rPr>
                <w:sz w:val="15"/>
                <w:szCs w:val="15"/>
                <w:highlight w:val="none"/>
              </w:rPr>
            </w:pPr>
            <w:r>
              <w:rPr>
                <w:sz w:val="15"/>
                <w:szCs w:val="15"/>
                <w:highlight w:val="none"/>
              </w:rPr>
              <w:t>4.88</w:t>
            </w:r>
          </w:p>
        </w:tc>
        <w:tc>
          <w:tcPr>
            <w:tcW w:w="453" w:type="pct"/>
            <w:tcBorders>
              <w:top w:val="single" w:color="auto" w:sz="4" w:space="0"/>
              <w:left w:val="nil"/>
              <w:bottom w:val="single" w:color="auto" w:sz="4" w:space="0"/>
              <w:right w:val="single" w:color="auto" w:sz="4" w:space="0"/>
            </w:tcBorders>
            <w:shd w:val="clear" w:color="auto" w:fill="auto"/>
            <w:noWrap/>
            <w:vAlign w:val="center"/>
          </w:tcPr>
          <w:p w14:paraId="677401C7">
            <w:pPr>
              <w:widowControl/>
              <w:jc w:val="center"/>
              <w:rPr>
                <w:sz w:val="15"/>
                <w:szCs w:val="15"/>
                <w:highlight w:val="none"/>
              </w:rPr>
            </w:pPr>
            <w:r>
              <w:rPr>
                <w:sz w:val="15"/>
                <w:szCs w:val="15"/>
                <w:highlight w:val="none"/>
              </w:rPr>
              <w:t>3.65</w:t>
            </w:r>
          </w:p>
        </w:tc>
        <w:tc>
          <w:tcPr>
            <w:tcW w:w="361" w:type="pct"/>
            <w:tcBorders>
              <w:top w:val="single" w:color="auto" w:sz="4" w:space="0"/>
              <w:left w:val="nil"/>
              <w:bottom w:val="single" w:color="auto" w:sz="4" w:space="0"/>
              <w:right w:val="single" w:color="auto" w:sz="4" w:space="0"/>
            </w:tcBorders>
            <w:shd w:val="clear" w:color="auto" w:fill="auto"/>
            <w:noWrap/>
            <w:vAlign w:val="center"/>
          </w:tcPr>
          <w:p w14:paraId="68751D23">
            <w:pPr>
              <w:widowControl/>
              <w:jc w:val="center"/>
              <w:rPr>
                <w:sz w:val="15"/>
                <w:szCs w:val="15"/>
                <w:highlight w:val="none"/>
              </w:rPr>
            </w:pPr>
            <w:r>
              <w:rPr>
                <w:sz w:val="15"/>
                <w:szCs w:val="15"/>
                <w:highlight w:val="none"/>
              </w:rPr>
              <w:t>0.10</w:t>
            </w:r>
          </w:p>
        </w:tc>
        <w:tc>
          <w:tcPr>
            <w:tcW w:w="36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FEBAC7E">
            <w:pPr>
              <w:widowControl/>
              <w:jc w:val="center"/>
              <w:rPr>
                <w:sz w:val="15"/>
                <w:szCs w:val="15"/>
                <w:highlight w:val="none"/>
              </w:rPr>
            </w:pPr>
            <w:r>
              <w:rPr>
                <w:sz w:val="15"/>
                <w:szCs w:val="15"/>
                <w:highlight w:val="none"/>
              </w:rPr>
              <w:t>0.56</w:t>
            </w:r>
          </w:p>
        </w:tc>
        <w:tc>
          <w:tcPr>
            <w:tcW w:w="361" w:type="pct"/>
            <w:tcBorders>
              <w:top w:val="single" w:color="auto" w:sz="4" w:space="0"/>
              <w:left w:val="nil"/>
              <w:bottom w:val="single" w:color="auto" w:sz="4" w:space="0"/>
              <w:right w:val="single" w:color="auto" w:sz="4" w:space="0"/>
            </w:tcBorders>
            <w:shd w:val="clear" w:color="auto" w:fill="auto"/>
            <w:noWrap/>
            <w:vAlign w:val="center"/>
          </w:tcPr>
          <w:p w14:paraId="3F454360">
            <w:pPr>
              <w:widowControl/>
              <w:jc w:val="center"/>
              <w:rPr>
                <w:sz w:val="15"/>
                <w:szCs w:val="15"/>
                <w:highlight w:val="none"/>
              </w:rPr>
            </w:pPr>
            <w:r>
              <w:rPr>
                <w:sz w:val="15"/>
                <w:szCs w:val="15"/>
                <w:highlight w:val="none"/>
              </w:rPr>
              <w:t>/</w:t>
            </w:r>
          </w:p>
        </w:tc>
      </w:tr>
      <w:tr w14:paraId="79D24AC6">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4D8E10FA">
            <w:pPr>
              <w:widowControl/>
              <w:jc w:val="center"/>
              <w:rPr>
                <w:sz w:val="15"/>
                <w:szCs w:val="15"/>
                <w:highlight w:val="none"/>
              </w:rPr>
            </w:pPr>
            <w:r>
              <w:rPr>
                <w:sz w:val="15"/>
                <w:szCs w:val="15"/>
                <w:highlight w:val="none"/>
              </w:rPr>
              <w:t>2025.11.13</w:t>
            </w:r>
          </w:p>
        </w:tc>
        <w:tc>
          <w:tcPr>
            <w:tcW w:w="306" w:type="pct"/>
            <w:tcBorders>
              <w:top w:val="nil"/>
              <w:left w:val="nil"/>
              <w:bottom w:val="single" w:color="auto" w:sz="4" w:space="0"/>
              <w:right w:val="single" w:color="auto" w:sz="4" w:space="0"/>
            </w:tcBorders>
            <w:shd w:val="clear" w:color="auto" w:fill="auto"/>
            <w:noWrap/>
            <w:vAlign w:val="center"/>
          </w:tcPr>
          <w:p w14:paraId="5E2E2980">
            <w:pPr>
              <w:widowControl/>
              <w:jc w:val="center"/>
              <w:rPr>
                <w:sz w:val="15"/>
                <w:szCs w:val="15"/>
                <w:highlight w:val="none"/>
              </w:rPr>
            </w:pPr>
            <w:r>
              <w:rPr>
                <w:sz w:val="15"/>
                <w:szCs w:val="15"/>
                <w:highlight w:val="none"/>
              </w:rPr>
              <w:t>10:35</w:t>
            </w:r>
          </w:p>
        </w:tc>
        <w:tc>
          <w:tcPr>
            <w:tcW w:w="368" w:type="pct"/>
            <w:tcBorders>
              <w:top w:val="nil"/>
              <w:left w:val="nil"/>
              <w:bottom w:val="single" w:color="auto" w:sz="4" w:space="0"/>
              <w:right w:val="single" w:color="auto" w:sz="4" w:space="0"/>
            </w:tcBorders>
            <w:shd w:val="clear" w:color="auto" w:fill="auto"/>
            <w:noWrap/>
            <w:vAlign w:val="center"/>
          </w:tcPr>
          <w:p w14:paraId="2BFAF5CF">
            <w:pPr>
              <w:widowControl/>
              <w:jc w:val="center"/>
              <w:rPr>
                <w:sz w:val="15"/>
                <w:szCs w:val="15"/>
                <w:highlight w:val="none"/>
              </w:rPr>
            </w:pPr>
            <w:r>
              <w:rPr>
                <w:sz w:val="15"/>
                <w:szCs w:val="15"/>
                <w:highlight w:val="none"/>
              </w:rPr>
              <w:t>7.04</w:t>
            </w:r>
          </w:p>
        </w:tc>
        <w:tc>
          <w:tcPr>
            <w:tcW w:w="348" w:type="pct"/>
            <w:tcBorders>
              <w:top w:val="nil"/>
              <w:left w:val="nil"/>
              <w:bottom w:val="single" w:color="auto" w:sz="4" w:space="0"/>
              <w:right w:val="single" w:color="auto" w:sz="4" w:space="0"/>
            </w:tcBorders>
            <w:shd w:val="clear" w:color="auto" w:fill="auto"/>
            <w:noWrap/>
            <w:vAlign w:val="center"/>
          </w:tcPr>
          <w:p w14:paraId="55B4C5AA">
            <w:pPr>
              <w:widowControl/>
              <w:jc w:val="center"/>
              <w:rPr>
                <w:sz w:val="15"/>
                <w:szCs w:val="15"/>
                <w:highlight w:val="none"/>
              </w:rPr>
            </w:pPr>
            <w:r>
              <w:rPr>
                <w:sz w:val="15"/>
                <w:szCs w:val="15"/>
                <w:highlight w:val="none"/>
              </w:rPr>
              <w:t>0.92</w:t>
            </w:r>
          </w:p>
        </w:tc>
        <w:tc>
          <w:tcPr>
            <w:tcW w:w="393" w:type="pct"/>
            <w:tcBorders>
              <w:top w:val="nil"/>
              <w:left w:val="nil"/>
              <w:bottom w:val="single" w:color="auto" w:sz="4" w:space="0"/>
              <w:right w:val="single" w:color="auto" w:sz="4" w:space="0"/>
            </w:tcBorders>
            <w:shd w:val="clear" w:color="auto" w:fill="auto"/>
            <w:noWrap/>
            <w:vAlign w:val="center"/>
          </w:tcPr>
          <w:p w14:paraId="130FDED5">
            <w:pPr>
              <w:widowControl/>
              <w:jc w:val="center"/>
              <w:rPr>
                <w:sz w:val="15"/>
                <w:szCs w:val="15"/>
                <w:highlight w:val="none"/>
              </w:rPr>
            </w:pPr>
            <w:r>
              <w:rPr>
                <w:sz w:val="15"/>
                <w:szCs w:val="15"/>
                <w:highlight w:val="none"/>
              </w:rPr>
              <w:t>1602</w:t>
            </w:r>
          </w:p>
        </w:tc>
        <w:tc>
          <w:tcPr>
            <w:tcW w:w="375" w:type="pct"/>
            <w:tcBorders>
              <w:top w:val="nil"/>
              <w:left w:val="nil"/>
              <w:bottom w:val="single" w:color="auto" w:sz="4" w:space="0"/>
              <w:right w:val="single" w:color="auto" w:sz="4" w:space="0"/>
            </w:tcBorders>
            <w:shd w:val="clear" w:color="auto" w:fill="auto"/>
            <w:noWrap/>
            <w:vAlign w:val="center"/>
          </w:tcPr>
          <w:p w14:paraId="62E43D36">
            <w:pPr>
              <w:widowControl/>
              <w:jc w:val="center"/>
              <w:rPr>
                <w:sz w:val="15"/>
                <w:szCs w:val="15"/>
                <w:highlight w:val="none"/>
              </w:rPr>
            </w:pPr>
            <w:r>
              <w:rPr>
                <w:sz w:val="15"/>
                <w:szCs w:val="15"/>
                <w:highlight w:val="none"/>
              </w:rPr>
              <w:t>6.4</w:t>
            </w:r>
          </w:p>
        </w:tc>
        <w:tc>
          <w:tcPr>
            <w:tcW w:w="361" w:type="pct"/>
            <w:tcBorders>
              <w:top w:val="nil"/>
              <w:left w:val="nil"/>
              <w:bottom w:val="single" w:color="auto" w:sz="4" w:space="0"/>
              <w:right w:val="single" w:color="auto" w:sz="4" w:space="0"/>
            </w:tcBorders>
            <w:shd w:val="clear" w:color="auto" w:fill="auto"/>
            <w:noWrap/>
            <w:vAlign w:val="center"/>
          </w:tcPr>
          <w:p w14:paraId="690D246B">
            <w:pPr>
              <w:widowControl/>
              <w:jc w:val="center"/>
              <w:rPr>
                <w:sz w:val="15"/>
                <w:szCs w:val="15"/>
                <w:highlight w:val="none"/>
              </w:rPr>
            </w:pPr>
            <w:r>
              <w:rPr>
                <w:sz w:val="15"/>
                <w:szCs w:val="15"/>
                <w:highlight w:val="none"/>
              </w:rPr>
              <w:t>0.09</w:t>
            </w:r>
          </w:p>
        </w:tc>
        <w:tc>
          <w:tcPr>
            <w:tcW w:w="361" w:type="pct"/>
            <w:tcBorders>
              <w:top w:val="nil"/>
              <w:left w:val="nil"/>
              <w:bottom w:val="single" w:color="auto" w:sz="4" w:space="0"/>
              <w:right w:val="single" w:color="auto" w:sz="4" w:space="0"/>
            </w:tcBorders>
            <w:shd w:val="clear" w:color="auto" w:fill="auto"/>
            <w:noWrap/>
            <w:vAlign w:val="center"/>
          </w:tcPr>
          <w:p w14:paraId="383B1AFA">
            <w:pPr>
              <w:widowControl/>
              <w:jc w:val="center"/>
              <w:rPr>
                <w:sz w:val="15"/>
                <w:szCs w:val="15"/>
                <w:highlight w:val="none"/>
              </w:rPr>
            </w:pPr>
            <w:r>
              <w:rPr>
                <w:sz w:val="15"/>
                <w:szCs w:val="15"/>
                <w:highlight w:val="none"/>
              </w:rPr>
              <w:t>192.10</w:t>
            </w:r>
          </w:p>
        </w:tc>
        <w:tc>
          <w:tcPr>
            <w:tcW w:w="453" w:type="pct"/>
            <w:tcBorders>
              <w:top w:val="nil"/>
              <w:left w:val="nil"/>
              <w:bottom w:val="single" w:color="auto" w:sz="4" w:space="0"/>
              <w:right w:val="single" w:color="auto" w:sz="4" w:space="0"/>
            </w:tcBorders>
            <w:shd w:val="clear" w:color="auto" w:fill="auto"/>
            <w:noWrap/>
            <w:vAlign w:val="center"/>
          </w:tcPr>
          <w:p w14:paraId="4E86B732">
            <w:pPr>
              <w:widowControl/>
              <w:jc w:val="center"/>
              <w:rPr>
                <w:sz w:val="15"/>
                <w:szCs w:val="15"/>
                <w:highlight w:val="none"/>
              </w:rPr>
            </w:pPr>
            <w:r>
              <w:rPr>
                <w:sz w:val="15"/>
                <w:szCs w:val="15"/>
                <w:highlight w:val="none"/>
              </w:rPr>
              <w:t>6.05</w:t>
            </w:r>
          </w:p>
        </w:tc>
        <w:tc>
          <w:tcPr>
            <w:tcW w:w="453" w:type="pct"/>
            <w:tcBorders>
              <w:top w:val="nil"/>
              <w:left w:val="nil"/>
              <w:bottom w:val="single" w:color="auto" w:sz="4" w:space="0"/>
              <w:right w:val="single" w:color="auto" w:sz="4" w:space="0"/>
            </w:tcBorders>
            <w:shd w:val="clear" w:color="auto" w:fill="auto"/>
            <w:noWrap/>
            <w:vAlign w:val="center"/>
          </w:tcPr>
          <w:p w14:paraId="212ED2DB">
            <w:pPr>
              <w:widowControl/>
              <w:jc w:val="center"/>
              <w:rPr>
                <w:sz w:val="15"/>
                <w:szCs w:val="15"/>
                <w:highlight w:val="none"/>
              </w:rPr>
            </w:pPr>
            <w:r>
              <w:rPr>
                <w:sz w:val="15"/>
                <w:szCs w:val="15"/>
                <w:highlight w:val="none"/>
              </w:rPr>
              <w:t>3.13</w:t>
            </w:r>
          </w:p>
        </w:tc>
        <w:tc>
          <w:tcPr>
            <w:tcW w:w="361" w:type="pct"/>
            <w:tcBorders>
              <w:top w:val="nil"/>
              <w:left w:val="nil"/>
              <w:bottom w:val="single" w:color="auto" w:sz="4" w:space="0"/>
              <w:right w:val="single" w:color="auto" w:sz="4" w:space="0"/>
            </w:tcBorders>
            <w:shd w:val="clear" w:color="auto" w:fill="auto"/>
            <w:noWrap/>
            <w:vAlign w:val="center"/>
          </w:tcPr>
          <w:p w14:paraId="1C5BDF4C">
            <w:pPr>
              <w:widowControl/>
              <w:jc w:val="center"/>
              <w:rPr>
                <w:sz w:val="15"/>
                <w:szCs w:val="15"/>
                <w:highlight w:val="none"/>
              </w:rPr>
            </w:pPr>
            <w:r>
              <w:rPr>
                <w:sz w:val="15"/>
                <w:szCs w:val="15"/>
                <w:highlight w:val="none"/>
              </w:rPr>
              <w:t>0.10</w:t>
            </w:r>
          </w:p>
        </w:tc>
        <w:tc>
          <w:tcPr>
            <w:tcW w:w="361" w:type="pct"/>
            <w:tcBorders>
              <w:top w:val="nil"/>
              <w:left w:val="nil"/>
              <w:bottom w:val="single" w:color="auto" w:sz="4" w:space="0"/>
              <w:right w:val="single" w:color="auto" w:sz="4" w:space="0"/>
            </w:tcBorders>
            <w:shd w:val="clear" w:color="auto" w:fill="auto"/>
            <w:noWrap/>
            <w:vAlign w:val="center"/>
          </w:tcPr>
          <w:p w14:paraId="0B9221E2">
            <w:pPr>
              <w:widowControl/>
              <w:jc w:val="center"/>
              <w:rPr>
                <w:sz w:val="15"/>
                <w:szCs w:val="15"/>
                <w:highlight w:val="none"/>
              </w:rPr>
            </w:pPr>
            <w:r>
              <w:rPr>
                <w:sz w:val="15"/>
                <w:szCs w:val="15"/>
                <w:highlight w:val="none"/>
              </w:rPr>
              <w:t>0.39</w:t>
            </w:r>
          </w:p>
        </w:tc>
        <w:tc>
          <w:tcPr>
            <w:tcW w:w="361" w:type="pct"/>
            <w:tcBorders>
              <w:top w:val="nil"/>
              <w:left w:val="nil"/>
              <w:bottom w:val="single" w:color="auto" w:sz="4" w:space="0"/>
              <w:right w:val="single" w:color="auto" w:sz="4" w:space="0"/>
            </w:tcBorders>
            <w:shd w:val="clear" w:color="auto" w:fill="auto"/>
            <w:noWrap/>
            <w:vAlign w:val="center"/>
          </w:tcPr>
          <w:p w14:paraId="002A8238">
            <w:pPr>
              <w:widowControl/>
              <w:jc w:val="center"/>
              <w:rPr>
                <w:sz w:val="15"/>
                <w:szCs w:val="15"/>
                <w:highlight w:val="none"/>
              </w:rPr>
            </w:pPr>
            <w:r>
              <w:rPr>
                <w:sz w:val="15"/>
                <w:szCs w:val="15"/>
                <w:highlight w:val="none"/>
              </w:rPr>
              <w:t>/</w:t>
            </w:r>
          </w:p>
        </w:tc>
      </w:tr>
      <w:tr w14:paraId="5F96C09A">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138B831F">
            <w:pPr>
              <w:widowControl/>
              <w:jc w:val="center"/>
              <w:rPr>
                <w:sz w:val="15"/>
                <w:szCs w:val="15"/>
                <w:highlight w:val="none"/>
              </w:rPr>
            </w:pPr>
            <w:r>
              <w:rPr>
                <w:sz w:val="15"/>
                <w:szCs w:val="15"/>
                <w:highlight w:val="none"/>
              </w:rPr>
              <w:t>2025.11.20</w:t>
            </w:r>
          </w:p>
        </w:tc>
        <w:tc>
          <w:tcPr>
            <w:tcW w:w="306" w:type="pct"/>
            <w:tcBorders>
              <w:top w:val="nil"/>
              <w:left w:val="nil"/>
              <w:bottom w:val="single" w:color="auto" w:sz="4" w:space="0"/>
              <w:right w:val="single" w:color="auto" w:sz="4" w:space="0"/>
            </w:tcBorders>
            <w:shd w:val="clear" w:color="auto" w:fill="auto"/>
            <w:noWrap/>
            <w:vAlign w:val="center"/>
          </w:tcPr>
          <w:p w14:paraId="6A32016B">
            <w:pPr>
              <w:widowControl/>
              <w:jc w:val="center"/>
              <w:rPr>
                <w:sz w:val="15"/>
                <w:szCs w:val="15"/>
                <w:highlight w:val="none"/>
              </w:rPr>
            </w:pPr>
            <w:r>
              <w:rPr>
                <w:sz w:val="15"/>
                <w:szCs w:val="15"/>
                <w:highlight w:val="none"/>
              </w:rPr>
              <w:t>11:35</w:t>
            </w:r>
          </w:p>
        </w:tc>
        <w:tc>
          <w:tcPr>
            <w:tcW w:w="368" w:type="pct"/>
            <w:tcBorders>
              <w:top w:val="nil"/>
              <w:left w:val="nil"/>
              <w:bottom w:val="single" w:color="auto" w:sz="4" w:space="0"/>
              <w:right w:val="single" w:color="auto" w:sz="4" w:space="0"/>
            </w:tcBorders>
            <w:shd w:val="clear" w:color="auto" w:fill="auto"/>
            <w:noWrap/>
            <w:vAlign w:val="center"/>
          </w:tcPr>
          <w:p w14:paraId="1B6D58D0">
            <w:pPr>
              <w:widowControl/>
              <w:jc w:val="center"/>
              <w:rPr>
                <w:sz w:val="15"/>
                <w:szCs w:val="15"/>
                <w:highlight w:val="none"/>
              </w:rPr>
            </w:pPr>
            <w:r>
              <w:rPr>
                <w:sz w:val="15"/>
                <w:szCs w:val="15"/>
                <w:highlight w:val="none"/>
              </w:rPr>
              <w:t>7.11</w:t>
            </w:r>
          </w:p>
        </w:tc>
        <w:tc>
          <w:tcPr>
            <w:tcW w:w="348" w:type="pct"/>
            <w:tcBorders>
              <w:top w:val="nil"/>
              <w:left w:val="nil"/>
              <w:bottom w:val="single" w:color="auto" w:sz="4" w:space="0"/>
              <w:right w:val="single" w:color="auto" w:sz="4" w:space="0"/>
            </w:tcBorders>
            <w:shd w:val="clear" w:color="auto" w:fill="auto"/>
            <w:noWrap/>
            <w:vAlign w:val="center"/>
          </w:tcPr>
          <w:p w14:paraId="4CF4EF77">
            <w:pPr>
              <w:widowControl/>
              <w:jc w:val="center"/>
              <w:rPr>
                <w:sz w:val="15"/>
                <w:szCs w:val="15"/>
                <w:highlight w:val="none"/>
              </w:rPr>
            </w:pPr>
            <w:r>
              <w:rPr>
                <w:sz w:val="15"/>
                <w:szCs w:val="15"/>
                <w:highlight w:val="none"/>
              </w:rPr>
              <w:t>0.53</w:t>
            </w:r>
          </w:p>
        </w:tc>
        <w:tc>
          <w:tcPr>
            <w:tcW w:w="393" w:type="pct"/>
            <w:tcBorders>
              <w:top w:val="nil"/>
              <w:left w:val="nil"/>
              <w:bottom w:val="single" w:color="auto" w:sz="4" w:space="0"/>
              <w:right w:val="single" w:color="auto" w:sz="4" w:space="0"/>
            </w:tcBorders>
            <w:shd w:val="clear" w:color="auto" w:fill="auto"/>
            <w:noWrap/>
            <w:vAlign w:val="center"/>
          </w:tcPr>
          <w:p w14:paraId="6B938224">
            <w:pPr>
              <w:widowControl/>
              <w:jc w:val="center"/>
              <w:rPr>
                <w:sz w:val="15"/>
                <w:szCs w:val="15"/>
                <w:highlight w:val="none"/>
              </w:rPr>
            </w:pPr>
            <w:r>
              <w:rPr>
                <w:sz w:val="15"/>
                <w:szCs w:val="15"/>
                <w:highlight w:val="none"/>
              </w:rPr>
              <w:t>1512</w:t>
            </w:r>
          </w:p>
        </w:tc>
        <w:tc>
          <w:tcPr>
            <w:tcW w:w="375" w:type="pct"/>
            <w:tcBorders>
              <w:top w:val="nil"/>
              <w:left w:val="nil"/>
              <w:bottom w:val="single" w:color="auto" w:sz="4" w:space="0"/>
              <w:right w:val="single" w:color="auto" w:sz="4" w:space="0"/>
            </w:tcBorders>
            <w:shd w:val="clear" w:color="auto" w:fill="auto"/>
            <w:noWrap/>
            <w:vAlign w:val="center"/>
          </w:tcPr>
          <w:p w14:paraId="14F49E16">
            <w:pPr>
              <w:widowControl/>
              <w:jc w:val="center"/>
              <w:rPr>
                <w:sz w:val="15"/>
                <w:szCs w:val="15"/>
                <w:highlight w:val="none"/>
              </w:rPr>
            </w:pPr>
            <w:r>
              <w:rPr>
                <w:sz w:val="15"/>
                <w:szCs w:val="15"/>
                <w:highlight w:val="none"/>
              </w:rPr>
              <w:t>7.4</w:t>
            </w:r>
          </w:p>
        </w:tc>
        <w:tc>
          <w:tcPr>
            <w:tcW w:w="361" w:type="pct"/>
            <w:tcBorders>
              <w:top w:val="nil"/>
              <w:left w:val="nil"/>
              <w:bottom w:val="single" w:color="auto" w:sz="4" w:space="0"/>
              <w:right w:val="single" w:color="auto" w:sz="4" w:space="0"/>
            </w:tcBorders>
            <w:shd w:val="clear" w:color="auto" w:fill="auto"/>
            <w:noWrap/>
            <w:vAlign w:val="center"/>
          </w:tcPr>
          <w:p w14:paraId="076160FA">
            <w:pPr>
              <w:widowControl/>
              <w:jc w:val="center"/>
              <w:rPr>
                <w:sz w:val="15"/>
                <w:szCs w:val="15"/>
                <w:highlight w:val="none"/>
              </w:rPr>
            </w:pPr>
            <w:r>
              <w:rPr>
                <w:sz w:val="15"/>
                <w:szCs w:val="15"/>
                <w:highlight w:val="none"/>
              </w:rPr>
              <w:t>0.15</w:t>
            </w:r>
          </w:p>
        </w:tc>
        <w:tc>
          <w:tcPr>
            <w:tcW w:w="361" w:type="pct"/>
            <w:tcBorders>
              <w:top w:val="nil"/>
              <w:left w:val="nil"/>
              <w:bottom w:val="single" w:color="auto" w:sz="4" w:space="0"/>
              <w:right w:val="single" w:color="auto" w:sz="4" w:space="0"/>
            </w:tcBorders>
            <w:shd w:val="clear" w:color="auto" w:fill="auto"/>
            <w:noWrap/>
            <w:vAlign w:val="center"/>
          </w:tcPr>
          <w:p w14:paraId="3DD20607">
            <w:pPr>
              <w:widowControl/>
              <w:jc w:val="center"/>
              <w:rPr>
                <w:sz w:val="15"/>
                <w:szCs w:val="15"/>
                <w:highlight w:val="none"/>
              </w:rPr>
            </w:pPr>
            <w:r>
              <w:rPr>
                <w:sz w:val="15"/>
                <w:szCs w:val="15"/>
                <w:highlight w:val="none"/>
              </w:rPr>
              <w:t>177.74</w:t>
            </w:r>
          </w:p>
        </w:tc>
        <w:tc>
          <w:tcPr>
            <w:tcW w:w="453" w:type="pct"/>
            <w:tcBorders>
              <w:top w:val="nil"/>
              <w:left w:val="nil"/>
              <w:bottom w:val="single" w:color="auto" w:sz="4" w:space="0"/>
              <w:right w:val="single" w:color="auto" w:sz="4" w:space="0"/>
            </w:tcBorders>
            <w:shd w:val="clear" w:color="auto" w:fill="auto"/>
            <w:noWrap/>
            <w:vAlign w:val="center"/>
          </w:tcPr>
          <w:p w14:paraId="3D3DFEA7">
            <w:pPr>
              <w:widowControl/>
              <w:jc w:val="center"/>
              <w:rPr>
                <w:sz w:val="15"/>
                <w:szCs w:val="15"/>
                <w:highlight w:val="none"/>
              </w:rPr>
            </w:pPr>
            <w:r>
              <w:rPr>
                <w:sz w:val="15"/>
                <w:szCs w:val="15"/>
                <w:highlight w:val="none"/>
              </w:rPr>
              <w:t>3.51</w:t>
            </w:r>
          </w:p>
        </w:tc>
        <w:tc>
          <w:tcPr>
            <w:tcW w:w="453" w:type="pct"/>
            <w:tcBorders>
              <w:top w:val="nil"/>
              <w:left w:val="nil"/>
              <w:bottom w:val="single" w:color="auto" w:sz="4" w:space="0"/>
              <w:right w:val="single" w:color="auto" w:sz="4" w:space="0"/>
            </w:tcBorders>
            <w:shd w:val="clear" w:color="auto" w:fill="auto"/>
            <w:noWrap/>
            <w:vAlign w:val="center"/>
          </w:tcPr>
          <w:p w14:paraId="0E5F2AC8">
            <w:pPr>
              <w:widowControl/>
              <w:jc w:val="center"/>
              <w:rPr>
                <w:sz w:val="15"/>
                <w:szCs w:val="15"/>
                <w:highlight w:val="none"/>
              </w:rPr>
            </w:pPr>
            <w:r>
              <w:rPr>
                <w:sz w:val="15"/>
                <w:szCs w:val="15"/>
                <w:highlight w:val="none"/>
              </w:rPr>
              <w:t>4.17</w:t>
            </w:r>
          </w:p>
        </w:tc>
        <w:tc>
          <w:tcPr>
            <w:tcW w:w="361" w:type="pct"/>
            <w:tcBorders>
              <w:top w:val="nil"/>
              <w:left w:val="nil"/>
              <w:bottom w:val="single" w:color="auto" w:sz="4" w:space="0"/>
              <w:right w:val="single" w:color="auto" w:sz="4" w:space="0"/>
            </w:tcBorders>
            <w:shd w:val="clear" w:color="auto" w:fill="auto"/>
            <w:noWrap/>
            <w:vAlign w:val="center"/>
          </w:tcPr>
          <w:p w14:paraId="73F8F386">
            <w:pPr>
              <w:widowControl/>
              <w:jc w:val="center"/>
              <w:rPr>
                <w:sz w:val="15"/>
                <w:szCs w:val="15"/>
                <w:highlight w:val="none"/>
              </w:rPr>
            </w:pPr>
            <w:r>
              <w:rPr>
                <w:sz w:val="15"/>
                <w:szCs w:val="15"/>
                <w:highlight w:val="none"/>
              </w:rPr>
              <w:t>0.10</w:t>
            </w:r>
          </w:p>
        </w:tc>
        <w:tc>
          <w:tcPr>
            <w:tcW w:w="361" w:type="pct"/>
            <w:tcBorders>
              <w:top w:val="nil"/>
              <w:left w:val="nil"/>
              <w:bottom w:val="single" w:color="auto" w:sz="4" w:space="0"/>
              <w:right w:val="single" w:color="auto" w:sz="4" w:space="0"/>
            </w:tcBorders>
            <w:shd w:val="clear" w:color="auto" w:fill="auto"/>
            <w:noWrap/>
            <w:vAlign w:val="center"/>
          </w:tcPr>
          <w:p w14:paraId="30A356B7">
            <w:pPr>
              <w:widowControl/>
              <w:jc w:val="center"/>
              <w:rPr>
                <w:sz w:val="15"/>
                <w:szCs w:val="15"/>
                <w:highlight w:val="none"/>
              </w:rPr>
            </w:pPr>
            <w:r>
              <w:rPr>
                <w:sz w:val="15"/>
                <w:szCs w:val="15"/>
                <w:highlight w:val="none"/>
              </w:rPr>
              <w:t>0.28</w:t>
            </w:r>
          </w:p>
        </w:tc>
        <w:tc>
          <w:tcPr>
            <w:tcW w:w="361" w:type="pct"/>
            <w:tcBorders>
              <w:top w:val="nil"/>
              <w:left w:val="nil"/>
              <w:bottom w:val="single" w:color="auto" w:sz="4" w:space="0"/>
              <w:right w:val="single" w:color="auto" w:sz="4" w:space="0"/>
            </w:tcBorders>
            <w:shd w:val="clear" w:color="auto" w:fill="auto"/>
            <w:noWrap/>
            <w:vAlign w:val="center"/>
          </w:tcPr>
          <w:p w14:paraId="054267DA">
            <w:pPr>
              <w:widowControl/>
              <w:jc w:val="center"/>
              <w:rPr>
                <w:sz w:val="15"/>
                <w:szCs w:val="15"/>
                <w:highlight w:val="none"/>
              </w:rPr>
            </w:pPr>
            <w:r>
              <w:rPr>
                <w:sz w:val="15"/>
                <w:szCs w:val="15"/>
                <w:highlight w:val="none"/>
              </w:rPr>
              <w:t>/</w:t>
            </w:r>
          </w:p>
        </w:tc>
      </w:tr>
      <w:tr w14:paraId="163720B4">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3567CCCE">
            <w:pPr>
              <w:widowControl/>
              <w:jc w:val="center"/>
              <w:rPr>
                <w:sz w:val="15"/>
                <w:szCs w:val="15"/>
                <w:highlight w:val="none"/>
              </w:rPr>
            </w:pPr>
            <w:r>
              <w:rPr>
                <w:sz w:val="15"/>
                <w:szCs w:val="15"/>
                <w:highlight w:val="none"/>
              </w:rPr>
              <w:t>2025.11.24</w:t>
            </w:r>
          </w:p>
        </w:tc>
        <w:tc>
          <w:tcPr>
            <w:tcW w:w="306" w:type="pct"/>
            <w:tcBorders>
              <w:top w:val="nil"/>
              <w:left w:val="nil"/>
              <w:bottom w:val="single" w:color="auto" w:sz="4" w:space="0"/>
              <w:right w:val="single" w:color="auto" w:sz="4" w:space="0"/>
            </w:tcBorders>
            <w:shd w:val="clear" w:color="auto" w:fill="auto"/>
            <w:noWrap/>
            <w:vAlign w:val="center"/>
          </w:tcPr>
          <w:p w14:paraId="6A28D426">
            <w:pPr>
              <w:widowControl/>
              <w:jc w:val="center"/>
              <w:rPr>
                <w:sz w:val="15"/>
                <w:szCs w:val="15"/>
                <w:highlight w:val="none"/>
              </w:rPr>
            </w:pPr>
            <w:r>
              <w:rPr>
                <w:sz w:val="15"/>
                <w:szCs w:val="15"/>
                <w:highlight w:val="none"/>
              </w:rPr>
              <w:t>11:30</w:t>
            </w:r>
          </w:p>
        </w:tc>
        <w:tc>
          <w:tcPr>
            <w:tcW w:w="368" w:type="pct"/>
            <w:tcBorders>
              <w:top w:val="nil"/>
              <w:left w:val="nil"/>
              <w:bottom w:val="single" w:color="auto" w:sz="4" w:space="0"/>
              <w:right w:val="single" w:color="auto" w:sz="4" w:space="0"/>
            </w:tcBorders>
            <w:shd w:val="clear" w:color="auto" w:fill="auto"/>
            <w:noWrap/>
            <w:vAlign w:val="center"/>
          </w:tcPr>
          <w:p w14:paraId="3B5FA36D">
            <w:pPr>
              <w:widowControl/>
              <w:jc w:val="center"/>
              <w:rPr>
                <w:sz w:val="15"/>
                <w:szCs w:val="15"/>
                <w:highlight w:val="none"/>
              </w:rPr>
            </w:pPr>
            <w:r>
              <w:rPr>
                <w:sz w:val="15"/>
                <w:szCs w:val="15"/>
                <w:highlight w:val="none"/>
              </w:rPr>
              <w:t>6.93</w:t>
            </w:r>
          </w:p>
        </w:tc>
        <w:tc>
          <w:tcPr>
            <w:tcW w:w="348" w:type="pct"/>
            <w:tcBorders>
              <w:top w:val="nil"/>
              <w:left w:val="nil"/>
              <w:bottom w:val="single" w:color="auto" w:sz="4" w:space="0"/>
              <w:right w:val="single" w:color="auto" w:sz="4" w:space="0"/>
            </w:tcBorders>
            <w:shd w:val="clear" w:color="auto" w:fill="auto"/>
            <w:noWrap/>
            <w:vAlign w:val="center"/>
          </w:tcPr>
          <w:p w14:paraId="5F0D5C78">
            <w:pPr>
              <w:widowControl/>
              <w:jc w:val="center"/>
              <w:rPr>
                <w:sz w:val="15"/>
                <w:szCs w:val="15"/>
                <w:highlight w:val="none"/>
              </w:rPr>
            </w:pPr>
            <w:r>
              <w:rPr>
                <w:sz w:val="15"/>
                <w:szCs w:val="15"/>
                <w:highlight w:val="none"/>
              </w:rPr>
              <w:t>1.02</w:t>
            </w:r>
          </w:p>
        </w:tc>
        <w:tc>
          <w:tcPr>
            <w:tcW w:w="393" w:type="pct"/>
            <w:tcBorders>
              <w:top w:val="nil"/>
              <w:left w:val="nil"/>
              <w:bottom w:val="single" w:color="auto" w:sz="4" w:space="0"/>
              <w:right w:val="single" w:color="auto" w:sz="4" w:space="0"/>
            </w:tcBorders>
            <w:shd w:val="clear" w:color="auto" w:fill="auto"/>
            <w:noWrap/>
            <w:vAlign w:val="center"/>
          </w:tcPr>
          <w:p w14:paraId="1EA15990">
            <w:pPr>
              <w:widowControl/>
              <w:jc w:val="center"/>
              <w:rPr>
                <w:sz w:val="15"/>
                <w:szCs w:val="15"/>
                <w:highlight w:val="none"/>
              </w:rPr>
            </w:pPr>
            <w:r>
              <w:rPr>
                <w:sz w:val="15"/>
                <w:szCs w:val="15"/>
                <w:highlight w:val="none"/>
              </w:rPr>
              <w:t>1546</w:t>
            </w:r>
          </w:p>
        </w:tc>
        <w:tc>
          <w:tcPr>
            <w:tcW w:w="375" w:type="pct"/>
            <w:tcBorders>
              <w:top w:val="nil"/>
              <w:left w:val="nil"/>
              <w:bottom w:val="single" w:color="auto" w:sz="4" w:space="0"/>
              <w:right w:val="single" w:color="auto" w:sz="4" w:space="0"/>
            </w:tcBorders>
            <w:shd w:val="clear" w:color="auto" w:fill="auto"/>
            <w:noWrap/>
            <w:vAlign w:val="center"/>
          </w:tcPr>
          <w:p w14:paraId="2EF5A75B">
            <w:pPr>
              <w:widowControl/>
              <w:jc w:val="center"/>
              <w:rPr>
                <w:sz w:val="15"/>
                <w:szCs w:val="15"/>
                <w:highlight w:val="none"/>
              </w:rPr>
            </w:pPr>
            <w:r>
              <w:rPr>
                <w:sz w:val="15"/>
                <w:szCs w:val="15"/>
                <w:highlight w:val="none"/>
              </w:rPr>
              <w:t>15.0</w:t>
            </w:r>
          </w:p>
        </w:tc>
        <w:tc>
          <w:tcPr>
            <w:tcW w:w="361" w:type="pct"/>
            <w:tcBorders>
              <w:top w:val="nil"/>
              <w:left w:val="nil"/>
              <w:bottom w:val="single" w:color="auto" w:sz="4" w:space="0"/>
              <w:right w:val="single" w:color="auto" w:sz="4" w:space="0"/>
            </w:tcBorders>
            <w:shd w:val="clear" w:color="auto" w:fill="auto"/>
            <w:noWrap/>
            <w:vAlign w:val="center"/>
          </w:tcPr>
          <w:p w14:paraId="212210D2">
            <w:pPr>
              <w:widowControl/>
              <w:jc w:val="center"/>
              <w:rPr>
                <w:sz w:val="15"/>
                <w:szCs w:val="15"/>
                <w:highlight w:val="none"/>
              </w:rPr>
            </w:pPr>
            <w:r>
              <w:rPr>
                <w:sz w:val="15"/>
                <w:szCs w:val="15"/>
                <w:highlight w:val="none"/>
              </w:rPr>
              <w:t>0.64</w:t>
            </w:r>
          </w:p>
        </w:tc>
        <w:tc>
          <w:tcPr>
            <w:tcW w:w="361" w:type="pct"/>
            <w:tcBorders>
              <w:top w:val="nil"/>
              <w:left w:val="nil"/>
              <w:bottom w:val="single" w:color="auto" w:sz="4" w:space="0"/>
              <w:right w:val="single" w:color="auto" w:sz="4" w:space="0"/>
            </w:tcBorders>
            <w:shd w:val="clear" w:color="auto" w:fill="auto"/>
            <w:noWrap/>
            <w:vAlign w:val="center"/>
          </w:tcPr>
          <w:p w14:paraId="32EC1C0F">
            <w:pPr>
              <w:widowControl/>
              <w:jc w:val="center"/>
              <w:rPr>
                <w:sz w:val="15"/>
                <w:szCs w:val="15"/>
                <w:highlight w:val="none"/>
              </w:rPr>
            </w:pPr>
            <w:r>
              <w:rPr>
                <w:sz w:val="15"/>
                <w:szCs w:val="15"/>
                <w:highlight w:val="none"/>
              </w:rPr>
              <w:t>191.41</w:t>
            </w:r>
          </w:p>
        </w:tc>
        <w:tc>
          <w:tcPr>
            <w:tcW w:w="453" w:type="pct"/>
            <w:tcBorders>
              <w:top w:val="nil"/>
              <w:left w:val="nil"/>
              <w:bottom w:val="single" w:color="auto" w:sz="4" w:space="0"/>
              <w:right w:val="single" w:color="auto" w:sz="4" w:space="0"/>
            </w:tcBorders>
            <w:shd w:val="clear" w:color="auto" w:fill="auto"/>
            <w:noWrap/>
            <w:vAlign w:val="center"/>
          </w:tcPr>
          <w:p w14:paraId="26FD4823">
            <w:pPr>
              <w:widowControl/>
              <w:jc w:val="center"/>
              <w:rPr>
                <w:sz w:val="15"/>
                <w:szCs w:val="15"/>
                <w:highlight w:val="none"/>
              </w:rPr>
            </w:pPr>
            <w:r>
              <w:rPr>
                <w:sz w:val="15"/>
                <w:szCs w:val="15"/>
                <w:highlight w:val="none"/>
              </w:rPr>
              <w:t>4.39</w:t>
            </w:r>
          </w:p>
        </w:tc>
        <w:tc>
          <w:tcPr>
            <w:tcW w:w="453" w:type="pct"/>
            <w:tcBorders>
              <w:top w:val="nil"/>
              <w:left w:val="nil"/>
              <w:bottom w:val="single" w:color="auto" w:sz="4" w:space="0"/>
              <w:right w:val="single" w:color="auto" w:sz="4" w:space="0"/>
            </w:tcBorders>
            <w:shd w:val="clear" w:color="auto" w:fill="auto"/>
            <w:noWrap/>
            <w:vAlign w:val="center"/>
          </w:tcPr>
          <w:p w14:paraId="5DC534A4">
            <w:pPr>
              <w:widowControl/>
              <w:jc w:val="center"/>
              <w:rPr>
                <w:sz w:val="15"/>
                <w:szCs w:val="15"/>
                <w:highlight w:val="none"/>
              </w:rPr>
            </w:pPr>
            <w:r>
              <w:rPr>
                <w:sz w:val="15"/>
                <w:szCs w:val="15"/>
                <w:highlight w:val="none"/>
              </w:rPr>
              <w:t>3.76</w:t>
            </w:r>
          </w:p>
        </w:tc>
        <w:tc>
          <w:tcPr>
            <w:tcW w:w="361" w:type="pct"/>
            <w:tcBorders>
              <w:top w:val="nil"/>
              <w:left w:val="nil"/>
              <w:bottom w:val="single" w:color="auto" w:sz="4" w:space="0"/>
              <w:right w:val="single" w:color="auto" w:sz="4" w:space="0"/>
            </w:tcBorders>
            <w:shd w:val="clear" w:color="auto" w:fill="auto"/>
            <w:noWrap/>
            <w:vAlign w:val="center"/>
          </w:tcPr>
          <w:p w14:paraId="71814DD1">
            <w:pPr>
              <w:widowControl/>
              <w:jc w:val="center"/>
              <w:rPr>
                <w:sz w:val="15"/>
                <w:szCs w:val="15"/>
                <w:highlight w:val="none"/>
              </w:rPr>
            </w:pPr>
            <w:r>
              <w:rPr>
                <w:sz w:val="15"/>
                <w:szCs w:val="15"/>
                <w:highlight w:val="none"/>
              </w:rPr>
              <w:t>0.10</w:t>
            </w:r>
          </w:p>
        </w:tc>
        <w:tc>
          <w:tcPr>
            <w:tcW w:w="361" w:type="pct"/>
            <w:tcBorders>
              <w:top w:val="nil"/>
              <w:left w:val="nil"/>
              <w:bottom w:val="single" w:color="auto" w:sz="4" w:space="0"/>
              <w:right w:val="single" w:color="auto" w:sz="4" w:space="0"/>
            </w:tcBorders>
            <w:shd w:val="clear" w:color="auto" w:fill="auto"/>
            <w:noWrap/>
            <w:vAlign w:val="center"/>
          </w:tcPr>
          <w:p w14:paraId="08934DC1">
            <w:pPr>
              <w:widowControl/>
              <w:jc w:val="center"/>
              <w:rPr>
                <w:sz w:val="15"/>
                <w:szCs w:val="15"/>
                <w:highlight w:val="none"/>
              </w:rPr>
            </w:pPr>
            <w:r>
              <w:rPr>
                <w:sz w:val="15"/>
                <w:szCs w:val="15"/>
                <w:highlight w:val="none"/>
              </w:rPr>
              <w:t>0.39</w:t>
            </w:r>
          </w:p>
        </w:tc>
        <w:tc>
          <w:tcPr>
            <w:tcW w:w="361" w:type="pct"/>
            <w:tcBorders>
              <w:top w:val="nil"/>
              <w:left w:val="nil"/>
              <w:bottom w:val="single" w:color="auto" w:sz="4" w:space="0"/>
              <w:right w:val="single" w:color="auto" w:sz="4" w:space="0"/>
            </w:tcBorders>
            <w:shd w:val="clear" w:color="auto" w:fill="auto"/>
            <w:noWrap/>
            <w:vAlign w:val="center"/>
          </w:tcPr>
          <w:p w14:paraId="161A9E49">
            <w:pPr>
              <w:widowControl/>
              <w:jc w:val="center"/>
              <w:rPr>
                <w:sz w:val="15"/>
                <w:szCs w:val="15"/>
                <w:highlight w:val="none"/>
              </w:rPr>
            </w:pPr>
            <w:r>
              <w:rPr>
                <w:sz w:val="15"/>
                <w:szCs w:val="15"/>
                <w:highlight w:val="none"/>
              </w:rPr>
              <w:t>0.01</w:t>
            </w:r>
          </w:p>
        </w:tc>
      </w:tr>
      <w:tr w14:paraId="5EA3B22C">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5BEE461F">
            <w:pPr>
              <w:widowControl/>
              <w:jc w:val="center"/>
              <w:rPr>
                <w:sz w:val="15"/>
                <w:szCs w:val="15"/>
                <w:highlight w:val="none"/>
              </w:rPr>
            </w:pPr>
            <w:r>
              <w:rPr>
                <w:sz w:val="15"/>
                <w:szCs w:val="15"/>
                <w:highlight w:val="none"/>
              </w:rPr>
              <w:t>2025.12.04</w:t>
            </w:r>
          </w:p>
        </w:tc>
        <w:tc>
          <w:tcPr>
            <w:tcW w:w="306" w:type="pct"/>
            <w:tcBorders>
              <w:top w:val="nil"/>
              <w:left w:val="nil"/>
              <w:bottom w:val="single" w:color="auto" w:sz="4" w:space="0"/>
              <w:right w:val="single" w:color="auto" w:sz="4" w:space="0"/>
            </w:tcBorders>
            <w:shd w:val="clear" w:color="auto" w:fill="auto"/>
            <w:noWrap/>
            <w:vAlign w:val="center"/>
          </w:tcPr>
          <w:p w14:paraId="5F04FDF5">
            <w:pPr>
              <w:widowControl/>
              <w:jc w:val="center"/>
              <w:rPr>
                <w:sz w:val="15"/>
                <w:szCs w:val="15"/>
                <w:highlight w:val="none"/>
              </w:rPr>
            </w:pPr>
            <w:r>
              <w:rPr>
                <w:sz w:val="15"/>
                <w:szCs w:val="15"/>
                <w:highlight w:val="none"/>
              </w:rPr>
              <w:t>10:30</w:t>
            </w:r>
          </w:p>
        </w:tc>
        <w:tc>
          <w:tcPr>
            <w:tcW w:w="368" w:type="pct"/>
            <w:tcBorders>
              <w:top w:val="nil"/>
              <w:left w:val="nil"/>
              <w:bottom w:val="single" w:color="auto" w:sz="4" w:space="0"/>
              <w:right w:val="single" w:color="auto" w:sz="4" w:space="0"/>
            </w:tcBorders>
            <w:shd w:val="clear" w:color="auto" w:fill="auto"/>
            <w:noWrap/>
            <w:vAlign w:val="center"/>
          </w:tcPr>
          <w:p w14:paraId="5D8F9304">
            <w:pPr>
              <w:widowControl/>
              <w:jc w:val="center"/>
              <w:rPr>
                <w:sz w:val="15"/>
                <w:szCs w:val="15"/>
                <w:highlight w:val="none"/>
              </w:rPr>
            </w:pPr>
            <w:r>
              <w:rPr>
                <w:sz w:val="15"/>
                <w:szCs w:val="15"/>
                <w:highlight w:val="none"/>
              </w:rPr>
              <w:t>6.92</w:t>
            </w:r>
          </w:p>
        </w:tc>
        <w:tc>
          <w:tcPr>
            <w:tcW w:w="348" w:type="pct"/>
            <w:tcBorders>
              <w:top w:val="nil"/>
              <w:left w:val="nil"/>
              <w:bottom w:val="single" w:color="auto" w:sz="4" w:space="0"/>
              <w:right w:val="single" w:color="auto" w:sz="4" w:space="0"/>
            </w:tcBorders>
            <w:shd w:val="clear" w:color="auto" w:fill="auto"/>
            <w:noWrap/>
            <w:vAlign w:val="center"/>
          </w:tcPr>
          <w:p w14:paraId="6807F9AF">
            <w:pPr>
              <w:widowControl/>
              <w:jc w:val="center"/>
              <w:rPr>
                <w:sz w:val="15"/>
                <w:szCs w:val="15"/>
                <w:highlight w:val="none"/>
              </w:rPr>
            </w:pPr>
            <w:r>
              <w:rPr>
                <w:sz w:val="15"/>
                <w:szCs w:val="15"/>
                <w:highlight w:val="none"/>
              </w:rPr>
              <w:t>1.88</w:t>
            </w:r>
          </w:p>
        </w:tc>
        <w:tc>
          <w:tcPr>
            <w:tcW w:w="393" w:type="pct"/>
            <w:tcBorders>
              <w:top w:val="nil"/>
              <w:left w:val="nil"/>
              <w:bottom w:val="single" w:color="auto" w:sz="4" w:space="0"/>
              <w:right w:val="single" w:color="auto" w:sz="4" w:space="0"/>
            </w:tcBorders>
            <w:shd w:val="clear" w:color="auto" w:fill="auto"/>
            <w:noWrap/>
            <w:vAlign w:val="center"/>
          </w:tcPr>
          <w:p w14:paraId="1502AABC">
            <w:pPr>
              <w:widowControl/>
              <w:jc w:val="center"/>
              <w:rPr>
                <w:sz w:val="15"/>
                <w:szCs w:val="15"/>
                <w:highlight w:val="none"/>
              </w:rPr>
            </w:pPr>
            <w:r>
              <w:rPr>
                <w:sz w:val="15"/>
                <w:szCs w:val="15"/>
                <w:highlight w:val="none"/>
              </w:rPr>
              <w:t>1531</w:t>
            </w:r>
          </w:p>
        </w:tc>
        <w:tc>
          <w:tcPr>
            <w:tcW w:w="375" w:type="pct"/>
            <w:tcBorders>
              <w:top w:val="nil"/>
              <w:left w:val="nil"/>
              <w:bottom w:val="single" w:color="auto" w:sz="4" w:space="0"/>
              <w:right w:val="single" w:color="auto" w:sz="4" w:space="0"/>
            </w:tcBorders>
            <w:shd w:val="clear" w:color="auto" w:fill="auto"/>
            <w:noWrap/>
            <w:vAlign w:val="center"/>
          </w:tcPr>
          <w:p w14:paraId="225CA0F3">
            <w:pPr>
              <w:widowControl/>
              <w:jc w:val="center"/>
              <w:rPr>
                <w:sz w:val="15"/>
                <w:szCs w:val="15"/>
                <w:highlight w:val="none"/>
              </w:rPr>
            </w:pPr>
            <w:r>
              <w:rPr>
                <w:sz w:val="15"/>
                <w:szCs w:val="15"/>
                <w:highlight w:val="none"/>
              </w:rPr>
              <w:t>3.9</w:t>
            </w:r>
          </w:p>
        </w:tc>
        <w:tc>
          <w:tcPr>
            <w:tcW w:w="361" w:type="pct"/>
            <w:tcBorders>
              <w:top w:val="nil"/>
              <w:left w:val="nil"/>
              <w:bottom w:val="single" w:color="auto" w:sz="4" w:space="0"/>
              <w:right w:val="single" w:color="auto" w:sz="4" w:space="0"/>
            </w:tcBorders>
            <w:shd w:val="clear" w:color="auto" w:fill="auto"/>
            <w:noWrap/>
            <w:vAlign w:val="center"/>
          </w:tcPr>
          <w:p w14:paraId="56975C06">
            <w:pPr>
              <w:widowControl/>
              <w:jc w:val="center"/>
              <w:rPr>
                <w:sz w:val="15"/>
                <w:szCs w:val="15"/>
                <w:highlight w:val="none"/>
              </w:rPr>
            </w:pPr>
            <w:r>
              <w:rPr>
                <w:sz w:val="15"/>
                <w:szCs w:val="15"/>
                <w:highlight w:val="none"/>
              </w:rPr>
              <w:t>3.36</w:t>
            </w:r>
          </w:p>
        </w:tc>
        <w:tc>
          <w:tcPr>
            <w:tcW w:w="361" w:type="pct"/>
            <w:tcBorders>
              <w:top w:val="nil"/>
              <w:left w:val="nil"/>
              <w:bottom w:val="single" w:color="auto" w:sz="4" w:space="0"/>
              <w:right w:val="single" w:color="auto" w:sz="4" w:space="0"/>
            </w:tcBorders>
            <w:shd w:val="clear" w:color="auto" w:fill="auto"/>
            <w:noWrap/>
            <w:vAlign w:val="center"/>
          </w:tcPr>
          <w:p w14:paraId="07B2328B">
            <w:pPr>
              <w:widowControl/>
              <w:jc w:val="center"/>
              <w:rPr>
                <w:sz w:val="15"/>
                <w:szCs w:val="15"/>
                <w:highlight w:val="none"/>
              </w:rPr>
            </w:pPr>
            <w:r>
              <w:rPr>
                <w:sz w:val="15"/>
                <w:szCs w:val="15"/>
                <w:highlight w:val="none"/>
              </w:rPr>
              <w:t>183.89</w:t>
            </w:r>
          </w:p>
        </w:tc>
        <w:tc>
          <w:tcPr>
            <w:tcW w:w="453" w:type="pct"/>
            <w:tcBorders>
              <w:top w:val="nil"/>
              <w:left w:val="nil"/>
              <w:bottom w:val="single" w:color="auto" w:sz="4" w:space="0"/>
              <w:right w:val="single" w:color="auto" w:sz="4" w:space="0"/>
            </w:tcBorders>
            <w:shd w:val="clear" w:color="auto" w:fill="auto"/>
            <w:noWrap/>
            <w:vAlign w:val="center"/>
          </w:tcPr>
          <w:p w14:paraId="5A49A23C">
            <w:pPr>
              <w:widowControl/>
              <w:jc w:val="center"/>
              <w:rPr>
                <w:sz w:val="15"/>
                <w:szCs w:val="15"/>
                <w:highlight w:val="none"/>
              </w:rPr>
            </w:pPr>
            <w:r>
              <w:rPr>
                <w:sz w:val="15"/>
                <w:szCs w:val="15"/>
                <w:highlight w:val="none"/>
              </w:rPr>
              <w:t>4.88</w:t>
            </w:r>
          </w:p>
        </w:tc>
        <w:tc>
          <w:tcPr>
            <w:tcW w:w="453" w:type="pct"/>
            <w:tcBorders>
              <w:top w:val="nil"/>
              <w:left w:val="nil"/>
              <w:bottom w:val="single" w:color="auto" w:sz="4" w:space="0"/>
              <w:right w:val="single" w:color="auto" w:sz="4" w:space="0"/>
            </w:tcBorders>
            <w:shd w:val="clear" w:color="auto" w:fill="auto"/>
            <w:noWrap/>
            <w:vAlign w:val="center"/>
          </w:tcPr>
          <w:p w14:paraId="55E1CA49">
            <w:pPr>
              <w:widowControl/>
              <w:jc w:val="center"/>
              <w:rPr>
                <w:sz w:val="15"/>
                <w:szCs w:val="15"/>
                <w:highlight w:val="none"/>
              </w:rPr>
            </w:pPr>
            <w:r>
              <w:rPr>
                <w:sz w:val="15"/>
                <w:szCs w:val="15"/>
                <w:highlight w:val="none"/>
              </w:rPr>
              <w:t>3.13</w:t>
            </w:r>
          </w:p>
        </w:tc>
        <w:tc>
          <w:tcPr>
            <w:tcW w:w="361" w:type="pct"/>
            <w:tcBorders>
              <w:top w:val="nil"/>
              <w:left w:val="nil"/>
              <w:bottom w:val="single" w:color="auto" w:sz="4" w:space="0"/>
              <w:right w:val="single" w:color="auto" w:sz="4" w:space="0"/>
            </w:tcBorders>
            <w:shd w:val="clear" w:color="auto" w:fill="auto"/>
            <w:noWrap/>
            <w:vAlign w:val="center"/>
          </w:tcPr>
          <w:p w14:paraId="521A4156">
            <w:pPr>
              <w:widowControl/>
              <w:jc w:val="center"/>
              <w:rPr>
                <w:sz w:val="15"/>
                <w:szCs w:val="15"/>
                <w:highlight w:val="none"/>
              </w:rPr>
            </w:pPr>
            <w:r>
              <w:rPr>
                <w:sz w:val="15"/>
                <w:szCs w:val="15"/>
                <w:highlight w:val="none"/>
              </w:rPr>
              <w:t>0.10</w:t>
            </w:r>
          </w:p>
        </w:tc>
        <w:tc>
          <w:tcPr>
            <w:tcW w:w="361" w:type="pct"/>
            <w:tcBorders>
              <w:top w:val="nil"/>
              <w:left w:val="nil"/>
              <w:bottom w:val="single" w:color="auto" w:sz="4" w:space="0"/>
              <w:right w:val="single" w:color="auto" w:sz="4" w:space="0"/>
            </w:tcBorders>
            <w:shd w:val="clear" w:color="auto" w:fill="auto"/>
            <w:noWrap/>
            <w:vAlign w:val="center"/>
          </w:tcPr>
          <w:p w14:paraId="544972E2">
            <w:pPr>
              <w:widowControl/>
              <w:jc w:val="center"/>
              <w:rPr>
                <w:sz w:val="15"/>
                <w:szCs w:val="15"/>
                <w:highlight w:val="none"/>
              </w:rPr>
            </w:pPr>
            <w:r>
              <w:rPr>
                <w:sz w:val="15"/>
                <w:szCs w:val="15"/>
                <w:highlight w:val="none"/>
              </w:rPr>
              <w:t>0.35</w:t>
            </w:r>
          </w:p>
        </w:tc>
        <w:tc>
          <w:tcPr>
            <w:tcW w:w="361" w:type="pct"/>
            <w:tcBorders>
              <w:top w:val="nil"/>
              <w:left w:val="nil"/>
              <w:bottom w:val="single" w:color="auto" w:sz="4" w:space="0"/>
              <w:right w:val="single" w:color="auto" w:sz="4" w:space="0"/>
            </w:tcBorders>
            <w:shd w:val="clear" w:color="auto" w:fill="auto"/>
            <w:noWrap/>
            <w:vAlign w:val="center"/>
          </w:tcPr>
          <w:p w14:paraId="20C91E7F">
            <w:pPr>
              <w:widowControl/>
              <w:jc w:val="center"/>
              <w:rPr>
                <w:sz w:val="15"/>
                <w:szCs w:val="15"/>
                <w:highlight w:val="none"/>
              </w:rPr>
            </w:pPr>
            <w:r>
              <w:rPr>
                <w:sz w:val="15"/>
                <w:szCs w:val="15"/>
                <w:highlight w:val="none"/>
              </w:rPr>
              <w:t>/</w:t>
            </w:r>
          </w:p>
        </w:tc>
      </w:tr>
      <w:tr w14:paraId="12622ABE">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48F71920">
            <w:pPr>
              <w:widowControl/>
              <w:jc w:val="center"/>
              <w:rPr>
                <w:sz w:val="15"/>
                <w:szCs w:val="15"/>
                <w:highlight w:val="none"/>
              </w:rPr>
            </w:pPr>
            <w:r>
              <w:rPr>
                <w:sz w:val="15"/>
                <w:szCs w:val="15"/>
                <w:highlight w:val="none"/>
              </w:rPr>
              <w:t>2025.12.11</w:t>
            </w:r>
          </w:p>
        </w:tc>
        <w:tc>
          <w:tcPr>
            <w:tcW w:w="306" w:type="pct"/>
            <w:tcBorders>
              <w:top w:val="nil"/>
              <w:left w:val="nil"/>
              <w:bottom w:val="single" w:color="auto" w:sz="4" w:space="0"/>
              <w:right w:val="single" w:color="auto" w:sz="4" w:space="0"/>
            </w:tcBorders>
            <w:shd w:val="clear" w:color="auto" w:fill="auto"/>
            <w:noWrap/>
            <w:vAlign w:val="center"/>
          </w:tcPr>
          <w:p w14:paraId="4A8BC3FB">
            <w:pPr>
              <w:widowControl/>
              <w:jc w:val="center"/>
              <w:rPr>
                <w:sz w:val="15"/>
                <w:szCs w:val="15"/>
                <w:highlight w:val="none"/>
              </w:rPr>
            </w:pPr>
            <w:r>
              <w:rPr>
                <w:sz w:val="15"/>
                <w:szCs w:val="15"/>
                <w:highlight w:val="none"/>
              </w:rPr>
              <w:t>11:10</w:t>
            </w:r>
          </w:p>
        </w:tc>
        <w:tc>
          <w:tcPr>
            <w:tcW w:w="368" w:type="pct"/>
            <w:tcBorders>
              <w:top w:val="nil"/>
              <w:left w:val="nil"/>
              <w:bottom w:val="single" w:color="auto" w:sz="4" w:space="0"/>
              <w:right w:val="single" w:color="auto" w:sz="4" w:space="0"/>
            </w:tcBorders>
            <w:shd w:val="clear" w:color="auto" w:fill="auto"/>
            <w:noWrap/>
            <w:vAlign w:val="center"/>
          </w:tcPr>
          <w:p w14:paraId="6EEA487A">
            <w:pPr>
              <w:widowControl/>
              <w:jc w:val="center"/>
              <w:rPr>
                <w:sz w:val="15"/>
                <w:szCs w:val="15"/>
                <w:highlight w:val="none"/>
              </w:rPr>
            </w:pPr>
            <w:r>
              <w:rPr>
                <w:sz w:val="15"/>
                <w:szCs w:val="15"/>
                <w:highlight w:val="none"/>
              </w:rPr>
              <w:t>7.23</w:t>
            </w:r>
          </w:p>
        </w:tc>
        <w:tc>
          <w:tcPr>
            <w:tcW w:w="348" w:type="pct"/>
            <w:tcBorders>
              <w:top w:val="nil"/>
              <w:left w:val="nil"/>
              <w:bottom w:val="single" w:color="auto" w:sz="4" w:space="0"/>
              <w:right w:val="single" w:color="auto" w:sz="4" w:space="0"/>
            </w:tcBorders>
            <w:shd w:val="clear" w:color="auto" w:fill="auto"/>
            <w:noWrap/>
            <w:vAlign w:val="center"/>
          </w:tcPr>
          <w:p w14:paraId="2CEB576C">
            <w:pPr>
              <w:widowControl/>
              <w:jc w:val="center"/>
              <w:rPr>
                <w:sz w:val="15"/>
                <w:szCs w:val="15"/>
                <w:highlight w:val="none"/>
              </w:rPr>
            </w:pPr>
            <w:r>
              <w:rPr>
                <w:sz w:val="15"/>
                <w:szCs w:val="15"/>
                <w:highlight w:val="none"/>
              </w:rPr>
              <w:t>1.42</w:t>
            </w:r>
          </w:p>
        </w:tc>
        <w:tc>
          <w:tcPr>
            <w:tcW w:w="393" w:type="pct"/>
            <w:tcBorders>
              <w:top w:val="nil"/>
              <w:left w:val="nil"/>
              <w:bottom w:val="single" w:color="auto" w:sz="4" w:space="0"/>
              <w:right w:val="single" w:color="auto" w:sz="4" w:space="0"/>
            </w:tcBorders>
            <w:shd w:val="clear" w:color="auto" w:fill="auto"/>
            <w:noWrap/>
            <w:vAlign w:val="center"/>
          </w:tcPr>
          <w:p w14:paraId="5B85A1AD">
            <w:pPr>
              <w:widowControl/>
              <w:jc w:val="center"/>
              <w:rPr>
                <w:sz w:val="15"/>
                <w:szCs w:val="15"/>
                <w:highlight w:val="none"/>
              </w:rPr>
            </w:pPr>
            <w:r>
              <w:rPr>
                <w:sz w:val="15"/>
                <w:szCs w:val="15"/>
                <w:highlight w:val="none"/>
              </w:rPr>
              <w:t>1115</w:t>
            </w:r>
          </w:p>
        </w:tc>
        <w:tc>
          <w:tcPr>
            <w:tcW w:w="375" w:type="pct"/>
            <w:tcBorders>
              <w:top w:val="nil"/>
              <w:left w:val="nil"/>
              <w:bottom w:val="single" w:color="auto" w:sz="4" w:space="0"/>
              <w:right w:val="single" w:color="auto" w:sz="4" w:space="0"/>
            </w:tcBorders>
            <w:shd w:val="clear" w:color="auto" w:fill="auto"/>
            <w:noWrap/>
            <w:vAlign w:val="center"/>
          </w:tcPr>
          <w:p w14:paraId="309842B7">
            <w:pPr>
              <w:widowControl/>
              <w:jc w:val="center"/>
              <w:rPr>
                <w:sz w:val="15"/>
                <w:szCs w:val="15"/>
                <w:highlight w:val="none"/>
              </w:rPr>
            </w:pPr>
            <w:r>
              <w:rPr>
                <w:sz w:val="15"/>
                <w:szCs w:val="15"/>
                <w:highlight w:val="none"/>
              </w:rPr>
              <w:t>8.2</w:t>
            </w:r>
          </w:p>
        </w:tc>
        <w:tc>
          <w:tcPr>
            <w:tcW w:w="361" w:type="pct"/>
            <w:tcBorders>
              <w:top w:val="nil"/>
              <w:left w:val="nil"/>
              <w:bottom w:val="single" w:color="auto" w:sz="4" w:space="0"/>
              <w:right w:val="single" w:color="auto" w:sz="4" w:space="0"/>
            </w:tcBorders>
            <w:shd w:val="clear" w:color="auto" w:fill="auto"/>
            <w:noWrap/>
            <w:vAlign w:val="center"/>
          </w:tcPr>
          <w:p w14:paraId="5C442A4A">
            <w:pPr>
              <w:widowControl/>
              <w:jc w:val="center"/>
              <w:rPr>
                <w:sz w:val="15"/>
                <w:szCs w:val="15"/>
                <w:highlight w:val="none"/>
              </w:rPr>
            </w:pPr>
            <w:r>
              <w:rPr>
                <w:sz w:val="15"/>
                <w:szCs w:val="15"/>
                <w:highlight w:val="none"/>
              </w:rPr>
              <w:t>1.31</w:t>
            </w:r>
          </w:p>
        </w:tc>
        <w:tc>
          <w:tcPr>
            <w:tcW w:w="361" w:type="pct"/>
            <w:tcBorders>
              <w:top w:val="nil"/>
              <w:left w:val="nil"/>
              <w:bottom w:val="single" w:color="auto" w:sz="4" w:space="0"/>
              <w:right w:val="single" w:color="auto" w:sz="4" w:space="0"/>
            </w:tcBorders>
            <w:shd w:val="clear" w:color="auto" w:fill="auto"/>
            <w:noWrap/>
            <w:vAlign w:val="center"/>
          </w:tcPr>
          <w:p w14:paraId="3E17417C">
            <w:pPr>
              <w:widowControl/>
              <w:jc w:val="center"/>
              <w:rPr>
                <w:sz w:val="15"/>
                <w:szCs w:val="15"/>
                <w:highlight w:val="none"/>
              </w:rPr>
            </w:pPr>
            <w:r>
              <w:rPr>
                <w:sz w:val="15"/>
                <w:szCs w:val="15"/>
                <w:highlight w:val="none"/>
              </w:rPr>
              <w:t>148.63</w:t>
            </w:r>
          </w:p>
        </w:tc>
        <w:tc>
          <w:tcPr>
            <w:tcW w:w="453" w:type="pct"/>
            <w:tcBorders>
              <w:top w:val="nil"/>
              <w:left w:val="nil"/>
              <w:bottom w:val="single" w:color="auto" w:sz="4" w:space="0"/>
              <w:right w:val="single" w:color="auto" w:sz="4" w:space="0"/>
            </w:tcBorders>
            <w:shd w:val="clear" w:color="auto" w:fill="auto"/>
            <w:noWrap/>
            <w:vAlign w:val="center"/>
          </w:tcPr>
          <w:p w14:paraId="1D37FB67">
            <w:pPr>
              <w:widowControl/>
              <w:jc w:val="center"/>
              <w:rPr>
                <w:sz w:val="15"/>
                <w:szCs w:val="15"/>
                <w:highlight w:val="none"/>
              </w:rPr>
            </w:pPr>
            <w:r>
              <w:rPr>
                <w:sz w:val="15"/>
                <w:szCs w:val="15"/>
                <w:highlight w:val="none"/>
              </w:rPr>
              <w:t>3.90</w:t>
            </w:r>
          </w:p>
        </w:tc>
        <w:tc>
          <w:tcPr>
            <w:tcW w:w="453" w:type="pct"/>
            <w:tcBorders>
              <w:top w:val="nil"/>
              <w:left w:val="nil"/>
              <w:bottom w:val="single" w:color="auto" w:sz="4" w:space="0"/>
              <w:right w:val="single" w:color="auto" w:sz="4" w:space="0"/>
            </w:tcBorders>
            <w:shd w:val="clear" w:color="auto" w:fill="auto"/>
            <w:noWrap/>
            <w:vAlign w:val="center"/>
          </w:tcPr>
          <w:p w14:paraId="07B47198">
            <w:pPr>
              <w:widowControl/>
              <w:jc w:val="center"/>
              <w:rPr>
                <w:sz w:val="15"/>
                <w:szCs w:val="15"/>
                <w:highlight w:val="none"/>
              </w:rPr>
            </w:pPr>
            <w:r>
              <w:rPr>
                <w:sz w:val="15"/>
                <w:szCs w:val="15"/>
                <w:highlight w:val="none"/>
              </w:rPr>
              <w:t>2.61</w:t>
            </w:r>
          </w:p>
        </w:tc>
        <w:tc>
          <w:tcPr>
            <w:tcW w:w="361" w:type="pct"/>
            <w:tcBorders>
              <w:top w:val="nil"/>
              <w:left w:val="nil"/>
              <w:bottom w:val="single" w:color="auto" w:sz="4" w:space="0"/>
              <w:right w:val="single" w:color="auto" w:sz="4" w:space="0"/>
            </w:tcBorders>
            <w:shd w:val="clear" w:color="auto" w:fill="auto"/>
            <w:noWrap/>
            <w:vAlign w:val="center"/>
          </w:tcPr>
          <w:p w14:paraId="30767929">
            <w:pPr>
              <w:widowControl/>
              <w:jc w:val="center"/>
              <w:rPr>
                <w:sz w:val="15"/>
                <w:szCs w:val="15"/>
                <w:highlight w:val="none"/>
              </w:rPr>
            </w:pPr>
            <w:r>
              <w:rPr>
                <w:sz w:val="15"/>
                <w:szCs w:val="15"/>
                <w:highlight w:val="none"/>
              </w:rPr>
              <w:t>0.10</w:t>
            </w:r>
          </w:p>
        </w:tc>
        <w:tc>
          <w:tcPr>
            <w:tcW w:w="361" w:type="pct"/>
            <w:tcBorders>
              <w:top w:val="nil"/>
              <w:left w:val="nil"/>
              <w:bottom w:val="single" w:color="auto" w:sz="4" w:space="0"/>
              <w:right w:val="single" w:color="auto" w:sz="4" w:space="0"/>
            </w:tcBorders>
            <w:shd w:val="clear" w:color="auto" w:fill="auto"/>
            <w:noWrap/>
            <w:vAlign w:val="center"/>
          </w:tcPr>
          <w:p w14:paraId="4C12E26D">
            <w:pPr>
              <w:widowControl/>
              <w:jc w:val="center"/>
              <w:rPr>
                <w:sz w:val="15"/>
                <w:szCs w:val="15"/>
                <w:highlight w:val="none"/>
              </w:rPr>
            </w:pPr>
            <w:r>
              <w:rPr>
                <w:sz w:val="15"/>
                <w:szCs w:val="15"/>
                <w:highlight w:val="none"/>
              </w:rPr>
              <w:t>0.14</w:t>
            </w:r>
          </w:p>
        </w:tc>
        <w:tc>
          <w:tcPr>
            <w:tcW w:w="361" w:type="pct"/>
            <w:tcBorders>
              <w:top w:val="nil"/>
              <w:left w:val="nil"/>
              <w:bottom w:val="single" w:color="auto" w:sz="4" w:space="0"/>
              <w:right w:val="single" w:color="auto" w:sz="4" w:space="0"/>
            </w:tcBorders>
            <w:shd w:val="clear" w:color="auto" w:fill="auto"/>
            <w:noWrap/>
            <w:vAlign w:val="center"/>
          </w:tcPr>
          <w:p w14:paraId="0B8542D9">
            <w:pPr>
              <w:widowControl/>
              <w:jc w:val="center"/>
              <w:rPr>
                <w:sz w:val="15"/>
                <w:szCs w:val="15"/>
                <w:highlight w:val="none"/>
              </w:rPr>
            </w:pPr>
            <w:r>
              <w:rPr>
                <w:sz w:val="15"/>
                <w:szCs w:val="15"/>
                <w:highlight w:val="none"/>
              </w:rPr>
              <w:t>/</w:t>
            </w:r>
          </w:p>
        </w:tc>
      </w:tr>
      <w:tr w14:paraId="4BCBE22E">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5B0E7F6F">
            <w:pPr>
              <w:widowControl/>
              <w:jc w:val="center"/>
              <w:rPr>
                <w:sz w:val="15"/>
                <w:szCs w:val="15"/>
                <w:highlight w:val="none"/>
              </w:rPr>
            </w:pPr>
            <w:r>
              <w:rPr>
                <w:sz w:val="15"/>
                <w:szCs w:val="15"/>
                <w:highlight w:val="none"/>
              </w:rPr>
              <w:t>2025.12.17</w:t>
            </w:r>
          </w:p>
        </w:tc>
        <w:tc>
          <w:tcPr>
            <w:tcW w:w="306" w:type="pct"/>
            <w:tcBorders>
              <w:top w:val="nil"/>
              <w:left w:val="nil"/>
              <w:bottom w:val="single" w:color="auto" w:sz="4" w:space="0"/>
              <w:right w:val="single" w:color="auto" w:sz="4" w:space="0"/>
            </w:tcBorders>
            <w:shd w:val="clear" w:color="auto" w:fill="auto"/>
            <w:noWrap/>
            <w:vAlign w:val="center"/>
          </w:tcPr>
          <w:p w14:paraId="563B98F1">
            <w:pPr>
              <w:widowControl/>
              <w:jc w:val="center"/>
              <w:rPr>
                <w:sz w:val="15"/>
                <w:szCs w:val="15"/>
                <w:highlight w:val="none"/>
              </w:rPr>
            </w:pPr>
            <w:r>
              <w:rPr>
                <w:sz w:val="15"/>
                <w:szCs w:val="15"/>
                <w:highlight w:val="none"/>
              </w:rPr>
              <w:t>11:10</w:t>
            </w:r>
          </w:p>
        </w:tc>
        <w:tc>
          <w:tcPr>
            <w:tcW w:w="368" w:type="pct"/>
            <w:tcBorders>
              <w:top w:val="nil"/>
              <w:left w:val="nil"/>
              <w:bottom w:val="single" w:color="auto" w:sz="4" w:space="0"/>
              <w:right w:val="single" w:color="auto" w:sz="4" w:space="0"/>
            </w:tcBorders>
            <w:shd w:val="clear" w:color="auto" w:fill="auto"/>
            <w:noWrap/>
            <w:vAlign w:val="center"/>
          </w:tcPr>
          <w:p w14:paraId="47674AAA">
            <w:pPr>
              <w:widowControl/>
              <w:jc w:val="center"/>
              <w:rPr>
                <w:sz w:val="15"/>
                <w:szCs w:val="15"/>
                <w:highlight w:val="none"/>
              </w:rPr>
            </w:pPr>
            <w:r>
              <w:rPr>
                <w:sz w:val="15"/>
                <w:szCs w:val="15"/>
                <w:highlight w:val="none"/>
              </w:rPr>
              <w:t>7.06</w:t>
            </w:r>
          </w:p>
        </w:tc>
        <w:tc>
          <w:tcPr>
            <w:tcW w:w="348" w:type="pct"/>
            <w:tcBorders>
              <w:top w:val="nil"/>
              <w:left w:val="nil"/>
              <w:bottom w:val="single" w:color="auto" w:sz="4" w:space="0"/>
              <w:right w:val="single" w:color="auto" w:sz="4" w:space="0"/>
            </w:tcBorders>
            <w:shd w:val="clear" w:color="auto" w:fill="auto"/>
            <w:noWrap/>
            <w:vAlign w:val="center"/>
          </w:tcPr>
          <w:p w14:paraId="60A831EC">
            <w:pPr>
              <w:widowControl/>
              <w:jc w:val="center"/>
              <w:rPr>
                <w:sz w:val="15"/>
                <w:szCs w:val="15"/>
                <w:highlight w:val="none"/>
              </w:rPr>
            </w:pPr>
            <w:r>
              <w:rPr>
                <w:sz w:val="15"/>
                <w:szCs w:val="15"/>
                <w:highlight w:val="none"/>
              </w:rPr>
              <w:t>1.41</w:t>
            </w:r>
          </w:p>
        </w:tc>
        <w:tc>
          <w:tcPr>
            <w:tcW w:w="393" w:type="pct"/>
            <w:tcBorders>
              <w:top w:val="nil"/>
              <w:left w:val="nil"/>
              <w:bottom w:val="single" w:color="auto" w:sz="4" w:space="0"/>
              <w:right w:val="single" w:color="auto" w:sz="4" w:space="0"/>
            </w:tcBorders>
            <w:shd w:val="clear" w:color="auto" w:fill="auto"/>
            <w:noWrap/>
            <w:vAlign w:val="center"/>
          </w:tcPr>
          <w:p w14:paraId="2F902698">
            <w:pPr>
              <w:widowControl/>
              <w:jc w:val="center"/>
              <w:rPr>
                <w:sz w:val="15"/>
                <w:szCs w:val="15"/>
                <w:highlight w:val="none"/>
              </w:rPr>
            </w:pPr>
            <w:r>
              <w:rPr>
                <w:sz w:val="15"/>
                <w:szCs w:val="15"/>
                <w:highlight w:val="none"/>
              </w:rPr>
              <w:t>1119</w:t>
            </w:r>
          </w:p>
        </w:tc>
        <w:tc>
          <w:tcPr>
            <w:tcW w:w="375" w:type="pct"/>
            <w:tcBorders>
              <w:top w:val="nil"/>
              <w:left w:val="nil"/>
              <w:bottom w:val="single" w:color="auto" w:sz="4" w:space="0"/>
              <w:right w:val="single" w:color="auto" w:sz="4" w:space="0"/>
            </w:tcBorders>
            <w:shd w:val="clear" w:color="auto" w:fill="auto"/>
            <w:noWrap/>
            <w:vAlign w:val="center"/>
          </w:tcPr>
          <w:p w14:paraId="4825525C">
            <w:pPr>
              <w:widowControl/>
              <w:jc w:val="center"/>
              <w:rPr>
                <w:sz w:val="15"/>
                <w:szCs w:val="15"/>
                <w:highlight w:val="none"/>
              </w:rPr>
            </w:pPr>
            <w:r>
              <w:rPr>
                <w:sz w:val="15"/>
                <w:szCs w:val="15"/>
                <w:highlight w:val="none"/>
              </w:rPr>
              <w:t>8.5</w:t>
            </w:r>
          </w:p>
        </w:tc>
        <w:tc>
          <w:tcPr>
            <w:tcW w:w="361" w:type="pct"/>
            <w:tcBorders>
              <w:top w:val="nil"/>
              <w:left w:val="nil"/>
              <w:bottom w:val="single" w:color="auto" w:sz="4" w:space="0"/>
              <w:right w:val="single" w:color="auto" w:sz="4" w:space="0"/>
            </w:tcBorders>
            <w:shd w:val="clear" w:color="auto" w:fill="auto"/>
            <w:noWrap/>
            <w:vAlign w:val="center"/>
          </w:tcPr>
          <w:p w14:paraId="5AD575A7">
            <w:pPr>
              <w:widowControl/>
              <w:jc w:val="center"/>
              <w:rPr>
                <w:sz w:val="15"/>
                <w:szCs w:val="15"/>
                <w:highlight w:val="none"/>
              </w:rPr>
            </w:pPr>
            <w:r>
              <w:rPr>
                <w:sz w:val="15"/>
                <w:szCs w:val="15"/>
                <w:highlight w:val="none"/>
              </w:rPr>
              <w:t>0.79</w:t>
            </w:r>
          </w:p>
        </w:tc>
        <w:tc>
          <w:tcPr>
            <w:tcW w:w="361" w:type="pct"/>
            <w:tcBorders>
              <w:top w:val="nil"/>
              <w:left w:val="nil"/>
              <w:bottom w:val="single" w:color="auto" w:sz="4" w:space="0"/>
              <w:right w:val="single" w:color="auto" w:sz="4" w:space="0"/>
            </w:tcBorders>
            <w:shd w:val="clear" w:color="auto" w:fill="auto"/>
            <w:noWrap/>
            <w:vAlign w:val="center"/>
          </w:tcPr>
          <w:p w14:paraId="4A0F6687">
            <w:pPr>
              <w:widowControl/>
              <w:jc w:val="center"/>
              <w:rPr>
                <w:sz w:val="15"/>
                <w:szCs w:val="15"/>
                <w:highlight w:val="none"/>
              </w:rPr>
            </w:pPr>
            <w:r>
              <w:rPr>
                <w:sz w:val="15"/>
                <w:szCs w:val="15"/>
                <w:highlight w:val="none"/>
              </w:rPr>
              <w:t>140.83</w:t>
            </w:r>
          </w:p>
        </w:tc>
        <w:tc>
          <w:tcPr>
            <w:tcW w:w="453" w:type="pct"/>
            <w:tcBorders>
              <w:top w:val="nil"/>
              <w:left w:val="nil"/>
              <w:bottom w:val="single" w:color="auto" w:sz="4" w:space="0"/>
              <w:right w:val="single" w:color="auto" w:sz="4" w:space="0"/>
            </w:tcBorders>
            <w:shd w:val="clear" w:color="auto" w:fill="auto"/>
            <w:noWrap/>
            <w:vAlign w:val="center"/>
          </w:tcPr>
          <w:p w14:paraId="4BDD213C">
            <w:pPr>
              <w:widowControl/>
              <w:jc w:val="center"/>
              <w:rPr>
                <w:sz w:val="15"/>
                <w:szCs w:val="15"/>
                <w:highlight w:val="none"/>
              </w:rPr>
            </w:pPr>
            <w:r>
              <w:rPr>
                <w:sz w:val="15"/>
                <w:szCs w:val="15"/>
                <w:highlight w:val="none"/>
              </w:rPr>
              <w:t>4.39</w:t>
            </w:r>
          </w:p>
        </w:tc>
        <w:tc>
          <w:tcPr>
            <w:tcW w:w="453" w:type="pct"/>
            <w:tcBorders>
              <w:top w:val="nil"/>
              <w:left w:val="nil"/>
              <w:bottom w:val="single" w:color="auto" w:sz="4" w:space="0"/>
              <w:right w:val="single" w:color="auto" w:sz="4" w:space="0"/>
            </w:tcBorders>
            <w:shd w:val="clear" w:color="auto" w:fill="auto"/>
            <w:noWrap/>
            <w:vAlign w:val="center"/>
          </w:tcPr>
          <w:p w14:paraId="7D50CC9D">
            <w:pPr>
              <w:widowControl/>
              <w:jc w:val="center"/>
              <w:rPr>
                <w:sz w:val="15"/>
                <w:szCs w:val="15"/>
                <w:highlight w:val="none"/>
              </w:rPr>
            </w:pPr>
            <w:r>
              <w:rPr>
                <w:sz w:val="15"/>
                <w:szCs w:val="15"/>
                <w:highlight w:val="none"/>
              </w:rPr>
              <w:t>2.40</w:t>
            </w:r>
          </w:p>
        </w:tc>
        <w:tc>
          <w:tcPr>
            <w:tcW w:w="361" w:type="pct"/>
            <w:tcBorders>
              <w:top w:val="nil"/>
              <w:left w:val="nil"/>
              <w:bottom w:val="single" w:color="auto" w:sz="4" w:space="0"/>
              <w:right w:val="single" w:color="auto" w:sz="4" w:space="0"/>
            </w:tcBorders>
            <w:shd w:val="clear" w:color="auto" w:fill="auto"/>
            <w:noWrap/>
            <w:vAlign w:val="center"/>
          </w:tcPr>
          <w:p w14:paraId="1FC6B0BA">
            <w:pPr>
              <w:widowControl/>
              <w:jc w:val="center"/>
              <w:rPr>
                <w:sz w:val="15"/>
                <w:szCs w:val="15"/>
                <w:highlight w:val="none"/>
              </w:rPr>
            </w:pPr>
            <w:r>
              <w:rPr>
                <w:sz w:val="15"/>
                <w:szCs w:val="15"/>
                <w:highlight w:val="none"/>
              </w:rPr>
              <w:t>0.10</w:t>
            </w:r>
          </w:p>
        </w:tc>
        <w:tc>
          <w:tcPr>
            <w:tcW w:w="361" w:type="pct"/>
            <w:tcBorders>
              <w:top w:val="nil"/>
              <w:left w:val="nil"/>
              <w:bottom w:val="single" w:color="auto" w:sz="4" w:space="0"/>
              <w:right w:val="single" w:color="auto" w:sz="4" w:space="0"/>
            </w:tcBorders>
            <w:shd w:val="clear" w:color="auto" w:fill="auto"/>
            <w:noWrap/>
            <w:vAlign w:val="center"/>
          </w:tcPr>
          <w:p w14:paraId="247695A1">
            <w:pPr>
              <w:widowControl/>
              <w:jc w:val="center"/>
              <w:rPr>
                <w:sz w:val="15"/>
                <w:szCs w:val="15"/>
                <w:highlight w:val="none"/>
              </w:rPr>
            </w:pPr>
            <w:r>
              <w:rPr>
                <w:sz w:val="15"/>
                <w:szCs w:val="15"/>
                <w:highlight w:val="none"/>
              </w:rPr>
              <w:t>0.29</w:t>
            </w:r>
          </w:p>
        </w:tc>
        <w:tc>
          <w:tcPr>
            <w:tcW w:w="361" w:type="pct"/>
            <w:tcBorders>
              <w:top w:val="nil"/>
              <w:left w:val="nil"/>
              <w:bottom w:val="single" w:color="auto" w:sz="4" w:space="0"/>
              <w:right w:val="single" w:color="auto" w:sz="4" w:space="0"/>
            </w:tcBorders>
            <w:shd w:val="clear" w:color="auto" w:fill="auto"/>
            <w:noWrap/>
            <w:vAlign w:val="center"/>
          </w:tcPr>
          <w:p w14:paraId="745714F5">
            <w:pPr>
              <w:widowControl/>
              <w:jc w:val="center"/>
              <w:rPr>
                <w:sz w:val="15"/>
                <w:szCs w:val="15"/>
                <w:highlight w:val="none"/>
              </w:rPr>
            </w:pPr>
            <w:r>
              <w:rPr>
                <w:sz w:val="15"/>
                <w:szCs w:val="15"/>
                <w:highlight w:val="none"/>
              </w:rPr>
              <w:t>/</w:t>
            </w:r>
          </w:p>
        </w:tc>
      </w:tr>
      <w:tr w14:paraId="7B85ADF7">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67B0DD32">
            <w:pPr>
              <w:widowControl/>
              <w:jc w:val="center"/>
              <w:rPr>
                <w:sz w:val="15"/>
                <w:szCs w:val="15"/>
                <w:highlight w:val="none"/>
              </w:rPr>
            </w:pPr>
            <w:r>
              <w:rPr>
                <w:sz w:val="15"/>
                <w:szCs w:val="15"/>
                <w:highlight w:val="none"/>
              </w:rPr>
              <w:t>2025.12.25</w:t>
            </w:r>
          </w:p>
        </w:tc>
        <w:tc>
          <w:tcPr>
            <w:tcW w:w="306" w:type="pct"/>
            <w:tcBorders>
              <w:top w:val="nil"/>
              <w:left w:val="nil"/>
              <w:bottom w:val="single" w:color="auto" w:sz="4" w:space="0"/>
              <w:right w:val="single" w:color="auto" w:sz="4" w:space="0"/>
            </w:tcBorders>
            <w:shd w:val="clear" w:color="auto" w:fill="auto"/>
            <w:noWrap/>
            <w:vAlign w:val="center"/>
          </w:tcPr>
          <w:p w14:paraId="0722A2E1">
            <w:pPr>
              <w:widowControl/>
              <w:jc w:val="center"/>
              <w:rPr>
                <w:sz w:val="15"/>
                <w:szCs w:val="15"/>
                <w:highlight w:val="none"/>
              </w:rPr>
            </w:pPr>
            <w:r>
              <w:rPr>
                <w:sz w:val="15"/>
                <w:szCs w:val="15"/>
                <w:highlight w:val="none"/>
              </w:rPr>
              <w:t>11:00</w:t>
            </w:r>
          </w:p>
        </w:tc>
        <w:tc>
          <w:tcPr>
            <w:tcW w:w="368" w:type="pct"/>
            <w:tcBorders>
              <w:top w:val="nil"/>
              <w:left w:val="nil"/>
              <w:bottom w:val="single" w:color="auto" w:sz="4" w:space="0"/>
              <w:right w:val="single" w:color="auto" w:sz="4" w:space="0"/>
            </w:tcBorders>
            <w:shd w:val="clear" w:color="auto" w:fill="auto"/>
            <w:noWrap/>
            <w:vAlign w:val="center"/>
          </w:tcPr>
          <w:p w14:paraId="56CF51CD">
            <w:pPr>
              <w:widowControl/>
              <w:jc w:val="center"/>
              <w:rPr>
                <w:sz w:val="15"/>
                <w:szCs w:val="15"/>
                <w:highlight w:val="none"/>
              </w:rPr>
            </w:pPr>
            <w:r>
              <w:rPr>
                <w:sz w:val="15"/>
                <w:szCs w:val="15"/>
                <w:highlight w:val="none"/>
              </w:rPr>
              <w:t>7.12</w:t>
            </w:r>
          </w:p>
        </w:tc>
        <w:tc>
          <w:tcPr>
            <w:tcW w:w="348" w:type="pct"/>
            <w:tcBorders>
              <w:top w:val="nil"/>
              <w:left w:val="nil"/>
              <w:bottom w:val="single" w:color="auto" w:sz="4" w:space="0"/>
              <w:right w:val="single" w:color="auto" w:sz="4" w:space="0"/>
            </w:tcBorders>
            <w:shd w:val="clear" w:color="auto" w:fill="auto"/>
            <w:noWrap/>
            <w:vAlign w:val="center"/>
          </w:tcPr>
          <w:p w14:paraId="6A820AEC">
            <w:pPr>
              <w:widowControl/>
              <w:jc w:val="center"/>
              <w:rPr>
                <w:sz w:val="15"/>
                <w:szCs w:val="15"/>
                <w:highlight w:val="none"/>
              </w:rPr>
            </w:pPr>
            <w:r>
              <w:rPr>
                <w:sz w:val="15"/>
                <w:szCs w:val="15"/>
                <w:highlight w:val="none"/>
              </w:rPr>
              <w:t>1.87</w:t>
            </w:r>
          </w:p>
        </w:tc>
        <w:tc>
          <w:tcPr>
            <w:tcW w:w="393" w:type="pct"/>
            <w:tcBorders>
              <w:top w:val="nil"/>
              <w:left w:val="nil"/>
              <w:bottom w:val="single" w:color="auto" w:sz="4" w:space="0"/>
              <w:right w:val="single" w:color="auto" w:sz="4" w:space="0"/>
            </w:tcBorders>
            <w:shd w:val="clear" w:color="auto" w:fill="auto"/>
            <w:noWrap/>
            <w:vAlign w:val="center"/>
          </w:tcPr>
          <w:p w14:paraId="19E9FDB1">
            <w:pPr>
              <w:widowControl/>
              <w:jc w:val="center"/>
              <w:rPr>
                <w:sz w:val="15"/>
                <w:szCs w:val="15"/>
                <w:highlight w:val="none"/>
              </w:rPr>
            </w:pPr>
            <w:r>
              <w:rPr>
                <w:sz w:val="15"/>
                <w:szCs w:val="15"/>
                <w:highlight w:val="none"/>
              </w:rPr>
              <w:t>573</w:t>
            </w:r>
          </w:p>
        </w:tc>
        <w:tc>
          <w:tcPr>
            <w:tcW w:w="375" w:type="pct"/>
            <w:tcBorders>
              <w:top w:val="nil"/>
              <w:left w:val="nil"/>
              <w:bottom w:val="single" w:color="auto" w:sz="4" w:space="0"/>
              <w:right w:val="single" w:color="auto" w:sz="4" w:space="0"/>
            </w:tcBorders>
            <w:shd w:val="clear" w:color="auto" w:fill="auto"/>
            <w:noWrap/>
            <w:vAlign w:val="center"/>
          </w:tcPr>
          <w:p w14:paraId="40B62FBD">
            <w:pPr>
              <w:widowControl/>
              <w:jc w:val="center"/>
              <w:rPr>
                <w:sz w:val="15"/>
                <w:szCs w:val="15"/>
                <w:highlight w:val="none"/>
              </w:rPr>
            </w:pPr>
            <w:r>
              <w:rPr>
                <w:sz w:val="15"/>
                <w:szCs w:val="15"/>
                <w:highlight w:val="none"/>
              </w:rPr>
              <w:t>1.4</w:t>
            </w:r>
          </w:p>
        </w:tc>
        <w:tc>
          <w:tcPr>
            <w:tcW w:w="361" w:type="pct"/>
            <w:tcBorders>
              <w:top w:val="nil"/>
              <w:left w:val="nil"/>
              <w:bottom w:val="single" w:color="auto" w:sz="4" w:space="0"/>
              <w:right w:val="single" w:color="auto" w:sz="4" w:space="0"/>
            </w:tcBorders>
            <w:shd w:val="clear" w:color="auto" w:fill="auto"/>
            <w:noWrap/>
            <w:vAlign w:val="center"/>
          </w:tcPr>
          <w:p w14:paraId="28524798">
            <w:pPr>
              <w:widowControl/>
              <w:jc w:val="center"/>
              <w:rPr>
                <w:sz w:val="15"/>
                <w:szCs w:val="15"/>
                <w:highlight w:val="none"/>
              </w:rPr>
            </w:pPr>
            <w:r>
              <w:rPr>
                <w:sz w:val="15"/>
                <w:szCs w:val="15"/>
                <w:highlight w:val="none"/>
              </w:rPr>
              <w:t>0.15</w:t>
            </w:r>
          </w:p>
        </w:tc>
        <w:tc>
          <w:tcPr>
            <w:tcW w:w="361" w:type="pct"/>
            <w:tcBorders>
              <w:top w:val="nil"/>
              <w:left w:val="nil"/>
              <w:bottom w:val="single" w:color="auto" w:sz="4" w:space="0"/>
              <w:right w:val="single" w:color="auto" w:sz="4" w:space="0"/>
            </w:tcBorders>
            <w:shd w:val="clear" w:color="auto" w:fill="auto"/>
            <w:noWrap/>
            <w:vAlign w:val="center"/>
          </w:tcPr>
          <w:p w14:paraId="77915534">
            <w:pPr>
              <w:widowControl/>
              <w:jc w:val="center"/>
              <w:rPr>
                <w:sz w:val="15"/>
                <w:szCs w:val="15"/>
                <w:highlight w:val="none"/>
              </w:rPr>
            </w:pPr>
            <w:r>
              <w:rPr>
                <w:sz w:val="15"/>
                <w:szCs w:val="15"/>
                <w:highlight w:val="none"/>
              </w:rPr>
              <w:t>64.00</w:t>
            </w:r>
          </w:p>
        </w:tc>
        <w:tc>
          <w:tcPr>
            <w:tcW w:w="453" w:type="pct"/>
            <w:tcBorders>
              <w:top w:val="nil"/>
              <w:left w:val="nil"/>
              <w:bottom w:val="single" w:color="auto" w:sz="4" w:space="0"/>
              <w:right w:val="single" w:color="auto" w:sz="4" w:space="0"/>
            </w:tcBorders>
            <w:shd w:val="clear" w:color="auto" w:fill="auto"/>
            <w:noWrap/>
            <w:vAlign w:val="center"/>
          </w:tcPr>
          <w:p w14:paraId="1D7E9491">
            <w:pPr>
              <w:widowControl/>
              <w:jc w:val="center"/>
              <w:rPr>
                <w:sz w:val="15"/>
                <w:szCs w:val="15"/>
                <w:highlight w:val="none"/>
              </w:rPr>
            </w:pPr>
            <w:r>
              <w:rPr>
                <w:sz w:val="15"/>
                <w:szCs w:val="15"/>
                <w:highlight w:val="none"/>
              </w:rPr>
              <w:t>3.56</w:t>
            </w:r>
          </w:p>
        </w:tc>
        <w:tc>
          <w:tcPr>
            <w:tcW w:w="453" w:type="pct"/>
            <w:tcBorders>
              <w:top w:val="nil"/>
              <w:left w:val="nil"/>
              <w:bottom w:val="single" w:color="auto" w:sz="4" w:space="0"/>
              <w:right w:val="single" w:color="auto" w:sz="4" w:space="0"/>
            </w:tcBorders>
            <w:shd w:val="clear" w:color="auto" w:fill="auto"/>
            <w:noWrap/>
            <w:vAlign w:val="center"/>
          </w:tcPr>
          <w:p w14:paraId="1C164F14">
            <w:pPr>
              <w:widowControl/>
              <w:jc w:val="center"/>
              <w:rPr>
                <w:sz w:val="15"/>
                <w:szCs w:val="15"/>
                <w:highlight w:val="none"/>
              </w:rPr>
            </w:pPr>
            <w:r>
              <w:rPr>
                <w:sz w:val="15"/>
                <w:szCs w:val="15"/>
                <w:highlight w:val="none"/>
              </w:rPr>
              <w:t>1.57</w:t>
            </w:r>
          </w:p>
        </w:tc>
        <w:tc>
          <w:tcPr>
            <w:tcW w:w="361" w:type="pct"/>
            <w:tcBorders>
              <w:top w:val="nil"/>
              <w:left w:val="nil"/>
              <w:bottom w:val="single" w:color="auto" w:sz="4" w:space="0"/>
              <w:right w:val="single" w:color="auto" w:sz="4" w:space="0"/>
            </w:tcBorders>
            <w:shd w:val="clear" w:color="auto" w:fill="auto"/>
            <w:noWrap/>
            <w:vAlign w:val="center"/>
          </w:tcPr>
          <w:p w14:paraId="1EE461EC">
            <w:pPr>
              <w:widowControl/>
              <w:jc w:val="center"/>
              <w:rPr>
                <w:sz w:val="15"/>
                <w:szCs w:val="15"/>
                <w:highlight w:val="none"/>
              </w:rPr>
            </w:pPr>
            <w:r>
              <w:rPr>
                <w:sz w:val="15"/>
                <w:szCs w:val="15"/>
                <w:highlight w:val="none"/>
              </w:rPr>
              <w:t>0.10</w:t>
            </w:r>
          </w:p>
        </w:tc>
        <w:tc>
          <w:tcPr>
            <w:tcW w:w="361" w:type="pct"/>
            <w:tcBorders>
              <w:top w:val="nil"/>
              <w:left w:val="nil"/>
              <w:bottom w:val="single" w:color="auto" w:sz="4" w:space="0"/>
              <w:right w:val="single" w:color="auto" w:sz="4" w:space="0"/>
            </w:tcBorders>
            <w:shd w:val="clear" w:color="auto" w:fill="auto"/>
            <w:noWrap/>
            <w:vAlign w:val="center"/>
          </w:tcPr>
          <w:p w14:paraId="3A8D624B">
            <w:pPr>
              <w:widowControl/>
              <w:jc w:val="center"/>
              <w:rPr>
                <w:sz w:val="15"/>
                <w:szCs w:val="15"/>
                <w:highlight w:val="none"/>
              </w:rPr>
            </w:pPr>
            <w:r>
              <w:rPr>
                <w:sz w:val="15"/>
                <w:szCs w:val="15"/>
                <w:highlight w:val="none"/>
              </w:rPr>
              <w:t>0.29</w:t>
            </w:r>
          </w:p>
        </w:tc>
        <w:tc>
          <w:tcPr>
            <w:tcW w:w="361" w:type="pct"/>
            <w:tcBorders>
              <w:top w:val="nil"/>
              <w:left w:val="nil"/>
              <w:bottom w:val="single" w:color="auto" w:sz="4" w:space="0"/>
              <w:right w:val="single" w:color="auto" w:sz="4" w:space="0"/>
            </w:tcBorders>
            <w:shd w:val="clear" w:color="auto" w:fill="auto"/>
            <w:noWrap/>
            <w:vAlign w:val="center"/>
          </w:tcPr>
          <w:p w14:paraId="5D009CA1">
            <w:pPr>
              <w:widowControl/>
              <w:jc w:val="center"/>
              <w:rPr>
                <w:sz w:val="15"/>
                <w:szCs w:val="15"/>
                <w:highlight w:val="none"/>
              </w:rPr>
            </w:pPr>
            <w:r>
              <w:rPr>
                <w:sz w:val="15"/>
                <w:szCs w:val="15"/>
                <w:highlight w:val="none"/>
              </w:rPr>
              <w:t>0.01</w:t>
            </w:r>
          </w:p>
        </w:tc>
      </w:tr>
      <w:tr w14:paraId="5230F390">
        <w:tblPrEx>
          <w:tblCellMar>
            <w:top w:w="0" w:type="dxa"/>
            <w:left w:w="108" w:type="dxa"/>
            <w:bottom w:w="0" w:type="dxa"/>
            <w:right w:w="108" w:type="dxa"/>
          </w:tblCellMar>
        </w:tblPrEx>
        <w:trPr>
          <w:trHeight w:val="300" w:hRule="atLeast"/>
        </w:trPr>
        <w:tc>
          <w:tcPr>
            <w:tcW w:w="490" w:type="pct"/>
            <w:tcBorders>
              <w:top w:val="nil"/>
              <w:left w:val="single" w:color="auto" w:sz="4" w:space="0"/>
              <w:bottom w:val="single" w:color="auto" w:sz="4" w:space="0"/>
              <w:right w:val="single" w:color="auto" w:sz="4" w:space="0"/>
            </w:tcBorders>
            <w:shd w:val="clear" w:color="auto" w:fill="auto"/>
            <w:noWrap/>
            <w:vAlign w:val="center"/>
          </w:tcPr>
          <w:p w14:paraId="526FE8FF">
            <w:pPr>
              <w:widowControl/>
              <w:jc w:val="center"/>
              <w:rPr>
                <w:sz w:val="15"/>
                <w:szCs w:val="15"/>
                <w:highlight w:val="none"/>
              </w:rPr>
            </w:pPr>
            <w:r>
              <w:rPr>
                <w:sz w:val="15"/>
                <w:szCs w:val="15"/>
                <w:highlight w:val="none"/>
              </w:rPr>
              <w:t>2025.12.31</w:t>
            </w:r>
          </w:p>
        </w:tc>
        <w:tc>
          <w:tcPr>
            <w:tcW w:w="306" w:type="pct"/>
            <w:tcBorders>
              <w:top w:val="nil"/>
              <w:left w:val="nil"/>
              <w:bottom w:val="single" w:color="auto" w:sz="4" w:space="0"/>
              <w:right w:val="single" w:color="auto" w:sz="4" w:space="0"/>
            </w:tcBorders>
            <w:shd w:val="clear" w:color="auto" w:fill="auto"/>
            <w:noWrap/>
            <w:vAlign w:val="center"/>
          </w:tcPr>
          <w:p w14:paraId="2A4A59AD">
            <w:pPr>
              <w:widowControl/>
              <w:jc w:val="center"/>
              <w:rPr>
                <w:sz w:val="15"/>
                <w:szCs w:val="15"/>
                <w:highlight w:val="none"/>
              </w:rPr>
            </w:pPr>
            <w:r>
              <w:rPr>
                <w:sz w:val="15"/>
                <w:szCs w:val="15"/>
                <w:highlight w:val="none"/>
              </w:rPr>
              <w:t>11:10</w:t>
            </w:r>
          </w:p>
        </w:tc>
        <w:tc>
          <w:tcPr>
            <w:tcW w:w="368" w:type="pct"/>
            <w:tcBorders>
              <w:top w:val="nil"/>
              <w:left w:val="nil"/>
              <w:bottom w:val="single" w:color="auto" w:sz="4" w:space="0"/>
              <w:right w:val="single" w:color="auto" w:sz="4" w:space="0"/>
            </w:tcBorders>
            <w:shd w:val="clear" w:color="auto" w:fill="auto"/>
            <w:noWrap/>
            <w:vAlign w:val="center"/>
          </w:tcPr>
          <w:p w14:paraId="015F0FED">
            <w:pPr>
              <w:widowControl/>
              <w:jc w:val="center"/>
              <w:rPr>
                <w:sz w:val="15"/>
                <w:szCs w:val="15"/>
                <w:highlight w:val="none"/>
              </w:rPr>
            </w:pPr>
            <w:r>
              <w:rPr>
                <w:sz w:val="15"/>
                <w:szCs w:val="15"/>
                <w:highlight w:val="none"/>
              </w:rPr>
              <w:t>7.03</w:t>
            </w:r>
          </w:p>
        </w:tc>
        <w:tc>
          <w:tcPr>
            <w:tcW w:w="348" w:type="pct"/>
            <w:tcBorders>
              <w:top w:val="nil"/>
              <w:left w:val="nil"/>
              <w:bottom w:val="single" w:color="auto" w:sz="4" w:space="0"/>
              <w:right w:val="single" w:color="auto" w:sz="4" w:space="0"/>
            </w:tcBorders>
            <w:shd w:val="clear" w:color="auto" w:fill="auto"/>
            <w:noWrap/>
            <w:vAlign w:val="center"/>
          </w:tcPr>
          <w:p w14:paraId="36F2B4EA">
            <w:pPr>
              <w:widowControl/>
              <w:jc w:val="center"/>
              <w:rPr>
                <w:sz w:val="15"/>
                <w:szCs w:val="15"/>
                <w:highlight w:val="none"/>
              </w:rPr>
            </w:pPr>
            <w:r>
              <w:rPr>
                <w:sz w:val="15"/>
                <w:szCs w:val="15"/>
                <w:highlight w:val="none"/>
              </w:rPr>
              <w:t>0.93</w:t>
            </w:r>
          </w:p>
        </w:tc>
        <w:tc>
          <w:tcPr>
            <w:tcW w:w="393" w:type="pct"/>
            <w:tcBorders>
              <w:top w:val="nil"/>
              <w:left w:val="nil"/>
              <w:bottom w:val="single" w:color="auto" w:sz="4" w:space="0"/>
              <w:right w:val="single" w:color="auto" w:sz="4" w:space="0"/>
            </w:tcBorders>
            <w:shd w:val="clear" w:color="auto" w:fill="auto"/>
            <w:noWrap/>
            <w:vAlign w:val="center"/>
          </w:tcPr>
          <w:p w14:paraId="1813493B">
            <w:pPr>
              <w:widowControl/>
              <w:jc w:val="center"/>
              <w:rPr>
                <w:sz w:val="15"/>
                <w:szCs w:val="15"/>
                <w:highlight w:val="none"/>
              </w:rPr>
            </w:pPr>
            <w:r>
              <w:rPr>
                <w:sz w:val="15"/>
                <w:szCs w:val="15"/>
                <w:highlight w:val="none"/>
              </w:rPr>
              <w:t>820</w:t>
            </w:r>
          </w:p>
        </w:tc>
        <w:tc>
          <w:tcPr>
            <w:tcW w:w="375" w:type="pct"/>
            <w:tcBorders>
              <w:top w:val="nil"/>
              <w:left w:val="nil"/>
              <w:bottom w:val="single" w:color="auto" w:sz="4" w:space="0"/>
              <w:right w:val="single" w:color="auto" w:sz="4" w:space="0"/>
            </w:tcBorders>
            <w:shd w:val="clear" w:color="auto" w:fill="auto"/>
            <w:noWrap/>
            <w:vAlign w:val="center"/>
          </w:tcPr>
          <w:p w14:paraId="36ED21AB">
            <w:pPr>
              <w:widowControl/>
              <w:jc w:val="center"/>
              <w:rPr>
                <w:sz w:val="15"/>
                <w:szCs w:val="15"/>
                <w:highlight w:val="none"/>
              </w:rPr>
            </w:pPr>
            <w:r>
              <w:rPr>
                <w:sz w:val="15"/>
                <w:szCs w:val="15"/>
                <w:highlight w:val="none"/>
              </w:rPr>
              <w:t>5.2</w:t>
            </w:r>
          </w:p>
        </w:tc>
        <w:tc>
          <w:tcPr>
            <w:tcW w:w="361" w:type="pct"/>
            <w:tcBorders>
              <w:top w:val="nil"/>
              <w:left w:val="nil"/>
              <w:bottom w:val="single" w:color="auto" w:sz="4" w:space="0"/>
              <w:right w:val="single" w:color="auto" w:sz="4" w:space="0"/>
            </w:tcBorders>
            <w:shd w:val="clear" w:color="auto" w:fill="auto"/>
            <w:noWrap/>
            <w:vAlign w:val="center"/>
          </w:tcPr>
          <w:p w14:paraId="423170AB">
            <w:pPr>
              <w:widowControl/>
              <w:jc w:val="center"/>
              <w:rPr>
                <w:sz w:val="15"/>
                <w:szCs w:val="15"/>
                <w:highlight w:val="none"/>
              </w:rPr>
            </w:pPr>
            <w:r>
              <w:rPr>
                <w:sz w:val="15"/>
                <w:szCs w:val="15"/>
                <w:highlight w:val="none"/>
              </w:rPr>
              <w:t>0.19</w:t>
            </w:r>
          </w:p>
        </w:tc>
        <w:tc>
          <w:tcPr>
            <w:tcW w:w="361" w:type="pct"/>
            <w:tcBorders>
              <w:top w:val="nil"/>
              <w:left w:val="nil"/>
              <w:bottom w:val="single" w:color="auto" w:sz="4" w:space="0"/>
              <w:right w:val="single" w:color="auto" w:sz="4" w:space="0"/>
            </w:tcBorders>
            <w:shd w:val="clear" w:color="auto" w:fill="auto"/>
            <w:noWrap/>
            <w:vAlign w:val="center"/>
          </w:tcPr>
          <w:p w14:paraId="7DBC17E6">
            <w:pPr>
              <w:widowControl/>
              <w:jc w:val="center"/>
              <w:rPr>
                <w:sz w:val="15"/>
                <w:szCs w:val="15"/>
                <w:highlight w:val="none"/>
              </w:rPr>
            </w:pPr>
            <w:r>
              <w:rPr>
                <w:sz w:val="15"/>
                <w:szCs w:val="15"/>
                <w:highlight w:val="none"/>
              </w:rPr>
              <w:t>109.51</w:t>
            </w:r>
          </w:p>
        </w:tc>
        <w:tc>
          <w:tcPr>
            <w:tcW w:w="453" w:type="pct"/>
            <w:tcBorders>
              <w:top w:val="nil"/>
              <w:left w:val="nil"/>
              <w:bottom w:val="single" w:color="auto" w:sz="4" w:space="0"/>
              <w:right w:val="single" w:color="auto" w:sz="4" w:space="0"/>
            </w:tcBorders>
            <w:shd w:val="clear" w:color="auto" w:fill="auto"/>
            <w:noWrap/>
            <w:vAlign w:val="center"/>
          </w:tcPr>
          <w:p w14:paraId="33EDD335">
            <w:pPr>
              <w:widowControl/>
              <w:jc w:val="center"/>
              <w:rPr>
                <w:sz w:val="15"/>
                <w:szCs w:val="15"/>
                <w:highlight w:val="none"/>
              </w:rPr>
            </w:pPr>
            <w:r>
              <w:rPr>
                <w:sz w:val="15"/>
                <w:szCs w:val="15"/>
                <w:highlight w:val="none"/>
              </w:rPr>
              <w:t>3.76</w:t>
            </w:r>
          </w:p>
        </w:tc>
        <w:tc>
          <w:tcPr>
            <w:tcW w:w="453" w:type="pct"/>
            <w:tcBorders>
              <w:top w:val="nil"/>
              <w:left w:val="nil"/>
              <w:bottom w:val="single" w:color="auto" w:sz="4" w:space="0"/>
              <w:right w:val="single" w:color="auto" w:sz="4" w:space="0"/>
            </w:tcBorders>
            <w:shd w:val="clear" w:color="auto" w:fill="auto"/>
            <w:noWrap/>
            <w:vAlign w:val="center"/>
          </w:tcPr>
          <w:p w14:paraId="45CC6D73">
            <w:pPr>
              <w:widowControl/>
              <w:jc w:val="center"/>
              <w:rPr>
                <w:sz w:val="15"/>
                <w:szCs w:val="15"/>
                <w:highlight w:val="none"/>
              </w:rPr>
            </w:pPr>
            <w:r>
              <w:rPr>
                <w:sz w:val="15"/>
                <w:szCs w:val="15"/>
                <w:highlight w:val="none"/>
              </w:rPr>
              <w:t>2.09</w:t>
            </w:r>
          </w:p>
        </w:tc>
        <w:tc>
          <w:tcPr>
            <w:tcW w:w="361" w:type="pct"/>
            <w:tcBorders>
              <w:top w:val="nil"/>
              <w:left w:val="nil"/>
              <w:bottom w:val="single" w:color="auto" w:sz="4" w:space="0"/>
              <w:right w:val="single" w:color="auto" w:sz="4" w:space="0"/>
            </w:tcBorders>
            <w:shd w:val="clear" w:color="auto" w:fill="auto"/>
            <w:noWrap/>
            <w:vAlign w:val="center"/>
          </w:tcPr>
          <w:p w14:paraId="4E8F9C69">
            <w:pPr>
              <w:widowControl/>
              <w:jc w:val="center"/>
              <w:rPr>
                <w:sz w:val="15"/>
                <w:szCs w:val="15"/>
                <w:highlight w:val="none"/>
              </w:rPr>
            </w:pPr>
            <w:r>
              <w:rPr>
                <w:sz w:val="15"/>
                <w:szCs w:val="15"/>
                <w:highlight w:val="none"/>
              </w:rPr>
              <w:t>0.10</w:t>
            </w:r>
          </w:p>
        </w:tc>
        <w:tc>
          <w:tcPr>
            <w:tcW w:w="361" w:type="pct"/>
            <w:tcBorders>
              <w:top w:val="nil"/>
              <w:left w:val="nil"/>
              <w:bottom w:val="single" w:color="auto" w:sz="4" w:space="0"/>
              <w:right w:val="single" w:color="auto" w:sz="4" w:space="0"/>
            </w:tcBorders>
            <w:shd w:val="clear" w:color="auto" w:fill="auto"/>
            <w:noWrap/>
            <w:vAlign w:val="center"/>
          </w:tcPr>
          <w:p w14:paraId="7670347E">
            <w:pPr>
              <w:widowControl/>
              <w:jc w:val="center"/>
              <w:rPr>
                <w:sz w:val="15"/>
                <w:szCs w:val="15"/>
                <w:highlight w:val="none"/>
              </w:rPr>
            </w:pPr>
            <w:r>
              <w:rPr>
                <w:sz w:val="15"/>
                <w:szCs w:val="15"/>
                <w:highlight w:val="none"/>
              </w:rPr>
              <w:t>0.18</w:t>
            </w:r>
          </w:p>
        </w:tc>
        <w:tc>
          <w:tcPr>
            <w:tcW w:w="361" w:type="pct"/>
            <w:tcBorders>
              <w:top w:val="nil"/>
              <w:left w:val="nil"/>
              <w:bottom w:val="single" w:color="auto" w:sz="4" w:space="0"/>
              <w:right w:val="single" w:color="auto" w:sz="4" w:space="0"/>
            </w:tcBorders>
            <w:shd w:val="clear" w:color="auto" w:fill="auto"/>
            <w:noWrap/>
            <w:vAlign w:val="center"/>
          </w:tcPr>
          <w:p w14:paraId="499AC97F">
            <w:pPr>
              <w:widowControl/>
              <w:jc w:val="center"/>
              <w:rPr>
                <w:sz w:val="15"/>
                <w:szCs w:val="15"/>
                <w:highlight w:val="none"/>
              </w:rPr>
            </w:pPr>
            <w:r>
              <w:rPr>
                <w:sz w:val="15"/>
                <w:szCs w:val="15"/>
                <w:highlight w:val="none"/>
              </w:rPr>
              <w:t>/</w:t>
            </w:r>
          </w:p>
        </w:tc>
      </w:tr>
    </w:tbl>
    <w:p w14:paraId="3AFCC0C4">
      <w:pPr>
        <w:spacing w:line="360" w:lineRule="auto"/>
        <w:ind w:firstLine="480" w:firstLineChars="200"/>
        <w:jc w:val="left"/>
        <w:rPr>
          <w:highlight w:val="none"/>
        </w:rPr>
      </w:pPr>
    </w:p>
    <w:p w14:paraId="0BD274DF">
      <w:pPr>
        <w:spacing w:line="360" w:lineRule="auto"/>
        <w:ind w:firstLine="480" w:firstLineChars="200"/>
        <w:jc w:val="left"/>
        <w:rPr>
          <w:highlight w:val="none"/>
        </w:rPr>
      </w:pPr>
    </w:p>
    <w:p w14:paraId="23DA4137">
      <w:pPr>
        <w:pStyle w:val="5"/>
        <w:spacing w:before="0" w:after="0" w:line="360" w:lineRule="auto"/>
        <w:jc w:val="left"/>
        <w:rPr>
          <w:rFonts w:ascii="Times New Roman"/>
          <w:bCs/>
          <w:sz w:val="24"/>
          <w:szCs w:val="24"/>
          <w:highlight w:val="none"/>
        </w:rPr>
      </w:pPr>
      <w:r>
        <w:rPr>
          <w:rFonts w:ascii="Times New Roman"/>
          <w:bCs/>
          <w:sz w:val="24"/>
          <w:szCs w:val="24"/>
          <w:highlight w:val="none"/>
        </w:rPr>
        <w:t>4 技术条件</w:t>
      </w:r>
    </w:p>
    <w:p w14:paraId="0704A949">
      <w:pPr>
        <w:autoSpaceDE w:val="0"/>
        <w:autoSpaceDN w:val="0"/>
        <w:spacing w:line="360" w:lineRule="auto"/>
        <w:jc w:val="left"/>
        <w:textAlignment w:val="bottom"/>
        <w:outlineLvl w:val="2"/>
        <w:rPr>
          <w:b/>
          <w:highlight w:val="none"/>
        </w:rPr>
      </w:pPr>
      <w:r>
        <w:rPr>
          <w:b/>
          <w:highlight w:val="none"/>
        </w:rPr>
        <w:t>4.1 标准和规范</w:t>
      </w:r>
    </w:p>
    <w:p w14:paraId="58DF01E0">
      <w:pPr>
        <w:pStyle w:val="42"/>
        <w:numPr>
          <w:ilvl w:val="2"/>
          <w:numId w:val="0"/>
        </w:numPr>
        <w:rPr>
          <w:highlight w:val="none"/>
        </w:rPr>
      </w:pPr>
      <w:r>
        <w:rPr>
          <w:highlight w:val="none"/>
          <w:lang w:val="en-US"/>
        </w:rPr>
        <w:t>4.1.1</w:t>
      </w:r>
      <w:r>
        <w:rPr>
          <w:rFonts w:hint="eastAsia"/>
          <w:highlight w:val="none"/>
          <w:lang w:val="en-US"/>
        </w:rPr>
        <w:t xml:space="preserve"> </w:t>
      </w:r>
      <w:r>
        <w:rPr>
          <w:highlight w:val="none"/>
          <w:lang w:val="en-US"/>
        </w:rPr>
        <w:t>除非由招标人指定或双方在订货后商定，投标人所提供的设备，其制造和材料符合下列标准和规定的最新版本的要求，但不仅限于此。</w:t>
      </w:r>
    </w:p>
    <w:p w14:paraId="7E57DC97">
      <w:pPr>
        <w:pStyle w:val="42"/>
        <w:numPr>
          <w:ilvl w:val="0"/>
          <w:numId w:val="3"/>
        </w:numPr>
        <w:ind w:firstLine="55"/>
        <w:rPr>
          <w:highlight w:val="none"/>
          <w:lang w:val="en-US"/>
        </w:rPr>
      </w:pPr>
      <w:r>
        <w:rPr>
          <w:highlight w:val="none"/>
          <w:lang w:val="en-US"/>
        </w:rPr>
        <w:t>《水处理设备</w:t>
      </w:r>
      <w:r>
        <w:rPr>
          <w:rFonts w:hint="eastAsia"/>
          <w:highlight w:val="none"/>
          <w:lang w:val="en-US"/>
        </w:rPr>
        <w:t xml:space="preserve"> </w:t>
      </w:r>
      <w:r>
        <w:rPr>
          <w:highlight w:val="none"/>
          <w:lang w:val="en-US"/>
        </w:rPr>
        <w:t xml:space="preserve">技术条件》           </w:t>
      </w:r>
      <w:r>
        <w:rPr>
          <w:rFonts w:hint="eastAsia"/>
          <w:highlight w:val="none"/>
          <w:lang w:val="en-US"/>
        </w:rPr>
        <w:t xml:space="preserve">   N</w:t>
      </w:r>
      <w:r>
        <w:rPr>
          <w:highlight w:val="none"/>
          <w:lang w:val="en-US"/>
        </w:rPr>
        <w:t xml:space="preserve">B/T </w:t>
      </w:r>
      <w:r>
        <w:rPr>
          <w:rFonts w:hint="eastAsia"/>
          <w:highlight w:val="none"/>
          <w:lang w:val="en-US"/>
        </w:rPr>
        <w:t>10790</w:t>
      </w:r>
    </w:p>
    <w:p w14:paraId="0BB6947B">
      <w:pPr>
        <w:pStyle w:val="42"/>
        <w:numPr>
          <w:ilvl w:val="0"/>
          <w:numId w:val="3"/>
        </w:numPr>
        <w:ind w:firstLine="55"/>
        <w:rPr>
          <w:highlight w:val="none"/>
          <w:lang w:val="en-US"/>
        </w:rPr>
      </w:pPr>
      <w:r>
        <w:rPr>
          <w:highlight w:val="none"/>
          <w:lang w:val="en-US"/>
        </w:rPr>
        <w:t>《橡胶衬里化工设备设计规范》         HG/T 20677</w:t>
      </w:r>
    </w:p>
    <w:p w14:paraId="766ADD77">
      <w:pPr>
        <w:pStyle w:val="42"/>
        <w:numPr>
          <w:ilvl w:val="0"/>
          <w:numId w:val="3"/>
        </w:numPr>
        <w:ind w:firstLine="55"/>
        <w:rPr>
          <w:highlight w:val="none"/>
          <w:lang w:val="en-US"/>
        </w:rPr>
      </w:pPr>
      <w:r>
        <w:rPr>
          <w:highlight w:val="none"/>
          <w:lang w:val="en-US"/>
        </w:rPr>
        <w:t>《电厂用水处理设备验收导则》         DL/T 543</w:t>
      </w:r>
    </w:p>
    <w:p w14:paraId="7CBF1391">
      <w:pPr>
        <w:pStyle w:val="42"/>
        <w:numPr>
          <w:ilvl w:val="0"/>
          <w:numId w:val="3"/>
        </w:numPr>
        <w:ind w:firstLine="55"/>
        <w:rPr>
          <w:highlight w:val="none"/>
          <w:lang w:val="en-US"/>
        </w:rPr>
      </w:pPr>
      <w:r>
        <w:rPr>
          <w:highlight w:val="none"/>
          <w:lang w:val="en-US"/>
        </w:rPr>
        <w:t>《发电厂化学设计规范》               DL 5068</w:t>
      </w:r>
    </w:p>
    <w:p w14:paraId="495E8CE6">
      <w:pPr>
        <w:pStyle w:val="42"/>
        <w:numPr>
          <w:ilvl w:val="0"/>
          <w:numId w:val="3"/>
        </w:numPr>
        <w:ind w:firstLine="55"/>
        <w:rPr>
          <w:highlight w:val="none"/>
          <w:lang w:val="en-US"/>
        </w:rPr>
      </w:pPr>
      <w:r>
        <w:rPr>
          <w:highlight w:val="none"/>
          <w:lang w:val="en-US"/>
        </w:rPr>
        <w:t>《发电厂废水治理设计规范》           DL/T 5046</w:t>
      </w:r>
    </w:p>
    <w:p w14:paraId="4B502AB2">
      <w:pPr>
        <w:pStyle w:val="42"/>
        <w:numPr>
          <w:ilvl w:val="0"/>
          <w:numId w:val="3"/>
        </w:numPr>
        <w:ind w:firstLine="55"/>
        <w:rPr>
          <w:highlight w:val="none"/>
          <w:lang w:val="en-US"/>
        </w:rPr>
      </w:pPr>
      <w:r>
        <w:rPr>
          <w:highlight w:val="none"/>
          <w:lang w:val="en-US"/>
        </w:rPr>
        <w:t>《室外给水设计标准》                 GB 50013</w:t>
      </w:r>
    </w:p>
    <w:p w14:paraId="5D82D204">
      <w:pPr>
        <w:pStyle w:val="42"/>
        <w:numPr>
          <w:ilvl w:val="0"/>
          <w:numId w:val="3"/>
        </w:numPr>
        <w:ind w:firstLine="55"/>
        <w:rPr>
          <w:highlight w:val="none"/>
          <w:lang w:val="en-US"/>
        </w:rPr>
      </w:pPr>
      <w:r>
        <w:rPr>
          <w:highlight w:val="none"/>
          <w:lang w:val="en-US"/>
        </w:rPr>
        <w:t>《室外排水设计标准》                 GB 50014</w:t>
      </w:r>
    </w:p>
    <w:p w14:paraId="7EBFDE1B">
      <w:pPr>
        <w:pStyle w:val="42"/>
        <w:numPr>
          <w:ilvl w:val="0"/>
          <w:numId w:val="3"/>
        </w:numPr>
        <w:ind w:firstLine="55"/>
        <w:rPr>
          <w:rFonts w:ascii="宋体" w:hAnsi="宋体"/>
          <w:szCs w:val="24"/>
          <w:highlight w:val="none"/>
        </w:rPr>
      </w:pPr>
      <w:r>
        <w:rPr>
          <w:highlight w:val="none"/>
          <w:lang w:val="en-US"/>
        </w:rPr>
        <w:t xml:space="preserve">《火力发电厂钢制平台扶梯设计技术规定》    </w:t>
      </w:r>
      <w:r>
        <w:rPr>
          <w:rFonts w:hint="eastAsia"/>
          <w:highlight w:val="none"/>
          <w:lang w:val="en-US"/>
        </w:rPr>
        <w:t xml:space="preserve"> </w:t>
      </w:r>
      <w:r>
        <w:rPr>
          <w:highlight w:val="none"/>
          <w:lang w:val="en-US"/>
        </w:rPr>
        <w:t>DLGJ 158</w:t>
      </w:r>
    </w:p>
    <w:p w14:paraId="21B8BF46">
      <w:pPr>
        <w:pStyle w:val="42"/>
        <w:numPr>
          <w:ilvl w:val="0"/>
          <w:numId w:val="3"/>
        </w:numPr>
        <w:ind w:firstLine="55"/>
        <w:rPr>
          <w:rFonts w:ascii="宋体" w:hAnsi="宋体"/>
          <w:szCs w:val="24"/>
          <w:highlight w:val="none"/>
        </w:rPr>
      </w:pPr>
      <w:r>
        <w:rPr>
          <w:rFonts w:hint="eastAsia" w:ascii="宋体" w:hAnsi="宋体"/>
          <w:szCs w:val="24"/>
          <w:highlight w:val="none"/>
        </w:rPr>
        <w:t>《火电厂反渗透水处理装置验收</w:t>
      </w:r>
      <w:r>
        <w:rPr>
          <w:rFonts w:hint="eastAsia"/>
          <w:highlight w:val="none"/>
          <w:lang w:val="en-US"/>
        </w:rPr>
        <w:t>导则》          DL/T 951</w:t>
      </w:r>
    </w:p>
    <w:p w14:paraId="478EB7DF">
      <w:pPr>
        <w:pStyle w:val="42"/>
        <w:numPr>
          <w:ilvl w:val="0"/>
          <w:numId w:val="3"/>
        </w:numPr>
        <w:ind w:firstLine="55"/>
        <w:rPr>
          <w:highlight w:val="none"/>
          <w:lang w:val="en-US"/>
        </w:rPr>
      </w:pPr>
      <w:r>
        <w:rPr>
          <w:rFonts w:hint="eastAsia" w:ascii="宋体" w:hAnsi="宋体"/>
          <w:szCs w:val="24"/>
          <w:highlight w:val="none"/>
        </w:rPr>
        <w:t>《火力发电厂超滤水处理装置验收</w:t>
      </w:r>
      <w:r>
        <w:rPr>
          <w:rFonts w:hint="eastAsia"/>
          <w:highlight w:val="none"/>
          <w:lang w:val="en-US"/>
        </w:rPr>
        <w:t>导则》       DL/T 952</w:t>
      </w:r>
    </w:p>
    <w:p w14:paraId="4930BEE0">
      <w:pPr>
        <w:pStyle w:val="42"/>
        <w:numPr>
          <w:ilvl w:val="0"/>
          <w:numId w:val="3"/>
        </w:numPr>
        <w:ind w:firstLine="55"/>
        <w:rPr>
          <w:highlight w:val="none"/>
          <w:lang w:val="en-US"/>
        </w:rPr>
      </w:pPr>
      <w:r>
        <w:rPr>
          <w:highlight w:val="none"/>
          <w:lang w:val="en-US"/>
        </w:rPr>
        <w:t>《电力建设施工质量验收规程 第5部分：焊接》DL/T 5210.5</w:t>
      </w:r>
    </w:p>
    <w:p w14:paraId="6E17818C">
      <w:pPr>
        <w:pStyle w:val="42"/>
        <w:numPr>
          <w:ilvl w:val="0"/>
          <w:numId w:val="3"/>
        </w:numPr>
        <w:ind w:firstLine="55"/>
        <w:rPr>
          <w:highlight w:val="none"/>
          <w:lang w:val="en-US"/>
        </w:rPr>
      </w:pPr>
      <w:r>
        <w:rPr>
          <w:highlight w:val="none"/>
          <w:lang w:val="en-US"/>
        </w:rPr>
        <w:t>《电力建设施工技术规范 第6部分：水处理和制（供）氢设备及系统》</w:t>
      </w:r>
      <w:r>
        <w:rPr>
          <w:rFonts w:hint="eastAsia"/>
          <w:highlight w:val="none"/>
          <w:lang w:val="en-US"/>
        </w:rPr>
        <w:t xml:space="preserve">   </w:t>
      </w:r>
      <w:r>
        <w:rPr>
          <w:highlight w:val="none"/>
          <w:lang w:val="en-US"/>
        </w:rPr>
        <w:t>DL/T 5190.6</w:t>
      </w:r>
    </w:p>
    <w:p w14:paraId="16D1C076">
      <w:pPr>
        <w:pStyle w:val="42"/>
        <w:numPr>
          <w:ilvl w:val="2"/>
          <w:numId w:val="0"/>
        </w:numPr>
        <w:rPr>
          <w:highlight w:val="none"/>
          <w:lang w:val="en-US"/>
        </w:rPr>
      </w:pPr>
      <w:r>
        <w:rPr>
          <w:highlight w:val="none"/>
          <w:lang w:val="en-US"/>
        </w:rPr>
        <w:t>4.1.2</w:t>
      </w:r>
      <w:r>
        <w:rPr>
          <w:rFonts w:hint="eastAsia"/>
          <w:highlight w:val="none"/>
          <w:lang w:val="en-US"/>
        </w:rPr>
        <w:t xml:space="preserve"> </w:t>
      </w:r>
      <w:r>
        <w:rPr>
          <w:highlight w:val="none"/>
          <w:lang w:val="en-US"/>
        </w:rPr>
        <w:t>对外接口和法兰符合GB/T 1</w:t>
      </w:r>
      <w:r>
        <w:rPr>
          <w:rFonts w:hint="eastAsia"/>
          <w:highlight w:val="none"/>
          <w:lang w:val="en-US"/>
        </w:rPr>
        <w:t>9124.1《钢制管法兰 第1部分：PN 系列》</w:t>
      </w:r>
      <w:r>
        <w:rPr>
          <w:highlight w:val="none"/>
          <w:lang w:val="en-US"/>
        </w:rPr>
        <w:t>。</w:t>
      </w:r>
    </w:p>
    <w:p w14:paraId="07D1383A">
      <w:pPr>
        <w:pStyle w:val="42"/>
        <w:numPr>
          <w:ilvl w:val="2"/>
          <w:numId w:val="0"/>
        </w:numPr>
        <w:ind w:firstLine="480" w:firstLineChars="200"/>
        <w:rPr>
          <w:highlight w:val="none"/>
          <w:lang w:val="en-US"/>
        </w:rPr>
      </w:pPr>
      <w:r>
        <w:rPr>
          <w:highlight w:val="none"/>
          <w:lang w:val="en-US"/>
        </w:rPr>
        <w:t>1）碳钢管材、管件参照GB/T 12459《钢制对焊</w:t>
      </w:r>
      <w:r>
        <w:rPr>
          <w:rFonts w:hint="eastAsia"/>
          <w:highlight w:val="none"/>
          <w:lang w:val="en-US"/>
        </w:rPr>
        <w:t>管件 类型与参数</w:t>
      </w:r>
      <w:r>
        <w:rPr>
          <w:highlight w:val="none"/>
          <w:lang w:val="en-US"/>
        </w:rPr>
        <w:t>》。</w:t>
      </w:r>
    </w:p>
    <w:p w14:paraId="0066B5E2">
      <w:pPr>
        <w:pStyle w:val="42"/>
        <w:numPr>
          <w:ilvl w:val="2"/>
          <w:numId w:val="0"/>
        </w:numPr>
        <w:ind w:firstLine="480" w:firstLineChars="200"/>
        <w:rPr>
          <w:highlight w:val="none"/>
          <w:lang w:val="en-US"/>
        </w:rPr>
      </w:pPr>
      <w:r>
        <w:rPr>
          <w:highlight w:val="none"/>
          <w:lang w:val="en-US"/>
        </w:rPr>
        <w:t>2）钢塑复合管材、管件参照CJ/T 181《给水用孔网钢带聚乙烯复合管》、CJ/T 237《钢塑复合压力管用</w:t>
      </w:r>
      <w:r>
        <w:rPr>
          <w:rFonts w:hint="eastAsia"/>
          <w:highlight w:val="none"/>
          <w:lang w:val="en-US"/>
        </w:rPr>
        <w:t>双热熔</w:t>
      </w:r>
      <w:r>
        <w:rPr>
          <w:highlight w:val="none"/>
          <w:lang w:val="en-US"/>
        </w:rPr>
        <w:t>管件》。</w:t>
      </w:r>
    </w:p>
    <w:p w14:paraId="7F5C440A">
      <w:pPr>
        <w:pStyle w:val="42"/>
        <w:numPr>
          <w:ilvl w:val="2"/>
          <w:numId w:val="0"/>
        </w:numPr>
        <w:ind w:firstLine="480" w:firstLineChars="200"/>
        <w:rPr>
          <w:highlight w:val="none"/>
          <w:lang w:val="en-US"/>
        </w:rPr>
      </w:pPr>
      <w:r>
        <w:rPr>
          <w:highlight w:val="none"/>
          <w:lang w:val="en-US"/>
        </w:rPr>
        <w:t>3）衬里钢管、管件参照HG</w:t>
      </w:r>
      <w:r>
        <w:rPr>
          <w:rFonts w:hint="eastAsia"/>
          <w:highlight w:val="none"/>
          <w:lang w:val="en-US"/>
        </w:rPr>
        <w:t>/T</w:t>
      </w:r>
      <w:r>
        <w:rPr>
          <w:highlight w:val="none"/>
          <w:lang w:val="en-US"/>
        </w:rPr>
        <w:t xml:space="preserve"> 20538《衬塑</w:t>
      </w:r>
      <w:r>
        <w:rPr>
          <w:rFonts w:hint="eastAsia"/>
          <w:highlight w:val="none"/>
          <w:lang w:val="en-US"/>
        </w:rPr>
        <w:t>钢管和管件选用系列</w:t>
      </w:r>
      <w:r>
        <w:rPr>
          <w:highlight w:val="none"/>
          <w:lang w:val="en-US"/>
        </w:rPr>
        <w:t>》、HG 21501</w:t>
      </w:r>
      <w:r>
        <w:rPr>
          <w:rFonts w:hint="eastAsia"/>
          <w:highlight w:val="none"/>
          <w:lang w:val="en-US"/>
        </w:rPr>
        <w:t>《</w:t>
      </w:r>
      <w:r>
        <w:rPr>
          <w:highlight w:val="none"/>
          <w:lang w:val="en-US"/>
        </w:rPr>
        <w:t>衬胶钢管和管件</w:t>
      </w:r>
      <w:r>
        <w:rPr>
          <w:rFonts w:hint="eastAsia"/>
          <w:highlight w:val="none"/>
          <w:lang w:val="en-US"/>
        </w:rPr>
        <w:t>》</w:t>
      </w:r>
      <w:r>
        <w:rPr>
          <w:highlight w:val="none"/>
          <w:lang w:val="en-US"/>
        </w:rPr>
        <w:t>。</w:t>
      </w:r>
    </w:p>
    <w:p w14:paraId="11AB2288">
      <w:pPr>
        <w:pStyle w:val="42"/>
        <w:numPr>
          <w:ilvl w:val="2"/>
          <w:numId w:val="0"/>
        </w:numPr>
        <w:ind w:firstLine="480" w:firstLineChars="200"/>
        <w:rPr>
          <w:highlight w:val="none"/>
          <w:lang w:val="en-US"/>
        </w:rPr>
      </w:pPr>
      <w:r>
        <w:rPr>
          <w:highlight w:val="none"/>
          <w:lang w:val="en-US"/>
        </w:rPr>
        <w:t>4）UPVC管材、管件参照GB</w:t>
      </w:r>
      <w:r>
        <w:rPr>
          <w:rFonts w:hint="eastAsia"/>
          <w:highlight w:val="none"/>
          <w:lang w:val="en-US"/>
        </w:rPr>
        <w:t>/</w:t>
      </w:r>
      <w:r>
        <w:rPr>
          <w:highlight w:val="none"/>
          <w:lang w:val="en-US"/>
        </w:rPr>
        <w:t>T 4219.1《工业用硬聚氯乙烯（PVC-U）管道系统第1部分：管材》、GB</w:t>
      </w:r>
      <w:r>
        <w:rPr>
          <w:rFonts w:hint="eastAsia"/>
          <w:highlight w:val="none"/>
          <w:lang w:val="en-US"/>
        </w:rPr>
        <w:t>/</w:t>
      </w:r>
      <w:r>
        <w:rPr>
          <w:highlight w:val="none"/>
          <w:lang w:val="en-US"/>
        </w:rPr>
        <w:t>T 4219.2《工业用硬聚氯乙烯(PVC-U</w:t>
      </w:r>
      <w:r>
        <w:rPr>
          <w:rFonts w:hint="eastAsia"/>
          <w:highlight w:val="none"/>
          <w:lang w:val="en-US"/>
        </w:rPr>
        <w:t>）</w:t>
      </w:r>
      <w:r>
        <w:rPr>
          <w:highlight w:val="none"/>
          <w:lang w:val="en-US"/>
        </w:rPr>
        <w:t>管道系统第2部分：管件》。</w:t>
      </w:r>
    </w:p>
    <w:p w14:paraId="6D5876AC">
      <w:pPr>
        <w:pStyle w:val="42"/>
        <w:numPr>
          <w:ilvl w:val="2"/>
          <w:numId w:val="0"/>
        </w:numPr>
        <w:ind w:firstLine="480" w:firstLineChars="200"/>
        <w:rPr>
          <w:highlight w:val="none"/>
          <w:lang w:val="en-US"/>
        </w:rPr>
      </w:pPr>
      <w:r>
        <w:rPr>
          <w:highlight w:val="none"/>
          <w:lang w:val="en-US"/>
        </w:rPr>
        <w:t>5）PE管材、管件参照GB</w:t>
      </w:r>
      <w:r>
        <w:rPr>
          <w:rFonts w:hint="eastAsia"/>
          <w:highlight w:val="none"/>
          <w:lang w:val="en-US"/>
        </w:rPr>
        <w:t>/</w:t>
      </w:r>
      <w:r>
        <w:rPr>
          <w:highlight w:val="none"/>
          <w:lang w:val="en-US"/>
        </w:rPr>
        <w:t>T 13663.2《给水用聚乙烯（PE）管道系统 第2部分：管材》、GB</w:t>
      </w:r>
      <w:r>
        <w:rPr>
          <w:rFonts w:hint="eastAsia"/>
          <w:highlight w:val="none"/>
          <w:lang w:val="en-US"/>
        </w:rPr>
        <w:t>/</w:t>
      </w:r>
      <w:r>
        <w:rPr>
          <w:highlight w:val="none"/>
          <w:lang w:val="en-US"/>
        </w:rPr>
        <w:t>T 13663.3《给水用聚乙烯（PE）管道系统 第3部分：管件》</w:t>
      </w:r>
    </w:p>
    <w:p w14:paraId="75CD9852">
      <w:pPr>
        <w:pStyle w:val="42"/>
        <w:numPr>
          <w:ilvl w:val="2"/>
          <w:numId w:val="0"/>
        </w:numPr>
        <w:rPr>
          <w:highlight w:val="none"/>
        </w:rPr>
      </w:pPr>
      <w:r>
        <w:rPr>
          <w:highlight w:val="none"/>
          <w:lang w:val="en-US"/>
        </w:rPr>
        <w:t>4.1.3</w:t>
      </w:r>
      <w:r>
        <w:rPr>
          <w:rFonts w:hint="eastAsia"/>
          <w:highlight w:val="none"/>
          <w:lang w:val="en-US"/>
        </w:rPr>
        <w:t xml:space="preserve"> </w:t>
      </w:r>
      <w:r>
        <w:rPr>
          <w:highlight w:val="none"/>
        </w:rPr>
        <w:t>设备应符合相应的工业设备抗震鉴定标准。并能承受所提供的地震数据。</w:t>
      </w:r>
    </w:p>
    <w:p w14:paraId="6B597B18">
      <w:pPr>
        <w:pStyle w:val="42"/>
        <w:numPr>
          <w:ilvl w:val="2"/>
          <w:numId w:val="0"/>
        </w:numPr>
        <w:rPr>
          <w:highlight w:val="none"/>
        </w:rPr>
      </w:pPr>
      <w:r>
        <w:rPr>
          <w:highlight w:val="none"/>
          <w:lang w:val="en-US"/>
        </w:rPr>
        <w:t>4.1.4</w:t>
      </w:r>
      <w:r>
        <w:rPr>
          <w:rFonts w:hint="eastAsia"/>
          <w:highlight w:val="none"/>
          <w:lang w:val="en-US"/>
        </w:rPr>
        <w:t xml:space="preserve"> </w:t>
      </w:r>
      <w:r>
        <w:rPr>
          <w:highlight w:val="none"/>
        </w:rPr>
        <w:t>上述标准和规定仅提出了基本的技术要求。如果投标人提出了更经济合理的设计、材料、制造工艺等；同时又能使投标人提供的设备达到本标书之要求，并确保安全持续运行，在征得招标人同意后，亦可使用。</w:t>
      </w:r>
    </w:p>
    <w:p w14:paraId="62D44AEB">
      <w:pPr>
        <w:pStyle w:val="42"/>
        <w:numPr>
          <w:ilvl w:val="2"/>
          <w:numId w:val="0"/>
        </w:numPr>
        <w:rPr>
          <w:highlight w:val="none"/>
        </w:rPr>
      </w:pPr>
      <w:r>
        <w:rPr>
          <w:highlight w:val="none"/>
          <w:lang w:val="en-US"/>
        </w:rPr>
        <w:t>4.1.5</w:t>
      </w:r>
      <w:r>
        <w:rPr>
          <w:rFonts w:hint="eastAsia"/>
          <w:highlight w:val="none"/>
          <w:lang w:val="en-US"/>
        </w:rPr>
        <w:t xml:space="preserve"> </w:t>
      </w:r>
      <w:r>
        <w:rPr>
          <w:highlight w:val="none"/>
        </w:rPr>
        <w:t>从订货之日起至投标人开始投料之前的这段时间内，如果因标准、规程发生修改或变化，招标人有权提出补充要求，投标人满足并遵守这些要求。</w:t>
      </w:r>
    </w:p>
    <w:p w14:paraId="054AF550">
      <w:pPr>
        <w:pStyle w:val="42"/>
        <w:numPr>
          <w:ilvl w:val="2"/>
          <w:numId w:val="0"/>
        </w:numPr>
        <w:rPr>
          <w:highlight w:val="none"/>
        </w:rPr>
      </w:pPr>
      <w:r>
        <w:rPr>
          <w:highlight w:val="none"/>
          <w:lang w:val="en-US"/>
        </w:rPr>
        <w:t>4.1.6</w:t>
      </w:r>
      <w:r>
        <w:rPr>
          <w:rFonts w:hint="eastAsia"/>
          <w:highlight w:val="none"/>
          <w:lang w:val="en-US"/>
        </w:rPr>
        <w:t xml:space="preserve"> </w:t>
      </w:r>
      <w:r>
        <w:rPr>
          <w:highlight w:val="none"/>
        </w:rPr>
        <w:t>投标人应在开始投料制造之前，向招标人提供一份执行GB/T19000或ISO9000系列标准的质量管理和质量保证书以及准备正式使用的有关规范与标准的目录清单。</w:t>
      </w:r>
    </w:p>
    <w:p w14:paraId="27B1ACAB">
      <w:pPr>
        <w:pStyle w:val="42"/>
        <w:numPr>
          <w:ilvl w:val="2"/>
          <w:numId w:val="0"/>
        </w:numPr>
        <w:rPr>
          <w:highlight w:val="none"/>
        </w:rPr>
      </w:pPr>
      <w:r>
        <w:rPr>
          <w:highlight w:val="none"/>
          <w:lang w:val="en-US"/>
        </w:rPr>
        <w:t>4.1.7</w:t>
      </w:r>
      <w:r>
        <w:rPr>
          <w:rFonts w:hint="eastAsia"/>
          <w:highlight w:val="none"/>
          <w:lang w:val="en-US"/>
        </w:rPr>
        <w:t xml:space="preserve"> </w:t>
      </w:r>
      <w:r>
        <w:rPr>
          <w:highlight w:val="none"/>
        </w:rPr>
        <w:t>对于采用引进技术产品的设备，在采用上述标准的同时，还应采用国外有关标准。但不得低于相应的中国国家标准。</w:t>
      </w:r>
    </w:p>
    <w:p w14:paraId="6639F535">
      <w:pPr>
        <w:autoSpaceDE w:val="0"/>
        <w:autoSpaceDN w:val="0"/>
        <w:spacing w:line="360" w:lineRule="auto"/>
        <w:jc w:val="left"/>
        <w:textAlignment w:val="bottom"/>
        <w:outlineLvl w:val="2"/>
        <w:rPr>
          <w:b/>
          <w:highlight w:val="none"/>
        </w:rPr>
      </w:pPr>
      <w:r>
        <w:rPr>
          <w:b/>
          <w:highlight w:val="none"/>
        </w:rPr>
        <w:t>4.2 技术要求</w:t>
      </w:r>
    </w:p>
    <w:p w14:paraId="5880F155">
      <w:pPr>
        <w:pStyle w:val="8"/>
        <w:numPr>
          <w:ilvl w:val="3"/>
          <w:numId w:val="0"/>
        </w:numPr>
        <w:rPr>
          <w:rFonts w:ascii="Times New Roman"/>
          <w:highlight w:val="none"/>
        </w:rPr>
      </w:pPr>
      <w:r>
        <w:rPr>
          <w:rFonts w:ascii="Times New Roman"/>
          <w:b/>
          <w:bCs/>
          <w:highlight w:val="none"/>
        </w:rPr>
        <w:t>4.2.1</w:t>
      </w:r>
      <w:r>
        <w:rPr>
          <w:rFonts w:hint="eastAsia" w:ascii="Times New Roman"/>
          <w:b/>
          <w:bCs/>
          <w:highlight w:val="none"/>
        </w:rPr>
        <w:t xml:space="preserve"> </w:t>
      </w:r>
      <w:r>
        <w:rPr>
          <w:rFonts w:ascii="Times New Roman"/>
          <w:b/>
          <w:bCs/>
          <w:highlight w:val="none"/>
        </w:rPr>
        <w:t>一般要求</w:t>
      </w:r>
    </w:p>
    <w:p w14:paraId="65B7261D">
      <w:pPr>
        <w:pStyle w:val="42"/>
        <w:numPr>
          <w:ilvl w:val="2"/>
          <w:numId w:val="0"/>
        </w:numPr>
        <w:rPr>
          <w:b/>
          <w:bCs/>
          <w:highlight w:val="none"/>
        </w:rPr>
      </w:pPr>
      <w:r>
        <w:rPr>
          <w:highlight w:val="none"/>
          <w:lang w:val="en-US"/>
        </w:rPr>
        <w:t>4</w:t>
      </w:r>
      <w:r>
        <w:rPr>
          <w:highlight w:val="none"/>
        </w:rPr>
        <w:t>.</w:t>
      </w:r>
      <w:r>
        <w:rPr>
          <w:highlight w:val="none"/>
          <w:lang w:val="en-US"/>
        </w:rPr>
        <w:t>2</w:t>
      </w:r>
      <w:r>
        <w:rPr>
          <w:highlight w:val="none"/>
        </w:rPr>
        <w:t>.1</w:t>
      </w:r>
      <w:r>
        <w:rPr>
          <w:highlight w:val="none"/>
          <w:lang w:val="en-US"/>
        </w:rPr>
        <w:t>.1</w:t>
      </w:r>
      <w:r>
        <w:rPr>
          <w:highlight w:val="none"/>
        </w:rPr>
        <w:t xml:space="preserve"> </w:t>
      </w:r>
      <w:r>
        <w:rPr>
          <w:highlight w:val="none"/>
          <w:lang w:val="en-US"/>
        </w:rPr>
        <w:t>投标人</w:t>
      </w:r>
      <w:r>
        <w:rPr>
          <w:highlight w:val="none"/>
        </w:rPr>
        <w:t>根据</w:t>
      </w:r>
      <w:r>
        <w:rPr>
          <w:rFonts w:hint="eastAsia"/>
          <w:highlight w:val="none"/>
          <w:lang w:val="en-US"/>
        </w:rPr>
        <w:t>化水</w:t>
      </w:r>
      <w:r>
        <w:rPr>
          <w:kern w:val="2"/>
          <w:szCs w:val="24"/>
          <w:highlight w:val="none"/>
          <w:lang w:val="en-US"/>
        </w:rPr>
        <w:t>系统</w:t>
      </w:r>
      <w:r>
        <w:rPr>
          <w:highlight w:val="none"/>
        </w:rPr>
        <w:t>的特点，选择水处理系统（</w:t>
      </w:r>
      <w:r>
        <w:rPr>
          <w:rFonts w:hint="eastAsia"/>
          <w:szCs w:val="21"/>
          <w:highlight w:val="none"/>
          <w:lang w:val="en-US"/>
        </w:rPr>
        <w:t>超滤</w:t>
      </w:r>
      <w:r>
        <w:rPr>
          <w:szCs w:val="21"/>
          <w:highlight w:val="none"/>
          <w:lang w:val="en-US"/>
        </w:rPr>
        <w:t xml:space="preserve"> </w:t>
      </w:r>
      <w:r>
        <w:rPr>
          <w:rFonts w:hint="eastAsia"/>
          <w:szCs w:val="21"/>
          <w:highlight w:val="none"/>
          <w:lang w:val="en-US"/>
        </w:rPr>
        <w:t>反渗透</w:t>
      </w:r>
      <w:r>
        <w:rPr>
          <w:highlight w:val="none"/>
        </w:rPr>
        <w:t>）</w:t>
      </w:r>
      <w:r>
        <w:rPr>
          <w:rFonts w:hint="eastAsia"/>
          <w:highlight w:val="none"/>
          <w:lang w:val="en-US"/>
        </w:rPr>
        <w:t>滑架内</w:t>
      </w:r>
      <w:r>
        <w:rPr>
          <w:highlight w:val="none"/>
        </w:rPr>
        <w:t>设备、管道、阀门、仪表等配套设施的材质。</w:t>
      </w:r>
    </w:p>
    <w:p w14:paraId="3E3E1761">
      <w:pPr>
        <w:pStyle w:val="42"/>
        <w:numPr>
          <w:ilvl w:val="2"/>
          <w:numId w:val="0"/>
        </w:numPr>
        <w:rPr>
          <w:highlight w:val="none"/>
        </w:rPr>
      </w:pPr>
      <w:r>
        <w:rPr>
          <w:highlight w:val="none"/>
          <w:lang w:val="en-US"/>
        </w:rPr>
        <w:t>4</w:t>
      </w:r>
      <w:r>
        <w:rPr>
          <w:highlight w:val="none"/>
        </w:rPr>
        <w:t>.</w:t>
      </w:r>
      <w:r>
        <w:rPr>
          <w:highlight w:val="none"/>
          <w:lang w:val="en-US"/>
        </w:rPr>
        <w:t>2</w:t>
      </w:r>
      <w:r>
        <w:rPr>
          <w:highlight w:val="none"/>
        </w:rPr>
        <w:t>.1.</w:t>
      </w:r>
      <w:r>
        <w:rPr>
          <w:rFonts w:hint="eastAsia"/>
          <w:highlight w:val="none"/>
          <w:lang w:val="en-US"/>
        </w:rPr>
        <w:t>2</w:t>
      </w:r>
      <w:r>
        <w:rPr>
          <w:highlight w:val="none"/>
        </w:rPr>
        <w:t xml:space="preserve"> 投标人所提供的设备须满足工业卫生和劳动安全的要求，有效地防止酸雾、灰尘等有害物质蔓延。</w:t>
      </w:r>
    </w:p>
    <w:p w14:paraId="6F13ACD7">
      <w:pPr>
        <w:pStyle w:val="42"/>
        <w:numPr>
          <w:ilvl w:val="2"/>
          <w:numId w:val="0"/>
        </w:numPr>
        <w:rPr>
          <w:highlight w:val="none"/>
        </w:rPr>
      </w:pPr>
      <w:r>
        <w:rPr>
          <w:highlight w:val="none"/>
          <w:lang w:val="en-US"/>
        </w:rPr>
        <w:t>4</w:t>
      </w:r>
      <w:r>
        <w:rPr>
          <w:highlight w:val="none"/>
        </w:rPr>
        <w:t>.</w:t>
      </w:r>
      <w:r>
        <w:rPr>
          <w:highlight w:val="none"/>
          <w:lang w:val="en-US"/>
        </w:rPr>
        <w:t>2</w:t>
      </w:r>
      <w:r>
        <w:rPr>
          <w:highlight w:val="none"/>
        </w:rPr>
        <w:t>.1.</w:t>
      </w:r>
      <w:r>
        <w:rPr>
          <w:rFonts w:hint="eastAsia"/>
          <w:highlight w:val="none"/>
          <w:lang w:val="en-US"/>
        </w:rPr>
        <w:t>3</w:t>
      </w:r>
      <w:r>
        <w:rPr>
          <w:highlight w:val="none"/>
        </w:rPr>
        <w:t xml:space="preserve"> 根据流通介质的特性，系统中可能结垢或沉积的设备、管道、管件需设置水冲洗系统，并在系统设计、布置中防止介质的沉降。系统内设备选择的材料需根据实际水质状况满足耐腐蚀、耐磨损的要求，过流材质使用寿命不小于50000小时（易损件除外）。</w:t>
      </w:r>
    </w:p>
    <w:p w14:paraId="60DAB4AE">
      <w:pPr>
        <w:pStyle w:val="42"/>
        <w:numPr>
          <w:ilvl w:val="2"/>
          <w:numId w:val="0"/>
        </w:numPr>
        <w:rPr>
          <w:highlight w:val="none"/>
        </w:rPr>
      </w:pPr>
      <w:r>
        <w:rPr>
          <w:highlight w:val="none"/>
          <w:lang w:val="en-US"/>
        </w:rPr>
        <w:t>4</w:t>
      </w:r>
      <w:r>
        <w:rPr>
          <w:highlight w:val="none"/>
        </w:rPr>
        <w:t>.</w:t>
      </w:r>
      <w:r>
        <w:rPr>
          <w:highlight w:val="none"/>
          <w:lang w:val="en-US"/>
        </w:rPr>
        <w:t>2</w:t>
      </w:r>
      <w:r>
        <w:rPr>
          <w:highlight w:val="none"/>
        </w:rPr>
        <w:t>.1</w:t>
      </w:r>
      <w:r>
        <w:rPr>
          <w:highlight w:val="none"/>
          <w:lang w:val="en-US"/>
        </w:rPr>
        <w:t>.</w:t>
      </w:r>
      <w:r>
        <w:rPr>
          <w:rFonts w:hint="eastAsia"/>
          <w:highlight w:val="none"/>
          <w:lang w:val="en-US"/>
        </w:rPr>
        <w:t>4</w:t>
      </w:r>
      <w:r>
        <w:rPr>
          <w:highlight w:val="none"/>
        </w:rPr>
        <w:t xml:space="preserve"> 外表面为碳钢的设备、管道，投标人在其外壁涂刷防腐涂层。</w:t>
      </w:r>
    </w:p>
    <w:p w14:paraId="41526BBA">
      <w:pPr>
        <w:pStyle w:val="42"/>
        <w:numPr>
          <w:ilvl w:val="2"/>
          <w:numId w:val="0"/>
        </w:numPr>
        <w:rPr>
          <w:highlight w:val="none"/>
        </w:rPr>
      </w:pPr>
      <w:r>
        <w:rPr>
          <w:highlight w:val="none"/>
          <w:lang w:val="en-US"/>
        </w:rPr>
        <w:t>4</w:t>
      </w:r>
      <w:r>
        <w:rPr>
          <w:highlight w:val="none"/>
        </w:rPr>
        <w:t>.</w:t>
      </w:r>
      <w:r>
        <w:rPr>
          <w:highlight w:val="none"/>
          <w:lang w:val="en-US"/>
        </w:rPr>
        <w:t>2</w:t>
      </w:r>
      <w:r>
        <w:rPr>
          <w:highlight w:val="none"/>
        </w:rPr>
        <w:t>.1</w:t>
      </w:r>
      <w:r>
        <w:rPr>
          <w:highlight w:val="none"/>
          <w:lang w:val="en-US"/>
        </w:rPr>
        <w:t>.</w:t>
      </w:r>
      <w:r>
        <w:rPr>
          <w:rFonts w:hint="eastAsia"/>
          <w:highlight w:val="none"/>
          <w:lang w:val="en-US"/>
        </w:rPr>
        <w:t>5</w:t>
      </w:r>
      <w:r>
        <w:rPr>
          <w:highlight w:val="none"/>
        </w:rPr>
        <w:t xml:space="preserve"> 凡是</w:t>
      </w:r>
      <w:r>
        <w:rPr>
          <w:rFonts w:hint="eastAsia"/>
          <w:highlight w:val="none"/>
          <w:lang w:val="en-US"/>
        </w:rPr>
        <w:t>在</w:t>
      </w:r>
      <w:r>
        <w:rPr>
          <w:highlight w:val="none"/>
        </w:rPr>
        <w:t>高处需操作和检修的，</w:t>
      </w:r>
      <w:r>
        <w:rPr>
          <w:highlight w:val="none"/>
          <w:lang w:val="en-US"/>
        </w:rPr>
        <w:t>设置</w:t>
      </w:r>
      <w:r>
        <w:rPr>
          <w:highlight w:val="none"/>
        </w:rPr>
        <w:t>设备安全运行和易于维修用的通道、楼梯和栏杆。设备检修和维护平台、扶梯采用钢结构</w:t>
      </w:r>
      <w:r>
        <w:rPr>
          <w:highlight w:val="none"/>
          <w:lang w:val="en-US"/>
        </w:rPr>
        <w:t>或玻璃钢结构</w:t>
      </w:r>
      <w:r>
        <w:rPr>
          <w:highlight w:val="none"/>
        </w:rPr>
        <w:t>。玻璃钢结构的梯子、护栏和扶手，不小于350kg/</w:t>
      </w:r>
      <w:r>
        <w:rPr>
          <w:rFonts w:hint="eastAsia"/>
          <w:highlight w:val="none"/>
        </w:rPr>
        <w:t>m²</w:t>
      </w:r>
      <w:r>
        <w:rPr>
          <w:highlight w:val="none"/>
        </w:rPr>
        <w:t>。符合《火电厂钢制平台扶梯设计技术规范》（DLGJ</w:t>
      </w:r>
      <w:r>
        <w:rPr>
          <w:highlight w:val="none"/>
          <w:lang w:val="en-US"/>
        </w:rPr>
        <w:t xml:space="preserve"> </w:t>
      </w:r>
      <w:r>
        <w:rPr>
          <w:highlight w:val="none"/>
        </w:rPr>
        <w:t>158）</w:t>
      </w:r>
      <w:r>
        <w:rPr>
          <w:rFonts w:hint="eastAsia"/>
          <w:highlight w:val="none"/>
          <w:lang w:val="en-US"/>
        </w:rPr>
        <w:t>要求</w:t>
      </w:r>
      <w:r>
        <w:rPr>
          <w:highlight w:val="none"/>
        </w:rPr>
        <w:t>，梯子有效宽度为0.75米，扶梯倾角</w:t>
      </w:r>
      <w:r>
        <w:rPr>
          <w:highlight w:val="none"/>
          <w:lang w:val="en-US"/>
        </w:rPr>
        <w:t>不大于</w:t>
      </w:r>
      <w:r>
        <w:rPr>
          <w:highlight w:val="none"/>
        </w:rPr>
        <w:t>50º计。</w:t>
      </w:r>
    </w:p>
    <w:p w14:paraId="11FB835C">
      <w:pPr>
        <w:pStyle w:val="42"/>
        <w:numPr>
          <w:ilvl w:val="2"/>
          <w:numId w:val="0"/>
        </w:numPr>
        <w:rPr>
          <w:highlight w:val="none"/>
        </w:rPr>
      </w:pPr>
      <w:r>
        <w:rPr>
          <w:highlight w:val="none"/>
          <w:lang w:val="en-US"/>
        </w:rPr>
        <w:t>4</w:t>
      </w:r>
      <w:r>
        <w:rPr>
          <w:highlight w:val="none"/>
        </w:rPr>
        <w:t>.</w:t>
      </w:r>
      <w:r>
        <w:rPr>
          <w:highlight w:val="none"/>
          <w:lang w:val="en-US"/>
        </w:rPr>
        <w:t>2</w:t>
      </w:r>
      <w:r>
        <w:rPr>
          <w:highlight w:val="none"/>
        </w:rPr>
        <w:t>.1</w:t>
      </w:r>
      <w:r>
        <w:rPr>
          <w:highlight w:val="none"/>
          <w:lang w:val="en-US"/>
        </w:rPr>
        <w:t>.</w:t>
      </w:r>
      <w:r>
        <w:rPr>
          <w:rFonts w:hint="eastAsia"/>
          <w:highlight w:val="none"/>
          <w:lang w:val="en-US"/>
        </w:rPr>
        <w:t>6</w:t>
      </w:r>
      <w:r>
        <w:rPr>
          <w:highlight w:val="none"/>
        </w:rPr>
        <w:t xml:space="preserve"> 设备、管道和阀门的设计压力满足系统的最大操作压力（包括瞬时的冲击压力）。为了避免在漏时喷出，输送高浓度有害物质流体的管道（即酸液、化学药品等）在法兰处配备透明的护环（保护罩）。</w:t>
      </w:r>
      <w:r>
        <w:rPr>
          <w:rFonts w:hint="eastAsia"/>
          <w:highlight w:val="none"/>
          <w:lang w:val="en-US"/>
        </w:rPr>
        <w:t>溶液</w:t>
      </w:r>
      <w:r>
        <w:rPr>
          <w:highlight w:val="none"/>
        </w:rPr>
        <w:t>及冲洗阀门具备就地和远方操作功能。所有阀门能在不超过相应平台1.5m高处进行操作。</w:t>
      </w:r>
    </w:p>
    <w:p w14:paraId="78EB0A27">
      <w:pPr>
        <w:pStyle w:val="42"/>
        <w:numPr>
          <w:ilvl w:val="2"/>
          <w:numId w:val="0"/>
        </w:numPr>
        <w:rPr>
          <w:highlight w:val="none"/>
        </w:rPr>
      </w:pPr>
      <w:r>
        <w:rPr>
          <w:highlight w:val="none"/>
          <w:lang w:val="en-US"/>
        </w:rPr>
        <w:t>4</w:t>
      </w:r>
      <w:r>
        <w:rPr>
          <w:highlight w:val="none"/>
        </w:rPr>
        <w:t>.</w:t>
      </w:r>
      <w:r>
        <w:rPr>
          <w:highlight w:val="none"/>
          <w:lang w:val="en-US"/>
        </w:rPr>
        <w:t>2</w:t>
      </w:r>
      <w:r>
        <w:rPr>
          <w:highlight w:val="none"/>
        </w:rPr>
        <w:t>.1</w:t>
      </w:r>
      <w:r>
        <w:rPr>
          <w:highlight w:val="none"/>
          <w:lang w:val="en-US"/>
        </w:rPr>
        <w:t>.</w:t>
      </w:r>
      <w:r>
        <w:rPr>
          <w:rFonts w:hint="eastAsia"/>
          <w:highlight w:val="none"/>
          <w:lang w:val="en-US"/>
        </w:rPr>
        <w:t>7</w:t>
      </w:r>
      <w:r>
        <w:rPr>
          <w:highlight w:val="none"/>
        </w:rPr>
        <w:t xml:space="preserve"> 管道设计符合标准要求包括所有管道、管件和管道支吊架。管道设计时充分考虑工作介质对管道系统的腐蚀与磨损，投标人按设计标准。</w:t>
      </w:r>
    </w:p>
    <w:p w14:paraId="6BF18109">
      <w:pPr>
        <w:pStyle w:val="42"/>
        <w:numPr>
          <w:ilvl w:val="2"/>
          <w:numId w:val="0"/>
        </w:numPr>
        <w:rPr>
          <w:highlight w:val="none"/>
        </w:rPr>
      </w:pPr>
      <w:r>
        <w:rPr>
          <w:highlight w:val="none"/>
          <w:lang w:val="en-US"/>
        </w:rPr>
        <w:t>4</w:t>
      </w:r>
      <w:r>
        <w:rPr>
          <w:highlight w:val="none"/>
        </w:rPr>
        <w:t>.</w:t>
      </w:r>
      <w:r>
        <w:rPr>
          <w:highlight w:val="none"/>
          <w:lang w:val="en-US"/>
        </w:rPr>
        <w:t>2</w:t>
      </w:r>
      <w:r>
        <w:rPr>
          <w:highlight w:val="none"/>
        </w:rPr>
        <w:t>.1</w:t>
      </w:r>
      <w:r>
        <w:rPr>
          <w:highlight w:val="none"/>
          <w:lang w:val="en-US"/>
        </w:rPr>
        <w:t>.</w:t>
      </w:r>
      <w:r>
        <w:rPr>
          <w:rFonts w:hint="eastAsia"/>
          <w:highlight w:val="none"/>
          <w:lang w:val="en-US"/>
        </w:rPr>
        <w:t>8</w:t>
      </w:r>
      <w:r>
        <w:rPr>
          <w:highlight w:val="none"/>
        </w:rPr>
        <w:t xml:space="preserve"> 投标人提供容器和设备在协议指定的设计工况下必须达到最佳性能</w:t>
      </w:r>
      <w:r>
        <w:rPr>
          <w:rFonts w:hint="eastAsia"/>
          <w:highlight w:val="none"/>
        </w:rPr>
        <w:t>，</w:t>
      </w:r>
      <w:r>
        <w:rPr>
          <w:rFonts w:hint="eastAsia"/>
          <w:highlight w:val="none"/>
          <w:lang w:val="en-US"/>
        </w:rPr>
        <w:t>实现</w:t>
      </w:r>
      <w:r>
        <w:rPr>
          <w:highlight w:val="none"/>
        </w:rPr>
        <w:t>安全可靠运行，同时必须能在一些非标准工况下正常运行。</w:t>
      </w:r>
    </w:p>
    <w:p w14:paraId="2AF034AD">
      <w:pPr>
        <w:pStyle w:val="42"/>
        <w:numPr>
          <w:ilvl w:val="2"/>
          <w:numId w:val="0"/>
        </w:numPr>
        <w:rPr>
          <w:highlight w:val="none"/>
        </w:rPr>
      </w:pPr>
      <w:r>
        <w:rPr>
          <w:rFonts w:hint="eastAsia"/>
          <w:highlight w:val="none"/>
          <w:lang w:val="en-US"/>
        </w:rPr>
        <w:t xml:space="preserve">4.2.1.9 </w:t>
      </w:r>
      <w:r>
        <w:rPr>
          <w:highlight w:val="none"/>
        </w:rPr>
        <w:t>设备</w:t>
      </w:r>
      <w:r>
        <w:rPr>
          <w:rFonts w:hint="eastAsia"/>
          <w:highlight w:val="none"/>
          <w:lang w:val="en-US"/>
        </w:rPr>
        <w:t>产生的噪音</w:t>
      </w:r>
      <w:r>
        <w:rPr>
          <w:highlight w:val="none"/>
        </w:rPr>
        <w:t>满足距离设备1m远的噪声不超过85dB（A）</w:t>
      </w:r>
      <w:r>
        <w:rPr>
          <w:rFonts w:hint="eastAsia"/>
          <w:highlight w:val="none"/>
        </w:rPr>
        <w:t>的</w:t>
      </w:r>
      <w:r>
        <w:rPr>
          <w:rFonts w:hint="eastAsia"/>
          <w:highlight w:val="none"/>
          <w:lang w:val="en-US"/>
        </w:rPr>
        <w:t>要求</w:t>
      </w:r>
      <w:r>
        <w:rPr>
          <w:highlight w:val="none"/>
        </w:rPr>
        <w:t>。</w:t>
      </w:r>
    </w:p>
    <w:p w14:paraId="5C2194CE">
      <w:pPr>
        <w:pStyle w:val="42"/>
        <w:numPr>
          <w:ilvl w:val="2"/>
          <w:numId w:val="0"/>
        </w:numPr>
        <w:rPr>
          <w:highlight w:val="none"/>
        </w:rPr>
      </w:pPr>
      <w:r>
        <w:rPr>
          <w:highlight w:val="none"/>
          <w:lang w:val="en-US"/>
        </w:rPr>
        <w:t>4</w:t>
      </w:r>
      <w:r>
        <w:rPr>
          <w:highlight w:val="none"/>
        </w:rPr>
        <w:t>.</w:t>
      </w:r>
      <w:r>
        <w:rPr>
          <w:highlight w:val="none"/>
          <w:lang w:val="en-US"/>
        </w:rPr>
        <w:t>2</w:t>
      </w:r>
      <w:r>
        <w:rPr>
          <w:highlight w:val="none"/>
        </w:rPr>
        <w:t>.1</w:t>
      </w:r>
      <w:r>
        <w:rPr>
          <w:highlight w:val="none"/>
          <w:lang w:val="en-US"/>
        </w:rPr>
        <w:t>.</w:t>
      </w:r>
      <w:r>
        <w:rPr>
          <w:highlight w:val="none"/>
        </w:rPr>
        <w:t>1</w:t>
      </w:r>
      <w:r>
        <w:rPr>
          <w:rFonts w:hint="eastAsia"/>
          <w:highlight w:val="none"/>
          <w:lang w:val="en-US"/>
        </w:rPr>
        <w:t xml:space="preserve">0 </w:t>
      </w:r>
      <w:r>
        <w:rPr>
          <w:highlight w:val="none"/>
        </w:rPr>
        <w:t>设备开始加工前</w:t>
      </w:r>
      <w:r>
        <w:rPr>
          <w:rFonts w:hint="eastAsia"/>
          <w:highlight w:val="none"/>
          <w:lang w:val="en-US"/>
        </w:rPr>
        <w:t>招投标</w:t>
      </w:r>
      <w:r>
        <w:rPr>
          <w:highlight w:val="none"/>
        </w:rPr>
        <w:t>双方以书面形式加以确认，衬胶前必须进行水压实验；进行水压实验前提前通知招标人参加。</w:t>
      </w:r>
    </w:p>
    <w:p w14:paraId="0F569960">
      <w:pPr>
        <w:pStyle w:val="8"/>
        <w:numPr>
          <w:ilvl w:val="3"/>
          <w:numId w:val="0"/>
        </w:numPr>
        <w:rPr>
          <w:rFonts w:ascii="Times New Roman"/>
          <w:b/>
          <w:bCs/>
          <w:highlight w:val="none"/>
        </w:rPr>
      </w:pPr>
      <w:bookmarkStart w:id="77" w:name="_Toc383095378"/>
      <w:bookmarkStart w:id="78" w:name="_Toc50733105"/>
      <w:bookmarkStart w:id="79" w:name="_Toc500400642"/>
      <w:bookmarkStart w:id="80" w:name="_Toc383095382"/>
      <w:bookmarkStart w:id="81" w:name="_Toc500400645"/>
      <w:bookmarkStart w:id="82" w:name="_Toc50733109"/>
      <w:r>
        <w:rPr>
          <w:rFonts w:hint="eastAsia" w:ascii="Times New Roman"/>
          <w:b/>
          <w:bCs/>
          <w:highlight w:val="none"/>
        </w:rPr>
        <w:t>4</w:t>
      </w:r>
      <w:r>
        <w:rPr>
          <w:rFonts w:ascii="Times New Roman"/>
          <w:b/>
          <w:bCs/>
          <w:highlight w:val="none"/>
        </w:rPr>
        <w:t>.</w:t>
      </w:r>
      <w:r>
        <w:rPr>
          <w:rFonts w:hint="eastAsia" w:ascii="Times New Roman"/>
          <w:b/>
          <w:bCs/>
          <w:highlight w:val="none"/>
        </w:rPr>
        <w:t>2.2 超滤系统技术要求</w:t>
      </w:r>
    </w:p>
    <w:p w14:paraId="0846B8FE">
      <w:pPr>
        <w:rPr>
          <w:highlight w:val="none"/>
        </w:rPr>
      </w:pPr>
      <w:r>
        <w:rPr>
          <w:rFonts w:hint="eastAsia"/>
          <w:b/>
          <w:bCs/>
          <w:highlight w:val="none"/>
        </w:rPr>
        <w:t>4.2.2.1 超滤滑架技术要求</w:t>
      </w:r>
    </w:p>
    <w:p w14:paraId="1C3395D5">
      <w:pPr>
        <w:spacing w:line="360" w:lineRule="auto"/>
        <w:jc w:val="left"/>
        <w:rPr>
          <w:highlight w:val="none"/>
        </w:rPr>
      </w:pPr>
      <w:r>
        <w:rPr>
          <w:highlight w:val="none"/>
        </w:rPr>
        <w:t>4.</w:t>
      </w:r>
      <w:r>
        <w:rPr>
          <w:rFonts w:hint="eastAsia"/>
          <w:highlight w:val="none"/>
        </w:rPr>
        <w:t xml:space="preserve">2.2.1.1 </w:t>
      </w:r>
      <w:r>
        <w:rPr>
          <w:highlight w:val="none"/>
        </w:rPr>
        <w:t>超滤滑架及内部管道设计图纸需由招标人审核后方可进行制作</w:t>
      </w:r>
      <w:r>
        <w:rPr>
          <w:rFonts w:hint="eastAsia"/>
          <w:highlight w:val="none"/>
        </w:rPr>
        <w:t>，</w:t>
      </w:r>
      <w:r>
        <w:rPr>
          <w:highlight w:val="none"/>
        </w:rPr>
        <w:t>特别是装置对外接口准确位置，需与招标人</w:t>
      </w:r>
      <w:r>
        <w:rPr>
          <w:rFonts w:hint="eastAsia"/>
          <w:highlight w:val="none"/>
        </w:rPr>
        <w:t>确认后进行制作</w:t>
      </w:r>
      <w:r>
        <w:rPr>
          <w:b/>
          <w:highlight w:val="none"/>
        </w:rPr>
        <w:t>，投标人应充分考虑</w:t>
      </w:r>
      <w:r>
        <w:rPr>
          <w:rFonts w:hint="eastAsia"/>
          <w:b/>
          <w:highlight w:val="none"/>
        </w:rPr>
        <w:t>超滤</w:t>
      </w:r>
      <w:r>
        <w:rPr>
          <w:b/>
          <w:highlight w:val="none"/>
        </w:rPr>
        <w:t>滑架尺寸，并派专人对现场进行勘察后再设计制造。</w:t>
      </w:r>
    </w:p>
    <w:p w14:paraId="0207D0A5">
      <w:pPr>
        <w:spacing w:line="360" w:lineRule="auto"/>
        <w:jc w:val="left"/>
        <w:rPr>
          <w:highlight w:val="none"/>
        </w:rPr>
      </w:pPr>
      <w:r>
        <w:rPr>
          <w:highlight w:val="none"/>
        </w:rPr>
        <w:t>4.</w:t>
      </w:r>
      <w:r>
        <w:rPr>
          <w:rFonts w:hint="eastAsia"/>
          <w:highlight w:val="none"/>
        </w:rPr>
        <w:t>2.2.1</w:t>
      </w:r>
      <w:r>
        <w:rPr>
          <w:highlight w:val="none"/>
        </w:rPr>
        <w:t>.2</w:t>
      </w:r>
      <w:r>
        <w:rPr>
          <w:rFonts w:hint="eastAsia"/>
          <w:highlight w:val="none"/>
        </w:rPr>
        <w:t xml:space="preserve"> </w:t>
      </w:r>
      <w:r>
        <w:rPr>
          <w:highlight w:val="none"/>
        </w:rPr>
        <w:t>超滤滑架共</w:t>
      </w:r>
      <w:r>
        <w:rPr>
          <w:rFonts w:hint="eastAsia"/>
          <w:highlight w:val="none"/>
        </w:rPr>
        <w:t>1</w:t>
      </w:r>
      <w:r>
        <w:rPr>
          <w:highlight w:val="none"/>
        </w:rPr>
        <w:t>套。</w:t>
      </w:r>
      <w:r>
        <w:rPr>
          <w:rFonts w:hint="eastAsia"/>
          <w:highlight w:val="none"/>
        </w:rPr>
        <w:t>超滤膜组件应能完整地安装在支架上，膜壳与膜壳之间应有完整的管道及相应不可缺少的阀门（包括自动阀门）将他们连接成一体。</w:t>
      </w:r>
      <w:r>
        <w:rPr>
          <w:highlight w:val="none"/>
        </w:rPr>
        <w:t>超滤滑架采用各种型钢组合而成，投标人在选择型钢规格时，必须满足超滤膜、内部管道、阀门总重量，并考虑运行时动荷载，</w:t>
      </w:r>
      <w:r>
        <w:rPr>
          <w:rFonts w:hint="eastAsia"/>
          <w:highlight w:val="none"/>
        </w:rPr>
        <w:t>滑架</w:t>
      </w:r>
      <w:r>
        <w:rPr>
          <w:highlight w:val="none"/>
        </w:rPr>
        <w:t>型钢材质采用</w:t>
      </w:r>
      <w:r>
        <w:rPr>
          <w:rFonts w:hint="eastAsia"/>
          <w:b/>
          <w:szCs w:val="21"/>
          <w:highlight w:val="none"/>
        </w:rPr>
        <w:t>材质</w:t>
      </w:r>
      <w:r>
        <w:rPr>
          <w:rFonts w:hint="eastAsia"/>
          <w:b/>
          <w:bCs/>
          <w:szCs w:val="21"/>
          <w:highlight w:val="none"/>
        </w:rPr>
        <w:t>碳钢防腐</w:t>
      </w:r>
      <w:r>
        <w:rPr>
          <w:highlight w:val="none"/>
        </w:rPr>
        <w:t>。</w:t>
      </w:r>
    </w:p>
    <w:p w14:paraId="00DBE944">
      <w:pPr>
        <w:spacing w:line="360" w:lineRule="auto"/>
        <w:jc w:val="left"/>
        <w:rPr>
          <w:highlight w:val="none"/>
        </w:rPr>
      </w:pPr>
      <w:r>
        <w:rPr>
          <w:highlight w:val="none"/>
        </w:rPr>
        <w:t>4.</w:t>
      </w:r>
      <w:r>
        <w:rPr>
          <w:rFonts w:hint="eastAsia"/>
          <w:highlight w:val="none"/>
        </w:rPr>
        <w:t xml:space="preserve">2.2.1.3 </w:t>
      </w:r>
      <w:r>
        <w:rPr>
          <w:highlight w:val="none"/>
        </w:rPr>
        <w:t>在超滤装置中，内部管道由投标人供货并安装完成，内部管道采用</w:t>
      </w:r>
      <w:r>
        <w:rPr>
          <w:rFonts w:hint="eastAsia"/>
          <w:highlight w:val="none"/>
        </w:rPr>
        <w:t>化工级UPVC</w:t>
      </w:r>
      <w:r>
        <w:rPr>
          <w:rFonts w:hint="eastAsia"/>
          <w:szCs w:val="21"/>
          <w:highlight w:val="none"/>
        </w:rPr>
        <w:t>材质</w:t>
      </w:r>
      <w:r>
        <w:rPr>
          <w:rFonts w:hint="eastAsia"/>
          <w:highlight w:val="none"/>
        </w:rPr>
        <w:t>。</w:t>
      </w:r>
      <w:r>
        <w:rPr>
          <w:highlight w:val="none"/>
        </w:rPr>
        <w:t>超滤滑架内配备全部管道及接头，还包括所有的支架、紧固件、夹具等其它附件。</w:t>
      </w:r>
    </w:p>
    <w:p w14:paraId="0F908656">
      <w:pPr>
        <w:tabs>
          <w:tab w:val="left" w:pos="420"/>
        </w:tabs>
        <w:autoSpaceDE w:val="0"/>
        <w:autoSpaceDN w:val="0"/>
        <w:spacing w:line="360" w:lineRule="auto"/>
        <w:jc w:val="left"/>
        <w:rPr>
          <w:highlight w:val="none"/>
        </w:rPr>
      </w:pPr>
      <w:r>
        <w:rPr>
          <w:highlight w:val="none"/>
        </w:rPr>
        <w:t>4.</w:t>
      </w:r>
      <w:r>
        <w:rPr>
          <w:rFonts w:hint="eastAsia"/>
          <w:highlight w:val="none"/>
        </w:rPr>
        <w:t xml:space="preserve">2.2.1.4 </w:t>
      </w:r>
      <w:r>
        <w:rPr>
          <w:highlight w:val="none"/>
        </w:rPr>
        <w:t>每套超滤装置的进水管、产水管设取样点，</w:t>
      </w:r>
      <w:r>
        <w:rPr>
          <w:rFonts w:hint="eastAsia"/>
          <w:highlight w:val="none"/>
        </w:rPr>
        <w:t>取样点的数量及位置应能有效的诊断并确定系统的运行状况。</w:t>
      </w:r>
      <w:r>
        <w:rPr>
          <w:highlight w:val="none"/>
        </w:rPr>
        <w:t>同时配备相应的取样阀，取样阀应集中放置在取样面板</w:t>
      </w:r>
      <w:r>
        <w:rPr>
          <w:rFonts w:hint="eastAsia"/>
          <w:highlight w:val="none"/>
        </w:rPr>
        <w:t>（投标人提供，材质耐腐蚀）</w:t>
      </w:r>
      <w:r>
        <w:rPr>
          <w:highlight w:val="none"/>
        </w:rPr>
        <w:t>上，投标人负责用软管接至取样柜。</w:t>
      </w:r>
    </w:p>
    <w:p w14:paraId="367E574C">
      <w:pPr>
        <w:spacing w:line="360" w:lineRule="auto"/>
        <w:jc w:val="left"/>
        <w:rPr>
          <w:highlight w:val="none"/>
        </w:rPr>
      </w:pPr>
      <w:r>
        <w:rPr>
          <w:highlight w:val="none"/>
        </w:rPr>
        <w:t>4.</w:t>
      </w:r>
      <w:r>
        <w:rPr>
          <w:rFonts w:hint="eastAsia"/>
          <w:highlight w:val="none"/>
        </w:rPr>
        <w:t xml:space="preserve">2.2.1.5 </w:t>
      </w:r>
      <w:r>
        <w:rPr>
          <w:highlight w:val="none"/>
        </w:rPr>
        <w:t>每根超滤膜产水管均需安装一段透明管。</w:t>
      </w:r>
    </w:p>
    <w:p w14:paraId="27E7BEF5">
      <w:pPr>
        <w:spacing w:line="360" w:lineRule="auto"/>
        <w:jc w:val="left"/>
        <w:rPr>
          <w:highlight w:val="none"/>
        </w:rPr>
      </w:pPr>
      <w:r>
        <w:rPr>
          <w:highlight w:val="none"/>
        </w:rPr>
        <w:t>4.</w:t>
      </w:r>
      <w:r>
        <w:rPr>
          <w:rFonts w:hint="eastAsia"/>
          <w:highlight w:val="none"/>
        </w:rPr>
        <w:t xml:space="preserve">2.2.1.6 </w:t>
      </w:r>
      <w:r>
        <w:rPr>
          <w:highlight w:val="none"/>
        </w:rPr>
        <w:t>管道最高点需设置排气阀，同时配置排气隔离阀。</w:t>
      </w:r>
    </w:p>
    <w:p w14:paraId="0095797A">
      <w:pPr>
        <w:spacing w:line="360" w:lineRule="auto"/>
        <w:jc w:val="left"/>
        <w:rPr>
          <w:highlight w:val="none"/>
        </w:rPr>
      </w:pPr>
      <w:r>
        <w:rPr>
          <w:highlight w:val="none"/>
        </w:rPr>
        <w:t>4.</w:t>
      </w:r>
      <w:r>
        <w:rPr>
          <w:rFonts w:hint="eastAsia"/>
          <w:highlight w:val="none"/>
        </w:rPr>
        <w:t xml:space="preserve">2.2.1.7 </w:t>
      </w:r>
      <w:r>
        <w:rPr>
          <w:highlight w:val="none"/>
        </w:rPr>
        <w:t>投标人提供每套超滤设备的铭牌，铭牌内容需经招标人确认。</w:t>
      </w:r>
    </w:p>
    <w:p w14:paraId="0161E0D7">
      <w:pPr>
        <w:spacing w:line="360" w:lineRule="auto"/>
        <w:jc w:val="left"/>
        <w:rPr>
          <w:highlight w:val="none"/>
        </w:rPr>
      </w:pPr>
      <w:r>
        <w:rPr>
          <w:highlight w:val="none"/>
        </w:rPr>
        <w:t>4.</w:t>
      </w:r>
      <w:r>
        <w:rPr>
          <w:rFonts w:hint="eastAsia"/>
          <w:highlight w:val="none"/>
        </w:rPr>
        <w:t xml:space="preserve">2.2.1.8 </w:t>
      </w:r>
      <w:r>
        <w:rPr>
          <w:highlight w:val="none"/>
        </w:rPr>
        <w:t>装置底部及主要承重部位的型钢，</w:t>
      </w:r>
      <w:r>
        <w:rPr>
          <w:rFonts w:hint="eastAsia"/>
          <w:highlight w:val="none"/>
        </w:rPr>
        <w:t>具体规格由投标人进行设计计算，考虑装置满负荷运行荷载，并有一定的冗余。</w:t>
      </w:r>
    </w:p>
    <w:p w14:paraId="22FB4F55">
      <w:pPr>
        <w:spacing w:line="360" w:lineRule="auto"/>
        <w:jc w:val="left"/>
        <w:rPr>
          <w:highlight w:val="none"/>
        </w:rPr>
      </w:pPr>
      <w:r>
        <w:rPr>
          <w:highlight w:val="none"/>
        </w:rPr>
        <w:t>4.</w:t>
      </w:r>
      <w:r>
        <w:rPr>
          <w:rFonts w:hint="eastAsia"/>
          <w:highlight w:val="none"/>
        </w:rPr>
        <w:t xml:space="preserve">2.2.1.9 </w:t>
      </w:r>
      <w:r>
        <w:rPr>
          <w:highlight w:val="none"/>
        </w:rPr>
        <w:t>投标人需提供超滤膜抱箍，</w:t>
      </w:r>
      <w:r>
        <w:rPr>
          <w:rFonts w:hint="eastAsia"/>
          <w:highlight w:val="none"/>
        </w:rPr>
        <w:t>如现场组装，投标人负责</w:t>
      </w:r>
      <w:r>
        <w:rPr>
          <w:highlight w:val="none"/>
        </w:rPr>
        <w:t>超滤膜抱箍</w:t>
      </w:r>
      <w:r>
        <w:rPr>
          <w:rFonts w:hint="eastAsia"/>
          <w:highlight w:val="none"/>
        </w:rPr>
        <w:t>的</w:t>
      </w:r>
      <w:r>
        <w:rPr>
          <w:highlight w:val="none"/>
        </w:rPr>
        <w:t>安装。</w:t>
      </w:r>
    </w:p>
    <w:p w14:paraId="1E1F29D6">
      <w:pPr>
        <w:spacing w:line="360" w:lineRule="auto"/>
        <w:jc w:val="left"/>
        <w:rPr>
          <w:highlight w:val="none"/>
        </w:rPr>
      </w:pPr>
      <w:r>
        <w:rPr>
          <w:highlight w:val="none"/>
        </w:rPr>
        <w:t>4.</w:t>
      </w:r>
      <w:r>
        <w:rPr>
          <w:rFonts w:hint="eastAsia"/>
          <w:highlight w:val="none"/>
        </w:rPr>
        <w:t xml:space="preserve">2.2.1.10 </w:t>
      </w:r>
      <w:r>
        <w:rPr>
          <w:highlight w:val="none"/>
        </w:rPr>
        <w:t>超滤膜</w:t>
      </w:r>
      <w:r>
        <w:rPr>
          <w:rFonts w:hint="eastAsia"/>
          <w:highlight w:val="none"/>
        </w:rPr>
        <w:t>组件</w:t>
      </w:r>
      <w:r>
        <w:rPr>
          <w:highlight w:val="none"/>
        </w:rPr>
        <w:t>进出口采用拷贝林连接方式</w:t>
      </w:r>
      <w:r>
        <w:rPr>
          <w:rFonts w:hint="eastAsia"/>
          <w:highlight w:val="none"/>
        </w:rPr>
        <w:t>。</w:t>
      </w:r>
    </w:p>
    <w:p w14:paraId="2C94B98B">
      <w:pPr>
        <w:spacing w:line="360" w:lineRule="auto"/>
        <w:jc w:val="left"/>
        <w:rPr>
          <w:highlight w:val="none"/>
        </w:rPr>
      </w:pPr>
      <w:r>
        <w:rPr>
          <w:highlight w:val="none"/>
        </w:rPr>
        <w:t>4.</w:t>
      </w:r>
      <w:r>
        <w:rPr>
          <w:rFonts w:hint="eastAsia"/>
          <w:highlight w:val="none"/>
        </w:rPr>
        <w:t xml:space="preserve">2.2.1.11 </w:t>
      </w:r>
      <w:r>
        <w:rPr>
          <w:highlight w:val="none"/>
        </w:rPr>
        <w:t>超滤滑架对外预留法兰接口，法兰等级</w:t>
      </w:r>
      <w:r>
        <w:rPr>
          <w:rFonts w:hint="eastAsia"/>
          <w:highlight w:val="none"/>
        </w:rPr>
        <w:t>、规格</w:t>
      </w:r>
      <w:r>
        <w:rPr>
          <w:highlight w:val="none"/>
        </w:rPr>
        <w:t>根据工艺需求配制，</w:t>
      </w:r>
      <w:r>
        <w:rPr>
          <w:rFonts w:hint="eastAsia"/>
          <w:highlight w:val="none"/>
        </w:rPr>
        <w:t>并由</w:t>
      </w:r>
      <w:r>
        <w:rPr>
          <w:highlight w:val="none"/>
        </w:rPr>
        <w:t>招标人确认。法兰标准采用GB/T9124.1《钢制管法兰第1部分：PN系列》</w:t>
      </w:r>
      <w:r>
        <w:rPr>
          <w:rFonts w:hint="eastAsia"/>
          <w:highlight w:val="none"/>
        </w:rPr>
        <w:t>。</w:t>
      </w:r>
    </w:p>
    <w:p w14:paraId="609ECD91">
      <w:pPr>
        <w:tabs>
          <w:tab w:val="left" w:pos="420"/>
        </w:tabs>
        <w:autoSpaceDE w:val="0"/>
        <w:autoSpaceDN w:val="0"/>
        <w:spacing w:line="360" w:lineRule="auto"/>
        <w:jc w:val="left"/>
        <w:rPr>
          <w:highlight w:val="none"/>
        </w:rPr>
      </w:pPr>
      <w:r>
        <w:rPr>
          <w:highlight w:val="none"/>
        </w:rPr>
        <w:t>4.</w:t>
      </w:r>
      <w:r>
        <w:rPr>
          <w:rFonts w:hint="eastAsia"/>
          <w:highlight w:val="none"/>
        </w:rPr>
        <w:t xml:space="preserve">2.2.1.12 </w:t>
      </w:r>
      <w:r>
        <w:rPr>
          <w:highlight w:val="none"/>
        </w:rPr>
        <w:t>在超滤</w:t>
      </w:r>
      <w:r>
        <w:rPr>
          <w:rFonts w:hint="eastAsia"/>
          <w:highlight w:val="none"/>
        </w:rPr>
        <w:t>装置</w:t>
      </w:r>
      <w:r>
        <w:rPr>
          <w:highlight w:val="none"/>
        </w:rPr>
        <w:t>中，超滤滑架内所有阀门</w:t>
      </w:r>
      <w:r>
        <w:rPr>
          <w:rFonts w:hint="eastAsia"/>
          <w:highlight w:val="none"/>
        </w:rPr>
        <w:t>（包括手动阀门、自动阀门，阀门气缸带不锈钢卡套接头，用于与气源管连接。阀门设计时要考虑方便运行人员操作。阀门</w:t>
      </w:r>
      <w:r>
        <w:rPr>
          <w:highlight w:val="none"/>
        </w:rPr>
        <w:t>材质应根据所接触的介质性质选用合适的防腐材质</w:t>
      </w:r>
      <w:r>
        <w:rPr>
          <w:rFonts w:hint="eastAsia"/>
          <w:highlight w:val="none"/>
        </w:rPr>
        <w:t>，</w:t>
      </w:r>
      <w:r>
        <w:rPr>
          <w:highlight w:val="none"/>
        </w:rPr>
        <w:t>需得到</w:t>
      </w:r>
      <w:r>
        <w:rPr>
          <w:rFonts w:hint="eastAsia"/>
          <w:highlight w:val="none"/>
        </w:rPr>
        <w:t>招标人</w:t>
      </w:r>
      <w:r>
        <w:rPr>
          <w:highlight w:val="none"/>
        </w:rPr>
        <w:t>的认可。所有自动阀门均带有位置开关。投标人提供阀门气缸与¢8气源管之间的卡套接头，接头材质采用</w:t>
      </w:r>
      <w:r>
        <w:rPr>
          <w:rFonts w:hint="eastAsia"/>
          <w:highlight w:val="none"/>
        </w:rPr>
        <w:t>SS304</w:t>
      </w:r>
      <w:r>
        <w:rPr>
          <w:highlight w:val="none"/>
        </w:rPr>
        <w:t>不锈钢。</w:t>
      </w:r>
      <w:r>
        <w:rPr>
          <w:rFonts w:hint="eastAsia"/>
          <w:highlight w:val="none"/>
        </w:rPr>
        <w:t>超滤装置采用错流过滤，浓水端需设置自动阀门。</w:t>
      </w:r>
    </w:p>
    <w:p w14:paraId="4741217C">
      <w:pPr>
        <w:tabs>
          <w:tab w:val="left" w:pos="420"/>
        </w:tabs>
        <w:autoSpaceDE w:val="0"/>
        <w:autoSpaceDN w:val="0"/>
        <w:spacing w:line="360" w:lineRule="auto"/>
        <w:jc w:val="left"/>
        <w:rPr>
          <w:highlight w:val="none"/>
        </w:rPr>
      </w:pPr>
      <w:r>
        <w:rPr>
          <w:rFonts w:hint="eastAsia"/>
          <w:highlight w:val="none"/>
        </w:rPr>
        <w:t>4</w:t>
      </w:r>
      <w:r>
        <w:rPr>
          <w:highlight w:val="none"/>
        </w:rPr>
        <w:t>.</w:t>
      </w:r>
      <w:r>
        <w:rPr>
          <w:rFonts w:hint="eastAsia"/>
          <w:highlight w:val="none"/>
        </w:rPr>
        <w:t>2.2.1.13 超滤装置进水管应设置气动调节阀（带一次气源阀门和减压阀，减压阀为SMC或等同），通过调节阀可以调整或恒定进水量。</w:t>
      </w:r>
    </w:p>
    <w:p w14:paraId="28AE6020">
      <w:pPr>
        <w:tabs>
          <w:tab w:val="left" w:pos="420"/>
        </w:tabs>
        <w:autoSpaceDE w:val="0"/>
        <w:autoSpaceDN w:val="0"/>
        <w:spacing w:line="360" w:lineRule="auto"/>
        <w:jc w:val="left"/>
        <w:rPr>
          <w:highlight w:val="none"/>
        </w:rPr>
      </w:pPr>
      <w:r>
        <w:rPr>
          <w:rFonts w:hint="eastAsia"/>
          <w:highlight w:val="none"/>
        </w:rPr>
        <w:t>4.2.2.1.14 超滤滑架的设计应满足厂址的抗震烈度要求和组件的膨胀要求。</w:t>
      </w:r>
    </w:p>
    <w:p w14:paraId="44AA6971">
      <w:pPr>
        <w:tabs>
          <w:tab w:val="left" w:pos="420"/>
        </w:tabs>
        <w:autoSpaceDE w:val="0"/>
        <w:autoSpaceDN w:val="0"/>
        <w:spacing w:line="360" w:lineRule="auto"/>
        <w:jc w:val="left"/>
        <w:rPr>
          <w:highlight w:val="none"/>
        </w:rPr>
      </w:pPr>
      <w:r>
        <w:rPr>
          <w:rFonts w:hint="eastAsia"/>
          <w:highlight w:val="none"/>
        </w:rPr>
        <w:t>4.2.2.1.15 超滤滑架电气仪表要求：</w:t>
      </w:r>
    </w:p>
    <w:p w14:paraId="589BE845">
      <w:pPr>
        <w:spacing w:line="360" w:lineRule="auto"/>
        <w:jc w:val="left"/>
        <w:rPr>
          <w:highlight w:val="none"/>
        </w:rPr>
      </w:pPr>
      <w:r>
        <w:rPr>
          <w:rFonts w:hint="eastAsia"/>
          <w:highlight w:val="none"/>
        </w:rPr>
        <w:t>4</w:t>
      </w:r>
      <w:r>
        <w:rPr>
          <w:highlight w:val="none"/>
        </w:rPr>
        <w:t>.</w:t>
      </w:r>
      <w:r>
        <w:rPr>
          <w:rFonts w:hint="eastAsia"/>
          <w:highlight w:val="none"/>
        </w:rPr>
        <w:t>2.2.1.15.1 投标人提供超滤滑架内的不锈钢耐震压力表，不锈钢耐震压力表需设置在一个面板上，采用φ100耐震轴向压力表。</w:t>
      </w:r>
    </w:p>
    <w:p w14:paraId="702A7F32">
      <w:pPr>
        <w:tabs>
          <w:tab w:val="left" w:pos="420"/>
        </w:tabs>
        <w:autoSpaceDE w:val="0"/>
        <w:autoSpaceDN w:val="0"/>
        <w:spacing w:line="360" w:lineRule="auto"/>
        <w:jc w:val="left"/>
        <w:rPr>
          <w:highlight w:val="none"/>
        </w:rPr>
      </w:pPr>
      <w:r>
        <w:rPr>
          <w:rFonts w:hint="eastAsia"/>
          <w:highlight w:val="none"/>
        </w:rPr>
        <w:t xml:space="preserve">4.2.2.1.15.2 </w:t>
      </w:r>
      <w:r>
        <w:rPr>
          <w:highlight w:val="none"/>
        </w:rPr>
        <w:t>投标人</w:t>
      </w:r>
      <w:r>
        <w:rPr>
          <w:rFonts w:hint="eastAsia"/>
          <w:highlight w:val="none"/>
        </w:rPr>
        <w:t>需提供</w:t>
      </w:r>
      <w:r>
        <w:rPr>
          <w:highlight w:val="none"/>
        </w:rPr>
        <w:t>安装仪表的一次阀门，并预留相应接口</w:t>
      </w:r>
      <w:r>
        <w:rPr>
          <w:rFonts w:hint="eastAsia"/>
          <w:highlight w:val="none"/>
        </w:rPr>
        <w:t>不锈钢</w:t>
      </w:r>
      <w:r>
        <w:rPr>
          <w:rFonts w:hint="eastAsia" w:ascii="宋体" w:hAnsi="宋体" w:cs="宋体"/>
          <w:highlight w:val="none"/>
        </w:rPr>
        <w:t>¢</w:t>
      </w:r>
      <w:r>
        <w:rPr>
          <w:rFonts w:hint="eastAsia"/>
          <w:highlight w:val="none"/>
        </w:rPr>
        <w:t>14接口</w:t>
      </w:r>
      <w:r>
        <w:rPr>
          <w:highlight w:val="none"/>
        </w:rPr>
        <w:t>，仪表由招标人提供（</w:t>
      </w:r>
      <w:r>
        <w:rPr>
          <w:rFonts w:hint="eastAsia"/>
          <w:highlight w:val="none"/>
        </w:rPr>
        <w:t>压力表除外</w:t>
      </w:r>
      <w:r>
        <w:rPr>
          <w:highlight w:val="none"/>
        </w:rPr>
        <w:t>），</w:t>
      </w:r>
      <w:r>
        <w:rPr>
          <w:rFonts w:hint="eastAsia"/>
          <w:highlight w:val="none"/>
        </w:rPr>
        <w:t>预留</w:t>
      </w:r>
      <w:r>
        <w:rPr>
          <w:highlight w:val="none"/>
        </w:rPr>
        <w:t>超滤进</w:t>
      </w:r>
      <w:r>
        <w:rPr>
          <w:rFonts w:hint="eastAsia"/>
          <w:highlight w:val="none"/>
        </w:rPr>
        <w:t>水管道流量计、</w:t>
      </w:r>
      <w:r>
        <w:rPr>
          <w:highlight w:val="none"/>
        </w:rPr>
        <w:t>出水管道浊度仪</w:t>
      </w:r>
      <w:r>
        <w:rPr>
          <w:rFonts w:hint="eastAsia"/>
          <w:highlight w:val="none"/>
        </w:rPr>
        <w:t>（根据工艺流程图）</w:t>
      </w:r>
      <w:r>
        <w:rPr>
          <w:highlight w:val="none"/>
        </w:rPr>
        <w:t>安装位置</w:t>
      </w:r>
      <w:r>
        <w:rPr>
          <w:rFonts w:hint="eastAsia"/>
          <w:highlight w:val="none"/>
        </w:rPr>
        <w:t>，超滤滑架预留电磁阀箱安装位置。</w:t>
      </w:r>
    </w:p>
    <w:p w14:paraId="295EA317">
      <w:pPr>
        <w:pStyle w:val="44"/>
        <w:spacing w:line="360" w:lineRule="auto"/>
        <w:rPr>
          <w:szCs w:val="22"/>
          <w:highlight w:val="none"/>
        </w:rPr>
      </w:pPr>
      <w:r>
        <w:rPr>
          <w:rFonts w:hint="eastAsia"/>
          <w:szCs w:val="24"/>
          <w:highlight w:val="none"/>
        </w:rPr>
        <w:t xml:space="preserve">4.2.2.1.16 </w:t>
      </w:r>
      <w:r>
        <w:rPr>
          <w:rFonts w:hint="eastAsia"/>
          <w:szCs w:val="22"/>
          <w:highlight w:val="none"/>
        </w:rPr>
        <w:t>投标人</w:t>
      </w:r>
      <w:r>
        <w:rPr>
          <w:szCs w:val="22"/>
          <w:highlight w:val="none"/>
        </w:rPr>
        <w:t>提供系统内的所有阀门。所有阀门的材质应根据所接触的介质性质选用合适的防腐材质。阀门的材质需得到</w:t>
      </w:r>
      <w:r>
        <w:rPr>
          <w:rFonts w:hint="eastAsia"/>
          <w:szCs w:val="22"/>
          <w:highlight w:val="none"/>
        </w:rPr>
        <w:t>招标人</w:t>
      </w:r>
      <w:r>
        <w:rPr>
          <w:szCs w:val="22"/>
          <w:highlight w:val="none"/>
        </w:rPr>
        <w:t>的认可。所有自动阀门均带有位置开关，在失电或失气</w:t>
      </w:r>
      <w:r>
        <w:rPr>
          <w:highlight w:val="none"/>
        </w:rPr>
        <w:t>时应保持安全状态。</w:t>
      </w:r>
      <w:r>
        <w:rPr>
          <w:szCs w:val="22"/>
          <w:highlight w:val="none"/>
        </w:rPr>
        <w:t>所有参与程控自动阀门及其执行机构选用国产优质产品。</w:t>
      </w:r>
      <w:r>
        <w:rPr>
          <w:rFonts w:hint="eastAsia"/>
          <w:szCs w:val="22"/>
          <w:highlight w:val="none"/>
        </w:rPr>
        <w:t>气动衬胶蝶阀和隔膜阀采用优质阀门：BRAY、GUME、SED 产品或“相当于”。</w:t>
      </w:r>
    </w:p>
    <w:p w14:paraId="2EA381FF">
      <w:pPr>
        <w:tabs>
          <w:tab w:val="left" w:pos="420"/>
        </w:tabs>
        <w:autoSpaceDE w:val="0"/>
        <w:autoSpaceDN w:val="0"/>
        <w:spacing w:line="360" w:lineRule="auto"/>
        <w:jc w:val="left"/>
        <w:rPr>
          <w:highlight w:val="none"/>
        </w:rPr>
      </w:pPr>
      <w:r>
        <w:rPr>
          <w:rFonts w:hint="eastAsia"/>
          <w:highlight w:val="none"/>
        </w:rPr>
        <w:t xml:space="preserve">4.2.2.1.17 </w:t>
      </w:r>
      <w:r>
        <w:rPr>
          <w:highlight w:val="none"/>
        </w:rPr>
        <w:t>滑架内所有阀门由投标人供货并安装完成，</w:t>
      </w:r>
      <w:r>
        <w:rPr>
          <w:rFonts w:hint="eastAsia"/>
          <w:b/>
          <w:bCs/>
          <w:highlight w:val="none"/>
        </w:rPr>
        <w:t>除</w:t>
      </w:r>
      <w:r>
        <w:rPr>
          <w:b/>
          <w:bCs/>
          <w:highlight w:val="none"/>
        </w:rPr>
        <w:t>不锈钢压力表</w:t>
      </w:r>
      <w:r>
        <w:rPr>
          <w:rFonts w:hint="eastAsia"/>
          <w:b/>
          <w:bCs/>
          <w:highlight w:val="none"/>
        </w:rPr>
        <w:t>外，其他表计由招标人供货。</w:t>
      </w:r>
    </w:p>
    <w:p w14:paraId="51BEE8E8">
      <w:pPr>
        <w:rPr>
          <w:highlight w:val="none"/>
        </w:rPr>
      </w:pPr>
      <w:r>
        <w:rPr>
          <w:rFonts w:hint="eastAsia"/>
          <w:b/>
          <w:bCs/>
          <w:highlight w:val="none"/>
        </w:rPr>
        <w:t>4.2.2.2 超滤膜元件</w:t>
      </w:r>
    </w:p>
    <w:p w14:paraId="23F9DAE2">
      <w:pPr>
        <w:tabs>
          <w:tab w:val="left" w:pos="420"/>
        </w:tabs>
        <w:autoSpaceDE w:val="0"/>
        <w:autoSpaceDN w:val="0"/>
        <w:spacing w:line="360" w:lineRule="auto"/>
        <w:jc w:val="left"/>
        <w:rPr>
          <w:highlight w:val="none"/>
        </w:rPr>
      </w:pPr>
      <w:r>
        <w:rPr>
          <w:rFonts w:hint="eastAsia"/>
          <w:highlight w:val="none"/>
        </w:rPr>
        <w:t>4.2.2.2.1 超滤膜采用外压式中空纤维膜组件，过滤的截留分子量为不大于150,000道尔顿，超滤装置净出力≥160 m³/h，</w:t>
      </w:r>
      <w:r>
        <w:rPr>
          <w:rFonts w:hint="eastAsia"/>
          <w:highlight w:val="none"/>
          <w:lang w:val="en-US" w:eastAsia="zh-CN"/>
        </w:rPr>
        <w:t>净产水</w:t>
      </w:r>
      <w:r>
        <w:rPr>
          <w:rFonts w:hint="eastAsia"/>
          <w:highlight w:val="none"/>
        </w:rPr>
        <w:t>通量≤50 LMH，单只膜面积需≥77m²，膜支数不小于46支。</w:t>
      </w:r>
    </w:p>
    <w:p w14:paraId="434ED855">
      <w:pPr>
        <w:tabs>
          <w:tab w:val="left" w:pos="420"/>
        </w:tabs>
        <w:autoSpaceDE w:val="0"/>
        <w:autoSpaceDN w:val="0"/>
        <w:spacing w:line="360" w:lineRule="auto"/>
        <w:jc w:val="left"/>
        <w:rPr>
          <w:highlight w:val="none"/>
        </w:rPr>
      </w:pPr>
      <w:r>
        <w:rPr>
          <w:rFonts w:hint="eastAsia"/>
          <w:highlight w:val="none"/>
        </w:rPr>
        <w:t>4.2.2.2.2 投标人应将膜组件合理分组。当膜组件需反洗时，应能满足一套膜组件分成若干反冲洗阶段的需要。同时，通过进口总流量的调整，保证系统稳定的运行，新增超滤装置膜元件材质允许压缩空气单独气洗及气水共反洗。超滤膜组件采用程序控制，自动监控。超滤装置的运行、反洗等步骤均纳入公用DCS系统进行顺序控制。</w:t>
      </w:r>
    </w:p>
    <w:p w14:paraId="42CE129D">
      <w:pPr>
        <w:tabs>
          <w:tab w:val="left" w:pos="420"/>
        </w:tabs>
        <w:autoSpaceDE w:val="0"/>
        <w:autoSpaceDN w:val="0"/>
        <w:spacing w:line="360" w:lineRule="auto"/>
        <w:jc w:val="left"/>
        <w:rPr>
          <w:highlight w:val="none"/>
        </w:rPr>
      </w:pPr>
      <w:r>
        <w:rPr>
          <w:rFonts w:hint="eastAsia"/>
          <w:highlight w:val="none"/>
        </w:rPr>
        <w:t>4.2.2.2.3 超滤装置符合DL/T952《火力发电厂超滤水处理装置验收导则》。采用</w:t>
      </w:r>
      <w:r>
        <w:rPr>
          <w:rFonts w:hint="eastAsia"/>
          <w:highlight w:val="none"/>
          <w:lang w:val="en-US" w:eastAsia="zh-CN"/>
        </w:rPr>
        <w:t>错流</w:t>
      </w:r>
      <w:r>
        <w:rPr>
          <w:rFonts w:hint="eastAsia"/>
          <w:highlight w:val="none"/>
        </w:rPr>
        <w:t>过滤。设计</w:t>
      </w:r>
      <w:r>
        <w:rPr>
          <w:rFonts w:hint="eastAsia"/>
          <w:highlight w:val="none"/>
          <w:lang w:val="en-US" w:eastAsia="zh-CN"/>
        </w:rPr>
        <w:t>净产水</w:t>
      </w:r>
      <w:r>
        <w:rPr>
          <w:rFonts w:hint="eastAsia"/>
          <w:highlight w:val="none"/>
        </w:rPr>
        <w:t>通量不高于50LMH，保证超滤膜元件正常运行和合理的反洗间隔（不少于30min）和化学清洗周期，以尽可能提高系统的水的利用率。</w:t>
      </w:r>
    </w:p>
    <w:p w14:paraId="76ACF3CA">
      <w:pPr>
        <w:tabs>
          <w:tab w:val="left" w:pos="420"/>
        </w:tabs>
        <w:autoSpaceDE w:val="0"/>
        <w:autoSpaceDN w:val="0"/>
        <w:spacing w:line="360" w:lineRule="auto"/>
        <w:jc w:val="left"/>
        <w:rPr>
          <w:highlight w:val="none"/>
        </w:rPr>
      </w:pPr>
      <w:r>
        <w:rPr>
          <w:rFonts w:hint="eastAsia"/>
          <w:highlight w:val="none"/>
        </w:rPr>
        <w:t>4.2.2.2.4 投标人提供的膜元件及端盖应是组合在一起的，组合所需的配件由投标人提供。投标人提供的配件应使超滤膜能完整并安全地安装在膜架上，超滤装置每支膜壳的进水端、出水端、浓水端需设置透明管，以满足观察空气擦洗及气密性查漏的需要。</w:t>
      </w:r>
    </w:p>
    <w:p w14:paraId="641175A8">
      <w:pPr>
        <w:tabs>
          <w:tab w:val="left" w:pos="420"/>
        </w:tabs>
        <w:autoSpaceDE w:val="0"/>
        <w:autoSpaceDN w:val="0"/>
        <w:spacing w:line="360" w:lineRule="auto"/>
        <w:jc w:val="left"/>
        <w:rPr>
          <w:highlight w:val="none"/>
        </w:rPr>
      </w:pPr>
      <w:r>
        <w:rPr>
          <w:rFonts w:hint="eastAsia"/>
          <w:highlight w:val="none"/>
        </w:rPr>
        <w:t>4.2.2.2.5 在质保期内，超滤装置的净出力和出水质量不变。投标人应承诺在保证膜柱使用寿命年限内，免费维修（或更换）大于3</w:t>
      </w:r>
      <w:r>
        <w:rPr>
          <w:rFonts w:hint="eastAsia"/>
          <w:highlight w:val="none"/>
        </w:rPr>
        <w:sym w:font="Symbol" w:char="F06D"/>
      </w:r>
      <w:r>
        <w:rPr>
          <w:rFonts w:hint="eastAsia"/>
          <w:highlight w:val="none"/>
        </w:rPr>
        <w:t>m的破损膜纤维，若累计破损膜纤维超过5%，应免费更换膜柱。提供完整性检测的原理、方法和系统，以及破损纤维的修补措施。</w:t>
      </w:r>
    </w:p>
    <w:p w14:paraId="0CDB8FD1">
      <w:pPr>
        <w:tabs>
          <w:tab w:val="left" w:pos="420"/>
        </w:tabs>
        <w:autoSpaceDE w:val="0"/>
        <w:autoSpaceDN w:val="0"/>
        <w:spacing w:line="360" w:lineRule="auto"/>
        <w:jc w:val="left"/>
        <w:rPr>
          <w:highlight w:val="none"/>
        </w:rPr>
      </w:pPr>
      <w:r>
        <w:rPr>
          <w:rFonts w:hint="eastAsia"/>
          <w:highlight w:val="none"/>
        </w:rPr>
        <w:t>4.2.2.2.6 投标人提供单支膜元件的出厂检测报告。</w:t>
      </w:r>
    </w:p>
    <w:p w14:paraId="5E28F9F9">
      <w:pPr>
        <w:tabs>
          <w:tab w:val="left" w:pos="420"/>
        </w:tabs>
        <w:autoSpaceDE w:val="0"/>
        <w:autoSpaceDN w:val="0"/>
        <w:spacing w:line="360" w:lineRule="auto"/>
        <w:jc w:val="left"/>
        <w:rPr>
          <w:highlight w:val="none"/>
        </w:rPr>
      </w:pPr>
      <w:r>
        <w:rPr>
          <w:rFonts w:hint="eastAsia"/>
          <w:highlight w:val="none"/>
        </w:rPr>
        <w:t>4.2.2.2.7 投标时需附带超滤计算书。</w:t>
      </w:r>
    </w:p>
    <w:p w14:paraId="650AB65F">
      <w:pPr>
        <w:tabs>
          <w:tab w:val="left" w:pos="420"/>
        </w:tabs>
        <w:autoSpaceDE w:val="0"/>
        <w:autoSpaceDN w:val="0"/>
        <w:spacing w:line="360" w:lineRule="auto"/>
        <w:jc w:val="left"/>
        <w:rPr>
          <w:highlight w:val="none"/>
        </w:rPr>
      </w:pPr>
      <w:r>
        <w:rPr>
          <w:rFonts w:hint="eastAsia"/>
          <w:highlight w:val="none"/>
        </w:rPr>
        <w:t>4.2.2.2.8 超滤装置出厂前需进行耐压试验，并提供耐压试验报告。</w:t>
      </w:r>
    </w:p>
    <w:p w14:paraId="432BC191">
      <w:pPr>
        <w:pStyle w:val="8"/>
        <w:numPr>
          <w:ilvl w:val="3"/>
          <w:numId w:val="0"/>
        </w:numPr>
        <w:rPr>
          <w:rFonts w:ascii="Times New Roman"/>
          <w:b/>
          <w:bCs/>
          <w:highlight w:val="none"/>
        </w:rPr>
      </w:pPr>
      <w:r>
        <w:rPr>
          <w:rFonts w:hint="eastAsia" w:ascii="Times New Roman"/>
          <w:b/>
          <w:bCs/>
          <w:highlight w:val="none"/>
        </w:rPr>
        <w:t>4.2.3 反渗透滑架技术要求</w:t>
      </w:r>
    </w:p>
    <w:p w14:paraId="00ADBBB6">
      <w:pPr>
        <w:spacing w:line="360" w:lineRule="auto"/>
        <w:jc w:val="left"/>
        <w:rPr>
          <w:highlight w:val="none"/>
        </w:rPr>
      </w:pPr>
      <w:r>
        <w:rPr>
          <w:highlight w:val="none"/>
        </w:rPr>
        <w:t>4.</w:t>
      </w:r>
      <w:r>
        <w:rPr>
          <w:rFonts w:hint="eastAsia"/>
          <w:highlight w:val="none"/>
        </w:rPr>
        <w:t>2.3</w:t>
      </w:r>
      <w:r>
        <w:rPr>
          <w:highlight w:val="none"/>
        </w:rPr>
        <w:t>.</w:t>
      </w:r>
      <w:r>
        <w:rPr>
          <w:rFonts w:hint="eastAsia"/>
          <w:highlight w:val="none"/>
        </w:rPr>
        <w:t>1 反渗透</w:t>
      </w:r>
      <w:r>
        <w:rPr>
          <w:highlight w:val="none"/>
        </w:rPr>
        <w:t>滑架及内部管道设计图纸需由招标人审核后方可进行制作</w:t>
      </w:r>
      <w:r>
        <w:rPr>
          <w:rFonts w:hint="eastAsia"/>
          <w:highlight w:val="none"/>
        </w:rPr>
        <w:t>，</w:t>
      </w:r>
      <w:r>
        <w:rPr>
          <w:highlight w:val="none"/>
        </w:rPr>
        <w:t>特别是装置对外接口准确位置，需与招标人</w:t>
      </w:r>
      <w:r>
        <w:rPr>
          <w:rFonts w:hint="eastAsia"/>
          <w:highlight w:val="none"/>
        </w:rPr>
        <w:t>确认后进行制作</w:t>
      </w:r>
      <w:r>
        <w:rPr>
          <w:highlight w:val="none"/>
        </w:rPr>
        <w:t>。</w:t>
      </w:r>
      <w:r>
        <w:rPr>
          <w:rFonts w:hint="eastAsia"/>
          <w:b/>
          <w:bCs/>
          <w:highlight w:val="none"/>
        </w:rPr>
        <w:t>因膜车间</w:t>
      </w:r>
      <w:r>
        <w:rPr>
          <w:rFonts w:hint="eastAsia"/>
          <w:b/>
          <w:highlight w:val="none"/>
        </w:rPr>
        <w:t>空间限制</w:t>
      </w:r>
      <w:r>
        <w:rPr>
          <w:b/>
          <w:highlight w:val="none"/>
        </w:rPr>
        <w:t>，</w:t>
      </w:r>
      <w:r>
        <w:rPr>
          <w:rFonts w:hint="eastAsia"/>
          <w:b/>
          <w:highlight w:val="none"/>
        </w:rPr>
        <w:t>反渗透滑架需在现场进行拼装，</w:t>
      </w:r>
      <w:r>
        <w:rPr>
          <w:b/>
          <w:highlight w:val="none"/>
        </w:rPr>
        <w:t>投标人</w:t>
      </w:r>
      <w:r>
        <w:rPr>
          <w:rFonts w:hint="eastAsia"/>
          <w:b/>
          <w:highlight w:val="none"/>
        </w:rPr>
        <w:t>应考虑相关人员、材料、拼装费用</w:t>
      </w:r>
      <w:r>
        <w:rPr>
          <w:b/>
          <w:highlight w:val="none"/>
        </w:rPr>
        <w:t>。</w:t>
      </w:r>
    </w:p>
    <w:p w14:paraId="2406D50A">
      <w:pPr>
        <w:spacing w:line="360" w:lineRule="auto"/>
        <w:jc w:val="left"/>
        <w:rPr>
          <w:highlight w:val="none"/>
        </w:rPr>
      </w:pPr>
      <w:r>
        <w:rPr>
          <w:highlight w:val="none"/>
        </w:rPr>
        <w:t>4.</w:t>
      </w:r>
      <w:r>
        <w:rPr>
          <w:rFonts w:hint="eastAsia"/>
          <w:highlight w:val="none"/>
        </w:rPr>
        <w:t>2.3</w:t>
      </w:r>
      <w:r>
        <w:rPr>
          <w:highlight w:val="none"/>
        </w:rPr>
        <w:t>.</w:t>
      </w:r>
      <w:r>
        <w:rPr>
          <w:rFonts w:hint="eastAsia"/>
          <w:highlight w:val="none"/>
        </w:rPr>
        <w:t xml:space="preserve">2 </w:t>
      </w:r>
      <w:r>
        <w:rPr>
          <w:highlight w:val="none"/>
        </w:rPr>
        <w:t>反渗透滑架制作</w:t>
      </w:r>
      <w:r>
        <w:rPr>
          <w:rFonts w:hint="eastAsia"/>
          <w:highlight w:val="none"/>
          <w:u w:val="single"/>
        </w:rPr>
        <w:t>1</w:t>
      </w:r>
      <w:r>
        <w:rPr>
          <w:highlight w:val="none"/>
        </w:rPr>
        <w:t>套</w:t>
      </w:r>
      <w:r>
        <w:rPr>
          <w:rFonts w:hint="eastAsia"/>
          <w:highlight w:val="none"/>
        </w:rPr>
        <w:t>，滑架内玻璃钢膜壳</w:t>
      </w:r>
      <w:r>
        <w:rPr>
          <w:highlight w:val="none"/>
        </w:rPr>
        <w:t>采用</w:t>
      </w:r>
      <w:r>
        <w:rPr>
          <w:rFonts w:hint="eastAsia"/>
          <w:highlight w:val="none"/>
          <w:u w:val="single"/>
        </w:rPr>
        <w:t>2</w:t>
      </w:r>
      <w:r>
        <w:rPr>
          <w:highlight w:val="none"/>
        </w:rPr>
        <w:t>：</w:t>
      </w:r>
      <w:r>
        <w:rPr>
          <w:rFonts w:hint="eastAsia"/>
          <w:highlight w:val="none"/>
          <w:u w:val="single"/>
        </w:rPr>
        <w:t>1</w:t>
      </w:r>
      <w:r>
        <w:rPr>
          <w:highlight w:val="none"/>
        </w:rPr>
        <w:t>排列，</w:t>
      </w:r>
      <w:r>
        <w:rPr>
          <w:rFonts w:hint="eastAsia"/>
          <w:highlight w:val="none"/>
        </w:rPr>
        <w:t>玻璃钢膜壳</w:t>
      </w:r>
      <w:r>
        <w:rPr>
          <w:highlight w:val="none"/>
        </w:rPr>
        <w:t>为</w:t>
      </w:r>
      <w:r>
        <w:rPr>
          <w:rFonts w:hint="eastAsia"/>
          <w:highlight w:val="none"/>
          <w:u w:val="single"/>
        </w:rPr>
        <w:t>6</w:t>
      </w:r>
      <w:r>
        <w:rPr>
          <w:highlight w:val="none"/>
        </w:rPr>
        <w:t>芯装，出力为</w:t>
      </w:r>
      <w:r>
        <w:rPr>
          <w:rFonts w:hint="eastAsia"/>
          <w:highlight w:val="none"/>
          <w:u w:val="single"/>
        </w:rPr>
        <w:t>120</w:t>
      </w:r>
      <w:r>
        <w:rPr>
          <w:rFonts w:hint="eastAsia"/>
          <w:highlight w:val="none"/>
        </w:rPr>
        <w:t>m³/h。</w:t>
      </w:r>
      <w:r>
        <w:rPr>
          <w:highlight w:val="none"/>
        </w:rPr>
        <w:t>反渗透滑架采用各种型钢组合而成，投标人在选择型钢规格时，应满足反渗透膜、</w:t>
      </w:r>
      <w:r>
        <w:rPr>
          <w:rFonts w:hint="eastAsia"/>
          <w:highlight w:val="none"/>
        </w:rPr>
        <w:t>玻璃钢膜壳</w:t>
      </w:r>
      <w:r>
        <w:rPr>
          <w:highlight w:val="none"/>
        </w:rPr>
        <w:t>、内部管道、阀门总重量并考虑运行时动荷载，</w:t>
      </w:r>
      <w:r>
        <w:rPr>
          <w:rFonts w:hint="eastAsia"/>
          <w:highlight w:val="none"/>
        </w:rPr>
        <w:t>滑架</w:t>
      </w:r>
      <w:r>
        <w:rPr>
          <w:highlight w:val="none"/>
        </w:rPr>
        <w:t>采用</w:t>
      </w:r>
      <w:r>
        <w:rPr>
          <w:rFonts w:hint="eastAsia"/>
          <w:b/>
          <w:bCs/>
          <w:szCs w:val="21"/>
          <w:highlight w:val="none"/>
        </w:rPr>
        <w:t>碳钢防腐材质，反渗透膜元件由招标人提供</w:t>
      </w:r>
      <w:r>
        <w:rPr>
          <w:highlight w:val="none"/>
        </w:rPr>
        <w:t>。</w:t>
      </w:r>
    </w:p>
    <w:p w14:paraId="3527A2A6">
      <w:pPr>
        <w:spacing w:line="360" w:lineRule="auto"/>
        <w:jc w:val="left"/>
        <w:rPr>
          <w:highlight w:val="none"/>
        </w:rPr>
      </w:pPr>
      <w:r>
        <w:rPr>
          <w:highlight w:val="none"/>
        </w:rPr>
        <w:t>4.</w:t>
      </w:r>
      <w:r>
        <w:rPr>
          <w:rFonts w:hint="eastAsia"/>
          <w:highlight w:val="none"/>
        </w:rPr>
        <w:t>2.3</w:t>
      </w:r>
      <w:r>
        <w:rPr>
          <w:highlight w:val="none"/>
        </w:rPr>
        <w:t>.3</w:t>
      </w:r>
      <w:r>
        <w:rPr>
          <w:rFonts w:hint="eastAsia"/>
          <w:highlight w:val="none"/>
        </w:rPr>
        <w:t xml:space="preserve"> </w:t>
      </w:r>
      <w:r>
        <w:rPr>
          <w:highlight w:val="none"/>
        </w:rPr>
        <w:t>每根</w:t>
      </w:r>
      <w:r>
        <w:rPr>
          <w:rFonts w:hint="eastAsia"/>
          <w:highlight w:val="none"/>
        </w:rPr>
        <w:t>玻璃钢膜壳</w:t>
      </w:r>
      <w:r>
        <w:rPr>
          <w:highlight w:val="none"/>
        </w:rPr>
        <w:t>产水端和每套反渗透的浓水、产水总管均需设置取样口，从取样口采用软管把水样引至取样柜，柜体材质采用</w:t>
      </w:r>
      <w:r>
        <w:rPr>
          <w:rFonts w:hint="eastAsia"/>
          <w:b/>
          <w:szCs w:val="21"/>
          <w:highlight w:val="none"/>
        </w:rPr>
        <w:t>不锈钢SS304</w:t>
      </w:r>
      <w:r>
        <w:rPr>
          <w:rFonts w:hint="eastAsia"/>
          <w:highlight w:val="none"/>
        </w:rPr>
        <w:t>喷塑，</w:t>
      </w:r>
      <w:r>
        <w:rPr>
          <w:highlight w:val="none"/>
        </w:rPr>
        <w:t>厚度</w:t>
      </w:r>
      <w:r>
        <w:rPr>
          <w:rFonts w:hint="eastAsia"/>
          <w:highlight w:val="none"/>
          <w:u w:val="single"/>
        </w:rPr>
        <w:t>1</w:t>
      </w:r>
      <w:r>
        <w:rPr>
          <w:highlight w:val="none"/>
        </w:rPr>
        <w:t>mm，投标人负责将软管走线槽接至取样柜，并提供取样阀和软管，每套反渗透进水、段间、浓水取样软管需采用高压软管，取样柜设排水管接至排水点。</w:t>
      </w:r>
    </w:p>
    <w:p w14:paraId="4C977A41">
      <w:pPr>
        <w:spacing w:line="360" w:lineRule="auto"/>
        <w:jc w:val="left"/>
        <w:rPr>
          <w:highlight w:val="none"/>
        </w:rPr>
      </w:pPr>
      <w:r>
        <w:rPr>
          <w:highlight w:val="none"/>
        </w:rPr>
        <w:t>4.</w:t>
      </w:r>
      <w:r>
        <w:rPr>
          <w:rFonts w:hint="eastAsia"/>
          <w:highlight w:val="none"/>
        </w:rPr>
        <w:t>2.3</w:t>
      </w:r>
      <w:r>
        <w:rPr>
          <w:highlight w:val="none"/>
        </w:rPr>
        <w:t>.4</w:t>
      </w:r>
      <w:r>
        <w:rPr>
          <w:rFonts w:hint="eastAsia"/>
          <w:highlight w:val="none"/>
        </w:rPr>
        <w:t xml:space="preserve"> </w:t>
      </w:r>
      <w:r>
        <w:rPr>
          <w:highlight w:val="none"/>
        </w:rPr>
        <w:t>反渗透装置中，滑架内所有阀门由投标人供货并安装完成，</w:t>
      </w:r>
      <w:r>
        <w:rPr>
          <w:rFonts w:hint="eastAsia"/>
          <w:highlight w:val="none"/>
        </w:rPr>
        <w:t>除</w:t>
      </w:r>
      <w:r>
        <w:rPr>
          <w:highlight w:val="none"/>
        </w:rPr>
        <w:t>不锈钢压力表</w:t>
      </w:r>
      <w:r>
        <w:rPr>
          <w:rFonts w:hint="eastAsia"/>
          <w:highlight w:val="none"/>
        </w:rPr>
        <w:t>外，其他表计由招标人供货。</w:t>
      </w:r>
      <w:r>
        <w:rPr>
          <w:highlight w:val="none"/>
        </w:rPr>
        <w:t>每套反渗透装置预留电磁阀箱</w:t>
      </w:r>
      <w:r>
        <w:rPr>
          <w:rFonts w:hint="eastAsia"/>
          <w:highlight w:val="none"/>
        </w:rPr>
        <w:t>、</w:t>
      </w:r>
      <w:r>
        <w:rPr>
          <w:highlight w:val="none"/>
        </w:rPr>
        <w:t>压力</w:t>
      </w:r>
      <w:r>
        <w:rPr>
          <w:rFonts w:hint="eastAsia"/>
          <w:highlight w:val="none"/>
        </w:rPr>
        <w:t>变送器、电导率仪、p</w:t>
      </w:r>
      <w:r>
        <w:rPr>
          <w:highlight w:val="none"/>
        </w:rPr>
        <w:t>H</w:t>
      </w:r>
      <w:r>
        <w:rPr>
          <w:rFonts w:hint="eastAsia"/>
          <w:highlight w:val="none"/>
        </w:rPr>
        <w:t>计、在线流量计等表计安装位置</w:t>
      </w:r>
      <w:r>
        <w:rPr>
          <w:highlight w:val="none"/>
        </w:rPr>
        <w:t>(¢14短管)</w:t>
      </w:r>
      <w:r>
        <w:rPr>
          <w:rFonts w:hint="eastAsia"/>
          <w:highlight w:val="none"/>
        </w:rPr>
        <w:t>，并提供一次阀。</w:t>
      </w:r>
      <w:r>
        <w:rPr>
          <w:highlight w:val="none"/>
        </w:rPr>
        <w:t>不锈钢</w:t>
      </w:r>
      <w:r>
        <w:rPr>
          <w:rFonts w:hint="eastAsia"/>
          <w:highlight w:val="none"/>
        </w:rPr>
        <w:t>φ100轴向耐震</w:t>
      </w:r>
      <w:r>
        <w:rPr>
          <w:highlight w:val="none"/>
        </w:rPr>
        <w:t>压力表由投标人负责提供并安装在取样</w:t>
      </w:r>
      <w:r>
        <w:rPr>
          <w:rFonts w:hint="eastAsia"/>
          <w:highlight w:val="none"/>
        </w:rPr>
        <w:t>面板上</w:t>
      </w:r>
      <w:r>
        <w:rPr>
          <w:highlight w:val="none"/>
        </w:rPr>
        <w:t>。浓水管上玻璃转子流量计</w:t>
      </w:r>
      <w:r>
        <w:rPr>
          <w:rFonts w:hint="eastAsia"/>
          <w:highlight w:val="none"/>
        </w:rPr>
        <w:t>由投标人提供并负责安装</w:t>
      </w:r>
      <w:r>
        <w:rPr>
          <w:highlight w:val="none"/>
        </w:rPr>
        <w:t>。</w:t>
      </w:r>
    </w:p>
    <w:p w14:paraId="6A39FDCB">
      <w:pPr>
        <w:spacing w:line="360" w:lineRule="auto"/>
        <w:jc w:val="left"/>
        <w:rPr>
          <w:highlight w:val="none"/>
        </w:rPr>
      </w:pPr>
      <w:r>
        <w:rPr>
          <w:highlight w:val="none"/>
        </w:rPr>
        <w:t>4.</w:t>
      </w:r>
      <w:r>
        <w:rPr>
          <w:rFonts w:hint="eastAsia"/>
          <w:highlight w:val="none"/>
        </w:rPr>
        <w:t>2.3</w:t>
      </w:r>
      <w:r>
        <w:rPr>
          <w:highlight w:val="none"/>
        </w:rPr>
        <w:t>.5</w:t>
      </w:r>
      <w:r>
        <w:rPr>
          <w:rFonts w:hint="eastAsia"/>
          <w:highlight w:val="none"/>
        </w:rPr>
        <w:t>滑架</w:t>
      </w:r>
      <w:r>
        <w:rPr>
          <w:highlight w:val="none"/>
        </w:rPr>
        <w:t>内部</w:t>
      </w:r>
      <w:r>
        <w:rPr>
          <w:rFonts w:hint="eastAsia"/>
          <w:highlight w:val="none"/>
        </w:rPr>
        <w:t>所有</w:t>
      </w:r>
      <w:r>
        <w:rPr>
          <w:highlight w:val="none"/>
        </w:rPr>
        <w:t>管道由投标人供货并安装完成，</w:t>
      </w:r>
      <w:r>
        <w:rPr>
          <w:b/>
          <w:bCs/>
          <w:highlight w:val="none"/>
        </w:rPr>
        <w:t>反渗透内部管道高压部分采用</w:t>
      </w:r>
      <w:r>
        <w:rPr>
          <w:rFonts w:hint="eastAsia"/>
          <w:b/>
          <w:szCs w:val="21"/>
          <w:highlight w:val="none"/>
        </w:rPr>
        <w:t>不锈钢SS316L</w:t>
      </w:r>
      <w:r>
        <w:rPr>
          <w:b/>
          <w:bCs/>
          <w:highlight w:val="none"/>
        </w:rPr>
        <w:t>，管道及法兰压力等级应</w:t>
      </w:r>
      <w:r>
        <w:rPr>
          <w:rFonts w:hint="eastAsia"/>
          <w:b/>
          <w:bCs/>
          <w:highlight w:val="none"/>
        </w:rPr>
        <w:t>不低于2.5MPa。</w:t>
      </w:r>
      <w:r>
        <w:rPr>
          <w:b/>
          <w:bCs/>
          <w:highlight w:val="none"/>
        </w:rPr>
        <w:t>产水管</w:t>
      </w:r>
      <w:r>
        <w:rPr>
          <w:rFonts w:hint="eastAsia"/>
          <w:b/>
          <w:bCs/>
          <w:highlight w:val="none"/>
        </w:rPr>
        <w:t>等低压管道</w:t>
      </w:r>
      <w:r>
        <w:rPr>
          <w:b/>
          <w:bCs/>
          <w:highlight w:val="none"/>
        </w:rPr>
        <w:t>采用</w:t>
      </w:r>
      <w:r>
        <w:rPr>
          <w:rFonts w:hint="eastAsia"/>
          <w:b/>
          <w:bCs/>
          <w:highlight w:val="none"/>
        </w:rPr>
        <w:t>UPVC</w:t>
      </w:r>
      <w:r>
        <w:rPr>
          <w:b/>
          <w:bCs/>
          <w:highlight w:val="none"/>
        </w:rPr>
        <w:t>，压力等级应</w:t>
      </w:r>
      <w:r>
        <w:rPr>
          <w:rFonts w:hint="eastAsia"/>
          <w:b/>
          <w:bCs/>
          <w:highlight w:val="none"/>
        </w:rPr>
        <w:t>不低于</w:t>
      </w:r>
      <w:r>
        <w:rPr>
          <w:b/>
          <w:bCs/>
          <w:highlight w:val="none"/>
        </w:rPr>
        <w:t>1.</w:t>
      </w:r>
      <w:r>
        <w:rPr>
          <w:rFonts w:hint="eastAsia"/>
          <w:b/>
          <w:bCs/>
          <w:highlight w:val="none"/>
        </w:rPr>
        <w:t>0</w:t>
      </w:r>
      <w:r>
        <w:rPr>
          <w:b/>
          <w:bCs/>
          <w:highlight w:val="none"/>
        </w:rPr>
        <w:t>MPa。</w:t>
      </w:r>
      <w:r>
        <w:rPr>
          <w:highlight w:val="none"/>
        </w:rPr>
        <w:t>组合架上配备全部管道及接头，还包括所有的支架、紧固件、夹具等其它附件等，组合架的设计能够满足其厂址的抗震烈度要求和组件的膨胀要求。</w:t>
      </w:r>
    </w:p>
    <w:p w14:paraId="4DCA45BD">
      <w:pPr>
        <w:spacing w:line="360" w:lineRule="auto"/>
        <w:jc w:val="left"/>
        <w:rPr>
          <w:highlight w:val="none"/>
        </w:rPr>
      </w:pPr>
      <w:r>
        <w:rPr>
          <w:highlight w:val="none"/>
        </w:rPr>
        <w:t>4.</w:t>
      </w:r>
      <w:r>
        <w:rPr>
          <w:rFonts w:hint="eastAsia"/>
          <w:highlight w:val="none"/>
        </w:rPr>
        <w:t>2.3</w:t>
      </w:r>
      <w:r>
        <w:rPr>
          <w:highlight w:val="none"/>
        </w:rPr>
        <w:t>.6</w:t>
      </w:r>
      <w:r>
        <w:rPr>
          <w:rFonts w:hint="eastAsia"/>
          <w:highlight w:val="none"/>
        </w:rPr>
        <w:t xml:space="preserve"> </w:t>
      </w:r>
      <w:r>
        <w:rPr>
          <w:highlight w:val="none"/>
        </w:rPr>
        <w:t>反渗透产水管上需装设防爆膜，防爆膜爆破压力为</w:t>
      </w:r>
      <w:r>
        <w:rPr>
          <w:rFonts w:hint="eastAsia"/>
          <w:highlight w:val="none"/>
          <w:u w:val="single"/>
        </w:rPr>
        <w:t>0.3</w:t>
      </w:r>
      <w:r>
        <w:rPr>
          <w:highlight w:val="none"/>
        </w:rPr>
        <w:t>MPa。</w:t>
      </w:r>
    </w:p>
    <w:p w14:paraId="63E23A33">
      <w:pPr>
        <w:spacing w:line="360" w:lineRule="auto"/>
        <w:jc w:val="left"/>
        <w:rPr>
          <w:highlight w:val="none"/>
        </w:rPr>
      </w:pPr>
      <w:r>
        <w:rPr>
          <w:highlight w:val="none"/>
        </w:rPr>
        <w:t>4.</w:t>
      </w:r>
      <w:r>
        <w:rPr>
          <w:rFonts w:hint="eastAsia"/>
          <w:highlight w:val="none"/>
        </w:rPr>
        <w:t>2.3</w:t>
      </w:r>
      <w:r>
        <w:rPr>
          <w:highlight w:val="none"/>
        </w:rPr>
        <w:t>.7</w:t>
      </w:r>
      <w:r>
        <w:rPr>
          <w:rFonts w:hint="eastAsia"/>
          <w:highlight w:val="none"/>
        </w:rPr>
        <w:t xml:space="preserve"> </w:t>
      </w:r>
      <w:r>
        <w:rPr>
          <w:highlight w:val="none"/>
        </w:rPr>
        <w:t>整个系统的管道设计应避免死角，以防止细菌生长。</w:t>
      </w:r>
    </w:p>
    <w:p w14:paraId="78DFAEDC">
      <w:pPr>
        <w:spacing w:line="360" w:lineRule="auto"/>
        <w:jc w:val="left"/>
        <w:rPr>
          <w:highlight w:val="none"/>
        </w:rPr>
      </w:pPr>
      <w:r>
        <w:rPr>
          <w:highlight w:val="none"/>
        </w:rPr>
        <w:t>4.</w:t>
      </w:r>
      <w:r>
        <w:rPr>
          <w:rFonts w:hint="eastAsia"/>
          <w:highlight w:val="none"/>
        </w:rPr>
        <w:t>2.3</w:t>
      </w:r>
      <w:r>
        <w:rPr>
          <w:highlight w:val="none"/>
        </w:rPr>
        <w:t>.8</w:t>
      </w:r>
      <w:r>
        <w:rPr>
          <w:rFonts w:hint="eastAsia"/>
          <w:highlight w:val="none"/>
        </w:rPr>
        <w:t xml:space="preserve"> </w:t>
      </w:r>
      <w:r>
        <w:rPr>
          <w:highlight w:val="none"/>
        </w:rPr>
        <w:t>由于运输过程中必须拆下来的管件，投标人需在设备到达现场后，派人到现场安装完成。运输过程中油漆的损坏</w:t>
      </w:r>
      <w:r>
        <w:rPr>
          <w:rFonts w:hint="eastAsia"/>
          <w:highlight w:val="none"/>
        </w:rPr>
        <w:t>，</w:t>
      </w:r>
      <w:r>
        <w:rPr>
          <w:highlight w:val="none"/>
        </w:rPr>
        <w:t>由投标人负责修补</w:t>
      </w:r>
      <w:r>
        <w:rPr>
          <w:rFonts w:hint="eastAsia"/>
          <w:highlight w:val="none"/>
        </w:rPr>
        <w:t>。</w:t>
      </w:r>
    </w:p>
    <w:p w14:paraId="3844232F">
      <w:pPr>
        <w:spacing w:line="360" w:lineRule="auto"/>
        <w:jc w:val="left"/>
        <w:rPr>
          <w:highlight w:val="none"/>
        </w:rPr>
      </w:pPr>
      <w:r>
        <w:rPr>
          <w:highlight w:val="none"/>
        </w:rPr>
        <w:t>4.</w:t>
      </w:r>
      <w:r>
        <w:rPr>
          <w:rFonts w:hint="eastAsia"/>
          <w:highlight w:val="none"/>
        </w:rPr>
        <w:t>2.3</w:t>
      </w:r>
      <w:r>
        <w:rPr>
          <w:highlight w:val="none"/>
        </w:rPr>
        <w:t>.9</w:t>
      </w:r>
      <w:r>
        <w:rPr>
          <w:rFonts w:hint="eastAsia"/>
          <w:highlight w:val="none"/>
        </w:rPr>
        <w:t xml:space="preserve"> </w:t>
      </w:r>
      <w:r>
        <w:rPr>
          <w:highlight w:val="none"/>
        </w:rPr>
        <w:t>投标人提供每套反渗透设备的铭牌，铭牌内容需经招标人确认。</w:t>
      </w:r>
    </w:p>
    <w:p w14:paraId="2906A641">
      <w:pPr>
        <w:spacing w:line="360" w:lineRule="auto"/>
        <w:jc w:val="left"/>
        <w:rPr>
          <w:highlight w:val="none"/>
        </w:rPr>
      </w:pPr>
      <w:r>
        <w:rPr>
          <w:highlight w:val="none"/>
        </w:rPr>
        <w:t>4.</w:t>
      </w:r>
      <w:r>
        <w:rPr>
          <w:rFonts w:hint="eastAsia"/>
          <w:highlight w:val="none"/>
        </w:rPr>
        <w:t>2.3</w:t>
      </w:r>
      <w:r>
        <w:rPr>
          <w:highlight w:val="none"/>
        </w:rPr>
        <w:t>.10</w:t>
      </w:r>
      <w:r>
        <w:rPr>
          <w:rFonts w:hint="eastAsia"/>
          <w:highlight w:val="none"/>
        </w:rPr>
        <w:t xml:space="preserve"> </w:t>
      </w:r>
      <w:r>
        <w:rPr>
          <w:highlight w:val="none"/>
        </w:rPr>
        <w:t>装置底部及主要承重部位</w:t>
      </w:r>
      <w:r>
        <w:rPr>
          <w:rFonts w:hint="eastAsia"/>
          <w:highlight w:val="none"/>
        </w:rPr>
        <w:t>采用的</w:t>
      </w:r>
      <w:r>
        <w:rPr>
          <w:highlight w:val="none"/>
        </w:rPr>
        <w:t>型钢</w:t>
      </w:r>
      <w:r>
        <w:rPr>
          <w:rFonts w:hint="eastAsia"/>
          <w:highlight w:val="none"/>
        </w:rPr>
        <w:t>须保证满足设备运行要求</w:t>
      </w:r>
      <w:r>
        <w:rPr>
          <w:highlight w:val="none"/>
        </w:rPr>
        <w:t>。</w:t>
      </w:r>
    </w:p>
    <w:p w14:paraId="7F24DFD4">
      <w:pPr>
        <w:spacing w:line="360" w:lineRule="auto"/>
        <w:jc w:val="left"/>
        <w:rPr>
          <w:highlight w:val="none"/>
        </w:rPr>
      </w:pPr>
      <w:r>
        <w:rPr>
          <w:highlight w:val="none"/>
        </w:rPr>
        <w:t>4.</w:t>
      </w:r>
      <w:r>
        <w:rPr>
          <w:rFonts w:hint="eastAsia"/>
          <w:highlight w:val="none"/>
        </w:rPr>
        <w:t>2.3</w:t>
      </w:r>
      <w:r>
        <w:rPr>
          <w:highlight w:val="none"/>
        </w:rPr>
        <w:t>.11</w:t>
      </w:r>
      <w:r>
        <w:rPr>
          <w:rFonts w:hint="eastAsia"/>
          <w:highlight w:val="none"/>
        </w:rPr>
        <w:t xml:space="preserve"> </w:t>
      </w:r>
      <w:r>
        <w:rPr>
          <w:highlight w:val="none"/>
        </w:rPr>
        <w:t>不锈钢管焊接时需采用氩弧焊打底的焊接方式。</w:t>
      </w:r>
    </w:p>
    <w:p w14:paraId="44ABCE83">
      <w:pPr>
        <w:spacing w:line="360" w:lineRule="auto"/>
        <w:jc w:val="left"/>
        <w:rPr>
          <w:highlight w:val="none"/>
        </w:rPr>
      </w:pPr>
      <w:r>
        <w:rPr>
          <w:highlight w:val="none"/>
        </w:rPr>
        <w:t>4.</w:t>
      </w:r>
      <w:r>
        <w:rPr>
          <w:rFonts w:hint="eastAsia"/>
          <w:highlight w:val="none"/>
        </w:rPr>
        <w:t>2.3</w:t>
      </w:r>
      <w:r>
        <w:rPr>
          <w:highlight w:val="none"/>
        </w:rPr>
        <w:t>.1</w:t>
      </w:r>
      <w:r>
        <w:rPr>
          <w:rFonts w:hint="eastAsia"/>
          <w:highlight w:val="none"/>
        </w:rPr>
        <w:t xml:space="preserve">2 </w:t>
      </w:r>
      <w:r>
        <w:rPr>
          <w:highlight w:val="none"/>
        </w:rPr>
        <w:t>反渗透滑架对外预留法兰接口，法兰等级根据工艺需求配制，并让招标人确认。法兰标准采用GB/T9124.1《钢制管法兰第1部分：PN系列》。</w:t>
      </w:r>
    </w:p>
    <w:p w14:paraId="0E1E533B">
      <w:pPr>
        <w:spacing w:line="360" w:lineRule="auto"/>
        <w:jc w:val="left"/>
        <w:rPr>
          <w:highlight w:val="none"/>
        </w:rPr>
      </w:pPr>
      <w:r>
        <w:rPr>
          <w:highlight w:val="none"/>
        </w:rPr>
        <w:t>4.</w:t>
      </w:r>
      <w:r>
        <w:rPr>
          <w:rFonts w:hint="eastAsia"/>
          <w:highlight w:val="none"/>
        </w:rPr>
        <w:t>2.3</w:t>
      </w:r>
      <w:r>
        <w:rPr>
          <w:highlight w:val="none"/>
        </w:rPr>
        <w:t>.</w:t>
      </w:r>
      <w:r>
        <w:rPr>
          <w:rFonts w:hint="eastAsia"/>
          <w:highlight w:val="none"/>
        </w:rPr>
        <w:t xml:space="preserve">13 </w:t>
      </w:r>
      <w:r>
        <w:rPr>
          <w:highlight w:val="none"/>
        </w:rPr>
        <w:t>投标人提供系统内的所有阀门，应根据所接触的介质性质选用合适的防腐材质。阀门的材质需得到招标人的认可。所有自动阀门均带有位置开关，在失电或失气时应保持安全状态。</w:t>
      </w:r>
    </w:p>
    <w:p w14:paraId="3C6BB788">
      <w:pPr>
        <w:spacing w:line="360" w:lineRule="auto"/>
        <w:jc w:val="left"/>
        <w:rPr>
          <w:highlight w:val="none"/>
        </w:rPr>
      </w:pPr>
      <w:r>
        <w:rPr>
          <w:highlight w:val="none"/>
        </w:rPr>
        <w:t>4.</w:t>
      </w:r>
      <w:r>
        <w:rPr>
          <w:rFonts w:hint="eastAsia"/>
          <w:highlight w:val="none"/>
        </w:rPr>
        <w:t>2.3</w:t>
      </w:r>
      <w:r>
        <w:rPr>
          <w:highlight w:val="none"/>
        </w:rPr>
        <w:t>.1</w:t>
      </w:r>
      <w:r>
        <w:rPr>
          <w:rFonts w:hint="eastAsia"/>
          <w:highlight w:val="none"/>
        </w:rPr>
        <w:t xml:space="preserve">4 </w:t>
      </w:r>
      <w:r>
        <w:rPr>
          <w:highlight w:val="none"/>
        </w:rPr>
        <w:t>投标人提供阀门气缸与¢8气源管之间的卡套接头，接头材质采用</w:t>
      </w:r>
      <w:r>
        <w:rPr>
          <w:rFonts w:hint="eastAsia"/>
          <w:highlight w:val="none"/>
        </w:rPr>
        <w:t>SS304</w:t>
      </w:r>
      <w:r>
        <w:rPr>
          <w:highlight w:val="none"/>
        </w:rPr>
        <w:t>不锈钢。</w:t>
      </w:r>
    </w:p>
    <w:p w14:paraId="0B6C9F9F">
      <w:pPr>
        <w:spacing w:line="360" w:lineRule="auto"/>
        <w:contextualSpacing/>
        <w:jc w:val="left"/>
        <w:rPr>
          <w:highlight w:val="none"/>
        </w:rPr>
      </w:pPr>
      <w:r>
        <w:rPr>
          <w:highlight w:val="none"/>
        </w:rPr>
        <w:t>4.</w:t>
      </w:r>
      <w:r>
        <w:rPr>
          <w:rFonts w:hint="eastAsia"/>
          <w:highlight w:val="none"/>
        </w:rPr>
        <w:t>2.3</w:t>
      </w:r>
      <w:r>
        <w:rPr>
          <w:highlight w:val="none"/>
        </w:rPr>
        <w:t>.1</w:t>
      </w:r>
      <w:r>
        <w:rPr>
          <w:rFonts w:hint="eastAsia"/>
          <w:highlight w:val="none"/>
        </w:rPr>
        <w:t xml:space="preserve">5 </w:t>
      </w:r>
      <w:r>
        <w:rPr>
          <w:highlight w:val="none"/>
        </w:rPr>
        <w:t>电磁阀箱及气源管由招标人提供。</w:t>
      </w:r>
      <w:r>
        <w:rPr>
          <w:rFonts w:hint="eastAsia"/>
          <w:highlight w:val="none"/>
        </w:rPr>
        <w:t>滑架装置预留电磁阀箱。</w:t>
      </w:r>
    </w:p>
    <w:p w14:paraId="6134479D">
      <w:pPr>
        <w:spacing w:line="360" w:lineRule="auto"/>
        <w:contextualSpacing/>
        <w:jc w:val="left"/>
        <w:rPr>
          <w:highlight w:val="none"/>
        </w:rPr>
      </w:pPr>
      <w:r>
        <w:rPr>
          <w:rFonts w:hint="eastAsia"/>
          <w:highlight w:val="none"/>
        </w:rPr>
        <w:t>4.2.3.16 浓水排水须装流量控制阀（稳流阀），以控制水的回收率。</w:t>
      </w:r>
    </w:p>
    <w:p w14:paraId="2DAC3C5C">
      <w:pPr>
        <w:spacing w:line="360" w:lineRule="auto"/>
        <w:contextualSpacing/>
        <w:jc w:val="left"/>
        <w:rPr>
          <w:highlight w:val="none"/>
        </w:rPr>
      </w:pPr>
      <w:r>
        <w:rPr>
          <w:rFonts w:hint="eastAsia"/>
          <w:highlight w:val="none"/>
        </w:rPr>
        <w:t>4.2.3.17 每根膜壳产水管和浓水母管应设取样点，取样点的数量及位置应能有效地诊断并确定系统的运行状况。</w:t>
      </w:r>
    </w:p>
    <w:p w14:paraId="43946598">
      <w:pPr>
        <w:pStyle w:val="44"/>
        <w:spacing w:line="360" w:lineRule="auto"/>
        <w:rPr>
          <w:szCs w:val="22"/>
          <w:highlight w:val="none"/>
        </w:rPr>
      </w:pPr>
      <w:bookmarkStart w:id="83" w:name="_Hlk68872623"/>
      <w:r>
        <w:rPr>
          <w:rFonts w:hint="eastAsia"/>
          <w:szCs w:val="24"/>
          <w:highlight w:val="none"/>
        </w:rPr>
        <w:t xml:space="preserve">4.2.3.18 </w:t>
      </w:r>
      <w:r>
        <w:rPr>
          <w:rFonts w:hint="eastAsia"/>
          <w:szCs w:val="22"/>
          <w:highlight w:val="none"/>
        </w:rPr>
        <w:t>投标人</w:t>
      </w:r>
      <w:r>
        <w:rPr>
          <w:szCs w:val="22"/>
          <w:highlight w:val="none"/>
        </w:rPr>
        <w:t>提供系统内的所有阀门。所有阀门的材质应根据所接触的介质性质选用合适的防腐材质。阀门的材质需得到</w:t>
      </w:r>
      <w:r>
        <w:rPr>
          <w:rFonts w:hint="eastAsia"/>
          <w:szCs w:val="22"/>
          <w:highlight w:val="none"/>
        </w:rPr>
        <w:t>招标人</w:t>
      </w:r>
      <w:r>
        <w:rPr>
          <w:szCs w:val="22"/>
          <w:highlight w:val="none"/>
        </w:rPr>
        <w:t>的认可。所有自动阀门均带有位置开关，在失电或失气</w:t>
      </w:r>
      <w:r>
        <w:rPr>
          <w:highlight w:val="none"/>
        </w:rPr>
        <w:t>时应保持安全状态。</w:t>
      </w:r>
      <w:r>
        <w:rPr>
          <w:rFonts w:hint="eastAsia"/>
          <w:szCs w:val="22"/>
          <w:highlight w:val="none"/>
        </w:rPr>
        <w:t>气动衬胶蝶阀及执行机构采用优质阀门：BRAY、</w:t>
      </w:r>
      <w:r>
        <w:rPr>
          <w:szCs w:val="22"/>
          <w:highlight w:val="none"/>
        </w:rPr>
        <w:t>GEMU</w:t>
      </w:r>
      <w:r>
        <w:rPr>
          <w:rFonts w:hint="eastAsia"/>
          <w:szCs w:val="22"/>
          <w:highlight w:val="none"/>
        </w:rPr>
        <w:t>、SED产品或“相当于”。</w:t>
      </w:r>
    </w:p>
    <w:bookmarkEnd w:id="83"/>
    <w:p w14:paraId="2F0A5FB2">
      <w:pPr>
        <w:pStyle w:val="8"/>
        <w:numPr>
          <w:ilvl w:val="3"/>
          <w:numId w:val="0"/>
        </w:numPr>
        <w:rPr>
          <w:rFonts w:ascii="Times New Roman"/>
          <w:b/>
          <w:bCs/>
          <w:highlight w:val="none"/>
        </w:rPr>
      </w:pPr>
      <w:r>
        <w:rPr>
          <w:rFonts w:hint="eastAsia" w:ascii="Times New Roman"/>
          <w:b/>
          <w:bCs/>
          <w:highlight w:val="none"/>
        </w:rPr>
        <w:t>4.2.4 保安过滤器技术要求</w:t>
      </w:r>
    </w:p>
    <w:p w14:paraId="3C060396">
      <w:pPr>
        <w:spacing w:line="360" w:lineRule="auto"/>
        <w:rPr>
          <w:highlight w:val="none"/>
        </w:rPr>
      </w:pPr>
      <w:r>
        <w:rPr>
          <w:rFonts w:hint="eastAsia"/>
          <w:highlight w:val="none"/>
        </w:rPr>
        <w:t>4.2.4</w:t>
      </w:r>
      <w:r>
        <w:rPr>
          <w:highlight w:val="none"/>
        </w:rPr>
        <w:t>.1</w:t>
      </w:r>
      <w:r>
        <w:rPr>
          <w:rFonts w:hint="eastAsia"/>
          <w:highlight w:val="none"/>
        </w:rPr>
        <w:t>本项目含</w:t>
      </w:r>
      <w:r>
        <w:rPr>
          <w:highlight w:val="none"/>
        </w:rPr>
        <w:t>反渗透保安过滤器共</w:t>
      </w:r>
      <w:r>
        <w:rPr>
          <w:rFonts w:hint="eastAsia"/>
          <w:highlight w:val="none"/>
        </w:rPr>
        <w:t>1</w:t>
      </w:r>
      <w:r>
        <w:rPr>
          <w:highlight w:val="none"/>
        </w:rPr>
        <w:t>套，出力</w:t>
      </w:r>
      <w:r>
        <w:rPr>
          <w:rFonts w:hint="eastAsia" w:ascii="宋体" w:hAnsi="宋体"/>
          <w:highlight w:val="none"/>
        </w:rPr>
        <w:t>≥</w:t>
      </w:r>
      <w:r>
        <w:rPr>
          <w:rFonts w:hint="eastAsia"/>
          <w:highlight w:val="none"/>
        </w:rPr>
        <w:t>160m³</w:t>
      </w:r>
      <w:r>
        <w:rPr>
          <w:highlight w:val="none"/>
        </w:rPr>
        <w:t>/h；</w:t>
      </w:r>
    </w:p>
    <w:p w14:paraId="4DC455C0">
      <w:pPr>
        <w:spacing w:line="360" w:lineRule="auto"/>
        <w:rPr>
          <w:highlight w:val="none"/>
        </w:rPr>
      </w:pPr>
      <w:r>
        <w:rPr>
          <w:rFonts w:hint="eastAsia"/>
          <w:highlight w:val="none"/>
        </w:rPr>
        <w:t>4.2.4</w:t>
      </w:r>
      <w:r>
        <w:rPr>
          <w:highlight w:val="none"/>
        </w:rPr>
        <w:t>.2保安过滤器（立式圆筒型）结构满足快速更换滤芯的要求，材质为</w:t>
      </w:r>
      <w:r>
        <w:rPr>
          <w:rFonts w:hint="eastAsia"/>
          <w:highlight w:val="none"/>
        </w:rPr>
        <w:t>SS316L</w:t>
      </w:r>
      <w:r>
        <w:rPr>
          <w:highlight w:val="none"/>
        </w:rPr>
        <w:t>不锈钢</w:t>
      </w:r>
      <w:r>
        <w:rPr>
          <w:rFonts w:hint="eastAsia"/>
          <w:highlight w:val="none"/>
        </w:rPr>
        <w:t>。</w:t>
      </w:r>
      <w:r>
        <w:rPr>
          <w:highlight w:val="none"/>
        </w:rPr>
        <w:t>进入保安过滤器的水管最低点应设不锈钢</w:t>
      </w:r>
      <w:r>
        <w:rPr>
          <w:rFonts w:hint="eastAsia"/>
          <w:highlight w:val="none"/>
        </w:rPr>
        <w:t>材质</w:t>
      </w:r>
      <w:r>
        <w:rPr>
          <w:highlight w:val="none"/>
        </w:rPr>
        <w:t>排放阀。</w:t>
      </w:r>
    </w:p>
    <w:p w14:paraId="001A92CD">
      <w:pPr>
        <w:spacing w:line="360" w:lineRule="auto"/>
        <w:rPr>
          <w:highlight w:val="none"/>
        </w:rPr>
      </w:pPr>
      <w:r>
        <w:rPr>
          <w:rFonts w:hint="eastAsia"/>
          <w:highlight w:val="none"/>
        </w:rPr>
        <w:t>4.2.4.3 滤芯采用大流量折叠式滤芯，滤芯更换频率应保证不低于半年。每只滤芯运行流量</w:t>
      </w:r>
      <w:r>
        <w:rPr>
          <w:highlight w:val="none"/>
        </w:rPr>
        <w:t>不大于</w:t>
      </w:r>
      <w:r>
        <w:rPr>
          <w:rFonts w:hint="eastAsia"/>
          <w:highlight w:val="none"/>
        </w:rPr>
        <w:t>3</w:t>
      </w:r>
      <w:r>
        <w:rPr>
          <w:highlight w:val="none"/>
        </w:rPr>
        <w:t>0</w:t>
      </w:r>
      <w:r>
        <w:rPr>
          <w:rFonts w:hint="eastAsia"/>
          <w:highlight w:val="none"/>
        </w:rPr>
        <w:t>m³</w:t>
      </w:r>
      <w:r>
        <w:rPr>
          <w:highlight w:val="none"/>
        </w:rPr>
        <w:t>/h，过滤精度</w:t>
      </w:r>
      <w:r>
        <w:rPr>
          <w:rFonts w:hint="eastAsia"/>
          <w:highlight w:val="none"/>
        </w:rPr>
        <w:t>≤</w:t>
      </w:r>
      <w:r>
        <w:rPr>
          <w:highlight w:val="none"/>
        </w:rPr>
        <w:t>5μm</w:t>
      </w:r>
      <w:r>
        <w:rPr>
          <w:rFonts w:hint="eastAsia"/>
          <w:highlight w:val="none"/>
        </w:rPr>
        <w:t>，</w:t>
      </w:r>
      <w:r>
        <w:rPr>
          <w:highlight w:val="none"/>
        </w:rPr>
        <w:t>规格</w:t>
      </w:r>
      <w:r>
        <w:rPr>
          <w:rFonts w:hint="eastAsia"/>
          <w:highlight w:val="none"/>
        </w:rPr>
        <w:t>4</w:t>
      </w:r>
      <w:r>
        <w:rPr>
          <w:highlight w:val="none"/>
        </w:rPr>
        <w:t>0寸</w:t>
      </w:r>
      <w:r>
        <w:rPr>
          <w:rFonts w:hint="eastAsia"/>
          <w:highlight w:val="none"/>
        </w:rPr>
        <w:t>，</w:t>
      </w:r>
      <w:r>
        <w:rPr>
          <w:highlight w:val="none"/>
        </w:rPr>
        <w:t>外压式。滤芯与保安过滤器的接触密封面必须采取可靠的措施，保障滤芯O型圈与密封面的完美结合。</w:t>
      </w:r>
    </w:p>
    <w:p w14:paraId="167E731B">
      <w:pPr>
        <w:spacing w:line="360" w:lineRule="auto"/>
        <w:rPr>
          <w:bCs/>
          <w:kern w:val="44"/>
          <w:highlight w:val="none"/>
        </w:rPr>
      </w:pPr>
      <w:r>
        <w:rPr>
          <w:rFonts w:hint="eastAsia"/>
          <w:bCs/>
          <w:kern w:val="44"/>
          <w:highlight w:val="none"/>
        </w:rPr>
        <w:t>4.2.4.4 投标人提供压力表，并提供仪表的一次阀门及相应接口。</w:t>
      </w:r>
    </w:p>
    <w:p w14:paraId="0C1281DE">
      <w:pPr>
        <w:pStyle w:val="8"/>
        <w:numPr>
          <w:ilvl w:val="3"/>
          <w:numId w:val="0"/>
        </w:numPr>
        <w:rPr>
          <w:rFonts w:ascii="Times New Roman"/>
          <w:b/>
          <w:bCs/>
          <w:highlight w:val="none"/>
        </w:rPr>
      </w:pPr>
      <w:r>
        <w:rPr>
          <w:rFonts w:hint="eastAsia" w:ascii="Times New Roman"/>
          <w:b/>
          <w:bCs/>
          <w:highlight w:val="none"/>
        </w:rPr>
        <w:t>4.2.5 自清洗过滤器技术要求</w:t>
      </w:r>
    </w:p>
    <w:p w14:paraId="3D0CE631">
      <w:pPr>
        <w:spacing w:line="360" w:lineRule="auto"/>
        <w:rPr>
          <w:highlight w:val="none"/>
        </w:rPr>
      </w:pPr>
      <w:r>
        <w:rPr>
          <w:rFonts w:hint="eastAsia"/>
          <w:highlight w:val="none"/>
        </w:rPr>
        <w:t>4.2.5</w:t>
      </w:r>
      <w:r>
        <w:rPr>
          <w:highlight w:val="none"/>
        </w:rPr>
        <w:t>.1</w:t>
      </w:r>
      <w:r>
        <w:rPr>
          <w:rFonts w:hint="eastAsia"/>
          <w:highlight w:val="none"/>
        </w:rPr>
        <w:t>本项目含自清洗过滤器</w:t>
      </w:r>
      <w:r>
        <w:rPr>
          <w:highlight w:val="none"/>
        </w:rPr>
        <w:t>共</w:t>
      </w:r>
      <w:r>
        <w:rPr>
          <w:rFonts w:hint="eastAsia"/>
          <w:highlight w:val="none"/>
        </w:rPr>
        <w:t>1</w:t>
      </w:r>
      <w:r>
        <w:rPr>
          <w:highlight w:val="none"/>
        </w:rPr>
        <w:t>套，出力≥</w:t>
      </w:r>
      <w:r>
        <w:rPr>
          <w:rFonts w:hint="eastAsia"/>
          <w:highlight w:val="none"/>
        </w:rPr>
        <w:t>230m³</w:t>
      </w:r>
      <w:r>
        <w:rPr>
          <w:highlight w:val="none"/>
        </w:rPr>
        <w:t>/h；</w:t>
      </w:r>
    </w:p>
    <w:p w14:paraId="32E7A8D8">
      <w:pPr>
        <w:spacing w:line="360" w:lineRule="auto"/>
        <w:rPr>
          <w:highlight w:val="none"/>
        </w:rPr>
      </w:pPr>
      <w:r>
        <w:rPr>
          <w:rFonts w:hint="eastAsia"/>
          <w:highlight w:val="none"/>
        </w:rPr>
        <w:t>4.2.5</w:t>
      </w:r>
      <w:r>
        <w:rPr>
          <w:highlight w:val="none"/>
        </w:rPr>
        <w:t>.2</w:t>
      </w:r>
      <w:r>
        <w:rPr>
          <w:rFonts w:hint="eastAsia"/>
          <w:highlight w:val="none"/>
        </w:rPr>
        <w:t>自清洗过滤器</w:t>
      </w:r>
      <w:r>
        <w:rPr>
          <w:highlight w:val="none"/>
        </w:rPr>
        <w:t>（</w:t>
      </w:r>
      <w:r>
        <w:rPr>
          <w:rFonts w:hint="eastAsia"/>
          <w:highlight w:val="none"/>
        </w:rPr>
        <w:t>网式</w:t>
      </w:r>
      <w:r>
        <w:rPr>
          <w:highlight w:val="none"/>
        </w:rPr>
        <w:t>）结构满足快速更换</w:t>
      </w:r>
      <w:r>
        <w:rPr>
          <w:rFonts w:hint="eastAsia"/>
          <w:highlight w:val="none"/>
        </w:rPr>
        <w:t>滤网</w:t>
      </w:r>
      <w:r>
        <w:rPr>
          <w:highlight w:val="none"/>
        </w:rPr>
        <w:t>的要求，</w:t>
      </w:r>
      <w:r>
        <w:rPr>
          <w:rFonts w:hint="eastAsia"/>
          <w:highlight w:val="none"/>
        </w:rPr>
        <w:t>滤网</w:t>
      </w:r>
      <w:r>
        <w:rPr>
          <w:highlight w:val="none"/>
        </w:rPr>
        <w:t>材质为</w:t>
      </w:r>
      <w:r>
        <w:rPr>
          <w:rFonts w:hint="eastAsia"/>
          <w:highlight w:val="none"/>
        </w:rPr>
        <w:t>SS316L</w:t>
      </w:r>
      <w:r>
        <w:rPr>
          <w:highlight w:val="none"/>
        </w:rPr>
        <w:t>不锈钢</w:t>
      </w:r>
      <w:r>
        <w:rPr>
          <w:rFonts w:hint="eastAsia"/>
          <w:highlight w:val="none"/>
        </w:rPr>
        <w:t>，过滤精度100μm；</w:t>
      </w:r>
    </w:p>
    <w:p w14:paraId="7C45379D">
      <w:pPr>
        <w:spacing w:line="360" w:lineRule="auto"/>
        <w:rPr>
          <w:highlight w:val="none"/>
        </w:rPr>
      </w:pPr>
      <w:r>
        <w:rPr>
          <w:rFonts w:hint="eastAsia"/>
          <w:highlight w:val="none"/>
        </w:rPr>
        <w:t>4.2.5.3 设备运行压差</w:t>
      </w:r>
      <w:r>
        <w:rPr>
          <w:highlight w:val="none"/>
        </w:rPr>
        <w:t>≤0.05MPa</w:t>
      </w:r>
      <w:r>
        <w:rPr>
          <w:rFonts w:hint="eastAsia"/>
          <w:highlight w:val="none"/>
        </w:rPr>
        <w:t>；</w:t>
      </w:r>
    </w:p>
    <w:p w14:paraId="06737760">
      <w:pPr>
        <w:spacing w:line="360" w:lineRule="auto"/>
        <w:rPr>
          <w:bCs/>
          <w:kern w:val="44"/>
          <w:highlight w:val="none"/>
        </w:rPr>
      </w:pPr>
      <w:r>
        <w:rPr>
          <w:rFonts w:hint="eastAsia"/>
          <w:bCs/>
          <w:kern w:val="44"/>
          <w:highlight w:val="none"/>
        </w:rPr>
        <w:t>4.2.5.4 投标人提供压力表，并提供仪表的一次阀门及相应接口，预留安装压差变送器(招标方提供)的一次阀门。</w:t>
      </w:r>
    </w:p>
    <w:p w14:paraId="16B762BD">
      <w:pPr>
        <w:spacing w:line="360" w:lineRule="auto"/>
        <w:rPr>
          <w:bCs/>
          <w:kern w:val="44"/>
          <w:highlight w:val="none"/>
        </w:rPr>
      </w:pPr>
      <w:r>
        <w:rPr>
          <w:rFonts w:hint="eastAsia"/>
          <w:bCs/>
          <w:kern w:val="44"/>
          <w:highlight w:val="none"/>
        </w:rPr>
        <w:t>4.2.5.5 招标方提供一路380V电源至投标人提供的控制箱，控制箱能实现根据压差/时间等自动控制，并提供运行反馈、故障反馈节点（硬节点）箱柜内元器件采用施耐德、ABB、西门子或相当于的产品。</w:t>
      </w:r>
    </w:p>
    <w:p w14:paraId="14539D5E">
      <w:pPr>
        <w:pStyle w:val="8"/>
        <w:numPr>
          <w:ilvl w:val="3"/>
          <w:numId w:val="0"/>
        </w:numPr>
        <w:rPr>
          <w:rFonts w:ascii="Times New Roman"/>
          <w:b/>
          <w:bCs/>
          <w:highlight w:val="none"/>
        </w:rPr>
      </w:pPr>
      <w:r>
        <w:rPr>
          <w:rFonts w:hint="eastAsia" w:ascii="Times New Roman"/>
          <w:b/>
          <w:bCs/>
          <w:highlight w:val="none"/>
        </w:rPr>
        <w:t>4.2.6 高压水泵技术要求</w:t>
      </w:r>
    </w:p>
    <w:p w14:paraId="66C8D52B">
      <w:pPr>
        <w:spacing w:line="360" w:lineRule="auto"/>
        <w:rPr>
          <w:highlight w:val="none"/>
        </w:rPr>
      </w:pPr>
      <w:r>
        <w:rPr>
          <w:rFonts w:hint="eastAsia"/>
          <w:highlight w:val="none"/>
        </w:rPr>
        <w:t>4.2.6</w:t>
      </w:r>
      <w:r>
        <w:rPr>
          <w:highlight w:val="none"/>
        </w:rPr>
        <w:t>.1</w:t>
      </w:r>
      <w:r>
        <w:rPr>
          <w:rFonts w:hint="eastAsia"/>
          <w:highlight w:val="none"/>
        </w:rPr>
        <w:t>投标人</w:t>
      </w:r>
      <w:r>
        <w:rPr>
          <w:highlight w:val="none"/>
        </w:rPr>
        <w:t>提供的</w:t>
      </w:r>
      <w:r>
        <w:rPr>
          <w:rFonts w:hint="eastAsia"/>
          <w:highlight w:val="none"/>
        </w:rPr>
        <w:t>高压泵过流件材质应为SS316L</w:t>
      </w:r>
      <w:r>
        <w:rPr>
          <w:highlight w:val="none"/>
        </w:rPr>
        <w:t>。</w:t>
      </w:r>
    </w:p>
    <w:p w14:paraId="41A6D166">
      <w:pPr>
        <w:spacing w:line="360" w:lineRule="auto"/>
        <w:rPr>
          <w:highlight w:val="none"/>
        </w:rPr>
      </w:pPr>
      <w:r>
        <w:rPr>
          <w:rFonts w:hint="eastAsia"/>
          <w:highlight w:val="none"/>
        </w:rPr>
        <w:t>4.2.6</w:t>
      </w:r>
      <w:r>
        <w:rPr>
          <w:highlight w:val="none"/>
        </w:rPr>
        <w:t>.2水泵设置进出口阀门、出口逆止门、压力表及仪表阀，逆止门为减震型。</w:t>
      </w:r>
    </w:p>
    <w:p w14:paraId="37BC1CC8">
      <w:pPr>
        <w:spacing w:line="360" w:lineRule="auto"/>
        <w:rPr>
          <w:highlight w:val="none"/>
        </w:rPr>
      </w:pPr>
      <w:r>
        <w:rPr>
          <w:rFonts w:hint="eastAsia"/>
          <w:highlight w:val="none"/>
        </w:rPr>
        <w:t>4.2.6</w:t>
      </w:r>
      <w:r>
        <w:rPr>
          <w:highlight w:val="none"/>
        </w:rPr>
        <w:t>.3水泵采用机械密封形式。</w:t>
      </w:r>
    </w:p>
    <w:p w14:paraId="46A8FF9E">
      <w:pPr>
        <w:spacing w:line="360" w:lineRule="auto"/>
        <w:rPr>
          <w:highlight w:val="none"/>
        </w:rPr>
      </w:pPr>
      <w:r>
        <w:rPr>
          <w:rFonts w:hint="eastAsia"/>
          <w:highlight w:val="none"/>
        </w:rPr>
        <w:t>4.2.6</w:t>
      </w:r>
      <w:r>
        <w:rPr>
          <w:highlight w:val="none"/>
        </w:rPr>
        <w:t>.4若存在室外布置的电机要设不锈钢防雨罩，防雨罩的大小应方便维护和检查。</w:t>
      </w:r>
    </w:p>
    <w:p w14:paraId="5C633DDE">
      <w:pPr>
        <w:spacing w:line="360" w:lineRule="auto"/>
        <w:rPr>
          <w:highlight w:val="none"/>
        </w:rPr>
      </w:pPr>
      <w:r>
        <w:rPr>
          <w:rFonts w:hint="eastAsia"/>
          <w:highlight w:val="none"/>
        </w:rPr>
        <w:t>4.2.6</w:t>
      </w:r>
      <w:r>
        <w:rPr>
          <w:highlight w:val="none"/>
        </w:rPr>
        <w:t>.5靠背轮要设防护罩，防护罩的安装要为维护提供方便。</w:t>
      </w:r>
    </w:p>
    <w:p w14:paraId="664955F2">
      <w:pPr>
        <w:spacing w:line="360" w:lineRule="auto"/>
        <w:rPr>
          <w:highlight w:val="none"/>
        </w:rPr>
      </w:pPr>
      <w:r>
        <w:rPr>
          <w:rFonts w:hint="eastAsia"/>
          <w:highlight w:val="none"/>
        </w:rPr>
        <w:t>4.2.6</w:t>
      </w:r>
      <w:r>
        <w:rPr>
          <w:highlight w:val="none"/>
        </w:rPr>
        <w:t>.6在所有运行工况下，各泵组均应能安全的连续运行，而不发生气蚀。</w:t>
      </w:r>
    </w:p>
    <w:p w14:paraId="26731F20">
      <w:pPr>
        <w:spacing w:line="360" w:lineRule="auto"/>
        <w:rPr>
          <w:highlight w:val="none"/>
        </w:rPr>
      </w:pPr>
      <w:r>
        <w:rPr>
          <w:rFonts w:hint="eastAsia"/>
          <w:highlight w:val="none"/>
        </w:rPr>
        <w:t>4.2.6</w:t>
      </w:r>
      <w:r>
        <w:rPr>
          <w:highlight w:val="none"/>
        </w:rPr>
        <w:t>.7就地启停的离心泵采用关阀启动，要求关闭点的扬程应尽可能低。</w:t>
      </w:r>
    </w:p>
    <w:p w14:paraId="297DCBEB">
      <w:pPr>
        <w:spacing w:line="360" w:lineRule="auto"/>
        <w:rPr>
          <w:highlight w:val="none"/>
        </w:rPr>
      </w:pPr>
      <w:r>
        <w:rPr>
          <w:rFonts w:hint="eastAsia"/>
          <w:highlight w:val="none"/>
        </w:rPr>
        <w:t>4.2.6</w:t>
      </w:r>
      <w:r>
        <w:rPr>
          <w:highlight w:val="none"/>
        </w:rPr>
        <w:t>.8全部泵组配套设备的接口、振动、噪声、工厂试验等均由</w:t>
      </w:r>
      <w:r>
        <w:rPr>
          <w:rFonts w:hint="eastAsia"/>
          <w:highlight w:val="none"/>
        </w:rPr>
        <w:t>投标人</w:t>
      </w:r>
      <w:r>
        <w:rPr>
          <w:highlight w:val="none"/>
        </w:rPr>
        <w:t>负责统一归口。</w:t>
      </w:r>
    </w:p>
    <w:p w14:paraId="5A04C02D">
      <w:pPr>
        <w:spacing w:line="360" w:lineRule="auto"/>
        <w:rPr>
          <w:highlight w:val="none"/>
        </w:rPr>
      </w:pPr>
      <w:r>
        <w:rPr>
          <w:rFonts w:hint="eastAsia"/>
          <w:highlight w:val="none"/>
        </w:rPr>
        <w:t>4.2.6</w:t>
      </w:r>
      <w:r>
        <w:rPr>
          <w:highlight w:val="none"/>
        </w:rPr>
        <w:t>.9水泵与配套组件的设计应便于维修。泵壳应能分开，以便于维修（最好水平分开），叶轮和轴应能从机壳内退出来，并且不影响主要管件和阀门。所有能抽出转子的卧式泵都应配有联轴器（包括联轴器护罩），以便拆卸时不需移动电机，检修时不用拆卸管路。</w:t>
      </w:r>
    </w:p>
    <w:p w14:paraId="034D54F8">
      <w:pPr>
        <w:spacing w:line="360" w:lineRule="auto"/>
        <w:rPr>
          <w:highlight w:val="none"/>
        </w:rPr>
      </w:pPr>
      <w:r>
        <w:rPr>
          <w:rFonts w:hint="eastAsia"/>
          <w:highlight w:val="none"/>
        </w:rPr>
        <w:t>4.2.6</w:t>
      </w:r>
      <w:r>
        <w:rPr>
          <w:highlight w:val="none"/>
        </w:rPr>
        <w:t>.10泵应采用高效率的进口水力模型，轴封采用机械密封，轴承，泵轴设计必须合理。应保证运行稳定，振动最小。轴承及机械密封全部进口。</w:t>
      </w:r>
    </w:p>
    <w:p w14:paraId="48C160AC">
      <w:pPr>
        <w:spacing w:line="360" w:lineRule="auto"/>
        <w:rPr>
          <w:highlight w:val="none"/>
        </w:rPr>
      </w:pPr>
      <w:r>
        <w:rPr>
          <w:rFonts w:hint="eastAsia"/>
          <w:highlight w:val="none"/>
        </w:rPr>
        <w:t>4.2.6</w:t>
      </w:r>
      <w:r>
        <w:rPr>
          <w:highlight w:val="none"/>
        </w:rPr>
        <w:t>.11</w:t>
      </w:r>
      <w:r>
        <w:rPr>
          <w:rFonts w:hint="eastAsia"/>
          <w:highlight w:val="none"/>
        </w:rPr>
        <w:t>投标人</w:t>
      </w:r>
      <w:r>
        <w:rPr>
          <w:highlight w:val="none"/>
        </w:rPr>
        <w:t>提供的设备在运行工况点的流量、扬程、效率不允许有负偏差。水泵的流量-扬程曲线必须平稳地从系统所需的最大流量工况上升到关闭点。当</w:t>
      </w:r>
      <w:r>
        <w:rPr>
          <w:rFonts w:hint="eastAsia"/>
          <w:highlight w:val="none"/>
        </w:rPr>
        <w:t>水泵扬程曲线有转折点时，水泵应能稳定运行。</w:t>
      </w:r>
    </w:p>
    <w:p w14:paraId="3DA67144">
      <w:pPr>
        <w:spacing w:line="360" w:lineRule="auto"/>
        <w:rPr>
          <w:highlight w:val="none"/>
        </w:rPr>
      </w:pPr>
      <w:r>
        <w:rPr>
          <w:rFonts w:hint="eastAsia"/>
          <w:highlight w:val="none"/>
        </w:rPr>
        <w:t>4.2.6</w:t>
      </w:r>
      <w:r>
        <w:rPr>
          <w:highlight w:val="none"/>
        </w:rPr>
        <w:t>.12所有水泵均应达到无泄漏。</w:t>
      </w:r>
    </w:p>
    <w:p w14:paraId="355412D3">
      <w:pPr>
        <w:spacing w:line="360" w:lineRule="auto"/>
        <w:rPr>
          <w:highlight w:val="none"/>
        </w:rPr>
      </w:pPr>
      <w:r>
        <w:rPr>
          <w:rFonts w:hint="eastAsia"/>
          <w:highlight w:val="none"/>
        </w:rPr>
        <w:t>4.2.6</w:t>
      </w:r>
      <w:r>
        <w:rPr>
          <w:highlight w:val="none"/>
        </w:rPr>
        <w:t>.13在所有泵的转动件上进行单个部件和组装后整体件的静、动平衡试验，试验精度不应低于国家标准。在泵速度升高至运行速度的过程中，水泵应能平稳运行。</w:t>
      </w:r>
    </w:p>
    <w:p w14:paraId="7562E950">
      <w:pPr>
        <w:spacing w:line="360" w:lineRule="auto"/>
        <w:rPr>
          <w:highlight w:val="none"/>
        </w:rPr>
      </w:pPr>
      <w:r>
        <w:rPr>
          <w:rFonts w:hint="eastAsia"/>
          <w:highlight w:val="none"/>
        </w:rPr>
        <w:t>4.2.6</w:t>
      </w:r>
      <w:r>
        <w:rPr>
          <w:highlight w:val="none"/>
        </w:rPr>
        <w:t xml:space="preserve">.14水泵噪音应符合国家标准要求，在水泵外壳 1m </w:t>
      </w:r>
      <w:r>
        <w:rPr>
          <w:rFonts w:hint="eastAsia"/>
          <w:highlight w:val="none"/>
        </w:rPr>
        <w:t>处噪声不大于</w:t>
      </w:r>
      <w:r>
        <w:rPr>
          <w:highlight w:val="none"/>
        </w:rPr>
        <w:t xml:space="preserve"> 85 </w:t>
      </w:r>
      <w:r>
        <w:rPr>
          <w:rFonts w:hint="eastAsia"/>
          <w:highlight w:val="none"/>
        </w:rPr>
        <w:t>分贝，具体测量标准按</w:t>
      </w:r>
      <w:r>
        <w:rPr>
          <w:highlight w:val="none"/>
        </w:rPr>
        <w:t xml:space="preserve"> JB/T8098 </w:t>
      </w:r>
      <w:r>
        <w:rPr>
          <w:rFonts w:hint="eastAsia"/>
          <w:highlight w:val="none"/>
        </w:rPr>
        <w:t>等有关标准执行。</w:t>
      </w:r>
    </w:p>
    <w:p w14:paraId="6E9D98E5">
      <w:pPr>
        <w:spacing w:line="360" w:lineRule="auto"/>
        <w:rPr>
          <w:highlight w:val="none"/>
        </w:rPr>
      </w:pPr>
      <w:r>
        <w:rPr>
          <w:rFonts w:hint="eastAsia"/>
          <w:highlight w:val="none"/>
        </w:rPr>
        <w:t>4.2.6</w:t>
      </w:r>
      <w:r>
        <w:rPr>
          <w:highlight w:val="none"/>
        </w:rPr>
        <w:t>.15水泵的配套电机（包括接线盒）由供方配套，但必须配备国内名牌产品，水泵的总体性能</w:t>
      </w:r>
      <w:r>
        <w:rPr>
          <w:rFonts w:hint="eastAsia"/>
          <w:highlight w:val="none"/>
        </w:rPr>
        <w:t>投标人</w:t>
      </w:r>
      <w:r>
        <w:rPr>
          <w:highlight w:val="none"/>
        </w:rPr>
        <w:t>负责。所配电机的防护等级均为：室外 IP55/室内IP54。</w:t>
      </w:r>
    </w:p>
    <w:p w14:paraId="2EFF8CB1">
      <w:pPr>
        <w:spacing w:line="360" w:lineRule="auto"/>
        <w:rPr>
          <w:highlight w:val="none"/>
        </w:rPr>
      </w:pPr>
      <w:r>
        <w:rPr>
          <w:rFonts w:hint="eastAsia"/>
          <w:highlight w:val="none"/>
        </w:rPr>
        <w:t>4.2.6</w:t>
      </w:r>
      <w:r>
        <w:rPr>
          <w:highlight w:val="none"/>
        </w:rPr>
        <w:t>.16</w:t>
      </w:r>
      <w:r>
        <w:rPr>
          <w:rFonts w:hint="eastAsia"/>
          <w:highlight w:val="none"/>
        </w:rPr>
        <w:t>投标人</w:t>
      </w:r>
      <w:r>
        <w:rPr>
          <w:highlight w:val="none"/>
        </w:rPr>
        <w:t>提供的每台卧式泵本体与电机共同安装在一个刚性结构的底座上（并提供底座地脚螺栓螺母垫圈）。</w:t>
      </w:r>
    </w:p>
    <w:p w14:paraId="1CC533C0">
      <w:pPr>
        <w:spacing w:line="360" w:lineRule="auto"/>
        <w:rPr>
          <w:highlight w:val="none"/>
        </w:rPr>
      </w:pPr>
      <w:r>
        <w:rPr>
          <w:rFonts w:hint="eastAsia"/>
          <w:highlight w:val="none"/>
        </w:rPr>
        <w:t>4.2.6</w:t>
      </w:r>
      <w:r>
        <w:rPr>
          <w:highlight w:val="none"/>
        </w:rPr>
        <w:t xml:space="preserve">.17所有水泵过流部件的材质选型均应适应介质运行条件。 </w:t>
      </w:r>
    </w:p>
    <w:p w14:paraId="545F113C">
      <w:pPr>
        <w:spacing w:line="360" w:lineRule="auto"/>
        <w:rPr>
          <w:highlight w:val="none"/>
        </w:rPr>
      </w:pPr>
      <w:r>
        <w:rPr>
          <w:rFonts w:hint="eastAsia"/>
          <w:highlight w:val="none"/>
        </w:rPr>
        <w:t>4.2.6</w:t>
      </w:r>
      <w:r>
        <w:rPr>
          <w:highlight w:val="none"/>
        </w:rPr>
        <w:t>.18水泵进出口法兰公称直径及公称压力应符合国家有关标准。</w:t>
      </w:r>
    </w:p>
    <w:p w14:paraId="5E250562">
      <w:pPr>
        <w:spacing w:line="360" w:lineRule="auto"/>
        <w:rPr>
          <w:highlight w:val="none"/>
        </w:rPr>
      </w:pPr>
      <w:r>
        <w:rPr>
          <w:rFonts w:hint="eastAsia"/>
          <w:highlight w:val="none"/>
        </w:rPr>
        <w:t>4.2.6</w:t>
      </w:r>
      <w:r>
        <w:rPr>
          <w:highlight w:val="none"/>
        </w:rPr>
        <w:t>.19泵的额定工作点应在泵的高效区内；选择的叶轮尺寸应尽量小于所选用泵可采用的最大叶轮尺寸。</w:t>
      </w:r>
    </w:p>
    <w:p w14:paraId="4D4C7198">
      <w:pPr>
        <w:spacing w:line="360" w:lineRule="auto"/>
        <w:rPr>
          <w:highlight w:val="none"/>
        </w:rPr>
      </w:pPr>
      <w:r>
        <w:rPr>
          <w:rFonts w:hint="eastAsia"/>
          <w:highlight w:val="none"/>
        </w:rPr>
        <w:t>4.2.6</w:t>
      </w:r>
      <w:r>
        <w:rPr>
          <w:highlight w:val="none"/>
        </w:rPr>
        <w:t>.20</w:t>
      </w:r>
      <w:r>
        <w:rPr>
          <w:rFonts w:hint="eastAsia"/>
          <w:highlight w:val="none"/>
        </w:rPr>
        <w:t>投标人</w:t>
      </w:r>
      <w:r>
        <w:rPr>
          <w:highlight w:val="none"/>
        </w:rPr>
        <w:t>应提供水泵可长期安全运行的允许最小流量。</w:t>
      </w:r>
    </w:p>
    <w:p w14:paraId="08AEAAC4">
      <w:pPr>
        <w:spacing w:line="360" w:lineRule="auto"/>
        <w:rPr>
          <w:highlight w:val="none"/>
        </w:rPr>
      </w:pPr>
      <w:r>
        <w:rPr>
          <w:rFonts w:hint="eastAsia"/>
          <w:highlight w:val="none"/>
        </w:rPr>
        <w:t>4.2.6</w:t>
      </w:r>
      <w:r>
        <w:rPr>
          <w:highlight w:val="none"/>
        </w:rPr>
        <w:t>.21外露的旋转件应设防护罩。</w:t>
      </w:r>
      <w:r>
        <w:rPr>
          <w:rFonts w:hint="eastAsia"/>
          <w:highlight w:val="none"/>
        </w:rPr>
        <w:t>投标人</w:t>
      </w:r>
      <w:r>
        <w:rPr>
          <w:highlight w:val="none"/>
        </w:rPr>
        <w:t>应为每台水泵提供地角螺栓、螺母。</w:t>
      </w:r>
    </w:p>
    <w:p w14:paraId="2FD9CCD0">
      <w:pPr>
        <w:spacing w:line="360" w:lineRule="auto"/>
        <w:rPr>
          <w:highlight w:val="none"/>
        </w:rPr>
      </w:pPr>
      <w:r>
        <w:rPr>
          <w:rFonts w:hint="eastAsia"/>
          <w:highlight w:val="none"/>
        </w:rPr>
        <w:t>4.2.6</w:t>
      </w:r>
      <w:r>
        <w:rPr>
          <w:highlight w:val="none"/>
        </w:rPr>
        <w:t>.2</w:t>
      </w:r>
      <w:r>
        <w:rPr>
          <w:rFonts w:hint="eastAsia"/>
          <w:highlight w:val="none"/>
        </w:rPr>
        <w:t>2</w:t>
      </w:r>
      <w:r>
        <w:rPr>
          <w:highlight w:val="none"/>
        </w:rPr>
        <w:t>每台水泵均应有排净口和空气释放口及压力表接口。水泵需外接冷却水时，</w:t>
      </w:r>
      <w:r>
        <w:rPr>
          <w:rFonts w:hint="eastAsia"/>
          <w:highlight w:val="none"/>
        </w:rPr>
        <w:t>投标人</w:t>
      </w:r>
      <w:r>
        <w:rPr>
          <w:highlight w:val="none"/>
        </w:rPr>
        <w:t>应为每台水泵冷却水接口提供电磁阀。</w:t>
      </w:r>
    </w:p>
    <w:p w14:paraId="51931676">
      <w:pPr>
        <w:autoSpaceDE w:val="0"/>
        <w:autoSpaceDN w:val="0"/>
        <w:spacing w:line="360" w:lineRule="auto"/>
        <w:jc w:val="left"/>
        <w:textAlignment w:val="bottom"/>
        <w:outlineLvl w:val="2"/>
        <w:rPr>
          <w:b/>
          <w:highlight w:val="none"/>
        </w:rPr>
      </w:pPr>
      <w:r>
        <w:rPr>
          <w:b/>
          <w:highlight w:val="none"/>
        </w:rPr>
        <w:t>4.3 电气要求</w:t>
      </w:r>
      <w:bookmarkEnd w:id="77"/>
      <w:bookmarkEnd w:id="78"/>
      <w:bookmarkEnd w:id="79"/>
    </w:p>
    <w:p w14:paraId="12D190F9">
      <w:pPr>
        <w:pStyle w:val="8"/>
        <w:numPr>
          <w:ilvl w:val="3"/>
          <w:numId w:val="0"/>
        </w:numPr>
        <w:rPr>
          <w:rFonts w:ascii="Times New Roman"/>
          <w:b/>
          <w:bCs/>
          <w:highlight w:val="none"/>
        </w:rPr>
      </w:pPr>
      <w:r>
        <w:rPr>
          <w:rFonts w:ascii="Times New Roman"/>
          <w:b/>
          <w:bCs/>
          <w:highlight w:val="none"/>
        </w:rPr>
        <w:t>4.3.</w:t>
      </w:r>
      <w:r>
        <w:rPr>
          <w:rFonts w:hint="eastAsia" w:ascii="Times New Roman"/>
          <w:b/>
          <w:bCs/>
          <w:highlight w:val="none"/>
        </w:rPr>
        <w:t xml:space="preserve">1 </w:t>
      </w:r>
      <w:r>
        <w:rPr>
          <w:rFonts w:ascii="Times New Roman"/>
          <w:b/>
          <w:bCs/>
          <w:highlight w:val="none"/>
        </w:rPr>
        <w:t>投标人遵循的标准。</w:t>
      </w:r>
    </w:p>
    <w:p w14:paraId="0CB36DB6">
      <w:pPr>
        <w:pStyle w:val="28"/>
        <w:spacing w:line="360" w:lineRule="auto"/>
        <w:ind w:left="0" w:firstLine="480" w:firstLineChars="200"/>
        <w:rPr>
          <w:rFonts w:ascii="Times New Roman" w:hAnsi="Times New Roman"/>
          <w:highlight w:val="none"/>
        </w:rPr>
      </w:pPr>
      <w:r>
        <w:rPr>
          <w:rFonts w:ascii="Times New Roman" w:hAnsi="Times New Roman"/>
          <w:highlight w:val="none"/>
        </w:rPr>
        <w:t>本工程符合相关的中国法律及规范、以及最新版的ISO、IEC、GB和DL/T标准。对于标准的采用符合下述原则：</w:t>
      </w:r>
    </w:p>
    <w:p w14:paraId="5A849D02">
      <w:pPr>
        <w:pStyle w:val="28"/>
        <w:spacing w:line="360" w:lineRule="auto"/>
        <w:ind w:left="0" w:firstLine="480"/>
        <w:rPr>
          <w:rFonts w:ascii="Times New Roman" w:hAnsi="Times New Roman"/>
          <w:highlight w:val="none"/>
        </w:rPr>
      </w:pPr>
      <w:r>
        <w:rPr>
          <w:rFonts w:ascii="Times New Roman" w:hAnsi="Times New Roman"/>
          <w:highlight w:val="none"/>
        </w:rPr>
        <w:t>首先符合中国国家标准及部颁标准、规程规定；</w:t>
      </w:r>
    </w:p>
    <w:p w14:paraId="2C8830EA">
      <w:pPr>
        <w:pStyle w:val="28"/>
        <w:spacing w:line="360" w:lineRule="auto"/>
        <w:ind w:left="0" w:firstLine="480" w:firstLineChars="200"/>
        <w:rPr>
          <w:rFonts w:ascii="Times New Roman" w:hAnsi="Times New Roman"/>
          <w:highlight w:val="none"/>
        </w:rPr>
      </w:pPr>
      <w:r>
        <w:rPr>
          <w:rFonts w:ascii="Times New Roman" w:hAnsi="Times New Roman"/>
          <w:highlight w:val="none"/>
        </w:rPr>
        <w:t>上述标准中不包含的部分采用技术来源国标准或国际通用标准；</w:t>
      </w:r>
    </w:p>
    <w:p w14:paraId="7FC95D04">
      <w:pPr>
        <w:pStyle w:val="28"/>
        <w:spacing w:line="360" w:lineRule="auto"/>
        <w:ind w:left="0" w:firstLine="480" w:firstLineChars="200"/>
        <w:rPr>
          <w:rFonts w:ascii="Times New Roman" w:hAnsi="Times New Roman"/>
          <w:highlight w:val="none"/>
        </w:rPr>
      </w:pPr>
      <w:r>
        <w:rPr>
          <w:rFonts w:ascii="Times New Roman" w:hAnsi="Times New Roman"/>
          <w:highlight w:val="none"/>
        </w:rPr>
        <w:t>如上述标准均不适用，由业主和承包商讨论并确定；</w:t>
      </w:r>
    </w:p>
    <w:p w14:paraId="6B0264C0">
      <w:pPr>
        <w:pStyle w:val="28"/>
        <w:spacing w:line="360" w:lineRule="auto"/>
        <w:ind w:left="0" w:firstLine="480" w:firstLineChars="200"/>
        <w:rPr>
          <w:rFonts w:ascii="Times New Roman" w:hAnsi="Times New Roman"/>
          <w:highlight w:val="none"/>
        </w:rPr>
      </w:pPr>
      <w:r>
        <w:rPr>
          <w:rFonts w:ascii="Times New Roman" w:hAnsi="Times New Roman"/>
          <w:highlight w:val="none"/>
        </w:rPr>
        <w:t>涉及到的所有规范、标准都是最新版本，在实施过程中自动更新。</w:t>
      </w:r>
    </w:p>
    <w:p w14:paraId="55E01528">
      <w:pPr>
        <w:pStyle w:val="28"/>
        <w:spacing w:line="360" w:lineRule="auto"/>
        <w:ind w:left="0" w:firstLine="480" w:firstLineChars="200"/>
        <w:rPr>
          <w:rFonts w:ascii="Times New Roman" w:hAnsi="Times New Roman"/>
          <w:highlight w:val="none"/>
        </w:rPr>
      </w:pPr>
      <w:r>
        <w:rPr>
          <w:rFonts w:ascii="Times New Roman" w:hAnsi="Times New Roman"/>
          <w:highlight w:val="none"/>
        </w:rPr>
        <w:t>上述标准有矛盾时，按较高标准执行。</w:t>
      </w:r>
    </w:p>
    <w:p w14:paraId="10987FAB">
      <w:pPr>
        <w:pStyle w:val="28"/>
        <w:spacing w:line="360" w:lineRule="auto"/>
        <w:ind w:left="0" w:firstLine="480" w:firstLineChars="200"/>
        <w:rPr>
          <w:rFonts w:ascii="Times New Roman" w:hAnsi="Times New Roman"/>
          <w:highlight w:val="none"/>
        </w:rPr>
      </w:pPr>
      <w:r>
        <w:rPr>
          <w:rFonts w:ascii="Times New Roman" w:hAnsi="Times New Roman"/>
          <w:highlight w:val="none"/>
        </w:rPr>
        <w:t>工程联系文件、技术资料、图纸、计算、仪表刻度和文件中的计量单位为法定计量单位制。</w:t>
      </w:r>
    </w:p>
    <w:p w14:paraId="45667852">
      <w:pPr>
        <w:pStyle w:val="8"/>
        <w:numPr>
          <w:ilvl w:val="3"/>
          <w:numId w:val="0"/>
        </w:numPr>
        <w:rPr>
          <w:rFonts w:ascii="Times New Roman"/>
          <w:b/>
          <w:bCs/>
          <w:highlight w:val="none"/>
        </w:rPr>
      </w:pPr>
      <w:r>
        <w:rPr>
          <w:rFonts w:ascii="Times New Roman"/>
          <w:b/>
          <w:bCs/>
          <w:highlight w:val="none"/>
        </w:rPr>
        <w:t>4.3.</w:t>
      </w:r>
      <w:r>
        <w:rPr>
          <w:rFonts w:hint="eastAsia" w:ascii="Times New Roman"/>
          <w:b/>
          <w:bCs/>
          <w:highlight w:val="none"/>
        </w:rPr>
        <w:t xml:space="preserve">2 </w:t>
      </w:r>
      <w:r>
        <w:rPr>
          <w:rFonts w:ascii="Times New Roman"/>
          <w:b/>
          <w:bCs/>
          <w:highlight w:val="none"/>
        </w:rPr>
        <w:t>总的要求</w:t>
      </w:r>
    </w:p>
    <w:p w14:paraId="0378EB79">
      <w:pPr>
        <w:pStyle w:val="28"/>
        <w:spacing w:line="360" w:lineRule="auto"/>
        <w:ind w:left="0" w:firstLine="480"/>
        <w:rPr>
          <w:rFonts w:ascii="Times New Roman" w:hAnsi="Times New Roman"/>
          <w:highlight w:val="none"/>
        </w:rPr>
      </w:pPr>
      <w:r>
        <w:rPr>
          <w:rFonts w:ascii="Times New Roman" w:hAnsi="Times New Roman"/>
          <w:highlight w:val="none"/>
        </w:rPr>
        <w:t>就地电控箱的指示灯、按钮采用如下颜色标识：</w:t>
      </w:r>
    </w:p>
    <w:p w14:paraId="50EE2585">
      <w:pPr>
        <w:pStyle w:val="28"/>
        <w:spacing w:line="360" w:lineRule="auto"/>
        <w:ind w:left="0" w:firstLine="480"/>
        <w:rPr>
          <w:rFonts w:ascii="Times New Roman" w:hAnsi="Times New Roman"/>
          <w:highlight w:val="none"/>
        </w:rPr>
      </w:pPr>
      <w:r>
        <w:rPr>
          <w:rFonts w:ascii="Times New Roman" w:hAnsi="Times New Roman"/>
          <w:highlight w:val="none"/>
        </w:rPr>
        <w:t>a</w:t>
      </w:r>
      <w:r>
        <w:rPr>
          <w:rFonts w:hint="eastAsia" w:ascii="Times New Roman" w:hAnsi="Times New Roman"/>
          <w:highlight w:val="none"/>
        </w:rPr>
        <w:t>）</w:t>
      </w:r>
      <w:r>
        <w:rPr>
          <w:rFonts w:ascii="Times New Roman" w:hAnsi="Times New Roman"/>
          <w:highlight w:val="none"/>
        </w:rPr>
        <w:t>指示灯</w:t>
      </w:r>
    </w:p>
    <w:p w14:paraId="5B2251BB">
      <w:pPr>
        <w:pStyle w:val="28"/>
        <w:spacing w:line="360" w:lineRule="auto"/>
        <w:ind w:left="0" w:firstLine="480"/>
        <w:rPr>
          <w:rFonts w:ascii="Times New Roman" w:hAnsi="Times New Roman"/>
          <w:highlight w:val="none"/>
        </w:rPr>
      </w:pPr>
      <w:r>
        <w:rPr>
          <w:rFonts w:ascii="Times New Roman" w:hAnsi="Times New Roman"/>
          <w:highlight w:val="none"/>
        </w:rPr>
        <w:t>－电动机运转</w:t>
      </w:r>
      <w:r>
        <w:rPr>
          <w:rFonts w:ascii="Times New Roman" w:hAnsi="Times New Roman"/>
          <w:highlight w:val="none"/>
        </w:rPr>
        <w:tab/>
      </w:r>
      <w:r>
        <w:rPr>
          <w:rFonts w:ascii="Times New Roman" w:hAnsi="Times New Roman"/>
          <w:highlight w:val="none"/>
        </w:rPr>
        <w:tab/>
      </w:r>
      <w:r>
        <w:rPr>
          <w:rFonts w:ascii="Times New Roman" w:hAnsi="Times New Roman"/>
          <w:highlight w:val="none"/>
        </w:rPr>
        <w:tab/>
      </w:r>
      <w:r>
        <w:rPr>
          <w:rFonts w:ascii="Times New Roman" w:hAnsi="Times New Roman"/>
          <w:highlight w:val="none"/>
        </w:rPr>
        <w:tab/>
      </w:r>
      <w:r>
        <w:rPr>
          <w:rFonts w:ascii="Times New Roman" w:hAnsi="Times New Roman"/>
          <w:highlight w:val="none"/>
        </w:rPr>
        <w:tab/>
      </w:r>
      <w:r>
        <w:rPr>
          <w:rFonts w:ascii="Times New Roman" w:hAnsi="Times New Roman"/>
          <w:highlight w:val="none"/>
        </w:rPr>
        <w:t xml:space="preserve">  </w:t>
      </w:r>
      <w:r>
        <w:rPr>
          <w:rFonts w:ascii="Times New Roman" w:hAnsi="Times New Roman"/>
          <w:highlight w:val="none"/>
        </w:rPr>
        <w:tab/>
      </w:r>
      <w:r>
        <w:rPr>
          <w:rFonts w:ascii="Times New Roman" w:hAnsi="Times New Roman"/>
          <w:highlight w:val="none"/>
        </w:rPr>
        <w:t xml:space="preserve">   红色</w:t>
      </w:r>
    </w:p>
    <w:p w14:paraId="4EA65AC9">
      <w:pPr>
        <w:pStyle w:val="28"/>
        <w:spacing w:line="360" w:lineRule="auto"/>
        <w:ind w:left="0" w:firstLine="480"/>
        <w:rPr>
          <w:rFonts w:ascii="Times New Roman" w:hAnsi="Times New Roman"/>
          <w:highlight w:val="none"/>
        </w:rPr>
      </w:pPr>
      <w:r>
        <w:rPr>
          <w:rFonts w:ascii="Times New Roman" w:hAnsi="Times New Roman"/>
          <w:highlight w:val="none"/>
        </w:rPr>
        <w:t>－电动机停转</w:t>
      </w:r>
      <w:r>
        <w:rPr>
          <w:rFonts w:ascii="Times New Roman" w:hAnsi="Times New Roman"/>
          <w:highlight w:val="none"/>
        </w:rPr>
        <w:tab/>
      </w:r>
      <w:r>
        <w:rPr>
          <w:rFonts w:ascii="Times New Roman" w:hAnsi="Times New Roman"/>
          <w:highlight w:val="none"/>
        </w:rPr>
        <w:tab/>
      </w:r>
      <w:r>
        <w:rPr>
          <w:rFonts w:ascii="Times New Roman" w:hAnsi="Times New Roman"/>
          <w:highlight w:val="none"/>
        </w:rPr>
        <w:tab/>
      </w:r>
      <w:r>
        <w:rPr>
          <w:rFonts w:ascii="Times New Roman" w:hAnsi="Times New Roman"/>
          <w:highlight w:val="none"/>
        </w:rPr>
        <w:tab/>
      </w:r>
      <w:r>
        <w:rPr>
          <w:rFonts w:ascii="Times New Roman" w:hAnsi="Times New Roman"/>
          <w:highlight w:val="none"/>
        </w:rPr>
        <w:tab/>
      </w:r>
      <w:r>
        <w:rPr>
          <w:rFonts w:ascii="Times New Roman" w:hAnsi="Times New Roman"/>
          <w:highlight w:val="none"/>
        </w:rPr>
        <w:tab/>
      </w:r>
      <w:r>
        <w:rPr>
          <w:rFonts w:ascii="Times New Roman" w:hAnsi="Times New Roman"/>
          <w:highlight w:val="none"/>
        </w:rPr>
        <w:t xml:space="preserve">   绿色</w:t>
      </w:r>
    </w:p>
    <w:p w14:paraId="5EF5A16B">
      <w:pPr>
        <w:pStyle w:val="28"/>
        <w:spacing w:line="360" w:lineRule="auto"/>
        <w:ind w:left="0" w:firstLine="480"/>
        <w:rPr>
          <w:rFonts w:ascii="Times New Roman" w:hAnsi="Times New Roman"/>
          <w:highlight w:val="none"/>
        </w:rPr>
      </w:pPr>
      <w:r>
        <w:rPr>
          <w:rFonts w:ascii="Times New Roman" w:hAnsi="Times New Roman"/>
          <w:highlight w:val="none"/>
        </w:rPr>
        <w:t>－报警、跳闸及故障信号</w:t>
      </w:r>
      <w:r>
        <w:rPr>
          <w:rFonts w:ascii="Times New Roman" w:hAnsi="Times New Roman"/>
          <w:highlight w:val="none"/>
        </w:rPr>
        <w:tab/>
      </w:r>
      <w:r>
        <w:rPr>
          <w:rFonts w:ascii="Times New Roman" w:hAnsi="Times New Roman"/>
          <w:highlight w:val="none"/>
        </w:rPr>
        <w:tab/>
      </w:r>
      <w:r>
        <w:rPr>
          <w:rFonts w:ascii="Times New Roman" w:hAnsi="Times New Roman"/>
          <w:highlight w:val="none"/>
        </w:rPr>
        <w:tab/>
      </w:r>
      <w:r>
        <w:rPr>
          <w:rFonts w:ascii="Times New Roman" w:hAnsi="Times New Roman"/>
          <w:highlight w:val="none"/>
        </w:rPr>
        <w:t>黄色、红色或采用相应铭牌的分合指示；并采用不同的颜色区分跳闸信号和报警信号。</w:t>
      </w:r>
    </w:p>
    <w:p w14:paraId="103E5BE4">
      <w:pPr>
        <w:pStyle w:val="28"/>
        <w:spacing w:line="360" w:lineRule="auto"/>
        <w:ind w:left="0" w:firstLine="480"/>
        <w:rPr>
          <w:rFonts w:ascii="Times New Roman" w:hAnsi="Times New Roman"/>
          <w:highlight w:val="none"/>
        </w:rPr>
      </w:pPr>
      <w:r>
        <w:rPr>
          <w:rFonts w:ascii="Times New Roman" w:hAnsi="Times New Roman"/>
          <w:highlight w:val="none"/>
        </w:rPr>
        <w:t>b</w:t>
      </w:r>
      <w:r>
        <w:rPr>
          <w:rFonts w:hint="eastAsia" w:ascii="Times New Roman" w:hAnsi="Times New Roman"/>
          <w:highlight w:val="none"/>
        </w:rPr>
        <w:t>）</w:t>
      </w:r>
      <w:r>
        <w:rPr>
          <w:rFonts w:ascii="Times New Roman" w:hAnsi="Times New Roman"/>
          <w:highlight w:val="none"/>
        </w:rPr>
        <w:t>按钮</w:t>
      </w:r>
    </w:p>
    <w:p w14:paraId="43580163">
      <w:pPr>
        <w:pStyle w:val="28"/>
        <w:spacing w:line="360" w:lineRule="auto"/>
        <w:ind w:left="0" w:firstLine="480"/>
        <w:rPr>
          <w:rFonts w:ascii="Times New Roman" w:hAnsi="Times New Roman"/>
          <w:highlight w:val="none"/>
        </w:rPr>
      </w:pPr>
      <w:r>
        <w:rPr>
          <w:rFonts w:ascii="Times New Roman" w:hAnsi="Times New Roman"/>
          <w:highlight w:val="none"/>
        </w:rPr>
        <w:t>－合闸                       红色</w:t>
      </w:r>
    </w:p>
    <w:p w14:paraId="2239F85A">
      <w:pPr>
        <w:pStyle w:val="28"/>
        <w:spacing w:line="360" w:lineRule="auto"/>
        <w:ind w:left="0" w:firstLine="480"/>
        <w:rPr>
          <w:rFonts w:ascii="Times New Roman" w:hAnsi="Times New Roman"/>
          <w:highlight w:val="none"/>
        </w:rPr>
      </w:pPr>
      <w:r>
        <w:rPr>
          <w:rFonts w:ascii="Times New Roman" w:hAnsi="Times New Roman"/>
          <w:highlight w:val="none"/>
        </w:rPr>
        <w:t>－分闸</w:t>
      </w:r>
      <w:r>
        <w:rPr>
          <w:rFonts w:ascii="Times New Roman" w:hAnsi="Times New Roman"/>
          <w:highlight w:val="none"/>
        </w:rPr>
        <w:tab/>
      </w:r>
      <w:r>
        <w:rPr>
          <w:rFonts w:ascii="Times New Roman" w:hAnsi="Times New Roman"/>
          <w:highlight w:val="none"/>
        </w:rPr>
        <w:tab/>
      </w:r>
      <w:r>
        <w:rPr>
          <w:rFonts w:ascii="Times New Roman" w:hAnsi="Times New Roman"/>
          <w:highlight w:val="none"/>
        </w:rPr>
        <w:t xml:space="preserve">                 </w:t>
      </w:r>
      <w:r>
        <w:rPr>
          <w:rFonts w:hint="eastAsia" w:ascii="Times New Roman" w:hAnsi="Times New Roman"/>
          <w:highlight w:val="none"/>
        </w:rPr>
        <w:t xml:space="preserve">  </w:t>
      </w:r>
      <w:r>
        <w:rPr>
          <w:rFonts w:ascii="Times New Roman" w:hAnsi="Times New Roman"/>
          <w:highlight w:val="none"/>
        </w:rPr>
        <w:t>绿色</w:t>
      </w:r>
    </w:p>
    <w:p w14:paraId="24F94FD1">
      <w:pPr>
        <w:pStyle w:val="28"/>
        <w:spacing w:line="360" w:lineRule="auto"/>
        <w:ind w:left="0" w:firstLine="480"/>
        <w:rPr>
          <w:rFonts w:ascii="Times New Roman" w:hAnsi="Times New Roman"/>
          <w:highlight w:val="none"/>
        </w:rPr>
      </w:pPr>
      <w:r>
        <w:rPr>
          <w:rFonts w:ascii="Times New Roman" w:hAnsi="Times New Roman"/>
          <w:highlight w:val="none"/>
        </w:rPr>
        <w:t>－所有其他按钮</w:t>
      </w:r>
      <w:r>
        <w:rPr>
          <w:rFonts w:ascii="Times New Roman" w:hAnsi="Times New Roman"/>
          <w:highlight w:val="none"/>
        </w:rPr>
        <w:tab/>
      </w:r>
      <w:r>
        <w:rPr>
          <w:rFonts w:ascii="Times New Roman" w:hAnsi="Times New Roman"/>
          <w:highlight w:val="none"/>
        </w:rPr>
        <w:tab/>
      </w:r>
      <w:r>
        <w:rPr>
          <w:rFonts w:ascii="Times New Roman" w:hAnsi="Times New Roman"/>
          <w:highlight w:val="none"/>
        </w:rPr>
        <w:tab/>
      </w:r>
      <w:r>
        <w:rPr>
          <w:rFonts w:ascii="Times New Roman" w:hAnsi="Times New Roman"/>
          <w:highlight w:val="none"/>
        </w:rPr>
        <w:tab/>
      </w:r>
      <w:r>
        <w:rPr>
          <w:rFonts w:ascii="Times New Roman" w:hAnsi="Times New Roman"/>
          <w:highlight w:val="none"/>
        </w:rPr>
        <w:t xml:space="preserve"> 黑色并带有相关铭牌文字</w:t>
      </w:r>
    </w:p>
    <w:p w14:paraId="0B77C478">
      <w:pPr>
        <w:pStyle w:val="28"/>
        <w:spacing w:line="360" w:lineRule="auto"/>
        <w:ind w:left="0" w:firstLine="480"/>
        <w:rPr>
          <w:rFonts w:ascii="Times New Roman" w:hAnsi="Times New Roman"/>
          <w:highlight w:val="none"/>
        </w:rPr>
      </w:pPr>
      <w:r>
        <w:rPr>
          <w:rFonts w:ascii="Times New Roman" w:hAnsi="Times New Roman"/>
          <w:highlight w:val="none"/>
        </w:rPr>
        <w:t>电气设备耐压要求</w:t>
      </w:r>
    </w:p>
    <w:p w14:paraId="0CB8E446">
      <w:pPr>
        <w:pStyle w:val="28"/>
        <w:spacing w:line="360" w:lineRule="auto"/>
        <w:ind w:left="0" w:firstLine="480"/>
        <w:rPr>
          <w:rFonts w:ascii="Times New Roman" w:hAnsi="Times New Roman"/>
          <w:highlight w:val="none"/>
        </w:rPr>
      </w:pPr>
      <w:r>
        <w:rPr>
          <w:rFonts w:ascii="Times New Roman" w:hAnsi="Times New Roman"/>
          <w:highlight w:val="none"/>
        </w:rPr>
        <w:t xml:space="preserve"> 400V设备</w:t>
      </w:r>
    </w:p>
    <w:p w14:paraId="2C19F925">
      <w:pPr>
        <w:pStyle w:val="28"/>
        <w:spacing w:line="360" w:lineRule="auto"/>
        <w:ind w:left="0" w:firstLine="480"/>
        <w:rPr>
          <w:rFonts w:ascii="Times New Roman" w:hAnsi="Times New Roman"/>
          <w:highlight w:val="none"/>
        </w:rPr>
      </w:pPr>
      <w:r>
        <w:rPr>
          <w:rFonts w:ascii="Times New Roman" w:hAnsi="Times New Roman"/>
          <w:highlight w:val="none"/>
        </w:rPr>
        <w:t>额定电压：660V</w:t>
      </w:r>
    </w:p>
    <w:p w14:paraId="7B77BE41">
      <w:pPr>
        <w:pStyle w:val="28"/>
        <w:spacing w:line="360" w:lineRule="auto"/>
        <w:ind w:left="0" w:firstLine="480"/>
        <w:rPr>
          <w:rFonts w:ascii="Times New Roman" w:hAnsi="Times New Roman"/>
          <w:highlight w:val="none"/>
        </w:rPr>
      </w:pPr>
      <w:r>
        <w:rPr>
          <w:rFonts w:ascii="Times New Roman" w:hAnsi="Times New Roman"/>
          <w:highlight w:val="none"/>
        </w:rPr>
        <w:t>绝缘水平：工频2500V（1分钟）</w:t>
      </w:r>
    </w:p>
    <w:p w14:paraId="3BCABE32">
      <w:pPr>
        <w:pStyle w:val="8"/>
        <w:numPr>
          <w:ilvl w:val="3"/>
          <w:numId w:val="0"/>
        </w:numPr>
        <w:rPr>
          <w:rFonts w:ascii="Times New Roman"/>
          <w:b/>
          <w:bCs/>
          <w:highlight w:val="none"/>
        </w:rPr>
      </w:pPr>
      <w:r>
        <w:rPr>
          <w:rFonts w:ascii="Times New Roman"/>
          <w:b/>
          <w:bCs/>
          <w:highlight w:val="none"/>
        </w:rPr>
        <w:t>4.3.</w:t>
      </w:r>
      <w:r>
        <w:rPr>
          <w:rFonts w:hint="eastAsia" w:ascii="Times New Roman"/>
          <w:b/>
          <w:bCs/>
          <w:highlight w:val="none"/>
        </w:rPr>
        <w:t xml:space="preserve">3 </w:t>
      </w:r>
      <w:r>
        <w:rPr>
          <w:rFonts w:ascii="Times New Roman"/>
          <w:b/>
          <w:bCs/>
          <w:highlight w:val="none"/>
        </w:rPr>
        <w:t>低压电机</w:t>
      </w:r>
    </w:p>
    <w:p w14:paraId="6BEF644B">
      <w:pPr>
        <w:pStyle w:val="28"/>
        <w:spacing w:line="360" w:lineRule="auto"/>
        <w:ind w:left="0" w:firstLine="480"/>
        <w:rPr>
          <w:rFonts w:ascii="Times New Roman" w:hAnsi="Times New Roman"/>
          <w:highlight w:val="none"/>
        </w:rPr>
      </w:pPr>
      <w:r>
        <w:rPr>
          <w:rFonts w:ascii="Times New Roman" w:hAnsi="Times New Roman"/>
          <w:highlight w:val="none"/>
        </w:rPr>
        <w:t>投标人将按有关的标准和规定进行设计、推荐低压电机选型、制造、运输、安装及投入运行的方案。</w:t>
      </w:r>
    </w:p>
    <w:p w14:paraId="59E7932C">
      <w:pPr>
        <w:pStyle w:val="28"/>
        <w:spacing w:line="360" w:lineRule="auto"/>
        <w:ind w:left="0" w:firstLine="480"/>
        <w:rPr>
          <w:rFonts w:ascii="Times New Roman" w:hAnsi="Times New Roman"/>
          <w:highlight w:val="none"/>
        </w:rPr>
      </w:pPr>
      <w:r>
        <w:rPr>
          <w:rFonts w:ascii="Times New Roman" w:hAnsi="Times New Roman"/>
          <w:highlight w:val="none"/>
        </w:rPr>
        <w:t>低压电动机将满足如下要求：</w:t>
      </w:r>
    </w:p>
    <w:p w14:paraId="2405D7A0">
      <w:pPr>
        <w:pStyle w:val="28"/>
        <w:spacing w:line="360" w:lineRule="auto"/>
        <w:ind w:left="0" w:firstLine="480"/>
        <w:rPr>
          <w:rFonts w:ascii="Times New Roman" w:hAnsi="Times New Roman"/>
          <w:highlight w:val="none"/>
        </w:rPr>
      </w:pPr>
      <w:r>
        <w:rPr>
          <w:rFonts w:ascii="Times New Roman" w:hAnsi="Times New Roman"/>
          <w:highlight w:val="none"/>
        </w:rPr>
        <w:t>选用新型高效、节能的电动机，所有电机能效等级要求二级及以上，电动机设计寿命不少于30年。</w:t>
      </w:r>
    </w:p>
    <w:p w14:paraId="0F2DEA66">
      <w:pPr>
        <w:pStyle w:val="28"/>
        <w:spacing w:line="360" w:lineRule="auto"/>
        <w:ind w:left="0" w:firstLine="480"/>
        <w:rPr>
          <w:rFonts w:ascii="Times New Roman" w:hAnsi="Times New Roman"/>
          <w:highlight w:val="none"/>
        </w:rPr>
      </w:pPr>
      <w:r>
        <w:rPr>
          <w:rFonts w:ascii="Times New Roman" w:hAnsi="Times New Roman"/>
          <w:highlight w:val="none"/>
        </w:rPr>
        <w:t>电动机将适应安装处的环境条件，防护等级(包括接线盒</w:t>
      </w:r>
      <w:r>
        <w:rPr>
          <w:rFonts w:hint="eastAsia"/>
          <w:highlight w:val="none"/>
        </w:rPr>
        <w:t>)</w:t>
      </w:r>
      <w:r>
        <w:rPr>
          <w:rFonts w:ascii="Times New Roman" w:hAnsi="Times New Roman"/>
          <w:highlight w:val="none"/>
        </w:rPr>
        <w:t>至少将为IP54。</w:t>
      </w:r>
    </w:p>
    <w:p w14:paraId="6F85F34A">
      <w:pPr>
        <w:pStyle w:val="28"/>
        <w:spacing w:line="360" w:lineRule="auto"/>
        <w:ind w:left="0" w:firstLine="480"/>
        <w:rPr>
          <w:rFonts w:ascii="Times New Roman" w:hAnsi="Times New Roman"/>
          <w:highlight w:val="none"/>
        </w:rPr>
      </w:pPr>
      <w:r>
        <w:rPr>
          <w:rFonts w:ascii="Times New Roman" w:hAnsi="Times New Roman"/>
          <w:highlight w:val="none"/>
        </w:rPr>
        <w:t>当用于反复、重载起动或需要在小范围内调速的机械时，为提高运行的经济性，可采用变频调速电动机。</w:t>
      </w:r>
    </w:p>
    <w:p w14:paraId="00D34C7B">
      <w:pPr>
        <w:pStyle w:val="28"/>
        <w:spacing w:line="360" w:lineRule="auto"/>
        <w:ind w:left="0" w:firstLine="480"/>
        <w:rPr>
          <w:rFonts w:ascii="Times New Roman" w:hAnsi="Times New Roman"/>
          <w:highlight w:val="none"/>
        </w:rPr>
      </w:pPr>
      <w:r>
        <w:rPr>
          <w:rFonts w:ascii="Times New Roman" w:hAnsi="Times New Roman"/>
          <w:highlight w:val="none"/>
        </w:rPr>
        <w:t>机械转动惯量大或重载起动的电动机，其额定容量将按起动条件进行效验。</w:t>
      </w:r>
    </w:p>
    <w:p w14:paraId="4529C20E">
      <w:pPr>
        <w:pStyle w:val="28"/>
        <w:spacing w:line="360" w:lineRule="auto"/>
        <w:ind w:left="0" w:firstLine="480"/>
        <w:rPr>
          <w:rFonts w:ascii="Times New Roman" w:hAnsi="Times New Roman"/>
          <w:highlight w:val="none"/>
        </w:rPr>
      </w:pPr>
      <w:r>
        <w:rPr>
          <w:rFonts w:ascii="Times New Roman" w:hAnsi="Times New Roman"/>
          <w:highlight w:val="none"/>
        </w:rPr>
        <w:t>电动机绝缘将不低于F级，但温升按B级考核。电动机绕组将是经真空压力浸渍处理的环氧树脂绝缘。</w:t>
      </w:r>
    </w:p>
    <w:p w14:paraId="6E0675D7">
      <w:pPr>
        <w:pStyle w:val="28"/>
        <w:spacing w:line="360" w:lineRule="auto"/>
        <w:ind w:left="0" w:firstLine="480"/>
        <w:rPr>
          <w:rFonts w:ascii="Times New Roman" w:hAnsi="Times New Roman"/>
          <w:highlight w:val="none"/>
        </w:rPr>
      </w:pPr>
      <w:r>
        <w:rPr>
          <w:rFonts w:ascii="Times New Roman" w:hAnsi="Times New Roman"/>
          <w:highlight w:val="none"/>
        </w:rPr>
        <w:t>电动机定子绕组的端部线匝将采用弹性耐磨涂层，并对通风槽片进行处理。</w:t>
      </w:r>
    </w:p>
    <w:p w14:paraId="08E3ADD9">
      <w:pPr>
        <w:pStyle w:val="28"/>
        <w:spacing w:line="360" w:lineRule="auto"/>
        <w:ind w:left="0" w:firstLine="480"/>
        <w:rPr>
          <w:rFonts w:ascii="Times New Roman" w:hAnsi="Times New Roman"/>
          <w:highlight w:val="none"/>
        </w:rPr>
      </w:pPr>
      <w:r>
        <w:rPr>
          <w:rFonts w:ascii="Times New Roman" w:hAnsi="Times New Roman"/>
          <w:highlight w:val="none"/>
        </w:rPr>
        <w:t>电动机将能承受正反转的超速值，而不损坏。</w:t>
      </w:r>
    </w:p>
    <w:p w14:paraId="2191114F">
      <w:pPr>
        <w:pStyle w:val="28"/>
        <w:spacing w:line="360" w:lineRule="auto"/>
        <w:ind w:left="0" w:firstLine="480"/>
        <w:rPr>
          <w:rFonts w:ascii="Times New Roman" w:hAnsi="Times New Roman"/>
          <w:highlight w:val="none"/>
        </w:rPr>
      </w:pPr>
      <w:r>
        <w:rPr>
          <w:rFonts w:ascii="Times New Roman" w:hAnsi="Times New Roman"/>
          <w:highlight w:val="none"/>
        </w:rPr>
        <w:t>电动机振幅将不超过GB标准的规定。安装时，投标书也将采取措施，将电动机振幅限值在标准规定的范围内。</w:t>
      </w:r>
    </w:p>
    <w:p w14:paraId="5551D55F">
      <w:pPr>
        <w:pStyle w:val="28"/>
        <w:spacing w:line="360" w:lineRule="auto"/>
        <w:ind w:left="0" w:firstLine="480"/>
        <w:rPr>
          <w:rFonts w:ascii="Times New Roman" w:hAnsi="Times New Roman"/>
          <w:highlight w:val="none"/>
        </w:rPr>
      </w:pPr>
      <w:r>
        <w:rPr>
          <w:rFonts w:ascii="Times New Roman" w:hAnsi="Times New Roman"/>
          <w:highlight w:val="none"/>
        </w:rPr>
        <w:t>电动机的最高噪声水平，在距外壳1 m处，将不超过85 dB。</w:t>
      </w:r>
    </w:p>
    <w:p w14:paraId="3F7376E7">
      <w:pPr>
        <w:pStyle w:val="28"/>
        <w:spacing w:line="360" w:lineRule="auto"/>
        <w:ind w:left="0" w:firstLine="480"/>
        <w:rPr>
          <w:rFonts w:ascii="Times New Roman" w:hAnsi="Times New Roman"/>
          <w:highlight w:val="none"/>
        </w:rPr>
      </w:pPr>
      <w:r>
        <w:rPr>
          <w:rFonts w:ascii="Times New Roman" w:hAnsi="Times New Roman"/>
          <w:highlight w:val="none"/>
        </w:rPr>
        <w:t>当需设置通风隔栅时，隔栅将方便拆卸，并做与电动机机座、外壳油漆部分相同的防腐处理。</w:t>
      </w:r>
    </w:p>
    <w:p w14:paraId="4BA54A25">
      <w:pPr>
        <w:pStyle w:val="28"/>
        <w:spacing w:line="360" w:lineRule="auto"/>
        <w:ind w:left="0" w:firstLine="480"/>
        <w:rPr>
          <w:rFonts w:ascii="Times New Roman" w:hAnsi="Times New Roman"/>
          <w:highlight w:val="none"/>
        </w:rPr>
      </w:pPr>
      <w:r>
        <w:rPr>
          <w:rFonts w:ascii="Times New Roman" w:hAnsi="Times New Roman"/>
          <w:highlight w:val="none"/>
        </w:rPr>
        <w:t>电动机基本性能保证值为：</w:t>
      </w:r>
    </w:p>
    <w:p w14:paraId="1F1A3932">
      <w:pPr>
        <w:pStyle w:val="28"/>
        <w:spacing w:line="360" w:lineRule="auto"/>
        <w:ind w:left="0" w:firstLine="480"/>
        <w:rPr>
          <w:rFonts w:ascii="Times New Roman" w:hAnsi="Times New Roman"/>
          <w:highlight w:val="none"/>
        </w:rPr>
      </w:pPr>
      <w:r>
        <w:rPr>
          <w:rFonts w:ascii="Times New Roman" w:hAnsi="Times New Roman"/>
          <w:highlight w:val="none"/>
        </w:rPr>
        <w:t>效率</w:t>
      </w:r>
      <w:r>
        <w:rPr>
          <w:rFonts w:ascii="Times New Roman" w:hAnsi="Times New Roman"/>
          <w:highlight w:val="none"/>
        </w:rPr>
        <w:sym w:font="Symbol" w:char="F068"/>
      </w:r>
      <w:r>
        <w:rPr>
          <w:rFonts w:ascii="Times New Roman" w:hAnsi="Times New Roman"/>
          <w:highlight w:val="none"/>
        </w:rPr>
        <w:t xml:space="preserve">：&gt;95% </w:t>
      </w:r>
    </w:p>
    <w:p w14:paraId="4C10FF24">
      <w:pPr>
        <w:pStyle w:val="28"/>
        <w:spacing w:line="360" w:lineRule="auto"/>
        <w:ind w:left="0" w:firstLine="480"/>
        <w:rPr>
          <w:rFonts w:ascii="Times New Roman" w:hAnsi="Times New Roman"/>
          <w:highlight w:val="none"/>
        </w:rPr>
      </w:pPr>
      <w:r>
        <w:rPr>
          <w:rFonts w:ascii="Times New Roman" w:hAnsi="Times New Roman"/>
          <w:highlight w:val="none"/>
        </w:rPr>
        <w:t>功率因数cos</w:t>
      </w:r>
      <w:r>
        <w:rPr>
          <w:rFonts w:ascii="Times New Roman" w:hAnsi="Times New Roman"/>
          <w:highlight w:val="none"/>
        </w:rPr>
        <w:sym w:font="Symbol" w:char="F06A"/>
      </w:r>
      <w:r>
        <w:rPr>
          <w:rFonts w:ascii="Times New Roman" w:hAnsi="Times New Roman"/>
          <w:highlight w:val="none"/>
        </w:rPr>
        <w:t xml:space="preserve">：0.85 </w:t>
      </w:r>
    </w:p>
    <w:p w14:paraId="4318E8F6">
      <w:pPr>
        <w:pStyle w:val="28"/>
        <w:spacing w:line="360" w:lineRule="auto"/>
        <w:ind w:left="0" w:firstLine="480"/>
        <w:rPr>
          <w:rFonts w:ascii="Times New Roman" w:hAnsi="Times New Roman"/>
          <w:highlight w:val="none"/>
        </w:rPr>
      </w:pPr>
      <w:r>
        <w:rPr>
          <w:rFonts w:ascii="Times New Roman" w:hAnsi="Times New Roman"/>
          <w:highlight w:val="none"/>
        </w:rPr>
        <w:t>启动电流保证值：</w:t>
      </w:r>
      <w:r>
        <w:rPr>
          <w:rFonts w:ascii="Times New Roman" w:hAnsi="Times New Roman"/>
          <w:highlight w:val="none"/>
        </w:rPr>
        <w:sym w:font="Symbol" w:char="F0A3"/>
      </w:r>
      <w:r>
        <w:rPr>
          <w:rFonts w:ascii="Times New Roman" w:hAnsi="Times New Roman"/>
          <w:highlight w:val="none"/>
        </w:rPr>
        <w:t xml:space="preserve"> 6.5倍额定电流</w:t>
      </w:r>
    </w:p>
    <w:p w14:paraId="2DADF9E3">
      <w:pPr>
        <w:pStyle w:val="28"/>
        <w:spacing w:line="360" w:lineRule="auto"/>
        <w:ind w:left="0" w:firstLine="480"/>
        <w:rPr>
          <w:rFonts w:ascii="Times New Roman" w:hAnsi="Times New Roman"/>
          <w:highlight w:val="none"/>
        </w:rPr>
      </w:pPr>
      <w:r>
        <w:rPr>
          <w:rFonts w:ascii="Times New Roman" w:hAnsi="Times New Roman"/>
          <w:highlight w:val="none"/>
        </w:rPr>
        <w:t>启动转矩保证值：</w:t>
      </w:r>
      <w:r>
        <w:rPr>
          <w:rFonts w:ascii="Times New Roman" w:hAnsi="Times New Roman"/>
          <w:highlight w:val="none"/>
        </w:rPr>
        <w:sym w:font="Symbol" w:char="F0B3"/>
      </w:r>
      <w:r>
        <w:rPr>
          <w:rFonts w:ascii="Times New Roman" w:hAnsi="Times New Roman"/>
          <w:highlight w:val="none"/>
        </w:rPr>
        <w:t>1.0倍额定转矩；</w:t>
      </w:r>
    </w:p>
    <w:p w14:paraId="06584F1D">
      <w:pPr>
        <w:pStyle w:val="28"/>
        <w:spacing w:line="360" w:lineRule="auto"/>
        <w:ind w:left="0" w:firstLine="480"/>
        <w:rPr>
          <w:rFonts w:ascii="Times New Roman" w:hAnsi="Times New Roman"/>
          <w:highlight w:val="none"/>
        </w:rPr>
      </w:pPr>
      <w:r>
        <w:rPr>
          <w:rFonts w:ascii="Times New Roman" w:hAnsi="Times New Roman"/>
          <w:highlight w:val="none"/>
        </w:rPr>
        <w:t>最大转矩保证值：</w:t>
      </w:r>
      <w:r>
        <w:rPr>
          <w:rFonts w:ascii="Times New Roman" w:hAnsi="Times New Roman"/>
          <w:highlight w:val="none"/>
        </w:rPr>
        <w:sym w:font="Symbol" w:char="F0B3"/>
      </w:r>
      <w:r>
        <w:rPr>
          <w:rFonts w:ascii="Times New Roman" w:hAnsi="Times New Roman"/>
          <w:highlight w:val="none"/>
        </w:rPr>
        <w:t xml:space="preserve">1.6倍额定转矩 </w:t>
      </w:r>
    </w:p>
    <w:p w14:paraId="04DFB041">
      <w:pPr>
        <w:pStyle w:val="28"/>
        <w:spacing w:line="360" w:lineRule="auto"/>
        <w:ind w:left="0" w:firstLine="480"/>
        <w:rPr>
          <w:rFonts w:ascii="Times New Roman" w:hAnsi="Times New Roman"/>
          <w:highlight w:val="none"/>
        </w:rPr>
      </w:pPr>
      <w:r>
        <w:rPr>
          <w:rFonts w:ascii="Times New Roman" w:hAnsi="Times New Roman"/>
          <w:highlight w:val="none"/>
        </w:rPr>
        <w:t>当电源频率为额定，电源电压与额定值的偏差不超过+10和</w:t>
      </w:r>
      <w:r>
        <w:rPr>
          <w:rFonts w:hint="eastAsia" w:ascii="Times New Roman" w:hAnsi="Times New Roman"/>
          <w:highlight w:val="none"/>
        </w:rPr>
        <w:t>-</w:t>
      </w:r>
      <w:r>
        <w:rPr>
          <w:rFonts w:ascii="Times New Roman" w:hAnsi="Times New Roman"/>
          <w:highlight w:val="none"/>
        </w:rPr>
        <w:t>10％时，电动机将能输出额定功率。</w:t>
      </w:r>
    </w:p>
    <w:p w14:paraId="1479613E">
      <w:pPr>
        <w:pStyle w:val="28"/>
        <w:spacing w:line="360" w:lineRule="auto"/>
        <w:ind w:left="0" w:firstLine="480"/>
        <w:rPr>
          <w:rFonts w:ascii="Times New Roman" w:hAnsi="Times New Roman"/>
          <w:highlight w:val="none"/>
        </w:rPr>
      </w:pPr>
      <w:r>
        <w:rPr>
          <w:rFonts w:ascii="Times New Roman" w:hAnsi="Times New Roman"/>
          <w:highlight w:val="none"/>
        </w:rPr>
        <w:t>当电压为额定，电源频率为47.5～52.5Hz时，电动机将能输出额定功率。</w:t>
      </w:r>
    </w:p>
    <w:p w14:paraId="0F9440C6">
      <w:pPr>
        <w:pStyle w:val="28"/>
        <w:spacing w:line="360" w:lineRule="auto"/>
        <w:ind w:left="0" w:firstLine="480"/>
        <w:rPr>
          <w:rFonts w:ascii="Times New Roman" w:hAnsi="Times New Roman"/>
          <w:highlight w:val="none"/>
        </w:rPr>
      </w:pPr>
      <w:r>
        <w:rPr>
          <w:rFonts w:ascii="Times New Roman" w:hAnsi="Times New Roman"/>
          <w:highlight w:val="none"/>
        </w:rPr>
        <w:t>电源电压和频率同时变化，但变化之和的绝对值不大于10％时，电动机将能输出额定功率。</w:t>
      </w:r>
    </w:p>
    <w:p w14:paraId="458596B7">
      <w:pPr>
        <w:pStyle w:val="28"/>
        <w:spacing w:line="360" w:lineRule="auto"/>
        <w:ind w:left="0" w:firstLine="480"/>
        <w:rPr>
          <w:rFonts w:ascii="Times New Roman" w:hAnsi="Times New Roman"/>
          <w:highlight w:val="none"/>
        </w:rPr>
      </w:pPr>
      <w:r>
        <w:rPr>
          <w:rFonts w:ascii="Times New Roman" w:hAnsi="Times New Roman"/>
          <w:highlight w:val="none"/>
        </w:rPr>
        <w:t>电动机在额定电压下的最大转矩与额定转矩之比不低于1.6倍。电动机适用于全电压起动，且能在80%额定电压下正常起动，可能自起动的电动机能在55%额定电压下自起动。在一小时内，电动机将能在冷态下连续起动不少于2次，每次的起动间隔时间不大于5分钟，热态起动不少于1次，起动时电动机端最低电压为55％额定电压。</w:t>
      </w:r>
    </w:p>
    <w:p w14:paraId="30F3B975">
      <w:pPr>
        <w:pStyle w:val="28"/>
        <w:spacing w:line="360" w:lineRule="auto"/>
        <w:ind w:left="0" w:firstLine="480"/>
        <w:rPr>
          <w:rFonts w:ascii="Times New Roman" w:hAnsi="Times New Roman"/>
          <w:highlight w:val="none"/>
        </w:rPr>
      </w:pPr>
      <w:r>
        <w:rPr>
          <w:rFonts w:ascii="Times New Roman" w:hAnsi="Times New Roman"/>
          <w:highlight w:val="none"/>
        </w:rPr>
        <w:t>电动机将能承受满负荷运行时从工作电源切换到另一个电源时、由于电动机自起动而施加在电动机上的扭矩和电流冲击引起的应力。</w:t>
      </w:r>
    </w:p>
    <w:p w14:paraId="111E8237">
      <w:pPr>
        <w:pStyle w:val="28"/>
        <w:spacing w:line="360" w:lineRule="auto"/>
        <w:ind w:left="0" w:firstLine="480"/>
        <w:rPr>
          <w:rFonts w:ascii="Times New Roman" w:hAnsi="Times New Roman"/>
          <w:highlight w:val="none"/>
        </w:rPr>
      </w:pPr>
      <w:r>
        <w:rPr>
          <w:rFonts w:ascii="Times New Roman" w:hAnsi="Times New Roman"/>
          <w:highlight w:val="none"/>
        </w:rPr>
        <w:t>电动机将有固定接地导线的装置，采用螺栓连接，接地装置将为两个，布置在电动机的底座的对角线上。</w:t>
      </w:r>
    </w:p>
    <w:p w14:paraId="5A76411C">
      <w:pPr>
        <w:pStyle w:val="28"/>
        <w:spacing w:line="360" w:lineRule="auto"/>
        <w:ind w:left="0" w:firstLine="480"/>
        <w:rPr>
          <w:rFonts w:ascii="Times New Roman" w:hAnsi="Times New Roman"/>
          <w:highlight w:val="none"/>
        </w:rPr>
      </w:pPr>
      <w:r>
        <w:rPr>
          <w:rFonts w:ascii="Times New Roman" w:hAnsi="Times New Roman"/>
          <w:highlight w:val="none"/>
        </w:rPr>
        <w:t>电动机的出线盒将按功能</w:t>
      </w:r>
      <w:r>
        <w:rPr>
          <w:rFonts w:hint="eastAsia" w:ascii="Times New Roman" w:hAnsi="Times New Roman"/>
          <w:highlight w:val="none"/>
        </w:rPr>
        <w:t>（</w:t>
      </w:r>
      <w:r>
        <w:rPr>
          <w:rFonts w:ascii="Times New Roman" w:hAnsi="Times New Roman"/>
          <w:highlight w:val="none"/>
        </w:rPr>
        <w:t>电源、空间加热器、测温</w:t>
      </w:r>
      <w:r>
        <w:rPr>
          <w:rFonts w:hint="eastAsia" w:ascii="Times New Roman" w:hAnsi="Times New Roman"/>
          <w:highlight w:val="none"/>
        </w:rPr>
        <w:t>）</w:t>
      </w:r>
      <w:r>
        <w:rPr>
          <w:rFonts w:ascii="Times New Roman" w:hAnsi="Times New Roman"/>
          <w:highlight w:val="none"/>
        </w:rPr>
        <w:t>分别独立设置，从电动机轴伸端看这些接线盒的方位将在电动机的右侧。接线盒将具有足够的尺寸，距基座将有足够的高度以便引接电缆。</w:t>
      </w:r>
    </w:p>
    <w:p w14:paraId="05ACB3CE">
      <w:pPr>
        <w:pStyle w:val="28"/>
        <w:spacing w:line="360" w:lineRule="auto"/>
        <w:ind w:left="0" w:firstLine="480"/>
        <w:rPr>
          <w:rFonts w:ascii="Times New Roman" w:hAnsi="Times New Roman"/>
          <w:highlight w:val="none"/>
        </w:rPr>
      </w:pPr>
      <w:r>
        <w:rPr>
          <w:rFonts w:ascii="Times New Roman" w:hAnsi="Times New Roman"/>
          <w:highlight w:val="none"/>
        </w:rPr>
        <w:t>除非业主同意或有另外的规定，否则电机额定功率将比被拖动机械的轴功率至少有15%的设计冗余。</w:t>
      </w:r>
    </w:p>
    <w:p w14:paraId="4D7A9723">
      <w:pPr>
        <w:pStyle w:val="28"/>
        <w:spacing w:line="360" w:lineRule="auto"/>
        <w:ind w:left="0" w:firstLine="480"/>
        <w:rPr>
          <w:rFonts w:ascii="Times New Roman" w:hAnsi="Times New Roman"/>
          <w:highlight w:val="none"/>
        </w:rPr>
      </w:pPr>
      <w:r>
        <w:rPr>
          <w:rFonts w:ascii="Times New Roman" w:hAnsi="Times New Roman"/>
          <w:highlight w:val="none"/>
        </w:rPr>
        <w:t>电机设计将保证能在额定频率，110%额定电压下正常运行。</w:t>
      </w:r>
    </w:p>
    <w:p w14:paraId="7305077B">
      <w:pPr>
        <w:pStyle w:val="28"/>
        <w:spacing w:line="360" w:lineRule="auto"/>
        <w:ind w:left="0" w:firstLine="480"/>
        <w:rPr>
          <w:rFonts w:ascii="Times New Roman" w:hAnsi="Times New Roman"/>
          <w:highlight w:val="none"/>
        </w:rPr>
      </w:pPr>
      <w:r>
        <w:rPr>
          <w:rFonts w:ascii="Times New Roman" w:hAnsi="Times New Roman"/>
          <w:highlight w:val="none"/>
        </w:rPr>
        <w:t>IEC标准规定的允许的供电电源谐波将不会在电机连续运行时造成过度温升。</w:t>
      </w:r>
    </w:p>
    <w:p w14:paraId="22FCFDDC">
      <w:pPr>
        <w:pStyle w:val="28"/>
        <w:spacing w:line="360" w:lineRule="auto"/>
        <w:ind w:left="0" w:firstLine="480"/>
        <w:rPr>
          <w:rFonts w:ascii="Times New Roman" w:hAnsi="Times New Roman"/>
          <w:highlight w:val="none"/>
        </w:rPr>
      </w:pPr>
      <w:r>
        <w:rPr>
          <w:rFonts w:ascii="Times New Roman" w:hAnsi="Times New Roman"/>
          <w:highlight w:val="none"/>
        </w:rPr>
        <w:t>电动机外壳底部将有带塞的冷凝水排放孔，防爆电动机的塞子将为经安全部门认可的排放塞。</w:t>
      </w:r>
    </w:p>
    <w:p w14:paraId="5EA3A448">
      <w:pPr>
        <w:pStyle w:val="28"/>
        <w:spacing w:line="360" w:lineRule="auto"/>
        <w:ind w:left="0" w:firstLine="480"/>
        <w:rPr>
          <w:rFonts w:ascii="Times New Roman" w:hAnsi="Times New Roman"/>
          <w:highlight w:val="none"/>
        </w:rPr>
      </w:pPr>
      <w:r>
        <w:rPr>
          <w:rFonts w:ascii="Times New Roman" w:hAnsi="Times New Roman"/>
          <w:highlight w:val="none"/>
        </w:rPr>
        <w:t>电动机和轴承的结构将能防尘、防水，并可防止润滑剂溅落到电动机绕组。</w:t>
      </w:r>
    </w:p>
    <w:p w14:paraId="46E2434F">
      <w:pPr>
        <w:pStyle w:val="28"/>
        <w:spacing w:line="360" w:lineRule="auto"/>
        <w:ind w:left="0" w:firstLine="480"/>
        <w:rPr>
          <w:rFonts w:ascii="Times New Roman" w:hAnsi="Times New Roman"/>
          <w:highlight w:val="none"/>
        </w:rPr>
      </w:pPr>
      <w:r>
        <w:rPr>
          <w:rFonts w:ascii="Times New Roman" w:hAnsi="Times New Roman"/>
          <w:highlight w:val="none"/>
        </w:rPr>
        <w:t>电动机轴承要求如下：</w:t>
      </w:r>
    </w:p>
    <w:p w14:paraId="713D0FC7">
      <w:pPr>
        <w:pStyle w:val="28"/>
        <w:spacing w:line="360" w:lineRule="auto"/>
        <w:ind w:left="0" w:firstLine="480"/>
        <w:rPr>
          <w:rFonts w:ascii="Times New Roman" w:hAnsi="Times New Roman"/>
          <w:highlight w:val="none"/>
        </w:rPr>
      </w:pPr>
      <w:r>
        <w:rPr>
          <w:rFonts w:ascii="Times New Roman" w:hAnsi="Times New Roman"/>
          <w:highlight w:val="none"/>
        </w:rPr>
        <w:t>电动机轴承均为自润滑轴承，优先采用优质进口的滚动轴承。</w:t>
      </w:r>
    </w:p>
    <w:p w14:paraId="4E933C94">
      <w:pPr>
        <w:pStyle w:val="28"/>
        <w:spacing w:line="360" w:lineRule="auto"/>
        <w:ind w:left="0" w:firstLine="480"/>
        <w:rPr>
          <w:rFonts w:ascii="Times New Roman" w:hAnsi="Times New Roman"/>
          <w:highlight w:val="none"/>
        </w:rPr>
      </w:pPr>
      <w:r>
        <w:rPr>
          <w:rFonts w:ascii="Times New Roman" w:hAnsi="Times New Roman"/>
          <w:highlight w:val="none"/>
        </w:rPr>
        <w:t>将提供带指示器的油位观察仪和加油油杯，如果观察仪的油位在电动机停运和正常运行时差别不明显，则将提供电动机正常运行时检查轴承润滑油流动的方法。</w:t>
      </w:r>
    </w:p>
    <w:p w14:paraId="0187DA34">
      <w:pPr>
        <w:pStyle w:val="28"/>
        <w:spacing w:line="360" w:lineRule="auto"/>
        <w:ind w:left="0" w:firstLine="480"/>
        <w:rPr>
          <w:rFonts w:ascii="Times New Roman" w:hAnsi="Times New Roman"/>
          <w:highlight w:val="none"/>
        </w:rPr>
      </w:pPr>
      <w:r>
        <w:rPr>
          <w:rFonts w:ascii="Times New Roman" w:hAnsi="Times New Roman"/>
          <w:highlight w:val="none"/>
        </w:rPr>
        <w:t>当有轴承架时，轴承架将与电动机机座绝缘，并在联轴器端的轴承架上提供一个可拆卸的接地搭接片。</w:t>
      </w:r>
    </w:p>
    <w:p w14:paraId="53CAA799">
      <w:pPr>
        <w:pStyle w:val="28"/>
        <w:spacing w:line="360" w:lineRule="auto"/>
        <w:ind w:left="0" w:firstLine="480"/>
        <w:rPr>
          <w:rFonts w:ascii="Times New Roman" w:hAnsi="Times New Roman"/>
          <w:highlight w:val="none"/>
        </w:rPr>
      </w:pPr>
      <w:r>
        <w:rPr>
          <w:rFonts w:ascii="Times New Roman" w:hAnsi="Times New Roman"/>
          <w:highlight w:val="none"/>
        </w:rPr>
        <w:t>电动机的轴承使用寿命为2500小时，承包商将提供确定轴承寿命的依据的资料及同类使用条件下电动机轴承的性能记录。</w:t>
      </w:r>
    </w:p>
    <w:p w14:paraId="208C86F4">
      <w:pPr>
        <w:pStyle w:val="28"/>
        <w:spacing w:line="360" w:lineRule="auto"/>
        <w:ind w:left="0" w:firstLine="480"/>
        <w:rPr>
          <w:rFonts w:ascii="Times New Roman" w:hAnsi="Times New Roman"/>
          <w:highlight w:val="none"/>
        </w:rPr>
      </w:pPr>
      <w:r>
        <w:rPr>
          <w:rFonts w:ascii="Times New Roman" w:hAnsi="Times New Roman"/>
          <w:highlight w:val="none"/>
        </w:rPr>
        <w:t>具有滑动轴承的电动机将采用带有限制轴端浮动的联轴器，以限制被驱动设备的轴向推力，联轴器的端部浮动将符合有关标准的规定。</w:t>
      </w:r>
    </w:p>
    <w:p w14:paraId="4A2212EF">
      <w:pPr>
        <w:pStyle w:val="28"/>
        <w:spacing w:line="360" w:lineRule="auto"/>
        <w:ind w:left="0" w:firstLine="480"/>
        <w:rPr>
          <w:rFonts w:ascii="Times New Roman" w:hAnsi="Times New Roman"/>
          <w:highlight w:val="none"/>
        </w:rPr>
      </w:pPr>
      <w:r>
        <w:rPr>
          <w:rFonts w:ascii="Times New Roman" w:hAnsi="Times New Roman"/>
          <w:highlight w:val="none"/>
        </w:rPr>
        <w:t>电动机和被驱动设备将共用一个底座，底座采用预埋或二次浇灌混凝土预埋螺栓与基础固定。</w:t>
      </w:r>
    </w:p>
    <w:p w14:paraId="183D41EE">
      <w:pPr>
        <w:pStyle w:val="28"/>
        <w:spacing w:line="360" w:lineRule="auto"/>
        <w:ind w:left="0" w:firstLine="480"/>
        <w:rPr>
          <w:rFonts w:ascii="Times New Roman" w:hAnsi="Times New Roman"/>
          <w:highlight w:val="none"/>
        </w:rPr>
      </w:pPr>
      <w:r>
        <w:rPr>
          <w:rFonts w:ascii="Times New Roman" w:hAnsi="Times New Roman"/>
          <w:highlight w:val="none"/>
        </w:rPr>
        <w:t>电动机上方全部装防雨罩或防雨棚。</w:t>
      </w:r>
    </w:p>
    <w:p w14:paraId="0116F88B">
      <w:pPr>
        <w:pStyle w:val="28"/>
        <w:spacing w:line="360" w:lineRule="auto"/>
        <w:ind w:left="0"/>
        <w:rPr>
          <w:rFonts w:ascii="Times New Roman" w:hAnsi="Times New Roman"/>
          <w:highlight w:val="none"/>
        </w:rPr>
      </w:pPr>
      <w:r>
        <w:rPr>
          <w:rFonts w:ascii="Times New Roman" w:hAnsi="Times New Roman"/>
          <w:highlight w:val="none"/>
        </w:rPr>
        <w:t>4.3.</w:t>
      </w:r>
      <w:r>
        <w:rPr>
          <w:rFonts w:hint="eastAsia" w:ascii="Times New Roman" w:hAnsi="Times New Roman"/>
          <w:highlight w:val="none"/>
        </w:rPr>
        <w:t>4</w:t>
      </w:r>
      <w:r>
        <w:rPr>
          <w:rFonts w:ascii="Times New Roman" w:hAnsi="Times New Roman"/>
          <w:highlight w:val="none"/>
        </w:rPr>
        <w:t xml:space="preserve"> 就地电控箱</w:t>
      </w:r>
    </w:p>
    <w:p w14:paraId="69499EFF">
      <w:pPr>
        <w:spacing w:line="360" w:lineRule="auto"/>
        <w:jc w:val="left"/>
        <w:rPr>
          <w:highlight w:val="none"/>
        </w:rPr>
      </w:pPr>
      <w:r>
        <w:rPr>
          <w:highlight w:val="none"/>
        </w:rPr>
        <w:t>4.3.</w:t>
      </w:r>
      <w:r>
        <w:rPr>
          <w:rFonts w:hint="eastAsia"/>
          <w:highlight w:val="none"/>
        </w:rPr>
        <w:t>4</w:t>
      </w:r>
      <w:r>
        <w:rPr>
          <w:highlight w:val="none"/>
        </w:rPr>
        <w:t>.1 随机配套控制箱应满足GB</w:t>
      </w:r>
      <w:r>
        <w:rPr>
          <w:rFonts w:hint="eastAsia"/>
          <w:highlight w:val="none"/>
        </w:rPr>
        <w:t xml:space="preserve"> </w:t>
      </w:r>
      <w:r>
        <w:rPr>
          <w:highlight w:val="none"/>
        </w:rPr>
        <w:t>7251《低压成套开关设备</w:t>
      </w:r>
      <w:r>
        <w:rPr>
          <w:rFonts w:hint="eastAsia"/>
          <w:highlight w:val="none"/>
        </w:rPr>
        <w:t>和控制设备</w:t>
      </w:r>
      <w:r>
        <w:rPr>
          <w:highlight w:val="none"/>
        </w:rPr>
        <w:t>》，控制箱的防护等级应按GB</w:t>
      </w:r>
      <w:r>
        <w:rPr>
          <w:rFonts w:hint="eastAsia"/>
          <w:highlight w:val="none"/>
        </w:rPr>
        <w:t xml:space="preserve">/T </w:t>
      </w:r>
      <w:r>
        <w:rPr>
          <w:highlight w:val="none"/>
        </w:rPr>
        <w:t>4942.</w:t>
      </w:r>
      <w:r>
        <w:rPr>
          <w:rFonts w:hint="eastAsia"/>
          <w:highlight w:val="none"/>
        </w:rPr>
        <w:t>1</w:t>
      </w:r>
      <w:r>
        <w:rPr>
          <w:highlight w:val="none"/>
        </w:rPr>
        <w:t>《</w:t>
      </w:r>
      <w:r>
        <w:rPr>
          <w:rFonts w:hint="eastAsia"/>
          <w:highlight w:val="none"/>
        </w:rPr>
        <w:t>旋转电机整体结构的防护等级（IP代码）-分级</w:t>
      </w:r>
      <w:r>
        <w:rPr>
          <w:highlight w:val="none"/>
        </w:rPr>
        <w:t>》的规定标明，控制箱的防护等级应不低于主设备的防护等级。电气设备的控制、继电保护设计应遵循有关现行的国家及行业标准，并应在说明书中列出所执行的有关标准。</w:t>
      </w:r>
    </w:p>
    <w:p w14:paraId="486586D0">
      <w:pPr>
        <w:spacing w:line="360" w:lineRule="auto"/>
        <w:jc w:val="left"/>
        <w:rPr>
          <w:highlight w:val="none"/>
        </w:rPr>
      </w:pPr>
      <w:r>
        <w:rPr>
          <w:highlight w:val="none"/>
        </w:rPr>
        <w:t>4.3.</w:t>
      </w:r>
      <w:r>
        <w:rPr>
          <w:rFonts w:hint="eastAsia"/>
          <w:highlight w:val="none"/>
        </w:rPr>
        <w:t>4</w:t>
      </w:r>
      <w:r>
        <w:rPr>
          <w:highlight w:val="none"/>
        </w:rPr>
        <w:t>.2</w:t>
      </w:r>
      <w:r>
        <w:rPr>
          <w:rFonts w:hint="eastAsia"/>
          <w:highlight w:val="none"/>
        </w:rPr>
        <w:t xml:space="preserve"> </w:t>
      </w:r>
      <w:r>
        <w:rPr>
          <w:highlight w:val="none"/>
        </w:rPr>
        <w:t>随机配套控制箱内所配所有电气元器件选用ABB、Schneider、Siemens或等同，端子排采用菲尼克斯或魏德米勒等系列产品，严禁使用已经淘汰的产品。</w:t>
      </w:r>
    </w:p>
    <w:p w14:paraId="79F1A743">
      <w:pPr>
        <w:spacing w:line="360" w:lineRule="auto"/>
        <w:jc w:val="left"/>
        <w:rPr>
          <w:highlight w:val="none"/>
        </w:rPr>
      </w:pPr>
      <w:r>
        <w:rPr>
          <w:rFonts w:hint="eastAsia"/>
          <w:highlight w:val="none"/>
        </w:rPr>
        <w:t>4.3.4.</w:t>
      </w:r>
      <w:r>
        <w:rPr>
          <w:highlight w:val="none"/>
        </w:rPr>
        <w:t>3 控制箱的结构、电器安装、电路的布置必须安全可靠，操作方便，维修容易。控制箱内的裸露带电导体之间和带电导体对地的电气间隙不小于20mm。</w:t>
      </w:r>
    </w:p>
    <w:p w14:paraId="46AA9D0A">
      <w:pPr>
        <w:spacing w:line="360" w:lineRule="auto"/>
        <w:jc w:val="left"/>
        <w:rPr>
          <w:highlight w:val="none"/>
        </w:rPr>
      </w:pPr>
      <w:r>
        <w:rPr>
          <w:rFonts w:hint="eastAsia"/>
          <w:highlight w:val="none"/>
        </w:rPr>
        <w:t>4.3.4.</w:t>
      </w:r>
      <w:r>
        <w:rPr>
          <w:highlight w:val="none"/>
        </w:rPr>
        <w:t>4 箱内外接导体端子必须满足正常工作电流，并能承受不低于柜内电气元件的短路耐受电流，箱内要留有足够的用于接线的有效空间。在三相四线电路中，中性线的端子应允许连接下述载流量的导线：</w:t>
      </w:r>
    </w:p>
    <w:p w14:paraId="1A577176">
      <w:pPr>
        <w:spacing w:line="360" w:lineRule="auto"/>
        <w:jc w:val="left"/>
        <w:rPr>
          <w:highlight w:val="none"/>
        </w:rPr>
      </w:pPr>
      <w:r>
        <w:rPr>
          <w:highlight w:val="none"/>
        </w:rPr>
        <w:t xml:space="preserve">  a. 如果相导线的尺寸超过16m</w:t>
      </w:r>
      <w:r>
        <w:rPr>
          <w:rFonts w:hint="eastAsia"/>
          <w:highlight w:val="none"/>
        </w:rPr>
        <w:t>m²</w:t>
      </w:r>
      <w:r>
        <w:rPr>
          <w:highlight w:val="none"/>
        </w:rPr>
        <w:t>，则等于相导线载流量的一半，但不小于16m</w:t>
      </w:r>
      <w:r>
        <w:rPr>
          <w:rFonts w:hint="eastAsia"/>
          <w:highlight w:val="none"/>
        </w:rPr>
        <w:t>m²</w:t>
      </w:r>
      <w:r>
        <w:rPr>
          <w:highlight w:val="none"/>
        </w:rPr>
        <w:t>。</w:t>
      </w:r>
    </w:p>
    <w:p w14:paraId="27A873C4">
      <w:pPr>
        <w:spacing w:line="360" w:lineRule="auto"/>
        <w:jc w:val="left"/>
        <w:rPr>
          <w:highlight w:val="none"/>
        </w:rPr>
      </w:pPr>
      <w:r>
        <w:rPr>
          <w:highlight w:val="none"/>
        </w:rPr>
        <w:t xml:space="preserve">  b.如果相导线的尺寸等于或小于16m</w:t>
      </w:r>
      <w:r>
        <w:rPr>
          <w:rFonts w:hint="eastAsia"/>
          <w:highlight w:val="none"/>
        </w:rPr>
        <w:t>m²</w:t>
      </w:r>
      <w:r>
        <w:rPr>
          <w:highlight w:val="none"/>
        </w:rPr>
        <w:t>时，则等于相导线的载流量。</w:t>
      </w:r>
    </w:p>
    <w:p w14:paraId="046DED04">
      <w:pPr>
        <w:spacing w:line="360" w:lineRule="auto"/>
        <w:jc w:val="left"/>
        <w:rPr>
          <w:highlight w:val="none"/>
        </w:rPr>
      </w:pPr>
      <w:r>
        <w:rPr>
          <w:rFonts w:hint="eastAsia"/>
          <w:highlight w:val="none"/>
        </w:rPr>
        <w:t>4.3.4.</w:t>
      </w:r>
      <w:r>
        <w:rPr>
          <w:highlight w:val="none"/>
        </w:rPr>
        <w:t>5 箱内断路器必须满足动热稳定的要求，箱内交流接触器的等级和型号应按电动机的容量和工作方式选择。选择热继电器时，使电动机的工作电流在其整定值的可调范围内。</w:t>
      </w:r>
    </w:p>
    <w:p w14:paraId="082A5885">
      <w:pPr>
        <w:spacing w:line="360" w:lineRule="auto"/>
        <w:jc w:val="left"/>
        <w:rPr>
          <w:highlight w:val="none"/>
        </w:rPr>
      </w:pPr>
      <w:r>
        <w:rPr>
          <w:rFonts w:hint="eastAsia"/>
          <w:highlight w:val="none"/>
        </w:rPr>
        <w:t>4.3.4.</w:t>
      </w:r>
      <w:r>
        <w:rPr>
          <w:highlight w:val="none"/>
        </w:rPr>
        <w:t>6</w:t>
      </w:r>
      <w:r>
        <w:rPr>
          <w:rFonts w:hint="eastAsia"/>
          <w:highlight w:val="none"/>
        </w:rPr>
        <w:t xml:space="preserve"> </w:t>
      </w:r>
      <w:r>
        <w:rPr>
          <w:highlight w:val="none"/>
        </w:rPr>
        <w:t>当就地控制箱控制的单台电动机容量大于30kW时，就地控制箱内应配置电流互感器、电流变送器及电流表。电流变送器应按设计院的具体要求选型，电流变送器的输出为4～20mA。</w:t>
      </w:r>
    </w:p>
    <w:p w14:paraId="5B92A448">
      <w:pPr>
        <w:spacing w:line="360" w:lineRule="auto"/>
        <w:jc w:val="left"/>
        <w:rPr>
          <w:highlight w:val="none"/>
        </w:rPr>
      </w:pPr>
      <w:r>
        <w:rPr>
          <w:rFonts w:hint="eastAsia"/>
          <w:highlight w:val="none"/>
        </w:rPr>
        <w:t>4.3.4.</w:t>
      </w:r>
      <w:r>
        <w:rPr>
          <w:highlight w:val="none"/>
        </w:rPr>
        <w:t>7</w:t>
      </w:r>
      <w:r>
        <w:rPr>
          <w:rFonts w:hint="eastAsia"/>
          <w:highlight w:val="none"/>
        </w:rPr>
        <w:t xml:space="preserve"> </w:t>
      </w:r>
      <w:r>
        <w:rPr>
          <w:highlight w:val="none"/>
        </w:rPr>
        <w:t>为满足远方控制要求，就地控制箱中应提供一付能反映断路器或接触器“合闸/跳闸”位置的接点（一般应为断路器或接触器的辅助常开接点）。触点数量应能满足系统设计要求。</w:t>
      </w:r>
    </w:p>
    <w:p w14:paraId="23B54050">
      <w:pPr>
        <w:spacing w:line="360" w:lineRule="auto"/>
        <w:jc w:val="left"/>
        <w:rPr>
          <w:highlight w:val="none"/>
        </w:rPr>
      </w:pPr>
      <w:r>
        <w:rPr>
          <w:rFonts w:hint="eastAsia"/>
          <w:highlight w:val="none"/>
        </w:rPr>
        <w:t>4.3.4.</w:t>
      </w:r>
      <w:r>
        <w:rPr>
          <w:highlight w:val="none"/>
        </w:rPr>
        <w:t>8</w:t>
      </w:r>
      <w:r>
        <w:rPr>
          <w:rFonts w:hint="eastAsia"/>
          <w:highlight w:val="none"/>
        </w:rPr>
        <w:t xml:space="preserve"> </w:t>
      </w:r>
      <w:r>
        <w:rPr>
          <w:highlight w:val="none"/>
        </w:rPr>
        <w:t>就地控制箱内的断路器或接触器、继电器等，除了箱内接线已经使用的接点，所有接线未使用的备用接点应引接至端子排上，以供现场可能的接线修改使用。</w:t>
      </w:r>
    </w:p>
    <w:p w14:paraId="7B7114F3">
      <w:pPr>
        <w:spacing w:line="360" w:lineRule="auto"/>
        <w:jc w:val="left"/>
        <w:rPr>
          <w:highlight w:val="none"/>
        </w:rPr>
      </w:pPr>
      <w:r>
        <w:rPr>
          <w:rFonts w:hint="eastAsia"/>
          <w:highlight w:val="none"/>
        </w:rPr>
        <w:t>4.3.4.</w:t>
      </w:r>
      <w:r>
        <w:rPr>
          <w:highlight w:val="none"/>
        </w:rPr>
        <w:t>9 就地控制箱内的端子排布置应考虑现场接线方便，易于检修。除了接线必须使用的端子排以外，还应留有端子总数15％的空端子排，以供现场可能的接线修改使用。</w:t>
      </w:r>
    </w:p>
    <w:p w14:paraId="3C3DB0F4">
      <w:pPr>
        <w:spacing w:line="360" w:lineRule="auto"/>
        <w:jc w:val="left"/>
        <w:rPr>
          <w:highlight w:val="none"/>
        </w:rPr>
      </w:pPr>
      <w:r>
        <w:rPr>
          <w:rFonts w:hint="eastAsia"/>
          <w:highlight w:val="none"/>
        </w:rPr>
        <w:t>4.3.4.</w:t>
      </w:r>
      <w:r>
        <w:rPr>
          <w:highlight w:val="none"/>
        </w:rPr>
        <w:t>10</w:t>
      </w:r>
      <w:r>
        <w:rPr>
          <w:rFonts w:hint="eastAsia"/>
          <w:highlight w:val="none"/>
        </w:rPr>
        <w:t xml:space="preserve"> </w:t>
      </w:r>
      <w:r>
        <w:rPr>
          <w:highlight w:val="none"/>
        </w:rPr>
        <w:t>控制箱与设备组成一个整体集装式，其内的设备相互之间的工艺连锁等要求，均自成体系。整体集装式内的控制箱到就地设备的所有连接由投标人负责设计并供货，包括电缆、保护管、桥架等。</w:t>
      </w:r>
    </w:p>
    <w:p w14:paraId="25BA5217">
      <w:pPr>
        <w:spacing w:line="360" w:lineRule="auto"/>
        <w:ind w:firstLine="480" w:firstLineChars="200"/>
        <w:jc w:val="left"/>
        <w:rPr>
          <w:highlight w:val="none"/>
        </w:rPr>
      </w:pPr>
      <w:r>
        <w:rPr>
          <w:highlight w:val="none"/>
        </w:rPr>
        <w:t>招标人仅负责为投标人供货的控制箱提供一路220/380VAC 50Hz 三相四线制总电源，当投标人需要其它等级的电源时，由投标人自行解决。投标人设备间的动力、控制电缆由投标人供货，至招标人设备的电缆由招标人负责。</w:t>
      </w:r>
    </w:p>
    <w:p w14:paraId="77EC00D6">
      <w:pPr>
        <w:spacing w:line="360" w:lineRule="auto"/>
        <w:ind w:firstLine="480" w:firstLineChars="200"/>
        <w:jc w:val="left"/>
        <w:rPr>
          <w:highlight w:val="none"/>
        </w:rPr>
      </w:pPr>
      <w:r>
        <w:rPr>
          <w:highlight w:val="none"/>
        </w:rPr>
        <w:t>需要整定的参数可根据运行人员的需要既能在整体集装式内的设备上进行。与外界的接口要求提供清楚，如外接电源的电压、容量、种类；输入与输出接点形式与要求；通讯方式与平台等。</w:t>
      </w:r>
    </w:p>
    <w:p w14:paraId="33E912B2">
      <w:pPr>
        <w:tabs>
          <w:tab w:val="left" w:pos="540"/>
        </w:tabs>
        <w:spacing w:line="360" w:lineRule="auto"/>
        <w:jc w:val="left"/>
        <w:rPr>
          <w:highlight w:val="none"/>
        </w:rPr>
      </w:pPr>
      <w:r>
        <w:rPr>
          <w:rFonts w:hint="eastAsia"/>
          <w:highlight w:val="none"/>
        </w:rPr>
        <w:t>4.3.4.</w:t>
      </w:r>
      <w:r>
        <w:rPr>
          <w:highlight w:val="none"/>
        </w:rPr>
        <w:t>11</w:t>
      </w:r>
      <w:r>
        <w:rPr>
          <w:rFonts w:hint="eastAsia"/>
          <w:highlight w:val="none"/>
        </w:rPr>
        <w:t xml:space="preserve"> </w:t>
      </w:r>
      <w:r>
        <w:rPr>
          <w:highlight w:val="none"/>
        </w:rPr>
        <w:t xml:space="preserve">控制箱及其它所有就地电控柜（以下统称控制箱/柜）均由投标人配套提供，投标人提供的控制箱/柜的技术要求及设备选型原则如下： </w:t>
      </w:r>
    </w:p>
    <w:p w14:paraId="0F7F015F">
      <w:pPr>
        <w:spacing w:line="360" w:lineRule="auto"/>
        <w:ind w:firstLine="480" w:firstLineChars="200"/>
        <w:jc w:val="left"/>
        <w:rPr>
          <w:highlight w:val="none"/>
        </w:rPr>
      </w:pPr>
      <w:r>
        <w:rPr>
          <w:highlight w:val="none"/>
        </w:rPr>
        <w:t>a 控制箱/柜的产品型式：落地式或壁挂式。</w:t>
      </w:r>
    </w:p>
    <w:p w14:paraId="166450A9">
      <w:pPr>
        <w:spacing w:line="360" w:lineRule="auto"/>
        <w:ind w:firstLine="480" w:firstLineChars="200"/>
        <w:jc w:val="left"/>
        <w:rPr>
          <w:highlight w:val="none"/>
        </w:rPr>
      </w:pPr>
      <w:r>
        <w:rPr>
          <w:highlight w:val="none"/>
        </w:rPr>
        <w:t>b 控制箱/柜必须按相应的国家标准制造，各项性能指标均不应低于国家标准中所规定的指标，并能在本工程的环境条件下安全、可靠地运行，各种类型的控制箱/柜使用寿命不少于30年。</w:t>
      </w:r>
    </w:p>
    <w:p w14:paraId="2177313F">
      <w:pPr>
        <w:spacing w:line="360" w:lineRule="auto"/>
        <w:ind w:firstLine="480" w:firstLineChars="200"/>
        <w:jc w:val="left"/>
        <w:rPr>
          <w:highlight w:val="none"/>
        </w:rPr>
      </w:pPr>
      <w:r>
        <w:rPr>
          <w:highlight w:val="none"/>
        </w:rPr>
        <w:t>c控制箱/柜要求：所有就地端子箱、控制箱、动力箱(如果有</w:t>
      </w:r>
      <w:r>
        <w:rPr>
          <w:rFonts w:hint="eastAsia"/>
          <w:highlight w:val="none"/>
        </w:rPr>
        <w:t>）</w:t>
      </w:r>
      <w:r>
        <w:rPr>
          <w:highlight w:val="none"/>
        </w:rPr>
        <w:t>均采用不锈钢</w:t>
      </w:r>
      <w:r>
        <w:rPr>
          <w:rFonts w:hint="eastAsia"/>
          <w:highlight w:val="none"/>
        </w:rPr>
        <w:t>/碳钢喷塑</w:t>
      </w:r>
      <w:r>
        <w:rPr>
          <w:highlight w:val="none"/>
        </w:rPr>
        <w:t>箱体。控制箱/柜正面开启门，控制箱/柜内板前接线，安装部分必须攻丝或焊螺母，柜门采用专用钥匙开启。</w:t>
      </w:r>
    </w:p>
    <w:p w14:paraId="74A90D28">
      <w:pPr>
        <w:spacing w:line="360" w:lineRule="auto"/>
        <w:ind w:firstLine="480" w:firstLineChars="200"/>
        <w:jc w:val="left"/>
        <w:rPr>
          <w:highlight w:val="none"/>
        </w:rPr>
      </w:pPr>
      <w:r>
        <w:rPr>
          <w:highlight w:val="none"/>
        </w:rPr>
        <w:t>防腐措施：                            由投标人填写</w:t>
      </w:r>
    </w:p>
    <w:p w14:paraId="146ABE7B">
      <w:pPr>
        <w:spacing w:line="360" w:lineRule="auto"/>
        <w:ind w:firstLine="480" w:firstLineChars="200"/>
        <w:jc w:val="left"/>
        <w:rPr>
          <w:highlight w:val="none"/>
        </w:rPr>
      </w:pPr>
      <w:r>
        <w:rPr>
          <w:highlight w:val="none"/>
        </w:rPr>
        <w:t>d 控制箱/柜的防护等级：室内为IP5</w:t>
      </w:r>
      <w:r>
        <w:rPr>
          <w:rFonts w:hint="eastAsia"/>
          <w:highlight w:val="none"/>
        </w:rPr>
        <w:t>4</w:t>
      </w:r>
      <w:r>
        <w:rPr>
          <w:highlight w:val="none"/>
        </w:rPr>
        <w:t>，室外为IP56。</w:t>
      </w:r>
    </w:p>
    <w:p w14:paraId="5E1A2D67">
      <w:pPr>
        <w:spacing w:line="360" w:lineRule="auto"/>
        <w:ind w:firstLine="480" w:firstLineChars="200"/>
        <w:jc w:val="left"/>
        <w:rPr>
          <w:highlight w:val="none"/>
        </w:rPr>
      </w:pPr>
      <w:r>
        <w:rPr>
          <w:highlight w:val="none"/>
        </w:rPr>
        <w:t>e 控制箱/柜的结构、外形尺寸及柜内元器件布置由投标人根据图纸中的元器件配置进行设计后，由招标人确认，但在设计柜体结构和外形尺寸时，必须充分考虑元器件的散热和日后检修空间。</w:t>
      </w:r>
    </w:p>
    <w:p w14:paraId="2D4CB584">
      <w:pPr>
        <w:spacing w:line="360" w:lineRule="auto"/>
        <w:ind w:firstLine="480" w:firstLineChars="200"/>
        <w:jc w:val="left"/>
        <w:rPr>
          <w:highlight w:val="none"/>
        </w:rPr>
      </w:pPr>
      <w:r>
        <w:rPr>
          <w:highlight w:val="none"/>
        </w:rPr>
        <w:t>f 落地式控制箱/柜下部应设有绑扎电缆的横档，方便进出电缆的固定。电缆进线方式为：下进线或上进线，柜体的顶部或底部预留多个进线用的敲落孔，每个敲落孔可容许穿入一根3×120m</w:t>
      </w:r>
      <w:r>
        <w:rPr>
          <w:rFonts w:hint="eastAsia"/>
          <w:highlight w:val="none"/>
        </w:rPr>
        <w:t>m²</w:t>
      </w:r>
      <w:r>
        <w:rPr>
          <w:highlight w:val="none"/>
        </w:rPr>
        <w:t xml:space="preserve">的电缆。 </w:t>
      </w:r>
    </w:p>
    <w:p w14:paraId="72DC4E69">
      <w:pPr>
        <w:spacing w:line="360" w:lineRule="auto"/>
        <w:ind w:firstLine="480" w:firstLineChars="200"/>
        <w:jc w:val="left"/>
        <w:rPr>
          <w:highlight w:val="none"/>
        </w:rPr>
      </w:pPr>
      <w:r>
        <w:rPr>
          <w:highlight w:val="none"/>
        </w:rPr>
        <w:t>g控制箱/柜体的底部用四颗直径不小于12毫米的螺丝与安装基础固定。</w:t>
      </w:r>
    </w:p>
    <w:p w14:paraId="08B8FA99">
      <w:pPr>
        <w:spacing w:line="360" w:lineRule="auto"/>
        <w:ind w:firstLine="480" w:firstLineChars="200"/>
        <w:jc w:val="left"/>
        <w:rPr>
          <w:highlight w:val="none"/>
        </w:rPr>
      </w:pPr>
      <w:r>
        <w:rPr>
          <w:highlight w:val="none"/>
        </w:rPr>
        <w:t>h控制箱/柜供货时，提供检验记录，试验报告及质量合格证等出厂报告。</w:t>
      </w:r>
    </w:p>
    <w:p w14:paraId="3B727B27">
      <w:pPr>
        <w:spacing w:line="360" w:lineRule="auto"/>
        <w:ind w:firstLine="480" w:firstLineChars="200"/>
        <w:jc w:val="left"/>
        <w:rPr>
          <w:highlight w:val="none"/>
        </w:rPr>
      </w:pPr>
      <w:r>
        <w:rPr>
          <w:highlight w:val="none"/>
        </w:rPr>
        <w:t>i所用箱、柜、盘内均应配置合适的接地铜排，以方便电气回路的接地要求。前后柜门均应跨接接地，柜体外壳设置合适的接地点，便于现场接地安装。</w:t>
      </w:r>
    </w:p>
    <w:p w14:paraId="31EB4A28">
      <w:pPr>
        <w:autoSpaceDE w:val="0"/>
        <w:autoSpaceDN w:val="0"/>
        <w:spacing w:line="360" w:lineRule="auto"/>
        <w:jc w:val="left"/>
        <w:textAlignment w:val="bottom"/>
        <w:outlineLvl w:val="2"/>
        <w:rPr>
          <w:b/>
          <w:highlight w:val="none"/>
        </w:rPr>
      </w:pPr>
      <w:bookmarkStart w:id="84" w:name="_Toc500400643"/>
      <w:bookmarkStart w:id="85" w:name="_Toc50733106"/>
      <w:r>
        <w:rPr>
          <w:b/>
          <w:highlight w:val="none"/>
        </w:rPr>
        <w:t xml:space="preserve">4.4 </w:t>
      </w:r>
      <w:r>
        <w:rPr>
          <w:rFonts w:hint="eastAsia"/>
          <w:b/>
          <w:highlight w:val="none"/>
        </w:rPr>
        <w:t>自动阀门技术要求</w:t>
      </w:r>
      <w:bookmarkEnd w:id="84"/>
      <w:bookmarkEnd w:id="85"/>
    </w:p>
    <w:p w14:paraId="5FA9EA7E">
      <w:pPr>
        <w:spacing w:line="360" w:lineRule="auto"/>
        <w:rPr>
          <w:highlight w:val="none"/>
        </w:rPr>
      </w:pPr>
      <w:r>
        <w:rPr>
          <w:b w:val="0"/>
          <w:bCs w:val="0"/>
          <w:highlight w:val="none"/>
        </w:rPr>
        <w:t>4.4.1</w:t>
      </w:r>
      <w:r>
        <w:rPr>
          <w:highlight w:val="none"/>
        </w:rPr>
        <w:t>投标人提供系统内的所有自动阀门，阀门材质由投标人按照</w:t>
      </w:r>
      <w:r>
        <w:rPr>
          <w:rFonts w:hint="eastAsia"/>
          <w:b w:val="0"/>
          <w:highlight w:val="none"/>
        </w:rPr>
        <w:t>系统内自动阀门清单</w:t>
      </w:r>
      <w:r>
        <w:rPr>
          <w:highlight w:val="none"/>
        </w:rPr>
        <w:t>”的清单进行细化，并经招标人确认。</w:t>
      </w:r>
    </w:p>
    <w:p w14:paraId="1495C3E9">
      <w:pPr>
        <w:spacing w:line="360" w:lineRule="auto"/>
        <w:rPr>
          <w:highlight w:val="none"/>
        </w:rPr>
      </w:pPr>
      <w:r>
        <w:rPr>
          <w:b w:val="0"/>
          <w:bCs w:val="0"/>
          <w:highlight w:val="none"/>
        </w:rPr>
        <w:t>4.4.2</w:t>
      </w:r>
      <w:r>
        <w:rPr>
          <w:highlight w:val="none"/>
        </w:rPr>
        <w:t xml:space="preserve"> 调节阀的设计满足介质压力、流量、流向、调节范围以及严密性的要求。调节阀的口径能满足工艺系统对流量的要求，通过阀门的介质流速限制在允许范围之内。调节阀门具有密封好、泄漏小及阀杆不平衡力小等特点；阀门泄漏等级不低于ANSI B16.104标准的泄漏等级。</w:t>
      </w:r>
    </w:p>
    <w:p w14:paraId="508976D8">
      <w:pPr>
        <w:spacing w:line="360" w:lineRule="auto"/>
        <w:rPr>
          <w:highlight w:val="none"/>
        </w:rPr>
      </w:pPr>
      <w:r>
        <w:rPr>
          <w:b w:val="0"/>
          <w:bCs w:val="0"/>
          <w:highlight w:val="none"/>
        </w:rPr>
        <w:t>4.4.3</w:t>
      </w:r>
      <w:r>
        <w:rPr>
          <w:highlight w:val="none"/>
        </w:rPr>
        <w:t xml:space="preserve"> 投标人提供的调节阀具有信号输入和输出，并明确信号的输入和输出形式。调节阀带有阀位的反馈功能（100%反馈）。调节阀门的执行机构设计成能使阀门保持在全开及全关之间的任何位置而不会漂移或抖动，且转距适合于阀门要求并有适当的设计裕量。</w:t>
      </w:r>
    </w:p>
    <w:p w14:paraId="44A114F6">
      <w:pPr>
        <w:spacing w:line="360" w:lineRule="auto"/>
        <w:rPr>
          <w:highlight w:val="none"/>
        </w:rPr>
      </w:pPr>
      <w:r>
        <w:rPr>
          <w:b w:val="0"/>
          <w:bCs w:val="0"/>
          <w:highlight w:val="none"/>
        </w:rPr>
        <w:t>4.4.4</w:t>
      </w:r>
      <w:r>
        <w:rPr>
          <w:highlight w:val="none"/>
        </w:rPr>
        <w:t xml:space="preserve"> 气动执行机构能在压缩空气为0.4MPa～0.7MPa、控制信号气压20kPa～100kPa时正常工作。投保人应为每个阀门配套空气过滤调压器及附件和气源压力表等。</w:t>
      </w:r>
    </w:p>
    <w:p w14:paraId="72ADE8B2">
      <w:pPr>
        <w:spacing w:line="360" w:lineRule="auto"/>
        <w:rPr>
          <w:highlight w:val="none"/>
        </w:rPr>
      </w:pPr>
      <w:r>
        <w:rPr>
          <w:b w:val="0"/>
          <w:bCs w:val="0"/>
          <w:highlight w:val="none"/>
        </w:rPr>
        <w:t>4.4.5</w:t>
      </w:r>
      <w:r>
        <w:rPr>
          <w:highlight w:val="none"/>
        </w:rPr>
        <w:t xml:space="preserve"> 所有阀门执行机构都应装有一个就地阀门位置指示器，指示器应能醒目的指示出全开、全关和中间位置。</w:t>
      </w:r>
    </w:p>
    <w:p w14:paraId="14C4F1DF">
      <w:pPr>
        <w:spacing w:line="360" w:lineRule="auto"/>
        <w:rPr>
          <w:highlight w:val="none"/>
        </w:rPr>
      </w:pPr>
      <w:r>
        <w:rPr>
          <w:b w:val="0"/>
          <w:bCs w:val="0"/>
          <w:highlight w:val="none"/>
        </w:rPr>
        <w:t>4.4.6</w:t>
      </w:r>
      <w:r>
        <w:rPr>
          <w:highlight w:val="none"/>
        </w:rPr>
        <w:t xml:space="preserve"> 随气动阀门执行机构一起提供的电磁阀，应配齐全部连接管路。所供的对应阀门将在5秒钟内能全部打开或关闭。所有电磁阀电压等级应统一。所有气动门气源管配置为不锈钢管。</w:t>
      </w:r>
    </w:p>
    <w:p w14:paraId="627FBF91">
      <w:pPr>
        <w:spacing w:line="360" w:lineRule="auto"/>
        <w:rPr>
          <w:highlight w:val="none"/>
        </w:rPr>
      </w:pPr>
      <w:r>
        <w:rPr>
          <w:b w:val="0"/>
          <w:bCs w:val="0"/>
          <w:highlight w:val="none"/>
        </w:rPr>
        <w:t>4.4.7</w:t>
      </w:r>
      <w:r>
        <w:rPr>
          <w:highlight w:val="none"/>
        </w:rPr>
        <w:t xml:space="preserve"> 调节阀气动执行机构应具备失气、失信号保持功能。气动阀门需提供气源管连接用的不锈钢卡套接头。</w:t>
      </w:r>
    </w:p>
    <w:p w14:paraId="59E5096C">
      <w:pPr>
        <w:spacing w:line="360" w:lineRule="auto"/>
        <w:rPr>
          <w:highlight w:val="none"/>
        </w:rPr>
      </w:pPr>
      <w:r>
        <w:rPr>
          <w:b w:val="0"/>
          <w:bCs w:val="0"/>
          <w:highlight w:val="none"/>
        </w:rPr>
        <w:t>4.4.8</w:t>
      </w:r>
      <w:r>
        <w:rPr>
          <w:highlight w:val="none"/>
        </w:rPr>
        <w:t xml:space="preserve"> 气动执行机构的终端应装设行程开关（可调），开、关方向各两组触点。</w:t>
      </w:r>
    </w:p>
    <w:p w14:paraId="42A755B7">
      <w:pPr>
        <w:spacing w:line="360" w:lineRule="auto"/>
        <w:rPr>
          <w:highlight w:val="none"/>
        </w:rPr>
      </w:pPr>
      <w:r>
        <w:rPr>
          <w:b w:val="0"/>
          <w:bCs w:val="0"/>
          <w:highlight w:val="none"/>
        </w:rPr>
        <w:t>4.4.9</w:t>
      </w:r>
      <w:r>
        <w:rPr>
          <w:highlight w:val="none"/>
        </w:rPr>
        <w:t>气动执行机构及其附件，应采用优质产品。所有自动阀门均带有位置开关，在失电或失气时应保持安全状态。</w:t>
      </w:r>
    </w:p>
    <w:p w14:paraId="28903362">
      <w:pPr>
        <w:spacing w:line="360" w:lineRule="auto"/>
        <w:contextualSpacing/>
        <w:rPr>
          <w:highlight w:val="none"/>
        </w:rPr>
      </w:pPr>
      <w:r>
        <w:rPr>
          <w:b w:val="0"/>
          <w:bCs w:val="0"/>
          <w:highlight w:val="none"/>
        </w:rPr>
        <w:t>4.4.10</w:t>
      </w:r>
      <w:r>
        <w:rPr>
          <w:highlight w:val="none"/>
        </w:rPr>
        <w:t xml:space="preserve"> 气动执行机构的驱动力/力矩至少是气动阀在最大力矩条件下所需力/力矩的150%。</w:t>
      </w:r>
    </w:p>
    <w:p w14:paraId="3F1011A4">
      <w:pPr>
        <w:spacing w:line="360" w:lineRule="auto"/>
        <w:rPr>
          <w:highlight w:val="none"/>
        </w:rPr>
      </w:pPr>
      <w:r>
        <w:rPr>
          <w:b w:val="0"/>
          <w:bCs w:val="0"/>
          <w:highlight w:val="none"/>
        </w:rPr>
        <w:t>4.4.</w:t>
      </w:r>
      <w:r>
        <w:rPr>
          <w:highlight w:val="none"/>
        </w:rPr>
        <w:t>11 投标人提供阀门气缸与¢8气源管之间的卡套接头，接头材质采用S30408不锈钢。</w:t>
      </w:r>
    </w:p>
    <w:p w14:paraId="66818EA7">
      <w:pPr>
        <w:spacing w:line="360" w:lineRule="auto"/>
        <w:rPr>
          <w:highlight w:val="none"/>
        </w:rPr>
      </w:pPr>
      <w:r>
        <w:rPr>
          <w:b w:val="0"/>
          <w:bCs w:val="0"/>
          <w:highlight w:val="none"/>
        </w:rPr>
        <w:t>4.4.</w:t>
      </w:r>
      <w:r>
        <w:rPr>
          <w:highlight w:val="none"/>
        </w:rPr>
        <w:t>12 气动执行机构具有断电、断气保护功能。电磁阀设置在电磁阀箱内。对于可调整的阀门装有阀门定位器和阀位变送器，变送器输出信号为4mA～20mA DC。</w:t>
      </w:r>
    </w:p>
    <w:p w14:paraId="134A80DA">
      <w:pPr>
        <w:spacing w:line="360" w:lineRule="auto"/>
        <w:rPr>
          <w:highlight w:val="none"/>
        </w:rPr>
      </w:pPr>
      <w:r>
        <w:rPr>
          <w:b w:val="0"/>
          <w:bCs w:val="0"/>
          <w:highlight w:val="none"/>
        </w:rPr>
        <w:t>4.4.</w:t>
      </w:r>
      <w:r>
        <w:rPr>
          <w:highlight w:val="none"/>
        </w:rPr>
        <w:t>1</w:t>
      </w:r>
      <w:r>
        <w:rPr>
          <w:rFonts w:hint="eastAsia"/>
          <w:highlight w:val="none"/>
        </w:rPr>
        <w:t>3</w:t>
      </w:r>
      <w:r>
        <w:rPr>
          <w:highlight w:val="none"/>
        </w:rPr>
        <w:t xml:space="preserve"> 投标人确保提供的反馈装置、限位装置均为与阀门同制造商的产品。</w:t>
      </w:r>
    </w:p>
    <w:p w14:paraId="2C3DD90E">
      <w:pPr>
        <w:spacing w:line="360" w:lineRule="auto"/>
        <w:rPr>
          <w:highlight w:val="none"/>
        </w:rPr>
      </w:pPr>
      <w:r>
        <w:rPr>
          <w:b w:val="0"/>
          <w:bCs w:val="0"/>
          <w:highlight w:val="none"/>
        </w:rPr>
        <w:t>4.4.</w:t>
      </w:r>
      <w:r>
        <w:rPr>
          <w:highlight w:val="none"/>
        </w:rPr>
        <w:t>1</w:t>
      </w:r>
      <w:r>
        <w:rPr>
          <w:rFonts w:hint="eastAsia"/>
          <w:highlight w:val="none"/>
        </w:rPr>
        <w:t>4</w:t>
      </w:r>
      <w:r>
        <w:rPr>
          <w:highlight w:val="none"/>
        </w:rPr>
        <w:t xml:space="preserve"> 气源品质要求符合GB/T 4830-2015《工业自动化仪表气源压力范围和质量》的要求。</w:t>
      </w:r>
    </w:p>
    <w:p w14:paraId="5BBCA7DB">
      <w:pPr>
        <w:autoSpaceDE w:val="0"/>
        <w:autoSpaceDN w:val="0"/>
        <w:spacing w:line="360" w:lineRule="auto"/>
        <w:jc w:val="left"/>
        <w:textAlignment w:val="bottom"/>
        <w:outlineLvl w:val="2"/>
        <w:rPr>
          <w:b/>
          <w:highlight w:val="none"/>
        </w:rPr>
      </w:pPr>
      <w:bookmarkStart w:id="86" w:name="_Toc244576561"/>
      <w:r>
        <w:rPr>
          <w:b/>
          <w:highlight w:val="none"/>
        </w:rPr>
        <w:t>4.5</w:t>
      </w:r>
      <w:r>
        <w:rPr>
          <w:rFonts w:hint="eastAsia"/>
          <w:b/>
          <w:highlight w:val="none"/>
        </w:rPr>
        <w:t xml:space="preserve"> </w:t>
      </w:r>
      <w:r>
        <w:rPr>
          <w:b/>
          <w:highlight w:val="none"/>
        </w:rPr>
        <w:t>设备选型</w:t>
      </w:r>
      <w:bookmarkEnd w:id="86"/>
      <w:r>
        <w:rPr>
          <w:b/>
          <w:highlight w:val="none"/>
        </w:rPr>
        <w:t>要求</w:t>
      </w:r>
    </w:p>
    <w:p w14:paraId="6F80581E">
      <w:pPr>
        <w:snapToGrid w:val="0"/>
        <w:spacing w:line="360" w:lineRule="auto"/>
        <w:ind w:right="57" w:firstLine="480" w:firstLineChars="200"/>
        <w:jc w:val="left"/>
        <w:rPr>
          <w:highlight w:val="none"/>
        </w:rPr>
      </w:pPr>
      <w:r>
        <w:rPr>
          <w:highlight w:val="none"/>
        </w:rPr>
        <w:t>本工程所采用的工艺设备、管道、阀门、仪表、电气及控制设备等具有实践证明先进的技术，即具有高的可用性、可靠性、可操作性、可维修性和可扩展性。</w:t>
      </w:r>
    </w:p>
    <w:p w14:paraId="29C175C1">
      <w:pPr>
        <w:snapToGrid w:val="0"/>
        <w:spacing w:line="360" w:lineRule="auto"/>
        <w:ind w:right="57" w:firstLine="480" w:firstLineChars="200"/>
        <w:jc w:val="left"/>
        <w:rPr>
          <w:highlight w:val="none"/>
        </w:rPr>
      </w:pPr>
      <w:r>
        <w:rPr>
          <w:highlight w:val="none"/>
        </w:rPr>
        <w:t>投标人提供的工艺设备、管道、阀门、仪表、电气及控制设备等为生产厂商最新的主流产品，不提供已经过时或淘汰的产品。</w:t>
      </w:r>
    </w:p>
    <w:p w14:paraId="25DA59DE">
      <w:pPr>
        <w:autoSpaceDE w:val="0"/>
        <w:autoSpaceDN w:val="0"/>
        <w:spacing w:line="360" w:lineRule="auto"/>
        <w:jc w:val="left"/>
        <w:textAlignment w:val="bottom"/>
        <w:outlineLvl w:val="2"/>
        <w:rPr>
          <w:b/>
          <w:highlight w:val="none"/>
        </w:rPr>
      </w:pPr>
      <w:r>
        <w:rPr>
          <w:b/>
          <w:highlight w:val="none"/>
        </w:rPr>
        <w:t>4.6 系统性能保证值</w:t>
      </w:r>
      <w:bookmarkEnd w:id="80"/>
      <w:bookmarkEnd w:id="81"/>
      <w:bookmarkEnd w:id="82"/>
    </w:p>
    <w:p w14:paraId="44B66FAB">
      <w:pPr>
        <w:autoSpaceDE w:val="0"/>
        <w:autoSpaceDN w:val="0"/>
        <w:spacing w:line="360" w:lineRule="auto"/>
        <w:ind w:firstLine="480" w:firstLineChars="200"/>
        <w:jc w:val="left"/>
        <w:textAlignment w:val="bottom"/>
        <w:rPr>
          <w:highlight w:val="none"/>
        </w:rPr>
      </w:pPr>
      <w:r>
        <w:rPr>
          <w:rFonts w:hint="eastAsia"/>
          <w:highlight w:val="none"/>
        </w:rPr>
        <w:t>水处理系统</w:t>
      </w:r>
      <w:r>
        <w:rPr>
          <w:highlight w:val="none"/>
        </w:rPr>
        <w:t>运行满足以下相关设计参数要求。主要保证值如下，但不限于此：</w:t>
      </w:r>
    </w:p>
    <w:p w14:paraId="25E6C62E">
      <w:pPr>
        <w:autoSpaceDE w:val="0"/>
        <w:autoSpaceDN w:val="0"/>
        <w:spacing w:line="360" w:lineRule="auto"/>
        <w:jc w:val="left"/>
        <w:textAlignment w:val="bottom"/>
        <w:rPr>
          <w:highlight w:val="none"/>
        </w:rPr>
      </w:pPr>
      <w:r>
        <w:rPr>
          <w:highlight w:val="none"/>
        </w:rPr>
        <w:t>4.6.1 投标人保证距离所供设备1米处最大噪音值不超过85dB(A</w:t>
      </w:r>
      <w:r>
        <w:rPr>
          <w:rFonts w:hint="eastAsia"/>
          <w:highlight w:val="none"/>
        </w:rPr>
        <w:t>)</w:t>
      </w:r>
      <w:r>
        <w:rPr>
          <w:highlight w:val="none"/>
        </w:rPr>
        <w:t>。</w:t>
      </w:r>
    </w:p>
    <w:p w14:paraId="214DA6C8">
      <w:pPr>
        <w:autoSpaceDE w:val="0"/>
        <w:autoSpaceDN w:val="0"/>
        <w:spacing w:line="360" w:lineRule="auto"/>
        <w:jc w:val="left"/>
        <w:textAlignment w:val="bottom"/>
        <w:rPr>
          <w:highlight w:val="none"/>
        </w:rPr>
      </w:pPr>
      <w:r>
        <w:rPr>
          <w:highlight w:val="none"/>
        </w:rPr>
        <w:t>4.6.2 质保期内的系统可用率不低于95%。</w:t>
      </w:r>
    </w:p>
    <w:p w14:paraId="3B0418DA">
      <w:pPr>
        <w:autoSpaceDE w:val="0"/>
        <w:autoSpaceDN w:val="0"/>
        <w:spacing w:line="360" w:lineRule="auto"/>
        <w:jc w:val="left"/>
        <w:textAlignment w:val="bottom"/>
        <w:rPr>
          <w:highlight w:val="none"/>
        </w:rPr>
      </w:pPr>
      <w:r>
        <w:rPr>
          <w:highlight w:val="none"/>
        </w:rPr>
        <w:t>4.6.3 设备使用寿命：30年。</w:t>
      </w:r>
    </w:p>
    <w:p w14:paraId="273A4700">
      <w:pPr>
        <w:autoSpaceDE w:val="0"/>
        <w:autoSpaceDN w:val="0"/>
        <w:spacing w:line="360" w:lineRule="auto"/>
        <w:jc w:val="left"/>
        <w:textAlignment w:val="bottom"/>
        <w:rPr>
          <w:highlight w:val="none"/>
        </w:rPr>
      </w:pPr>
      <w:r>
        <w:rPr>
          <w:highlight w:val="none"/>
        </w:rPr>
        <w:t>4.6.4 投标人保证所供系统设备的质保期为（颁发接受证书后）：1年。</w:t>
      </w:r>
    </w:p>
    <w:p w14:paraId="01C2A2BF">
      <w:pPr>
        <w:autoSpaceDE w:val="0"/>
        <w:autoSpaceDN w:val="0"/>
        <w:spacing w:line="360" w:lineRule="auto"/>
        <w:jc w:val="left"/>
        <w:textAlignment w:val="bottom"/>
        <w:outlineLvl w:val="2"/>
        <w:rPr>
          <w:b/>
          <w:highlight w:val="none"/>
        </w:rPr>
      </w:pPr>
      <w:bookmarkStart w:id="87" w:name="_Toc50733110"/>
      <w:bookmarkStart w:id="88" w:name="_Toc500400646"/>
      <w:bookmarkStart w:id="89" w:name="_Toc383095383"/>
      <w:r>
        <w:rPr>
          <w:b/>
          <w:highlight w:val="none"/>
        </w:rPr>
        <w:t>4.7 系统装置的质量保证</w:t>
      </w:r>
      <w:bookmarkEnd w:id="87"/>
      <w:bookmarkEnd w:id="88"/>
      <w:bookmarkEnd w:id="89"/>
    </w:p>
    <w:p w14:paraId="22EA2167">
      <w:pPr>
        <w:autoSpaceDE w:val="0"/>
        <w:autoSpaceDN w:val="0"/>
        <w:spacing w:line="360" w:lineRule="auto"/>
        <w:jc w:val="left"/>
        <w:textAlignment w:val="bottom"/>
        <w:rPr>
          <w:highlight w:val="none"/>
        </w:rPr>
      </w:pPr>
      <w:r>
        <w:rPr>
          <w:highlight w:val="none"/>
        </w:rPr>
        <w:t>4.7.1 投标人在设备出厂发运的同时提供有关质量保证的各项质量文件和技术文件。这些文件至少包括：</w:t>
      </w:r>
    </w:p>
    <w:p w14:paraId="0B101FC0">
      <w:pPr>
        <w:autoSpaceDE w:val="0"/>
        <w:autoSpaceDN w:val="0"/>
        <w:spacing w:line="360" w:lineRule="auto"/>
        <w:jc w:val="left"/>
        <w:textAlignment w:val="bottom"/>
        <w:rPr>
          <w:highlight w:val="none"/>
        </w:rPr>
      </w:pPr>
      <w:r>
        <w:rPr>
          <w:highlight w:val="none"/>
        </w:rPr>
        <w:t>（1） 产品检验合格证书；</w:t>
      </w:r>
    </w:p>
    <w:p w14:paraId="049EBD21">
      <w:pPr>
        <w:autoSpaceDE w:val="0"/>
        <w:autoSpaceDN w:val="0"/>
        <w:spacing w:line="360" w:lineRule="auto"/>
        <w:jc w:val="left"/>
        <w:textAlignment w:val="bottom"/>
        <w:rPr>
          <w:highlight w:val="none"/>
        </w:rPr>
      </w:pPr>
      <w:r>
        <w:rPr>
          <w:highlight w:val="none"/>
        </w:rPr>
        <w:t>（2） 主要零部件材料试验合格证书；</w:t>
      </w:r>
    </w:p>
    <w:p w14:paraId="58CA4D30">
      <w:pPr>
        <w:autoSpaceDE w:val="0"/>
        <w:autoSpaceDN w:val="0"/>
        <w:spacing w:line="360" w:lineRule="auto"/>
        <w:jc w:val="left"/>
        <w:textAlignment w:val="bottom"/>
        <w:rPr>
          <w:highlight w:val="none"/>
        </w:rPr>
      </w:pPr>
      <w:r>
        <w:rPr>
          <w:highlight w:val="none"/>
        </w:rPr>
        <w:t>（3） 主要零部件材料试验报告；</w:t>
      </w:r>
    </w:p>
    <w:p w14:paraId="64001F19">
      <w:pPr>
        <w:autoSpaceDE w:val="0"/>
        <w:autoSpaceDN w:val="0"/>
        <w:spacing w:line="360" w:lineRule="auto"/>
        <w:jc w:val="left"/>
        <w:textAlignment w:val="bottom"/>
        <w:rPr>
          <w:highlight w:val="none"/>
        </w:rPr>
      </w:pPr>
      <w:r>
        <w:rPr>
          <w:highlight w:val="none"/>
        </w:rPr>
        <w:t>（4） 本体设备及附属设备总图及相关的部件图；</w:t>
      </w:r>
    </w:p>
    <w:p w14:paraId="73B5FB2A">
      <w:pPr>
        <w:autoSpaceDE w:val="0"/>
        <w:autoSpaceDN w:val="0"/>
        <w:spacing w:line="360" w:lineRule="auto"/>
        <w:jc w:val="left"/>
        <w:textAlignment w:val="bottom"/>
        <w:rPr>
          <w:highlight w:val="none"/>
        </w:rPr>
      </w:pPr>
      <w:r>
        <w:rPr>
          <w:highlight w:val="none"/>
        </w:rPr>
        <w:t>（5） 按有关标准提供电气试验结果；</w:t>
      </w:r>
    </w:p>
    <w:p w14:paraId="2771687B">
      <w:pPr>
        <w:autoSpaceDE w:val="0"/>
        <w:autoSpaceDN w:val="0"/>
        <w:spacing w:line="360" w:lineRule="auto"/>
        <w:jc w:val="left"/>
        <w:textAlignment w:val="bottom"/>
        <w:rPr>
          <w:highlight w:val="none"/>
        </w:rPr>
      </w:pPr>
      <w:r>
        <w:rPr>
          <w:highlight w:val="none"/>
        </w:rPr>
        <w:t>（6） 质量控制计划；</w:t>
      </w:r>
    </w:p>
    <w:p w14:paraId="44C1F1A7">
      <w:pPr>
        <w:autoSpaceDE w:val="0"/>
        <w:autoSpaceDN w:val="0"/>
        <w:spacing w:line="360" w:lineRule="auto"/>
        <w:jc w:val="left"/>
        <w:textAlignment w:val="bottom"/>
        <w:rPr>
          <w:highlight w:val="none"/>
        </w:rPr>
      </w:pPr>
      <w:r>
        <w:rPr>
          <w:highlight w:val="none"/>
        </w:rPr>
        <w:t>（7） 质量检查计划；</w:t>
      </w:r>
    </w:p>
    <w:p w14:paraId="5F606BA2">
      <w:pPr>
        <w:autoSpaceDE w:val="0"/>
        <w:autoSpaceDN w:val="0"/>
        <w:spacing w:line="360" w:lineRule="auto"/>
        <w:jc w:val="left"/>
        <w:textAlignment w:val="bottom"/>
        <w:rPr>
          <w:highlight w:val="none"/>
        </w:rPr>
      </w:pPr>
      <w:r>
        <w:rPr>
          <w:highlight w:val="none"/>
        </w:rPr>
        <w:t>（8） 安装、使用、维护手册；</w:t>
      </w:r>
    </w:p>
    <w:p w14:paraId="110E0922">
      <w:pPr>
        <w:autoSpaceDE w:val="0"/>
        <w:autoSpaceDN w:val="0"/>
        <w:spacing w:line="360" w:lineRule="auto"/>
        <w:jc w:val="left"/>
        <w:textAlignment w:val="bottom"/>
        <w:rPr>
          <w:highlight w:val="none"/>
        </w:rPr>
      </w:pPr>
      <w:r>
        <w:rPr>
          <w:highlight w:val="none"/>
        </w:rPr>
        <w:t>（9） 焊缝的无损检测报告。</w:t>
      </w:r>
    </w:p>
    <w:p w14:paraId="62812AAD">
      <w:pPr>
        <w:autoSpaceDE w:val="0"/>
        <w:autoSpaceDN w:val="0"/>
        <w:spacing w:line="360" w:lineRule="auto"/>
        <w:jc w:val="left"/>
        <w:textAlignment w:val="bottom"/>
        <w:rPr>
          <w:highlight w:val="none"/>
        </w:rPr>
      </w:pPr>
      <w:r>
        <w:rPr>
          <w:highlight w:val="none"/>
        </w:rPr>
        <w:t>4.7.2 投标人有可操作的质量保证程序文件，并在生产产品时能严格执行质量程序文件。</w:t>
      </w:r>
    </w:p>
    <w:p w14:paraId="104F1A13">
      <w:pPr>
        <w:autoSpaceDE w:val="0"/>
        <w:autoSpaceDN w:val="0"/>
        <w:spacing w:line="360" w:lineRule="auto"/>
        <w:jc w:val="left"/>
        <w:textAlignment w:val="bottom"/>
        <w:rPr>
          <w:highlight w:val="none"/>
        </w:rPr>
      </w:pPr>
      <w:r>
        <w:rPr>
          <w:highlight w:val="none"/>
        </w:rPr>
        <w:t>4.7.3 投标人在制造过程中，对设备的材料、联接、组装、工艺、整体及功能进行试验和检验。</w:t>
      </w:r>
    </w:p>
    <w:p w14:paraId="45A7FB9B">
      <w:pPr>
        <w:autoSpaceDE w:val="0"/>
        <w:autoSpaceDN w:val="0"/>
        <w:spacing w:line="360" w:lineRule="auto"/>
        <w:jc w:val="left"/>
        <w:textAlignment w:val="bottom"/>
        <w:rPr>
          <w:highlight w:val="none"/>
        </w:rPr>
      </w:pPr>
      <w:r>
        <w:rPr>
          <w:highlight w:val="none"/>
        </w:rPr>
        <w:t>4.7.4 在产品监造、检验、验收过程中和质保期内，如发现任何不满足质量要求的产品或配件，投标人都必须免费及时反修或更换，直到符合规定要求。</w:t>
      </w:r>
    </w:p>
    <w:p w14:paraId="586C45B2">
      <w:pPr>
        <w:autoSpaceDE w:val="0"/>
        <w:autoSpaceDN w:val="0"/>
        <w:spacing w:line="360" w:lineRule="auto"/>
        <w:jc w:val="left"/>
        <w:textAlignment w:val="bottom"/>
        <w:rPr>
          <w:highlight w:val="none"/>
        </w:rPr>
      </w:pPr>
      <w:r>
        <w:rPr>
          <w:highlight w:val="none"/>
        </w:rPr>
        <w:t>4.7.5 设备安装、调试和验收过程中，投标人保证各项经济、安全指标满足本规范书提出的保证条件。如因投标人的责任造成设备和备件的损坏，发生质量问题，由投标人免费修理或更换；如因保管不当使设备损伤，由投标人协助解决。在用户正常使用条件下，如发生质量问题，投标人无偿提供修理或更换。投标人积极配合招标人做好服务工作。</w:t>
      </w:r>
    </w:p>
    <w:p w14:paraId="4CBA9614">
      <w:pPr>
        <w:pStyle w:val="5"/>
        <w:spacing w:before="0" w:after="0" w:line="360" w:lineRule="auto"/>
        <w:jc w:val="left"/>
        <w:rPr>
          <w:rFonts w:ascii="Times New Roman"/>
          <w:bCs/>
          <w:sz w:val="24"/>
          <w:szCs w:val="24"/>
          <w:highlight w:val="none"/>
        </w:rPr>
      </w:pPr>
      <w:r>
        <w:rPr>
          <w:rFonts w:ascii="Times New Roman"/>
          <w:bCs/>
          <w:sz w:val="24"/>
          <w:szCs w:val="24"/>
          <w:highlight w:val="none"/>
        </w:rPr>
        <w:t>5 设备监造、检验和性能验收试验</w:t>
      </w:r>
    </w:p>
    <w:p w14:paraId="2D1C63FE">
      <w:pPr>
        <w:spacing w:line="360" w:lineRule="auto"/>
        <w:ind w:firstLine="480" w:firstLineChars="200"/>
        <w:jc w:val="left"/>
        <w:rPr>
          <w:szCs w:val="32"/>
          <w:highlight w:val="none"/>
        </w:rPr>
      </w:pPr>
      <w:r>
        <w:rPr>
          <w:szCs w:val="32"/>
          <w:highlight w:val="none"/>
        </w:rPr>
        <w:t>见附件5：监造(检查</w:t>
      </w:r>
      <w:r>
        <w:rPr>
          <w:rFonts w:hint="eastAsia"/>
          <w:highlight w:val="none"/>
        </w:rPr>
        <w:t>)</w:t>
      </w:r>
      <w:r>
        <w:rPr>
          <w:szCs w:val="32"/>
          <w:highlight w:val="none"/>
        </w:rPr>
        <w:t>和性能验收试验。</w:t>
      </w:r>
    </w:p>
    <w:p w14:paraId="3534E23D">
      <w:pPr>
        <w:pStyle w:val="5"/>
        <w:spacing w:before="0" w:after="0" w:line="360" w:lineRule="auto"/>
        <w:jc w:val="left"/>
        <w:rPr>
          <w:rFonts w:ascii="Times New Roman"/>
          <w:bCs/>
          <w:sz w:val="24"/>
          <w:szCs w:val="24"/>
          <w:highlight w:val="none"/>
        </w:rPr>
      </w:pPr>
      <w:r>
        <w:rPr>
          <w:rFonts w:ascii="Times New Roman"/>
          <w:bCs/>
          <w:sz w:val="24"/>
          <w:szCs w:val="24"/>
          <w:highlight w:val="none"/>
        </w:rPr>
        <w:t>6 设计与供货界限及接口规则</w:t>
      </w:r>
    </w:p>
    <w:p w14:paraId="48D80544">
      <w:pPr>
        <w:autoSpaceDE w:val="0"/>
        <w:autoSpaceDN w:val="0"/>
        <w:spacing w:line="360" w:lineRule="auto"/>
        <w:ind w:firstLine="480" w:firstLineChars="200"/>
        <w:jc w:val="left"/>
        <w:textAlignment w:val="bottom"/>
        <w:rPr>
          <w:highlight w:val="none"/>
        </w:rPr>
      </w:pPr>
      <w:r>
        <w:rPr>
          <w:szCs w:val="21"/>
          <w:highlight w:val="none"/>
        </w:rPr>
        <w:sym w:font="Wingdings 2" w:char="0052"/>
      </w:r>
      <w:r>
        <w:rPr>
          <w:rFonts w:hint="eastAsia"/>
          <w:szCs w:val="21"/>
          <w:highlight w:val="none"/>
        </w:rPr>
        <w:t>滑架、</w:t>
      </w:r>
      <w:r>
        <w:rPr>
          <w:szCs w:val="21"/>
          <w:highlight w:val="none"/>
        </w:rPr>
        <w:sym w:font="Wingdings 2" w:char="0052"/>
      </w:r>
      <w:r>
        <w:rPr>
          <w:rFonts w:hint="eastAsia"/>
          <w:szCs w:val="21"/>
          <w:highlight w:val="none"/>
        </w:rPr>
        <w:t>化学清洗</w:t>
      </w:r>
      <w:r>
        <w:rPr>
          <w:highlight w:val="none"/>
        </w:rPr>
        <w:t>设备设计及供货界限：</w:t>
      </w:r>
      <w:r>
        <w:rPr>
          <w:szCs w:val="32"/>
          <w:highlight w:val="none"/>
        </w:rPr>
        <w:t>供货范围内所有设备，包括管道、阀门、平台扶梯、桥架、仪表、电控箱及其电缆、电缆保护管等。</w:t>
      </w:r>
    </w:p>
    <w:p w14:paraId="224EEA01">
      <w:pPr>
        <w:pStyle w:val="28"/>
        <w:spacing w:line="360" w:lineRule="auto"/>
        <w:ind w:left="0" w:firstLine="480" w:firstLineChars="200"/>
        <w:rPr>
          <w:rFonts w:ascii="Times New Roman" w:hAnsi="Times New Roman"/>
          <w:szCs w:val="32"/>
          <w:highlight w:val="none"/>
        </w:rPr>
      </w:pPr>
      <w:r>
        <w:rPr>
          <w:rFonts w:ascii="Times New Roman" w:hAnsi="Times New Roman"/>
          <w:szCs w:val="32"/>
          <w:highlight w:val="none"/>
        </w:rPr>
        <w:t>电气设备设计供货界限：招标人仅提供开关柜电源供电点，两端设备均为投标人范围的则其间的全部电缆、保护管、桥架等均为投标人设计及供货范围。</w:t>
      </w:r>
    </w:p>
    <w:p w14:paraId="4873FC35">
      <w:pPr>
        <w:pStyle w:val="5"/>
        <w:spacing w:before="0" w:after="0" w:line="360" w:lineRule="auto"/>
        <w:jc w:val="left"/>
        <w:rPr>
          <w:rFonts w:ascii="Times New Roman"/>
          <w:bCs/>
          <w:sz w:val="24"/>
          <w:szCs w:val="24"/>
          <w:highlight w:val="none"/>
        </w:rPr>
      </w:pPr>
      <w:bookmarkStart w:id="90" w:name="_Toc96238078"/>
      <w:bookmarkStart w:id="91" w:name="_Toc170270577"/>
      <w:bookmarkStart w:id="92" w:name="_Toc170462603"/>
      <w:r>
        <w:rPr>
          <w:rFonts w:ascii="Times New Roman"/>
          <w:bCs/>
          <w:sz w:val="24"/>
          <w:szCs w:val="24"/>
          <w:highlight w:val="none"/>
        </w:rPr>
        <w:t>7 清洁, 油漆, 包装, 装卸, 运输与储存</w:t>
      </w:r>
      <w:bookmarkEnd w:id="90"/>
      <w:bookmarkEnd w:id="91"/>
      <w:bookmarkEnd w:id="92"/>
    </w:p>
    <w:p w14:paraId="249F60E9">
      <w:pPr>
        <w:spacing w:line="360" w:lineRule="auto"/>
        <w:jc w:val="left"/>
        <w:rPr>
          <w:highlight w:val="none"/>
        </w:rPr>
      </w:pPr>
      <w:r>
        <w:rPr>
          <w:highlight w:val="none"/>
        </w:rPr>
        <w:t>7.1设备油漆、包装应符合《水处理设备</w:t>
      </w:r>
      <w:r>
        <w:rPr>
          <w:rFonts w:hint="eastAsia"/>
          <w:highlight w:val="none"/>
        </w:rPr>
        <w:t xml:space="preserve"> 技术条件</w:t>
      </w:r>
      <w:r>
        <w:rPr>
          <w:highlight w:val="none"/>
        </w:rPr>
        <w:t>》的规定。除锈等级Sa3级，底漆红棕环氧树脂底漆（1度80μm），中间漆环氧云铁防锈漆（1度80μm），面漆丙烯酸面漆（2度2×40μm）。主要设备表面一般要求喷砂和喷漆，除锈等级Sa2级。油漆颜色应由招标人确认。油漆品质应考虑防盐雾要求。</w:t>
      </w:r>
    </w:p>
    <w:p w14:paraId="11559474">
      <w:pPr>
        <w:spacing w:line="360" w:lineRule="auto"/>
        <w:jc w:val="left"/>
        <w:rPr>
          <w:highlight w:val="none"/>
        </w:rPr>
      </w:pPr>
      <w:r>
        <w:rPr>
          <w:highlight w:val="none"/>
        </w:rPr>
        <w:t>7.1.1每个设备箱至少应包括二份详细的装箱清单和一份质量检验证明书和产品合格证。</w:t>
      </w:r>
    </w:p>
    <w:p w14:paraId="1B2CD666">
      <w:pPr>
        <w:spacing w:line="360" w:lineRule="auto"/>
        <w:jc w:val="left"/>
        <w:rPr>
          <w:highlight w:val="none"/>
        </w:rPr>
      </w:pPr>
      <w:r>
        <w:rPr>
          <w:highlight w:val="none"/>
        </w:rPr>
        <w:t>7.1.2设备的外包装上应清楚地标明：出厂编号、总共箱数及箱号、收货站或港、到货站或港、发货单位、收货单位、出厂或装箱日期以及设备运输、贮存保管要求的国际通用标记。</w:t>
      </w:r>
    </w:p>
    <w:p w14:paraId="2229B9A2">
      <w:pPr>
        <w:spacing w:line="360" w:lineRule="auto"/>
        <w:jc w:val="left"/>
        <w:rPr>
          <w:highlight w:val="none"/>
        </w:rPr>
      </w:pPr>
      <w:r>
        <w:rPr>
          <w:highlight w:val="none"/>
        </w:rPr>
        <w:t>7.1.3较大型及较重的设备都要装有便于移动的滑动部件及吊钩，吊钩应装有起吊点，并且在外包装上应标明设备重量及重心、起吊点(未拆去外包装</w:t>
      </w:r>
      <w:r>
        <w:rPr>
          <w:rFonts w:hint="eastAsia"/>
          <w:highlight w:val="none"/>
        </w:rPr>
        <w:t>）</w:t>
      </w:r>
      <w:r>
        <w:rPr>
          <w:highlight w:val="none"/>
        </w:rPr>
        <w:t>。</w:t>
      </w:r>
    </w:p>
    <w:p w14:paraId="35C346A2">
      <w:pPr>
        <w:spacing w:line="360" w:lineRule="auto"/>
        <w:jc w:val="left"/>
        <w:rPr>
          <w:highlight w:val="none"/>
        </w:rPr>
      </w:pPr>
      <w:r>
        <w:rPr>
          <w:highlight w:val="none"/>
        </w:rPr>
        <w:t>7.2设备的包装和运输还应符合HG</w:t>
      </w:r>
      <w:r>
        <w:rPr>
          <w:rFonts w:hint="eastAsia"/>
          <w:highlight w:val="none"/>
        </w:rPr>
        <w:t>/T 20677</w:t>
      </w:r>
      <w:r>
        <w:rPr>
          <w:highlight w:val="none"/>
        </w:rPr>
        <w:t>《橡胶衬里化工设备</w:t>
      </w:r>
      <w:r>
        <w:rPr>
          <w:rFonts w:hint="eastAsia"/>
          <w:highlight w:val="none"/>
        </w:rPr>
        <w:t>设计规范</w:t>
      </w:r>
      <w:r>
        <w:rPr>
          <w:highlight w:val="none"/>
        </w:rPr>
        <w:t>》的规定要求。</w:t>
      </w:r>
    </w:p>
    <w:p w14:paraId="1F7972F8">
      <w:pPr>
        <w:spacing w:line="360" w:lineRule="auto"/>
        <w:jc w:val="left"/>
        <w:rPr>
          <w:highlight w:val="none"/>
        </w:rPr>
      </w:pPr>
      <w:r>
        <w:rPr>
          <w:highlight w:val="none"/>
        </w:rPr>
        <w:t>7.2.1设备的接管、法兰表面应加以保护，以免损伤衬胶部位。</w:t>
      </w:r>
    </w:p>
    <w:p w14:paraId="113C5DD4">
      <w:pPr>
        <w:spacing w:line="360" w:lineRule="auto"/>
        <w:jc w:val="left"/>
        <w:rPr>
          <w:highlight w:val="none"/>
        </w:rPr>
      </w:pPr>
      <w:r>
        <w:rPr>
          <w:highlight w:val="none"/>
        </w:rPr>
        <w:t>7.2.2设备及外包装应有禁焊标志。</w:t>
      </w:r>
    </w:p>
    <w:p w14:paraId="53E8374D">
      <w:pPr>
        <w:spacing w:line="360" w:lineRule="auto"/>
        <w:jc w:val="left"/>
        <w:rPr>
          <w:highlight w:val="none"/>
        </w:rPr>
      </w:pPr>
      <w:r>
        <w:rPr>
          <w:highlight w:val="none"/>
        </w:rPr>
        <w:t>7.2.3衬胶设备在低于+5℃温度下运输时，要采取必要措施，以防胶板产生裂纹。</w:t>
      </w:r>
    </w:p>
    <w:p w14:paraId="0E9E6209">
      <w:pPr>
        <w:spacing w:line="360" w:lineRule="auto"/>
        <w:jc w:val="left"/>
        <w:rPr>
          <w:highlight w:val="none"/>
        </w:rPr>
      </w:pPr>
      <w:r>
        <w:rPr>
          <w:highlight w:val="none"/>
        </w:rPr>
        <w:t>7.2.4设备在运输时要有防止滤料、纤维混乱的措施。</w:t>
      </w:r>
    </w:p>
    <w:p w14:paraId="6D23BDAC">
      <w:pPr>
        <w:spacing w:line="360" w:lineRule="auto"/>
        <w:jc w:val="left"/>
        <w:rPr>
          <w:highlight w:val="none"/>
        </w:rPr>
      </w:pPr>
      <w:r>
        <w:rPr>
          <w:highlight w:val="none"/>
        </w:rPr>
        <w:t>7.2.5设备储存应符合HG</w:t>
      </w:r>
      <w:r>
        <w:rPr>
          <w:rFonts w:hint="eastAsia"/>
          <w:highlight w:val="none"/>
        </w:rPr>
        <w:t>/T 20677</w:t>
      </w:r>
      <w:r>
        <w:rPr>
          <w:highlight w:val="none"/>
        </w:rPr>
        <w:t>《橡胶衬里化工设备</w:t>
      </w:r>
      <w:r>
        <w:rPr>
          <w:rFonts w:hint="eastAsia"/>
          <w:highlight w:val="none"/>
        </w:rPr>
        <w:t>设计规范</w:t>
      </w:r>
      <w:r>
        <w:rPr>
          <w:highlight w:val="none"/>
        </w:rPr>
        <w:t>》</w:t>
      </w:r>
      <w:r>
        <w:rPr>
          <w:rFonts w:hint="eastAsia"/>
          <w:highlight w:val="none"/>
        </w:rPr>
        <w:t>的规定要求</w:t>
      </w:r>
      <w:r>
        <w:rPr>
          <w:highlight w:val="none"/>
        </w:rPr>
        <w:t>。</w:t>
      </w:r>
    </w:p>
    <w:p w14:paraId="0F30577D">
      <w:pPr>
        <w:spacing w:line="360" w:lineRule="auto"/>
        <w:jc w:val="left"/>
        <w:rPr>
          <w:highlight w:val="none"/>
        </w:rPr>
      </w:pPr>
      <w:r>
        <w:rPr>
          <w:highlight w:val="none"/>
        </w:rPr>
        <w:t>7.2.6衬胶制品应在+5～30℃室内放置，以防冻裂。储存时应避免阳光直射，并应距发热源1m以外，以免加速橡胶老化。</w:t>
      </w:r>
    </w:p>
    <w:p w14:paraId="4C990E62">
      <w:pPr>
        <w:spacing w:line="360" w:lineRule="auto"/>
        <w:jc w:val="left"/>
        <w:rPr>
          <w:highlight w:val="none"/>
        </w:rPr>
      </w:pPr>
      <w:r>
        <w:rPr>
          <w:highlight w:val="none"/>
        </w:rPr>
        <w:t>7.2.7设备的法兰应除锈，并涂刷与外壳相同的防锈油漆。在储存期间用盲板，螺栓将法兰面压紧，以防损坏法兰面。</w:t>
      </w:r>
    </w:p>
    <w:p w14:paraId="26C99361">
      <w:pPr>
        <w:spacing w:line="360" w:lineRule="auto"/>
        <w:jc w:val="left"/>
        <w:rPr>
          <w:highlight w:val="none"/>
        </w:rPr>
      </w:pPr>
      <w:r>
        <w:rPr>
          <w:highlight w:val="none"/>
        </w:rPr>
        <w:t>7.2.8衬胶设备应尽量缩短保管期，以避免在保管期间带来的麻烦，并能延长衬胶制品的使用寿命。</w:t>
      </w:r>
    </w:p>
    <w:p w14:paraId="1E27B88C">
      <w:pPr>
        <w:spacing w:line="360" w:lineRule="auto"/>
        <w:jc w:val="left"/>
        <w:rPr>
          <w:highlight w:val="none"/>
        </w:rPr>
      </w:pPr>
      <w:r>
        <w:rPr>
          <w:highlight w:val="none"/>
        </w:rPr>
        <w:t>7.3 凡电气设备必须严格包装，以确保在运输保管期间（考虑露天放置至少8个月）不被损坏，并防止受潮。包装费包括在设备总价内。</w:t>
      </w:r>
    </w:p>
    <w:p w14:paraId="74DF9132">
      <w:pPr>
        <w:spacing w:line="360" w:lineRule="auto"/>
        <w:jc w:val="left"/>
        <w:rPr>
          <w:highlight w:val="none"/>
        </w:rPr>
      </w:pPr>
      <w:r>
        <w:rPr>
          <w:highlight w:val="none"/>
        </w:rPr>
        <w:t>7.4 所有外露部分应有保护装置，防止在运输和储存期间损坏，所有管道端头均应有封堵。</w:t>
      </w:r>
    </w:p>
    <w:p w14:paraId="3FD2302A">
      <w:pPr>
        <w:pStyle w:val="28"/>
        <w:spacing w:line="360" w:lineRule="auto"/>
        <w:ind w:left="0"/>
        <w:rPr>
          <w:rFonts w:ascii="Times New Roman" w:hAnsi="Times New Roman"/>
          <w:highlight w:val="none"/>
        </w:rPr>
      </w:pPr>
      <w:r>
        <w:rPr>
          <w:rFonts w:ascii="Times New Roman" w:hAnsi="Times New Roman"/>
          <w:highlight w:val="none"/>
        </w:rPr>
        <w:t>7.5 如质保期内设备故障率高、系统不完善等设备缺陷（包括供货设备质量差、选型不合理）或设计问题，承包单位应免费负责处理。</w:t>
      </w:r>
    </w:p>
    <w:p w14:paraId="7D8E7E9D">
      <w:pPr>
        <w:pStyle w:val="5"/>
        <w:spacing w:before="0" w:after="0" w:line="360" w:lineRule="auto"/>
        <w:jc w:val="left"/>
        <w:rPr>
          <w:rFonts w:ascii="Times New Roman"/>
          <w:sz w:val="24"/>
          <w:highlight w:val="none"/>
        </w:rPr>
      </w:pPr>
      <w:bookmarkStart w:id="93" w:name="_Toc170270578"/>
      <w:bookmarkStart w:id="94" w:name="_Toc96238079"/>
      <w:bookmarkStart w:id="95" w:name="_Toc170462604"/>
      <w:r>
        <w:rPr>
          <w:rFonts w:ascii="Times New Roman"/>
          <w:bCs/>
          <w:sz w:val="24"/>
          <w:szCs w:val="24"/>
          <w:highlight w:val="none"/>
        </w:rPr>
        <w:t>8 数据表</w:t>
      </w:r>
      <w:bookmarkEnd w:id="93"/>
      <w:bookmarkEnd w:id="94"/>
      <w:bookmarkEnd w:id="95"/>
      <w:r>
        <w:rPr>
          <w:rFonts w:ascii="Times New Roman"/>
          <w:sz w:val="24"/>
          <w:highlight w:val="none"/>
        </w:rPr>
        <w:t>（空白处由投标人</w:t>
      </w:r>
      <w:r>
        <w:rPr>
          <w:rFonts w:hint="eastAsia" w:ascii="Times New Roman"/>
          <w:sz w:val="24"/>
          <w:highlight w:val="none"/>
        </w:rPr>
        <w:t>补充完整，不限于此</w:t>
      </w:r>
      <w:r>
        <w:rPr>
          <w:rFonts w:ascii="Times New Roman"/>
          <w:sz w:val="24"/>
          <w:highlight w:val="none"/>
        </w:rPr>
        <w:t>）</w:t>
      </w:r>
    </w:p>
    <w:p w14:paraId="5E9C588D">
      <w:pPr>
        <w:autoSpaceDE w:val="0"/>
        <w:autoSpaceDN w:val="0"/>
        <w:spacing w:line="360" w:lineRule="auto"/>
        <w:jc w:val="left"/>
        <w:textAlignment w:val="bottom"/>
        <w:outlineLvl w:val="2"/>
        <w:rPr>
          <w:b/>
          <w:highlight w:val="none"/>
        </w:rPr>
      </w:pPr>
      <w:r>
        <w:rPr>
          <w:b/>
          <w:highlight w:val="none"/>
        </w:rPr>
        <w:t>8.1</w:t>
      </w:r>
      <w:r>
        <w:rPr>
          <w:rFonts w:hint="eastAsia"/>
          <w:b/>
          <w:highlight w:val="none"/>
        </w:rPr>
        <w:t xml:space="preserve"> 超滤系统</w:t>
      </w:r>
    </w:p>
    <w:p w14:paraId="2EFDFB74">
      <w:pPr>
        <w:spacing w:line="360" w:lineRule="auto"/>
        <w:jc w:val="left"/>
        <w:rPr>
          <w:highlight w:val="none"/>
        </w:rPr>
      </w:pPr>
      <w:r>
        <w:rPr>
          <w:rFonts w:hint="eastAsia"/>
          <w:highlight w:val="none"/>
        </w:rPr>
        <w:t>（1）超滤滑架装置技术参数</w:t>
      </w:r>
    </w:p>
    <w:tbl>
      <w:tblPr>
        <w:tblStyle w:val="21"/>
        <w:tblW w:w="4998"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865"/>
        <w:gridCol w:w="2084"/>
        <w:gridCol w:w="6028"/>
      </w:tblGrid>
      <w:tr w14:paraId="7AD168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jc w:val="center"/>
        </w:trPr>
        <w:tc>
          <w:tcPr>
            <w:tcW w:w="482" w:type="pct"/>
            <w:vAlign w:val="center"/>
          </w:tcPr>
          <w:p w14:paraId="60A47000">
            <w:pPr>
              <w:jc w:val="center"/>
              <w:rPr>
                <w:b/>
                <w:highlight w:val="none"/>
              </w:rPr>
            </w:pPr>
            <w:r>
              <w:rPr>
                <w:b/>
                <w:highlight w:val="none"/>
              </w:rPr>
              <w:t>序号</w:t>
            </w:r>
          </w:p>
        </w:tc>
        <w:tc>
          <w:tcPr>
            <w:tcW w:w="1160" w:type="pct"/>
            <w:vAlign w:val="center"/>
          </w:tcPr>
          <w:p w14:paraId="1F698831">
            <w:pPr>
              <w:jc w:val="center"/>
              <w:rPr>
                <w:b/>
                <w:highlight w:val="none"/>
              </w:rPr>
            </w:pPr>
            <w:r>
              <w:rPr>
                <w:b/>
                <w:highlight w:val="none"/>
              </w:rPr>
              <w:t>项目</w:t>
            </w:r>
          </w:p>
        </w:tc>
        <w:tc>
          <w:tcPr>
            <w:tcW w:w="3356" w:type="pct"/>
            <w:vAlign w:val="center"/>
          </w:tcPr>
          <w:p w14:paraId="2E9A91A0">
            <w:pPr>
              <w:ind w:left="482" w:hanging="482" w:hangingChars="200"/>
              <w:jc w:val="center"/>
              <w:rPr>
                <w:b/>
                <w:highlight w:val="none"/>
              </w:rPr>
            </w:pPr>
            <w:r>
              <w:rPr>
                <w:b/>
                <w:highlight w:val="none"/>
              </w:rPr>
              <w:t>参数</w:t>
            </w:r>
          </w:p>
        </w:tc>
      </w:tr>
      <w:tr w14:paraId="36977E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82" w:type="pct"/>
            <w:vAlign w:val="center"/>
          </w:tcPr>
          <w:p w14:paraId="4E930057">
            <w:pPr>
              <w:jc w:val="center"/>
              <w:rPr>
                <w:highlight w:val="none"/>
              </w:rPr>
            </w:pPr>
            <w:r>
              <w:rPr>
                <w:highlight w:val="none"/>
              </w:rPr>
              <w:t>1</w:t>
            </w:r>
          </w:p>
        </w:tc>
        <w:tc>
          <w:tcPr>
            <w:tcW w:w="1160" w:type="pct"/>
            <w:vAlign w:val="center"/>
          </w:tcPr>
          <w:p w14:paraId="7880D641">
            <w:pPr>
              <w:jc w:val="left"/>
              <w:rPr>
                <w:highlight w:val="none"/>
              </w:rPr>
            </w:pPr>
            <w:r>
              <w:rPr>
                <w:highlight w:val="none"/>
              </w:rPr>
              <w:t>设备数量</w:t>
            </w:r>
          </w:p>
        </w:tc>
        <w:tc>
          <w:tcPr>
            <w:tcW w:w="3356" w:type="pct"/>
            <w:vAlign w:val="center"/>
          </w:tcPr>
          <w:p w14:paraId="01A874DA">
            <w:pPr>
              <w:ind w:left="480" w:hanging="480" w:hangingChars="200"/>
              <w:jc w:val="left"/>
              <w:rPr>
                <w:highlight w:val="none"/>
              </w:rPr>
            </w:pPr>
            <w:r>
              <w:rPr>
                <w:rFonts w:hint="eastAsia"/>
                <w:highlight w:val="none"/>
                <w:u w:val="single"/>
              </w:rPr>
              <w:t>1</w:t>
            </w:r>
            <w:r>
              <w:rPr>
                <w:highlight w:val="none"/>
              </w:rPr>
              <w:t>套</w:t>
            </w:r>
          </w:p>
        </w:tc>
      </w:tr>
      <w:tr w14:paraId="02887A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82" w:type="pct"/>
            <w:vAlign w:val="center"/>
          </w:tcPr>
          <w:p w14:paraId="6CE758E1">
            <w:pPr>
              <w:jc w:val="center"/>
              <w:rPr>
                <w:highlight w:val="none"/>
              </w:rPr>
            </w:pPr>
            <w:r>
              <w:rPr>
                <w:highlight w:val="none"/>
              </w:rPr>
              <w:t>2</w:t>
            </w:r>
          </w:p>
        </w:tc>
        <w:tc>
          <w:tcPr>
            <w:tcW w:w="1160" w:type="pct"/>
            <w:vAlign w:val="center"/>
          </w:tcPr>
          <w:p w14:paraId="0249AB13">
            <w:pPr>
              <w:jc w:val="left"/>
              <w:rPr>
                <w:highlight w:val="none"/>
              </w:rPr>
            </w:pPr>
            <w:r>
              <w:rPr>
                <w:highlight w:val="none"/>
              </w:rPr>
              <w:t>单套</w:t>
            </w:r>
            <w:r>
              <w:rPr>
                <w:rFonts w:hint="eastAsia"/>
                <w:highlight w:val="none"/>
              </w:rPr>
              <w:t>净产水</w:t>
            </w:r>
            <w:r>
              <w:rPr>
                <w:highlight w:val="none"/>
              </w:rPr>
              <w:t>出力</w:t>
            </w:r>
          </w:p>
        </w:tc>
        <w:tc>
          <w:tcPr>
            <w:tcW w:w="3356" w:type="pct"/>
            <w:vAlign w:val="center"/>
          </w:tcPr>
          <w:p w14:paraId="5F34AAC7">
            <w:pPr>
              <w:ind w:left="480" w:hanging="480" w:hangingChars="200"/>
              <w:jc w:val="left"/>
              <w:rPr>
                <w:highlight w:val="none"/>
              </w:rPr>
            </w:pPr>
            <w:r>
              <w:rPr>
                <w:rFonts w:hint="eastAsia"/>
                <w:highlight w:val="none"/>
              </w:rPr>
              <w:t>≥</w:t>
            </w:r>
            <w:r>
              <w:rPr>
                <w:rFonts w:hint="eastAsia"/>
                <w:highlight w:val="none"/>
                <w:u w:val="single"/>
              </w:rPr>
              <w:t>160</w:t>
            </w:r>
            <w:r>
              <w:rPr>
                <w:rFonts w:hint="eastAsia"/>
                <w:sz w:val="21"/>
                <w:szCs w:val="21"/>
                <w:highlight w:val="none"/>
              </w:rPr>
              <w:t>m³</w:t>
            </w:r>
            <w:r>
              <w:rPr>
                <w:highlight w:val="none"/>
              </w:rPr>
              <w:t>/h（</w:t>
            </w:r>
            <w:r>
              <w:rPr>
                <w:rFonts w:hint="eastAsia"/>
                <w:highlight w:val="none"/>
                <w:lang w:val="en-US" w:eastAsia="zh-CN"/>
              </w:rPr>
              <w:t>15</w:t>
            </w:r>
            <w:r>
              <w:rPr>
                <w:highlight w:val="none"/>
              </w:rPr>
              <w:t>℃）</w:t>
            </w:r>
          </w:p>
        </w:tc>
      </w:tr>
      <w:tr w14:paraId="488976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82" w:type="pct"/>
            <w:shd w:val="clear" w:color="auto" w:fill="auto"/>
            <w:vAlign w:val="center"/>
          </w:tcPr>
          <w:p w14:paraId="4D76DF34">
            <w:pPr>
              <w:jc w:val="center"/>
              <w:rPr>
                <w:rFonts w:ascii="Times New Roman" w:hAnsi="Times New Roman" w:eastAsia="宋体" w:cs="Times New Roman"/>
                <w:kern w:val="2"/>
                <w:sz w:val="24"/>
                <w:szCs w:val="24"/>
                <w:highlight w:val="none"/>
                <w:lang w:val="en-US" w:eastAsia="zh-CN" w:bidi="ar-SA"/>
              </w:rPr>
            </w:pPr>
            <w:r>
              <w:rPr>
                <w:highlight w:val="none"/>
              </w:rPr>
              <w:t>3</w:t>
            </w:r>
          </w:p>
        </w:tc>
        <w:tc>
          <w:tcPr>
            <w:tcW w:w="1160" w:type="pct"/>
            <w:vAlign w:val="center"/>
          </w:tcPr>
          <w:p w14:paraId="2738CD13">
            <w:pPr>
              <w:jc w:val="left"/>
              <w:rPr>
                <w:rFonts w:hint="eastAsia" w:eastAsia="宋体"/>
                <w:highlight w:val="none"/>
                <w:lang w:val="en-US" w:eastAsia="zh-CN"/>
              </w:rPr>
            </w:pPr>
            <w:r>
              <w:rPr>
                <w:rFonts w:hint="eastAsia"/>
                <w:highlight w:val="none"/>
                <w:lang w:val="en-US" w:eastAsia="zh-CN"/>
              </w:rPr>
              <w:t>回收率</w:t>
            </w:r>
          </w:p>
        </w:tc>
        <w:tc>
          <w:tcPr>
            <w:tcW w:w="3356" w:type="pct"/>
            <w:vAlign w:val="center"/>
          </w:tcPr>
          <w:p w14:paraId="79F24B04">
            <w:pPr>
              <w:ind w:left="480" w:hanging="480" w:hangingChars="200"/>
              <w:jc w:val="left"/>
              <w:rPr>
                <w:rFonts w:hint="eastAsia" w:eastAsia="宋体"/>
                <w:highlight w:val="none"/>
                <w:lang w:val="en-US" w:eastAsia="zh-CN"/>
              </w:rPr>
            </w:pPr>
            <w:r>
              <w:rPr>
                <w:rFonts w:hint="eastAsia"/>
                <w:highlight w:val="none"/>
              </w:rPr>
              <w:t>≥</w:t>
            </w:r>
            <w:r>
              <w:rPr>
                <w:rFonts w:hint="eastAsia"/>
                <w:highlight w:val="none"/>
                <w:lang w:val="en-US" w:eastAsia="zh-CN"/>
              </w:rPr>
              <w:t>90%，须能通过</w:t>
            </w:r>
            <w:r>
              <w:rPr>
                <w:rFonts w:cs="Times New Roman"/>
                <w:color w:val="auto"/>
                <w:highlight w:val="none"/>
              </w:rPr>
              <w:t>流量控制阀</w:t>
            </w:r>
            <w:r>
              <w:rPr>
                <w:rFonts w:hint="eastAsia" w:cs="Times New Roman"/>
                <w:color w:val="auto"/>
                <w:highlight w:val="none"/>
                <w:lang w:val="en-US" w:eastAsia="zh-CN"/>
              </w:rPr>
              <w:t>调节</w:t>
            </w:r>
          </w:p>
        </w:tc>
      </w:tr>
      <w:tr w14:paraId="00AC69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82" w:type="pct"/>
            <w:shd w:val="clear" w:color="auto" w:fill="auto"/>
            <w:vAlign w:val="center"/>
          </w:tcPr>
          <w:p w14:paraId="48E180E9">
            <w:pPr>
              <w:jc w:val="center"/>
              <w:rPr>
                <w:rFonts w:ascii="Times New Roman" w:hAnsi="Times New Roman" w:eastAsia="宋体" w:cs="Times New Roman"/>
                <w:kern w:val="2"/>
                <w:sz w:val="24"/>
                <w:szCs w:val="24"/>
                <w:highlight w:val="none"/>
                <w:lang w:val="en-US" w:eastAsia="zh-CN" w:bidi="ar-SA"/>
              </w:rPr>
            </w:pPr>
            <w:r>
              <w:rPr>
                <w:rFonts w:hint="eastAsia"/>
                <w:highlight w:val="none"/>
              </w:rPr>
              <w:t>4</w:t>
            </w:r>
          </w:p>
        </w:tc>
        <w:tc>
          <w:tcPr>
            <w:tcW w:w="1160" w:type="pct"/>
            <w:vAlign w:val="center"/>
          </w:tcPr>
          <w:p w14:paraId="0E1B532D">
            <w:pPr>
              <w:jc w:val="left"/>
              <w:rPr>
                <w:highlight w:val="none"/>
              </w:rPr>
            </w:pPr>
            <w:r>
              <w:rPr>
                <w:rFonts w:hint="eastAsia"/>
                <w:highlight w:val="none"/>
              </w:rPr>
              <w:t>运行温度</w:t>
            </w:r>
          </w:p>
        </w:tc>
        <w:tc>
          <w:tcPr>
            <w:tcW w:w="3356" w:type="pct"/>
            <w:vAlign w:val="center"/>
          </w:tcPr>
          <w:p w14:paraId="49529860">
            <w:pPr>
              <w:ind w:left="480" w:hanging="480" w:hangingChars="200"/>
              <w:jc w:val="left"/>
              <w:rPr>
                <w:highlight w:val="none"/>
              </w:rPr>
            </w:pPr>
            <w:r>
              <w:rPr>
                <w:rFonts w:hint="eastAsia"/>
                <w:szCs w:val="22"/>
                <w:highlight w:val="none"/>
              </w:rPr>
              <w:t>1</w:t>
            </w:r>
            <w:r>
              <w:rPr>
                <w:szCs w:val="22"/>
                <w:highlight w:val="none"/>
              </w:rPr>
              <w:t>5-</w:t>
            </w:r>
            <w:r>
              <w:rPr>
                <w:rFonts w:hint="eastAsia"/>
                <w:szCs w:val="22"/>
                <w:highlight w:val="none"/>
              </w:rPr>
              <w:t>35</w:t>
            </w:r>
            <w:r>
              <w:rPr>
                <w:szCs w:val="22"/>
                <w:highlight w:val="none"/>
              </w:rPr>
              <w:t>℃</w:t>
            </w:r>
            <w:r>
              <w:rPr>
                <w:rFonts w:hint="eastAsia"/>
                <w:szCs w:val="22"/>
                <w:highlight w:val="none"/>
              </w:rPr>
              <w:t>（根据具体情况修改）</w:t>
            </w:r>
          </w:p>
        </w:tc>
      </w:tr>
      <w:tr w14:paraId="28CD7E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82" w:type="pct"/>
            <w:shd w:val="clear" w:color="auto" w:fill="auto"/>
            <w:vAlign w:val="center"/>
          </w:tcPr>
          <w:p w14:paraId="7148D632">
            <w:pPr>
              <w:jc w:val="center"/>
              <w:rPr>
                <w:rFonts w:ascii="Times New Roman" w:hAnsi="Times New Roman" w:eastAsia="宋体" w:cs="Times New Roman"/>
                <w:kern w:val="2"/>
                <w:sz w:val="24"/>
                <w:szCs w:val="24"/>
                <w:highlight w:val="none"/>
                <w:lang w:val="en-US" w:eastAsia="zh-CN" w:bidi="ar-SA"/>
              </w:rPr>
            </w:pPr>
            <w:r>
              <w:rPr>
                <w:highlight w:val="none"/>
              </w:rPr>
              <w:t>5</w:t>
            </w:r>
          </w:p>
        </w:tc>
        <w:tc>
          <w:tcPr>
            <w:tcW w:w="1160" w:type="pct"/>
            <w:vAlign w:val="center"/>
          </w:tcPr>
          <w:p w14:paraId="124E2E82">
            <w:pPr>
              <w:jc w:val="left"/>
              <w:rPr>
                <w:highlight w:val="none"/>
              </w:rPr>
            </w:pPr>
            <w:r>
              <w:rPr>
                <w:rFonts w:hint="eastAsia"/>
                <w:highlight w:val="none"/>
              </w:rPr>
              <w:t>排列方式</w:t>
            </w:r>
          </w:p>
        </w:tc>
        <w:tc>
          <w:tcPr>
            <w:tcW w:w="3356" w:type="pct"/>
            <w:vAlign w:val="center"/>
          </w:tcPr>
          <w:p w14:paraId="5C5AF748">
            <w:pPr>
              <w:ind w:left="480" w:hanging="480" w:hangingChars="200"/>
              <w:jc w:val="left"/>
              <w:rPr>
                <w:szCs w:val="22"/>
                <w:highlight w:val="none"/>
              </w:rPr>
            </w:pPr>
          </w:p>
        </w:tc>
      </w:tr>
      <w:tr w14:paraId="66DEB0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82" w:type="pct"/>
            <w:shd w:val="clear" w:color="auto" w:fill="auto"/>
            <w:vAlign w:val="center"/>
          </w:tcPr>
          <w:p w14:paraId="6E8D9715">
            <w:pPr>
              <w:jc w:val="center"/>
              <w:rPr>
                <w:rFonts w:ascii="Times New Roman" w:hAnsi="Times New Roman" w:eastAsia="宋体" w:cs="Times New Roman"/>
                <w:kern w:val="2"/>
                <w:sz w:val="24"/>
                <w:szCs w:val="24"/>
                <w:highlight w:val="none"/>
                <w:lang w:val="en-US" w:eastAsia="zh-CN" w:bidi="ar-SA"/>
              </w:rPr>
            </w:pPr>
            <w:r>
              <w:rPr>
                <w:highlight w:val="none"/>
              </w:rPr>
              <w:t>7</w:t>
            </w:r>
          </w:p>
        </w:tc>
        <w:tc>
          <w:tcPr>
            <w:tcW w:w="1160" w:type="pct"/>
            <w:vAlign w:val="center"/>
          </w:tcPr>
          <w:p w14:paraId="48EA0567">
            <w:pPr>
              <w:jc w:val="left"/>
              <w:rPr>
                <w:highlight w:val="none"/>
              </w:rPr>
            </w:pPr>
            <w:r>
              <w:rPr>
                <w:highlight w:val="none"/>
              </w:rPr>
              <w:t>滑架材质</w:t>
            </w:r>
          </w:p>
        </w:tc>
        <w:tc>
          <w:tcPr>
            <w:tcW w:w="3356" w:type="pct"/>
            <w:vAlign w:val="center"/>
          </w:tcPr>
          <w:p w14:paraId="54DE1529">
            <w:pPr>
              <w:ind w:left="480" w:hanging="480" w:hangingChars="200"/>
              <w:jc w:val="left"/>
              <w:rPr>
                <w:highlight w:val="none"/>
              </w:rPr>
            </w:pPr>
            <w:r>
              <w:rPr>
                <w:rFonts w:hint="eastAsia"/>
                <w:highlight w:val="none"/>
              </w:rPr>
              <w:t>碳钢防腐</w:t>
            </w:r>
          </w:p>
        </w:tc>
      </w:tr>
      <w:tr w14:paraId="69F4F6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8" w:hRule="atLeast"/>
          <w:jc w:val="center"/>
        </w:trPr>
        <w:tc>
          <w:tcPr>
            <w:tcW w:w="482" w:type="pct"/>
            <w:shd w:val="clear" w:color="auto" w:fill="auto"/>
            <w:vAlign w:val="center"/>
          </w:tcPr>
          <w:p w14:paraId="0823C422">
            <w:pPr>
              <w:jc w:val="center"/>
              <w:rPr>
                <w:rFonts w:ascii="Times New Roman" w:hAnsi="Times New Roman" w:eastAsia="宋体" w:cs="Times New Roman"/>
                <w:kern w:val="2"/>
                <w:sz w:val="24"/>
                <w:szCs w:val="24"/>
                <w:highlight w:val="none"/>
                <w:lang w:val="en-US" w:eastAsia="zh-CN" w:bidi="ar-SA"/>
              </w:rPr>
            </w:pPr>
            <w:r>
              <w:rPr>
                <w:highlight w:val="none"/>
              </w:rPr>
              <w:t>8</w:t>
            </w:r>
          </w:p>
        </w:tc>
        <w:tc>
          <w:tcPr>
            <w:tcW w:w="1160" w:type="pct"/>
            <w:vAlign w:val="center"/>
          </w:tcPr>
          <w:p w14:paraId="5F280119">
            <w:pPr>
              <w:jc w:val="left"/>
              <w:rPr>
                <w:highlight w:val="none"/>
              </w:rPr>
            </w:pPr>
            <w:r>
              <w:rPr>
                <w:highlight w:val="none"/>
              </w:rPr>
              <w:t>内部管道材质</w:t>
            </w:r>
          </w:p>
        </w:tc>
        <w:tc>
          <w:tcPr>
            <w:tcW w:w="3356" w:type="pct"/>
            <w:vAlign w:val="center"/>
          </w:tcPr>
          <w:p w14:paraId="1CBF177E">
            <w:pPr>
              <w:ind w:left="480" w:hanging="480" w:hangingChars="200"/>
              <w:jc w:val="left"/>
              <w:rPr>
                <w:highlight w:val="none"/>
              </w:rPr>
            </w:pPr>
            <w:r>
              <w:rPr>
                <w:rFonts w:hint="eastAsia"/>
                <w:highlight w:val="none"/>
              </w:rPr>
              <w:t>UPVC</w:t>
            </w:r>
          </w:p>
        </w:tc>
      </w:tr>
      <w:tr w14:paraId="7C1C06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82" w:type="pct"/>
            <w:vAlign w:val="center"/>
          </w:tcPr>
          <w:p w14:paraId="75A02E2F">
            <w:pPr>
              <w:jc w:val="center"/>
              <w:rPr>
                <w:rFonts w:hint="eastAsia" w:eastAsia="宋体"/>
                <w:highlight w:val="none"/>
                <w:lang w:eastAsia="zh-CN"/>
              </w:rPr>
            </w:pPr>
            <w:r>
              <w:rPr>
                <w:rFonts w:hint="eastAsia"/>
                <w:highlight w:val="none"/>
                <w:lang w:val="en-US" w:eastAsia="zh-CN"/>
              </w:rPr>
              <w:t>9</w:t>
            </w:r>
          </w:p>
        </w:tc>
        <w:tc>
          <w:tcPr>
            <w:tcW w:w="1160" w:type="pct"/>
            <w:vAlign w:val="center"/>
          </w:tcPr>
          <w:p w14:paraId="1D18C40D">
            <w:pPr>
              <w:jc w:val="left"/>
              <w:rPr>
                <w:highlight w:val="none"/>
              </w:rPr>
            </w:pPr>
            <w:r>
              <w:rPr>
                <w:highlight w:val="none"/>
              </w:rPr>
              <w:t>设备使用寿命</w:t>
            </w:r>
          </w:p>
        </w:tc>
        <w:tc>
          <w:tcPr>
            <w:tcW w:w="3356" w:type="pct"/>
            <w:vAlign w:val="center"/>
          </w:tcPr>
          <w:p w14:paraId="5A25EDAE">
            <w:pPr>
              <w:ind w:left="480" w:hanging="480" w:hangingChars="200"/>
              <w:jc w:val="left"/>
              <w:rPr>
                <w:highlight w:val="none"/>
              </w:rPr>
            </w:pPr>
            <w:r>
              <w:rPr>
                <w:highlight w:val="none"/>
              </w:rPr>
              <w:t>30年</w:t>
            </w:r>
            <w:r>
              <w:rPr>
                <w:rFonts w:hint="eastAsia"/>
                <w:szCs w:val="22"/>
                <w:highlight w:val="none"/>
              </w:rPr>
              <w:t>（根据具体情况修改）</w:t>
            </w:r>
          </w:p>
        </w:tc>
      </w:tr>
    </w:tbl>
    <w:p w14:paraId="5A35117D">
      <w:pPr>
        <w:numPr>
          <w:ilvl w:val="0"/>
          <w:numId w:val="4"/>
        </w:numPr>
        <w:spacing w:line="360" w:lineRule="auto"/>
        <w:jc w:val="left"/>
        <w:rPr>
          <w:highlight w:val="none"/>
        </w:rPr>
      </w:pPr>
      <w:r>
        <w:rPr>
          <w:rFonts w:hint="eastAsia"/>
          <w:highlight w:val="none"/>
        </w:rPr>
        <w:t>超滤膜元件装置技术参数</w:t>
      </w:r>
    </w:p>
    <w:tbl>
      <w:tblPr>
        <w:tblStyle w:val="2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27"/>
        <w:gridCol w:w="2139"/>
        <w:gridCol w:w="5956"/>
      </w:tblGrid>
      <w:tr w14:paraId="3FAD3F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727" w:type="dxa"/>
            <w:vAlign w:val="center"/>
          </w:tcPr>
          <w:p w14:paraId="40ECCB64">
            <w:pPr>
              <w:spacing w:line="360" w:lineRule="auto"/>
              <w:ind w:left="482" w:hanging="482" w:hangingChars="200"/>
              <w:jc w:val="center"/>
              <w:rPr>
                <w:b/>
                <w:bCs/>
                <w:highlight w:val="none"/>
              </w:rPr>
            </w:pPr>
            <w:r>
              <w:rPr>
                <w:b/>
                <w:bCs/>
                <w:highlight w:val="none"/>
              </w:rPr>
              <w:t>序号</w:t>
            </w:r>
          </w:p>
        </w:tc>
        <w:tc>
          <w:tcPr>
            <w:tcW w:w="2139" w:type="dxa"/>
            <w:vAlign w:val="center"/>
          </w:tcPr>
          <w:p w14:paraId="57439325">
            <w:pPr>
              <w:spacing w:line="360" w:lineRule="auto"/>
              <w:ind w:left="482" w:hanging="482" w:hangingChars="200"/>
              <w:jc w:val="center"/>
              <w:rPr>
                <w:b/>
                <w:bCs/>
                <w:highlight w:val="none"/>
              </w:rPr>
            </w:pPr>
            <w:r>
              <w:rPr>
                <w:b/>
                <w:bCs/>
                <w:highlight w:val="none"/>
              </w:rPr>
              <w:t>项目</w:t>
            </w:r>
          </w:p>
        </w:tc>
        <w:tc>
          <w:tcPr>
            <w:tcW w:w="5956" w:type="dxa"/>
            <w:vAlign w:val="center"/>
          </w:tcPr>
          <w:p w14:paraId="5670C7C9">
            <w:pPr>
              <w:spacing w:line="360" w:lineRule="auto"/>
              <w:ind w:left="482" w:hanging="482" w:hangingChars="200"/>
              <w:jc w:val="center"/>
              <w:rPr>
                <w:b/>
                <w:bCs/>
                <w:highlight w:val="none"/>
              </w:rPr>
            </w:pPr>
            <w:r>
              <w:rPr>
                <w:rFonts w:hint="eastAsia"/>
                <w:b/>
                <w:bCs/>
                <w:highlight w:val="none"/>
              </w:rPr>
              <w:t>超滤膜元件</w:t>
            </w:r>
          </w:p>
        </w:tc>
      </w:tr>
      <w:tr w14:paraId="62C645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27" w:type="dxa"/>
            <w:vAlign w:val="center"/>
          </w:tcPr>
          <w:p w14:paraId="746D47F6">
            <w:pPr>
              <w:spacing w:line="360" w:lineRule="auto"/>
              <w:ind w:left="480" w:hanging="480" w:hangingChars="200"/>
              <w:jc w:val="center"/>
              <w:rPr>
                <w:highlight w:val="none"/>
              </w:rPr>
            </w:pPr>
            <w:r>
              <w:rPr>
                <w:rFonts w:hint="eastAsia"/>
                <w:highlight w:val="none"/>
              </w:rPr>
              <w:t>1</w:t>
            </w:r>
          </w:p>
        </w:tc>
        <w:tc>
          <w:tcPr>
            <w:tcW w:w="2139" w:type="dxa"/>
            <w:vAlign w:val="center"/>
          </w:tcPr>
          <w:p w14:paraId="1F6EACD8">
            <w:pPr>
              <w:jc w:val="left"/>
              <w:rPr>
                <w:highlight w:val="none"/>
              </w:rPr>
            </w:pPr>
            <w:r>
              <w:rPr>
                <w:highlight w:val="none"/>
              </w:rPr>
              <w:t>型式</w:t>
            </w:r>
          </w:p>
        </w:tc>
        <w:tc>
          <w:tcPr>
            <w:tcW w:w="5956" w:type="dxa"/>
            <w:vAlign w:val="center"/>
          </w:tcPr>
          <w:p w14:paraId="73E99356">
            <w:pPr>
              <w:ind w:left="480" w:hanging="480" w:hangingChars="200"/>
              <w:jc w:val="left"/>
              <w:rPr>
                <w:highlight w:val="none"/>
              </w:rPr>
            </w:pPr>
            <w:r>
              <w:rPr>
                <w:rFonts w:hint="eastAsia"/>
                <w:highlight w:val="none"/>
              </w:rPr>
              <w:t>外压式中空纤维膜</w:t>
            </w:r>
          </w:p>
        </w:tc>
      </w:tr>
      <w:tr w14:paraId="00AF47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27" w:type="dxa"/>
            <w:vAlign w:val="center"/>
          </w:tcPr>
          <w:p w14:paraId="6B5C7228">
            <w:pPr>
              <w:spacing w:line="360" w:lineRule="auto"/>
              <w:ind w:left="480" w:hanging="480" w:hangingChars="200"/>
              <w:jc w:val="center"/>
              <w:rPr>
                <w:highlight w:val="none"/>
              </w:rPr>
            </w:pPr>
            <w:r>
              <w:rPr>
                <w:rFonts w:hint="eastAsia"/>
                <w:highlight w:val="none"/>
              </w:rPr>
              <w:t>2</w:t>
            </w:r>
          </w:p>
        </w:tc>
        <w:tc>
          <w:tcPr>
            <w:tcW w:w="2139" w:type="dxa"/>
            <w:vAlign w:val="center"/>
          </w:tcPr>
          <w:p w14:paraId="54945FAB">
            <w:pPr>
              <w:jc w:val="left"/>
              <w:rPr>
                <w:highlight w:val="none"/>
              </w:rPr>
            </w:pPr>
            <w:r>
              <w:rPr>
                <w:highlight w:val="none"/>
              </w:rPr>
              <w:t>型号</w:t>
            </w:r>
          </w:p>
        </w:tc>
        <w:tc>
          <w:tcPr>
            <w:tcW w:w="5956" w:type="dxa"/>
            <w:vAlign w:val="center"/>
          </w:tcPr>
          <w:p w14:paraId="5B26F5C4">
            <w:pPr>
              <w:ind w:left="480" w:hanging="480" w:hangingChars="200"/>
              <w:jc w:val="left"/>
              <w:rPr>
                <w:highlight w:val="none"/>
              </w:rPr>
            </w:pPr>
          </w:p>
        </w:tc>
      </w:tr>
      <w:tr w14:paraId="22CB81F2">
        <w:tblPrEx>
          <w:tblCellMar>
            <w:top w:w="0" w:type="dxa"/>
            <w:left w:w="108" w:type="dxa"/>
            <w:bottom w:w="0" w:type="dxa"/>
            <w:right w:w="108" w:type="dxa"/>
          </w:tblCellMar>
        </w:tblPrEx>
        <w:trPr>
          <w:jc w:val="center"/>
        </w:trPr>
        <w:tc>
          <w:tcPr>
            <w:tcW w:w="727" w:type="dxa"/>
            <w:vAlign w:val="center"/>
          </w:tcPr>
          <w:p w14:paraId="5F551284">
            <w:pPr>
              <w:spacing w:line="360" w:lineRule="auto"/>
              <w:ind w:left="480" w:hanging="480" w:hangingChars="200"/>
              <w:jc w:val="center"/>
              <w:rPr>
                <w:highlight w:val="none"/>
              </w:rPr>
            </w:pPr>
            <w:r>
              <w:rPr>
                <w:highlight w:val="none"/>
              </w:rPr>
              <w:t>3</w:t>
            </w:r>
          </w:p>
        </w:tc>
        <w:tc>
          <w:tcPr>
            <w:tcW w:w="2139" w:type="dxa"/>
            <w:vAlign w:val="center"/>
          </w:tcPr>
          <w:p w14:paraId="5DB448F0">
            <w:pPr>
              <w:jc w:val="left"/>
              <w:rPr>
                <w:highlight w:val="none"/>
              </w:rPr>
            </w:pPr>
            <w:r>
              <w:rPr>
                <w:highlight w:val="none"/>
              </w:rPr>
              <w:t>膜材料</w:t>
            </w:r>
          </w:p>
        </w:tc>
        <w:tc>
          <w:tcPr>
            <w:tcW w:w="5956" w:type="dxa"/>
            <w:vAlign w:val="center"/>
          </w:tcPr>
          <w:p w14:paraId="685F1592">
            <w:pPr>
              <w:ind w:left="480" w:hanging="480" w:hangingChars="200"/>
              <w:jc w:val="left"/>
              <w:rPr>
                <w:highlight w:val="none"/>
              </w:rPr>
            </w:pPr>
            <w:r>
              <w:rPr>
                <w:rFonts w:hint="eastAsia"/>
                <w:highlight w:val="none"/>
              </w:rPr>
              <w:t>PVDF</w:t>
            </w:r>
          </w:p>
        </w:tc>
      </w:tr>
      <w:tr w14:paraId="062017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27" w:type="dxa"/>
            <w:vAlign w:val="center"/>
          </w:tcPr>
          <w:p w14:paraId="7444D6B6">
            <w:pPr>
              <w:spacing w:line="360" w:lineRule="auto"/>
              <w:ind w:left="480" w:hanging="480" w:hangingChars="200"/>
              <w:jc w:val="center"/>
              <w:rPr>
                <w:highlight w:val="none"/>
              </w:rPr>
            </w:pPr>
            <w:r>
              <w:rPr>
                <w:highlight w:val="none"/>
              </w:rPr>
              <w:t>4</w:t>
            </w:r>
          </w:p>
        </w:tc>
        <w:tc>
          <w:tcPr>
            <w:tcW w:w="2139" w:type="dxa"/>
            <w:vAlign w:val="center"/>
          </w:tcPr>
          <w:p w14:paraId="0FEDEDFE">
            <w:pPr>
              <w:jc w:val="left"/>
              <w:rPr>
                <w:highlight w:val="none"/>
              </w:rPr>
            </w:pPr>
            <w:r>
              <w:rPr>
                <w:highlight w:val="none"/>
              </w:rPr>
              <w:t>膜元件有效面积</w:t>
            </w:r>
          </w:p>
        </w:tc>
        <w:tc>
          <w:tcPr>
            <w:tcW w:w="5956" w:type="dxa"/>
            <w:vAlign w:val="center"/>
          </w:tcPr>
          <w:p w14:paraId="35CFF613">
            <w:pPr>
              <w:ind w:left="480" w:hanging="480" w:hangingChars="200"/>
              <w:jc w:val="left"/>
              <w:rPr>
                <w:highlight w:val="none"/>
              </w:rPr>
            </w:pPr>
            <w:r>
              <w:rPr>
                <w:rFonts w:hint="eastAsia"/>
                <w:highlight w:val="none"/>
              </w:rPr>
              <w:t>≥77平方米/支</w:t>
            </w:r>
          </w:p>
        </w:tc>
      </w:tr>
      <w:tr w14:paraId="366CA9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27" w:type="dxa"/>
            <w:vAlign w:val="center"/>
          </w:tcPr>
          <w:p w14:paraId="183A6EAC">
            <w:pPr>
              <w:spacing w:line="360" w:lineRule="auto"/>
              <w:ind w:left="480" w:hanging="480" w:hangingChars="200"/>
              <w:jc w:val="center"/>
              <w:rPr>
                <w:highlight w:val="none"/>
              </w:rPr>
            </w:pPr>
            <w:r>
              <w:rPr>
                <w:highlight w:val="none"/>
              </w:rPr>
              <w:t>5</w:t>
            </w:r>
          </w:p>
        </w:tc>
        <w:tc>
          <w:tcPr>
            <w:tcW w:w="2139" w:type="dxa"/>
            <w:vAlign w:val="center"/>
          </w:tcPr>
          <w:p w14:paraId="14B46FE3">
            <w:pPr>
              <w:jc w:val="left"/>
              <w:rPr>
                <w:highlight w:val="none"/>
              </w:rPr>
            </w:pPr>
            <w:r>
              <w:rPr>
                <w:highlight w:val="none"/>
              </w:rPr>
              <w:t>膜元件总数量</w:t>
            </w:r>
          </w:p>
        </w:tc>
        <w:tc>
          <w:tcPr>
            <w:tcW w:w="5956" w:type="dxa"/>
            <w:vAlign w:val="center"/>
          </w:tcPr>
          <w:p w14:paraId="6935222B">
            <w:pPr>
              <w:ind w:left="480" w:hanging="480" w:hangingChars="200"/>
              <w:jc w:val="left"/>
              <w:rPr>
                <w:highlight w:val="none"/>
              </w:rPr>
            </w:pPr>
            <w:r>
              <w:rPr>
                <w:rFonts w:hint="eastAsia"/>
                <w:highlight w:val="none"/>
              </w:rPr>
              <w:t>46支膜/套，共46支</w:t>
            </w:r>
          </w:p>
        </w:tc>
      </w:tr>
      <w:tr w14:paraId="042322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27" w:type="dxa"/>
            <w:vAlign w:val="center"/>
          </w:tcPr>
          <w:p w14:paraId="01A14B35">
            <w:pPr>
              <w:spacing w:line="360" w:lineRule="auto"/>
              <w:ind w:left="480" w:hanging="480" w:hangingChars="200"/>
              <w:jc w:val="center"/>
              <w:rPr>
                <w:highlight w:val="none"/>
              </w:rPr>
            </w:pPr>
            <w:r>
              <w:rPr>
                <w:highlight w:val="none"/>
              </w:rPr>
              <w:t>6</w:t>
            </w:r>
          </w:p>
        </w:tc>
        <w:tc>
          <w:tcPr>
            <w:tcW w:w="2139" w:type="dxa"/>
            <w:vAlign w:val="center"/>
          </w:tcPr>
          <w:p w14:paraId="23CED92B">
            <w:pPr>
              <w:jc w:val="left"/>
              <w:rPr>
                <w:rFonts w:hint="eastAsia" w:eastAsia="宋体"/>
                <w:highlight w:val="none"/>
                <w:lang w:eastAsia="zh-CN"/>
              </w:rPr>
            </w:pPr>
            <w:r>
              <w:rPr>
                <w:highlight w:val="none"/>
              </w:rPr>
              <w:t>膜元件</w:t>
            </w:r>
            <w:r>
              <w:rPr>
                <w:rFonts w:hint="eastAsia"/>
                <w:highlight w:val="none"/>
                <w:lang w:val="en-US" w:eastAsia="zh-CN"/>
              </w:rPr>
              <w:t>净产水</w:t>
            </w:r>
            <w:r>
              <w:rPr>
                <w:highlight w:val="none"/>
              </w:rPr>
              <w:t>通量</w:t>
            </w:r>
            <w:r>
              <w:rPr>
                <w:rFonts w:hint="eastAsia"/>
                <w:highlight w:val="none"/>
                <w:lang w:eastAsia="zh-CN"/>
              </w:rPr>
              <w:t>（</w:t>
            </w:r>
            <w:r>
              <w:rPr>
                <w:rFonts w:hint="eastAsia"/>
                <w:highlight w:val="none"/>
                <w:lang w:val="en-US" w:eastAsia="zh-CN"/>
              </w:rPr>
              <w:t>回收率≥90%</w:t>
            </w:r>
            <w:r>
              <w:rPr>
                <w:rFonts w:hint="eastAsia"/>
                <w:highlight w:val="none"/>
                <w:lang w:eastAsia="zh-CN"/>
              </w:rPr>
              <w:t>）</w:t>
            </w:r>
          </w:p>
        </w:tc>
        <w:tc>
          <w:tcPr>
            <w:tcW w:w="5956" w:type="dxa"/>
            <w:vAlign w:val="center"/>
          </w:tcPr>
          <w:p w14:paraId="516E00D7">
            <w:pPr>
              <w:ind w:left="480" w:hanging="480" w:hangingChars="200"/>
              <w:jc w:val="left"/>
              <w:rPr>
                <w:highlight w:val="none"/>
              </w:rPr>
            </w:pPr>
            <w:r>
              <w:rPr>
                <w:rFonts w:hint="eastAsia"/>
                <w:highlight w:val="none"/>
                <w:u w:val="single"/>
              </w:rPr>
              <w:t xml:space="preserve">     </w:t>
            </w:r>
            <w:r>
              <w:rPr>
                <w:rFonts w:hint="eastAsia"/>
                <w:highlight w:val="none"/>
              </w:rPr>
              <w:t>L/m².h</w:t>
            </w:r>
          </w:p>
        </w:tc>
      </w:tr>
      <w:tr w14:paraId="05935A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27" w:type="dxa"/>
            <w:vAlign w:val="center"/>
          </w:tcPr>
          <w:p w14:paraId="52F3D5C6">
            <w:pPr>
              <w:spacing w:line="360" w:lineRule="auto"/>
              <w:ind w:left="480" w:hanging="480" w:hangingChars="200"/>
              <w:jc w:val="center"/>
              <w:rPr>
                <w:highlight w:val="none"/>
              </w:rPr>
            </w:pPr>
            <w:r>
              <w:rPr>
                <w:highlight w:val="none"/>
              </w:rPr>
              <w:t>7</w:t>
            </w:r>
          </w:p>
        </w:tc>
        <w:tc>
          <w:tcPr>
            <w:tcW w:w="2139" w:type="dxa"/>
            <w:vAlign w:val="center"/>
          </w:tcPr>
          <w:p w14:paraId="6F5CE69E">
            <w:pPr>
              <w:jc w:val="left"/>
              <w:rPr>
                <w:highlight w:val="none"/>
              </w:rPr>
            </w:pPr>
            <w:r>
              <w:rPr>
                <w:highlight w:val="none"/>
              </w:rPr>
              <w:t>膜元件运行通量</w:t>
            </w:r>
          </w:p>
        </w:tc>
        <w:tc>
          <w:tcPr>
            <w:tcW w:w="5956" w:type="dxa"/>
            <w:vAlign w:val="center"/>
          </w:tcPr>
          <w:p w14:paraId="5A08257F">
            <w:pPr>
              <w:ind w:left="480" w:hanging="480" w:hangingChars="200"/>
              <w:jc w:val="left"/>
              <w:rPr>
                <w:highlight w:val="none"/>
              </w:rPr>
            </w:pPr>
            <w:r>
              <w:rPr>
                <w:rFonts w:hint="eastAsia"/>
                <w:highlight w:val="none"/>
                <w:u w:val="single"/>
              </w:rPr>
              <w:t xml:space="preserve">     </w:t>
            </w:r>
            <w:r>
              <w:rPr>
                <w:rFonts w:hint="eastAsia"/>
                <w:highlight w:val="none"/>
              </w:rPr>
              <w:t>L/m².h</w:t>
            </w:r>
          </w:p>
        </w:tc>
      </w:tr>
      <w:tr w14:paraId="71952C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27" w:type="dxa"/>
            <w:vAlign w:val="center"/>
          </w:tcPr>
          <w:p w14:paraId="010E050C">
            <w:pPr>
              <w:spacing w:line="360" w:lineRule="auto"/>
              <w:ind w:left="480" w:hanging="480" w:hangingChars="200"/>
              <w:jc w:val="center"/>
              <w:rPr>
                <w:highlight w:val="none"/>
              </w:rPr>
            </w:pPr>
            <w:r>
              <w:rPr>
                <w:highlight w:val="none"/>
              </w:rPr>
              <w:t>8</w:t>
            </w:r>
          </w:p>
        </w:tc>
        <w:tc>
          <w:tcPr>
            <w:tcW w:w="2139" w:type="dxa"/>
            <w:vAlign w:val="center"/>
          </w:tcPr>
          <w:p w14:paraId="11E449CC">
            <w:pPr>
              <w:jc w:val="left"/>
              <w:rPr>
                <w:highlight w:val="none"/>
              </w:rPr>
            </w:pPr>
            <w:r>
              <w:rPr>
                <w:highlight w:val="none"/>
              </w:rPr>
              <w:t>单支膜工作流量</w:t>
            </w:r>
          </w:p>
        </w:tc>
        <w:tc>
          <w:tcPr>
            <w:tcW w:w="5956" w:type="dxa"/>
            <w:vAlign w:val="center"/>
          </w:tcPr>
          <w:p w14:paraId="7DEFBF92">
            <w:pPr>
              <w:ind w:left="480" w:hanging="480" w:hangingChars="200"/>
              <w:jc w:val="left"/>
              <w:rPr>
                <w:highlight w:val="none"/>
              </w:rPr>
            </w:pPr>
            <w:r>
              <w:rPr>
                <w:rFonts w:hint="eastAsia"/>
                <w:highlight w:val="none"/>
                <w:u w:val="single"/>
              </w:rPr>
              <w:t xml:space="preserve">     </w:t>
            </w:r>
            <w:r>
              <w:rPr>
                <w:rFonts w:hint="eastAsia"/>
                <w:highlight w:val="none"/>
              </w:rPr>
              <w:t>m³/h</w:t>
            </w:r>
          </w:p>
        </w:tc>
      </w:tr>
      <w:tr w14:paraId="6F065A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27" w:type="dxa"/>
            <w:vAlign w:val="center"/>
          </w:tcPr>
          <w:p w14:paraId="02DFC8FC">
            <w:pPr>
              <w:spacing w:line="360" w:lineRule="auto"/>
              <w:ind w:left="480" w:hanging="480" w:hangingChars="200"/>
              <w:jc w:val="center"/>
              <w:rPr>
                <w:highlight w:val="none"/>
              </w:rPr>
            </w:pPr>
            <w:r>
              <w:rPr>
                <w:highlight w:val="none"/>
              </w:rPr>
              <w:t>9</w:t>
            </w:r>
          </w:p>
        </w:tc>
        <w:tc>
          <w:tcPr>
            <w:tcW w:w="2139" w:type="dxa"/>
            <w:vAlign w:val="center"/>
          </w:tcPr>
          <w:p w14:paraId="5E2E20D2">
            <w:pPr>
              <w:jc w:val="left"/>
              <w:rPr>
                <w:highlight w:val="none"/>
              </w:rPr>
            </w:pPr>
            <w:r>
              <w:rPr>
                <w:highlight w:val="none"/>
              </w:rPr>
              <w:t>单支膜最大工作流量</w:t>
            </w:r>
          </w:p>
        </w:tc>
        <w:tc>
          <w:tcPr>
            <w:tcW w:w="5956" w:type="dxa"/>
            <w:vAlign w:val="center"/>
          </w:tcPr>
          <w:p w14:paraId="2AADF7C0">
            <w:pPr>
              <w:ind w:left="480" w:hanging="480" w:hangingChars="200"/>
              <w:jc w:val="left"/>
              <w:rPr>
                <w:highlight w:val="none"/>
              </w:rPr>
            </w:pPr>
            <w:r>
              <w:rPr>
                <w:rFonts w:hint="eastAsia"/>
                <w:highlight w:val="none"/>
                <w:u w:val="single"/>
              </w:rPr>
              <w:t xml:space="preserve">     </w:t>
            </w:r>
            <w:r>
              <w:rPr>
                <w:rFonts w:hint="eastAsia"/>
                <w:highlight w:val="none"/>
              </w:rPr>
              <w:t>m³/h</w:t>
            </w:r>
          </w:p>
        </w:tc>
      </w:tr>
      <w:tr w14:paraId="28C1A3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27" w:type="dxa"/>
            <w:vAlign w:val="center"/>
          </w:tcPr>
          <w:p w14:paraId="61DC83E1">
            <w:pPr>
              <w:spacing w:line="360" w:lineRule="auto"/>
              <w:ind w:left="480" w:hanging="480" w:hangingChars="200"/>
              <w:jc w:val="center"/>
              <w:rPr>
                <w:highlight w:val="none"/>
              </w:rPr>
            </w:pPr>
            <w:r>
              <w:rPr>
                <w:highlight w:val="none"/>
              </w:rPr>
              <w:t>10</w:t>
            </w:r>
          </w:p>
        </w:tc>
        <w:tc>
          <w:tcPr>
            <w:tcW w:w="2139" w:type="dxa"/>
            <w:vAlign w:val="center"/>
          </w:tcPr>
          <w:p w14:paraId="63BC39F5">
            <w:pPr>
              <w:jc w:val="left"/>
              <w:rPr>
                <w:highlight w:val="none"/>
              </w:rPr>
            </w:pPr>
            <w:r>
              <w:rPr>
                <w:highlight w:val="none"/>
              </w:rPr>
              <w:t>水反洗通量</w:t>
            </w:r>
          </w:p>
        </w:tc>
        <w:tc>
          <w:tcPr>
            <w:tcW w:w="5956" w:type="dxa"/>
            <w:vAlign w:val="center"/>
          </w:tcPr>
          <w:p w14:paraId="4708696F">
            <w:pPr>
              <w:ind w:left="480" w:hanging="480" w:hangingChars="200"/>
              <w:jc w:val="left"/>
              <w:rPr>
                <w:highlight w:val="none"/>
              </w:rPr>
            </w:pPr>
            <w:r>
              <w:rPr>
                <w:rFonts w:hint="eastAsia"/>
                <w:highlight w:val="none"/>
                <w:u w:val="single"/>
              </w:rPr>
              <w:t xml:space="preserve">     </w:t>
            </w:r>
            <w:r>
              <w:rPr>
                <w:rFonts w:hint="eastAsia"/>
                <w:highlight w:val="none"/>
              </w:rPr>
              <w:t>L/m².h</w:t>
            </w:r>
          </w:p>
        </w:tc>
      </w:tr>
      <w:tr w14:paraId="59DD62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27" w:type="dxa"/>
            <w:vAlign w:val="center"/>
          </w:tcPr>
          <w:p w14:paraId="27B25589">
            <w:pPr>
              <w:spacing w:line="360" w:lineRule="auto"/>
              <w:ind w:left="480" w:hanging="480" w:hangingChars="200"/>
              <w:jc w:val="center"/>
              <w:rPr>
                <w:highlight w:val="none"/>
              </w:rPr>
            </w:pPr>
            <w:r>
              <w:rPr>
                <w:highlight w:val="none"/>
              </w:rPr>
              <w:t>11</w:t>
            </w:r>
          </w:p>
        </w:tc>
        <w:tc>
          <w:tcPr>
            <w:tcW w:w="2139" w:type="dxa"/>
            <w:vAlign w:val="center"/>
          </w:tcPr>
          <w:p w14:paraId="7F882921">
            <w:pPr>
              <w:jc w:val="left"/>
              <w:rPr>
                <w:highlight w:val="none"/>
              </w:rPr>
            </w:pPr>
            <w:r>
              <w:rPr>
                <w:highlight w:val="none"/>
              </w:rPr>
              <w:t>空气擦洗气量</w:t>
            </w:r>
          </w:p>
        </w:tc>
        <w:tc>
          <w:tcPr>
            <w:tcW w:w="5956" w:type="dxa"/>
            <w:vAlign w:val="center"/>
          </w:tcPr>
          <w:p w14:paraId="259ED851">
            <w:pPr>
              <w:ind w:left="480" w:hanging="480" w:hangingChars="200"/>
              <w:jc w:val="left"/>
              <w:rPr>
                <w:highlight w:val="none"/>
              </w:rPr>
            </w:pPr>
            <w:r>
              <w:rPr>
                <w:rFonts w:hint="eastAsia"/>
                <w:highlight w:val="none"/>
                <w:u w:val="single"/>
              </w:rPr>
              <w:t xml:space="preserve">     </w:t>
            </w:r>
            <w:r>
              <w:rPr>
                <w:rFonts w:hint="eastAsia"/>
                <w:highlight w:val="none"/>
              </w:rPr>
              <w:t>N.m³/h</w:t>
            </w:r>
          </w:p>
        </w:tc>
      </w:tr>
      <w:tr w14:paraId="56FEC3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27" w:type="dxa"/>
            <w:vAlign w:val="center"/>
          </w:tcPr>
          <w:p w14:paraId="1D1FA373">
            <w:pPr>
              <w:spacing w:line="360" w:lineRule="auto"/>
              <w:ind w:left="480" w:hanging="480" w:hangingChars="200"/>
              <w:jc w:val="center"/>
              <w:rPr>
                <w:highlight w:val="none"/>
              </w:rPr>
            </w:pPr>
            <w:r>
              <w:rPr>
                <w:highlight w:val="none"/>
              </w:rPr>
              <w:t>12</w:t>
            </w:r>
          </w:p>
        </w:tc>
        <w:tc>
          <w:tcPr>
            <w:tcW w:w="2139" w:type="dxa"/>
            <w:vAlign w:val="center"/>
          </w:tcPr>
          <w:p w14:paraId="61CE3E61">
            <w:pPr>
              <w:jc w:val="left"/>
              <w:rPr>
                <w:highlight w:val="none"/>
              </w:rPr>
            </w:pPr>
            <w:r>
              <w:rPr>
                <w:highlight w:val="none"/>
              </w:rPr>
              <w:t>反洗水泵流量</w:t>
            </w:r>
          </w:p>
        </w:tc>
        <w:tc>
          <w:tcPr>
            <w:tcW w:w="5956" w:type="dxa"/>
            <w:vAlign w:val="center"/>
          </w:tcPr>
          <w:p w14:paraId="403BF3A4">
            <w:pPr>
              <w:ind w:left="480" w:hanging="480" w:hangingChars="200"/>
              <w:jc w:val="left"/>
              <w:rPr>
                <w:highlight w:val="none"/>
              </w:rPr>
            </w:pPr>
            <w:r>
              <w:rPr>
                <w:rFonts w:hint="eastAsia"/>
                <w:highlight w:val="none"/>
                <w:u w:val="single"/>
              </w:rPr>
              <w:t xml:space="preserve">     </w:t>
            </w:r>
            <w:r>
              <w:rPr>
                <w:rFonts w:hint="eastAsia"/>
                <w:highlight w:val="none"/>
              </w:rPr>
              <w:t>m³/h</w:t>
            </w:r>
          </w:p>
        </w:tc>
      </w:tr>
      <w:tr w14:paraId="33E846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27" w:type="dxa"/>
            <w:vAlign w:val="center"/>
          </w:tcPr>
          <w:p w14:paraId="06A6A42A">
            <w:pPr>
              <w:spacing w:line="360" w:lineRule="auto"/>
              <w:ind w:left="480" w:hanging="480" w:hangingChars="200"/>
              <w:jc w:val="center"/>
              <w:rPr>
                <w:highlight w:val="none"/>
              </w:rPr>
            </w:pPr>
            <w:r>
              <w:rPr>
                <w:highlight w:val="none"/>
              </w:rPr>
              <w:t>13</w:t>
            </w:r>
          </w:p>
        </w:tc>
        <w:tc>
          <w:tcPr>
            <w:tcW w:w="2139" w:type="dxa"/>
            <w:vAlign w:val="center"/>
          </w:tcPr>
          <w:p w14:paraId="41F49595">
            <w:pPr>
              <w:jc w:val="left"/>
              <w:rPr>
                <w:highlight w:val="none"/>
              </w:rPr>
            </w:pPr>
            <w:r>
              <w:rPr>
                <w:highlight w:val="none"/>
              </w:rPr>
              <w:t>使用年限</w:t>
            </w:r>
          </w:p>
        </w:tc>
        <w:tc>
          <w:tcPr>
            <w:tcW w:w="5956" w:type="dxa"/>
            <w:vAlign w:val="center"/>
          </w:tcPr>
          <w:p w14:paraId="5F1B430E">
            <w:pPr>
              <w:ind w:left="480" w:hanging="480" w:hangingChars="200"/>
              <w:jc w:val="left"/>
              <w:rPr>
                <w:highlight w:val="none"/>
              </w:rPr>
            </w:pPr>
            <w:r>
              <w:rPr>
                <w:rFonts w:hint="eastAsia"/>
                <w:highlight w:val="none"/>
              </w:rPr>
              <w:t>≥5年</w:t>
            </w:r>
          </w:p>
        </w:tc>
      </w:tr>
      <w:tr w14:paraId="24B182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27" w:type="dxa"/>
            <w:vAlign w:val="center"/>
          </w:tcPr>
          <w:p w14:paraId="70DEE0F9">
            <w:pPr>
              <w:spacing w:line="360" w:lineRule="auto"/>
              <w:ind w:left="480" w:hanging="480" w:hangingChars="200"/>
              <w:jc w:val="center"/>
              <w:rPr>
                <w:highlight w:val="none"/>
              </w:rPr>
            </w:pPr>
            <w:r>
              <w:rPr>
                <w:highlight w:val="none"/>
              </w:rPr>
              <w:t>14</w:t>
            </w:r>
          </w:p>
        </w:tc>
        <w:tc>
          <w:tcPr>
            <w:tcW w:w="2139" w:type="dxa"/>
            <w:vAlign w:val="center"/>
          </w:tcPr>
          <w:p w14:paraId="3169B635">
            <w:pPr>
              <w:jc w:val="left"/>
              <w:rPr>
                <w:highlight w:val="none"/>
              </w:rPr>
            </w:pPr>
            <w:r>
              <w:rPr>
                <w:highlight w:val="none"/>
              </w:rPr>
              <w:t>年更换率</w:t>
            </w:r>
          </w:p>
        </w:tc>
        <w:tc>
          <w:tcPr>
            <w:tcW w:w="5956" w:type="dxa"/>
            <w:vAlign w:val="center"/>
          </w:tcPr>
          <w:p w14:paraId="3F7FCB92">
            <w:pPr>
              <w:ind w:left="480" w:hanging="480" w:hangingChars="200"/>
              <w:jc w:val="left"/>
              <w:rPr>
                <w:highlight w:val="none"/>
              </w:rPr>
            </w:pPr>
            <w:r>
              <w:rPr>
                <w:rFonts w:hint="eastAsia"/>
                <w:highlight w:val="none"/>
              </w:rPr>
              <w:t>＜20%</w:t>
            </w:r>
          </w:p>
        </w:tc>
      </w:tr>
      <w:tr w14:paraId="2EE167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27" w:type="dxa"/>
            <w:vAlign w:val="center"/>
          </w:tcPr>
          <w:p w14:paraId="48E24FCC">
            <w:pPr>
              <w:spacing w:line="360" w:lineRule="auto"/>
              <w:ind w:left="480" w:hanging="480" w:hangingChars="200"/>
              <w:jc w:val="center"/>
              <w:rPr>
                <w:highlight w:val="none"/>
              </w:rPr>
            </w:pPr>
            <w:r>
              <w:rPr>
                <w:highlight w:val="none"/>
              </w:rPr>
              <w:t>15</w:t>
            </w:r>
          </w:p>
        </w:tc>
        <w:tc>
          <w:tcPr>
            <w:tcW w:w="2139" w:type="dxa"/>
            <w:vAlign w:val="center"/>
          </w:tcPr>
          <w:p w14:paraId="2D1C192E">
            <w:pPr>
              <w:jc w:val="left"/>
              <w:rPr>
                <w:highlight w:val="none"/>
              </w:rPr>
            </w:pPr>
            <w:r>
              <w:rPr>
                <w:highlight w:val="none"/>
              </w:rPr>
              <w:t>膜内径/外径</w:t>
            </w:r>
          </w:p>
        </w:tc>
        <w:tc>
          <w:tcPr>
            <w:tcW w:w="5956" w:type="dxa"/>
            <w:vAlign w:val="center"/>
          </w:tcPr>
          <w:p w14:paraId="29FECBE9">
            <w:pPr>
              <w:ind w:left="480" w:hanging="480" w:hangingChars="200"/>
              <w:jc w:val="left"/>
              <w:rPr>
                <w:highlight w:val="none"/>
              </w:rPr>
            </w:pPr>
            <w:r>
              <w:rPr>
                <w:rFonts w:hint="eastAsia"/>
                <w:highlight w:val="none"/>
              </w:rPr>
              <w:t>Φ</w:t>
            </w:r>
            <w:r>
              <w:rPr>
                <w:rFonts w:hint="eastAsia"/>
                <w:highlight w:val="none"/>
                <w:u w:val="single"/>
              </w:rPr>
              <w:t xml:space="preserve">     </w:t>
            </w:r>
            <w:r>
              <w:rPr>
                <w:rFonts w:hint="eastAsia"/>
                <w:highlight w:val="none"/>
              </w:rPr>
              <w:t>mm/</w:t>
            </w:r>
            <w:r>
              <w:rPr>
                <w:rFonts w:hint="eastAsia"/>
                <w:highlight w:val="none"/>
                <w:u w:val="single"/>
              </w:rPr>
              <w:t xml:space="preserve">     </w:t>
            </w:r>
            <w:r>
              <w:rPr>
                <w:rFonts w:hint="eastAsia"/>
                <w:highlight w:val="none"/>
              </w:rPr>
              <w:t>mm</w:t>
            </w:r>
          </w:p>
        </w:tc>
      </w:tr>
      <w:tr w14:paraId="1FB8B2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27" w:type="dxa"/>
            <w:vAlign w:val="center"/>
          </w:tcPr>
          <w:p w14:paraId="183C8EBC">
            <w:pPr>
              <w:spacing w:line="360" w:lineRule="auto"/>
              <w:ind w:left="480" w:hanging="480" w:hangingChars="200"/>
              <w:jc w:val="center"/>
              <w:rPr>
                <w:highlight w:val="none"/>
              </w:rPr>
            </w:pPr>
            <w:r>
              <w:rPr>
                <w:highlight w:val="none"/>
              </w:rPr>
              <w:t>16</w:t>
            </w:r>
          </w:p>
        </w:tc>
        <w:tc>
          <w:tcPr>
            <w:tcW w:w="2139" w:type="dxa"/>
            <w:vAlign w:val="center"/>
          </w:tcPr>
          <w:p w14:paraId="663C90AB">
            <w:pPr>
              <w:jc w:val="left"/>
              <w:rPr>
                <w:highlight w:val="none"/>
              </w:rPr>
            </w:pPr>
            <w:r>
              <w:rPr>
                <w:highlight w:val="none"/>
              </w:rPr>
              <w:t>膜公称孔径</w:t>
            </w:r>
          </w:p>
        </w:tc>
        <w:tc>
          <w:tcPr>
            <w:tcW w:w="5956" w:type="dxa"/>
            <w:vAlign w:val="center"/>
          </w:tcPr>
          <w:p w14:paraId="3C86F02D">
            <w:pPr>
              <w:ind w:left="480" w:hanging="480" w:hangingChars="200"/>
              <w:jc w:val="left"/>
              <w:rPr>
                <w:highlight w:val="none"/>
              </w:rPr>
            </w:pPr>
            <w:r>
              <w:rPr>
                <w:rFonts w:hint="eastAsia"/>
                <w:highlight w:val="none"/>
                <w:u w:val="single"/>
              </w:rPr>
              <w:t xml:space="preserve">     </w:t>
            </w:r>
            <w:r>
              <w:rPr>
                <w:rFonts w:hint="eastAsia"/>
                <w:highlight w:val="none"/>
              </w:rPr>
              <w:t>µm</w:t>
            </w:r>
          </w:p>
        </w:tc>
      </w:tr>
      <w:tr w14:paraId="5962E0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27" w:type="dxa"/>
            <w:vAlign w:val="center"/>
          </w:tcPr>
          <w:p w14:paraId="0B94B144">
            <w:pPr>
              <w:spacing w:line="360" w:lineRule="auto"/>
              <w:ind w:left="480" w:hanging="480" w:hangingChars="200"/>
              <w:jc w:val="center"/>
              <w:rPr>
                <w:highlight w:val="none"/>
              </w:rPr>
            </w:pPr>
            <w:r>
              <w:rPr>
                <w:highlight w:val="none"/>
              </w:rPr>
              <w:t>17</w:t>
            </w:r>
          </w:p>
        </w:tc>
        <w:tc>
          <w:tcPr>
            <w:tcW w:w="2139" w:type="dxa"/>
            <w:vAlign w:val="center"/>
          </w:tcPr>
          <w:p w14:paraId="626124D0">
            <w:pPr>
              <w:jc w:val="left"/>
              <w:rPr>
                <w:highlight w:val="none"/>
              </w:rPr>
            </w:pPr>
            <w:r>
              <w:rPr>
                <w:highlight w:val="none"/>
              </w:rPr>
              <w:t>壳体材料</w:t>
            </w:r>
          </w:p>
        </w:tc>
        <w:tc>
          <w:tcPr>
            <w:tcW w:w="5956" w:type="dxa"/>
            <w:vAlign w:val="center"/>
          </w:tcPr>
          <w:p w14:paraId="43CE38B9">
            <w:pPr>
              <w:ind w:left="480" w:hanging="480" w:hangingChars="200"/>
              <w:jc w:val="left"/>
              <w:rPr>
                <w:highlight w:val="none"/>
              </w:rPr>
            </w:pPr>
            <w:r>
              <w:rPr>
                <w:rFonts w:hint="eastAsia"/>
                <w:highlight w:val="none"/>
                <w:u w:val="single"/>
              </w:rPr>
              <w:t xml:space="preserve">     </w:t>
            </w:r>
          </w:p>
        </w:tc>
      </w:tr>
      <w:tr w14:paraId="1FCC5C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27" w:type="dxa"/>
            <w:vAlign w:val="center"/>
          </w:tcPr>
          <w:p w14:paraId="4139700B">
            <w:pPr>
              <w:spacing w:line="360" w:lineRule="auto"/>
              <w:ind w:left="480" w:hanging="480" w:hangingChars="200"/>
              <w:jc w:val="center"/>
              <w:rPr>
                <w:highlight w:val="none"/>
              </w:rPr>
            </w:pPr>
            <w:r>
              <w:rPr>
                <w:highlight w:val="none"/>
              </w:rPr>
              <w:t>18</w:t>
            </w:r>
          </w:p>
        </w:tc>
        <w:tc>
          <w:tcPr>
            <w:tcW w:w="2139" w:type="dxa"/>
            <w:vAlign w:val="center"/>
          </w:tcPr>
          <w:p w14:paraId="538C275E">
            <w:pPr>
              <w:jc w:val="left"/>
              <w:rPr>
                <w:highlight w:val="none"/>
              </w:rPr>
            </w:pPr>
            <w:r>
              <w:rPr>
                <w:highlight w:val="none"/>
              </w:rPr>
              <w:t>最高工作压力</w:t>
            </w:r>
          </w:p>
        </w:tc>
        <w:tc>
          <w:tcPr>
            <w:tcW w:w="5956" w:type="dxa"/>
            <w:vAlign w:val="center"/>
          </w:tcPr>
          <w:p w14:paraId="42CF2507">
            <w:pPr>
              <w:ind w:left="480" w:hanging="480" w:hangingChars="200"/>
              <w:jc w:val="left"/>
              <w:rPr>
                <w:highlight w:val="none"/>
              </w:rPr>
            </w:pPr>
            <w:r>
              <w:rPr>
                <w:rFonts w:hint="eastAsia"/>
                <w:highlight w:val="none"/>
                <w:u w:val="single"/>
              </w:rPr>
              <w:t xml:space="preserve">     </w:t>
            </w:r>
            <w:r>
              <w:rPr>
                <w:rFonts w:hint="eastAsia"/>
                <w:highlight w:val="none"/>
              </w:rPr>
              <w:t>MPa</w:t>
            </w:r>
          </w:p>
        </w:tc>
      </w:tr>
      <w:tr w14:paraId="496C82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27" w:type="dxa"/>
            <w:vAlign w:val="center"/>
          </w:tcPr>
          <w:p w14:paraId="7DFBF3DD">
            <w:pPr>
              <w:spacing w:line="360" w:lineRule="auto"/>
              <w:ind w:left="480" w:hanging="480" w:hangingChars="200"/>
              <w:jc w:val="center"/>
              <w:rPr>
                <w:highlight w:val="none"/>
              </w:rPr>
            </w:pPr>
            <w:r>
              <w:rPr>
                <w:highlight w:val="none"/>
              </w:rPr>
              <w:t>19</w:t>
            </w:r>
          </w:p>
        </w:tc>
        <w:tc>
          <w:tcPr>
            <w:tcW w:w="2139" w:type="dxa"/>
            <w:vAlign w:val="center"/>
          </w:tcPr>
          <w:p w14:paraId="45C765B6">
            <w:pPr>
              <w:jc w:val="left"/>
              <w:rPr>
                <w:highlight w:val="none"/>
              </w:rPr>
            </w:pPr>
            <w:r>
              <w:rPr>
                <w:highlight w:val="none"/>
              </w:rPr>
              <w:t>最高膜内外压差</w:t>
            </w:r>
          </w:p>
        </w:tc>
        <w:tc>
          <w:tcPr>
            <w:tcW w:w="5956" w:type="dxa"/>
            <w:vAlign w:val="center"/>
          </w:tcPr>
          <w:p w14:paraId="0D95DDD9">
            <w:pPr>
              <w:ind w:left="480" w:hanging="480" w:hangingChars="200"/>
              <w:jc w:val="left"/>
              <w:rPr>
                <w:highlight w:val="none"/>
              </w:rPr>
            </w:pPr>
            <w:r>
              <w:rPr>
                <w:rFonts w:hint="eastAsia"/>
                <w:highlight w:val="none"/>
                <w:u w:val="single"/>
              </w:rPr>
              <w:t xml:space="preserve">     </w:t>
            </w:r>
            <w:r>
              <w:rPr>
                <w:rFonts w:hint="eastAsia"/>
                <w:highlight w:val="none"/>
              </w:rPr>
              <w:t>MPa</w:t>
            </w:r>
          </w:p>
        </w:tc>
      </w:tr>
      <w:tr w14:paraId="56BD47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27" w:type="dxa"/>
            <w:vAlign w:val="center"/>
          </w:tcPr>
          <w:p w14:paraId="62D4A36E">
            <w:pPr>
              <w:spacing w:line="360" w:lineRule="auto"/>
              <w:ind w:left="480" w:hanging="480" w:hangingChars="200"/>
              <w:jc w:val="center"/>
              <w:rPr>
                <w:highlight w:val="none"/>
              </w:rPr>
            </w:pPr>
            <w:r>
              <w:rPr>
                <w:highlight w:val="none"/>
              </w:rPr>
              <w:t>20</w:t>
            </w:r>
          </w:p>
        </w:tc>
        <w:tc>
          <w:tcPr>
            <w:tcW w:w="2139" w:type="dxa"/>
            <w:vAlign w:val="center"/>
          </w:tcPr>
          <w:p w14:paraId="128E9B44">
            <w:pPr>
              <w:jc w:val="left"/>
              <w:rPr>
                <w:highlight w:val="none"/>
              </w:rPr>
            </w:pPr>
            <w:r>
              <w:rPr>
                <w:highlight w:val="none"/>
              </w:rPr>
              <w:t>水温</w:t>
            </w:r>
          </w:p>
        </w:tc>
        <w:tc>
          <w:tcPr>
            <w:tcW w:w="5956" w:type="dxa"/>
            <w:vAlign w:val="center"/>
          </w:tcPr>
          <w:p w14:paraId="03E72D30">
            <w:pPr>
              <w:ind w:left="480" w:hanging="480" w:hangingChars="200"/>
              <w:jc w:val="left"/>
              <w:rPr>
                <w:highlight w:val="none"/>
              </w:rPr>
            </w:pPr>
            <w:r>
              <w:rPr>
                <w:rFonts w:hint="eastAsia"/>
                <w:highlight w:val="none"/>
              </w:rPr>
              <w:t>15-35℃</w:t>
            </w:r>
          </w:p>
        </w:tc>
      </w:tr>
      <w:tr w14:paraId="1B4B3614">
        <w:tblPrEx>
          <w:tblCellMar>
            <w:top w:w="0" w:type="dxa"/>
            <w:left w:w="108" w:type="dxa"/>
            <w:bottom w:w="0" w:type="dxa"/>
            <w:right w:w="108" w:type="dxa"/>
          </w:tblCellMar>
        </w:tblPrEx>
        <w:trPr>
          <w:jc w:val="center"/>
        </w:trPr>
        <w:tc>
          <w:tcPr>
            <w:tcW w:w="727" w:type="dxa"/>
            <w:vAlign w:val="center"/>
          </w:tcPr>
          <w:p w14:paraId="36759ABD">
            <w:pPr>
              <w:spacing w:line="360" w:lineRule="auto"/>
              <w:ind w:left="480" w:hanging="480" w:hangingChars="200"/>
              <w:jc w:val="center"/>
              <w:rPr>
                <w:highlight w:val="none"/>
              </w:rPr>
            </w:pPr>
            <w:r>
              <w:rPr>
                <w:highlight w:val="none"/>
              </w:rPr>
              <w:t>21</w:t>
            </w:r>
          </w:p>
        </w:tc>
        <w:tc>
          <w:tcPr>
            <w:tcW w:w="2139" w:type="dxa"/>
            <w:vAlign w:val="center"/>
          </w:tcPr>
          <w:p w14:paraId="58BE1B47">
            <w:pPr>
              <w:jc w:val="left"/>
              <w:rPr>
                <w:highlight w:val="none"/>
              </w:rPr>
            </w:pPr>
            <w:r>
              <w:rPr>
                <w:highlight w:val="none"/>
              </w:rPr>
              <w:t>出水SDI</w:t>
            </w:r>
          </w:p>
        </w:tc>
        <w:tc>
          <w:tcPr>
            <w:tcW w:w="5956" w:type="dxa"/>
            <w:vAlign w:val="center"/>
          </w:tcPr>
          <w:p w14:paraId="10294BBC">
            <w:pPr>
              <w:ind w:left="480" w:hanging="480" w:hangingChars="200"/>
              <w:jc w:val="left"/>
              <w:rPr>
                <w:highlight w:val="none"/>
              </w:rPr>
            </w:pPr>
            <w:r>
              <w:rPr>
                <w:rFonts w:hint="eastAsia"/>
                <w:highlight w:val="none"/>
              </w:rPr>
              <w:t>＜3</w:t>
            </w:r>
          </w:p>
        </w:tc>
      </w:tr>
      <w:tr w14:paraId="7B2FBC1A">
        <w:tblPrEx>
          <w:tblCellMar>
            <w:top w:w="0" w:type="dxa"/>
            <w:left w:w="108" w:type="dxa"/>
            <w:bottom w:w="0" w:type="dxa"/>
            <w:right w:w="108" w:type="dxa"/>
          </w:tblCellMar>
        </w:tblPrEx>
        <w:trPr>
          <w:jc w:val="center"/>
        </w:trPr>
        <w:tc>
          <w:tcPr>
            <w:tcW w:w="727" w:type="dxa"/>
            <w:vAlign w:val="center"/>
          </w:tcPr>
          <w:p w14:paraId="2F665B62">
            <w:pPr>
              <w:spacing w:line="360" w:lineRule="auto"/>
              <w:ind w:left="480" w:hanging="480" w:hangingChars="200"/>
              <w:jc w:val="center"/>
              <w:rPr>
                <w:highlight w:val="none"/>
              </w:rPr>
            </w:pPr>
            <w:r>
              <w:rPr>
                <w:highlight w:val="none"/>
              </w:rPr>
              <w:t>22</w:t>
            </w:r>
          </w:p>
        </w:tc>
        <w:tc>
          <w:tcPr>
            <w:tcW w:w="2139" w:type="dxa"/>
            <w:vAlign w:val="center"/>
          </w:tcPr>
          <w:p w14:paraId="04CC8856">
            <w:pPr>
              <w:jc w:val="left"/>
              <w:rPr>
                <w:highlight w:val="none"/>
              </w:rPr>
            </w:pPr>
            <w:r>
              <w:rPr>
                <w:highlight w:val="none"/>
              </w:rPr>
              <w:t>出水浊度</w:t>
            </w:r>
          </w:p>
        </w:tc>
        <w:tc>
          <w:tcPr>
            <w:tcW w:w="5956" w:type="dxa"/>
            <w:vAlign w:val="center"/>
          </w:tcPr>
          <w:p w14:paraId="3596F487">
            <w:pPr>
              <w:ind w:left="480" w:hanging="480" w:hangingChars="200"/>
              <w:jc w:val="left"/>
              <w:rPr>
                <w:highlight w:val="none"/>
              </w:rPr>
            </w:pPr>
            <w:r>
              <w:rPr>
                <w:rFonts w:hint="eastAsia"/>
                <w:highlight w:val="none"/>
              </w:rPr>
              <w:t>＜0.1NTU</w:t>
            </w:r>
          </w:p>
        </w:tc>
      </w:tr>
      <w:tr w14:paraId="2E3AA3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27" w:type="dxa"/>
            <w:vAlign w:val="center"/>
          </w:tcPr>
          <w:p w14:paraId="71502236">
            <w:pPr>
              <w:spacing w:line="360" w:lineRule="auto"/>
              <w:ind w:left="480" w:hanging="480" w:hangingChars="200"/>
              <w:jc w:val="center"/>
              <w:rPr>
                <w:highlight w:val="none"/>
              </w:rPr>
            </w:pPr>
            <w:r>
              <w:rPr>
                <w:highlight w:val="none"/>
              </w:rPr>
              <w:t>23</w:t>
            </w:r>
          </w:p>
        </w:tc>
        <w:tc>
          <w:tcPr>
            <w:tcW w:w="2139" w:type="dxa"/>
            <w:vAlign w:val="center"/>
          </w:tcPr>
          <w:p w14:paraId="2A3D59B2">
            <w:pPr>
              <w:jc w:val="left"/>
              <w:rPr>
                <w:highlight w:val="none"/>
              </w:rPr>
            </w:pPr>
            <w:r>
              <w:rPr>
                <w:highlight w:val="none"/>
              </w:rPr>
              <w:t>pH</w:t>
            </w:r>
          </w:p>
        </w:tc>
        <w:tc>
          <w:tcPr>
            <w:tcW w:w="5956" w:type="dxa"/>
            <w:vAlign w:val="center"/>
          </w:tcPr>
          <w:p w14:paraId="0EA6C0AF">
            <w:pPr>
              <w:ind w:left="480" w:hanging="480" w:hangingChars="200"/>
              <w:jc w:val="left"/>
              <w:rPr>
                <w:highlight w:val="none"/>
              </w:rPr>
            </w:pPr>
            <w:r>
              <w:rPr>
                <w:rFonts w:hint="eastAsia"/>
                <w:highlight w:val="none"/>
              </w:rPr>
              <w:t>1-10</w:t>
            </w:r>
          </w:p>
        </w:tc>
      </w:tr>
      <w:tr w14:paraId="2AB456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27" w:type="dxa"/>
            <w:vAlign w:val="center"/>
          </w:tcPr>
          <w:p w14:paraId="1AAC0D4E">
            <w:pPr>
              <w:spacing w:line="360" w:lineRule="auto"/>
              <w:ind w:left="480" w:hanging="480" w:hangingChars="200"/>
              <w:jc w:val="center"/>
              <w:rPr>
                <w:highlight w:val="none"/>
              </w:rPr>
            </w:pPr>
            <w:r>
              <w:rPr>
                <w:highlight w:val="none"/>
              </w:rPr>
              <w:t>24</w:t>
            </w:r>
          </w:p>
        </w:tc>
        <w:tc>
          <w:tcPr>
            <w:tcW w:w="2139" w:type="dxa"/>
            <w:shd w:val="clear" w:color="auto" w:fill="auto"/>
            <w:vAlign w:val="center"/>
          </w:tcPr>
          <w:p w14:paraId="55872487">
            <w:pPr>
              <w:jc w:val="left"/>
              <w:rPr>
                <w:highlight w:val="none"/>
              </w:rPr>
            </w:pPr>
            <w:r>
              <w:rPr>
                <w:highlight w:val="none"/>
              </w:rPr>
              <w:t>制造商及产地</w:t>
            </w:r>
          </w:p>
        </w:tc>
        <w:tc>
          <w:tcPr>
            <w:tcW w:w="5956" w:type="dxa"/>
            <w:shd w:val="clear" w:color="auto" w:fill="auto"/>
            <w:vAlign w:val="center"/>
          </w:tcPr>
          <w:p w14:paraId="3C913BEA">
            <w:pPr>
              <w:jc w:val="left"/>
              <w:rPr>
                <w:highlight w:val="none"/>
              </w:rPr>
            </w:pPr>
            <w:r>
              <w:rPr>
                <w:rFonts w:hint="eastAsia"/>
                <w:highlight w:val="none"/>
              </w:rPr>
              <w:t>膜天、赛诺、求是、斯科能、坎普尔、欧美新材料、津膜或“相当于”</w:t>
            </w:r>
          </w:p>
        </w:tc>
      </w:tr>
    </w:tbl>
    <w:p w14:paraId="6377908C">
      <w:pPr>
        <w:autoSpaceDE w:val="0"/>
        <w:autoSpaceDN w:val="0"/>
        <w:spacing w:line="360" w:lineRule="auto"/>
        <w:jc w:val="left"/>
        <w:textAlignment w:val="bottom"/>
        <w:outlineLvl w:val="2"/>
        <w:rPr>
          <w:highlight w:val="none"/>
        </w:rPr>
      </w:pPr>
      <w:r>
        <w:rPr>
          <w:b/>
          <w:highlight w:val="none"/>
        </w:rPr>
        <w:t>8.</w:t>
      </w:r>
      <w:r>
        <w:rPr>
          <w:rFonts w:hint="eastAsia"/>
          <w:b/>
          <w:highlight w:val="none"/>
        </w:rPr>
        <w:t>2 反渗透滑架</w:t>
      </w:r>
    </w:p>
    <w:p w14:paraId="7CF12B83">
      <w:pPr>
        <w:spacing w:line="360" w:lineRule="auto"/>
        <w:jc w:val="left"/>
        <w:rPr>
          <w:highlight w:val="none"/>
        </w:rPr>
      </w:pPr>
    </w:p>
    <w:tbl>
      <w:tblPr>
        <w:tblStyle w:val="21"/>
        <w:tblW w:w="501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103"/>
        <w:gridCol w:w="2116"/>
        <w:gridCol w:w="5780"/>
      </w:tblGrid>
      <w:tr w14:paraId="284A42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blHeader/>
          <w:jc w:val="center"/>
        </w:trPr>
        <w:tc>
          <w:tcPr>
            <w:tcW w:w="613" w:type="pct"/>
            <w:vAlign w:val="center"/>
          </w:tcPr>
          <w:p w14:paraId="4B1F4CEE">
            <w:pPr>
              <w:jc w:val="center"/>
              <w:rPr>
                <w:b/>
                <w:highlight w:val="none"/>
              </w:rPr>
            </w:pPr>
            <w:r>
              <w:rPr>
                <w:b/>
                <w:highlight w:val="none"/>
              </w:rPr>
              <w:t>序号</w:t>
            </w:r>
          </w:p>
        </w:tc>
        <w:tc>
          <w:tcPr>
            <w:tcW w:w="1175" w:type="pct"/>
            <w:vAlign w:val="center"/>
          </w:tcPr>
          <w:p w14:paraId="0AD7288C">
            <w:pPr>
              <w:jc w:val="center"/>
              <w:rPr>
                <w:b/>
                <w:highlight w:val="none"/>
              </w:rPr>
            </w:pPr>
            <w:r>
              <w:rPr>
                <w:b/>
                <w:highlight w:val="none"/>
              </w:rPr>
              <w:t>项目</w:t>
            </w:r>
          </w:p>
        </w:tc>
        <w:tc>
          <w:tcPr>
            <w:tcW w:w="3210" w:type="pct"/>
            <w:vAlign w:val="center"/>
          </w:tcPr>
          <w:p w14:paraId="7B3B2D6A">
            <w:pPr>
              <w:ind w:left="482" w:hanging="482" w:hangingChars="200"/>
              <w:jc w:val="center"/>
              <w:rPr>
                <w:b/>
                <w:highlight w:val="none"/>
              </w:rPr>
            </w:pPr>
            <w:r>
              <w:rPr>
                <w:rFonts w:hint="eastAsia"/>
                <w:b/>
                <w:highlight w:val="none"/>
              </w:rPr>
              <w:t>反渗透滑架</w:t>
            </w:r>
          </w:p>
        </w:tc>
      </w:tr>
      <w:tr w14:paraId="0F4BA0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3" w:type="pct"/>
            <w:vAlign w:val="center"/>
          </w:tcPr>
          <w:p w14:paraId="43DE7B7C">
            <w:pPr>
              <w:jc w:val="center"/>
              <w:rPr>
                <w:highlight w:val="none"/>
              </w:rPr>
            </w:pPr>
            <w:r>
              <w:rPr>
                <w:rFonts w:hint="eastAsia"/>
                <w:highlight w:val="none"/>
              </w:rPr>
              <w:t>1</w:t>
            </w:r>
          </w:p>
        </w:tc>
        <w:tc>
          <w:tcPr>
            <w:tcW w:w="1175" w:type="pct"/>
            <w:vAlign w:val="center"/>
          </w:tcPr>
          <w:p w14:paraId="49341305">
            <w:pPr>
              <w:jc w:val="left"/>
              <w:rPr>
                <w:highlight w:val="none"/>
              </w:rPr>
            </w:pPr>
            <w:r>
              <w:rPr>
                <w:highlight w:val="none"/>
              </w:rPr>
              <w:t>设备数量</w:t>
            </w:r>
          </w:p>
        </w:tc>
        <w:tc>
          <w:tcPr>
            <w:tcW w:w="3210" w:type="pct"/>
            <w:vAlign w:val="center"/>
          </w:tcPr>
          <w:p w14:paraId="6DCA91E3">
            <w:pPr>
              <w:ind w:left="480" w:hanging="480" w:hangingChars="200"/>
              <w:jc w:val="left"/>
              <w:rPr>
                <w:highlight w:val="none"/>
              </w:rPr>
            </w:pPr>
            <w:r>
              <w:rPr>
                <w:rFonts w:hint="eastAsia"/>
                <w:highlight w:val="none"/>
                <w:u w:val="single"/>
              </w:rPr>
              <w:t>1</w:t>
            </w:r>
            <w:r>
              <w:rPr>
                <w:highlight w:val="none"/>
              </w:rPr>
              <w:t>套</w:t>
            </w:r>
          </w:p>
        </w:tc>
      </w:tr>
      <w:tr w14:paraId="5E608D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3" w:type="pct"/>
            <w:vAlign w:val="center"/>
          </w:tcPr>
          <w:p w14:paraId="636ABBA1">
            <w:pPr>
              <w:jc w:val="center"/>
              <w:rPr>
                <w:highlight w:val="none"/>
              </w:rPr>
            </w:pPr>
            <w:r>
              <w:rPr>
                <w:rFonts w:hint="eastAsia"/>
                <w:highlight w:val="none"/>
              </w:rPr>
              <w:t>2</w:t>
            </w:r>
          </w:p>
        </w:tc>
        <w:tc>
          <w:tcPr>
            <w:tcW w:w="1175" w:type="pct"/>
            <w:vAlign w:val="center"/>
          </w:tcPr>
          <w:p w14:paraId="10AD0D85">
            <w:pPr>
              <w:jc w:val="left"/>
              <w:rPr>
                <w:highlight w:val="none"/>
              </w:rPr>
            </w:pPr>
            <w:r>
              <w:rPr>
                <w:highlight w:val="none"/>
              </w:rPr>
              <w:t>单套出力</w:t>
            </w:r>
          </w:p>
        </w:tc>
        <w:tc>
          <w:tcPr>
            <w:tcW w:w="3210" w:type="pct"/>
            <w:vAlign w:val="center"/>
          </w:tcPr>
          <w:p w14:paraId="59EC6EB9">
            <w:pPr>
              <w:ind w:left="480" w:hanging="480" w:hangingChars="200"/>
              <w:jc w:val="left"/>
              <w:rPr>
                <w:highlight w:val="none"/>
              </w:rPr>
            </w:pPr>
            <w:r>
              <w:rPr>
                <w:rFonts w:hint="eastAsia"/>
                <w:highlight w:val="none"/>
              </w:rPr>
              <w:t>≥</w:t>
            </w:r>
            <w:r>
              <w:rPr>
                <w:rFonts w:hint="eastAsia"/>
                <w:highlight w:val="none"/>
                <w:u w:val="single"/>
              </w:rPr>
              <w:t>120</w:t>
            </w:r>
            <w:r>
              <w:rPr>
                <w:rFonts w:hint="eastAsia"/>
                <w:highlight w:val="none"/>
              </w:rPr>
              <w:t>m³</w:t>
            </w:r>
            <w:r>
              <w:rPr>
                <w:highlight w:val="none"/>
              </w:rPr>
              <w:t>/h（</w:t>
            </w:r>
            <w:r>
              <w:rPr>
                <w:rFonts w:hint="eastAsia"/>
                <w:highlight w:val="none"/>
                <w:lang w:val="en-US" w:eastAsia="zh-CN"/>
              </w:rPr>
              <w:t>15</w:t>
            </w:r>
            <w:r>
              <w:rPr>
                <w:highlight w:val="none"/>
              </w:rPr>
              <w:t>℃）</w:t>
            </w:r>
          </w:p>
        </w:tc>
      </w:tr>
      <w:tr w14:paraId="2B149C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3" w:type="pct"/>
            <w:vAlign w:val="center"/>
          </w:tcPr>
          <w:p w14:paraId="390EBC2D">
            <w:pPr>
              <w:jc w:val="center"/>
              <w:rPr>
                <w:highlight w:val="none"/>
              </w:rPr>
            </w:pPr>
            <w:r>
              <w:rPr>
                <w:rFonts w:hint="eastAsia"/>
                <w:highlight w:val="none"/>
              </w:rPr>
              <w:t>3</w:t>
            </w:r>
          </w:p>
        </w:tc>
        <w:tc>
          <w:tcPr>
            <w:tcW w:w="1175" w:type="pct"/>
            <w:vAlign w:val="center"/>
          </w:tcPr>
          <w:p w14:paraId="0555EF81">
            <w:pPr>
              <w:jc w:val="left"/>
              <w:rPr>
                <w:highlight w:val="none"/>
              </w:rPr>
            </w:pPr>
            <w:r>
              <w:rPr>
                <w:rFonts w:hint="eastAsia"/>
                <w:highlight w:val="none"/>
              </w:rPr>
              <w:t>单套膜壳数量</w:t>
            </w:r>
          </w:p>
        </w:tc>
        <w:tc>
          <w:tcPr>
            <w:tcW w:w="3210" w:type="pct"/>
            <w:vAlign w:val="center"/>
          </w:tcPr>
          <w:p w14:paraId="4CD1E395">
            <w:pPr>
              <w:ind w:left="480" w:hanging="480" w:hangingChars="200"/>
              <w:jc w:val="left"/>
              <w:rPr>
                <w:highlight w:val="none"/>
              </w:rPr>
            </w:pPr>
            <w:r>
              <w:rPr>
                <w:rFonts w:hint="eastAsia"/>
                <w:highlight w:val="none"/>
                <w:u w:val="single"/>
              </w:rPr>
              <w:t>32</w:t>
            </w:r>
            <w:r>
              <w:rPr>
                <w:highlight w:val="none"/>
              </w:rPr>
              <w:t>支/套</w:t>
            </w:r>
            <w:r>
              <w:rPr>
                <w:rFonts w:hint="eastAsia"/>
                <w:highlight w:val="none"/>
              </w:rPr>
              <w:t>，8寸，6芯</w:t>
            </w:r>
          </w:p>
        </w:tc>
      </w:tr>
      <w:tr w14:paraId="60CAA8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3" w:type="pct"/>
            <w:vAlign w:val="center"/>
          </w:tcPr>
          <w:p w14:paraId="50B37F28">
            <w:pPr>
              <w:jc w:val="center"/>
              <w:rPr>
                <w:highlight w:val="none"/>
              </w:rPr>
            </w:pPr>
            <w:r>
              <w:rPr>
                <w:rFonts w:hint="eastAsia"/>
                <w:highlight w:val="none"/>
              </w:rPr>
              <w:t>4</w:t>
            </w:r>
          </w:p>
        </w:tc>
        <w:tc>
          <w:tcPr>
            <w:tcW w:w="1175" w:type="pct"/>
            <w:vAlign w:val="center"/>
          </w:tcPr>
          <w:p w14:paraId="1121F29B">
            <w:pPr>
              <w:jc w:val="left"/>
              <w:rPr>
                <w:highlight w:val="none"/>
              </w:rPr>
            </w:pPr>
            <w:r>
              <w:rPr>
                <w:highlight w:val="none"/>
              </w:rPr>
              <w:t>滑架材质</w:t>
            </w:r>
          </w:p>
        </w:tc>
        <w:tc>
          <w:tcPr>
            <w:tcW w:w="3210" w:type="pct"/>
            <w:vAlign w:val="center"/>
          </w:tcPr>
          <w:p w14:paraId="5E64EC50">
            <w:pPr>
              <w:ind w:left="480" w:hanging="480" w:hangingChars="200"/>
              <w:jc w:val="left"/>
              <w:rPr>
                <w:highlight w:val="none"/>
              </w:rPr>
            </w:pPr>
            <w:r>
              <w:rPr>
                <w:rFonts w:hint="eastAsia"/>
                <w:highlight w:val="none"/>
              </w:rPr>
              <w:t>碳钢防腐</w:t>
            </w:r>
          </w:p>
        </w:tc>
      </w:tr>
      <w:tr w14:paraId="56A215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3" w:type="pct"/>
            <w:vAlign w:val="center"/>
          </w:tcPr>
          <w:p w14:paraId="59A5B4BB">
            <w:pPr>
              <w:jc w:val="center"/>
              <w:rPr>
                <w:highlight w:val="none"/>
              </w:rPr>
            </w:pPr>
            <w:r>
              <w:rPr>
                <w:rFonts w:hint="eastAsia"/>
                <w:highlight w:val="none"/>
              </w:rPr>
              <w:t>5</w:t>
            </w:r>
          </w:p>
        </w:tc>
        <w:tc>
          <w:tcPr>
            <w:tcW w:w="1175" w:type="pct"/>
            <w:vAlign w:val="center"/>
          </w:tcPr>
          <w:p w14:paraId="45135215">
            <w:pPr>
              <w:jc w:val="left"/>
              <w:rPr>
                <w:highlight w:val="none"/>
              </w:rPr>
            </w:pPr>
            <w:r>
              <w:rPr>
                <w:highlight w:val="none"/>
              </w:rPr>
              <w:t>内部管道材质</w:t>
            </w:r>
          </w:p>
        </w:tc>
        <w:tc>
          <w:tcPr>
            <w:tcW w:w="3210" w:type="pct"/>
            <w:vAlign w:val="center"/>
          </w:tcPr>
          <w:p w14:paraId="1140DBE7">
            <w:pPr>
              <w:ind w:left="480" w:hanging="480" w:hangingChars="200"/>
              <w:jc w:val="left"/>
              <w:rPr>
                <w:highlight w:val="none"/>
                <w:u w:val="single"/>
              </w:rPr>
            </w:pPr>
            <w:r>
              <w:rPr>
                <w:highlight w:val="none"/>
              </w:rPr>
              <w:t>高压部分：</w:t>
            </w:r>
            <w:r>
              <w:rPr>
                <w:rFonts w:hint="eastAsia"/>
                <w:highlight w:val="none"/>
                <w:u w:val="single"/>
              </w:rPr>
              <w:t>SS316L</w:t>
            </w:r>
          </w:p>
          <w:p w14:paraId="0040F275">
            <w:pPr>
              <w:ind w:left="480" w:hanging="480" w:hangingChars="200"/>
              <w:jc w:val="left"/>
              <w:rPr>
                <w:highlight w:val="none"/>
              </w:rPr>
            </w:pPr>
            <w:r>
              <w:rPr>
                <w:highlight w:val="none"/>
              </w:rPr>
              <w:t>低压部分：</w:t>
            </w:r>
            <w:r>
              <w:rPr>
                <w:highlight w:val="none"/>
                <w:u w:val="single"/>
              </w:rPr>
              <w:t>UPVC</w:t>
            </w:r>
            <w:r>
              <w:rPr>
                <w:rFonts w:hint="eastAsia"/>
                <w:highlight w:val="none"/>
                <w:u w:val="single"/>
              </w:rPr>
              <w:t>（化工级）</w:t>
            </w:r>
          </w:p>
        </w:tc>
      </w:tr>
      <w:tr w14:paraId="44F045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3" w:type="pct"/>
            <w:vAlign w:val="center"/>
          </w:tcPr>
          <w:p w14:paraId="2313FCD4">
            <w:pPr>
              <w:jc w:val="center"/>
              <w:rPr>
                <w:highlight w:val="none"/>
              </w:rPr>
            </w:pPr>
            <w:r>
              <w:rPr>
                <w:rFonts w:hint="eastAsia"/>
                <w:highlight w:val="none"/>
              </w:rPr>
              <w:t>6</w:t>
            </w:r>
          </w:p>
        </w:tc>
        <w:tc>
          <w:tcPr>
            <w:tcW w:w="1175" w:type="pct"/>
            <w:vAlign w:val="center"/>
          </w:tcPr>
          <w:p w14:paraId="50D714D3">
            <w:pPr>
              <w:jc w:val="left"/>
              <w:rPr>
                <w:highlight w:val="none"/>
              </w:rPr>
            </w:pPr>
            <w:r>
              <w:rPr>
                <w:highlight w:val="none"/>
              </w:rPr>
              <w:t>设备使用寿命</w:t>
            </w:r>
          </w:p>
        </w:tc>
        <w:tc>
          <w:tcPr>
            <w:tcW w:w="3210" w:type="pct"/>
            <w:vAlign w:val="center"/>
          </w:tcPr>
          <w:p w14:paraId="6646CB40">
            <w:pPr>
              <w:ind w:left="480" w:hanging="480" w:hangingChars="200"/>
              <w:jc w:val="left"/>
              <w:rPr>
                <w:highlight w:val="none"/>
              </w:rPr>
            </w:pPr>
            <w:r>
              <w:rPr>
                <w:highlight w:val="none"/>
              </w:rPr>
              <w:t>30年</w:t>
            </w:r>
          </w:p>
        </w:tc>
      </w:tr>
    </w:tbl>
    <w:p w14:paraId="50B90E43">
      <w:pPr>
        <w:autoSpaceDE w:val="0"/>
        <w:autoSpaceDN w:val="0"/>
        <w:spacing w:line="360" w:lineRule="auto"/>
        <w:jc w:val="left"/>
        <w:textAlignment w:val="bottom"/>
        <w:outlineLvl w:val="2"/>
        <w:rPr>
          <w:b/>
          <w:highlight w:val="none"/>
        </w:rPr>
      </w:pPr>
      <w:r>
        <w:rPr>
          <w:b/>
          <w:highlight w:val="none"/>
        </w:rPr>
        <w:t>8.</w:t>
      </w:r>
      <w:r>
        <w:rPr>
          <w:rFonts w:hint="eastAsia"/>
          <w:b/>
          <w:highlight w:val="none"/>
        </w:rPr>
        <w:t>3 保安过滤器</w:t>
      </w:r>
    </w:p>
    <w:p w14:paraId="66651201">
      <w:pPr>
        <w:spacing w:line="360" w:lineRule="auto"/>
        <w:jc w:val="left"/>
        <w:rPr>
          <w:highlight w:val="none"/>
        </w:rPr>
      </w:pPr>
    </w:p>
    <w:tbl>
      <w:tblPr>
        <w:tblStyle w:val="22"/>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152"/>
        <w:gridCol w:w="1674"/>
        <w:gridCol w:w="6151"/>
      </w:tblGrid>
      <w:tr w14:paraId="2E4FAE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97" w:hRule="exact"/>
        </w:trPr>
        <w:tc>
          <w:tcPr>
            <w:tcW w:w="1574" w:type="pct"/>
            <w:gridSpan w:val="2"/>
            <w:tcBorders>
              <w:tl2br w:val="nil"/>
              <w:tr2bl w:val="nil"/>
            </w:tcBorders>
            <w:vAlign w:val="center"/>
          </w:tcPr>
          <w:p w14:paraId="4E709F42">
            <w:pPr>
              <w:tabs>
                <w:tab w:val="left" w:pos="988"/>
              </w:tabs>
              <w:jc w:val="center"/>
              <w:rPr>
                <w:b/>
                <w:bCs/>
                <w:highlight w:val="none"/>
              </w:rPr>
            </w:pPr>
            <w:r>
              <w:rPr>
                <w:rFonts w:hint="eastAsia"/>
                <w:b/>
                <w:bCs/>
                <w:highlight w:val="none"/>
              </w:rPr>
              <w:t>项目</w:t>
            </w:r>
          </w:p>
        </w:tc>
        <w:tc>
          <w:tcPr>
            <w:tcW w:w="3425" w:type="pct"/>
            <w:tcBorders>
              <w:tl2br w:val="nil"/>
              <w:tr2bl w:val="nil"/>
            </w:tcBorders>
            <w:vAlign w:val="center"/>
          </w:tcPr>
          <w:p w14:paraId="519A7A39">
            <w:pPr>
              <w:jc w:val="center"/>
              <w:rPr>
                <w:b/>
                <w:bCs/>
                <w:highlight w:val="none"/>
              </w:rPr>
            </w:pPr>
            <w:r>
              <w:rPr>
                <w:rFonts w:hint="eastAsia"/>
                <w:b/>
                <w:bCs/>
                <w:highlight w:val="none"/>
              </w:rPr>
              <w:t>参数</w:t>
            </w:r>
          </w:p>
        </w:tc>
      </w:tr>
      <w:tr w14:paraId="3CA187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574" w:type="pct"/>
            <w:gridSpan w:val="2"/>
            <w:tcBorders>
              <w:tl2br w:val="nil"/>
              <w:tr2bl w:val="nil"/>
            </w:tcBorders>
            <w:shd w:val="clear" w:color="auto" w:fill="auto"/>
            <w:vAlign w:val="center"/>
          </w:tcPr>
          <w:p w14:paraId="41F89798">
            <w:pPr>
              <w:tabs>
                <w:tab w:val="left" w:pos="988"/>
              </w:tabs>
              <w:jc w:val="left"/>
              <w:rPr>
                <w:highlight w:val="none"/>
              </w:rPr>
            </w:pPr>
            <w:r>
              <w:rPr>
                <w:highlight w:val="none"/>
              </w:rPr>
              <w:t>型号</w:t>
            </w:r>
          </w:p>
        </w:tc>
        <w:tc>
          <w:tcPr>
            <w:tcW w:w="3425" w:type="pct"/>
            <w:tcBorders>
              <w:tl2br w:val="nil"/>
              <w:tr2bl w:val="nil"/>
            </w:tcBorders>
            <w:shd w:val="clear" w:color="auto" w:fill="auto"/>
            <w:vAlign w:val="center"/>
          </w:tcPr>
          <w:p w14:paraId="78DC75D6">
            <w:pPr>
              <w:jc w:val="left"/>
              <w:rPr>
                <w:highlight w:val="none"/>
              </w:rPr>
            </w:pPr>
            <w:r>
              <w:rPr>
                <w:highlight w:val="none"/>
              </w:rPr>
              <w:t>与厂家配套</w:t>
            </w:r>
          </w:p>
        </w:tc>
      </w:tr>
      <w:tr w14:paraId="3BC036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574" w:type="pct"/>
            <w:gridSpan w:val="2"/>
            <w:tcBorders>
              <w:tl2br w:val="nil"/>
              <w:tr2bl w:val="nil"/>
            </w:tcBorders>
            <w:vAlign w:val="center"/>
          </w:tcPr>
          <w:p w14:paraId="1BE5B2CE">
            <w:pPr>
              <w:jc w:val="left"/>
              <w:rPr>
                <w:highlight w:val="none"/>
              </w:rPr>
            </w:pPr>
            <w:r>
              <w:rPr>
                <w:highlight w:val="none"/>
              </w:rPr>
              <w:t>型式</w:t>
            </w:r>
          </w:p>
        </w:tc>
        <w:tc>
          <w:tcPr>
            <w:tcW w:w="3425" w:type="pct"/>
            <w:tcBorders>
              <w:tl2br w:val="nil"/>
              <w:tr2bl w:val="nil"/>
            </w:tcBorders>
            <w:vAlign w:val="center"/>
          </w:tcPr>
          <w:p w14:paraId="56093EEF">
            <w:pPr>
              <w:jc w:val="left"/>
              <w:rPr>
                <w:highlight w:val="none"/>
              </w:rPr>
            </w:pPr>
          </w:p>
        </w:tc>
      </w:tr>
      <w:tr w14:paraId="2F202D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574" w:type="pct"/>
            <w:gridSpan w:val="2"/>
            <w:tcBorders>
              <w:tl2br w:val="nil"/>
              <w:tr2bl w:val="nil"/>
            </w:tcBorders>
            <w:vAlign w:val="center"/>
          </w:tcPr>
          <w:p w14:paraId="57EC71DC">
            <w:pPr>
              <w:jc w:val="left"/>
              <w:rPr>
                <w:highlight w:val="none"/>
              </w:rPr>
            </w:pPr>
            <w:r>
              <w:rPr>
                <w:highlight w:val="none"/>
              </w:rPr>
              <w:t>设备出力</w:t>
            </w:r>
          </w:p>
        </w:tc>
        <w:tc>
          <w:tcPr>
            <w:tcW w:w="3425" w:type="pct"/>
            <w:tcBorders>
              <w:tl2br w:val="nil"/>
              <w:tr2bl w:val="nil"/>
            </w:tcBorders>
            <w:vAlign w:val="center"/>
          </w:tcPr>
          <w:p w14:paraId="24D8E043">
            <w:pPr>
              <w:jc w:val="left"/>
              <w:rPr>
                <w:highlight w:val="none"/>
              </w:rPr>
            </w:pPr>
          </w:p>
        </w:tc>
      </w:tr>
      <w:tr w14:paraId="7D7374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574" w:type="pct"/>
            <w:gridSpan w:val="2"/>
            <w:tcBorders>
              <w:tl2br w:val="nil"/>
              <w:tr2bl w:val="nil"/>
            </w:tcBorders>
            <w:vAlign w:val="center"/>
          </w:tcPr>
          <w:p w14:paraId="008EB0CC">
            <w:pPr>
              <w:jc w:val="left"/>
              <w:rPr>
                <w:highlight w:val="none"/>
              </w:rPr>
            </w:pPr>
            <w:r>
              <w:rPr>
                <w:highlight w:val="none"/>
              </w:rPr>
              <w:t>数量</w:t>
            </w:r>
          </w:p>
        </w:tc>
        <w:tc>
          <w:tcPr>
            <w:tcW w:w="3425" w:type="pct"/>
            <w:tcBorders>
              <w:tl2br w:val="nil"/>
              <w:tr2bl w:val="nil"/>
            </w:tcBorders>
            <w:vAlign w:val="center"/>
          </w:tcPr>
          <w:p w14:paraId="7D213176">
            <w:pPr>
              <w:jc w:val="left"/>
              <w:rPr>
                <w:highlight w:val="none"/>
              </w:rPr>
            </w:pPr>
            <w:r>
              <w:rPr>
                <w:rFonts w:hint="eastAsia"/>
                <w:highlight w:val="none"/>
                <w:u w:val="single"/>
              </w:rPr>
              <w:t>1</w:t>
            </w:r>
            <w:r>
              <w:rPr>
                <w:highlight w:val="none"/>
              </w:rPr>
              <w:t>台</w:t>
            </w:r>
          </w:p>
        </w:tc>
      </w:tr>
      <w:tr w14:paraId="0AD71F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574" w:type="pct"/>
            <w:gridSpan w:val="2"/>
            <w:tcBorders>
              <w:tl2br w:val="nil"/>
              <w:tr2bl w:val="nil"/>
            </w:tcBorders>
            <w:vAlign w:val="center"/>
          </w:tcPr>
          <w:p w14:paraId="5140A946">
            <w:pPr>
              <w:jc w:val="left"/>
              <w:rPr>
                <w:highlight w:val="none"/>
              </w:rPr>
            </w:pPr>
            <w:r>
              <w:rPr>
                <w:highlight w:val="none"/>
              </w:rPr>
              <w:t>直径/壁厚</w:t>
            </w:r>
          </w:p>
        </w:tc>
        <w:tc>
          <w:tcPr>
            <w:tcW w:w="3425" w:type="pct"/>
            <w:tcBorders>
              <w:tl2br w:val="nil"/>
              <w:tr2bl w:val="nil"/>
            </w:tcBorders>
            <w:vAlign w:val="center"/>
          </w:tcPr>
          <w:p w14:paraId="38AAC868">
            <w:pPr>
              <w:jc w:val="left"/>
              <w:rPr>
                <w:highlight w:val="none"/>
              </w:rPr>
            </w:pPr>
            <w:r>
              <w:rPr>
                <w:rFonts w:hint="eastAsia"/>
                <w:highlight w:val="none"/>
                <w:u w:val="single"/>
              </w:rPr>
              <w:t xml:space="preserve">  </w:t>
            </w:r>
            <w:r>
              <w:rPr>
                <w:highlight w:val="none"/>
              </w:rPr>
              <w:t>/</w:t>
            </w:r>
            <w:r>
              <w:rPr>
                <w:rFonts w:hint="eastAsia"/>
                <w:highlight w:val="none"/>
                <w:u w:val="single"/>
              </w:rPr>
              <w:t xml:space="preserve">  </w:t>
            </w:r>
            <w:r>
              <w:rPr>
                <w:highlight w:val="none"/>
              </w:rPr>
              <w:t>mm</w:t>
            </w:r>
          </w:p>
        </w:tc>
      </w:tr>
      <w:tr w14:paraId="6A600F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574" w:type="pct"/>
            <w:gridSpan w:val="2"/>
            <w:tcBorders>
              <w:tl2br w:val="nil"/>
              <w:tr2bl w:val="nil"/>
            </w:tcBorders>
            <w:vAlign w:val="center"/>
          </w:tcPr>
          <w:p w14:paraId="79EB5255">
            <w:pPr>
              <w:jc w:val="left"/>
              <w:rPr>
                <w:highlight w:val="none"/>
              </w:rPr>
            </w:pPr>
            <w:r>
              <w:rPr>
                <w:highlight w:val="none"/>
              </w:rPr>
              <w:t>设计压力</w:t>
            </w:r>
          </w:p>
        </w:tc>
        <w:tc>
          <w:tcPr>
            <w:tcW w:w="3425" w:type="pct"/>
            <w:tcBorders>
              <w:tl2br w:val="nil"/>
              <w:tr2bl w:val="nil"/>
            </w:tcBorders>
            <w:vAlign w:val="center"/>
          </w:tcPr>
          <w:p w14:paraId="53C291CC">
            <w:pPr>
              <w:jc w:val="left"/>
              <w:rPr>
                <w:highlight w:val="none"/>
              </w:rPr>
            </w:pPr>
            <w:r>
              <w:rPr>
                <w:rFonts w:hint="eastAsia"/>
                <w:highlight w:val="none"/>
                <w:u w:val="single"/>
              </w:rPr>
              <w:t xml:space="preserve">  </w:t>
            </w:r>
            <w:r>
              <w:rPr>
                <w:highlight w:val="none"/>
              </w:rPr>
              <w:t>MPa</w:t>
            </w:r>
          </w:p>
        </w:tc>
      </w:tr>
      <w:tr w14:paraId="660EF8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574" w:type="pct"/>
            <w:gridSpan w:val="2"/>
            <w:tcBorders>
              <w:tl2br w:val="nil"/>
              <w:tr2bl w:val="nil"/>
            </w:tcBorders>
            <w:vAlign w:val="center"/>
          </w:tcPr>
          <w:p w14:paraId="02510379">
            <w:pPr>
              <w:jc w:val="left"/>
              <w:rPr>
                <w:highlight w:val="none"/>
              </w:rPr>
            </w:pPr>
            <w:r>
              <w:rPr>
                <w:highlight w:val="none"/>
              </w:rPr>
              <w:t>水压试验压力</w:t>
            </w:r>
          </w:p>
        </w:tc>
        <w:tc>
          <w:tcPr>
            <w:tcW w:w="3425" w:type="pct"/>
            <w:tcBorders>
              <w:tl2br w:val="nil"/>
              <w:tr2bl w:val="nil"/>
            </w:tcBorders>
            <w:vAlign w:val="center"/>
          </w:tcPr>
          <w:p w14:paraId="78FEE7C9">
            <w:pPr>
              <w:jc w:val="left"/>
              <w:rPr>
                <w:highlight w:val="none"/>
              </w:rPr>
            </w:pPr>
            <w:r>
              <w:rPr>
                <w:rFonts w:hint="eastAsia"/>
                <w:highlight w:val="none"/>
                <w:u w:val="single"/>
              </w:rPr>
              <w:t xml:space="preserve">  </w:t>
            </w:r>
            <w:r>
              <w:rPr>
                <w:highlight w:val="none"/>
              </w:rPr>
              <w:t>MPa</w:t>
            </w:r>
          </w:p>
        </w:tc>
      </w:tr>
      <w:tr w14:paraId="38B73B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574" w:type="pct"/>
            <w:gridSpan w:val="2"/>
            <w:tcBorders>
              <w:tl2br w:val="nil"/>
              <w:tr2bl w:val="nil"/>
            </w:tcBorders>
            <w:vAlign w:val="center"/>
          </w:tcPr>
          <w:p w14:paraId="674D94E2">
            <w:pPr>
              <w:jc w:val="left"/>
              <w:rPr>
                <w:highlight w:val="none"/>
              </w:rPr>
            </w:pPr>
            <w:r>
              <w:rPr>
                <w:highlight w:val="none"/>
              </w:rPr>
              <w:t>工作温度</w:t>
            </w:r>
          </w:p>
        </w:tc>
        <w:tc>
          <w:tcPr>
            <w:tcW w:w="3425" w:type="pct"/>
            <w:tcBorders>
              <w:tl2br w:val="nil"/>
              <w:tr2bl w:val="nil"/>
            </w:tcBorders>
            <w:vAlign w:val="center"/>
          </w:tcPr>
          <w:p w14:paraId="26557D5E">
            <w:pPr>
              <w:jc w:val="left"/>
              <w:rPr>
                <w:highlight w:val="none"/>
              </w:rPr>
            </w:pPr>
            <w:r>
              <w:rPr>
                <w:rFonts w:hint="eastAsia"/>
                <w:highlight w:val="none"/>
              </w:rPr>
              <w:t>1</w:t>
            </w:r>
            <w:r>
              <w:rPr>
                <w:highlight w:val="none"/>
              </w:rPr>
              <w:t>5-35 ℃</w:t>
            </w:r>
          </w:p>
        </w:tc>
      </w:tr>
      <w:tr w14:paraId="5D8C71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574" w:type="pct"/>
            <w:gridSpan w:val="2"/>
            <w:tcBorders>
              <w:tl2br w:val="nil"/>
              <w:tr2bl w:val="nil"/>
            </w:tcBorders>
            <w:vAlign w:val="center"/>
          </w:tcPr>
          <w:p w14:paraId="687CA604">
            <w:pPr>
              <w:jc w:val="left"/>
              <w:rPr>
                <w:highlight w:val="none"/>
              </w:rPr>
            </w:pPr>
            <w:r>
              <w:rPr>
                <w:highlight w:val="none"/>
              </w:rPr>
              <w:t>运行压差(设备进出口)</w:t>
            </w:r>
          </w:p>
        </w:tc>
        <w:tc>
          <w:tcPr>
            <w:tcW w:w="3425" w:type="pct"/>
            <w:tcBorders>
              <w:tl2br w:val="nil"/>
              <w:tr2bl w:val="nil"/>
            </w:tcBorders>
            <w:vAlign w:val="center"/>
          </w:tcPr>
          <w:p w14:paraId="10F9E32A">
            <w:pPr>
              <w:jc w:val="left"/>
              <w:rPr>
                <w:highlight w:val="none"/>
              </w:rPr>
            </w:pPr>
            <w:r>
              <w:rPr>
                <w:rFonts w:hint="eastAsia"/>
                <w:highlight w:val="none"/>
                <w:u w:val="single"/>
              </w:rPr>
              <w:t xml:space="preserve">  </w:t>
            </w:r>
            <w:r>
              <w:rPr>
                <w:highlight w:val="none"/>
              </w:rPr>
              <w:t>MPa</w:t>
            </w:r>
          </w:p>
        </w:tc>
      </w:tr>
      <w:tr w14:paraId="03DC8C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574" w:type="pct"/>
            <w:gridSpan w:val="2"/>
            <w:tcBorders>
              <w:tl2br w:val="nil"/>
              <w:tr2bl w:val="nil"/>
            </w:tcBorders>
            <w:vAlign w:val="center"/>
          </w:tcPr>
          <w:p w14:paraId="6FE9A656">
            <w:pPr>
              <w:jc w:val="left"/>
              <w:rPr>
                <w:highlight w:val="none"/>
              </w:rPr>
            </w:pPr>
            <w:r>
              <w:rPr>
                <w:highlight w:val="none"/>
              </w:rPr>
              <w:t>设备荷重</w:t>
            </w:r>
          </w:p>
        </w:tc>
        <w:tc>
          <w:tcPr>
            <w:tcW w:w="3425" w:type="pct"/>
            <w:tcBorders>
              <w:tl2br w:val="nil"/>
              <w:tr2bl w:val="nil"/>
            </w:tcBorders>
            <w:vAlign w:val="center"/>
          </w:tcPr>
          <w:p w14:paraId="719F35B6">
            <w:pPr>
              <w:jc w:val="left"/>
              <w:rPr>
                <w:highlight w:val="none"/>
              </w:rPr>
            </w:pPr>
            <w:r>
              <w:rPr>
                <w:rFonts w:hint="eastAsia"/>
                <w:highlight w:val="none"/>
                <w:u w:val="single"/>
              </w:rPr>
              <w:t xml:space="preserve">  </w:t>
            </w:r>
            <w:r>
              <w:rPr>
                <w:highlight w:val="none"/>
              </w:rPr>
              <w:t>kg</w:t>
            </w:r>
          </w:p>
        </w:tc>
      </w:tr>
      <w:tr w14:paraId="2599A9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642" w:type="pct"/>
            <w:vMerge w:val="restart"/>
            <w:tcBorders>
              <w:tl2br w:val="nil"/>
              <w:tr2bl w:val="nil"/>
            </w:tcBorders>
            <w:vAlign w:val="center"/>
          </w:tcPr>
          <w:p w14:paraId="3F0F1D3A">
            <w:pPr>
              <w:jc w:val="left"/>
              <w:rPr>
                <w:highlight w:val="none"/>
              </w:rPr>
            </w:pPr>
            <w:r>
              <w:rPr>
                <w:rFonts w:hint="eastAsia"/>
                <w:highlight w:val="none"/>
              </w:rPr>
              <w:t>材质</w:t>
            </w:r>
          </w:p>
        </w:tc>
        <w:tc>
          <w:tcPr>
            <w:tcW w:w="932" w:type="pct"/>
            <w:tcBorders>
              <w:tl2br w:val="nil"/>
              <w:tr2bl w:val="nil"/>
            </w:tcBorders>
            <w:vAlign w:val="center"/>
          </w:tcPr>
          <w:p w14:paraId="41E0FE41">
            <w:pPr>
              <w:jc w:val="left"/>
              <w:rPr>
                <w:highlight w:val="none"/>
              </w:rPr>
            </w:pPr>
            <w:r>
              <w:rPr>
                <w:highlight w:val="none"/>
              </w:rPr>
              <w:t>壳体</w:t>
            </w:r>
          </w:p>
        </w:tc>
        <w:tc>
          <w:tcPr>
            <w:tcW w:w="3425" w:type="pct"/>
            <w:tcBorders>
              <w:tl2br w:val="nil"/>
              <w:tr2bl w:val="nil"/>
            </w:tcBorders>
            <w:vAlign w:val="center"/>
          </w:tcPr>
          <w:p w14:paraId="6F86E8B0">
            <w:pPr>
              <w:jc w:val="left"/>
              <w:rPr>
                <w:highlight w:val="none"/>
              </w:rPr>
            </w:pPr>
            <w:r>
              <w:rPr>
                <w:rFonts w:hint="eastAsia"/>
                <w:highlight w:val="none"/>
              </w:rPr>
              <w:t>SS316L</w:t>
            </w:r>
          </w:p>
        </w:tc>
      </w:tr>
      <w:tr w14:paraId="0C9B5D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642" w:type="pct"/>
            <w:vMerge w:val="continue"/>
            <w:tcBorders>
              <w:tl2br w:val="nil"/>
              <w:tr2bl w:val="nil"/>
            </w:tcBorders>
            <w:vAlign w:val="center"/>
          </w:tcPr>
          <w:p w14:paraId="13051C8E">
            <w:pPr>
              <w:jc w:val="left"/>
              <w:rPr>
                <w:highlight w:val="none"/>
              </w:rPr>
            </w:pPr>
          </w:p>
        </w:tc>
        <w:tc>
          <w:tcPr>
            <w:tcW w:w="932" w:type="pct"/>
            <w:tcBorders>
              <w:tl2br w:val="nil"/>
              <w:tr2bl w:val="nil"/>
            </w:tcBorders>
            <w:vAlign w:val="center"/>
          </w:tcPr>
          <w:p w14:paraId="46252D48">
            <w:pPr>
              <w:jc w:val="left"/>
              <w:rPr>
                <w:highlight w:val="none"/>
              </w:rPr>
            </w:pPr>
            <w:r>
              <w:rPr>
                <w:highlight w:val="none"/>
              </w:rPr>
              <w:t>过滤层</w:t>
            </w:r>
          </w:p>
        </w:tc>
        <w:tc>
          <w:tcPr>
            <w:tcW w:w="3425" w:type="pct"/>
            <w:tcBorders>
              <w:tl2br w:val="nil"/>
              <w:tr2bl w:val="nil"/>
            </w:tcBorders>
            <w:vAlign w:val="center"/>
          </w:tcPr>
          <w:p w14:paraId="1B46F7C1">
            <w:pPr>
              <w:ind w:firstLine="480" w:firstLineChars="200"/>
              <w:jc w:val="left"/>
              <w:rPr>
                <w:highlight w:val="none"/>
              </w:rPr>
            </w:pPr>
          </w:p>
        </w:tc>
      </w:tr>
      <w:tr w14:paraId="2C7890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574" w:type="pct"/>
            <w:gridSpan w:val="2"/>
            <w:tcBorders>
              <w:tl2br w:val="nil"/>
              <w:tr2bl w:val="nil"/>
            </w:tcBorders>
            <w:vAlign w:val="center"/>
          </w:tcPr>
          <w:p w14:paraId="3F597FBE">
            <w:pPr>
              <w:jc w:val="left"/>
              <w:rPr>
                <w:highlight w:val="none"/>
              </w:rPr>
            </w:pPr>
            <w:r>
              <w:rPr>
                <w:highlight w:val="none"/>
              </w:rPr>
              <w:t>滤芯</w:t>
            </w:r>
          </w:p>
        </w:tc>
        <w:tc>
          <w:tcPr>
            <w:tcW w:w="3425" w:type="pct"/>
            <w:tcBorders>
              <w:tl2br w:val="nil"/>
              <w:tr2bl w:val="nil"/>
            </w:tcBorders>
            <w:vAlign w:val="center"/>
          </w:tcPr>
          <w:p w14:paraId="67867663">
            <w:pPr>
              <w:jc w:val="left"/>
              <w:rPr>
                <w:highlight w:val="none"/>
              </w:rPr>
            </w:pPr>
            <w:r>
              <w:rPr>
                <w:highlight w:val="none"/>
              </w:rPr>
              <w:t>折叠式</w:t>
            </w:r>
          </w:p>
        </w:tc>
      </w:tr>
      <w:tr w14:paraId="4F0C56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574" w:type="pct"/>
            <w:gridSpan w:val="2"/>
            <w:tcBorders>
              <w:tl2br w:val="nil"/>
              <w:tr2bl w:val="nil"/>
            </w:tcBorders>
            <w:vAlign w:val="center"/>
          </w:tcPr>
          <w:p w14:paraId="283B25A1">
            <w:pPr>
              <w:jc w:val="left"/>
              <w:rPr>
                <w:highlight w:val="none"/>
              </w:rPr>
            </w:pPr>
            <w:r>
              <w:rPr>
                <w:highlight w:val="none"/>
              </w:rPr>
              <w:t>外径/内径厚度</w:t>
            </w:r>
          </w:p>
        </w:tc>
        <w:tc>
          <w:tcPr>
            <w:tcW w:w="3425" w:type="pct"/>
            <w:tcBorders>
              <w:tl2br w:val="nil"/>
              <w:tr2bl w:val="nil"/>
            </w:tcBorders>
            <w:vAlign w:val="center"/>
          </w:tcPr>
          <w:p w14:paraId="001F6257">
            <w:pPr>
              <w:jc w:val="left"/>
              <w:rPr>
                <w:highlight w:val="none"/>
              </w:rPr>
            </w:pPr>
            <w:r>
              <w:rPr>
                <w:rFonts w:hint="eastAsia"/>
                <w:highlight w:val="none"/>
                <w:u w:val="single"/>
              </w:rPr>
              <w:t xml:space="preserve">  </w:t>
            </w:r>
            <w:r>
              <w:rPr>
                <w:highlight w:val="none"/>
              </w:rPr>
              <w:t>mm</w:t>
            </w:r>
          </w:p>
        </w:tc>
      </w:tr>
      <w:tr w14:paraId="396CAD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574" w:type="pct"/>
            <w:gridSpan w:val="2"/>
            <w:tcBorders>
              <w:tl2br w:val="nil"/>
              <w:tr2bl w:val="nil"/>
            </w:tcBorders>
            <w:vAlign w:val="center"/>
          </w:tcPr>
          <w:p w14:paraId="276732F3">
            <w:pPr>
              <w:jc w:val="left"/>
              <w:rPr>
                <w:highlight w:val="none"/>
              </w:rPr>
            </w:pPr>
            <w:r>
              <w:rPr>
                <w:highlight w:val="none"/>
              </w:rPr>
              <w:t>过滤精度</w:t>
            </w:r>
          </w:p>
        </w:tc>
        <w:tc>
          <w:tcPr>
            <w:tcW w:w="3425" w:type="pct"/>
            <w:tcBorders>
              <w:tl2br w:val="nil"/>
              <w:tr2bl w:val="nil"/>
            </w:tcBorders>
            <w:vAlign w:val="center"/>
          </w:tcPr>
          <w:p w14:paraId="3D1A6A4C">
            <w:pPr>
              <w:jc w:val="left"/>
              <w:rPr>
                <w:highlight w:val="none"/>
              </w:rPr>
            </w:pPr>
            <w:r>
              <w:rPr>
                <w:highlight w:val="none"/>
              </w:rPr>
              <w:t>5</w:t>
            </w:r>
            <w:r>
              <w:rPr>
                <w:highlight w:val="none"/>
              </w:rPr>
              <w:sym w:font="Symbol" w:char="F06D"/>
            </w:r>
            <w:r>
              <w:rPr>
                <w:highlight w:val="none"/>
              </w:rPr>
              <w:t>m</w:t>
            </w:r>
          </w:p>
        </w:tc>
      </w:tr>
      <w:tr w14:paraId="75EB5F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574" w:type="pct"/>
            <w:gridSpan w:val="2"/>
            <w:tcBorders>
              <w:tl2br w:val="nil"/>
              <w:tr2bl w:val="nil"/>
            </w:tcBorders>
            <w:vAlign w:val="center"/>
          </w:tcPr>
          <w:p w14:paraId="193C1002">
            <w:pPr>
              <w:jc w:val="left"/>
              <w:rPr>
                <w:highlight w:val="none"/>
              </w:rPr>
            </w:pPr>
            <w:r>
              <w:rPr>
                <w:highlight w:val="none"/>
              </w:rPr>
              <w:t>数量</w:t>
            </w:r>
          </w:p>
        </w:tc>
        <w:tc>
          <w:tcPr>
            <w:tcW w:w="3425" w:type="pct"/>
            <w:tcBorders>
              <w:tl2br w:val="nil"/>
              <w:tr2bl w:val="nil"/>
            </w:tcBorders>
            <w:vAlign w:val="center"/>
          </w:tcPr>
          <w:p w14:paraId="303ED7D9">
            <w:pPr>
              <w:jc w:val="left"/>
              <w:rPr>
                <w:highlight w:val="none"/>
              </w:rPr>
            </w:pPr>
            <w:r>
              <w:rPr>
                <w:rFonts w:hint="eastAsia"/>
                <w:highlight w:val="none"/>
                <w:u w:val="single"/>
              </w:rPr>
              <w:t xml:space="preserve">  </w:t>
            </w:r>
            <w:r>
              <w:rPr>
                <w:highlight w:val="none"/>
              </w:rPr>
              <w:t>支</w:t>
            </w:r>
          </w:p>
        </w:tc>
      </w:tr>
      <w:tr w14:paraId="6DF9E4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574" w:type="pct"/>
            <w:gridSpan w:val="2"/>
            <w:tcBorders>
              <w:tl2br w:val="nil"/>
              <w:tr2bl w:val="nil"/>
            </w:tcBorders>
            <w:vAlign w:val="center"/>
          </w:tcPr>
          <w:p w14:paraId="61B69A8C">
            <w:pPr>
              <w:jc w:val="left"/>
              <w:rPr>
                <w:highlight w:val="none"/>
              </w:rPr>
            </w:pPr>
            <w:r>
              <w:rPr>
                <w:rFonts w:hint="eastAsia"/>
                <w:highlight w:val="none"/>
              </w:rPr>
              <w:t>长度</w:t>
            </w:r>
          </w:p>
        </w:tc>
        <w:tc>
          <w:tcPr>
            <w:tcW w:w="3425" w:type="pct"/>
            <w:tcBorders>
              <w:tl2br w:val="nil"/>
              <w:tr2bl w:val="nil"/>
            </w:tcBorders>
            <w:vAlign w:val="center"/>
          </w:tcPr>
          <w:p w14:paraId="3553E160">
            <w:pPr>
              <w:jc w:val="left"/>
              <w:rPr>
                <w:highlight w:val="none"/>
              </w:rPr>
            </w:pPr>
            <w:r>
              <w:rPr>
                <w:rFonts w:hint="eastAsia"/>
                <w:highlight w:val="none"/>
                <w:u w:val="single"/>
              </w:rPr>
              <w:t xml:space="preserve">  </w:t>
            </w:r>
            <w:r>
              <w:rPr>
                <w:highlight w:val="none"/>
              </w:rPr>
              <w:t>mm</w:t>
            </w:r>
          </w:p>
        </w:tc>
      </w:tr>
      <w:tr w14:paraId="0E39EB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574" w:type="pct"/>
            <w:gridSpan w:val="2"/>
            <w:tcBorders>
              <w:tl2br w:val="nil"/>
              <w:tr2bl w:val="nil"/>
            </w:tcBorders>
            <w:vAlign w:val="center"/>
          </w:tcPr>
          <w:p w14:paraId="26C5F77F">
            <w:pPr>
              <w:jc w:val="left"/>
              <w:rPr>
                <w:highlight w:val="none"/>
              </w:rPr>
            </w:pPr>
            <w:r>
              <w:rPr>
                <w:highlight w:val="none"/>
              </w:rPr>
              <w:t>进水配水型式</w:t>
            </w:r>
          </w:p>
        </w:tc>
        <w:tc>
          <w:tcPr>
            <w:tcW w:w="3425" w:type="pct"/>
            <w:tcBorders>
              <w:tl2br w:val="nil"/>
              <w:tr2bl w:val="nil"/>
            </w:tcBorders>
            <w:vAlign w:val="center"/>
          </w:tcPr>
          <w:p w14:paraId="13B47D5C">
            <w:pPr>
              <w:jc w:val="left"/>
              <w:rPr>
                <w:highlight w:val="none"/>
              </w:rPr>
            </w:pPr>
            <w:r>
              <w:rPr>
                <w:highlight w:val="none"/>
              </w:rPr>
              <w:t>侧进，挡板式</w:t>
            </w:r>
          </w:p>
        </w:tc>
      </w:tr>
      <w:tr w14:paraId="010E07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574" w:type="pct"/>
            <w:gridSpan w:val="2"/>
            <w:tcBorders>
              <w:tl2br w:val="nil"/>
              <w:tr2bl w:val="nil"/>
            </w:tcBorders>
            <w:vAlign w:val="center"/>
          </w:tcPr>
          <w:p w14:paraId="5EFBD14D">
            <w:pPr>
              <w:jc w:val="left"/>
              <w:rPr>
                <w:highlight w:val="none"/>
              </w:rPr>
            </w:pPr>
            <w:r>
              <w:rPr>
                <w:highlight w:val="none"/>
              </w:rPr>
              <w:t>出水装置型式</w:t>
            </w:r>
          </w:p>
        </w:tc>
        <w:tc>
          <w:tcPr>
            <w:tcW w:w="3425" w:type="pct"/>
            <w:tcBorders>
              <w:tl2br w:val="nil"/>
              <w:tr2bl w:val="nil"/>
            </w:tcBorders>
            <w:vAlign w:val="center"/>
          </w:tcPr>
          <w:p w14:paraId="7D9966E9">
            <w:pPr>
              <w:jc w:val="left"/>
              <w:rPr>
                <w:rFonts w:hint="eastAsia" w:eastAsia="宋体"/>
                <w:highlight w:val="none"/>
                <w:lang w:eastAsia="zh-CN"/>
              </w:rPr>
            </w:pPr>
            <w:r>
              <w:rPr>
                <w:highlight w:val="none"/>
              </w:rPr>
              <w:t>断出，挡板式</w:t>
            </w:r>
          </w:p>
        </w:tc>
      </w:tr>
      <w:tr w14:paraId="6DA19B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7" w:hRule="exact"/>
        </w:trPr>
        <w:tc>
          <w:tcPr>
            <w:tcW w:w="1574" w:type="pct"/>
            <w:gridSpan w:val="2"/>
            <w:tcBorders>
              <w:tl2br w:val="nil"/>
              <w:tr2bl w:val="nil"/>
            </w:tcBorders>
            <w:vAlign w:val="center"/>
          </w:tcPr>
          <w:p w14:paraId="12329603">
            <w:pPr>
              <w:jc w:val="left"/>
              <w:rPr>
                <w:highlight w:val="none"/>
              </w:rPr>
            </w:pPr>
            <w:r>
              <w:rPr>
                <w:highlight w:val="none"/>
              </w:rPr>
              <w:t>制造商及产地</w:t>
            </w:r>
          </w:p>
        </w:tc>
        <w:tc>
          <w:tcPr>
            <w:tcW w:w="3425" w:type="pct"/>
            <w:tcBorders>
              <w:tl2br w:val="nil"/>
              <w:tr2bl w:val="nil"/>
            </w:tcBorders>
            <w:vAlign w:val="center"/>
          </w:tcPr>
          <w:p w14:paraId="39B19B5A">
            <w:pPr>
              <w:jc w:val="left"/>
              <w:rPr>
                <w:highlight w:val="none"/>
              </w:rPr>
            </w:pPr>
            <w:r>
              <w:rPr>
                <w:rFonts w:hint="eastAsia"/>
                <w:highlight w:val="none"/>
              </w:rPr>
              <w:t>滤芯采用科百特、杭州大立、上海策得或“相当于”</w:t>
            </w:r>
          </w:p>
        </w:tc>
      </w:tr>
    </w:tbl>
    <w:p w14:paraId="6BE12B5B">
      <w:pPr>
        <w:autoSpaceDE w:val="0"/>
        <w:autoSpaceDN w:val="0"/>
        <w:spacing w:line="360" w:lineRule="auto"/>
        <w:jc w:val="left"/>
        <w:textAlignment w:val="bottom"/>
        <w:outlineLvl w:val="2"/>
        <w:rPr>
          <w:b/>
          <w:highlight w:val="none"/>
        </w:rPr>
      </w:pPr>
      <w:r>
        <w:rPr>
          <w:b/>
          <w:highlight w:val="none"/>
        </w:rPr>
        <w:t>8.</w:t>
      </w:r>
      <w:r>
        <w:rPr>
          <w:rFonts w:hint="eastAsia"/>
          <w:b/>
          <w:highlight w:val="none"/>
        </w:rPr>
        <w:t>4 自清洗滤器</w:t>
      </w:r>
    </w:p>
    <w:p w14:paraId="38491FCB">
      <w:pPr>
        <w:spacing w:line="360" w:lineRule="auto"/>
        <w:jc w:val="left"/>
        <w:rPr>
          <w:highlight w:val="none"/>
        </w:rPr>
      </w:pPr>
    </w:p>
    <w:tbl>
      <w:tblPr>
        <w:tblStyle w:val="22"/>
        <w:tblW w:w="4997"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151"/>
        <w:gridCol w:w="1675"/>
        <w:gridCol w:w="6150"/>
      </w:tblGrid>
      <w:tr w14:paraId="6DBF2B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574" w:type="pct"/>
            <w:gridSpan w:val="2"/>
            <w:tcBorders>
              <w:tl2br w:val="nil"/>
              <w:tr2bl w:val="nil"/>
            </w:tcBorders>
            <w:vAlign w:val="center"/>
          </w:tcPr>
          <w:p w14:paraId="68559193">
            <w:pPr>
              <w:tabs>
                <w:tab w:val="left" w:pos="988"/>
              </w:tabs>
              <w:jc w:val="center"/>
              <w:rPr>
                <w:b/>
                <w:bCs/>
                <w:highlight w:val="none"/>
              </w:rPr>
            </w:pPr>
            <w:r>
              <w:rPr>
                <w:rFonts w:hint="eastAsia"/>
                <w:b/>
                <w:bCs/>
                <w:highlight w:val="none"/>
              </w:rPr>
              <w:t>项目</w:t>
            </w:r>
          </w:p>
        </w:tc>
        <w:tc>
          <w:tcPr>
            <w:tcW w:w="3425" w:type="pct"/>
            <w:tcBorders>
              <w:tl2br w:val="nil"/>
              <w:tr2bl w:val="nil"/>
            </w:tcBorders>
            <w:vAlign w:val="center"/>
          </w:tcPr>
          <w:p w14:paraId="35BEA4A5">
            <w:pPr>
              <w:jc w:val="center"/>
              <w:rPr>
                <w:b/>
                <w:bCs/>
                <w:highlight w:val="none"/>
              </w:rPr>
            </w:pPr>
            <w:r>
              <w:rPr>
                <w:rFonts w:hint="eastAsia"/>
                <w:b/>
                <w:bCs/>
                <w:highlight w:val="none"/>
              </w:rPr>
              <w:t>参数</w:t>
            </w:r>
          </w:p>
        </w:tc>
      </w:tr>
      <w:tr w14:paraId="20BCEC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574" w:type="pct"/>
            <w:gridSpan w:val="2"/>
            <w:tcBorders>
              <w:tl2br w:val="nil"/>
              <w:tr2bl w:val="nil"/>
            </w:tcBorders>
            <w:shd w:val="clear" w:color="auto" w:fill="auto"/>
            <w:vAlign w:val="center"/>
          </w:tcPr>
          <w:p w14:paraId="59F5AEDC">
            <w:pPr>
              <w:tabs>
                <w:tab w:val="left" w:pos="988"/>
              </w:tabs>
              <w:jc w:val="left"/>
              <w:rPr>
                <w:highlight w:val="none"/>
              </w:rPr>
            </w:pPr>
            <w:r>
              <w:rPr>
                <w:highlight w:val="none"/>
              </w:rPr>
              <w:t>型号</w:t>
            </w:r>
          </w:p>
        </w:tc>
        <w:tc>
          <w:tcPr>
            <w:tcW w:w="3425" w:type="pct"/>
            <w:tcBorders>
              <w:tl2br w:val="nil"/>
              <w:tr2bl w:val="nil"/>
            </w:tcBorders>
            <w:shd w:val="clear" w:color="auto" w:fill="auto"/>
            <w:vAlign w:val="center"/>
          </w:tcPr>
          <w:p w14:paraId="41421F70">
            <w:pPr>
              <w:jc w:val="left"/>
              <w:rPr>
                <w:highlight w:val="none"/>
              </w:rPr>
            </w:pPr>
          </w:p>
        </w:tc>
      </w:tr>
      <w:tr w14:paraId="48C5F2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574" w:type="pct"/>
            <w:gridSpan w:val="2"/>
            <w:tcBorders>
              <w:tl2br w:val="nil"/>
              <w:tr2bl w:val="nil"/>
            </w:tcBorders>
            <w:vAlign w:val="center"/>
          </w:tcPr>
          <w:p w14:paraId="0ACF516F">
            <w:pPr>
              <w:jc w:val="left"/>
              <w:rPr>
                <w:highlight w:val="none"/>
              </w:rPr>
            </w:pPr>
            <w:r>
              <w:rPr>
                <w:highlight w:val="none"/>
              </w:rPr>
              <w:t>型式</w:t>
            </w:r>
          </w:p>
        </w:tc>
        <w:tc>
          <w:tcPr>
            <w:tcW w:w="3425" w:type="pct"/>
            <w:tcBorders>
              <w:tl2br w:val="nil"/>
              <w:tr2bl w:val="nil"/>
            </w:tcBorders>
            <w:vAlign w:val="center"/>
          </w:tcPr>
          <w:p w14:paraId="4E73BA7B">
            <w:pPr>
              <w:jc w:val="left"/>
              <w:rPr>
                <w:highlight w:val="none"/>
              </w:rPr>
            </w:pPr>
            <w:r>
              <w:rPr>
                <w:rFonts w:hint="eastAsia"/>
                <w:highlight w:val="none"/>
              </w:rPr>
              <w:t>网式</w:t>
            </w:r>
          </w:p>
        </w:tc>
      </w:tr>
      <w:tr w14:paraId="589971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574" w:type="pct"/>
            <w:gridSpan w:val="2"/>
            <w:tcBorders>
              <w:tl2br w:val="nil"/>
              <w:tr2bl w:val="nil"/>
            </w:tcBorders>
            <w:vAlign w:val="center"/>
          </w:tcPr>
          <w:p w14:paraId="6CF4EEF7">
            <w:pPr>
              <w:jc w:val="left"/>
              <w:rPr>
                <w:highlight w:val="none"/>
              </w:rPr>
            </w:pPr>
            <w:r>
              <w:rPr>
                <w:highlight w:val="none"/>
              </w:rPr>
              <w:t>设备出力</w:t>
            </w:r>
          </w:p>
        </w:tc>
        <w:tc>
          <w:tcPr>
            <w:tcW w:w="3425" w:type="pct"/>
            <w:tcBorders>
              <w:tl2br w:val="nil"/>
              <w:tr2bl w:val="nil"/>
            </w:tcBorders>
            <w:vAlign w:val="center"/>
          </w:tcPr>
          <w:p w14:paraId="0B806B1A">
            <w:pPr>
              <w:jc w:val="left"/>
              <w:rPr>
                <w:highlight w:val="none"/>
              </w:rPr>
            </w:pPr>
            <w:r>
              <w:rPr>
                <w:rFonts w:hint="eastAsia"/>
                <w:highlight w:val="none"/>
              </w:rPr>
              <w:t>2</w:t>
            </w:r>
            <w:r>
              <w:rPr>
                <w:highlight w:val="none"/>
              </w:rPr>
              <w:t>30</w:t>
            </w:r>
            <w:r>
              <w:rPr>
                <w:rFonts w:hint="eastAsia"/>
                <w:highlight w:val="none"/>
              </w:rPr>
              <w:t>m³</w:t>
            </w:r>
            <w:r>
              <w:rPr>
                <w:highlight w:val="none"/>
              </w:rPr>
              <w:t>/</w:t>
            </w:r>
            <w:r>
              <w:rPr>
                <w:rFonts w:hint="eastAsia"/>
                <w:highlight w:val="none"/>
              </w:rPr>
              <w:t>h</w:t>
            </w:r>
          </w:p>
        </w:tc>
      </w:tr>
      <w:tr w14:paraId="358CC0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574" w:type="pct"/>
            <w:gridSpan w:val="2"/>
            <w:tcBorders>
              <w:tl2br w:val="nil"/>
              <w:tr2bl w:val="nil"/>
            </w:tcBorders>
            <w:vAlign w:val="center"/>
          </w:tcPr>
          <w:p w14:paraId="1197B60C">
            <w:pPr>
              <w:jc w:val="left"/>
              <w:rPr>
                <w:highlight w:val="none"/>
              </w:rPr>
            </w:pPr>
            <w:r>
              <w:rPr>
                <w:highlight w:val="none"/>
              </w:rPr>
              <w:t>数量</w:t>
            </w:r>
          </w:p>
        </w:tc>
        <w:tc>
          <w:tcPr>
            <w:tcW w:w="3425" w:type="pct"/>
            <w:tcBorders>
              <w:tl2br w:val="nil"/>
              <w:tr2bl w:val="nil"/>
            </w:tcBorders>
            <w:vAlign w:val="center"/>
          </w:tcPr>
          <w:p w14:paraId="042FB704">
            <w:pPr>
              <w:jc w:val="left"/>
              <w:rPr>
                <w:highlight w:val="none"/>
              </w:rPr>
            </w:pPr>
            <w:r>
              <w:rPr>
                <w:rFonts w:hint="eastAsia"/>
                <w:highlight w:val="none"/>
                <w:u w:val="single"/>
              </w:rPr>
              <w:t>1</w:t>
            </w:r>
            <w:r>
              <w:rPr>
                <w:highlight w:val="none"/>
              </w:rPr>
              <w:t>台</w:t>
            </w:r>
          </w:p>
        </w:tc>
      </w:tr>
      <w:tr w14:paraId="1C8FF0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574" w:type="pct"/>
            <w:gridSpan w:val="2"/>
            <w:tcBorders>
              <w:tl2br w:val="nil"/>
              <w:tr2bl w:val="nil"/>
            </w:tcBorders>
            <w:vAlign w:val="center"/>
          </w:tcPr>
          <w:p w14:paraId="73D37328">
            <w:pPr>
              <w:jc w:val="left"/>
              <w:rPr>
                <w:highlight w:val="none"/>
              </w:rPr>
            </w:pPr>
            <w:r>
              <w:rPr>
                <w:highlight w:val="none"/>
              </w:rPr>
              <w:t>直径/壁厚</w:t>
            </w:r>
          </w:p>
        </w:tc>
        <w:tc>
          <w:tcPr>
            <w:tcW w:w="3425" w:type="pct"/>
            <w:tcBorders>
              <w:tl2br w:val="nil"/>
              <w:tr2bl w:val="nil"/>
            </w:tcBorders>
            <w:vAlign w:val="center"/>
          </w:tcPr>
          <w:p w14:paraId="11F5C4EA">
            <w:pPr>
              <w:jc w:val="left"/>
              <w:rPr>
                <w:highlight w:val="none"/>
              </w:rPr>
            </w:pPr>
            <w:r>
              <w:rPr>
                <w:rFonts w:hint="eastAsia"/>
                <w:highlight w:val="none"/>
                <w:u w:val="single"/>
              </w:rPr>
              <w:t xml:space="preserve">  </w:t>
            </w:r>
            <w:r>
              <w:rPr>
                <w:highlight w:val="none"/>
              </w:rPr>
              <w:t>/</w:t>
            </w:r>
            <w:r>
              <w:rPr>
                <w:rFonts w:hint="eastAsia"/>
                <w:highlight w:val="none"/>
                <w:u w:val="single"/>
              </w:rPr>
              <w:t xml:space="preserve">  </w:t>
            </w:r>
            <w:r>
              <w:rPr>
                <w:highlight w:val="none"/>
              </w:rPr>
              <w:t>mm</w:t>
            </w:r>
          </w:p>
        </w:tc>
      </w:tr>
      <w:tr w14:paraId="192020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574" w:type="pct"/>
            <w:gridSpan w:val="2"/>
            <w:tcBorders>
              <w:tl2br w:val="nil"/>
              <w:tr2bl w:val="nil"/>
            </w:tcBorders>
            <w:vAlign w:val="center"/>
          </w:tcPr>
          <w:p w14:paraId="59060CAF">
            <w:pPr>
              <w:jc w:val="left"/>
              <w:rPr>
                <w:highlight w:val="none"/>
              </w:rPr>
            </w:pPr>
            <w:r>
              <w:rPr>
                <w:highlight w:val="none"/>
              </w:rPr>
              <w:t>设计压力</w:t>
            </w:r>
          </w:p>
        </w:tc>
        <w:tc>
          <w:tcPr>
            <w:tcW w:w="3425" w:type="pct"/>
            <w:tcBorders>
              <w:tl2br w:val="nil"/>
              <w:tr2bl w:val="nil"/>
            </w:tcBorders>
            <w:vAlign w:val="center"/>
          </w:tcPr>
          <w:p w14:paraId="5821860A">
            <w:pPr>
              <w:jc w:val="left"/>
              <w:rPr>
                <w:highlight w:val="none"/>
              </w:rPr>
            </w:pPr>
            <w:r>
              <w:rPr>
                <w:rFonts w:hint="eastAsia"/>
                <w:highlight w:val="none"/>
                <w:u w:val="single"/>
              </w:rPr>
              <w:t xml:space="preserve">  </w:t>
            </w:r>
            <w:r>
              <w:rPr>
                <w:highlight w:val="none"/>
              </w:rPr>
              <w:t>MPa</w:t>
            </w:r>
          </w:p>
        </w:tc>
      </w:tr>
      <w:tr w14:paraId="6B71FB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574" w:type="pct"/>
            <w:gridSpan w:val="2"/>
            <w:tcBorders>
              <w:tl2br w:val="nil"/>
              <w:tr2bl w:val="nil"/>
            </w:tcBorders>
            <w:vAlign w:val="center"/>
          </w:tcPr>
          <w:p w14:paraId="007D3416">
            <w:pPr>
              <w:jc w:val="left"/>
              <w:rPr>
                <w:highlight w:val="none"/>
              </w:rPr>
            </w:pPr>
            <w:r>
              <w:rPr>
                <w:highlight w:val="none"/>
              </w:rPr>
              <w:t>水压试验压力</w:t>
            </w:r>
          </w:p>
        </w:tc>
        <w:tc>
          <w:tcPr>
            <w:tcW w:w="3425" w:type="pct"/>
            <w:tcBorders>
              <w:tl2br w:val="nil"/>
              <w:tr2bl w:val="nil"/>
            </w:tcBorders>
            <w:vAlign w:val="center"/>
          </w:tcPr>
          <w:p w14:paraId="5E43D5E8">
            <w:pPr>
              <w:jc w:val="left"/>
              <w:rPr>
                <w:highlight w:val="none"/>
              </w:rPr>
            </w:pPr>
            <w:r>
              <w:rPr>
                <w:rFonts w:hint="eastAsia"/>
                <w:highlight w:val="none"/>
                <w:u w:val="single"/>
              </w:rPr>
              <w:t xml:space="preserve">  </w:t>
            </w:r>
            <w:r>
              <w:rPr>
                <w:highlight w:val="none"/>
              </w:rPr>
              <w:t>MPa</w:t>
            </w:r>
          </w:p>
        </w:tc>
      </w:tr>
      <w:tr w14:paraId="09A62F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574" w:type="pct"/>
            <w:gridSpan w:val="2"/>
            <w:tcBorders>
              <w:tl2br w:val="nil"/>
              <w:tr2bl w:val="nil"/>
            </w:tcBorders>
            <w:vAlign w:val="center"/>
          </w:tcPr>
          <w:p w14:paraId="0ED0EB5A">
            <w:pPr>
              <w:jc w:val="left"/>
              <w:rPr>
                <w:highlight w:val="none"/>
              </w:rPr>
            </w:pPr>
            <w:r>
              <w:rPr>
                <w:highlight w:val="none"/>
              </w:rPr>
              <w:t>工作温度</w:t>
            </w:r>
          </w:p>
        </w:tc>
        <w:tc>
          <w:tcPr>
            <w:tcW w:w="3425" w:type="pct"/>
            <w:tcBorders>
              <w:tl2br w:val="nil"/>
              <w:tr2bl w:val="nil"/>
            </w:tcBorders>
            <w:vAlign w:val="center"/>
          </w:tcPr>
          <w:p w14:paraId="7FE18487">
            <w:pPr>
              <w:jc w:val="left"/>
              <w:rPr>
                <w:rFonts w:hint="eastAsia" w:eastAsia="宋体"/>
                <w:highlight w:val="none"/>
                <w:lang w:eastAsia="zh-CN"/>
              </w:rPr>
            </w:pPr>
            <w:r>
              <w:rPr>
                <w:highlight w:val="none"/>
              </w:rPr>
              <w:t>4～70 ℃</w:t>
            </w:r>
          </w:p>
        </w:tc>
      </w:tr>
      <w:tr w14:paraId="365D6F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574" w:type="pct"/>
            <w:gridSpan w:val="2"/>
            <w:tcBorders>
              <w:tl2br w:val="nil"/>
              <w:tr2bl w:val="nil"/>
            </w:tcBorders>
            <w:vAlign w:val="center"/>
          </w:tcPr>
          <w:p w14:paraId="4766B5F2">
            <w:pPr>
              <w:jc w:val="left"/>
              <w:rPr>
                <w:highlight w:val="none"/>
              </w:rPr>
            </w:pPr>
            <w:r>
              <w:rPr>
                <w:highlight w:val="none"/>
              </w:rPr>
              <w:t>运行压差(设备进出口)</w:t>
            </w:r>
          </w:p>
        </w:tc>
        <w:tc>
          <w:tcPr>
            <w:tcW w:w="3425" w:type="pct"/>
            <w:tcBorders>
              <w:tl2br w:val="nil"/>
              <w:tr2bl w:val="nil"/>
            </w:tcBorders>
            <w:vAlign w:val="center"/>
          </w:tcPr>
          <w:p w14:paraId="4A5EEAAB">
            <w:pPr>
              <w:jc w:val="left"/>
              <w:rPr>
                <w:highlight w:val="none"/>
              </w:rPr>
            </w:pPr>
            <w:r>
              <w:rPr>
                <w:rFonts w:hint="eastAsia"/>
                <w:highlight w:val="none"/>
                <w:u w:val="single"/>
              </w:rPr>
              <w:t xml:space="preserve">  </w:t>
            </w:r>
            <w:r>
              <w:rPr>
                <w:highlight w:val="none"/>
              </w:rPr>
              <w:t>MPa</w:t>
            </w:r>
          </w:p>
        </w:tc>
      </w:tr>
      <w:tr w14:paraId="71ED94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574" w:type="pct"/>
            <w:gridSpan w:val="2"/>
            <w:tcBorders>
              <w:tl2br w:val="nil"/>
              <w:tr2bl w:val="nil"/>
            </w:tcBorders>
            <w:vAlign w:val="center"/>
          </w:tcPr>
          <w:p w14:paraId="3980B406">
            <w:pPr>
              <w:jc w:val="left"/>
              <w:rPr>
                <w:highlight w:val="none"/>
              </w:rPr>
            </w:pPr>
            <w:r>
              <w:rPr>
                <w:highlight w:val="none"/>
              </w:rPr>
              <w:t>设备荷重</w:t>
            </w:r>
          </w:p>
        </w:tc>
        <w:tc>
          <w:tcPr>
            <w:tcW w:w="3425" w:type="pct"/>
            <w:tcBorders>
              <w:tl2br w:val="nil"/>
              <w:tr2bl w:val="nil"/>
            </w:tcBorders>
            <w:vAlign w:val="center"/>
          </w:tcPr>
          <w:p w14:paraId="19872D9D">
            <w:pPr>
              <w:jc w:val="left"/>
              <w:rPr>
                <w:highlight w:val="none"/>
              </w:rPr>
            </w:pPr>
            <w:r>
              <w:rPr>
                <w:rFonts w:hint="eastAsia"/>
                <w:highlight w:val="none"/>
                <w:u w:val="single"/>
              </w:rPr>
              <w:t xml:space="preserve">  </w:t>
            </w:r>
            <w:r>
              <w:rPr>
                <w:highlight w:val="none"/>
              </w:rPr>
              <w:t>kg</w:t>
            </w:r>
          </w:p>
        </w:tc>
      </w:tr>
      <w:tr w14:paraId="1FB9D7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641" w:type="pct"/>
            <w:vMerge w:val="restart"/>
            <w:tcBorders>
              <w:tl2br w:val="nil"/>
              <w:tr2bl w:val="nil"/>
            </w:tcBorders>
            <w:vAlign w:val="center"/>
          </w:tcPr>
          <w:p w14:paraId="427777CE">
            <w:pPr>
              <w:jc w:val="left"/>
              <w:rPr>
                <w:highlight w:val="none"/>
              </w:rPr>
            </w:pPr>
            <w:r>
              <w:rPr>
                <w:rFonts w:hint="eastAsia"/>
                <w:highlight w:val="none"/>
              </w:rPr>
              <w:t>材质</w:t>
            </w:r>
          </w:p>
        </w:tc>
        <w:tc>
          <w:tcPr>
            <w:tcW w:w="933" w:type="pct"/>
            <w:tcBorders>
              <w:tl2br w:val="nil"/>
              <w:tr2bl w:val="nil"/>
            </w:tcBorders>
            <w:vAlign w:val="center"/>
          </w:tcPr>
          <w:p w14:paraId="7C3BF1B9">
            <w:pPr>
              <w:jc w:val="left"/>
              <w:rPr>
                <w:highlight w:val="none"/>
              </w:rPr>
            </w:pPr>
            <w:r>
              <w:rPr>
                <w:highlight w:val="none"/>
              </w:rPr>
              <w:t>壳体</w:t>
            </w:r>
          </w:p>
        </w:tc>
        <w:tc>
          <w:tcPr>
            <w:tcW w:w="3425" w:type="pct"/>
            <w:tcBorders>
              <w:tl2br w:val="nil"/>
              <w:tr2bl w:val="nil"/>
            </w:tcBorders>
            <w:vAlign w:val="center"/>
          </w:tcPr>
          <w:p w14:paraId="22B548E2">
            <w:pPr>
              <w:ind w:firstLine="480" w:firstLineChars="200"/>
              <w:jc w:val="left"/>
              <w:rPr>
                <w:highlight w:val="none"/>
              </w:rPr>
            </w:pPr>
          </w:p>
        </w:tc>
      </w:tr>
      <w:tr w14:paraId="786FE0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641" w:type="pct"/>
            <w:vMerge w:val="continue"/>
            <w:tcBorders>
              <w:tl2br w:val="nil"/>
              <w:tr2bl w:val="nil"/>
            </w:tcBorders>
            <w:vAlign w:val="center"/>
          </w:tcPr>
          <w:p w14:paraId="378F00B5">
            <w:pPr>
              <w:jc w:val="left"/>
              <w:rPr>
                <w:highlight w:val="none"/>
              </w:rPr>
            </w:pPr>
          </w:p>
        </w:tc>
        <w:tc>
          <w:tcPr>
            <w:tcW w:w="933" w:type="pct"/>
            <w:tcBorders>
              <w:tl2br w:val="nil"/>
              <w:tr2bl w:val="nil"/>
            </w:tcBorders>
            <w:vAlign w:val="center"/>
          </w:tcPr>
          <w:p w14:paraId="041AFA59">
            <w:pPr>
              <w:jc w:val="left"/>
              <w:rPr>
                <w:highlight w:val="none"/>
              </w:rPr>
            </w:pPr>
            <w:r>
              <w:rPr>
                <w:rFonts w:hint="eastAsia"/>
                <w:highlight w:val="none"/>
              </w:rPr>
              <w:t>滤网</w:t>
            </w:r>
          </w:p>
        </w:tc>
        <w:tc>
          <w:tcPr>
            <w:tcW w:w="3425" w:type="pct"/>
            <w:tcBorders>
              <w:tl2br w:val="nil"/>
              <w:tr2bl w:val="nil"/>
            </w:tcBorders>
            <w:vAlign w:val="center"/>
          </w:tcPr>
          <w:p w14:paraId="1A02CC9A">
            <w:pPr>
              <w:ind w:firstLine="480" w:firstLineChars="200"/>
              <w:jc w:val="left"/>
              <w:rPr>
                <w:highlight w:val="none"/>
              </w:rPr>
            </w:pPr>
          </w:p>
        </w:tc>
      </w:tr>
      <w:tr w14:paraId="0AF503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574" w:type="pct"/>
            <w:gridSpan w:val="2"/>
            <w:tcBorders>
              <w:tl2br w:val="nil"/>
              <w:tr2bl w:val="nil"/>
            </w:tcBorders>
            <w:vAlign w:val="center"/>
          </w:tcPr>
          <w:p w14:paraId="76F5FD98">
            <w:pPr>
              <w:jc w:val="left"/>
              <w:rPr>
                <w:highlight w:val="none"/>
              </w:rPr>
            </w:pPr>
            <w:r>
              <w:rPr>
                <w:highlight w:val="none"/>
              </w:rPr>
              <w:t>过滤精度</w:t>
            </w:r>
          </w:p>
        </w:tc>
        <w:tc>
          <w:tcPr>
            <w:tcW w:w="3425" w:type="pct"/>
            <w:tcBorders>
              <w:tl2br w:val="nil"/>
              <w:tr2bl w:val="nil"/>
            </w:tcBorders>
            <w:vAlign w:val="center"/>
          </w:tcPr>
          <w:p w14:paraId="560EA5A1">
            <w:pPr>
              <w:jc w:val="left"/>
              <w:rPr>
                <w:rFonts w:hint="eastAsia" w:eastAsia="宋体"/>
                <w:highlight w:val="none"/>
                <w:lang w:eastAsia="zh-CN"/>
              </w:rPr>
            </w:pPr>
            <w:r>
              <w:rPr>
                <w:rFonts w:hint="eastAsia"/>
                <w:highlight w:val="none"/>
              </w:rPr>
              <w:t>100</w:t>
            </w:r>
            <w:r>
              <w:rPr>
                <w:highlight w:val="none"/>
              </w:rPr>
              <w:sym w:font="Symbol" w:char="F06D"/>
            </w:r>
            <w:r>
              <w:rPr>
                <w:highlight w:val="none"/>
              </w:rPr>
              <w:t>m</w:t>
            </w:r>
          </w:p>
        </w:tc>
      </w:tr>
      <w:tr w14:paraId="77A0F6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574" w:type="pct"/>
            <w:gridSpan w:val="2"/>
            <w:tcBorders>
              <w:tl2br w:val="nil"/>
              <w:tr2bl w:val="nil"/>
            </w:tcBorders>
            <w:vAlign w:val="center"/>
          </w:tcPr>
          <w:p w14:paraId="74981D48">
            <w:pPr>
              <w:jc w:val="left"/>
              <w:rPr>
                <w:highlight w:val="none"/>
              </w:rPr>
            </w:pPr>
            <w:r>
              <w:rPr>
                <w:rFonts w:hint="eastAsia"/>
                <w:highlight w:val="none"/>
              </w:rPr>
              <w:t>滤头数量</w:t>
            </w:r>
          </w:p>
        </w:tc>
        <w:tc>
          <w:tcPr>
            <w:tcW w:w="3425" w:type="pct"/>
            <w:tcBorders>
              <w:tl2br w:val="nil"/>
              <w:tr2bl w:val="nil"/>
            </w:tcBorders>
            <w:vAlign w:val="center"/>
          </w:tcPr>
          <w:p w14:paraId="0AA85A68">
            <w:pPr>
              <w:jc w:val="left"/>
              <w:rPr>
                <w:highlight w:val="none"/>
              </w:rPr>
            </w:pPr>
          </w:p>
        </w:tc>
      </w:tr>
      <w:tr w14:paraId="3925C5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574" w:type="pct"/>
            <w:gridSpan w:val="2"/>
            <w:tcBorders>
              <w:tl2br w:val="nil"/>
              <w:tr2bl w:val="nil"/>
            </w:tcBorders>
            <w:vAlign w:val="center"/>
          </w:tcPr>
          <w:p w14:paraId="750AADB3">
            <w:pPr>
              <w:jc w:val="left"/>
              <w:rPr>
                <w:highlight w:val="none"/>
              </w:rPr>
            </w:pPr>
            <w:r>
              <w:rPr>
                <w:highlight w:val="none"/>
              </w:rPr>
              <w:t>反洗流量</w:t>
            </w:r>
          </w:p>
        </w:tc>
        <w:tc>
          <w:tcPr>
            <w:tcW w:w="3425" w:type="pct"/>
            <w:tcBorders>
              <w:tl2br w:val="nil"/>
              <w:tr2bl w:val="nil"/>
            </w:tcBorders>
            <w:vAlign w:val="center"/>
          </w:tcPr>
          <w:p w14:paraId="35B69959">
            <w:pPr>
              <w:jc w:val="left"/>
              <w:rPr>
                <w:highlight w:val="none"/>
              </w:rPr>
            </w:pPr>
          </w:p>
        </w:tc>
      </w:tr>
      <w:tr w14:paraId="239AF7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574" w:type="pct"/>
            <w:gridSpan w:val="2"/>
            <w:tcBorders>
              <w:tl2br w:val="nil"/>
              <w:tr2bl w:val="nil"/>
            </w:tcBorders>
            <w:vAlign w:val="center"/>
          </w:tcPr>
          <w:p w14:paraId="7920F99E">
            <w:pPr>
              <w:jc w:val="left"/>
              <w:rPr>
                <w:highlight w:val="none"/>
              </w:rPr>
            </w:pPr>
            <w:r>
              <w:rPr>
                <w:highlight w:val="none"/>
              </w:rPr>
              <w:t>反洗压差</w:t>
            </w:r>
          </w:p>
        </w:tc>
        <w:tc>
          <w:tcPr>
            <w:tcW w:w="3425" w:type="pct"/>
            <w:tcBorders>
              <w:tl2br w:val="nil"/>
              <w:tr2bl w:val="nil"/>
            </w:tcBorders>
            <w:vAlign w:val="center"/>
          </w:tcPr>
          <w:p w14:paraId="0115278D">
            <w:pPr>
              <w:jc w:val="left"/>
              <w:rPr>
                <w:highlight w:val="none"/>
              </w:rPr>
            </w:pPr>
          </w:p>
        </w:tc>
      </w:tr>
      <w:tr w14:paraId="4E3E97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7" w:hRule="exact"/>
        </w:trPr>
        <w:tc>
          <w:tcPr>
            <w:tcW w:w="1574" w:type="pct"/>
            <w:gridSpan w:val="2"/>
            <w:tcBorders>
              <w:tl2br w:val="nil"/>
              <w:tr2bl w:val="nil"/>
            </w:tcBorders>
            <w:vAlign w:val="center"/>
          </w:tcPr>
          <w:p w14:paraId="0B089672">
            <w:pPr>
              <w:jc w:val="left"/>
              <w:rPr>
                <w:highlight w:val="none"/>
              </w:rPr>
            </w:pPr>
            <w:r>
              <w:rPr>
                <w:highlight w:val="none"/>
              </w:rPr>
              <w:t>制造商及产地</w:t>
            </w:r>
          </w:p>
        </w:tc>
        <w:tc>
          <w:tcPr>
            <w:tcW w:w="3425" w:type="pct"/>
            <w:tcBorders>
              <w:tl2br w:val="nil"/>
              <w:tr2bl w:val="nil"/>
            </w:tcBorders>
            <w:vAlign w:val="center"/>
          </w:tcPr>
          <w:p w14:paraId="63805B61">
            <w:pPr>
              <w:jc w:val="left"/>
              <w:rPr>
                <w:highlight w:val="none"/>
              </w:rPr>
            </w:pPr>
            <w:r>
              <w:rPr>
                <w:rFonts w:hint="eastAsia"/>
                <w:highlight w:val="none"/>
              </w:rPr>
              <w:t>AZUD、ARKAL、HYDRAX或“相当于</w:t>
            </w:r>
          </w:p>
        </w:tc>
      </w:tr>
    </w:tbl>
    <w:p w14:paraId="5238AAF3">
      <w:pPr>
        <w:autoSpaceDE w:val="0"/>
        <w:autoSpaceDN w:val="0"/>
        <w:spacing w:line="360" w:lineRule="auto"/>
        <w:jc w:val="left"/>
        <w:textAlignment w:val="bottom"/>
        <w:outlineLvl w:val="2"/>
        <w:rPr>
          <w:b/>
          <w:highlight w:val="none"/>
        </w:rPr>
      </w:pPr>
      <w:r>
        <w:rPr>
          <w:b/>
          <w:highlight w:val="none"/>
        </w:rPr>
        <w:t>8.</w:t>
      </w:r>
      <w:r>
        <w:rPr>
          <w:rFonts w:hint="eastAsia"/>
          <w:b/>
          <w:highlight w:val="none"/>
        </w:rPr>
        <w:t>5 卧式高压水泵</w:t>
      </w:r>
    </w:p>
    <w:p w14:paraId="6302FD93">
      <w:pPr>
        <w:spacing w:line="360" w:lineRule="auto"/>
        <w:jc w:val="left"/>
        <w:rPr>
          <w:highlight w:val="none"/>
        </w:rPr>
      </w:pPr>
    </w:p>
    <w:tbl>
      <w:tblPr>
        <w:tblStyle w:val="58"/>
        <w:tblW w:w="8845" w:type="dxa"/>
        <w:tblInd w:w="12"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1034"/>
        <w:gridCol w:w="1658"/>
        <w:gridCol w:w="6153"/>
      </w:tblGrid>
      <w:tr w14:paraId="1CC213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62" w:hRule="atLeast"/>
          <w:tblHeader/>
        </w:trPr>
        <w:tc>
          <w:tcPr>
            <w:tcW w:w="2692" w:type="dxa"/>
            <w:gridSpan w:val="2"/>
            <w:tcBorders>
              <w:tl2br w:val="nil"/>
              <w:tr2bl w:val="nil"/>
            </w:tcBorders>
            <w:vAlign w:val="center"/>
          </w:tcPr>
          <w:p w14:paraId="04C6CD51">
            <w:pPr>
              <w:tabs>
                <w:tab w:val="left" w:pos="988"/>
              </w:tabs>
              <w:jc w:val="center"/>
              <w:rPr>
                <w:b/>
                <w:bCs/>
                <w:highlight w:val="none"/>
              </w:rPr>
            </w:pPr>
            <w:r>
              <w:rPr>
                <w:rFonts w:hint="eastAsia"/>
                <w:b/>
                <w:bCs/>
                <w:highlight w:val="none"/>
              </w:rPr>
              <w:t>项目</w:t>
            </w:r>
          </w:p>
        </w:tc>
        <w:tc>
          <w:tcPr>
            <w:tcW w:w="6153" w:type="dxa"/>
            <w:tcBorders>
              <w:tl2br w:val="nil"/>
              <w:tr2bl w:val="nil"/>
            </w:tcBorders>
            <w:vAlign w:val="center"/>
          </w:tcPr>
          <w:p w14:paraId="59BF58E4">
            <w:pPr>
              <w:jc w:val="center"/>
              <w:rPr>
                <w:b/>
                <w:bCs/>
                <w:highlight w:val="none"/>
              </w:rPr>
            </w:pPr>
            <w:r>
              <w:rPr>
                <w:rFonts w:hint="eastAsia"/>
                <w:b/>
                <w:bCs/>
                <w:highlight w:val="none"/>
              </w:rPr>
              <w:t>参数</w:t>
            </w:r>
          </w:p>
        </w:tc>
      </w:tr>
      <w:tr w14:paraId="126F6F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65" w:hRule="atLeast"/>
        </w:trPr>
        <w:tc>
          <w:tcPr>
            <w:tcW w:w="2692" w:type="dxa"/>
            <w:gridSpan w:val="2"/>
            <w:tcBorders>
              <w:tl2br w:val="nil"/>
              <w:tr2bl w:val="nil"/>
            </w:tcBorders>
            <w:shd w:val="clear" w:color="auto" w:fill="auto"/>
            <w:vAlign w:val="center"/>
          </w:tcPr>
          <w:p w14:paraId="5C627720">
            <w:pPr>
              <w:ind w:left="240" w:leftChars="100"/>
              <w:jc w:val="left"/>
              <w:rPr>
                <w:highlight w:val="none"/>
              </w:rPr>
            </w:pPr>
            <w:r>
              <w:rPr>
                <w:rFonts w:hint="eastAsia"/>
                <w:highlight w:val="none"/>
              </w:rPr>
              <w:t>型号</w:t>
            </w:r>
          </w:p>
        </w:tc>
        <w:tc>
          <w:tcPr>
            <w:tcW w:w="6153" w:type="dxa"/>
            <w:tcBorders>
              <w:tl2br w:val="nil"/>
              <w:tr2bl w:val="nil"/>
            </w:tcBorders>
            <w:vAlign w:val="center"/>
          </w:tcPr>
          <w:p w14:paraId="4880DB72">
            <w:pPr>
              <w:ind w:left="240" w:leftChars="100"/>
              <w:jc w:val="left"/>
              <w:rPr>
                <w:highlight w:val="none"/>
              </w:rPr>
            </w:pPr>
          </w:p>
        </w:tc>
      </w:tr>
      <w:tr w14:paraId="622313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64" w:hRule="atLeast"/>
        </w:trPr>
        <w:tc>
          <w:tcPr>
            <w:tcW w:w="2692" w:type="dxa"/>
            <w:gridSpan w:val="2"/>
            <w:tcBorders>
              <w:tl2br w:val="nil"/>
              <w:tr2bl w:val="nil"/>
            </w:tcBorders>
            <w:shd w:val="clear" w:color="auto" w:fill="auto"/>
            <w:vAlign w:val="center"/>
          </w:tcPr>
          <w:p w14:paraId="5817EEA2">
            <w:pPr>
              <w:ind w:left="240" w:leftChars="100"/>
              <w:jc w:val="left"/>
              <w:rPr>
                <w:highlight w:val="none"/>
              </w:rPr>
            </w:pPr>
            <w:r>
              <w:rPr>
                <w:rFonts w:hint="eastAsia"/>
                <w:highlight w:val="none"/>
              </w:rPr>
              <w:t>数量（台）</w:t>
            </w:r>
          </w:p>
        </w:tc>
        <w:tc>
          <w:tcPr>
            <w:tcW w:w="6153" w:type="dxa"/>
            <w:tcBorders>
              <w:tl2br w:val="nil"/>
              <w:tr2bl w:val="nil"/>
            </w:tcBorders>
            <w:vAlign w:val="center"/>
          </w:tcPr>
          <w:p w14:paraId="292A9857">
            <w:pPr>
              <w:ind w:left="240" w:leftChars="100"/>
              <w:jc w:val="left"/>
              <w:rPr>
                <w:highlight w:val="none"/>
              </w:rPr>
            </w:pPr>
            <w:r>
              <w:rPr>
                <w:rFonts w:hint="eastAsia"/>
                <w:highlight w:val="none"/>
              </w:rPr>
              <w:t>1</w:t>
            </w:r>
          </w:p>
        </w:tc>
      </w:tr>
      <w:tr w14:paraId="372D0E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64" w:hRule="atLeast"/>
        </w:trPr>
        <w:tc>
          <w:tcPr>
            <w:tcW w:w="2692" w:type="dxa"/>
            <w:gridSpan w:val="2"/>
            <w:tcBorders>
              <w:tl2br w:val="nil"/>
              <w:tr2bl w:val="nil"/>
            </w:tcBorders>
            <w:shd w:val="clear" w:color="auto" w:fill="auto"/>
            <w:vAlign w:val="center"/>
          </w:tcPr>
          <w:p w14:paraId="76A1A470">
            <w:pPr>
              <w:ind w:left="240" w:leftChars="100"/>
              <w:jc w:val="left"/>
              <w:rPr>
                <w:highlight w:val="none"/>
              </w:rPr>
            </w:pPr>
            <w:r>
              <w:rPr>
                <w:rFonts w:hint="eastAsia"/>
                <w:highlight w:val="none"/>
              </w:rPr>
              <w:t>扬程（mH2O）</w:t>
            </w:r>
          </w:p>
        </w:tc>
        <w:tc>
          <w:tcPr>
            <w:tcW w:w="6153" w:type="dxa"/>
            <w:tcBorders>
              <w:tl2br w:val="nil"/>
              <w:tr2bl w:val="nil"/>
            </w:tcBorders>
            <w:vAlign w:val="center"/>
          </w:tcPr>
          <w:p w14:paraId="322E5985">
            <w:pPr>
              <w:ind w:left="240" w:leftChars="100"/>
              <w:jc w:val="left"/>
              <w:rPr>
                <w:highlight w:val="none"/>
              </w:rPr>
            </w:pPr>
            <w:r>
              <w:rPr>
                <w:rFonts w:hint="eastAsia"/>
                <w:highlight w:val="none"/>
              </w:rPr>
              <w:t>≥150</w:t>
            </w:r>
          </w:p>
        </w:tc>
      </w:tr>
      <w:tr w14:paraId="0A60A5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64" w:hRule="atLeast"/>
        </w:trPr>
        <w:tc>
          <w:tcPr>
            <w:tcW w:w="2692" w:type="dxa"/>
            <w:gridSpan w:val="2"/>
            <w:tcBorders>
              <w:tl2br w:val="nil"/>
              <w:tr2bl w:val="nil"/>
            </w:tcBorders>
            <w:shd w:val="clear" w:color="auto" w:fill="auto"/>
            <w:vAlign w:val="center"/>
          </w:tcPr>
          <w:p w14:paraId="5690F28D">
            <w:pPr>
              <w:ind w:left="240" w:leftChars="100"/>
              <w:jc w:val="left"/>
              <w:rPr>
                <w:highlight w:val="none"/>
              </w:rPr>
            </w:pPr>
            <w:r>
              <w:rPr>
                <w:rFonts w:hint="eastAsia"/>
                <w:highlight w:val="none"/>
              </w:rPr>
              <w:t>最佳工况时扬程（mH2O）</w:t>
            </w:r>
          </w:p>
        </w:tc>
        <w:tc>
          <w:tcPr>
            <w:tcW w:w="6153" w:type="dxa"/>
            <w:tcBorders>
              <w:tl2br w:val="nil"/>
              <w:tr2bl w:val="nil"/>
            </w:tcBorders>
            <w:vAlign w:val="center"/>
          </w:tcPr>
          <w:p w14:paraId="11B5E6B7">
            <w:pPr>
              <w:ind w:left="240" w:leftChars="100"/>
              <w:jc w:val="left"/>
              <w:rPr>
                <w:highlight w:val="none"/>
              </w:rPr>
            </w:pPr>
          </w:p>
        </w:tc>
      </w:tr>
      <w:tr w14:paraId="00D042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64" w:hRule="atLeast"/>
        </w:trPr>
        <w:tc>
          <w:tcPr>
            <w:tcW w:w="2692" w:type="dxa"/>
            <w:gridSpan w:val="2"/>
            <w:tcBorders>
              <w:tl2br w:val="nil"/>
              <w:tr2bl w:val="nil"/>
            </w:tcBorders>
            <w:shd w:val="clear" w:color="auto" w:fill="auto"/>
            <w:vAlign w:val="center"/>
          </w:tcPr>
          <w:p w14:paraId="38BF5008">
            <w:pPr>
              <w:ind w:left="240" w:leftChars="100"/>
              <w:jc w:val="left"/>
              <w:rPr>
                <w:highlight w:val="none"/>
              </w:rPr>
            </w:pPr>
            <w:r>
              <w:rPr>
                <w:rFonts w:hint="eastAsia"/>
                <w:highlight w:val="none"/>
              </w:rPr>
              <w:t>额定流量（m³/h）</w:t>
            </w:r>
          </w:p>
        </w:tc>
        <w:tc>
          <w:tcPr>
            <w:tcW w:w="6153" w:type="dxa"/>
            <w:tcBorders>
              <w:tl2br w:val="nil"/>
              <w:tr2bl w:val="nil"/>
            </w:tcBorders>
            <w:vAlign w:val="center"/>
          </w:tcPr>
          <w:p w14:paraId="1E6E1960">
            <w:pPr>
              <w:ind w:left="240" w:leftChars="100"/>
              <w:jc w:val="left"/>
              <w:rPr>
                <w:highlight w:val="none"/>
              </w:rPr>
            </w:pPr>
            <w:r>
              <w:rPr>
                <w:rFonts w:hint="eastAsia"/>
                <w:highlight w:val="none"/>
              </w:rPr>
              <w:t>≥162</w:t>
            </w:r>
          </w:p>
        </w:tc>
      </w:tr>
      <w:tr w14:paraId="7AE4CF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64" w:hRule="atLeast"/>
        </w:trPr>
        <w:tc>
          <w:tcPr>
            <w:tcW w:w="2692" w:type="dxa"/>
            <w:gridSpan w:val="2"/>
            <w:tcBorders>
              <w:tl2br w:val="nil"/>
              <w:tr2bl w:val="nil"/>
            </w:tcBorders>
            <w:shd w:val="clear" w:color="auto" w:fill="auto"/>
            <w:vAlign w:val="center"/>
          </w:tcPr>
          <w:p w14:paraId="50A284C2">
            <w:pPr>
              <w:ind w:left="240" w:leftChars="100"/>
              <w:jc w:val="left"/>
              <w:rPr>
                <w:highlight w:val="none"/>
              </w:rPr>
            </w:pPr>
            <w:r>
              <w:rPr>
                <w:rFonts w:hint="eastAsia"/>
                <w:highlight w:val="none"/>
              </w:rPr>
              <w:t>效率（%）</w:t>
            </w:r>
          </w:p>
        </w:tc>
        <w:tc>
          <w:tcPr>
            <w:tcW w:w="6153" w:type="dxa"/>
            <w:tcBorders>
              <w:tl2br w:val="nil"/>
              <w:tr2bl w:val="nil"/>
            </w:tcBorders>
            <w:vAlign w:val="center"/>
          </w:tcPr>
          <w:p w14:paraId="05CBEA36">
            <w:pPr>
              <w:ind w:left="240" w:leftChars="100"/>
              <w:jc w:val="left"/>
              <w:rPr>
                <w:highlight w:val="none"/>
              </w:rPr>
            </w:pPr>
          </w:p>
        </w:tc>
      </w:tr>
      <w:tr w14:paraId="1137C3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64" w:hRule="atLeast"/>
        </w:trPr>
        <w:tc>
          <w:tcPr>
            <w:tcW w:w="2692" w:type="dxa"/>
            <w:gridSpan w:val="2"/>
            <w:tcBorders>
              <w:tl2br w:val="nil"/>
              <w:tr2bl w:val="nil"/>
            </w:tcBorders>
            <w:shd w:val="clear" w:color="auto" w:fill="auto"/>
            <w:vAlign w:val="center"/>
          </w:tcPr>
          <w:p w14:paraId="36F8DF41">
            <w:pPr>
              <w:ind w:left="240" w:leftChars="100"/>
              <w:jc w:val="left"/>
              <w:rPr>
                <w:highlight w:val="none"/>
              </w:rPr>
            </w:pPr>
            <w:r>
              <w:rPr>
                <w:rFonts w:hint="eastAsia"/>
                <w:highlight w:val="none"/>
              </w:rPr>
              <w:t>介质温度(℃)</w:t>
            </w:r>
          </w:p>
        </w:tc>
        <w:tc>
          <w:tcPr>
            <w:tcW w:w="6153" w:type="dxa"/>
            <w:tcBorders>
              <w:tl2br w:val="nil"/>
              <w:tr2bl w:val="nil"/>
            </w:tcBorders>
            <w:vAlign w:val="center"/>
          </w:tcPr>
          <w:p w14:paraId="0499895F">
            <w:pPr>
              <w:ind w:left="240" w:leftChars="100"/>
              <w:jc w:val="left"/>
              <w:rPr>
                <w:rFonts w:hint="default" w:eastAsia="宋体"/>
                <w:highlight w:val="none"/>
                <w:lang w:val="en-US" w:eastAsia="zh-CN"/>
              </w:rPr>
            </w:pPr>
            <w:r>
              <w:rPr>
                <w:rFonts w:hint="eastAsia"/>
                <w:highlight w:val="none"/>
                <w:lang w:val="en-US" w:eastAsia="zh-CN"/>
              </w:rPr>
              <w:t>15</w:t>
            </w:r>
          </w:p>
        </w:tc>
      </w:tr>
      <w:tr w14:paraId="302043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64" w:hRule="atLeast"/>
        </w:trPr>
        <w:tc>
          <w:tcPr>
            <w:tcW w:w="2692" w:type="dxa"/>
            <w:gridSpan w:val="2"/>
            <w:tcBorders>
              <w:tl2br w:val="nil"/>
              <w:tr2bl w:val="nil"/>
            </w:tcBorders>
            <w:shd w:val="clear" w:color="auto" w:fill="auto"/>
            <w:vAlign w:val="center"/>
          </w:tcPr>
          <w:p w14:paraId="234C26E2">
            <w:pPr>
              <w:ind w:left="240" w:leftChars="100"/>
              <w:jc w:val="left"/>
              <w:rPr>
                <w:highlight w:val="none"/>
              </w:rPr>
            </w:pPr>
            <w:r>
              <w:rPr>
                <w:rFonts w:hint="eastAsia"/>
                <w:highlight w:val="none"/>
              </w:rPr>
              <w:t>进口/出口管径 DN</w:t>
            </w:r>
          </w:p>
        </w:tc>
        <w:tc>
          <w:tcPr>
            <w:tcW w:w="6153" w:type="dxa"/>
            <w:tcBorders>
              <w:tl2br w:val="nil"/>
              <w:tr2bl w:val="nil"/>
            </w:tcBorders>
            <w:vAlign w:val="center"/>
          </w:tcPr>
          <w:p w14:paraId="3B7C71A3">
            <w:pPr>
              <w:ind w:left="240" w:leftChars="100"/>
              <w:jc w:val="left"/>
              <w:rPr>
                <w:highlight w:val="none"/>
              </w:rPr>
            </w:pPr>
          </w:p>
        </w:tc>
      </w:tr>
      <w:tr w14:paraId="153DA2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64" w:hRule="atLeast"/>
        </w:trPr>
        <w:tc>
          <w:tcPr>
            <w:tcW w:w="2692" w:type="dxa"/>
            <w:gridSpan w:val="2"/>
            <w:tcBorders>
              <w:tl2br w:val="nil"/>
              <w:tr2bl w:val="nil"/>
            </w:tcBorders>
            <w:shd w:val="clear" w:color="auto" w:fill="auto"/>
            <w:vAlign w:val="center"/>
          </w:tcPr>
          <w:p w14:paraId="60C18BBA">
            <w:pPr>
              <w:ind w:left="240" w:leftChars="100"/>
              <w:jc w:val="left"/>
              <w:rPr>
                <w:highlight w:val="none"/>
              </w:rPr>
            </w:pPr>
            <w:r>
              <w:rPr>
                <w:rFonts w:hint="eastAsia"/>
                <w:highlight w:val="none"/>
              </w:rPr>
              <w:t>NPSHr（m）</w:t>
            </w:r>
          </w:p>
        </w:tc>
        <w:tc>
          <w:tcPr>
            <w:tcW w:w="6153" w:type="dxa"/>
            <w:tcBorders>
              <w:tl2br w:val="nil"/>
              <w:tr2bl w:val="nil"/>
            </w:tcBorders>
            <w:vAlign w:val="center"/>
          </w:tcPr>
          <w:p w14:paraId="7C1A3A5B">
            <w:pPr>
              <w:ind w:left="240" w:leftChars="100"/>
              <w:jc w:val="left"/>
              <w:rPr>
                <w:highlight w:val="none"/>
              </w:rPr>
            </w:pPr>
          </w:p>
        </w:tc>
      </w:tr>
      <w:tr w14:paraId="44647B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64" w:hRule="atLeast"/>
        </w:trPr>
        <w:tc>
          <w:tcPr>
            <w:tcW w:w="2692" w:type="dxa"/>
            <w:gridSpan w:val="2"/>
            <w:tcBorders>
              <w:tl2br w:val="nil"/>
              <w:tr2bl w:val="nil"/>
            </w:tcBorders>
            <w:shd w:val="clear" w:color="auto" w:fill="auto"/>
            <w:vAlign w:val="center"/>
          </w:tcPr>
          <w:p w14:paraId="788E1D78">
            <w:pPr>
              <w:ind w:left="240" w:leftChars="100"/>
              <w:jc w:val="left"/>
              <w:rPr>
                <w:highlight w:val="none"/>
              </w:rPr>
            </w:pPr>
            <w:r>
              <w:rPr>
                <w:rFonts w:hint="eastAsia"/>
                <w:highlight w:val="none"/>
              </w:rPr>
              <w:t>传动方式</w:t>
            </w:r>
          </w:p>
        </w:tc>
        <w:tc>
          <w:tcPr>
            <w:tcW w:w="6153" w:type="dxa"/>
            <w:tcBorders>
              <w:tl2br w:val="nil"/>
              <w:tr2bl w:val="nil"/>
            </w:tcBorders>
            <w:vAlign w:val="center"/>
          </w:tcPr>
          <w:p w14:paraId="7F0D82EB">
            <w:pPr>
              <w:ind w:left="240" w:leftChars="100"/>
              <w:jc w:val="left"/>
              <w:rPr>
                <w:highlight w:val="none"/>
              </w:rPr>
            </w:pPr>
            <w:r>
              <w:rPr>
                <w:rFonts w:hint="eastAsia"/>
                <w:highlight w:val="none"/>
              </w:rPr>
              <w:t>电机驱动</w:t>
            </w:r>
          </w:p>
        </w:tc>
      </w:tr>
      <w:tr w14:paraId="3975CF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64" w:hRule="atLeast"/>
        </w:trPr>
        <w:tc>
          <w:tcPr>
            <w:tcW w:w="2692" w:type="dxa"/>
            <w:gridSpan w:val="2"/>
            <w:tcBorders>
              <w:tl2br w:val="nil"/>
              <w:tr2bl w:val="nil"/>
            </w:tcBorders>
            <w:shd w:val="clear" w:color="auto" w:fill="auto"/>
            <w:vAlign w:val="center"/>
          </w:tcPr>
          <w:p w14:paraId="5DD5D598">
            <w:pPr>
              <w:ind w:left="240" w:leftChars="100"/>
              <w:jc w:val="left"/>
              <w:rPr>
                <w:highlight w:val="none"/>
              </w:rPr>
            </w:pPr>
            <w:r>
              <w:rPr>
                <w:rFonts w:hint="eastAsia"/>
                <w:highlight w:val="none"/>
              </w:rPr>
              <w:t>转速（rpm）</w:t>
            </w:r>
          </w:p>
        </w:tc>
        <w:tc>
          <w:tcPr>
            <w:tcW w:w="6153" w:type="dxa"/>
            <w:tcBorders>
              <w:tl2br w:val="nil"/>
              <w:tr2bl w:val="nil"/>
            </w:tcBorders>
            <w:vAlign w:val="center"/>
          </w:tcPr>
          <w:p w14:paraId="6F70122A">
            <w:pPr>
              <w:ind w:left="240" w:leftChars="100"/>
              <w:jc w:val="left"/>
              <w:rPr>
                <w:highlight w:val="none"/>
              </w:rPr>
            </w:pPr>
          </w:p>
        </w:tc>
      </w:tr>
      <w:tr w14:paraId="5C5550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64" w:hRule="atLeast"/>
        </w:trPr>
        <w:tc>
          <w:tcPr>
            <w:tcW w:w="2692" w:type="dxa"/>
            <w:gridSpan w:val="2"/>
            <w:tcBorders>
              <w:tl2br w:val="nil"/>
              <w:tr2bl w:val="nil"/>
            </w:tcBorders>
            <w:shd w:val="clear" w:color="auto" w:fill="auto"/>
            <w:vAlign w:val="center"/>
          </w:tcPr>
          <w:p w14:paraId="779F2C37">
            <w:pPr>
              <w:ind w:left="240" w:leftChars="100"/>
              <w:jc w:val="left"/>
              <w:rPr>
                <w:highlight w:val="none"/>
              </w:rPr>
            </w:pPr>
            <w:r>
              <w:rPr>
                <w:rFonts w:hint="eastAsia"/>
                <w:highlight w:val="none"/>
              </w:rPr>
              <w:t>轴功率（kW）</w:t>
            </w:r>
          </w:p>
        </w:tc>
        <w:tc>
          <w:tcPr>
            <w:tcW w:w="6153" w:type="dxa"/>
            <w:tcBorders>
              <w:tl2br w:val="nil"/>
              <w:tr2bl w:val="nil"/>
            </w:tcBorders>
            <w:vAlign w:val="center"/>
          </w:tcPr>
          <w:p w14:paraId="3070395C">
            <w:pPr>
              <w:ind w:left="240" w:leftChars="100"/>
              <w:jc w:val="left"/>
              <w:rPr>
                <w:highlight w:val="none"/>
              </w:rPr>
            </w:pPr>
          </w:p>
        </w:tc>
      </w:tr>
      <w:tr w14:paraId="7E8976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64" w:hRule="atLeast"/>
        </w:trPr>
        <w:tc>
          <w:tcPr>
            <w:tcW w:w="1034" w:type="dxa"/>
            <w:vMerge w:val="restart"/>
            <w:tcBorders>
              <w:tl2br w:val="nil"/>
              <w:tr2bl w:val="nil"/>
            </w:tcBorders>
            <w:shd w:val="clear" w:color="auto" w:fill="auto"/>
            <w:vAlign w:val="center"/>
          </w:tcPr>
          <w:p w14:paraId="4FF161FA">
            <w:pPr>
              <w:ind w:left="240" w:leftChars="100"/>
              <w:jc w:val="left"/>
              <w:rPr>
                <w:highlight w:val="none"/>
              </w:rPr>
            </w:pPr>
            <w:r>
              <w:rPr>
                <w:rFonts w:hint="eastAsia"/>
                <w:highlight w:val="none"/>
              </w:rPr>
              <w:t>材质</w:t>
            </w:r>
          </w:p>
        </w:tc>
        <w:tc>
          <w:tcPr>
            <w:tcW w:w="1658" w:type="dxa"/>
            <w:tcBorders>
              <w:tl2br w:val="nil"/>
              <w:tr2bl w:val="nil"/>
            </w:tcBorders>
            <w:shd w:val="clear" w:color="auto" w:fill="auto"/>
            <w:vAlign w:val="center"/>
          </w:tcPr>
          <w:p w14:paraId="7A48A449">
            <w:pPr>
              <w:ind w:left="240" w:leftChars="100"/>
              <w:jc w:val="left"/>
              <w:rPr>
                <w:highlight w:val="none"/>
              </w:rPr>
            </w:pPr>
            <w:r>
              <w:rPr>
                <w:rFonts w:hint="eastAsia"/>
                <w:highlight w:val="none"/>
              </w:rPr>
              <w:t>-外壳(护套)</w:t>
            </w:r>
          </w:p>
        </w:tc>
        <w:tc>
          <w:tcPr>
            <w:tcW w:w="6153" w:type="dxa"/>
            <w:tcBorders>
              <w:tl2br w:val="nil"/>
              <w:tr2bl w:val="nil"/>
            </w:tcBorders>
            <w:vAlign w:val="center"/>
          </w:tcPr>
          <w:p w14:paraId="4FD37702">
            <w:pPr>
              <w:ind w:left="240" w:leftChars="100"/>
              <w:jc w:val="left"/>
              <w:rPr>
                <w:highlight w:val="none"/>
              </w:rPr>
            </w:pPr>
          </w:p>
        </w:tc>
      </w:tr>
      <w:tr w14:paraId="63D990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64" w:hRule="atLeast"/>
        </w:trPr>
        <w:tc>
          <w:tcPr>
            <w:tcW w:w="1034" w:type="dxa"/>
            <w:vMerge w:val="continue"/>
            <w:tcBorders>
              <w:tl2br w:val="nil"/>
              <w:tr2bl w:val="nil"/>
            </w:tcBorders>
            <w:shd w:val="clear" w:color="auto" w:fill="auto"/>
            <w:vAlign w:val="center"/>
          </w:tcPr>
          <w:p w14:paraId="7A95A522">
            <w:pPr>
              <w:ind w:left="240" w:leftChars="100"/>
              <w:jc w:val="left"/>
              <w:rPr>
                <w:highlight w:val="none"/>
              </w:rPr>
            </w:pPr>
          </w:p>
        </w:tc>
        <w:tc>
          <w:tcPr>
            <w:tcW w:w="1658" w:type="dxa"/>
            <w:tcBorders>
              <w:tl2br w:val="nil"/>
              <w:tr2bl w:val="nil"/>
            </w:tcBorders>
            <w:shd w:val="clear" w:color="auto" w:fill="auto"/>
            <w:vAlign w:val="center"/>
          </w:tcPr>
          <w:p w14:paraId="59ED0641">
            <w:pPr>
              <w:ind w:left="240" w:leftChars="100"/>
              <w:jc w:val="left"/>
              <w:rPr>
                <w:highlight w:val="none"/>
              </w:rPr>
            </w:pPr>
            <w:r>
              <w:rPr>
                <w:rFonts w:hint="eastAsia"/>
                <w:highlight w:val="none"/>
              </w:rPr>
              <w:t>-叶轮</w:t>
            </w:r>
          </w:p>
        </w:tc>
        <w:tc>
          <w:tcPr>
            <w:tcW w:w="6153" w:type="dxa"/>
            <w:tcBorders>
              <w:tl2br w:val="nil"/>
              <w:tr2bl w:val="nil"/>
            </w:tcBorders>
            <w:vAlign w:val="center"/>
          </w:tcPr>
          <w:p w14:paraId="7515E405">
            <w:pPr>
              <w:ind w:left="240" w:leftChars="100"/>
              <w:jc w:val="left"/>
              <w:rPr>
                <w:highlight w:val="none"/>
              </w:rPr>
            </w:pPr>
            <w:r>
              <w:rPr>
                <w:rFonts w:hint="eastAsia"/>
                <w:highlight w:val="none"/>
              </w:rPr>
              <w:t>SS316L</w:t>
            </w:r>
          </w:p>
        </w:tc>
      </w:tr>
      <w:tr w14:paraId="51F033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64" w:hRule="atLeast"/>
        </w:trPr>
        <w:tc>
          <w:tcPr>
            <w:tcW w:w="1034" w:type="dxa"/>
            <w:vMerge w:val="continue"/>
            <w:tcBorders>
              <w:tl2br w:val="nil"/>
              <w:tr2bl w:val="nil"/>
            </w:tcBorders>
            <w:shd w:val="clear" w:color="auto" w:fill="auto"/>
            <w:vAlign w:val="center"/>
          </w:tcPr>
          <w:p w14:paraId="2C77FC7E">
            <w:pPr>
              <w:ind w:left="240" w:leftChars="100"/>
              <w:jc w:val="left"/>
              <w:rPr>
                <w:highlight w:val="none"/>
              </w:rPr>
            </w:pPr>
          </w:p>
        </w:tc>
        <w:tc>
          <w:tcPr>
            <w:tcW w:w="1658" w:type="dxa"/>
            <w:tcBorders>
              <w:tl2br w:val="nil"/>
              <w:tr2bl w:val="nil"/>
            </w:tcBorders>
            <w:shd w:val="clear" w:color="auto" w:fill="auto"/>
            <w:vAlign w:val="center"/>
          </w:tcPr>
          <w:p w14:paraId="121E4957">
            <w:pPr>
              <w:ind w:left="240" w:leftChars="100"/>
              <w:jc w:val="left"/>
              <w:rPr>
                <w:highlight w:val="none"/>
              </w:rPr>
            </w:pPr>
            <w:r>
              <w:rPr>
                <w:rFonts w:hint="eastAsia"/>
                <w:highlight w:val="none"/>
              </w:rPr>
              <w:t>-轴</w:t>
            </w:r>
          </w:p>
        </w:tc>
        <w:tc>
          <w:tcPr>
            <w:tcW w:w="6153" w:type="dxa"/>
            <w:tcBorders>
              <w:tl2br w:val="nil"/>
              <w:tr2bl w:val="nil"/>
            </w:tcBorders>
            <w:vAlign w:val="center"/>
          </w:tcPr>
          <w:p w14:paraId="2EF040BC">
            <w:pPr>
              <w:ind w:left="240" w:leftChars="100"/>
              <w:jc w:val="left"/>
              <w:rPr>
                <w:highlight w:val="none"/>
              </w:rPr>
            </w:pPr>
          </w:p>
        </w:tc>
      </w:tr>
      <w:tr w14:paraId="6A65DA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64" w:hRule="atLeast"/>
        </w:trPr>
        <w:tc>
          <w:tcPr>
            <w:tcW w:w="1034" w:type="dxa"/>
            <w:vMerge w:val="continue"/>
            <w:tcBorders>
              <w:tl2br w:val="nil"/>
              <w:tr2bl w:val="nil"/>
            </w:tcBorders>
            <w:shd w:val="clear" w:color="auto" w:fill="auto"/>
            <w:vAlign w:val="center"/>
          </w:tcPr>
          <w:p w14:paraId="06F97E55">
            <w:pPr>
              <w:ind w:left="240" w:leftChars="100"/>
              <w:jc w:val="left"/>
              <w:rPr>
                <w:highlight w:val="none"/>
              </w:rPr>
            </w:pPr>
          </w:p>
        </w:tc>
        <w:tc>
          <w:tcPr>
            <w:tcW w:w="1658" w:type="dxa"/>
            <w:tcBorders>
              <w:tl2br w:val="nil"/>
              <w:tr2bl w:val="nil"/>
            </w:tcBorders>
            <w:shd w:val="clear" w:color="auto" w:fill="auto"/>
            <w:vAlign w:val="center"/>
          </w:tcPr>
          <w:p w14:paraId="2C704A5D">
            <w:pPr>
              <w:ind w:left="240" w:leftChars="100"/>
              <w:jc w:val="left"/>
              <w:rPr>
                <w:highlight w:val="none"/>
              </w:rPr>
            </w:pPr>
            <w:r>
              <w:rPr>
                <w:rFonts w:hint="eastAsia"/>
                <w:highlight w:val="none"/>
              </w:rPr>
              <w:t>-防磨保护</w:t>
            </w:r>
          </w:p>
        </w:tc>
        <w:tc>
          <w:tcPr>
            <w:tcW w:w="6153" w:type="dxa"/>
            <w:tcBorders>
              <w:tl2br w:val="nil"/>
              <w:tr2bl w:val="nil"/>
            </w:tcBorders>
            <w:vAlign w:val="center"/>
          </w:tcPr>
          <w:p w14:paraId="6AE19033">
            <w:pPr>
              <w:ind w:left="240" w:leftChars="100"/>
              <w:jc w:val="left"/>
              <w:rPr>
                <w:highlight w:val="none"/>
              </w:rPr>
            </w:pPr>
          </w:p>
        </w:tc>
      </w:tr>
      <w:tr w14:paraId="4EDDB0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64" w:hRule="atLeast"/>
        </w:trPr>
        <w:tc>
          <w:tcPr>
            <w:tcW w:w="1034" w:type="dxa"/>
            <w:vMerge w:val="continue"/>
            <w:tcBorders>
              <w:tl2br w:val="nil"/>
              <w:tr2bl w:val="nil"/>
            </w:tcBorders>
            <w:shd w:val="clear" w:color="auto" w:fill="auto"/>
            <w:vAlign w:val="center"/>
          </w:tcPr>
          <w:p w14:paraId="606E0984">
            <w:pPr>
              <w:ind w:left="240" w:leftChars="100"/>
              <w:jc w:val="left"/>
              <w:rPr>
                <w:highlight w:val="none"/>
              </w:rPr>
            </w:pPr>
          </w:p>
        </w:tc>
        <w:tc>
          <w:tcPr>
            <w:tcW w:w="1658" w:type="dxa"/>
            <w:tcBorders>
              <w:tl2br w:val="nil"/>
              <w:tr2bl w:val="nil"/>
            </w:tcBorders>
            <w:shd w:val="clear" w:color="auto" w:fill="auto"/>
            <w:vAlign w:val="center"/>
          </w:tcPr>
          <w:p w14:paraId="786FEB82">
            <w:pPr>
              <w:ind w:left="240" w:leftChars="100"/>
              <w:jc w:val="left"/>
              <w:rPr>
                <w:highlight w:val="none"/>
              </w:rPr>
            </w:pPr>
            <w:r>
              <w:rPr>
                <w:rFonts w:hint="eastAsia"/>
                <w:highlight w:val="none"/>
              </w:rPr>
              <w:t>-密封</w:t>
            </w:r>
          </w:p>
        </w:tc>
        <w:tc>
          <w:tcPr>
            <w:tcW w:w="6153" w:type="dxa"/>
            <w:tcBorders>
              <w:tl2br w:val="nil"/>
              <w:tr2bl w:val="nil"/>
            </w:tcBorders>
            <w:vAlign w:val="center"/>
          </w:tcPr>
          <w:p w14:paraId="78AAE344">
            <w:pPr>
              <w:ind w:left="240" w:leftChars="100"/>
              <w:jc w:val="left"/>
              <w:rPr>
                <w:highlight w:val="none"/>
              </w:rPr>
            </w:pPr>
            <w:r>
              <w:rPr>
                <w:rFonts w:hint="eastAsia"/>
                <w:highlight w:val="none"/>
              </w:rPr>
              <w:t>单端面机械密封</w:t>
            </w:r>
          </w:p>
        </w:tc>
      </w:tr>
      <w:tr w14:paraId="59C4F3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64" w:hRule="atLeast"/>
        </w:trPr>
        <w:tc>
          <w:tcPr>
            <w:tcW w:w="1034" w:type="dxa"/>
            <w:vMerge w:val="continue"/>
            <w:tcBorders>
              <w:tl2br w:val="nil"/>
              <w:tr2bl w:val="nil"/>
            </w:tcBorders>
            <w:shd w:val="clear" w:color="auto" w:fill="auto"/>
            <w:vAlign w:val="center"/>
          </w:tcPr>
          <w:p w14:paraId="29C6F249">
            <w:pPr>
              <w:ind w:left="240" w:leftChars="100"/>
              <w:jc w:val="left"/>
              <w:rPr>
                <w:highlight w:val="none"/>
              </w:rPr>
            </w:pPr>
          </w:p>
        </w:tc>
        <w:tc>
          <w:tcPr>
            <w:tcW w:w="1658" w:type="dxa"/>
            <w:tcBorders>
              <w:tl2br w:val="nil"/>
              <w:tr2bl w:val="nil"/>
            </w:tcBorders>
            <w:shd w:val="clear" w:color="auto" w:fill="auto"/>
            <w:vAlign w:val="center"/>
          </w:tcPr>
          <w:p w14:paraId="5049B170">
            <w:pPr>
              <w:ind w:left="240" w:leftChars="100"/>
              <w:jc w:val="left"/>
              <w:rPr>
                <w:highlight w:val="none"/>
              </w:rPr>
            </w:pPr>
            <w:r>
              <w:rPr>
                <w:rFonts w:hint="eastAsia"/>
                <w:highlight w:val="none"/>
              </w:rPr>
              <w:t>-轴套</w:t>
            </w:r>
          </w:p>
        </w:tc>
        <w:tc>
          <w:tcPr>
            <w:tcW w:w="6153" w:type="dxa"/>
            <w:tcBorders>
              <w:tl2br w:val="nil"/>
              <w:tr2bl w:val="nil"/>
            </w:tcBorders>
            <w:vAlign w:val="center"/>
          </w:tcPr>
          <w:p w14:paraId="3628E423">
            <w:pPr>
              <w:ind w:left="240" w:leftChars="100"/>
              <w:jc w:val="left"/>
              <w:rPr>
                <w:highlight w:val="none"/>
              </w:rPr>
            </w:pPr>
          </w:p>
        </w:tc>
      </w:tr>
      <w:tr w14:paraId="3CFF4C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64" w:hRule="atLeast"/>
        </w:trPr>
        <w:tc>
          <w:tcPr>
            <w:tcW w:w="2692" w:type="dxa"/>
            <w:gridSpan w:val="2"/>
            <w:tcBorders>
              <w:tl2br w:val="nil"/>
              <w:tr2bl w:val="nil"/>
            </w:tcBorders>
            <w:shd w:val="clear" w:color="auto" w:fill="auto"/>
            <w:vAlign w:val="center"/>
          </w:tcPr>
          <w:p w14:paraId="73B9697C">
            <w:pPr>
              <w:ind w:left="240" w:leftChars="100"/>
              <w:jc w:val="left"/>
              <w:rPr>
                <w:highlight w:val="none"/>
              </w:rPr>
            </w:pPr>
            <w:r>
              <w:rPr>
                <w:rFonts w:hint="eastAsia"/>
                <w:highlight w:val="none"/>
              </w:rPr>
              <w:t>润滑方式</w:t>
            </w:r>
          </w:p>
        </w:tc>
        <w:tc>
          <w:tcPr>
            <w:tcW w:w="6153" w:type="dxa"/>
            <w:tcBorders>
              <w:tl2br w:val="nil"/>
              <w:tr2bl w:val="nil"/>
            </w:tcBorders>
            <w:vAlign w:val="center"/>
          </w:tcPr>
          <w:p w14:paraId="2B10C26B">
            <w:pPr>
              <w:ind w:left="240" w:leftChars="100"/>
              <w:jc w:val="left"/>
              <w:rPr>
                <w:highlight w:val="none"/>
              </w:rPr>
            </w:pPr>
            <w:r>
              <w:rPr>
                <w:rFonts w:hint="eastAsia"/>
                <w:highlight w:val="none"/>
              </w:rPr>
              <w:t>油润滑</w:t>
            </w:r>
          </w:p>
        </w:tc>
      </w:tr>
      <w:tr w14:paraId="3E67D0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64" w:hRule="atLeast"/>
        </w:trPr>
        <w:tc>
          <w:tcPr>
            <w:tcW w:w="2692" w:type="dxa"/>
            <w:gridSpan w:val="2"/>
            <w:tcBorders>
              <w:tl2br w:val="nil"/>
              <w:tr2bl w:val="nil"/>
            </w:tcBorders>
            <w:shd w:val="clear" w:color="auto" w:fill="auto"/>
            <w:vAlign w:val="center"/>
          </w:tcPr>
          <w:p w14:paraId="29331F35">
            <w:pPr>
              <w:ind w:left="240" w:leftChars="100"/>
              <w:jc w:val="left"/>
              <w:rPr>
                <w:highlight w:val="none"/>
              </w:rPr>
            </w:pPr>
            <w:r>
              <w:rPr>
                <w:rFonts w:hint="eastAsia"/>
                <w:highlight w:val="none"/>
              </w:rPr>
              <w:t>密封系统</w:t>
            </w:r>
          </w:p>
        </w:tc>
        <w:tc>
          <w:tcPr>
            <w:tcW w:w="6153" w:type="dxa"/>
            <w:tcBorders>
              <w:tl2br w:val="nil"/>
              <w:tr2bl w:val="nil"/>
            </w:tcBorders>
            <w:vAlign w:val="center"/>
          </w:tcPr>
          <w:p w14:paraId="294104F4">
            <w:pPr>
              <w:ind w:left="240" w:leftChars="100"/>
              <w:jc w:val="left"/>
              <w:rPr>
                <w:highlight w:val="none"/>
              </w:rPr>
            </w:pPr>
            <w:r>
              <w:rPr>
                <w:rFonts w:hint="eastAsia"/>
                <w:highlight w:val="none"/>
              </w:rPr>
              <w:t>内循环</w:t>
            </w:r>
          </w:p>
        </w:tc>
      </w:tr>
      <w:tr w14:paraId="6175D5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724" w:hRule="atLeast"/>
        </w:trPr>
        <w:tc>
          <w:tcPr>
            <w:tcW w:w="2692" w:type="dxa"/>
            <w:gridSpan w:val="2"/>
            <w:tcBorders>
              <w:tl2br w:val="nil"/>
              <w:tr2bl w:val="nil"/>
            </w:tcBorders>
            <w:shd w:val="clear" w:color="auto" w:fill="auto"/>
            <w:vAlign w:val="center"/>
          </w:tcPr>
          <w:p w14:paraId="2FA9DF0F">
            <w:pPr>
              <w:ind w:left="240" w:leftChars="100"/>
              <w:jc w:val="left"/>
              <w:rPr>
                <w:highlight w:val="none"/>
              </w:rPr>
            </w:pPr>
            <w:r>
              <w:rPr>
                <w:rFonts w:hint="eastAsia"/>
                <w:highlight w:val="none"/>
              </w:rPr>
              <w:t>泵体重量（kg）</w:t>
            </w:r>
          </w:p>
        </w:tc>
        <w:tc>
          <w:tcPr>
            <w:tcW w:w="6153" w:type="dxa"/>
            <w:tcBorders>
              <w:tl2br w:val="nil"/>
              <w:tr2bl w:val="nil"/>
            </w:tcBorders>
            <w:vAlign w:val="center"/>
          </w:tcPr>
          <w:p w14:paraId="22DF0955">
            <w:pPr>
              <w:ind w:left="240" w:leftChars="100"/>
              <w:jc w:val="left"/>
              <w:rPr>
                <w:highlight w:val="none"/>
              </w:rPr>
            </w:pPr>
          </w:p>
        </w:tc>
      </w:tr>
      <w:tr w14:paraId="6E2754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64" w:hRule="atLeast"/>
        </w:trPr>
        <w:tc>
          <w:tcPr>
            <w:tcW w:w="2692" w:type="dxa"/>
            <w:gridSpan w:val="2"/>
            <w:tcBorders>
              <w:tl2br w:val="nil"/>
              <w:tr2bl w:val="nil"/>
            </w:tcBorders>
            <w:shd w:val="clear" w:color="auto" w:fill="auto"/>
            <w:vAlign w:val="center"/>
          </w:tcPr>
          <w:p w14:paraId="0083BEA4">
            <w:pPr>
              <w:ind w:left="240" w:leftChars="100"/>
              <w:jc w:val="left"/>
              <w:rPr>
                <w:highlight w:val="none"/>
              </w:rPr>
            </w:pPr>
            <w:r>
              <w:rPr>
                <w:rFonts w:hint="eastAsia"/>
                <w:highlight w:val="none"/>
              </w:rPr>
              <w:t>电机</w:t>
            </w:r>
          </w:p>
        </w:tc>
        <w:tc>
          <w:tcPr>
            <w:tcW w:w="6153" w:type="dxa"/>
            <w:tcBorders>
              <w:tl2br w:val="nil"/>
              <w:tr2bl w:val="nil"/>
            </w:tcBorders>
            <w:vAlign w:val="center"/>
          </w:tcPr>
          <w:p w14:paraId="593555BF">
            <w:pPr>
              <w:ind w:left="240" w:leftChars="100"/>
              <w:jc w:val="left"/>
              <w:rPr>
                <w:highlight w:val="none"/>
              </w:rPr>
            </w:pPr>
            <w:r>
              <w:rPr>
                <w:rFonts w:hint="eastAsia"/>
                <w:highlight w:val="none"/>
              </w:rPr>
              <w:t>变频专用电机</w:t>
            </w:r>
          </w:p>
        </w:tc>
      </w:tr>
      <w:tr w14:paraId="489579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64" w:hRule="atLeast"/>
        </w:trPr>
        <w:tc>
          <w:tcPr>
            <w:tcW w:w="2692" w:type="dxa"/>
            <w:gridSpan w:val="2"/>
            <w:tcBorders>
              <w:tl2br w:val="nil"/>
              <w:tr2bl w:val="nil"/>
            </w:tcBorders>
            <w:shd w:val="clear" w:color="auto" w:fill="auto"/>
            <w:vAlign w:val="center"/>
          </w:tcPr>
          <w:p w14:paraId="75EB69A5">
            <w:pPr>
              <w:ind w:left="240" w:leftChars="100"/>
              <w:jc w:val="left"/>
              <w:rPr>
                <w:highlight w:val="none"/>
              </w:rPr>
            </w:pPr>
            <w:r>
              <w:rPr>
                <w:rFonts w:hint="eastAsia"/>
                <w:highlight w:val="none"/>
              </w:rPr>
              <w:t>型号</w:t>
            </w:r>
          </w:p>
        </w:tc>
        <w:tc>
          <w:tcPr>
            <w:tcW w:w="6153" w:type="dxa"/>
            <w:tcBorders>
              <w:tl2br w:val="nil"/>
              <w:tr2bl w:val="nil"/>
            </w:tcBorders>
            <w:vAlign w:val="center"/>
          </w:tcPr>
          <w:p w14:paraId="6340D0C1">
            <w:pPr>
              <w:ind w:left="240" w:leftChars="100"/>
              <w:jc w:val="left"/>
              <w:rPr>
                <w:highlight w:val="none"/>
              </w:rPr>
            </w:pPr>
          </w:p>
        </w:tc>
      </w:tr>
      <w:tr w14:paraId="3BDD28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64" w:hRule="atLeast"/>
        </w:trPr>
        <w:tc>
          <w:tcPr>
            <w:tcW w:w="2692" w:type="dxa"/>
            <w:gridSpan w:val="2"/>
            <w:tcBorders>
              <w:tl2br w:val="nil"/>
              <w:tr2bl w:val="nil"/>
            </w:tcBorders>
            <w:shd w:val="clear" w:color="auto" w:fill="auto"/>
            <w:vAlign w:val="center"/>
          </w:tcPr>
          <w:p w14:paraId="295086CA">
            <w:pPr>
              <w:ind w:left="240" w:leftChars="100"/>
              <w:jc w:val="left"/>
              <w:rPr>
                <w:highlight w:val="none"/>
              </w:rPr>
            </w:pPr>
            <w:r>
              <w:rPr>
                <w:rFonts w:hint="eastAsia"/>
                <w:highlight w:val="none"/>
              </w:rPr>
              <w:t>额定输出（kW）</w:t>
            </w:r>
          </w:p>
        </w:tc>
        <w:tc>
          <w:tcPr>
            <w:tcW w:w="6153" w:type="dxa"/>
            <w:tcBorders>
              <w:tl2br w:val="nil"/>
              <w:tr2bl w:val="nil"/>
            </w:tcBorders>
            <w:vAlign w:val="center"/>
          </w:tcPr>
          <w:p w14:paraId="114FC249">
            <w:pPr>
              <w:ind w:left="240" w:leftChars="100"/>
              <w:jc w:val="left"/>
              <w:rPr>
                <w:highlight w:val="none"/>
              </w:rPr>
            </w:pPr>
          </w:p>
        </w:tc>
      </w:tr>
      <w:tr w14:paraId="31F1F5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65" w:hRule="atLeast"/>
        </w:trPr>
        <w:tc>
          <w:tcPr>
            <w:tcW w:w="2692" w:type="dxa"/>
            <w:gridSpan w:val="2"/>
            <w:tcBorders>
              <w:tl2br w:val="nil"/>
              <w:tr2bl w:val="nil"/>
            </w:tcBorders>
            <w:shd w:val="clear" w:color="auto" w:fill="auto"/>
            <w:vAlign w:val="center"/>
          </w:tcPr>
          <w:p w14:paraId="2E5E5F98">
            <w:pPr>
              <w:ind w:left="240" w:leftChars="100"/>
              <w:jc w:val="left"/>
              <w:rPr>
                <w:highlight w:val="none"/>
              </w:rPr>
            </w:pPr>
            <w:r>
              <w:rPr>
                <w:rFonts w:hint="eastAsia"/>
                <w:highlight w:val="none"/>
              </w:rPr>
              <w:t>电压/电流（V/A）</w:t>
            </w:r>
          </w:p>
        </w:tc>
        <w:tc>
          <w:tcPr>
            <w:tcW w:w="6153" w:type="dxa"/>
            <w:tcBorders>
              <w:tl2br w:val="nil"/>
              <w:tr2bl w:val="nil"/>
            </w:tcBorders>
            <w:vAlign w:val="center"/>
          </w:tcPr>
          <w:p w14:paraId="7586081B">
            <w:pPr>
              <w:ind w:left="240" w:leftChars="100"/>
              <w:jc w:val="left"/>
              <w:rPr>
                <w:highlight w:val="none"/>
              </w:rPr>
            </w:pPr>
          </w:p>
        </w:tc>
      </w:tr>
      <w:tr w14:paraId="42A665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65" w:hRule="atLeast"/>
        </w:trPr>
        <w:tc>
          <w:tcPr>
            <w:tcW w:w="2692" w:type="dxa"/>
            <w:gridSpan w:val="2"/>
            <w:tcBorders>
              <w:tl2br w:val="nil"/>
              <w:tr2bl w:val="nil"/>
            </w:tcBorders>
            <w:shd w:val="clear" w:color="auto" w:fill="auto"/>
            <w:vAlign w:val="center"/>
          </w:tcPr>
          <w:p w14:paraId="2A5EA683">
            <w:pPr>
              <w:ind w:left="240" w:leftChars="100"/>
              <w:jc w:val="left"/>
              <w:rPr>
                <w:highlight w:val="none"/>
              </w:rPr>
            </w:pPr>
            <w:r>
              <w:rPr>
                <w:rFonts w:hint="eastAsia"/>
                <w:highlight w:val="none"/>
              </w:rPr>
              <w:t>绝缘/防护等级</w:t>
            </w:r>
          </w:p>
        </w:tc>
        <w:tc>
          <w:tcPr>
            <w:tcW w:w="6153" w:type="dxa"/>
            <w:tcBorders>
              <w:tl2br w:val="nil"/>
              <w:tr2bl w:val="nil"/>
            </w:tcBorders>
            <w:vAlign w:val="center"/>
          </w:tcPr>
          <w:p w14:paraId="0C26AC23">
            <w:pPr>
              <w:ind w:left="240" w:leftChars="100"/>
              <w:jc w:val="left"/>
              <w:rPr>
                <w:highlight w:val="none"/>
              </w:rPr>
            </w:pPr>
          </w:p>
        </w:tc>
      </w:tr>
      <w:tr w14:paraId="3C2112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65" w:hRule="atLeast"/>
        </w:trPr>
        <w:tc>
          <w:tcPr>
            <w:tcW w:w="2692" w:type="dxa"/>
            <w:gridSpan w:val="2"/>
            <w:tcBorders>
              <w:tl2br w:val="nil"/>
              <w:tr2bl w:val="nil"/>
            </w:tcBorders>
            <w:shd w:val="clear" w:color="auto" w:fill="auto"/>
            <w:vAlign w:val="center"/>
          </w:tcPr>
          <w:p w14:paraId="04852EFF">
            <w:pPr>
              <w:ind w:left="240" w:leftChars="100"/>
              <w:jc w:val="left"/>
              <w:rPr>
                <w:highlight w:val="none"/>
              </w:rPr>
            </w:pPr>
            <w:r>
              <w:rPr>
                <w:rFonts w:hint="eastAsia"/>
                <w:highlight w:val="none"/>
              </w:rPr>
              <w:t>级数/转速（rpm）</w:t>
            </w:r>
          </w:p>
        </w:tc>
        <w:tc>
          <w:tcPr>
            <w:tcW w:w="6153" w:type="dxa"/>
            <w:tcBorders>
              <w:tl2br w:val="nil"/>
              <w:tr2bl w:val="nil"/>
            </w:tcBorders>
            <w:vAlign w:val="center"/>
          </w:tcPr>
          <w:p w14:paraId="04689B79">
            <w:pPr>
              <w:ind w:left="240" w:leftChars="100"/>
              <w:jc w:val="left"/>
              <w:rPr>
                <w:highlight w:val="none"/>
              </w:rPr>
            </w:pPr>
          </w:p>
        </w:tc>
      </w:tr>
      <w:tr w14:paraId="015688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65" w:hRule="atLeast"/>
        </w:trPr>
        <w:tc>
          <w:tcPr>
            <w:tcW w:w="2692" w:type="dxa"/>
            <w:gridSpan w:val="2"/>
            <w:tcBorders>
              <w:tl2br w:val="nil"/>
              <w:tr2bl w:val="nil"/>
            </w:tcBorders>
            <w:shd w:val="clear" w:color="auto" w:fill="auto"/>
            <w:vAlign w:val="center"/>
          </w:tcPr>
          <w:p w14:paraId="5BC5076C">
            <w:pPr>
              <w:ind w:left="240" w:leftChars="100"/>
              <w:jc w:val="left"/>
              <w:rPr>
                <w:highlight w:val="none"/>
              </w:rPr>
            </w:pPr>
            <w:r>
              <w:rPr>
                <w:rFonts w:hint="eastAsia"/>
                <w:highlight w:val="none"/>
              </w:rPr>
              <w:t>制造商</w:t>
            </w:r>
          </w:p>
        </w:tc>
        <w:tc>
          <w:tcPr>
            <w:tcW w:w="6153" w:type="dxa"/>
            <w:tcBorders>
              <w:tl2br w:val="nil"/>
              <w:tr2bl w:val="nil"/>
            </w:tcBorders>
            <w:vAlign w:val="center"/>
          </w:tcPr>
          <w:p w14:paraId="30BA9799">
            <w:pPr>
              <w:ind w:left="240" w:leftChars="100"/>
              <w:jc w:val="left"/>
              <w:rPr>
                <w:highlight w:val="none"/>
              </w:rPr>
            </w:pPr>
            <w:r>
              <w:rPr>
                <w:rFonts w:hint="eastAsia"/>
                <w:highlight w:val="none"/>
              </w:rPr>
              <w:t>格兰富、滨特尔、赛莱默或“相当于”</w:t>
            </w:r>
          </w:p>
        </w:tc>
      </w:tr>
      <w:tr w14:paraId="05A26D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65" w:hRule="atLeast"/>
        </w:trPr>
        <w:tc>
          <w:tcPr>
            <w:tcW w:w="2692" w:type="dxa"/>
            <w:gridSpan w:val="2"/>
            <w:tcBorders>
              <w:tl2br w:val="nil"/>
              <w:tr2bl w:val="nil"/>
            </w:tcBorders>
            <w:shd w:val="clear" w:color="auto" w:fill="auto"/>
            <w:vAlign w:val="center"/>
          </w:tcPr>
          <w:p w14:paraId="6FBF47A6">
            <w:pPr>
              <w:ind w:left="240" w:leftChars="100"/>
              <w:jc w:val="left"/>
              <w:rPr>
                <w:highlight w:val="none"/>
              </w:rPr>
            </w:pPr>
            <w:r>
              <w:rPr>
                <w:rFonts w:hint="eastAsia"/>
                <w:highlight w:val="none"/>
              </w:rPr>
              <w:t>电机重量（kg）</w:t>
            </w:r>
          </w:p>
        </w:tc>
        <w:tc>
          <w:tcPr>
            <w:tcW w:w="6153" w:type="dxa"/>
            <w:tcBorders>
              <w:tl2br w:val="nil"/>
              <w:tr2bl w:val="nil"/>
            </w:tcBorders>
            <w:vAlign w:val="center"/>
          </w:tcPr>
          <w:p w14:paraId="182CB181">
            <w:pPr>
              <w:ind w:left="240" w:leftChars="100"/>
              <w:jc w:val="left"/>
              <w:rPr>
                <w:highlight w:val="none"/>
              </w:rPr>
            </w:pPr>
          </w:p>
        </w:tc>
      </w:tr>
      <w:tr w14:paraId="48857E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65" w:hRule="atLeast"/>
        </w:trPr>
        <w:tc>
          <w:tcPr>
            <w:tcW w:w="2692" w:type="dxa"/>
            <w:gridSpan w:val="2"/>
            <w:tcBorders>
              <w:tl2br w:val="nil"/>
              <w:tr2bl w:val="nil"/>
            </w:tcBorders>
            <w:shd w:val="clear" w:color="auto" w:fill="auto"/>
            <w:vAlign w:val="center"/>
          </w:tcPr>
          <w:p w14:paraId="4342D327">
            <w:pPr>
              <w:ind w:left="240" w:leftChars="100"/>
              <w:jc w:val="left"/>
              <w:rPr>
                <w:highlight w:val="none"/>
              </w:rPr>
            </w:pPr>
            <w:r>
              <w:rPr>
                <w:rFonts w:hint="eastAsia"/>
                <w:highlight w:val="none"/>
              </w:rPr>
              <w:t>噪声(1 米距离处）</w:t>
            </w:r>
          </w:p>
        </w:tc>
        <w:tc>
          <w:tcPr>
            <w:tcW w:w="6153" w:type="dxa"/>
            <w:tcBorders>
              <w:tl2br w:val="nil"/>
              <w:tr2bl w:val="nil"/>
            </w:tcBorders>
            <w:vAlign w:val="center"/>
          </w:tcPr>
          <w:p w14:paraId="75AB5269">
            <w:pPr>
              <w:ind w:left="240" w:leftChars="100"/>
              <w:jc w:val="left"/>
              <w:rPr>
                <w:highlight w:val="none"/>
              </w:rPr>
            </w:pPr>
            <w:r>
              <w:rPr>
                <w:rFonts w:hint="eastAsia"/>
                <w:highlight w:val="none"/>
              </w:rPr>
              <w:t>≤85db</w:t>
            </w:r>
          </w:p>
        </w:tc>
      </w:tr>
      <w:tr w14:paraId="088A92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65" w:hRule="atLeast"/>
        </w:trPr>
        <w:tc>
          <w:tcPr>
            <w:tcW w:w="2692" w:type="dxa"/>
            <w:gridSpan w:val="2"/>
            <w:tcBorders>
              <w:tl2br w:val="nil"/>
              <w:tr2bl w:val="nil"/>
            </w:tcBorders>
            <w:shd w:val="clear" w:color="auto" w:fill="auto"/>
            <w:vAlign w:val="center"/>
          </w:tcPr>
          <w:p w14:paraId="445D8337">
            <w:pPr>
              <w:ind w:left="240" w:leftChars="100"/>
              <w:jc w:val="left"/>
              <w:rPr>
                <w:highlight w:val="none"/>
              </w:rPr>
            </w:pPr>
            <w:r>
              <w:rPr>
                <w:rFonts w:hint="eastAsia"/>
                <w:highlight w:val="none"/>
              </w:rPr>
              <w:t>安装位置</w:t>
            </w:r>
          </w:p>
        </w:tc>
        <w:tc>
          <w:tcPr>
            <w:tcW w:w="6153" w:type="dxa"/>
            <w:tcBorders>
              <w:tl2br w:val="nil"/>
              <w:tr2bl w:val="nil"/>
            </w:tcBorders>
            <w:vAlign w:val="center"/>
          </w:tcPr>
          <w:p w14:paraId="527FB689">
            <w:pPr>
              <w:ind w:left="240" w:leftChars="100"/>
              <w:jc w:val="left"/>
              <w:rPr>
                <w:highlight w:val="none"/>
              </w:rPr>
            </w:pPr>
            <w:r>
              <w:rPr>
                <w:rFonts w:hint="eastAsia"/>
                <w:highlight w:val="none"/>
              </w:rPr>
              <w:t>室内</w:t>
            </w:r>
          </w:p>
        </w:tc>
      </w:tr>
    </w:tbl>
    <w:p w14:paraId="4728747F">
      <w:pPr>
        <w:pStyle w:val="7"/>
        <w:spacing w:line="360" w:lineRule="auto"/>
        <w:ind w:firstLine="0"/>
        <w:jc w:val="left"/>
        <w:rPr>
          <w:rFonts w:ascii="Times New Roman" w:hAnsi="Times New Roman" w:eastAsia="宋体" w:cs="Times New Roman"/>
          <w:kern w:val="0"/>
          <w:szCs w:val="24"/>
          <w:highlight w:val="none"/>
        </w:rPr>
      </w:pPr>
    </w:p>
    <w:p w14:paraId="7609FA95">
      <w:pPr>
        <w:pStyle w:val="7"/>
        <w:spacing w:line="360" w:lineRule="auto"/>
        <w:ind w:firstLine="0"/>
        <w:jc w:val="left"/>
        <w:rPr>
          <w:rFonts w:ascii="Times New Roman" w:hAnsi="Times New Roman" w:eastAsia="宋体" w:cs="Times New Roman"/>
          <w:kern w:val="0"/>
          <w:szCs w:val="24"/>
          <w:highlight w:val="none"/>
        </w:rPr>
        <w:sectPr>
          <w:footerReference r:id="rId6" w:type="default"/>
          <w:pgSz w:w="11906" w:h="16838"/>
          <w:pgMar w:top="1440" w:right="1440" w:bottom="1440" w:left="1701" w:header="851" w:footer="992" w:gutter="0"/>
          <w:pgNumType w:start="1"/>
          <w:cols w:space="425" w:num="1"/>
          <w:docGrid w:type="lines" w:linePitch="312" w:charSpace="0"/>
        </w:sectPr>
      </w:pPr>
    </w:p>
    <w:bookmarkEnd w:id="50"/>
    <w:bookmarkEnd w:id="51"/>
    <w:bookmarkEnd w:id="52"/>
    <w:bookmarkEnd w:id="53"/>
    <w:bookmarkEnd w:id="54"/>
    <w:bookmarkEnd w:id="55"/>
    <w:bookmarkEnd w:id="56"/>
    <w:bookmarkEnd w:id="57"/>
    <w:p w14:paraId="77DF2D26">
      <w:pPr>
        <w:pStyle w:val="4"/>
        <w:spacing w:before="156" w:beforeLines="50" w:after="156" w:afterLines="50" w:line="360" w:lineRule="auto"/>
        <w:jc w:val="left"/>
        <w:rPr>
          <w:sz w:val="32"/>
          <w:szCs w:val="32"/>
          <w:highlight w:val="none"/>
        </w:rPr>
      </w:pPr>
      <w:bookmarkStart w:id="96" w:name="_Toc513014506"/>
      <w:bookmarkStart w:id="97" w:name="_Toc515785169"/>
      <w:bookmarkStart w:id="98" w:name="_Toc30152"/>
      <w:bookmarkStart w:id="99" w:name="_Toc343695398"/>
      <w:bookmarkStart w:id="100" w:name="_Toc515953161"/>
      <w:bookmarkStart w:id="101" w:name="_Toc501817567"/>
      <w:r>
        <w:rPr>
          <w:sz w:val="32"/>
          <w:szCs w:val="32"/>
          <w:highlight w:val="none"/>
        </w:rPr>
        <w:t>附件2 供货范围</w:t>
      </w:r>
      <w:bookmarkEnd w:id="96"/>
      <w:bookmarkEnd w:id="97"/>
      <w:bookmarkEnd w:id="98"/>
      <w:bookmarkEnd w:id="99"/>
      <w:bookmarkEnd w:id="100"/>
      <w:bookmarkEnd w:id="101"/>
    </w:p>
    <w:p w14:paraId="47D3F0EF">
      <w:pPr>
        <w:pStyle w:val="5"/>
        <w:spacing w:before="0" w:after="0" w:line="360" w:lineRule="auto"/>
        <w:jc w:val="left"/>
        <w:rPr>
          <w:rFonts w:ascii="Times New Roman"/>
          <w:bCs/>
          <w:sz w:val="24"/>
          <w:szCs w:val="24"/>
          <w:highlight w:val="none"/>
        </w:rPr>
      </w:pPr>
      <w:bookmarkStart w:id="102" w:name="_Toc513014507"/>
      <w:bookmarkStart w:id="103" w:name="_Toc515785170"/>
      <w:r>
        <w:rPr>
          <w:rFonts w:ascii="Times New Roman"/>
          <w:bCs/>
          <w:sz w:val="24"/>
          <w:szCs w:val="24"/>
          <w:highlight w:val="none"/>
        </w:rPr>
        <w:t>1 一般要求</w:t>
      </w:r>
      <w:bookmarkEnd w:id="102"/>
      <w:bookmarkEnd w:id="103"/>
    </w:p>
    <w:p w14:paraId="28CECA7B">
      <w:pPr>
        <w:spacing w:line="360" w:lineRule="auto"/>
        <w:jc w:val="left"/>
        <w:rPr>
          <w:highlight w:val="none"/>
        </w:rPr>
      </w:pPr>
      <w:r>
        <w:rPr>
          <w:highlight w:val="none"/>
        </w:rPr>
        <w:t>1.1 投标人保证提供设备为全新的、先进的、成熟的、完整的和安全可靠的，且设备的技术经济性能符合本技术规范的要求。</w:t>
      </w:r>
    </w:p>
    <w:p w14:paraId="203A995E">
      <w:pPr>
        <w:spacing w:line="360" w:lineRule="auto"/>
        <w:jc w:val="left"/>
        <w:rPr>
          <w:highlight w:val="none"/>
        </w:rPr>
      </w:pPr>
      <w:r>
        <w:rPr>
          <w:highlight w:val="none"/>
        </w:rPr>
        <w:t>1.2 投标人提供详细的设备供货清单，清单中</w:t>
      </w:r>
      <w:r>
        <w:rPr>
          <w:rFonts w:hint="eastAsia"/>
          <w:highlight w:val="none"/>
        </w:rPr>
        <w:t>依次</w:t>
      </w:r>
      <w:r>
        <w:rPr>
          <w:highlight w:val="none"/>
        </w:rPr>
        <w:t>说明型号、数量、产地、生产厂家等内容。投标人应确保供货范围完整，以能满足用户安装、运行要求为原则，在技术规范中涉及的供货要求也作为本供货范围的补充，对于属于整套设备安装、调试、运行和检修维护所必需的部件，即使本技术规范未列出和/或数目不足，投标人仍应免费补足。</w:t>
      </w:r>
    </w:p>
    <w:p w14:paraId="031A65F9">
      <w:pPr>
        <w:spacing w:line="360" w:lineRule="auto"/>
        <w:jc w:val="left"/>
        <w:rPr>
          <w:bCs/>
          <w:highlight w:val="none"/>
        </w:rPr>
      </w:pPr>
      <w:r>
        <w:rPr>
          <w:highlight w:val="none"/>
        </w:rPr>
        <w:t>1.3</w:t>
      </w:r>
      <w:r>
        <w:rPr>
          <w:rFonts w:hint="eastAsia"/>
          <w:highlight w:val="none"/>
        </w:rPr>
        <w:t xml:space="preserve"> </w:t>
      </w:r>
      <w:r>
        <w:rPr>
          <w:bCs/>
          <w:highlight w:val="none"/>
        </w:rPr>
        <w:t>投标人应提供安装、调试和试运行期间所需备品备件</w:t>
      </w:r>
      <w:r>
        <w:rPr>
          <w:highlight w:val="none"/>
        </w:rPr>
        <w:t>（包含仪表和控制设备，不包括1年备品备件）</w:t>
      </w:r>
      <w:r>
        <w:rPr>
          <w:bCs/>
          <w:highlight w:val="none"/>
        </w:rPr>
        <w:t>和专用工具，并提供详细供货清单。</w:t>
      </w:r>
    </w:p>
    <w:p w14:paraId="26C6A520">
      <w:pPr>
        <w:spacing w:line="360" w:lineRule="auto"/>
        <w:jc w:val="left"/>
        <w:rPr>
          <w:bCs/>
          <w:highlight w:val="none"/>
        </w:rPr>
      </w:pPr>
      <w:r>
        <w:rPr>
          <w:highlight w:val="none"/>
        </w:rPr>
        <w:t>1.4</w:t>
      </w:r>
      <w:r>
        <w:rPr>
          <w:rFonts w:hint="eastAsia"/>
          <w:highlight w:val="none"/>
        </w:rPr>
        <w:t xml:space="preserve"> </w:t>
      </w:r>
      <w:r>
        <w:rPr>
          <w:highlight w:val="none"/>
        </w:rPr>
        <w:t>投标人按</w:t>
      </w:r>
      <w:r>
        <w:rPr>
          <w:rFonts w:hint="eastAsia"/>
          <w:highlight w:val="none"/>
        </w:rPr>
        <w:t>2.2</w:t>
      </w:r>
      <w:r>
        <w:rPr>
          <w:highlight w:val="none"/>
        </w:rPr>
        <w:t>中表3的</w:t>
      </w:r>
      <w:r>
        <w:rPr>
          <w:rFonts w:hint="eastAsia"/>
          <w:highlight w:val="none"/>
        </w:rPr>
        <w:t>6</w:t>
      </w:r>
      <w:r>
        <w:rPr>
          <w:highlight w:val="none"/>
        </w:rPr>
        <w:t>年备品备件清单提供报价，不计入总价。</w:t>
      </w:r>
    </w:p>
    <w:p w14:paraId="2DB981CA">
      <w:pPr>
        <w:spacing w:line="360" w:lineRule="auto"/>
        <w:jc w:val="left"/>
        <w:rPr>
          <w:highlight w:val="none"/>
        </w:rPr>
      </w:pPr>
      <w:r>
        <w:rPr>
          <w:bCs/>
          <w:highlight w:val="none"/>
        </w:rPr>
        <w:t>1.5</w:t>
      </w:r>
      <w:r>
        <w:rPr>
          <w:rFonts w:hint="eastAsia"/>
          <w:bCs/>
          <w:highlight w:val="none"/>
        </w:rPr>
        <w:t xml:space="preserve"> </w:t>
      </w:r>
      <w:r>
        <w:rPr>
          <w:bCs/>
          <w:highlight w:val="none"/>
        </w:rPr>
        <w:t>投标人应</w:t>
      </w:r>
      <w:r>
        <w:rPr>
          <w:highlight w:val="none"/>
        </w:rPr>
        <w:t>提供所供设备的进口件清单。</w:t>
      </w:r>
    </w:p>
    <w:p w14:paraId="40B4DF99">
      <w:pPr>
        <w:spacing w:line="360" w:lineRule="auto"/>
        <w:jc w:val="left"/>
        <w:rPr>
          <w:highlight w:val="none"/>
        </w:rPr>
      </w:pPr>
      <w:r>
        <w:rPr>
          <w:bCs/>
          <w:highlight w:val="none"/>
        </w:rPr>
        <w:t>1.6</w:t>
      </w:r>
      <w:r>
        <w:rPr>
          <w:rFonts w:hint="eastAsia"/>
          <w:bCs/>
          <w:highlight w:val="none"/>
        </w:rPr>
        <w:t xml:space="preserve"> </w:t>
      </w:r>
      <w:r>
        <w:rPr>
          <w:bCs/>
          <w:highlight w:val="none"/>
        </w:rPr>
        <w:t>投标人应</w:t>
      </w:r>
      <w:r>
        <w:rPr>
          <w:highlight w:val="none"/>
        </w:rPr>
        <w:t>提供相应的技术服务和技术资料。</w:t>
      </w:r>
    </w:p>
    <w:p w14:paraId="75F2D9C7">
      <w:pPr>
        <w:pStyle w:val="5"/>
        <w:spacing w:before="0" w:after="0" w:line="360" w:lineRule="auto"/>
        <w:jc w:val="left"/>
        <w:rPr>
          <w:rFonts w:ascii="Times New Roman"/>
          <w:bCs/>
          <w:sz w:val="24"/>
          <w:szCs w:val="24"/>
          <w:highlight w:val="none"/>
        </w:rPr>
      </w:pPr>
      <w:bookmarkStart w:id="104" w:name="_Toc515785171"/>
      <w:r>
        <w:rPr>
          <w:rFonts w:ascii="Times New Roman"/>
          <w:bCs/>
          <w:sz w:val="24"/>
          <w:szCs w:val="24"/>
          <w:highlight w:val="none"/>
        </w:rPr>
        <w:t>2 供货范围</w:t>
      </w:r>
      <w:bookmarkEnd w:id="104"/>
    </w:p>
    <w:p w14:paraId="0099A866">
      <w:pPr>
        <w:autoSpaceDE w:val="0"/>
        <w:autoSpaceDN w:val="0"/>
        <w:spacing w:line="360" w:lineRule="auto"/>
        <w:jc w:val="left"/>
        <w:textAlignment w:val="bottom"/>
        <w:outlineLvl w:val="2"/>
        <w:rPr>
          <w:b/>
          <w:highlight w:val="none"/>
        </w:rPr>
      </w:pPr>
      <w:r>
        <w:rPr>
          <w:b/>
          <w:highlight w:val="none"/>
        </w:rPr>
        <w:t>2.1 供货界限</w:t>
      </w:r>
    </w:p>
    <w:p w14:paraId="21DE0355">
      <w:pPr>
        <w:spacing w:line="360" w:lineRule="auto"/>
        <w:ind w:firstLine="480" w:firstLineChars="200"/>
        <w:jc w:val="left"/>
        <w:rPr>
          <w:spacing w:val="10"/>
          <w:highlight w:val="none"/>
        </w:rPr>
      </w:pPr>
      <w:r>
        <w:rPr>
          <w:highlight w:val="none"/>
        </w:rPr>
        <w:t>具体参见供货系统图。投标人供货范围内的所有设备、仪表及连接管道，包括但</w:t>
      </w:r>
      <w:r>
        <w:rPr>
          <w:spacing w:val="10"/>
          <w:highlight w:val="none"/>
        </w:rPr>
        <w:t>不限于：</w:t>
      </w:r>
    </w:p>
    <w:p w14:paraId="5D32A926">
      <w:pPr>
        <w:numPr>
          <w:ilvl w:val="0"/>
          <w:numId w:val="5"/>
        </w:numPr>
        <w:spacing w:line="360" w:lineRule="auto"/>
        <w:jc w:val="left"/>
        <w:rPr>
          <w:highlight w:val="none"/>
        </w:rPr>
      </w:pPr>
      <w:r>
        <w:rPr>
          <w:rFonts w:hint="eastAsia"/>
          <w:szCs w:val="21"/>
          <w:highlight w:val="none"/>
        </w:rPr>
        <w:t>滑架，</w:t>
      </w:r>
      <w:r>
        <w:rPr>
          <w:highlight w:val="none"/>
        </w:rPr>
        <w:t>包括管道、阀门等。</w:t>
      </w:r>
    </w:p>
    <w:p w14:paraId="7B8FF0E7">
      <w:pPr>
        <w:numPr>
          <w:ilvl w:val="0"/>
          <w:numId w:val="5"/>
        </w:numPr>
        <w:spacing w:line="360" w:lineRule="auto"/>
        <w:jc w:val="left"/>
        <w:rPr>
          <w:highlight w:val="none"/>
        </w:rPr>
      </w:pPr>
      <w:r>
        <w:rPr>
          <w:highlight w:val="none"/>
        </w:rPr>
        <w:t>与设备相关的热控设备、仪表及相关材料、电气设备。</w:t>
      </w:r>
    </w:p>
    <w:p w14:paraId="5C19CB32">
      <w:pPr>
        <w:numPr>
          <w:ilvl w:val="0"/>
          <w:numId w:val="5"/>
        </w:numPr>
        <w:spacing w:line="360" w:lineRule="auto"/>
        <w:jc w:val="left"/>
        <w:rPr>
          <w:highlight w:val="none"/>
        </w:rPr>
      </w:pPr>
      <w:r>
        <w:rPr>
          <w:highlight w:val="none"/>
        </w:rPr>
        <w:t>设备运行、维护所需的平台扶梯。</w:t>
      </w:r>
    </w:p>
    <w:p w14:paraId="649531FA">
      <w:pPr>
        <w:numPr>
          <w:ilvl w:val="0"/>
          <w:numId w:val="5"/>
        </w:numPr>
        <w:spacing w:line="360" w:lineRule="auto"/>
        <w:jc w:val="left"/>
        <w:rPr>
          <w:highlight w:val="none"/>
        </w:rPr>
      </w:pPr>
      <w:r>
        <w:rPr>
          <w:highlight w:val="none"/>
        </w:rPr>
        <w:t>备品备件、专用工具及专用消耗材料。</w:t>
      </w:r>
    </w:p>
    <w:p w14:paraId="4AAB247A">
      <w:pPr>
        <w:numPr>
          <w:ilvl w:val="0"/>
          <w:numId w:val="5"/>
        </w:numPr>
        <w:spacing w:line="360" w:lineRule="auto"/>
        <w:jc w:val="left"/>
        <w:rPr>
          <w:highlight w:val="none"/>
        </w:rPr>
      </w:pPr>
      <w:r>
        <w:rPr>
          <w:highlight w:val="none"/>
        </w:rPr>
        <w:t>第一次加注的润滑油及调试和试运行期间所用的润滑油（投标人应保证所用的润滑油能在中国市场买到）。</w:t>
      </w:r>
    </w:p>
    <w:p w14:paraId="22A3424D">
      <w:pPr>
        <w:numPr>
          <w:ilvl w:val="0"/>
          <w:numId w:val="5"/>
        </w:numPr>
        <w:spacing w:line="360" w:lineRule="auto"/>
        <w:jc w:val="left"/>
        <w:rPr>
          <w:highlight w:val="none"/>
        </w:rPr>
      </w:pPr>
      <w:r>
        <w:rPr>
          <w:highlight w:val="none"/>
        </w:rPr>
        <w:t>油漆：一底一中二面由投标人提供并施工，现场补漆由投标人提供，招标人施工，面漆颜色最终由招标人确定。</w:t>
      </w:r>
    </w:p>
    <w:p w14:paraId="6C333F9D">
      <w:pPr>
        <w:numPr>
          <w:ilvl w:val="0"/>
          <w:numId w:val="5"/>
        </w:numPr>
        <w:spacing w:line="360" w:lineRule="auto"/>
        <w:jc w:val="left"/>
        <w:rPr>
          <w:highlight w:val="none"/>
        </w:rPr>
      </w:pPr>
      <w:r>
        <w:rPr>
          <w:highlight w:val="none"/>
        </w:rPr>
        <w:t>每个供货单元包括单元内所有设备、设备间连接管道、阀门、连接件、压力表、取样部件等全套设备及附件。</w:t>
      </w:r>
    </w:p>
    <w:p w14:paraId="051C5A5B">
      <w:pPr>
        <w:autoSpaceDE w:val="0"/>
        <w:autoSpaceDN w:val="0"/>
        <w:spacing w:line="360" w:lineRule="auto"/>
        <w:jc w:val="left"/>
        <w:textAlignment w:val="bottom"/>
        <w:outlineLvl w:val="2"/>
        <w:rPr>
          <w:b/>
          <w:highlight w:val="none"/>
        </w:rPr>
      </w:pPr>
      <w:r>
        <w:rPr>
          <w:b/>
          <w:highlight w:val="none"/>
        </w:rPr>
        <w:t>2.2 供货清单</w:t>
      </w:r>
    </w:p>
    <w:p w14:paraId="2BC31353">
      <w:pPr>
        <w:spacing w:line="360" w:lineRule="auto"/>
        <w:jc w:val="left"/>
        <w:rPr>
          <w:highlight w:val="none"/>
        </w:rPr>
      </w:pPr>
      <w:r>
        <w:rPr>
          <w:highlight w:val="none"/>
        </w:rPr>
        <w:t>表1</w:t>
      </w:r>
      <w:r>
        <w:rPr>
          <w:rFonts w:hint="eastAsia"/>
          <w:highlight w:val="none"/>
        </w:rPr>
        <w:t>.1</w:t>
      </w:r>
      <w:r>
        <w:rPr>
          <w:highlight w:val="none"/>
        </w:rPr>
        <w:t xml:space="preserve"> 设备清单（不限于此，投标人细化，补充至表格最后）</w:t>
      </w:r>
    </w:p>
    <w:tbl>
      <w:tblPr>
        <w:tblStyle w:val="21"/>
        <w:tblW w:w="4997" w:type="pct"/>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57"/>
        <w:gridCol w:w="1639"/>
        <w:gridCol w:w="2327"/>
        <w:gridCol w:w="513"/>
        <w:gridCol w:w="597"/>
        <w:gridCol w:w="2007"/>
        <w:gridCol w:w="1336"/>
      </w:tblGrid>
      <w:tr w14:paraId="0E2F406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11" w:hRule="atLeast"/>
          <w:tblHeader/>
        </w:trPr>
        <w:tc>
          <w:tcPr>
            <w:tcW w:w="310" w:type="pct"/>
            <w:tcBorders>
              <w:tl2br w:val="nil"/>
              <w:tr2bl w:val="nil"/>
            </w:tcBorders>
            <w:shd w:val="clear" w:color="auto" w:fill="auto"/>
            <w:vAlign w:val="center"/>
          </w:tcPr>
          <w:p w14:paraId="75C92ED1">
            <w:pPr>
              <w:widowControl/>
              <w:jc w:val="center"/>
              <w:textAlignment w:val="center"/>
              <w:rPr>
                <w:rFonts w:ascii="宋体" w:hAnsi="宋体" w:cs="宋体"/>
                <w:b/>
                <w:bCs/>
                <w:sz w:val="21"/>
                <w:szCs w:val="21"/>
                <w:highlight w:val="none"/>
              </w:rPr>
            </w:pPr>
            <w:r>
              <w:rPr>
                <w:rFonts w:hint="eastAsia" w:ascii="宋体" w:hAnsi="宋体" w:cs="宋体"/>
                <w:b/>
                <w:bCs/>
                <w:kern w:val="0"/>
                <w:sz w:val="21"/>
                <w:szCs w:val="21"/>
                <w:highlight w:val="none"/>
                <w:lang w:bidi="ar"/>
              </w:rPr>
              <w:t>序号</w:t>
            </w:r>
          </w:p>
        </w:tc>
        <w:tc>
          <w:tcPr>
            <w:tcW w:w="912" w:type="pct"/>
            <w:tcBorders>
              <w:tl2br w:val="nil"/>
              <w:tr2bl w:val="nil"/>
            </w:tcBorders>
            <w:shd w:val="clear" w:color="auto" w:fill="auto"/>
            <w:vAlign w:val="center"/>
          </w:tcPr>
          <w:p w14:paraId="4215F5B2">
            <w:pPr>
              <w:widowControl/>
              <w:jc w:val="center"/>
              <w:textAlignment w:val="center"/>
              <w:rPr>
                <w:rFonts w:ascii="宋体" w:hAnsi="宋体" w:cs="宋体"/>
                <w:b/>
                <w:bCs/>
                <w:sz w:val="21"/>
                <w:szCs w:val="21"/>
                <w:highlight w:val="none"/>
              </w:rPr>
            </w:pPr>
            <w:r>
              <w:rPr>
                <w:rFonts w:hint="eastAsia" w:ascii="宋体" w:hAnsi="宋体" w:cs="宋体"/>
                <w:b/>
                <w:bCs/>
                <w:kern w:val="0"/>
                <w:sz w:val="21"/>
                <w:szCs w:val="21"/>
                <w:highlight w:val="none"/>
                <w:lang w:bidi="ar"/>
              </w:rPr>
              <w:t>名称</w:t>
            </w:r>
          </w:p>
        </w:tc>
        <w:tc>
          <w:tcPr>
            <w:tcW w:w="1295" w:type="pct"/>
            <w:tcBorders>
              <w:tl2br w:val="nil"/>
              <w:tr2bl w:val="nil"/>
            </w:tcBorders>
            <w:shd w:val="clear" w:color="auto" w:fill="auto"/>
            <w:vAlign w:val="center"/>
          </w:tcPr>
          <w:p w14:paraId="5F7F8B8C">
            <w:pPr>
              <w:widowControl/>
              <w:jc w:val="center"/>
              <w:textAlignment w:val="center"/>
              <w:rPr>
                <w:rFonts w:ascii="宋体" w:hAnsi="宋体" w:cs="宋体"/>
                <w:b/>
                <w:bCs/>
                <w:sz w:val="21"/>
                <w:szCs w:val="21"/>
                <w:highlight w:val="none"/>
              </w:rPr>
            </w:pPr>
            <w:r>
              <w:rPr>
                <w:rFonts w:hint="eastAsia" w:ascii="宋体" w:hAnsi="宋体" w:cs="宋体"/>
                <w:b/>
                <w:bCs/>
                <w:kern w:val="0"/>
                <w:sz w:val="21"/>
                <w:szCs w:val="21"/>
                <w:highlight w:val="none"/>
                <w:lang w:bidi="ar"/>
              </w:rPr>
              <w:t>规</w:t>
            </w:r>
            <w:r>
              <w:rPr>
                <w:rStyle w:val="51"/>
                <w:color w:val="auto"/>
                <w:sz w:val="21"/>
                <w:szCs w:val="21"/>
                <w:highlight w:val="none"/>
                <w:lang w:bidi="ar"/>
              </w:rPr>
              <w:t xml:space="preserve">  </w:t>
            </w:r>
            <w:r>
              <w:rPr>
                <w:rFonts w:hint="eastAsia" w:ascii="宋体" w:hAnsi="宋体" w:cs="宋体"/>
                <w:b/>
                <w:bCs/>
                <w:kern w:val="0"/>
                <w:sz w:val="21"/>
                <w:szCs w:val="21"/>
                <w:highlight w:val="none"/>
                <w:lang w:bidi="ar"/>
              </w:rPr>
              <w:t>格</w:t>
            </w:r>
          </w:p>
        </w:tc>
        <w:tc>
          <w:tcPr>
            <w:tcW w:w="286" w:type="pct"/>
            <w:tcBorders>
              <w:tl2br w:val="nil"/>
              <w:tr2bl w:val="nil"/>
            </w:tcBorders>
            <w:shd w:val="clear" w:color="auto" w:fill="auto"/>
            <w:vAlign w:val="center"/>
          </w:tcPr>
          <w:p w14:paraId="3B196A8D">
            <w:pPr>
              <w:widowControl/>
              <w:jc w:val="center"/>
              <w:textAlignment w:val="center"/>
              <w:rPr>
                <w:rFonts w:ascii="宋体" w:hAnsi="宋体" w:cs="宋体"/>
                <w:b/>
                <w:bCs/>
                <w:sz w:val="21"/>
                <w:szCs w:val="21"/>
                <w:highlight w:val="none"/>
              </w:rPr>
            </w:pPr>
            <w:r>
              <w:rPr>
                <w:rFonts w:hint="eastAsia" w:ascii="宋体" w:hAnsi="宋体" w:cs="宋体"/>
                <w:b/>
                <w:bCs/>
                <w:kern w:val="0"/>
                <w:sz w:val="21"/>
                <w:szCs w:val="21"/>
                <w:highlight w:val="none"/>
                <w:lang w:bidi="ar"/>
              </w:rPr>
              <w:t>单位</w:t>
            </w:r>
          </w:p>
        </w:tc>
        <w:tc>
          <w:tcPr>
            <w:tcW w:w="333" w:type="pct"/>
            <w:tcBorders>
              <w:tl2br w:val="nil"/>
              <w:tr2bl w:val="nil"/>
            </w:tcBorders>
            <w:shd w:val="clear" w:color="auto" w:fill="auto"/>
            <w:vAlign w:val="center"/>
          </w:tcPr>
          <w:p w14:paraId="59198441">
            <w:pPr>
              <w:widowControl/>
              <w:jc w:val="center"/>
              <w:textAlignment w:val="center"/>
              <w:rPr>
                <w:rFonts w:ascii="宋体" w:hAnsi="宋体" w:cs="宋体"/>
                <w:b/>
                <w:bCs/>
                <w:sz w:val="21"/>
                <w:szCs w:val="21"/>
                <w:highlight w:val="none"/>
              </w:rPr>
            </w:pPr>
            <w:r>
              <w:rPr>
                <w:rFonts w:hint="eastAsia" w:ascii="宋体" w:hAnsi="宋体" w:cs="宋体"/>
                <w:b/>
                <w:bCs/>
                <w:kern w:val="0"/>
                <w:sz w:val="21"/>
                <w:szCs w:val="21"/>
                <w:highlight w:val="none"/>
                <w:lang w:bidi="ar"/>
              </w:rPr>
              <w:t>数量</w:t>
            </w:r>
          </w:p>
        </w:tc>
        <w:tc>
          <w:tcPr>
            <w:tcW w:w="1117" w:type="pct"/>
            <w:tcBorders>
              <w:tl2br w:val="nil"/>
              <w:tr2bl w:val="nil"/>
            </w:tcBorders>
            <w:shd w:val="clear" w:color="auto" w:fill="auto"/>
            <w:vAlign w:val="center"/>
          </w:tcPr>
          <w:p w14:paraId="42F39412">
            <w:pPr>
              <w:widowControl/>
              <w:jc w:val="center"/>
              <w:textAlignment w:val="center"/>
              <w:rPr>
                <w:rFonts w:ascii="宋体" w:hAnsi="宋体" w:cs="宋体"/>
                <w:b/>
                <w:bCs/>
                <w:sz w:val="21"/>
                <w:szCs w:val="21"/>
                <w:highlight w:val="none"/>
              </w:rPr>
            </w:pPr>
            <w:r>
              <w:rPr>
                <w:rFonts w:hint="eastAsia" w:ascii="宋体" w:hAnsi="宋体" w:cs="宋体"/>
                <w:b/>
                <w:bCs/>
                <w:kern w:val="0"/>
                <w:sz w:val="21"/>
                <w:szCs w:val="21"/>
                <w:highlight w:val="none"/>
                <w:lang w:bidi="ar"/>
              </w:rPr>
              <w:t>品牌（或相当于）</w:t>
            </w:r>
          </w:p>
        </w:tc>
        <w:tc>
          <w:tcPr>
            <w:tcW w:w="743" w:type="pct"/>
            <w:tcBorders>
              <w:tl2br w:val="nil"/>
              <w:tr2bl w:val="nil"/>
            </w:tcBorders>
            <w:shd w:val="clear" w:color="auto" w:fill="auto"/>
            <w:vAlign w:val="center"/>
          </w:tcPr>
          <w:p w14:paraId="158443F1">
            <w:pPr>
              <w:widowControl/>
              <w:jc w:val="center"/>
              <w:textAlignment w:val="center"/>
              <w:rPr>
                <w:rFonts w:ascii="宋体" w:hAnsi="宋体" w:cs="宋体"/>
                <w:b/>
                <w:bCs/>
                <w:sz w:val="21"/>
                <w:szCs w:val="21"/>
                <w:highlight w:val="none"/>
              </w:rPr>
            </w:pPr>
            <w:r>
              <w:rPr>
                <w:rFonts w:hint="eastAsia" w:ascii="宋体" w:hAnsi="宋体" w:cs="宋体"/>
                <w:b/>
                <w:bCs/>
                <w:kern w:val="0"/>
                <w:sz w:val="21"/>
                <w:szCs w:val="21"/>
                <w:highlight w:val="none"/>
                <w:lang w:bidi="ar"/>
              </w:rPr>
              <w:t>备注</w:t>
            </w:r>
          </w:p>
        </w:tc>
      </w:tr>
      <w:tr w14:paraId="54D7953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310" w:type="pct"/>
            <w:tcBorders>
              <w:tl2br w:val="nil"/>
              <w:tr2bl w:val="nil"/>
            </w:tcBorders>
            <w:shd w:val="clear" w:color="auto" w:fill="auto"/>
            <w:vAlign w:val="center"/>
          </w:tcPr>
          <w:p w14:paraId="45C59C2F">
            <w:pPr>
              <w:widowControl/>
              <w:jc w:val="center"/>
              <w:textAlignment w:val="center"/>
              <w:rPr>
                <w:rFonts w:ascii="宋体" w:hAnsi="宋体" w:cs="宋体"/>
                <w:b/>
                <w:bCs/>
                <w:sz w:val="21"/>
                <w:szCs w:val="21"/>
                <w:highlight w:val="none"/>
              </w:rPr>
            </w:pPr>
            <w:r>
              <w:rPr>
                <w:rFonts w:hint="eastAsia" w:ascii="宋体" w:hAnsi="宋体" w:cs="宋体"/>
                <w:b/>
                <w:bCs/>
                <w:kern w:val="0"/>
                <w:sz w:val="21"/>
                <w:szCs w:val="21"/>
                <w:highlight w:val="none"/>
                <w:lang w:bidi="ar"/>
              </w:rPr>
              <w:t>一</w:t>
            </w:r>
          </w:p>
        </w:tc>
        <w:tc>
          <w:tcPr>
            <w:tcW w:w="912" w:type="pct"/>
            <w:tcBorders>
              <w:tl2br w:val="nil"/>
              <w:tr2bl w:val="nil"/>
            </w:tcBorders>
            <w:shd w:val="clear" w:color="auto" w:fill="auto"/>
            <w:vAlign w:val="center"/>
          </w:tcPr>
          <w:p w14:paraId="490593D6">
            <w:pPr>
              <w:widowControl/>
              <w:jc w:val="center"/>
              <w:textAlignment w:val="center"/>
              <w:rPr>
                <w:rFonts w:ascii="宋体" w:hAnsi="宋体" w:cs="宋体"/>
                <w:b/>
                <w:bCs/>
                <w:sz w:val="21"/>
                <w:szCs w:val="21"/>
                <w:highlight w:val="none"/>
              </w:rPr>
            </w:pPr>
            <w:r>
              <w:rPr>
                <w:rFonts w:hint="eastAsia" w:ascii="宋体" w:hAnsi="宋体" w:cs="宋体"/>
                <w:b/>
                <w:bCs/>
                <w:kern w:val="0"/>
                <w:sz w:val="21"/>
                <w:szCs w:val="21"/>
                <w:highlight w:val="none"/>
                <w:lang w:bidi="ar"/>
              </w:rPr>
              <w:t>超滤单元</w:t>
            </w:r>
          </w:p>
        </w:tc>
        <w:tc>
          <w:tcPr>
            <w:tcW w:w="1295" w:type="pct"/>
            <w:tcBorders>
              <w:tl2br w:val="nil"/>
              <w:tr2bl w:val="nil"/>
            </w:tcBorders>
            <w:shd w:val="clear" w:color="auto" w:fill="auto"/>
            <w:vAlign w:val="center"/>
          </w:tcPr>
          <w:p w14:paraId="76054DA2">
            <w:pPr>
              <w:jc w:val="center"/>
              <w:rPr>
                <w:b/>
                <w:bCs/>
                <w:sz w:val="21"/>
                <w:szCs w:val="21"/>
                <w:highlight w:val="none"/>
              </w:rPr>
            </w:pPr>
          </w:p>
        </w:tc>
        <w:tc>
          <w:tcPr>
            <w:tcW w:w="286" w:type="pct"/>
            <w:tcBorders>
              <w:tl2br w:val="nil"/>
              <w:tr2bl w:val="nil"/>
            </w:tcBorders>
            <w:shd w:val="clear" w:color="auto" w:fill="auto"/>
            <w:vAlign w:val="center"/>
          </w:tcPr>
          <w:p w14:paraId="44803856">
            <w:pPr>
              <w:jc w:val="center"/>
              <w:rPr>
                <w:b/>
                <w:bCs/>
                <w:sz w:val="21"/>
                <w:szCs w:val="21"/>
                <w:highlight w:val="none"/>
              </w:rPr>
            </w:pPr>
          </w:p>
        </w:tc>
        <w:tc>
          <w:tcPr>
            <w:tcW w:w="333" w:type="pct"/>
            <w:tcBorders>
              <w:tl2br w:val="nil"/>
              <w:tr2bl w:val="nil"/>
            </w:tcBorders>
            <w:shd w:val="clear" w:color="auto" w:fill="auto"/>
            <w:vAlign w:val="center"/>
          </w:tcPr>
          <w:p w14:paraId="05FE1815">
            <w:pPr>
              <w:jc w:val="center"/>
              <w:rPr>
                <w:b/>
                <w:bCs/>
                <w:sz w:val="21"/>
                <w:szCs w:val="21"/>
                <w:highlight w:val="none"/>
              </w:rPr>
            </w:pPr>
          </w:p>
        </w:tc>
        <w:tc>
          <w:tcPr>
            <w:tcW w:w="1117" w:type="pct"/>
            <w:tcBorders>
              <w:tl2br w:val="nil"/>
              <w:tr2bl w:val="nil"/>
            </w:tcBorders>
            <w:shd w:val="clear" w:color="auto" w:fill="auto"/>
            <w:vAlign w:val="center"/>
          </w:tcPr>
          <w:p w14:paraId="7FEE9320">
            <w:pPr>
              <w:jc w:val="center"/>
              <w:rPr>
                <w:b/>
                <w:bCs/>
                <w:sz w:val="21"/>
                <w:szCs w:val="21"/>
                <w:highlight w:val="none"/>
              </w:rPr>
            </w:pPr>
          </w:p>
        </w:tc>
        <w:tc>
          <w:tcPr>
            <w:tcW w:w="743" w:type="pct"/>
            <w:tcBorders>
              <w:tl2br w:val="nil"/>
              <w:tr2bl w:val="nil"/>
            </w:tcBorders>
            <w:shd w:val="clear" w:color="auto" w:fill="auto"/>
            <w:vAlign w:val="center"/>
          </w:tcPr>
          <w:p w14:paraId="7E8F26FC">
            <w:pPr>
              <w:jc w:val="center"/>
              <w:rPr>
                <w:b/>
                <w:bCs/>
                <w:sz w:val="21"/>
                <w:szCs w:val="21"/>
                <w:highlight w:val="none"/>
              </w:rPr>
            </w:pPr>
          </w:p>
        </w:tc>
      </w:tr>
      <w:tr w14:paraId="325ECFB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6" w:hRule="atLeast"/>
        </w:trPr>
        <w:tc>
          <w:tcPr>
            <w:tcW w:w="310" w:type="pct"/>
            <w:tcBorders>
              <w:tl2br w:val="nil"/>
              <w:tr2bl w:val="nil"/>
            </w:tcBorders>
            <w:shd w:val="clear" w:color="auto" w:fill="auto"/>
            <w:vAlign w:val="center"/>
          </w:tcPr>
          <w:p w14:paraId="6D837E8C">
            <w:pPr>
              <w:widowControl/>
              <w:jc w:val="center"/>
              <w:textAlignment w:val="center"/>
              <w:rPr>
                <w:sz w:val="21"/>
                <w:szCs w:val="21"/>
                <w:highlight w:val="none"/>
              </w:rPr>
            </w:pPr>
            <w:r>
              <w:rPr>
                <w:kern w:val="0"/>
                <w:sz w:val="21"/>
                <w:szCs w:val="21"/>
                <w:highlight w:val="none"/>
                <w:lang w:bidi="ar"/>
              </w:rPr>
              <w:t>1</w:t>
            </w:r>
          </w:p>
        </w:tc>
        <w:tc>
          <w:tcPr>
            <w:tcW w:w="912" w:type="pct"/>
            <w:tcBorders>
              <w:tl2br w:val="nil"/>
              <w:tr2bl w:val="nil"/>
            </w:tcBorders>
            <w:shd w:val="clear" w:color="auto" w:fill="auto"/>
            <w:vAlign w:val="center"/>
          </w:tcPr>
          <w:p w14:paraId="689AA376">
            <w:pPr>
              <w:widowControl/>
              <w:jc w:val="center"/>
              <w:textAlignment w:val="center"/>
              <w:rPr>
                <w:rFonts w:ascii="宋体" w:hAnsi="宋体" w:cs="宋体"/>
                <w:sz w:val="21"/>
                <w:szCs w:val="21"/>
                <w:highlight w:val="none"/>
              </w:rPr>
            </w:pPr>
            <w:r>
              <w:rPr>
                <w:rFonts w:hint="eastAsia" w:ascii="宋体" w:hAnsi="宋体" w:cs="宋体"/>
                <w:kern w:val="0"/>
                <w:sz w:val="21"/>
                <w:szCs w:val="21"/>
                <w:highlight w:val="none"/>
                <w:lang w:bidi="ar"/>
              </w:rPr>
              <w:t>自清洗过滤器</w:t>
            </w:r>
          </w:p>
        </w:tc>
        <w:tc>
          <w:tcPr>
            <w:tcW w:w="1295" w:type="pct"/>
            <w:tcBorders>
              <w:tl2br w:val="nil"/>
              <w:tr2bl w:val="nil"/>
            </w:tcBorders>
            <w:shd w:val="clear" w:color="auto" w:fill="auto"/>
            <w:vAlign w:val="center"/>
          </w:tcPr>
          <w:p w14:paraId="0F7DE792">
            <w:pPr>
              <w:widowControl/>
              <w:jc w:val="center"/>
              <w:textAlignment w:val="center"/>
              <w:rPr>
                <w:rFonts w:ascii="宋体" w:hAnsi="宋体" w:cs="宋体"/>
                <w:sz w:val="21"/>
                <w:szCs w:val="21"/>
                <w:highlight w:val="none"/>
              </w:rPr>
            </w:pPr>
            <w:r>
              <w:rPr>
                <w:rFonts w:hint="eastAsia" w:ascii="宋体" w:hAnsi="宋体" w:cs="宋体"/>
                <w:kern w:val="0"/>
                <w:sz w:val="21"/>
                <w:szCs w:val="21"/>
                <w:highlight w:val="none"/>
                <w:lang w:bidi="ar"/>
              </w:rPr>
              <w:t>网式，</w:t>
            </w:r>
            <w:r>
              <w:rPr>
                <w:kern w:val="0"/>
                <w:sz w:val="21"/>
                <w:szCs w:val="21"/>
                <w:highlight w:val="none"/>
                <w:lang w:bidi="ar"/>
              </w:rPr>
              <w:t>Q=230</w:t>
            </w:r>
            <w:r>
              <w:rPr>
                <w:rFonts w:hint="eastAsia"/>
                <w:kern w:val="0"/>
                <w:sz w:val="21"/>
                <w:szCs w:val="21"/>
                <w:highlight w:val="none"/>
                <w:lang w:bidi="ar"/>
              </w:rPr>
              <w:t>m³</w:t>
            </w:r>
            <w:r>
              <w:rPr>
                <w:kern w:val="0"/>
                <w:sz w:val="21"/>
                <w:szCs w:val="21"/>
                <w:highlight w:val="none"/>
                <w:lang w:bidi="ar"/>
              </w:rPr>
              <w:t>/h</w:t>
            </w:r>
            <w:r>
              <w:rPr>
                <w:rFonts w:hint="eastAsia" w:ascii="宋体" w:hAnsi="宋体" w:cs="宋体"/>
                <w:kern w:val="0"/>
                <w:sz w:val="21"/>
                <w:szCs w:val="21"/>
                <w:highlight w:val="none"/>
                <w:lang w:bidi="ar"/>
              </w:rPr>
              <w:t>，过滤精度</w:t>
            </w:r>
            <w:r>
              <w:rPr>
                <w:kern w:val="0"/>
                <w:sz w:val="21"/>
                <w:szCs w:val="21"/>
                <w:highlight w:val="none"/>
                <w:lang w:bidi="ar"/>
              </w:rPr>
              <w:t>100μm</w:t>
            </w:r>
            <w:r>
              <w:rPr>
                <w:rFonts w:hint="eastAsia" w:ascii="宋体" w:hAnsi="宋体" w:cs="宋体"/>
                <w:kern w:val="0"/>
                <w:sz w:val="21"/>
                <w:szCs w:val="21"/>
                <w:highlight w:val="none"/>
                <w:lang w:bidi="ar"/>
              </w:rPr>
              <w:t>，滤网</w:t>
            </w:r>
            <w:r>
              <w:rPr>
                <w:kern w:val="0"/>
                <w:sz w:val="21"/>
                <w:szCs w:val="21"/>
                <w:highlight w:val="none"/>
                <w:lang w:bidi="ar"/>
              </w:rPr>
              <w:t>SS316L</w:t>
            </w:r>
            <w:r>
              <w:rPr>
                <w:rFonts w:hint="eastAsia" w:ascii="宋体" w:hAnsi="宋体" w:cs="宋体"/>
                <w:kern w:val="0"/>
                <w:sz w:val="21"/>
                <w:szCs w:val="21"/>
                <w:highlight w:val="none"/>
                <w:lang w:bidi="ar"/>
              </w:rPr>
              <w:t>材质及附属电控柜</w:t>
            </w:r>
          </w:p>
        </w:tc>
        <w:tc>
          <w:tcPr>
            <w:tcW w:w="286" w:type="pct"/>
            <w:tcBorders>
              <w:tl2br w:val="nil"/>
              <w:tr2bl w:val="nil"/>
            </w:tcBorders>
            <w:shd w:val="clear" w:color="auto" w:fill="auto"/>
            <w:vAlign w:val="center"/>
          </w:tcPr>
          <w:p w14:paraId="6C298F9F">
            <w:pPr>
              <w:widowControl/>
              <w:jc w:val="center"/>
              <w:textAlignment w:val="center"/>
              <w:rPr>
                <w:rFonts w:ascii="宋体" w:hAnsi="宋体" w:cs="宋体"/>
                <w:sz w:val="21"/>
                <w:szCs w:val="21"/>
                <w:highlight w:val="none"/>
              </w:rPr>
            </w:pPr>
            <w:r>
              <w:rPr>
                <w:rFonts w:hint="eastAsia" w:ascii="宋体" w:hAnsi="宋体" w:cs="宋体"/>
                <w:kern w:val="0"/>
                <w:sz w:val="21"/>
                <w:szCs w:val="21"/>
                <w:highlight w:val="none"/>
                <w:lang w:bidi="ar"/>
              </w:rPr>
              <w:t>套</w:t>
            </w:r>
          </w:p>
        </w:tc>
        <w:tc>
          <w:tcPr>
            <w:tcW w:w="333" w:type="pct"/>
            <w:tcBorders>
              <w:tl2br w:val="nil"/>
              <w:tr2bl w:val="nil"/>
            </w:tcBorders>
            <w:shd w:val="clear" w:color="auto" w:fill="auto"/>
            <w:vAlign w:val="center"/>
          </w:tcPr>
          <w:p w14:paraId="1177C0D3">
            <w:pPr>
              <w:widowControl/>
              <w:jc w:val="center"/>
              <w:textAlignment w:val="center"/>
              <w:rPr>
                <w:sz w:val="21"/>
                <w:szCs w:val="21"/>
                <w:highlight w:val="none"/>
              </w:rPr>
            </w:pPr>
            <w:r>
              <w:rPr>
                <w:kern w:val="0"/>
                <w:sz w:val="21"/>
                <w:szCs w:val="21"/>
                <w:highlight w:val="none"/>
                <w:lang w:bidi="ar"/>
              </w:rPr>
              <w:t>1</w:t>
            </w:r>
          </w:p>
        </w:tc>
        <w:tc>
          <w:tcPr>
            <w:tcW w:w="1117" w:type="pct"/>
            <w:tcBorders>
              <w:tl2br w:val="nil"/>
              <w:tr2bl w:val="nil"/>
            </w:tcBorders>
            <w:shd w:val="clear" w:color="auto" w:fill="auto"/>
            <w:vAlign w:val="center"/>
          </w:tcPr>
          <w:p w14:paraId="3A2D0E15">
            <w:pPr>
              <w:widowControl/>
              <w:jc w:val="center"/>
              <w:textAlignment w:val="center"/>
              <w:rPr>
                <w:kern w:val="0"/>
                <w:sz w:val="21"/>
                <w:szCs w:val="21"/>
                <w:highlight w:val="none"/>
                <w:lang w:bidi="ar"/>
              </w:rPr>
            </w:pPr>
            <w:r>
              <w:rPr>
                <w:kern w:val="0"/>
                <w:sz w:val="21"/>
                <w:szCs w:val="21"/>
                <w:highlight w:val="none"/>
                <w:lang w:bidi="ar"/>
              </w:rPr>
              <w:t xml:space="preserve">AZUD、ARKAL、HYDRAX </w:t>
            </w:r>
          </w:p>
        </w:tc>
        <w:tc>
          <w:tcPr>
            <w:tcW w:w="743" w:type="pct"/>
            <w:tcBorders>
              <w:tl2br w:val="nil"/>
              <w:tr2bl w:val="nil"/>
            </w:tcBorders>
            <w:shd w:val="clear" w:color="auto" w:fill="auto"/>
            <w:vAlign w:val="center"/>
          </w:tcPr>
          <w:p w14:paraId="6D8214A4">
            <w:pPr>
              <w:jc w:val="center"/>
              <w:rPr>
                <w:sz w:val="21"/>
                <w:szCs w:val="21"/>
                <w:highlight w:val="none"/>
              </w:rPr>
            </w:pPr>
            <w:r>
              <w:rPr>
                <w:rFonts w:hint="eastAsia"/>
                <w:sz w:val="21"/>
                <w:szCs w:val="21"/>
                <w:highlight w:val="none"/>
              </w:rPr>
              <w:t>带就地压力表，</w:t>
            </w:r>
            <w:r>
              <w:rPr>
                <w:rFonts w:hint="eastAsia" w:ascii="宋体" w:hAnsi="宋体" w:cs="宋体"/>
                <w:kern w:val="0"/>
                <w:sz w:val="21"/>
                <w:szCs w:val="21"/>
                <w:highlight w:val="none"/>
                <w:lang w:bidi="ar"/>
              </w:rPr>
              <w:t>就地控制箱不锈钢喷塑材质，包含至就地的电缆及辅材，及压差等仪表</w:t>
            </w:r>
          </w:p>
        </w:tc>
      </w:tr>
      <w:tr w14:paraId="72F479C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310" w:type="pct"/>
            <w:tcBorders>
              <w:tl2br w:val="nil"/>
              <w:tr2bl w:val="nil"/>
            </w:tcBorders>
            <w:shd w:val="clear" w:color="auto" w:fill="auto"/>
            <w:vAlign w:val="center"/>
          </w:tcPr>
          <w:p w14:paraId="7A52735E">
            <w:pPr>
              <w:widowControl/>
              <w:jc w:val="center"/>
              <w:textAlignment w:val="center"/>
              <w:rPr>
                <w:sz w:val="21"/>
                <w:szCs w:val="21"/>
                <w:highlight w:val="none"/>
              </w:rPr>
            </w:pPr>
            <w:r>
              <w:rPr>
                <w:kern w:val="0"/>
                <w:sz w:val="21"/>
                <w:szCs w:val="21"/>
                <w:highlight w:val="none"/>
                <w:lang w:bidi="ar"/>
              </w:rPr>
              <w:t>2</w:t>
            </w:r>
          </w:p>
        </w:tc>
        <w:tc>
          <w:tcPr>
            <w:tcW w:w="912" w:type="pct"/>
            <w:tcBorders>
              <w:tl2br w:val="nil"/>
              <w:tr2bl w:val="nil"/>
            </w:tcBorders>
            <w:shd w:val="clear" w:color="auto" w:fill="auto"/>
            <w:vAlign w:val="center"/>
          </w:tcPr>
          <w:p w14:paraId="4820D495">
            <w:pPr>
              <w:widowControl/>
              <w:jc w:val="center"/>
              <w:textAlignment w:val="center"/>
              <w:rPr>
                <w:rFonts w:ascii="宋体" w:hAnsi="宋体" w:cs="宋体"/>
                <w:sz w:val="21"/>
                <w:szCs w:val="21"/>
                <w:highlight w:val="none"/>
              </w:rPr>
            </w:pPr>
            <w:r>
              <w:rPr>
                <w:rFonts w:hint="eastAsia" w:ascii="宋体" w:hAnsi="宋体" w:cs="宋体"/>
                <w:kern w:val="0"/>
                <w:sz w:val="21"/>
                <w:szCs w:val="21"/>
                <w:highlight w:val="none"/>
                <w:lang w:bidi="ar"/>
              </w:rPr>
              <w:t>超滤装置</w:t>
            </w:r>
          </w:p>
        </w:tc>
        <w:tc>
          <w:tcPr>
            <w:tcW w:w="1295" w:type="pct"/>
            <w:tcBorders>
              <w:tl2br w:val="nil"/>
              <w:tr2bl w:val="nil"/>
            </w:tcBorders>
            <w:shd w:val="clear" w:color="auto" w:fill="auto"/>
            <w:vAlign w:val="center"/>
          </w:tcPr>
          <w:p w14:paraId="2E8846A6">
            <w:pPr>
              <w:widowControl/>
              <w:jc w:val="center"/>
              <w:textAlignment w:val="center"/>
              <w:rPr>
                <w:sz w:val="21"/>
                <w:szCs w:val="21"/>
                <w:highlight w:val="none"/>
              </w:rPr>
            </w:pPr>
            <w:r>
              <w:rPr>
                <w:kern w:val="0"/>
                <w:sz w:val="21"/>
                <w:szCs w:val="21"/>
                <w:highlight w:val="none"/>
                <w:lang w:bidi="ar"/>
              </w:rPr>
              <w:t>Q=160</w:t>
            </w:r>
            <w:r>
              <w:rPr>
                <w:rFonts w:hint="eastAsia"/>
                <w:kern w:val="0"/>
                <w:sz w:val="21"/>
                <w:szCs w:val="21"/>
                <w:highlight w:val="none"/>
                <w:lang w:bidi="ar"/>
              </w:rPr>
              <w:t>m³</w:t>
            </w:r>
            <w:r>
              <w:rPr>
                <w:kern w:val="0"/>
                <w:sz w:val="21"/>
                <w:szCs w:val="21"/>
                <w:highlight w:val="none"/>
                <w:lang w:bidi="ar"/>
              </w:rPr>
              <w:t>/h</w:t>
            </w:r>
            <w:r>
              <w:rPr>
                <w:rFonts w:hint="eastAsia" w:ascii="宋体" w:hAnsi="宋体" w:cs="宋体"/>
                <w:kern w:val="0"/>
                <w:sz w:val="21"/>
                <w:szCs w:val="21"/>
                <w:highlight w:val="none"/>
                <w:lang w:bidi="ar"/>
              </w:rPr>
              <w:t>（净出力）</w:t>
            </w:r>
            <w:r>
              <w:rPr>
                <w:rFonts w:hint="eastAsia" w:ascii="宋体" w:hAnsi="宋体" w:cs="宋体"/>
                <w:kern w:val="0"/>
                <w:sz w:val="21"/>
                <w:szCs w:val="21"/>
                <w:highlight w:val="none"/>
                <w:lang w:eastAsia="zh-CN" w:bidi="ar"/>
              </w:rPr>
              <w:t>，</w:t>
            </w:r>
            <w:r>
              <w:rPr>
                <w:rFonts w:hint="eastAsia" w:ascii="宋体" w:hAnsi="宋体" w:cs="宋体"/>
                <w:kern w:val="0"/>
                <w:sz w:val="21"/>
                <w:szCs w:val="21"/>
                <w:highlight w:val="none"/>
                <w:lang w:val="en-US" w:eastAsia="zh-CN" w:bidi="ar"/>
              </w:rPr>
              <w:t>回收率≥90%</w:t>
            </w:r>
          </w:p>
        </w:tc>
        <w:tc>
          <w:tcPr>
            <w:tcW w:w="286" w:type="pct"/>
            <w:tcBorders>
              <w:tl2br w:val="nil"/>
              <w:tr2bl w:val="nil"/>
            </w:tcBorders>
            <w:shd w:val="clear" w:color="auto" w:fill="auto"/>
            <w:vAlign w:val="center"/>
          </w:tcPr>
          <w:p w14:paraId="3D0B2512">
            <w:pPr>
              <w:widowControl/>
              <w:jc w:val="center"/>
              <w:textAlignment w:val="center"/>
              <w:rPr>
                <w:rFonts w:ascii="宋体" w:hAnsi="宋体" w:cs="宋体"/>
                <w:sz w:val="21"/>
                <w:szCs w:val="21"/>
                <w:highlight w:val="none"/>
              </w:rPr>
            </w:pPr>
            <w:r>
              <w:rPr>
                <w:rFonts w:hint="eastAsia" w:ascii="宋体" w:hAnsi="宋体" w:cs="宋体"/>
                <w:kern w:val="0"/>
                <w:sz w:val="21"/>
                <w:szCs w:val="21"/>
                <w:highlight w:val="none"/>
                <w:lang w:bidi="ar"/>
              </w:rPr>
              <w:t>套</w:t>
            </w:r>
          </w:p>
        </w:tc>
        <w:tc>
          <w:tcPr>
            <w:tcW w:w="333" w:type="pct"/>
            <w:tcBorders>
              <w:tl2br w:val="nil"/>
              <w:tr2bl w:val="nil"/>
            </w:tcBorders>
            <w:shd w:val="clear" w:color="auto" w:fill="auto"/>
            <w:vAlign w:val="center"/>
          </w:tcPr>
          <w:p w14:paraId="6F9A0A6A">
            <w:pPr>
              <w:widowControl/>
              <w:jc w:val="center"/>
              <w:textAlignment w:val="center"/>
              <w:rPr>
                <w:sz w:val="21"/>
                <w:szCs w:val="21"/>
                <w:highlight w:val="none"/>
              </w:rPr>
            </w:pPr>
            <w:r>
              <w:rPr>
                <w:kern w:val="0"/>
                <w:sz w:val="21"/>
                <w:szCs w:val="21"/>
                <w:highlight w:val="none"/>
                <w:lang w:bidi="ar"/>
              </w:rPr>
              <w:t>1</w:t>
            </w:r>
          </w:p>
        </w:tc>
        <w:tc>
          <w:tcPr>
            <w:tcW w:w="1117" w:type="pct"/>
            <w:tcBorders>
              <w:tl2br w:val="nil"/>
              <w:tr2bl w:val="nil"/>
            </w:tcBorders>
            <w:shd w:val="clear" w:color="auto" w:fill="auto"/>
            <w:vAlign w:val="center"/>
          </w:tcPr>
          <w:p w14:paraId="038E6D69">
            <w:pPr>
              <w:widowControl/>
              <w:jc w:val="center"/>
              <w:textAlignment w:val="center"/>
              <w:rPr>
                <w:kern w:val="0"/>
                <w:sz w:val="21"/>
                <w:szCs w:val="21"/>
                <w:highlight w:val="none"/>
                <w:lang w:bidi="ar"/>
              </w:rPr>
            </w:pPr>
          </w:p>
        </w:tc>
        <w:tc>
          <w:tcPr>
            <w:tcW w:w="743" w:type="pct"/>
            <w:tcBorders>
              <w:tl2br w:val="nil"/>
              <w:tr2bl w:val="nil"/>
            </w:tcBorders>
            <w:shd w:val="clear" w:color="auto" w:fill="auto"/>
            <w:vAlign w:val="center"/>
          </w:tcPr>
          <w:p w14:paraId="0A081403">
            <w:pPr>
              <w:jc w:val="center"/>
              <w:rPr>
                <w:rFonts w:ascii="宋体" w:hAnsi="宋体" w:cs="宋体"/>
                <w:sz w:val="21"/>
                <w:szCs w:val="21"/>
                <w:highlight w:val="none"/>
              </w:rPr>
            </w:pPr>
          </w:p>
        </w:tc>
      </w:tr>
      <w:tr w14:paraId="5BD6FA9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152" w:hRule="atLeast"/>
        </w:trPr>
        <w:tc>
          <w:tcPr>
            <w:tcW w:w="310" w:type="pct"/>
            <w:tcBorders>
              <w:tl2br w:val="nil"/>
              <w:tr2bl w:val="nil"/>
            </w:tcBorders>
            <w:shd w:val="clear" w:color="auto" w:fill="auto"/>
            <w:vAlign w:val="center"/>
          </w:tcPr>
          <w:p w14:paraId="27F09419">
            <w:pPr>
              <w:jc w:val="center"/>
              <w:rPr>
                <w:sz w:val="21"/>
                <w:szCs w:val="21"/>
                <w:highlight w:val="none"/>
              </w:rPr>
            </w:pPr>
          </w:p>
        </w:tc>
        <w:tc>
          <w:tcPr>
            <w:tcW w:w="912" w:type="pct"/>
            <w:tcBorders>
              <w:tl2br w:val="nil"/>
              <w:tr2bl w:val="nil"/>
            </w:tcBorders>
            <w:shd w:val="clear" w:color="auto" w:fill="auto"/>
            <w:vAlign w:val="center"/>
          </w:tcPr>
          <w:p w14:paraId="536E3D9A">
            <w:pPr>
              <w:widowControl/>
              <w:jc w:val="center"/>
              <w:textAlignment w:val="center"/>
              <w:rPr>
                <w:rFonts w:ascii="宋体" w:hAnsi="宋体" w:cs="宋体"/>
                <w:sz w:val="21"/>
                <w:szCs w:val="21"/>
                <w:highlight w:val="none"/>
              </w:rPr>
            </w:pPr>
            <w:r>
              <w:rPr>
                <w:rFonts w:hint="eastAsia" w:ascii="宋体" w:hAnsi="宋体" w:cs="宋体"/>
                <w:kern w:val="0"/>
                <w:sz w:val="21"/>
                <w:szCs w:val="21"/>
                <w:highlight w:val="none"/>
                <w:lang w:bidi="ar"/>
              </w:rPr>
              <w:t>膜元件</w:t>
            </w:r>
          </w:p>
        </w:tc>
        <w:tc>
          <w:tcPr>
            <w:tcW w:w="1295" w:type="pct"/>
            <w:tcBorders>
              <w:tl2br w:val="nil"/>
              <w:tr2bl w:val="nil"/>
            </w:tcBorders>
            <w:shd w:val="clear" w:color="auto" w:fill="auto"/>
            <w:vAlign w:val="center"/>
          </w:tcPr>
          <w:p w14:paraId="473E1177">
            <w:pPr>
              <w:widowControl/>
              <w:jc w:val="center"/>
              <w:textAlignment w:val="center"/>
              <w:rPr>
                <w:rFonts w:ascii="宋体" w:hAnsi="宋体" w:cs="宋体"/>
                <w:sz w:val="21"/>
                <w:szCs w:val="21"/>
                <w:highlight w:val="none"/>
              </w:rPr>
            </w:pPr>
            <w:r>
              <w:rPr>
                <w:rFonts w:hint="eastAsia" w:ascii="宋体" w:hAnsi="宋体" w:cs="宋体"/>
                <w:kern w:val="0"/>
                <w:sz w:val="21"/>
                <w:szCs w:val="21"/>
                <w:highlight w:val="none"/>
                <w:lang w:bidi="ar"/>
              </w:rPr>
              <w:t>单支膜面积77m²，外压式</w:t>
            </w:r>
            <w:r>
              <w:rPr>
                <w:kern w:val="0"/>
                <w:sz w:val="21"/>
                <w:szCs w:val="21"/>
                <w:highlight w:val="none"/>
                <w:lang w:bidi="ar"/>
              </w:rPr>
              <w:t>PVDF</w:t>
            </w:r>
          </w:p>
        </w:tc>
        <w:tc>
          <w:tcPr>
            <w:tcW w:w="286" w:type="pct"/>
            <w:tcBorders>
              <w:tl2br w:val="nil"/>
              <w:tr2bl w:val="nil"/>
            </w:tcBorders>
            <w:shd w:val="clear" w:color="auto" w:fill="auto"/>
            <w:vAlign w:val="center"/>
          </w:tcPr>
          <w:p w14:paraId="3330D7E0">
            <w:pPr>
              <w:widowControl/>
              <w:jc w:val="center"/>
              <w:textAlignment w:val="center"/>
              <w:rPr>
                <w:rFonts w:ascii="宋体" w:hAnsi="宋体" w:cs="宋体"/>
                <w:sz w:val="21"/>
                <w:szCs w:val="21"/>
                <w:highlight w:val="none"/>
              </w:rPr>
            </w:pPr>
            <w:r>
              <w:rPr>
                <w:rFonts w:hint="eastAsia" w:ascii="宋体" w:hAnsi="宋体" w:cs="宋体"/>
                <w:kern w:val="0"/>
                <w:sz w:val="21"/>
                <w:szCs w:val="21"/>
                <w:highlight w:val="none"/>
                <w:lang w:bidi="ar"/>
              </w:rPr>
              <w:t>只</w:t>
            </w:r>
          </w:p>
        </w:tc>
        <w:tc>
          <w:tcPr>
            <w:tcW w:w="333" w:type="pct"/>
            <w:tcBorders>
              <w:tl2br w:val="nil"/>
              <w:tr2bl w:val="nil"/>
            </w:tcBorders>
            <w:shd w:val="clear" w:color="auto" w:fill="auto"/>
            <w:vAlign w:val="center"/>
          </w:tcPr>
          <w:p w14:paraId="73D67773">
            <w:pPr>
              <w:widowControl/>
              <w:jc w:val="center"/>
              <w:textAlignment w:val="center"/>
              <w:rPr>
                <w:sz w:val="21"/>
                <w:szCs w:val="21"/>
                <w:highlight w:val="none"/>
              </w:rPr>
            </w:pPr>
            <w:r>
              <w:rPr>
                <w:kern w:val="0"/>
                <w:sz w:val="21"/>
                <w:szCs w:val="21"/>
                <w:highlight w:val="none"/>
                <w:lang w:bidi="ar"/>
              </w:rPr>
              <w:t>46</w:t>
            </w:r>
          </w:p>
        </w:tc>
        <w:tc>
          <w:tcPr>
            <w:tcW w:w="1117" w:type="pct"/>
            <w:tcBorders>
              <w:tl2br w:val="nil"/>
              <w:tr2bl w:val="nil"/>
            </w:tcBorders>
            <w:shd w:val="clear" w:color="auto" w:fill="auto"/>
            <w:vAlign w:val="center"/>
          </w:tcPr>
          <w:p w14:paraId="05B17722">
            <w:pPr>
              <w:widowControl/>
              <w:jc w:val="center"/>
              <w:textAlignment w:val="center"/>
              <w:rPr>
                <w:kern w:val="0"/>
                <w:sz w:val="21"/>
                <w:szCs w:val="21"/>
                <w:highlight w:val="none"/>
                <w:lang w:bidi="ar"/>
              </w:rPr>
            </w:pPr>
            <w:r>
              <w:rPr>
                <w:rFonts w:hint="eastAsia"/>
                <w:kern w:val="0"/>
                <w:sz w:val="21"/>
                <w:szCs w:val="21"/>
                <w:highlight w:val="none"/>
                <w:lang w:bidi="ar"/>
              </w:rPr>
              <w:t>膜天、赛诺、求是、斯科能、坎普尔、欧美新材料、津膜或“相当于”</w:t>
            </w:r>
          </w:p>
        </w:tc>
        <w:tc>
          <w:tcPr>
            <w:tcW w:w="743" w:type="pct"/>
            <w:tcBorders>
              <w:tl2br w:val="nil"/>
              <w:tr2bl w:val="nil"/>
            </w:tcBorders>
            <w:shd w:val="clear" w:color="auto" w:fill="auto"/>
            <w:vAlign w:val="center"/>
          </w:tcPr>
          <w:p w14:paraId="04340CAD">
            <w:pPr>
              <w:jc w:val="center"/>
              <w:rPr>
                <w:rFonts w:ascii="宋体" w:hAnsi="宋体" w:cs="宋体"/>
                <w:sz w:val="21"/>
                <w:szCs w:val="21"/>
                <w:highlight w:val="none"/>
              </w:rPr>
            </w:pPr>
          </w:p>
        </w:tc>
      </w:tr>
      <w:tr w14:paraId="18EE415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365" w:hRule="atLeast"/>
        </w:trPr>
        <w:tc>
          <w:tcPr>
            <w:tcW w:w="310" w:type="pct"/>
            <w:tcBorders>
              <w:tl2br w:val="nil"/>
              <w:tr2bl w:val="nil"/>
            </w:tcBorders>
            <w:shd w:val="clear" w:color="auto" w:fill="auto"/>
            <w:vAlign w:val="center"/>
          </w:tcPr>
          <w:p w14:paraId="6158B0CC">
            <w:pPr>
              <w:jc w:val="center"/>
              <w:rPr>
                <w:sz w:val="21"/>
                <w:szCs w:val="21"/>
                <w:highlight w:val="none"/>
              </w:rPr>
            </w:pPr>
          </w:p>
        </w:tc>
        <w:tc>
          <w:tcPr>
            <w:tcW w:w="912" w:type="pct"/>
            <w:tcBorders>
              <w:tl2br w:val="nil"/>
              <w:tr2bl w:val="nil"/>
            </w:tcBorders>
            <w:shd w:val="clear" w:color="auto" w:fill="auto"/>
            <w:vAlign w:val="center"/>
          </w:tcPr>
          <w:p w14:paraId="22836D8F">
            <w:pPr>
              <w:widowControl/>
              <w:jc w:val="center"/>
              <w:textAlignment w:val="center"/>
              <w:rPr>
                <w:rFonts w:ascii="宋体" w:hAnsi="宋体" w:cs="宋体"/>
                <w:sz w:val="21"/>
                <w:szCs w:val="21"/>
                <w:highlight w:val="none"/>
              </w:rPr>
            </w:pPr>
            <w:r>
              <w:rPr>
                <w:rFonts w:hint="eastAsia" w:ascii="宋体" w:hAnsi="宋体" w:cs="宋体"/>
                <w:kern w:val="0"/>
                <w:sz w:val="21"/>
                <w:szCs w:val="21"/>
                <w:highlight w:val="none"/>
                <w:lang w:bidi="ar"/>
              </w:rPr>
              <w:t>滑架</w:t>
            </w:r>
          </w:p>
        </w:tc>
        <w:tc>
          <w:tcPr>
            <w:tcW w:w="1295" w:type="pct"/>
            <w:tcBorders>
              <w:tl2br w:val="nil"/>
              <w:tr2bl w:val="nil"/>
            </w:tcBorders>
            <w:shd w:val="clear" w:color="auto" w:fill="auto"/>
            <w:vAlign w:val="center"/>
          </w:tcPr>
          <w:p w14:paraId="270ECC8F">
            <w:pPr>
              <w:widowControl/>
              <w:jc w:val="center"/>
              <w:textAlignment w:val="center"/>
              <w:rPr>
                <w:rFonts w:ascii="宋体" w:hAnsi="宋体" w:cs="宋体"/>
                <w:sz w:val="21"/>
                <w:szCs w:val="21"/>
                <w:highlight w:val="none"/>
              </w:rPr>
            </w:pPr>
            <w:r>
              <w:rPr>
                <w:rFonts w:hint="eastAsia" w:ascii="宋体" w:hAnsi="宋体" w:cs="宋体"/>
                <w:kern w:val="0"/>
                <w:sz w:val="21"/>
                <w:szCs w:val="21"/>
                <w:highlight w:val="none"/>
                <w:lang w:bidi="ar"/>
              </w:rPr>
              <w:t>碳钢防腐，管道采用</w:t>
            </w:r>
            <w:r>
              <w:rPr>
                <w:kern w:val="0"/>
                <w:sz w:val="21"/>
                <w:szCs w:val="21"/>
                <w:highlight w:val="none"/>
                <w:lang w:bidi="ar"/>
              </w:rPr>
              <w:t>UPVC</w:t>
            </w:r>
            <w:r>
              <w:rPr>
                <w:rFonts w:hint="eastAsia" w:ascii="宋体" w:hAnsi="宋体" w:cs="宋体"/>
                <w:kern w:val="0"/>
                <w:sz w:val="21"/>
                <w:szCs w:val="21"/>
                <w:highlight w:val="none"/>
                <w:lang w:bidi="ar"/>
              </w:rPr>
              <w:t>材质，含内部管阀、就地仪表等。（可成套发货）</w:t>
            </w:r>
          </w:p>
        </w:tc>
        <w:tc>
          <w:tcPr>
            <w:tcW w:w="286" w:type="pct"/>
            <w:tcBorders>
              <w:tl2br w:val="nil"/>
              <w:tr2bl w:val="nil"/>
            </w:tcBorders>
            <w:shd w:val="clear" w:color="auto" w:fill="auto"/>
            <w:vAlign w:val="center"/>
          </w:tcPr>
          <w:p w14:paraId="7DCA59F8">
            <w:pPr>
              <w:widowControl/>
              <w:jc w:val="center"/>
              <w:textAlignment w:val="center"/>
              <w:rPr>
                <w:rFonts w:ascii="宋体" w:hAnsi="宋体" w:cs="宋体"/>
                <w:sz w:val="21"/>
                <w:szCs w:val="21"/>
                <w:highlight w:val="none"/>
              </w:rPr>
            </w:pPr>
            <w:r>
              <w:rPr>
                <w:rFonts w:hint="eastAsia" w:ascii="宋体" w:hAnsi="宋体" w:cs="宋体"/>
                <w:kern w:val="0"/>
                <w:sz w:val="21"/>
                <w:szCs w:val="21"/>
                <w:highlight w:val="none"/>
                <w:lang w:bidi="ar"/>
              </w:rPr>
              <w:t>套</w:t>
            </w:r>
          </w:p>
        </w:tc>
        <w:tc>
          <w:tcPr>
            <w:tcW w:w="333" w:type="pct"/>
            <w:tcBorders>
              <w:tl2br w:val="nil"/>
              <w:tr2bl w:val="nil"/>
            </w:tcBorders>
            <w:shd w:val="clear" w:color="auto" w:fill="auto"/>
            <w:vAlign w:val="center"/>
          </w:tcPr>
          <w:p w14:paraId="56EA7EFF">
            <w:pPr>
              <w:widowControl/>
              <w:jc w:val="center"/>
              <w:textAlignment w:val="center"/>
              <w:rPr>
                <w:sz w:val="21"/>
                <w:szCs w:val="21"/>
                <w:highlight w:val="none"/>
              </w:rPr>
            </w:pPr>
            <w:r>
              <w:rPr>
                <w:kern w:val="0"/>
                <w:sz w:val="21"/>
                <w:szCs w:val="21"/>
                <w:highlight w:val="none"/>
                <w:lang w:bidi="ar"/>
              </w:rPr>
              <w:t>1</w:t>
            </w:r>
          </w:p>
        </w:tc>
        <w:tc>
          <w:tcPr>
            <w:tcW w:w="1117" w:type="pct"/>
            <w:tcBorders>
              <w:tl2br w:val="nil"/>
              <w:tr2bl w:val="nil"/>
            </w:tcBorders>
            <w:shd w:val="clear" w:color="auto" w:fill="auto"/>
            <w:vAlign w:val="center"/>
          </w:tcPr>
          <w:p w14:paraId="7D16D8DF">
            <w:pPr>
              <w:widowControl/>
              <w:jc w:val="center"/>
              <w:textAlignment w:val="center"/>
              <w:rPr>
                <w:kern w:val="0"/>
                <w:sz w:val="21"/>
                <w:szCs w:val="21"/>
                <w:highlight w:val="none"/>
                <w:lang w:bidi="ar"/>
              </w:rPr>
            </w:pPr>
            <w:r>
              <w:rPr>
                <w:kern w:val="0"/>
                <w:sz w:val="21"/>
                <w:szCs w:val="21"/>
                <w:highlight w:val="none"/>
                <w:lang w:bidi="ar"/>
              </w:rPr>
              <w:t>国产优质</w:t>
            </w:r>
          </w:p>
        </w:tc>
        <w:tc>
          <w:tcPr>
            <w:tcW w:w="743" w:type="pct"/>
            <w:tcBorders>
              <w:tl2br w:val="nil"/>
              <w:tr2bl w:val="nil"/>
            </w:tcBorders>
            <w:shd w:val="clear" w:color="auto" w:fill="auto"/>
            <w:vAlign w:val="center"/>
          </w:tcPr>
          <w:p w14:paraId="708AD3DA">
            <w:pPr>
              <w:jc w:val="center"/>
              <w:rPr>
                <w:rFonts w:ascii="宋体" w:hAnsi="宋体" w:cs="宋体"/>
                <w:sz w:val="21"/>
                <w:szCs w:val="21"/>
                <w:highlight w:val="none"/>
              </w:rPr>
            </w:pPr>
          </w:p>
        </w:tc>
      </w:tr>
      <w:tr w14:paraId="0084385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310" w:type="pct"/>
            <w:tcBorders>
              <w:tl2br w:val="nil"/>
              <w:tr2bl w:val="nil"/>
            </w:tcBorders>
            <w:shd w:val="clear" w:color="auto" w:fill="auto"/>
            <w:vAlign w:val="center"/>
          </w:tcPr>
          <w:p w14:paraId="10E8C9C2">
            <w:pPr>
              <w:widowControl/>
              <w:jc w:val="center"/>
              <w:textAlignment w:val="center"/>
              <w:rPr>
                <w:rFonts w:ascii="宋体" w:hAnsi="宋体" w:cs="宋体"/>
                <w:b/>
                <w:bCs/>
                <w:sz w:val="21"/>
                <w:szCs w:val="21"/>
                <w:highlight w:val="none"/>
              </w:rPr>
            </w:pPr>
            <w:r>
              <w:rPr>
                <w:rFonts w:hint="eastAsia" w:ascii="宋体" w:hAnsi="宋体" w:cs="宋体"/>
                <w:b/>
                <w:bCs/>
                <w:kern w:val="0"/>
                <w:sz w:val="21"/>
                <w:szCs w:val="21"/>
                <w:highlight w:val="none"/>
                <w:lang w:bidi="ar"/>
              </w:rPr>
              <w:t>二</w:t>
            </w:r>
          </w:p>
        </w:tc>
        <w:tc>
          <w:tcPr>
            <w:tcW w:w="912" w:type="pct"/>
            <w:tcBorders>
              <w:tl2br w:val="nil"/>
              <w:tr2bl w:val="nil"/>
            </w:tcBorders>
            <w:shd w:val="clear" w:color="auto" w:fill="auto"/>
            <w:vAlign w:val="center"/>
          </w:tcPr>
          <w:p w14:paraId="4D90D9A3">
            <w:pPr>
              <w:widowControl/>
              <w:jc w:val="center"/>
              <w:textAlignment w:val="center"/>
              <w:rPr>
                <w:rFonts w:ascii="宋体" w:hAnsi="宋体" w:cs="宋体"/>
                <w:b/>
                <w:bCs/>
                <w:sz w:val="21"/>
                <w:szCs w:val="21"/>
                <w:highlight w:val="none"/>
              </w:rPr>
            </w:pPr>
            <w:r>
              <w:rPr>
                <w:rFonts w:hint="eastAsia" w:ascii="宋体" w:hAnsi="宋体" w:cs="宋体"/>
                <w:b/>
                <w:bCs/>
                <w:kern w:val="0"/>
                <w:sz w:val="21"/>
                <w:szCs w:val="21"/>
                <w:highlight w:val="none"/>
                <w:lang w:bidi="ar"/>
              </w:rPr>
              <w:t>反渗透单元</w:t>
            </w:r>
          </w:p>
        </w:tc>
        <w:tc>
          <w:tcPr>
            <w:tcW w:w="1295" w:type="pct"/>
            <w:tcBorders>
              <w:tl2br w:val="nil"/>
              <w:tr2bl w:val="nil"/>
            </w:tcBorders>
            <w:shd w:val="clear" w:color="auto" w:fill="auto"/>
            <w:vAlign w:val="center"/>
          </w:tcPr>
          <w:p w14:paraId="48FA2AF7">
            <w:pPr>
              <w:jc w:val="center"/>
              <w:rPr>
                <w:b/>
                <w:bCs/>
                <w:sz w:val="21"/>
                <w:szCs w:val="21"/>
                <w:highlight w:val="none"/>
              </w:rPr>
            </w:pPr>
          </w:p>
        </w:tc>
        <w:tc>
          <w:tcPr>
            <w:tcW w:w="286" w:type="pct"/>
            <w:tcBorders>
              <w:tl2br w:val="nil"/>
              <w:tr2bl w:val="nil"/>
            </w:tcBorders>
            <w:shd w:val="clear" w:color="auto" w:fill="auto"/>
            <w:vAlign w:val="center"/>
          </w:tcPr>
          <w:p w14:paraId="404F1D06">
            <w:pPr>
              <w:jc w:val="center"/>
              <w:rPr>
                <w:b/>
                <w:bCs/>
                <w:sz w:val="21"/>
                <w:szCs w:val="21"/>
                <w:highlight w:val="none"/>
              </w:rPr>
            </w:pPr>
          </w:p>
        </w:tc>
        <w:tc>
          <w:tcPr>
            <w:tcW w:w="333" w:type="pct"/>
            <w:tcBorders>
              <w:tl2br w:val="nil"/>
              <w:tr2bl w:val="nil"/>
            </w:tcBorders>
            <w:shd w:val="clear" w:color="auto" w:fill="auto"/>
            <w:vAlign w:val="center"/>
          </w:tcPr>
          <w:p w14:paraId="36193A1C">
            <w:pPr>
              <w:jc w:val="center"/>
              <w:rPr>
                <w:b/>
                <w:bCs/>
                <w:sz w:val="21"/>
                <w:szCs w:val="21"/>
                <w:highlight w:val="none"/>
              </w:rPr>
            </w:pPr>
          </w:p>
        </w:tc>
        <w:tc>
          <w:tcPr>
            <w:tcW w:w="1117" w:type="pct"/>
            <w:tcBorders>
              <w:tl2br w:val="nil"/>
              <w:tr2bl w:val="nil"/>
            </w:tcBorders>
            <w:shd w:val="clear" w:color="auto" w:fill="auto"/>
            <w:vAlign w:val="center"/>
          </w:tcPr>
          <w:p w14:paraId="00D7103A">
            <w:pPr>
              <w:jc w:val="center"/>
              <w:rPr>
                <w:b/>
                <w:bCs/>
                <w:sz w:val="21"/>
                <w:szCs w:val="21"/>
                <w:highlight w:val="none"/>
              </w:rPr>
            </w:pPr>
          </w:p>
        </w:tc>
        <w:tc>
          <w:tcPr>
            <w:tcW w:w="743" w:type="pct"/>
            <w:tcBorders>
              <w:tl2br w:val="nil"/>
              <w:tr2bl w:val="nil"/>
            </w:tcBorders>
            <w:shd w:val="clear" w:color="auto" w:fill="auto"/>
            <w:vAlign w:val="center"/>
          </w:tcPr>
          <w:p w14:paraId="5596428F">
            <w:pPr>
              <w:jc w:val="center"/>
              <w:rPr>
                <w:b/>
                <w:bCs/>
                <w:sz w:val="21"/>
                <w:szCs w:val="21"/>
                <w:highlight w:val="none"/>
              </w:rPr>
            </w:pPr>
          </w:p>
        </w:tc>
      </w:tr>
      <w:tr w14:paraId="1A1E12C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64" w:hRule="atLeast"/>
        </w:trPr>
        <w:tc>
          <w:tcPr>
            <w:tcW w:w="310" w:type="pct"/>
            <w:tcBorders>
              <w:tl2br w:val="nil"/>
              <w:tr2bl w:val="nil"/>
            </w:tcBorders>
            <w:shd w:val="clear" w:color="auto" w:fill="auto"/>
            <w:vAlign w:val="center"/>
          </w:tcPr>
          <w:p w14:paraId="6B728FD0">
            <w:pPr>
              <w:widowControl/>
              <w:jc w:val="center"/>
              <w:textAlignment w:val="center"/>
              <w:rPr>
                <w:sz w:val="21"/>
                <w:szCs w:val="21"/>
                <w:highlight w:val="none"/>
              </w:rPr>
            </w:pPr>
            <w:r>
              <w:rPr>
                <w:kern w:val="0"/>
                <w:sz w:val="21"/>
                <w:szCs w:val="21"/>
                <w:highlight w:val="none"/>
                <w:lang w:bidi="ar"/>
              </w:rPr>
              <w:t>1</w:t>
            </w:r>
          </w:p>
        </w:tc>
        <w:tc>
          <w:tcPr>
            <w:tcW w:w="912" w:type="pct"/>
            <w:tcBorders>
              <w:tl2br w:val="nil"/>
              <w:tr2bl w:val="nil"/>
            </w:tcBorders>
            <w:shd w:val="clear" w:color="auto" w:fill="auto"/>
            <w:vAlign w:val="center"/>
          </w:tcPr>
          <w:p w14:paraId="25040478">
            <w:pPr>
              <w:widowControl/>
              <w:jc w:val="center"/>
              <w:textAlignment w:val="center"/>
              <w:rPr>
                <w:rFonts w:ascii="宋体" w:hAnsi="宋体" w:cs="宋体"/>
                <w:sz w:val="21"/>
                <w:szCs w:val="21"/>
                <w:highlight w:val="none"/>
              </w:rPr>
            </w:pPr>
            <w:r>
              <w:rPr>
                <w:rFonts w:hint="eastAsia" w:ascii="宋体" w:hAnsi="宋体" w:cs="宋体"/>
                <w:kern w:val="0"/>
                <w:sz w:val="21"/>
                <w:szCs w:val="21"/>
                <w:highlight w:val="none"/>
                <w:lang w:bidi="ar"/>
              </w:rPr>
              <w:t>反渗透保安过滤器</w:t>
            </w:r>
          </w:p>
        </w:tc>
        <w:tc>
          <w:tcPr>
            <w:tcW w:w="1295" w:type="pct"/>
            <w:tcBorders>
              <w:tl2br w:val="nil"/>
              <w:tr2bl w:val="nil"/>
            </w:tcBorders>
            <w:shd w:val="clear" w:color="auto" w:fill="auto"/>
            <w:vAlign w:val="center"/>
          </w:tcPr>
          <w:p w14:paraId="262C2FCF">
            <w:pPr>
              <w:widowControl/>
              <w:jc w:val="center"/>
              <w:textAlignment w:val="center"/>
              <w:rPr>
                <w:rFonts w:ascii="宋体" w:hAnsi="宋体" w:cs="宋体"/>
                <w:sz w:val="21"/>
                <w:szCs w:val="21"/>
                <w:highlight w:val="none"/>
              </w:rPr>
            </w:pPr>
            <w:r>
              <w:rPr>
                <w:rFonts w:hint="eastAsia" w:ascii="宋体" w:hAnsi="宋体" w:cs="宋体"/>
                <w:kern w:val="0"/>
                <w:sz w:val="21"/>
                <w:szCs w:val="21"/>
                <w:highlight w:val="none"/>
                <w:lang w:bidi="ar"/>
              </w:rPr>
              <w:t>立式圆筒型，</w:t>
            </w:r>
            <w:r>
              <w:rPr>
                <w:kern w:val="0"/>
                <w:sz w:val="21"/>
                <w:szCs w:val="21"/>
                <w:highlight w:val="none"/>
                <w:lang w:bidi="ar"/>
              </w:rPr>
              <w:t>Q=160</w:t>
            </w:r>
            <w:r>
              <w:rPr>
                <w:rFonts w:hint="eastAsia"/>
                <w:kern w:val="0"/>
                <w:sz w:val="21"/>
                <w:szCs w:val="21"/>
                <w:highlight w:val="none"/>
                <w:lang w:bidi="ar"/>
              </w:rPr>
              <w:t>m³</w:t>
            </w:r>
            <w:r>
              <w:rPr>
                <w:kern w:val="0"/>
                <w:sz w:val="21"/>
                <w:szCs w:val="21"/>
                <w:highlight w:val="none"/>
                <w:lang w:bidi="ar"/>
              </w:rPr>
              <w:t>/h</w:t>
            </w:r>
            <w:r>
              <w:rPr>
                <w:rFonts w:hint="eastAsia" w:ascii="宋体" w:hAnsi="宋体" w:cs="宋体"/>
                <w:kern w:val="0"/>
                <w:sz w:val="21"/>
                <w:szCs w:val="21"/>
                <w:highlight w:val="none"/>
                <w:lang w:bidi="ar"/>
              </w:rPr>
              <w:t>，本体材质</w:t>
            </w:r>
            <w:r>
              <w:rPr>
                <w:kern w:val="0"/>
                <w:sz w:val="21"/>
                <w:szCs w:val="21"/>
                <w:highlight w:val="none"/>
                <w:lang w:bidi="ar"/>
              </w:rPr>
              <w:t>316L</w:t>
            </w:r>
            <w:r>
              <w:rPr>
                <w:rFonts w:hint="eastAsia" w:ascii="宋体" w:hAnsi="宋体" w:cs="宋体"/>
                <w:kern w:val="0"/>
                <w:sz w:val="21"/>
                <w:szCs w:val="21"/>
                <w:highlight w:val="none"/>
                <w:lang w:bidi="ar"/>
              </w:rPr>
              <w:t>，含大流量折叠滤芯</w:t>
            </w:r>
            <w:r>
              <w:rPr>
                <w:rFonts w:hint="eastAsia"/>
                <w:kern w:val="0"/>
                <w:sz w:val="21"/>
                <w:szCs w:val="21"/>
                <w:highlight w:val="none"/>
                <w:lang w:val="en-US" w:eastAsia="zh-CN" w:bidi="ar"/>
              </w:rPr>
              <w:t>6</w:t>
            </w:r>
            <w:r>
              <w:rPr>
                <w:rFonts w:hint="eastAsia" w:ascii="宋体" w:hAnsi="宋体" w:cs="宋体"/>
                <w:kern w:val="0"/>
                <w:sz w:val="21"/>
                <w:szCs w:val="21"/>
                <w:highlight w:val="none"/>
                <w:lang w:bidi="ar"/>
              </w:rPr>
              <w:t>只</w:t>
            </w:r>
          </w:p>
        </w:tc>
        <w:tc>
          <w:tcPr>
            <w:tcW w:w="286" w:type="pct"/>
            <w:tcBorders>
              <w:tl2br w:val="nil"/>
              <w:tr2bl w:val="nil"/>
            </w:tcBorders>
            <w:shd w:val="clear" w:color="auto" w:fill="auto"/>
            <w:vAlign w:val="center"/>
          </w:tcPr>
          <w:p w14:paraId="0832E53B">
            <w:pPr>
              <w:widowControl/>
              <w:jc w:val="center"/>
              <w:textAlignment w:val="center"/>
              <w:rPr>
                <w:rFonts w:ascii="宋体" w:hAnsi="宋体" w:cs="宋体"/>
                <w:sz w:val="21"/>
                <w:szCs w:val="21"/>
                <w:highlight w:val="none"/>
              </w:rPr>
            </w:pPr>
            <w:r>
              <w:rPr>
                <w:rFonts w:hint="eastAsia" w:ascii="宋体" w:hAnsi="宋体" w:cs="宋体"/>
                <w:kern w:val="0"/>
                <w:sz w:val="21"/>
                <w:szCs w:val="21"/>
                <w:highlight w:val="none"/>
                <w:lang w:bidi="ar"/>
              </w:rPr>
              <w:t>台</w:t>
            </w:r>
          </w:p>
        </w:tc>
        <w:tc>
          <w:tcPr>
            <w:tcW w:w="333" w:type="pct"/>
            <w:tcBorders>
              <w:tl2br w:val="nil"/>
              <w:tr2bl w:val="nil"/>
            </w:tcBorders>
            <w:shd w:val="clear" w:color="auto" w:fill="auto"/>
            <w:vAlign w:val="center"/>
          </w:tcPr>
          <w:p w14:paraId="2390B16C">
            <w:pPr>
              <w:widowControl/>
              <w:jc w:val="center"/>
              <w:textAlignment w:val="center"/>
              <w:rPr>
                <w:sz w:val="21"/>
                <w:szCs w:val="21"/>
                <w:highlight w:val="none"/>
              </w:rPr>
            </w:pPr>
            <w:r>
              <w:rPr>
                <w:kern w:val="0"/>
                <w:sz w:val="21"/>
                <w:szCs w:val="21"/>
                <w:highlight w:val="none"/>
                <w:lang w:bidi="ar"/>
              </w:rPr>
              <w:t>1</w:t>
            </w:r>
          </w:p>
        </w:tc>
        <w:tc>
          <w:tcPr>
            <w:tcW w:w="1117" w:type="pct"/>
            <w:tcBorders>
              <w:tl2br w:val="nil"/>
              <w:tr2bl w:val="nil"/>
            </w:tcBorders>
            <w:shd w:val="clear" w:color="auto" w:fill="auto"/>
            <w:vAlign w:val="center"/>
          </w:tcPr>
          <w:p w14:paraId="00F33D6D">
            <w:pPr>
              <w:widowControl/>
              <w:jc w:val="center"/>
              <w:textAlignment w:val="center"/>
              <w:rPr>
                <w:rFonts w:ascii="宋体" w:hAnsi="宋体" w:cs="宋体"/>
                <w:sz w:val="21"/>
                <w:szCs w:val="21"/>
                <w:highlight w:val="none"/>
              </w:rPr>
            </w:pPr>
            <w:r>
              <w:rPr>
                <w:rFonts w:hint="eastAsia" w:ascii="宋体" w:hAnsi="宋体" w:cs="宋体"/>
                <w:kern w:val="0"/>
                <w:sz w:val="21"/>
                <w:szCs w:val="21"/>
                <w:highlight w:val="none"/>
                <w:lang w:bidi="ar"/>
              </w:rPr>
              <w:t>滤芯：科百特、杭州大立、上海策得或“相当于”</w:t>
            </w:r>
          </w:p>
        </w:tc>
        <w:tc>
          <w:tcPr>
            <w:tcW w:w="743" w:type="pct"/>
            <w:tcBorders>
              <w:tl2br w:val="nil"/>
              <w:tr2bl w:val="nil"/>
            </w:tcBorders>
            <w:shd w:val="clear" w:color="auto" w:fill="auto"/>
            <w:vAlign w:val="center"/>
          </w:tcPr>
          <w:p w14:paraId="0E883320">
            <w:pPr>
              <w:jc w:val="center"/>
              <w:rPr>
                <w:sz w:val="21"/>
                <w:szCs w:val="21"/>
                <w:highlight w:val="none"/>
              </w:rPr>
            </w:pPr>
            <w:r>
              <w:rPr>
                <w:rFonts w:hint="eastAsia"/>
                <w:sz w:val="21"/>
                <w:szCs w:val="21"/>
                <w:highlight w:val="none"/>
              </w:rPr>
              <w:t>预留压差变送器的一次阀门</w:t>
            </w:r>
          </w:p>
        </w:tc>
      </w:tr>
      <w:tr w14:paraId="4FA6D9F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64" w:hRule="atLeast"/>
        </w:trPr>
        <w:tc>
          <w:tcPr>
            <w:tcW w:w="310" w:type="pct"/>
            <w:tcBorders>
              <w:tl2br w:val="nil"/>
              <w:tr2bl w:val="nil"/>
            </w:tcBorders>
            <w:shd w:val="clear" w:color="auto" w:fill="auto"/>
            <w:vAlign w:val="center"/>
          </w:tcPr>
          <w:p w14:paraId="0EC2BAC4">
            <w:pPr>
              <w:widowControl/>
              <w:jc w:val="center"/>
              <w:textAlignment w:val="center"/>
              <w:rPr>
                <w:sz w:val="21"/>
                <w:szCs w:val="21"/>
                <w:highlight w:val="none"/>
              </w:rPr>
            </w:pPr>
            <w:r>
              <w:rPr>
                <w:kern w:val="0"/>
                <w:sz w:val="21"/>
                <w:szCs w:val="21"/>
                <w:highlight w:val="none"/>
                <w:lang w:bidi="ar"/>
              </w:rPr>
              <w:t>2</w:t>
            </w:r>
          </w:p>
        </w:tc>
        <w:tc>
          <w:tcPr>
            <w:tcW w:w="912" w:type="pct"/>
            <w:tcBorders>
              <w:tl2br w:val="nil"/>
              <w:tr2bl w:val="nil"/>
            </w:tcBorders>
            <w:shd w:val="clear" w:color="auto" w:fill="auto"/>
            <w:vAlign w:val="center"/>
          </w:tcPr>
          <w:p w14:paraId="5F83ACF5">
            <w:pPr>
              <w:widowControl/>
              <w:jc w:val="center"/>
              <w:textAlignment w:val="center"/>
              <w:rPr>
                <w:rFonts w:ascii="宋体" w:hAnsi="宋体" w:cs="宋体"/>
                <w:sz w:val="21"/>
                <w:szCs w:val="21"/>
                <w:highlight w:val="none"/>
              </w:rPr>
            </w:pPr>
            <w:r>
              <w:rPr>
                <w:rFonts w:hint="eastAsia" w:ascii="宋体" w:hAnsi="宋体" w:cs="宋体"/>
                <w:kern w:val="0"/>
                <w:sz w:val="21"/>
                <w:szCs w:val="21"/>
                <w:highlight w:val="none"/>
                <w:lang w:bidi="ar"/>
              </w:rPr>
              <w:t>反渗透高压泵</w:t>
            </w:r>
          </w:p>
        </w:tc>
        <w:tc>
          <w:tcPr>
            <w:tcW w:w="1295" w:type="pct"/>
            <w:tcBorders>
              <w:tl2br w:val="nil"/>
              <w:tr2bl w:val="nil"/>
            </w:tcBorders>
            <w:shd w:val="clear" w:color="auto" w:fill="auto"/>
            <w:vAlign w:val="center"/>
          </w:tcPr>
          <w:p w14:paraId="598F1A97">
            <w:pPr>
              <w:widowControl/>
              <w:jc w:val="center"/>
              <w:textAlignment w:val="center"/>
              <w:rPr>
                <w:rFonts w:ascii="宋体" w:hAnsi="宋体" w:cs="宋体"/>
                <w:sz w:val="21"/>
                <w:szCs w:val="21"/>
                <w:highlight w:val="none"/>
              </w:rPr>
            </w:pPr>
            <w:r>
              <w:rPr>
                <w:rFonts w:hint="eastAsia" w:ascii="宋体" w:hAnsi="宋体" w:cs="宋体"/>
                <w:kern w:val="0"/>
                <w:sz w:val="21"/>
                <w:szCs w:val="21"/>
                <w:highlight w:val="none"/>
                <w:lang w:bidi="ar"/>
              </w:rPr>
              <w:t>卧式离心泵，</w:t>
            </w:r>
            <w:r>
              <w:rPr>
                <w:kern w:val="0"/>
                <w:sz w:val="21"/>
                <w:szCs w:val="21"/>
                <w:highlight w:val="none"/>
                <w:lang w:bidi="ar"/>
              </w:rPr>
              <w:t>Q=162</w:t>
            </w:r>
            <w:r>
              <w:rPr>
                <w:rFonts w:hint="eastAsia"/>
                <w:kern w:val="0"/>
                <w:sz w:val="21"/>
                <w:szCs w:val="21"/>
                <w:highlight w:val="none"/>
                <w:lang w:bidi="ar"/>
              </w:rPr>
              <w:t>m³</w:t>
            </w:r>
            <w:r>
              <w:rPr>
                <w:kern w:val="0"/>
                <w:sz w:val="21"/>
                <w:szCs w:val="21"/>
                <w:highlight w:val="none"/>
                <w:lang w:bidi="ar"/>
              </w:rPr>
              <w:t>/h H=1.50MPa</w:t>
            </w:r>
            <w:r>
              <w:rPr>
                <w:rFonts w:hint="eastAsia" w:ascii="宋体" w:hAnsi="宋体" w:cs="宋体"/>
                <w:kern w:val="0"/>
                <w:sz w:val="21"/>
                <w:szCs w:val="21"/>
                <w:highlight w:val="none"/>
                <w:lang w:bidi="ar"/>
              </w:rPr>
              <w:t>，过流件材质</w:t>
            </w:r>
            <w:r>
              <w:rPr>
                <w:kern w:val="0"/>
                <w:sz w:val="21"/>
                <w:szCs w:val="21"/>
                <w:highlight w:val="none"/>
                <w:lang w:bidi="ar"/>
              </w:rPr>
              <w:t>SS316L</w:t>
            </w:r>
          </w:p>
        </w:tc>
        <w:tc>
          <w:tcPr>
            <w:tcW w:w="286" w:type="pct"/>
            <w:tcBorders>
              <w:tl2br w:val="nil"/>
              <w:tr2bl w:val="nil"/>
            </w:tcBorders>
            <w:shd w:val="clear" w:color="auto" w:fill="auto"/>
            <w:vAlign w:val="center"/>
          </w:tcPr>
          <w:p w14:paraId="61FC0472">
            <w:pPr>
              <w:widowControl/>
              <w:jc w:val="center"/>
              <w:textAlignment w:val="center"/>
              <w:rPr>
                <w:rFonts w:ascii="宋体" w:hAnsi="宋体" w:cs="宋体"/>
                <w:sz w:val="21"/>
                <w:szCs w:val="21"/>
                <w:highlight w:val="none"/>
              </w:rPr>
            </w:pPr>
            <w:r>
              <w:rPr>
                <w:rFonts w:hint="eastAsia" w:ascii="宋体" w:hAnsi="宋体" w:cs="宋体"/>
                <w:kern w:val="0"/>
                <w:sz w:val="21"/>
                <w:szCs w:val="21"/>
                <w:highlight w:val="none"/>
                <w:lang w:bidi="ar"/>
              </w:rPr>
              <w:t>台</w:t>
            </w:r>
          </w:p>
        </w:tc>
        <w:tc>
          <w:tcPr>
            <w:tcW w:w="333" w:type="pct"/>
            <w:tcBorders>
              <w:tl2br w:val="nil"/>
              <w:tr2bl w:val="nil"/>
            </w:tcBorders>
            <w:shd w:val="clear" w:color="auto" w:fill="auto"/>
            <w:vAlign w:val="center"/>
          </w:tcPr>
          <w:p w14:paraId="1C437158">
            <w:pPr>
              <w:widowControl/>
              <w:jc w:val="center"/>
              <w:textAlignment w:val="center"/>
              <w:rPr>
                <w:sz w:val="21"/>
                <w:szCs w:val="21"/>
                <w:highlight w:val="none"/>
              </w:rPr>
            </w:pPr>
            <w:r>
              <w:rPr>
                <w:kern w:val="0"/>
                <w:sz w:val="21"/>
                <w:szCs w:val="21"/>
                <w:highlight w:val="none"/>
                <w:lang w:bidi="ar"/>
              </w:rPr>
              <w:t>1</w:t>
            </w:r>
          </w:p>
        </w:tc>
        <w:tc>
          <w:tcPr>
            <w:tcW w:w="1117" w:type="pct"/>
            <w:tcBorders>
              <w:tl2br w:val="nil"/>
              <w:tr2bl w:val="nil"/>
            </w:tcBorders>
            <w:shd w:val="clear" w:color="auto" w:fill="auto"/>
            <w:vAlign w:val="center"/>
          </w:tcPr>
          <w:p w14:paraId="625FEDF8">
            <w:pPr>
              <w:widowControl/>
              <w:jc w:val="center"/>
              <w:textAlignment w:val="center"/>
              <w:rPr>
                <w:rFonts w:ascii="宋体" w:hAnsi="宋体" w:cs="宋体"/>
                <w:sz w:val="21"/>
                <w:szCs w:val="21"/>
                <w:highlight w:val="none"/>
              </w:rPr>
            </w:pPr>
            <w:r>
              <w:rPr>
                <w:rFonts w:hint="eastAsia" w:ascii="宋体" w:hAnsi="宋体" w:cs="宋体"/>
                <w:kern w:val="0"/>
                <w:sz w:val="21"/>
                <w:szCs w:val="21"/>
                <w:highlight w:val="none"/>
                <w:lang w:bidi="ar"/>
              </w:rPr>
              <w:t>格兰富、滨特尔、赛莱默</w:t>
            </w:r>
          </w:p>
        </w:tc>
        <w:tc>
          <w:tcPr>
            <w:tcW w:w="743" w:type="pct"/>
            <w:tcBorders>
              <w:tl2br w:val="nil"/>
              <w:tr2bl w:val="nil"/>
            </w:tcBorders>
            <w:shd w:val="clear" w:color="auto" w:fill="auto"/>
            <w:vAlign w:val="center"/>
          </w:tcPr>
          <w:p w14:paraId="15393B5B">
            <w:pPr>
              <w:jc w:val="center"/>
              <w:rPr>
                <w:sz w:val="21"/>
                <w:szCs w:val="21"/>
                <w:highlight w:val="none"/>
              </w:rPr>
            </w:pPr>
          </w:p>
        </w:tc>
      </w:tr>
      <w:tr w14:paraId="7B4AA66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310" w:type="pct"/>
            <w:tcBorders>
              <w:tl2br w:val="nil"/>
              <w:tr2bl w:val="nil"/>
            </w:tcBorders>
            <w:shd w:val="clear" w:color="auto" w:fill="auto"/>
            <w:vAlign w:val="center"/>
          </w:tcPr>
          <w:p w14:paraId="4F05A723">
            <w:pPr>
              <w:widowControl/>
              <w:jc w:val="center"/>
              <w:textAlignment w:val="center"/>
              <w:rPr>
                <w:sz w:val="21"/>
                <w:szCs w:val="21"/>
                <w:highlight w:val="none"/>
              </w:rPr>
            </w:pPr>
            <w:r>
              <w:rPr>
                <w:kern w:val="0"/>
                <w:sz w:val="21"/>
                <w:szCs w:val="21"/>
                <w:highlight w:val="none"/>
                <w:lang w:bidi="ar"/>
              </w:rPr>
              <w:t>3</w:t>
            </w:r>
          </w:p>
        </w:tc>
        <w:tc>
          <w:tcPr>
            <w:tcW w:w="912" w:type="pct"/>
            <w:tcBorders>
              <w:tl2br w:val="nil"/>
              <w:tr2bl w:val="nil"/>
            </w:tcBorders>
            <w:shd w:val="clear" w:color="auto" w:fill="auto"/>
            <w:vAlign w:val="center"/>
          </w:tcPr>
          <w:p w14:paraId="26E9B698">
            <w:pPr>
              <w:widowControl/>
              <w:jc w:val="center"/>
              <w:textAlignment w:val="center"/>
              <w:rPr>
                <w:rFonts w:ascii="宋体" w:hAnsi="宋体" w:cs="宋体"/>
                <w:sz w:val="21"/>
                <w:szCs w:val="21"/>
                <w:highlight w:val="none"/>
              </w:rPr>
            </w:pPr>
            <w:r>
              <w:rPr>
                <w:rFonts w:hint="eastAsia" w:ascii="宋体" w:hAnsi="宋体" w:cs="宋体"/>
                <w:kern w:val="0"/>
                <w:sz w:val="21"/>
                <w:szCs w:val="21"/>
                <w:highlight w:val="none"/>
                <w:lang w:bidi="ar"/>
              </w:rPr>
              <w:t>反渗透装置</w:t>
            </w:r>
          </w:p>
        </w:tc>
        <w:tc>
          <w:tcPr>
            <w:tcW w:w="1295" w:type="pct"/>
            <w:tcBorders>
              <w:tl2br w:val="nil"/>
              <w:tr2bl w:val="nil"/>
            </w:tcBorders>
            <w:shd w:val="clear" w:color="auto" w:fill="auto"/>
            <w:vAlign w:val="center"/>
          </w:tcPr>
          <w:p w14:paraId="6F0EA6A1">
            <w:pPr>
              <w:widowControl/>
              <w:jc w:val="center"/>
              <w:textAlignment w:val="center"/>
              <w:rPr>
                <w:rFonts w:ascii="宋体" w:hAnsi="宋体" w:cs="宋体"/>
                <w:sz w:val="21"/>
                <w:szCs w:val="21"/>
                <w:highlight w:val="none"/>
              </w:rPr>
            </w:pPr>
            <w:r>
              <w:rPr>
                <w:rFonts w:hint="eastAsia" w:ascii="宋体" w:hAnsi="宋体" w:cs="宋体"/>
                <w:kern w:val="0"/>
                <w:sz w:val="21"/>
                <w:szCs w:val="21"/>
                <w:highlight w:val="none"/>
                <w:lang w:bidi="ar"/>
              </w:rPr>
              <w:t>产水量</w:t>
            </w:r>
            <w:r>
              <w:rPr>
                <w:kern w:val="0"/>
                <w:sz w:val="21"/>
                <w:szCs w:val="21"/>
                <w:highlight w:val="none"/>
                <w:lang w:bidi="ar"/>
              </w:rPr>
              <w:t>120</w:t>
            </w:r>
            <w:r>
              <w:rPr>
                <w:rFonts w:hint="eastAsia"/>
                <w:kern w:val="0"/>
                <w:sz w:val="21"/>
                <w:szCs w:val="21"/>
                <w:highlight w:val="none"/>
                <w:lang w:bidi="ar"/>
              </w:rPr>
              <w:t>m³</w:t>
            </w:r>
            <w:r>
              <w:rPr>
                <w:kern w:val="0"/>
                <w:sz w:val="21"/>
                <w:szCs w:val="21"/>
                <w:highlight w:val="none"/>
                <w:lang w:bidi="ar"/>
              </w:rPr>
              <w:t>/h</w:t>
            </w:r>
            <w:r>
              <w:rPr>
                <w:rFonts w:hint="eastAsia"/>
                <w:kern w:val="0"/>
                <w:sz w:val="21"/>
                <w:szCs w:val="21"/>
                <w:highlight w:val="none"/>
                <w:lang w:bidi="ar"/>
              </w:rPr>
              <w:t>，回收率75%</w:t>
            </w:r>
          </w:p>
        </w:tc>
        <w:tc>
          <w:tcPr>
            <w:tcW w:w="286" w:type="pct"/>
            <w:tcBorders>
              <w:tl2br w:val="nil"/>
              <w:tr2bl w:val="nil"/>
            </w:tcBorders>
            <w:shd w:val="clear" w:color="auto" w:fill="auto"/>
            <w:vAlign w:val="center"/>
          </w:tcPr>
          <w:p w14:paraId="201B5E49">
            <w:pPr>
              <w:widowControl/>
              <w:jc w:val="center"/>
              <w:textAlignment w:val="center"/>
              <w:rPr>
                <w:rFonts w:ascii="宋体" w:hAnsi="宋体" w:cs="宋体"/>
                <w:sz w:val="21"/>
                <w:szCs w:val="21"/>
                <w:highlight w:val="none"/>
              </w:rPr>
            </w:pPr>
            <w:r>
              <w:rPr>
                <w:rFonts w:hint="eastAsia" w:ascii="宋体" w:hAnsi="宋体" w:cs="宋体"/>
                <w:kern w:val="0"/>
                <w:sz w:val="21"/>
                <w:szCs w:val="21"/>
                <w:highlight w:val="none"/>
                <w:lang w:bidi="ar"/>
              </w:rPr>
              <w:t>套</w:t>
            </w:r>
          </w:p>
        </w:tc>
        <w:tc>
          <w:tcPr>
            <w:tcW w:w="333" w:type="pct"/>
            <w:tcBorders>
              <w:tl2br w:val="nil"/>
              <w:tr2bl w:val="nil"/>
            </w:tcBorders>
            <w:shd w:val="clear" w:color="auto" w:fill="auto"/>
            <w:vAlign w:val="center"/>
          </w:tcPr>
          <w:p w14:paraId="54FCCA4B">
            <w:pPr>
              <w:widowControl/>
              <w:jc w:val="center"/>
              <w:textAlignment w:val="center"/>
              <w:rPr>
                <w:sz w:val="21"/>
                <w:szCs w:val="21"/>
                <w:highlight w:val="none"/>
              </w:rPr>
            </w:pPr>
            <w:r>
              <w:rPr>
                <w:kern w:val="0"/>
                <w:sz w:val="21"/>
                <w:szCs w:val="21"/>
                <w:highlight w:val="none"/>
                <w:lang w:bidi="ar"/>
              </w:rPr>
              <w:t>1</w:t>
            </w:r>
          </w:p>
        </w:tc>
        <w:tc>
          <w:tcPr>
            <w:tcW w:w="1117" w:type="pct"/>
            <w:tcBorders>
              <w:tl2br w:val="nil"/>
              <w:tr2bl w:val="nil"/>
            </w:tcBorders>
            <w:shd w:val="clear" w:color="auto" w:fill="auto"/>
            <w:vAlign w:val="center"/>
          </w:tcPr>
          <w:p w14:paraId="00E98CCC">
            <w:pPr>
              <w:jc w:val="center"/>
              <w:rPr>
                <w:sz w:val="21"/>
                <w:szCs w:val="21"/>
                <w:highlight w:val="none"/>
              </w:rPr>
            </w:pPr>
          </w:p>
        </w:tc>
        <w:tc>
          <w:tcPr>
            <w:tcW w:w="743" w:type="pct"/>
            <w:tcBorders>
              <w:tl2br w:val="nil"/>
              <w:tr2bl w:val="nil"/>
            </w:tcBorders>
            <w:shd w:val="clear" w:color="auto" w:fill="auto"/>
            <w:vAlign w:val="center"/>
          </w:tcPr>
          <w:p w14:paraId="1ACB10A7">
            <w:pPr>
              <w:jc w:val="center"/>
              <w:rPr>
                <w:rFonts w:ascii="宋体" w:hAnsi="宋体" w:cs="宋体"/>
                <w:sz w:val="21"/>
                <w:szCs w:val="21"/>
                <w:highlight w:val="none"/>
              </w:rPr>
            </w:pPr>
          </w:p>
        </w:tc>
      </w:tr>
      <w:tr w14:paraId="0211DA5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310" w:type="pct"/>
            <w:tcBorders>
              <w:tl2br w:val="nil"/>
              <w:tr2bl w:val="nil"/>
            </w:tcBorders>
            <w:shd w:val="clear" w:color="auto" w:fill="auto"/>
            <w:vAlign w:val="center"/>
          </w:tcPr>
          <w:p w14:paraId="79DE39DB">
            <w:pPr>
              <w:jc w:val="center"/>
              <w:rPr>
                <w:sz w:val="21"/>
                <w:szCs w:val="21"/>
                <w:highlight w:val="none"/>
              </w:rPr>
            </w:pPr>
          </w:p>
        </w:tc>
        <w:tc>
          <w:tcPr>
            <w:tcW w:w="912" w:type="pct"/>
            <w:tcBorders>
              <w:tl2br w:val="nil"/>
              <w:tr2bl w:val="nil"/>
            </w:tcBorders>
            <w:shd w:val="clear" w:color="auto" w:fill="auto"/>
            <w:vAlign w:val="center"/>
          </w:tcPr>
          <w:p w14:paraId="5D5E81F7">
            <w:pPr>
              <w:widowControl/>
              <w:jc w:val="center"/>
              <w:textAlignment w:val="center"/>
              <w:rPr>
                <w:rFonts w:ascii="宋体" w:hAnsi="宋体" w:cs="宋体"/>
                <w:sz w:val="21"/>
                <w:szCs w:val="21"/>
                <w:highlight w:val="none"/>
              </w:rPr>
            </w:pPr>
            <w:r>
              <w:rPr>
                <w:rFonts w:hint="eastAsia" w:ascii="宋体" w:hAnsi="宋体" w:cs="宋体"/>
                <w:kern w:val="0"/>
                <w:sz w:val="21"/>
                <w:szCs w:val="21"/>
                <w:highlight w:val="none"/>
                <w:lang w:bidi="ar"/>
              </w:rPr>
              <w:t>膜元件</w:t>
            </w:r>
          </w:p>
        </w:tc>
        <w:tc>
          <w:tcPr>
            <w:tcW w:w="1295" w:type="pct"/>
            <w:tcBorders>
              <w:tl2br w:val="nil"/>
              <w:tr2bl w:val="nil"/>
            </w:tcBorders>
            <w:shd w:val="clear" w:color="auto" w:fill="auto"/>
            <w:vAlign w:val="center"/>
          </w:tcPr>
          <w:p w14:paraId="0DACC0DE">
            <w:pPr>
              <w:widowControl/>
              <w:jc w:val="center"/>
              <w:textAlignment w:val="center"/>
              <w:rPr>
                <w:rFonts w:ascii="宋体" w:hAnsi="宋体" w:cs="宋体"/>
                <w:sz w:val="21"/>
                <w:szCs w:val="21"/>
                <w:highlight w:val="none"/>
              </w:rPr>
            </w:pPr>
            <w:r>
              <w:rPr>
                <w:rFonts w:hint="eastAsia" w:ascii="宋体" w:hAnsi="宋体" w:cs="宋体"/>
                <w:kern w:val="0"/>
                <w:sz w:val="21"/>
                <w:szCs w:val="21"/>
                <w:highlight w:val="none"/>
                <w:lang w:bidi="ar"/>
              </w:rPr>
              <w:t>抗污染苦咸水膜，单支面积</w:t>
            </w:r>
            <w:r>
              <w:rPr>
                <w:rFonts w:hint="eastAsia"/>
                <w:kern w:val="0"/>
                <w:sz w:val="21"/>
                <w:szCs w:val="21"/>
                <w:highlight w:val="none"/>
                <w:lang w:bidi="ar"/>
              </w:rPr>
              <w:t>3</w:t>
            </w:r>
            <w:r>
              <w:rPr>
                <w:kern w:val="0"/>
                <w:sz w:val="21"/>
                <w:szCs w:val="21"/>
                <w:highlight w:val="none"/>
                <w:lang w:bidi="ar"/>
              </w:rPr>
              <w:t>7</w:t>
            </w:r>
            <w:r>
              <w:rPr>
                <w:rFonts w:hint="eastAsia"/>
                <w:kern w:val="0"/>
                <w:sz w:val="21"/>
                <w:szCs w:val="21"/>
                <w:highlight w:val="none"/>
                <w:lang w:bidi="ar"/>
              </w:rPr>
              <w:t>m²</w:t>
            </w:r>
          </w:p>
        </w:tc>
        <w:tc>
          <w:tcPr>
            <w:tcW w:w="286" w:type="pct"/>
            <w:tcBorders>
              <w:tl2br w:val="nil"/>
              <w:tr2bl w:val="nil"/>
            </w:tcBorders>
            <w:shd w:val="clear" w:color="auto" w:fill="auto"/>
            <w:vAlign w:val="center"/>
          </w:tcPr>
          <w:p w14:paraId="376FB9D9">
            <w:pPr>
              <w:widowControl/>
              <w:jc w:val="center"/>
              <w:textAlignment w:val="center"/>
              <w:rPr>
                <w:rFonts w:ascii="宋体" w:hAnsi="宋体" w:cs="宋体"/>
                <w:sz w:val="21"/>
                <w:szCs w:val="21"/>
                <w:highlight w:val="none"/>
              </w:rPr>
            </w:pPr>
            <w:r>
              <w:rPr>
                <w:rFonts w:hint="eastAsia" w:ascii="宋体" w:hAnsi="宋体" w:cs="宋体"/>
                <w:kern w:val="0"/>
                <w:sz w:val="21"/>
                <w:szCs w:val="21"/>
                <w:highlight w:val="none"/>
                <w:lang w:bidi="ar"/>
              </w:rPr>
              <w:t>只</w:t>
            </w:r>
          </w:p>
        </w:tc>
        <w:tc>
          <w:tcPr>
            <w:tcW w:w="333" w:type="pct"/>
            <w:tcBorders>
              <w:tl2br w:val="nil"/>
              <w:tr2bl w:val="nil"/>
            </w:tcBorders>
            <w:shd w:val="clear" w:color="auto" w:fill="auto"/>
            <w:vAlign w:val="center"/>
          </w:tcPr>
          <w:p w14:paraId="54399252">
            <w:pPr>
              <w:widowControl/>
              <w:jc w:val="center"/>
              <w:textAlignment w:val="center"/>
              <w:rPr>
                <w:sz w:val="21"/>
                <w:szCs w:val="21"/>
                <w:highlight w:val="none"/>
              </w:rPr>
            </w:pPr>
            <w:r>
              <w:rPr>
                <w:kern w:val="0"/>
                <w:sz w:val="21"/>
                <w:szCs w:val="21"/>
                <w:highlight w:val="none"/>
                <w:lang w:bidi="ar"/>
              </w:rPr>
              <w:t>192</w:t>
            </w:r>
          </w:p>
        </w:tc>
        <w:tc>
          <w:tcPr>
            <w:tcW w:w="1117" w:type="pct"/>
            <w:tcBorders>
              <w:tl2br w:val="nil"/>
              <w:tr2bl w:val="nil"/>
            </w:tcBorders>
            <w:shd w:val="clear" w:color="auto" w:fill="auto"/>
            <w:vAlign w:val="center"/>
          </w:tcPr>
          <w:p w14:paraId="3FAF417C">
            <w:pPr>
              <w:widowControl/>
              <w:jc w:val="center"/>
              <w:textAlignment w:val="center"/>
              <w:rPr>
                <w:rFonts w:ascii="宋体" w:hAnsi="宋体" w:cs="宋体"/>
                <w:sz w:val="21"/>
                <w:szCs w:val="21"/>
                <w:highlight w:val="none"/>
              </w:rPr>
            </w:pPr>
            <w:r>
              <w:rPr>
                <w:rFonts w:hint="eastAsia" w:ascii="宋体" w:hAnsi="宋体" w:cs="宋体"/>
                <w:kern w:val="0"/>
                <w:sz w:val="21"/>
                <w:szCs w:val="21"/>
                <w:highlight w:val="none"/>
                <w:lang w:bidi="ar"/>
              </w:rPr>
              <w:t>中化</w:t>
            </w:r>
          </w:p>
        </w:tc>
        <w:tc>
          <w:tcPr>
            <w:tcW w:w="743" w:type="pct"/>
            <w:tcBorders>
              <w:tl2br w:val="nil"/>
              <w:tr2bl w:val="nil"/>
            </w:tcBorders>
            <w:shd w:val="clear" w:color="auto" w:fill="auto"/>
            <w:vAlign w:val="center"/>
          </w:tcPr>
          <w:p w14:paraId="417008E4">
            <w:pPr>
              <w:jc w:val="center"/>
              <w:rPr>
                <w:rFonts w:ascii="宋体" w:hAnsi="宋体" w:cs="宋体"/>
                <w:sz w:val="21"/>
                <w:szCs w:val="21"/>
                <w:highlight w:val="none"/>
              </w:rPr>
            </w:pPr>
            <w:r>
              <w:rPr>
                <w:rFonts w:hint="eastAsia" w:ascii="宋体" w:hAnsi="宋体" w:cs="宋体"/>
                <w:sz w:val="21"/>
                <w:szCs w:val="21"/>
                <w:highlight w:val="none"/>
              </w:rPr>
              <w:t>招标人提供</w:t>
            </w:r>
          </w:p>
        </w:tc>
      </w:tr>
      <w:tr w14:paraId="143EC91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310" w:type="pct"/>
            <w:tcBorders>
              <w:tl2br w:val="nil"/>
              <w:tr2bl w:val="nil"/>
            </w:tcBorders>
            <w:shd w:val="clear" w:color="auto" w:fill="auto"/>
            <w:vAlign w:val="center"/>
          </w:tcPr>
          <w:p w14:paraId="01F0ED7B">
            <w:pPr>
              <w:jc w:val="center"/>
              <w:rPr>
                <w:sz w:val="21"/>
                <w:szCs w:val="21"/>
                <w:highlight w:val="none"/>
              </w:rPr>
            </w:pPr>
          </w:p>
        </w:tc>
        <w:tc>
          <w:tcPr>
            <w:tcW w:w="912" w:type="pct"/>
            <w:tcBorders>
              <w:tl2br w:val="nil"/>
              <w:tr2bl w:val="nil"/>
            </w:tcBorders>
            <w:shd w:val="clear" w:color="auto" w:fill="auto"/>
            <w:vAlign w:val="center"/>
          </w:tcPr>
          <w:p w14:paraId="12D346EE">
            <w:pPr>
              <w:widowControl/>
              <w:jc w:val="center"/>
              <w:textAlignment w:val="center"/>
              <w:rPr>
                <w:rFonts w:ascii="宋体" w:hAnsi="宋体" w:cs="宋体"/>
                <w:sz w:val="21"/>
                <w:szCs w:val="21"/>
                <w:highlight w:val="none"/>
              </w:rPr>
            </w:pPr>
            <w:r>
              <w:rPr>
                <w:rFonts w:hint="eastAsia" w:ascii="宋体" w:hAnsi="宋体" w:cs="宋体"/>
                <w:kern w:val="0"/>
                <w:sz w:val="21"/>
                <w:szCs w:val="21"/>
                <w:highlight w:val="none"/>
                <w:lang w:bidi="ar"/>
              </w:rPr>
              <w:t>反渗透压力容器</w:t>
            </w:r>
          </w:p>
        </w:tc>
        <w:tc>
          <w:tcPr>
            <w:tcW w:w="1295" w:type="pct"/>
            <w:tcBorders>
              <w:tl2br w:val="nil"/>
              <w:tr2bl w:val="nil"/>
            </w:tcBorders>
            <w:shd w:val="clear" w:color="auto" w:fill="auto"/>
            <w:vAlign w:val="center"/>
          </w:tcPr>
          <w:p w14:paraId="4E54C843">
            <w:pPr>
              <w:widowControl/>
              <w:jc w:val="center"/>
              <w:textAlignment w:val="center"/>
              <w:rPr>
                <w:sz w:val="21"/>
                <w:szCs w:val="21"/>
                <w:highlight w:val="none"/>
              </w:rPr>
            </w:pPr>
            <w:r>
              <w:rPr>
                <w:kern w:val="0"/>
                <w:sz w:val="21"/>
                <w:szCs w:val="21"/>
                <w:highlight w:val="none"/>
                <w:lang w:bidi="ar"/>
              </w:rPr>
              <w:t>8</w:t>
            </w:r>
            <w:r>
              <w:rPr>
                <w:rFonts w:hint="eastAsia" w:ascii="宋体" w:hAnsi="宋体" w:cs="宋体"/>
                <w:kern w:val="0"/>
                <w:sz w:val="21"/>
                <w:szCs w:val="21"/>
                <w:highlight w:val="none"/>
                <w:lang w:bidi="ar"/>
              </w:rPr>
              <w:t>寸，</w:t>
            </w:r>
            <w:r>
              <w:rPr>
                <w:kern w:val="0"/>
                <w:sz w:val="21"/>
                <w:szCs w:val="21"/>
                <w:highlight w:val="none"/>
                <w:lang w:bidi="ar"/>
              </w:rPr>
              <w:t>6</w:t>
            </w:r>
            <w:r>
              <w:rPr>
                <w:rFonts w:hint="eastAsia" w:ascii="宋体" w:hAnsi="宋体" w:cs="宋体"/>
                <w:kern w:val="0"/>
                <w:sz w:val="21"/>
                <w:szCs w:val="21"/>
                <w:highlight w:val="none"/>
                <w:lang w:bidi="ar"/>
              </w:rPr>
              <w:t>芯</w:t>
            </w:r>
          </w:p>
        </w:tc>
        <w:tc>
          <w:tcPr>
            <w:tcW w:w="286" w:type="pct"/>
            <w:tcBorders>
              <w:tl2br w:val="nil"/>
              <w:tr2bl w:val="nil"/>
            </w:tcBorders>
            <w:shd w:val="clear" w:color="auto" w:fill="auto"/>
            <w:vAlign w:val="center"/>
          </w:tcPr>
          <w:p w14:paraId="25938036">
            <w:pPr>
              <w:widowControl/>
              <w:jc w:val="center"/>
              <w:textAlignment w:val="center"/>
              <w:rPr>
                <w:rFonts w:ascii="宋体" w:hAnsi="宋体" w:cs="宋体"/>
                <w:sz w:val="21"/>
                <w:szCs w:val="21"/>
                <w:highlight w:val="none"/>
              </w:rPr>
            </w:pPr>
            <w:r>
              <w:rPr>
                <w:rFonts w:hint="eastAsia" w:ascii="宋体" w:hAnsi="宋体" w:cs="宋体"/>
                <w:kern w:val="0"/>
                <w:sz w:val="21"/>
                <w:szCs w:val="21"/>
                <w:highlight w:val="none"/>
                <w:lang w:bidi="ar"/>
              </w:rPr>
              <w:t>只</w:t>
            </w:r>
          </w:p>
        </w:tc>
        <w:tc>
          <w:tcPr>
            <w:tcW w:w="333" w:type="pct"/>
            <w:tcBorders>
              <w:tl2br w:val="nil"/>
              <w:tr2bl w:val="nil"/>
            </w:tcBorders>
            <w:shd w:val="clear" w:color="auto" w:fill="auto"/>
            <w:vAlign w:val="center"/>
          </w:tcPr>
          <w:p w14:paraId="26AA5F07">
            <w:pPr>
              <w:widowControl/>
              <w:jc w:val="center"/>
              <w:textAlignment w:val="center"/>
              <w:rPr>
                <w:sz w:val="21"/>
                <w:szCs w:val="21"/>
                <w:highlight w:val="none"/>
              </w:rPr>
            </w:pPr>
            <w:r>
              <w:rPr>
                <w:kern w:val="0"/>
                <w:sz w:val="21"/>
                <w:szCs w:val="21"/>
                <w:highlight w:val="none"/>
                <w:lang w:bidi="ar"/>
              </w:rPr>
              <w:t>32</w:t>
            </w:r>
          </w:p>
        </w:tc>
        <w:tc>
          <w:tcPr>
            <w:tcW w:w="1117" w:type="pct"/>
            <w:tcBorders>
              <w:tl2br w:val="nil"/>
              <w:tr2bl w:val="nil"/>
            </w:tcBorders>
            <w:shd w:val="clear" w:color="auto" w:fill="auto"/>
            <w:vAlign w:val="center"/>
          </w:tcPr>
          <w:p w14:paraId="710C46FD">
            <w:pPr>
              <w:widowControl/>
              <w:jc w:val="center"/>
              <w:textAlignment w:val="center"/>
              <w:rPr>
                <w:rFonts w:ascii="宋体" w:hAnsi="宋体" w:cs="宋体"/>
                <w:sz w:val="21"/>
                <w:szCs w:val="21"/>
                <w:highlight w:val="none"/>
              </w:rPr>
            </w:pPr>
            <w:r>
              <w:rPr>
                <w:rFonts w:hint="eastAsia" w:ascii="宋体" w:hAnsi="宋体" w:cs="宋体"/>
                <w:kern w:val="0"/>
                <w:sz w:val="21"/>
                <w:szCs w:val="21"/>
                <w:highlight w:val="none"/>
                <w:lang w:bidi="ar"/>
              </w:rPr>
              <w:t>乐普、唯赛勃、滨特尔</w:t>
            </w:r>
          </w:p>
        </w:tc>
        <w:tc>
          <w:tcPr>
            <w:tcW w:w="743" w:type="pct"/>
            <w:tcBorders>
              <w:tl2br w:val="nil"/>
              <w:tr2bl w:val="nil"/>
            </w:tcBorders>
            <w:shd w:val="clear" w:color="auto" w:fill="auto"/>
            <w:vAlign w:val="center"/>
          </w:tcPr>
          <w:p w14:paraId="7F0C41A1">
            <w:pPr>
              <w:jc w:val="center"/>
              <w:rPr>
                <w:sz w:val="21"/>
                <w:szCs w:val="21"/>
                <w:highlight w:val="none"/>
              </w:rPr>
            </w:pPr>
          </w:p>
        </w:tc>
      </w:tr>
      <w:tr w14:paraId="0E5F88F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152" w:hRule="atLeast"/>
        </w:trPr>
        <w:tc>
          <w:tcPr>
            <w:tcW w:w="310" w:type="pct"/>
            <w:tcBorders>
              <w:tl2br w:val="nil"/>
              <w:tr2bl w:val="nil"/>
            </w:tcBorders>
            <w:shd w:val="clear" w:color="auto" w:fill="auto"/>
            <w:vAlign w:val="center"/>
          </w:tcPr>
          <w:p w14:paraId="47B4ED64">
            <w:pPr>
              <w:jc w:val="center"/>
              <w:rPr>
                <w:sz w:val="21"/>
                <w:szCs w:val="21"/>
                <w:highlight w:val="none"/>
              </w:rPr>
            </w:pPr>
          </w:p>
        </w:tc>
        <w:tc>
          <w:tcPr>
            <w:tcW w:w="912" w:type="pct"/>
            <w:tcBorders>
              <w:tl2br w:val="nil"/>
              <w:tr2bl w:val="nil"/>
            </w:tcBorders>
            <w:shd w:val="clear" w:color="auto" w:fill="auto"/>
            <w:vAlign w:val="center"/>
          </w:tcPr>
          <w:p w14:paraId="0303E91A">
            <w:pPr>
              <w:widowControl/>
              <w:jc w:val="center"/>
              <w:textAlignment w:val="center"/>
              <w:rPr>
                <w:rFonts w:ascii="宋体" w:hAnsi="宋体" w:cs="宋体"/>
                <w:sz w:val="21"/>
                <w:szCs w:val="21"/>
                <w:highlight w:val="none"/>
              </w:rPr>
            </w:pPr>
            <w:r>
              <w:rPr>
                <w:rFonts w:hint="eastAsia" w:ascii="宋体" w:hAnsi="宋体" w:cs="宋体"/>
                <w:kern w:val="0"/>
                <w:sz w:val="21"/>
                <w:szCs w:val="21"/>
                <w:highlight w:val="none"/>
                <w:lang w:bidi="ar"/>
              </w:rPr>
              <w:t>滑架</w:t>
            </w:r>
          </w:p>
        </w:tc>
        <w:tc>
          <w:tcPr>
            <w:tcW w:w="1295" w:type="pct"/>
            <w:tcBorders>
              <w:tl2br w:val="nil"/>
              <w:tr2bl w:val="nil"/>
            </w:tcBorders>
            <w:shd w:val="clear" w:color="auto" w:fill="auto"/>
            <w:vAlign w:val="center"/>
          </w:tcPr>
          <w:p w14:paraId="481240C5">
            <w:pPr>
              <w:widowControl/>
              <w:jc w:val="center"/>
              <w:textAlignment w:val="center"/>
              <w:rPr>
                <w:rFonts w:ascii="宋体" w:hAnsi="宋体" w:cs="宋体"/>
                <w:sz w:val="21"/>
                <w:szCs w:val="21"/>
                <w:highlight w:val="none"/>
              </w:rPr>
            </w:pPr>
            <w:r>
              <w:rPr>
                <w:rFonts w:hint="eastAsia" w:ascii="宋体" w:hAnsi="宋体" w:cs="宋体"/>
                <w:kern w:val="0"/>
                <w:sz w:val="21"/>
                <w:szCs w:val="21"/>
                <w:highlight w:val="none"/>
                <w:lang w:bidi="ar"/>
              </w:rPr>
              <w:t>碳钢防腐，低压管道采用</w:t>
            </w:r>
            <w:r>
              <w:rPr>
                <w:kern w:val="0"/>
                <w:sz w:val="21"/>
                <w:szCs w:val="21"/>
                <w:highlight w:val="none"/>
                <w:lang w:bidi="ar"/>
              </w:rPr>
              <w:t>UPVC</w:t>
            </w:r>
            <w:r>
              <w:rPr>
                <w:rFonts w:hint="eastAsia" w:ascii="宋体" w:hAnsi="宋体" w:cs="宋体"/>
                <w:kern w:val="0"/>
                <w:sz w:val="21"/>
                <w:szCs w:val="21"/>
                <w:highlight w:val="none"/>
                <w:lang w:bidi="ar"/>
              </w:rPr>
              <w:t>材质，高压管道采用</w:t>
            </w:r>
            <w:r>
              <w:rPr>
                <w:kern w:val="0"/>
                <w:sz w:val="21"/>
                <w:szCs w:val="21"/>
                <w:highlight w:val="none"/>
                <w:lang w:bidi="ar"/>
              </w:rPr>
              <w:t>SS316L</w:t>
            </w:r>
            <w:r>
              <w:rPr>
                <w:rFonts w:hint="eastAsia" w:ascii="宋体" w:hAnsi="宋体" w:cs="宋体"/>
                <w:kern w:val="0"/>
                <w:sz w:val="21"/>
                <w:szCs w:val="21"/>
                <w:highlight w:val="none"/>
                <w:lang w:bidi="ar"/>
              </w:rPr>
              <w:t>，含内部管阀、就地仪表等。因场地限制，需现场组装制作。</w:t>
            </w:r>
          </w:p>
        </w:tc>
        <w:tc>
          <w:tcPr>
            <w:tcW w:w="286" w:type="pct"/>
            <w:tcBorders>
              <w:tl2br w:val="nil"/>
              <w:tr2bl w:val="nil"/>
            </w:tcBorders>
            <w:shd w:val="clear" w:color="auto" w:fill="auto"/>
            <w:vAlign w:val="center"/>
          </w:tcPr>
          <w:p w14:paraId="7F4B937E">
            <w:pPr>
              <w:widowControl/>
              <w:jc w:val="center"/>
              <w:textAlignment w:val="center"/>
              <w:rPr>
                <w:rFonts w:ascii="宋体" w:hAnsi="宋体" w:cs="宋体"/>
                <w:sz w:val="21"/>
                <w:szCs w:val="21"/>
                <w:highlight w:val="none"/>
              </w:rPr>
            </w:pPr>
            <w:r>
              <w:rPr>
                <w:rFonts w:hint="eastAsia" w:ascii="宋体" w:hAnsi="宋体" w:cs="宋体"/>
                <w:kern w:val="0"/>
                <w:sz w:val="21"/>
                <w:szCs w:val="21"/>
                <w:highlight w:val="none"/>
                <w:lang w:bidi="ar"/>
              </w:rPr>
              <w:t>套</w:t>
            </w:r>
          </w:p>
        </w:tc>
        <w:tc>
          <w:tcPr>
            <w:tcW w:w="333" w:type="pct"/>
            <w:tcBorders>
              <w:tl2br w:val="nil"/>
              <w:tr2bl w:val="nil"/>
            </w:tcBorders>
            <w:shd w:val="clear" w:color="auto" w:fill="auto"/>
            <w:vAlign w:val="center"/>
          </w:tcPr>
          <w:p w14:paraId="11663606">
            <w:pPr>
              <w:widowControl/>
              <w:jc w:val="center"/>
              <w:textAlignment w:val="center"/>
              <w:rPr>
                <w:sz w:val="21"/>
                <w:szCs w:val="21"/>
                <w:highlight w:val="none"/>
              </w:rPr>
            </w:pPr>
            <w:r>
              <w:rPr>
                <w:kern w:val="0"/>
                <w:sz w:val="21"/>
                <w:szCs w:val="21"/>
                <w:highlight w:val="none"/>
                <w:lang w:bidi="ar"/>
              </w:rPr>
              <w:t>1</w:t>
            </w:r>
          </w:p>
        </w:tc>
        <w:tc>
          <w:tcPr>
            <w:tcW w:w="1117" w:type="pct"/>
            <w:tcBorders>
              <w:tl2br w:val="nil"/>
              <w:tr2bl w:val="nil"/>
            </w:tcBorders>
            <w:shd w:val="clear" w:color="auto" w:fill="auto"/>
            <w:vAlign w:val="center"/>
          </w:tcPr>
          <w:p w14:paraId="1933315D">
            <w:pPr>
              <w:widowControl/>
              <w:jc w:val="center"/>
              <w:textAlignment w:val="center"/>
              <w:rPr>
                <w:sz w:val="21"/>
                <w:szCs w:val="21"/>
                <w:highlight w:val="none"/>
              </w:rPr>
            </w:pPr>
            <w:r>
              <w:rPr>
                <w:kern w:val="0"/>
                <w:sz w:val="21"/>
                <w:szCs w:val="21"/>
                <w:highlight w:val="none"/>
                <w:lang w:bidi="ar"/>
              </w:rPr>
              <w:t>国产优质</w:t>
            </w:r>
          </w:p>
        </w:tc>
        <w:tc>
          <w:tcPr>
            <w:tcW w:w="743" w:type="pct"/>
            <w:tcBorders>
              <w:tl2br w:val="nil"/>
              <w:tr2bl w:val="nil"/>
            </w:tcBorders>
            <w:shd w:val="clear" w:color="auto" w:fill="auto"/>
            <w:vAlign w:val="center"/>
          </w:tcPr>
          <w:p w14:paraId="5BF98491">
            <w:pPr>
              <w:widowControl/>
              <w:jc w:val="center"/>
              <w:textAlignment w:val="center"/>
              <w:rPr>
                <w:rFonts w:ascii="宋体" w:hAnsi="宋体" w:cs="宋体"/>
                <w:sz w:val="21"/>
                <w:szCs w:val="21"/>
                <w:highlight w:val="none"/>
              </w:rPr>
            </w:pPr>
            <w:r>
              <w:rPr>
                <w:rFonts w:hint="eastAsia" w:ascii="宋体" w:hAnsi="宋体" w:cs="宋体"/>
                <w:kern w:val="0"/>
                <w:sz w:val="21"/>
                <w:szCs w:val="21"/>
                <w:highlight w:val="none"/>
                <w:lang w:bidi="ar"/>
              </w:rPr>
              <w:t>现场拼装</w:t>
            </w:r>
          </w:p>
        </w:tc>
      </w:tr>
      <w:tr w14:paraId="0A42A89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310" w:type="pct"/>
            <w:tcBorders>
              <w:tl2br w:val="nil"/>
              <w:tr2bl w:val="nil"/>
            </w:tcBorders>
            <w:shd w:val="clear" w:color="auto" w:fill="auto"/>
            <w:vAlign w:val="center"/>
          </w:tcPr>
          <w:p w14:paraId="021640DA">
            <w:pPr>
              <w:widowControl/>
              <w:jc w:val="center"/>
              <w:textAlignment w:val="center"/>
              <w:rPr>
                <w:rFonts w:ascii="宋体" w:hAnsi="宋体" w:cs="宋体"/>
                <w:b/>
                <w:bCs/>
                <w:sz w:val="21"/>
                <w:szCs w:val="21"/>
                <w:highlight w:val="none"/>
              </w:rPr>
            </w:pPr>
            <w:r>
              <w:rPr>
                <w:rFonts w:hint="eastAsia" w:ascii="宋体" w:hAnsi="宋体" w:cs="宋体"/>
                <w:b/>
                <w:bCs/>
                <w:kern w:val="0"/>
                <w:sz w:val="21"/>
                <w:szCs w:val="21"/>
                <w:highlight w:val="none"/>
                <w:lang w:bidi="ar"/>
              </w:rPr>
              <w:t>三</w:t>
            </w:r>
          </w:p>
        </w:tc>
        <w:tc>
          <w:tcPr>
            <w:tcW w:w="912" w:type="pct"/>
            <w:tcBorders>
              <w:tl2br w:val="nil"/>
              <w:tr2bl w:val="nil"/>
            </w:tcBorders>
            <w:shd w:val="clear" w:color="auto" w:fill="auto"/>
            <w:vAlign w:val="center"/>
          </w:tcPr>
          <w:p w14:paraId="2AC2ABDC">
            <w:pPr>
              <w:widowControl/>
              <w:jc w:val="center"/>
              <w:textAlignment w:val="center"/>
              <w:rPr>
                <w:rFonts w:ascii="宋体" w:hAnsi="宋体" w:cs="宋体"/>
                <w:b/>
                <w:bCs/>
                <w:sz w:val="21"/>
                <w:szCs w:val="21"/>
                <w:highlight w:val="none"/>
              </w:rPr>
            </w:pPr>
            <w:r>
              <w:rPr>
                <w:rFonts w:hint="eastAsia" w:ascii="宋体" w:hAnsi="宋体" w:cs="宋体"/>
                <w:b/>
                <w:bCs/>
                <w:kern w:val="0"/>
                <w:sz w:val="21"/>
                <w:szCs w:val="21"/>
                <w:highlight w:val="none"/>
                <w:lang w:bidi="ar"/>
              </w:rPr>
              <w:t>阀门</w:t>
            </w:r>
          </w:p>
        </w:tc>
        <w:tc>
          <w:tcPr>
            <w:tcW w:w="1295" w:type="pct"/>
            <w:tcBorders>
              <w:tl2br w:val="nil"/>
              <w:tr2bl w:val="nil"/>
            </w:tcBorders>
            <w:shd w:val="clear" w:color="auto" w:fill="auto"/>
            <w:vAlign w:val="center"/>
          </w:tcPr>
          <w:p w14:paraId="0947E767">
            <w:pPr>
              <w:jc w:val="center"/>
              <w:rPr>
                <w:sz w:val="21"/>
                <w:szCs w:val="21"/>
                <w:highlight w:val="none"/>
              </w:rPr>
            </w:pPr>
          </w:p>
        </w:tc>
        <w:tc>
          <w:tcPr>
            <w:tcW w:w="286" w:type="pct"/>
            <w:tcBorders>
              <w:tl2br w:val="nil"/>
              <w:tr2bl w:val="nil"/>
            </w:tcBorders>
            <w:shd w:val="clear" w:color="auto" w:fill="auto"/>
            <w:vAlign w:val="center"/>
          </w:tcPr>
          <w:p w14:paraId="268501AF">
            <w:pPr>
              <w:jc w:val="center"/>
              <w:rPr>
                <w:sz w:val="21"/>
                <w:szCs w:val="21"/>
                <w:highlight w:val="none"/>
              </w:rPr>
            </w:pPr>
          </w:p>
        </w:tc>
        <w:tc>
          <w:tcPr>
            <w:tcW w:w="333" w:type="pct"/>
            <w:tcBorders>
              <w:tl2br w:val="nil"/>
              <w:tr2bl w:val="nil"/>
            </w:tcBorders>
            <w:shd w:val="clear" w:color="auto" w:fill="auto"/>
            <w:vAlign w:val="center"/>
          </w:tcPr>
          <w:p w14:paraId="579E50F1">
            <w:pPr>
              <w:jc w:val="center"/>
              <w:rPr>
                <w:sz w:val="21"/>
                <w:szCs w:val="21"/>
                <w:highlight w:val="none"/>
              </w:rPr>
            </w:pPr>
          </w:p>
        </w:tc>
        <w:tc>
          <w:tcPr>
            <w:tcW w:w="1117" w:type="pct"/>
            <w:tcBorders>
              <w:tl2br w:val="nil"/>
              <w:tr2bl w:val="nil"/>
            </w:tcBorders>
            <w:shd w:val="clear" w:color="auto" w:fill="auto"/>
            <w:vAlign w:val="center"/>
          </w:tcPr>
          <w:p w14:paraId="6F941A7E">
            <w:pPr>
              <w:jc w:val="center"/>
              <w:rPr>
                <w:sz w:val="21"/>
                <w:szCs w:val="21"/>
                <w:highlight w:val="none"/>
              </w:rPr>
            </w:pPr>
          </w:p>
        </w:tc>
        <w:tc>
          <w:tcPr>
            <w:tcW w:w="743" w:type="pct"/>
            <w:tcBorders>
              <w:tl2br w:val="nil"/>
              <w:tr2bl w:val="nil"/>
            </w:tcBorders>
            <w:shd w:val="clear" w:color="auto" w:fill="auto"/>
            <w:vAlign w:val="center"/>
          </w:tcPr>
          <w:p w14:paraId="1FC95806">
            <w:pPr>
              <w:jc w:val="center"/>
              <w:rPr>
                <w:sz w:val="21"/>
                <w:szCs w:val="21"/>
                <w:highlight w:val="none"/>
              </w:rPr>
            </w:pPr>
          </w:p>
        </w:tc>
      </w:tr>
      <w:tr w14:paraId="2743AD2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64" w:hRule="atLeast"/>
        </w:trPr>
        <w:tc>
          <w:tcPr>
            <w:tcW w:w="310" w:type="pct"/>
            <w:tcBorders>
              <w:tl2br w:val="nil"/>
              <w:tr2bl w:val="nil"/>
            </w:tcBorders>
            <w:shd w:val="clear" w:color="auto" w:fill="auto"/>
            <w:vAlign w:val="center"/>
          </w:tcPr>
          <w:p w14:paraId="3A4A4421">
            <w:pPr>
              <w:widowControl/>
              <w:jc w:val="center"/>
              <w:textAlignment w:val="center"/>
              <w:rPr>
                <w:sz w:val="21"/>
                <w:szCs w:val="21"/>
                <w:highlight w:val="none"/>
              </w:rPr>
            </w:pPr>
            <w:r>
              <w:rPr>
                <w:kern w:val="0"/>
                <w:sz w:val="21"/>
                <w:szCs w:val="21"/>
                <w:highlight w:val="none"/>
                <w:lang w:bidi="ar"/>
              </w:rPr>
              <w:t>1</w:t>
            </w:r>
          </w:p>
        </w:tc>
        <w:tc>
          <w:tcPr>
            <w:tcW w:w="912" w:type="pct"/>
            <w:tcBorders>
              <w:tl2br w:val="nil"/>
              <w:tr2bl w:val="nil"/>
            </w:tcBorders>
            <w:shd w:val="clear" w:color="auto" w:fill="auto"/>
            <w:vAlign w:val="center"/>
          </w:tcPr>
          <w:p w14:paraId="4E248453">
            <w:pPr>
              <w:widowControl/>
              <w:jc w:val="center"/>
              <w:textAlignment w:val="center"/>
              <w:rPr>
                <w:rFonts w:ascii="宋体" w:hAnsi="宋体" w:cs="宋体"/>
                <w:sz w:val="21"/>
                <w:szCs w:val="21"/>
                <w:highlight w:val="none"/>
              </w:rPr>
            </w:pPr>
            <w:r>
              <w:rPr>
                <w:rFonts w:hint="eastAsia" w:ascii="宋体" w:hAnsi="宋体" w:cs="宋体"/>
                <w:kern w:val="0"/>
                <w:sz w:val="21"/>
                <w:szCs w:val="21"/>
                <w:highlight w:val="none"/>
                <w:lang w:bidi="ar"/>
              </w:rPr>
              <w:t>气动阀门</w:t>
            </w:r>
          </w:p>
        </w:tc>
        <w:tc>
          <w:tcPr>
            <w:tcW w:w="1295" w:type="pct"/>
            <w:tcBorders>
              <w:tl2br w:val="nil"/>
              <w:tr2bl w:val="nil"/>
            </w:tcBorders>
            <w:shd w:val="clear" w:color="auto" w:fill="auto"/>
            <w:vAlign w:val="center"/>
          </w:tcPr>
          <w:p w14:paraId="69F531ED">
            <w:pPr>
              <w:widowControl/>
              <w:jc w:val="center"/>
              <w:textAlignment w:val="center"/>
              <w:rPr>
                <w:rFonts w:ascii="宋体" w:hAnsi="宋体" w:cs="宋体"/>
                <w:sz w:val="21"/>
                <w:szCs w:val="21"/>
                <w:highlight w:val="none"/>
              </w:rPr>
            </w:pPr>
            <w:r>
              <w:rPr>
                <w:rFonts w:hint="eastAsia" w:ascii="宋体" w:hAnsi="宋体" w:cs="宋体"/>
                <w:kern w:val="0"/>
                <w:sz w:val="21"/>
                <w:szCs w:val="21"/>
                <w:highlight w:val="none"/>
                <w:lang w:bidi="ar"/>
              </w:rPr>
              <w:t>滑架内配套，阀体铸铁，阀板衬塑</w:t>
            </w:r>
          </w:p>
        </w:tc>
        <w:tc>
          <w:tcPr>
            <w:tcW w:w="286" w:type="pct"/>
            <w:tcBorders>
              <w:tl2br w:val="nil"/>
              <w:tr2bl w:val="nil"/>
            </w:tcBorders>
            <w:shd w:val="clear" w:color="auto" w:fill="auto"/>
            <w:vAlign w:val="center"/>
          </w:tcPr>
          <w:p w14:paraId="7E893FC3">
            <w:pPr>
              <w:widowControl/>
              <w:jc w:val="center"/>
              <w:textAlignment w:val="center"/>
              <w:rPr>
                <w:rFonts w:ascii="宋体" w:hAnsi="宋体" w:cs="宋体"/>
                <w:sz w:val="21"/>
                <w:szCs w:val="21"/>
                <w:highlight w:val="none"/>
              </w:rPr>
            </w:pPr>
            <w:r>
              <w:rPr>
                <w:rFonts w:hint="eastAsia" w:ascii="宋体" w:hAnsi="宋体" w:cs="宋体"/>
                <w:kern w:val="0"/>
                <w:sz w:val="21"/>
                <w:szCs w:val="21"/>
                <w:highlight w:val="none"/>
                <w:lang w:bidi="ar"/>
              </w:rPr>
              <w:t>批</w:t>
            </w:r>
          </w:p>
        </w:tc>
        <w:tc>
          <w:tcPr>
            <w:tcW w:w="333" w:type="pct"/>
            <w:tcBorders>
              <w:tl2br w:val="nil"/>
              <w:tr2bl w:val="nil"/>
            </w:tcBorders>
            <w:shd w:val="clear" w:color="auto" w:fill="auto"/>
            <w:vAlign w:val="center"/>
          </w:tcPr>
          <w:p w14:paraId="726026E7">
            <w:pPr>
              <w:widowControl/>
              <w:jc w:val="center"/>
              <w:textAlignment w:val="center"/>
              <w:rPr>
                <w:sz w:val="21"/>
                <w:szCs w:val="21"/>
                <w:highlight w:val="none"/>
              </w:rPr>
            </w:pPr>
            <w:r>
              <w:rPr>
                <w:kern w:val="0"/>
                <w:sz w:val="21"/>
                <w:szCs w:val="21"/>
                <w:highlight w:val="none"/>
                <w:lang w:bidi="ar"/>
              </w:rPr>
              <w:t>1</w:t>
            </w:r>
          </w:p>
        </w:tc>
        <w:tc>
          <w:tcPr>
            <w:tcW w:w="1117" w:type="pct"/>
            <w:tcBorders>
              <w:tl2br w:val="nil"/>
              <w:tr2bl w:val="nil"/>
            </w:tcBorders>
            <w:shd w:val="clear" w:color="auto" w:fill="auto"/>
            <w:vAlign w:val="center"/>
          </w:tcPr>
          <w:p w14:paraId="6DC170EA">
            <w:pPr>
              <w:widowControl/>
              <w:jc w:val="center"/>
              <w:textAlignment w:val="center"/>
              <w:rPr>
                <w:sz w:val="21"/>
                <w:szCs w:val="21"/>
                <w:highlight w:val="none"/>
              </w:rPr>
            </w:pPr>
            <w:r>
              <w:rPr>
                <w:kern w:val="0"/>
                <w:sz w:val="21"/>
                <w:szCs w:val="21"/>
                <w:highlight w:val="none"/>
                <w:lang w:bidi="ar"/>
              </w:rPr>
              <w:t>SED</w:t>
            </w:r>
            <w:r>
              <w:rPr>
                <w:rStyle w:val="48"/>
                <w:color w:val="auto"/>
                <w:sz w:val="21"/>
                <w:szCs w:val="21"/>
                <w:highlight w:val="none"/>
                <w:lang w:bidi="ar"/>
              </w:rPr>
              <w:t>、</w:t>
            </w:r>
            <w:r>
              <w:rPr>
                <w:rStyle w:val="46"/>
                <w:rFonts w:hint="default"/>
                <w:color w:val="auto"/>
                <w:sz w:val="21"/>
                <w:szCs w:val="21"/>
                <w:highlight w:val="none"/>
                <w:lang w:bidi="ar"/>
              </w:rPr>
              <w:t>GEMU</w:t>
            </w:r>
            <w:r>
              <w:rPr>
                <w:rStyle w:val="48"/>
                <w:color w:val="auto"/>
                <w:sz w:val="21"/>
                <w:szCs w:val="21"/>
                <w:highlight w:val="none"/>
                <w:lang w:bidi="ar"/>
              </w:rPr>
              <w:t>、</w:t>
            </w:r>
            <w:r>
              <w:rPr>
                <w:rStyle w:val="46"/>
                <w:rFonts w:hint="default"/>
                <w:color w:val="auto"/>
                <w:sz w:val="21"/>
                <w:szCs w:val="21"/>
                <w:highlight w:val="none"/>
                <w:lang w:bidi="ar"/>
              </w:rPr>
              <w:t>BRAY</w:t>
            </w:r>
            <w:r>
              <w:rPr>
                <w:rStyle w:val="48"/>
                <w:color w:val="auto"/>
                <w:sz w:val="21"/>
                <w:szCs w:val="21"/>
                <w:highlight w:val="none"/>
                <w:lang w:bidi="ar"/>
              </w:rPr>
              <w:t>或</w:t>
            </w:r>
            <w:r>
              <w:rPr>
                <w:rStyle w:val="46"/>
                <w:rFonts w:hint="default"/>
                <w:color w:val="auto"/>
                <w:sz w:val="21"/>
                <w:szCs w:val="21"/>
                <w:highlight w:val="none"/>
                <w:lang w:bidi="ar"/>
              </w:rPr>
              <w:t>“</w:t>
            </w:r>
            <w:r>
              <w:rPr>
                <w:rStyle w:val="48"/>
                <w:color w:val="auto"/>
                <w:sz w:val="21"/>
                <w:szCs w:val="21"/>
                <w:highlight w:val="none"/>
                <w:lang w:bidi="ar"/>
              </w:rPr>
              <w:t>相当于</w:t>
            </w:r>
            <w:r>
              <w:rPr>
                <w:rStyle w:val="46"/>
                <w:rFonts w:hint="default"/>
                <w:color w:val="auto"/>
                <w:sz w:val="21"/>
                <w:szCs w:val="21"/>
                <w:highlight w:val="none"/>
                <w:lang w:bidi="ar"/>
              </w:rPr>
              <w:t>”</w:t>
            </w:r>
          </w:p>
        </w:tc>
        <w:tc>
          <w:tcPr>
            <w:tcW w:w="743" w:type="pct"/>
            <w:tcBorders>
              <w:tl2br w:val="nil"/>
              <w:tr2bl w:val="nil"/>
            </w:tcBorders>
            <w:shd w:val="clear" w:color="auto" w:fill="auto"/>
            <w:vAlign w:val="center"/>
          </w:tcPr>
          <w:p w14:paraId="3115AABC">
            <w:pPr>
              <w:widowControl/>
              <w:jc w:val="center"/>
              <w:textAlignment w:val="center"/>
              <w:rPr>
                <w:rFonts w:ascii="宋体" w:hAnsi="宋体" w:cs="宋体"/>
                <w:sz w:val="21"/>
                <w:szCs w:val="21"/>
                <w:highlight w:val="none"/>
              </w:rPr>
            </w:pPr>
          </w:p>
        </w:tc>
      </w:tr>
      <w:tr w14:paraId="3B9DD70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64" w:hRule="atLeast"/>
        </w:trPr>
        <w:tc>
          <w:tcPr>
            <w:tcW w:w="310" w:type="pct"/>
            <w:tcBorders>
              <w:tl2br w:val="nil"/>
              <w:tr2bl w:val="nil"/>
            </w:tcBorders>
            <w:shd w:val="clear" w:color="auto" w:fill="auto"/>
            <w:vAlign w:val="center"/>
          </w:tcPr>
          <w:p w14:paraId="6A56E6F1">
            <w:pPr>
              <w:widowControl/>
              <w:jc w:val="center"/>
              <w:textAlignment w:val="center"/>
              <w:rPr>
                <w:sz w:val="21"/>
                <w:szCs w:val="21"/>
                <w:highlight w:val="none"/>
              </w:rPr>
            </w:pPr>
            <w:r>
              <w:rPr>
                <w:kern w:val="0"/>
                <w:sz w:val="21"/>
                <w:szCs w:val="21"/>
                <w:highlight w:val="none"/>
                <w:lang w:bidi="ar"/>
              </w:rPr>
              <w:t>2</w:t>
            </w:r>
          </w:p>
        </w:tc>
        <w:tc>
          <w:tcPr>
            <w:tcW w:w="912" w:type="pct"/>
            <w:tcBorders>
              <w:tl2br w:val="nil"/>
              <w:tr2bl w:val="nil"/>
            </w:tcBorders>
            <w:shd w:val="clear" w:color="auto" w:fill="auto"/>
            <w:vAlign w:val="center"/>
          </w:tcPr>
          <w:p w14:paraId="22E69EB8">
            <w:pPr>
              <w:widowControl/>
              <w:jc w:val="center"/>
              <w:textAlignment w:val="center"/>
              <w:rPr>
                <w:rFonts w:ascii="宋体" w:hAnsi="宋体" w:cs="宋体"/>
                <w:sz w:val="21"/>
                <w:szCs w:val="21"/>
                <w:highlight w:val="none"/>
              </w:rPr>
            </w:pPr>
            <w:r>
              <w:rPr>
                <w:rFonts w:hint="eastAsia" w:ascii="宋体" w:hAnsi="宋体" w:cs="宋体"/>
                <w:kern w:val="0"/>
                <w:sz w:val="21"/>
                <w:szCs w:val="21"/>
                <w:highlight w:val="none"/>
                <w:lang w:bidi="ar"/>
              </w:rPr>
              <w:t>手动阀门</w:t>
            </w:r>
          </w:p>
        </w:tc>
        <w:tc>
          <w:tcPr>
            <w:tcW w:w="1295" w:type="pct"/>
            <w:tcBorders>
              <w:tl2br w:val="nil"/>
              <w:tr2bl w:val="nil"/>
            </w:tcBorders>
            <w:shd w:val="clear" w:color="auto" w:fill="auto"/>
            <w:vAlign w:val="center"/>
          </w:tcPr>
          <w:p w14:paraId="0463B34B">
            <w:pPr>
              <w:widowControl/>
              <w:jc w:val="center"/>
              <w:textAlignment w:val="center"/>
              <w:rPr>
                <w:rFonts w:ascii="宋体" w:hAnsi="宋体" w:cs="宋体"/>
                <w:sz w:val="21"/>
                <w:szCs w:val="21"/>
                <w:highlight w:val="none"/>
              </w:rPr>
            </w:pPr>
            <w:r>
              <w:rPr>
                <w:rFonts w:hint="eastAsia" w:ascii="宋体" w:hAnsi="宋体" w:cs="宋体"/>
                <w:kern w:val="0"/>
                <w:sz w:val="21"/>
                <w:szCs w:val="21"/>
                <w:highlight w:val="none"/>
                <w:lang w:bidi="ar"/>
              </w:rPr>
              <w:t>滑架内配套，阀体铸铁，阀板衬塑</w:t>
            </w:r>
          </w:p>
        </w:tc>
        <w:tc>
          <w:tcPr>
            <w:tcW w:w="286" w:type="pct"/>
            <w:tcBorders>
              <w:tl2br w:val="nil"/>
              <w:tr2bl w:val="nil"/>
            </w:tcBorders>
            <w:shd w:val="clear" w:color="auto" w:fill="auto"/>
            <w:vAlign w:val="center"/>
          </w:tcPr>
          <w:p w14:paraId="7FE1EB6E">
            <w:pPr>
              <w:widowControl/>
              <w:jc w:val="center"/>
              <w:textAlignment w:val="center"/>
              <w:rPr>
                <w:rFonts w:ascii="宋体" w:hAnsi="宋体" w:cs="宋体"/>
                <w:sz w:val="21"/>
                <w:szCs w:val="21"/>
                <w:highlight w:val="none"/>
              </w:rPr>
            </w:pPr>
            <w:r>
              <w:rPr>
                <w:rFonts w:hint="eastAsia" w:ascii="宋体" w:hAnsi="宋体" w:cs="宋体"/>
                <w:kern w:val="0"/>
                <w:sz w:val="21"/>
                <w:szCs w:val="21"/>
                <w:highlight w:val="none"/>
                <w:lang w:bidi="ar"/>
              </w:rPr>
              <w:t>批</w:t>
            </w:r>
          </w:p>
        </w:tc>
        <w:tc>
          <w:tcPr>
            <w:tcW w:w="333" w:type="pct"/>
            <w:tcBorders>
              <w:tl2br w:val="nil"/>
              <w:tr2bl w:val="nil"/>
            </w:tcBorders>
            <w:shd w:val="clear" w:color="auto" w:fill="auto"/>
            <w:vAlign w:val="center"/>
          </w:tcPr>
          <w:p w14:paraId="1911DB17">
            <w:pPr>
              <w:widowControl/>
              <w:jc w:val="center"/>
              <w:textAlignment w:val="center"/>
              <w:rPr>
                <w:sz w:val="21"/>
                <w:szCs w:val="21"/>
                <w:highlight w:val="none"/>
              </w:rPr>
            </w:pPr>
            <w:r>
              <w:rPr>
                <w:kern w:val="0"/>
                <w:sz w:val="21"/>
                <w:szCs w:val="21"/>
                <w:highlight w:val="none"/>
                <w:lang w:bidi="ar"/>
              </w:rPr>
              <w:t>1</w:t>
            </w:r>
          </w:p>
        </w:tc>
        <w:tc>
          <w:tcPr>
            <w:tcW w:w="1117" w:type="pct"/>
            <w:tcBorders>
              <w:tl2br w:val="nil"/>
              <w:tr2bl w:val="nil"/>
            </w:tcBorders>
            <w:shd w:val="clear" w:color="auto" w:fill="auto"/>
            <w:noWrap/>
            <w:vAlign w:val="center"/>
          </w:tcPr>
          <w:p w14:paraId="5D0ECC35">
            <w:pPr>
              <w:widowControl/>
              <w:jc w:val="center"/>
              <w:textAlignment w:val="center"/>
              <w:rPr>
                <w:rFonts w:ascii="宋体" w:hAnsi="宋体" w:cs="宋体"/>
                <w:sz w:val="21"/>
                <w:szCs w:val="21"/>
                <w:highlight w:val="none"/>
              </w:rPr>
            </w:pPr>
            <w:r>
              <w:rPr>
                <w:rFonts w:hint="eastAsia" w:ascii="宋体" w:hAnsi="宋体" w:cs="宋体"/>
                <w:kern w:val="0"/>
                <w:sz w:val="21"/>
                <w:szCs w:val="21"/>
                <w:highlight w:val="none"/>
                <w:lang w:bidi="ar"/>
              </w:rPr>
              <w:t>国产优质</w:t>
            </w:r>
          </w:p>
        </w:tc>
        <w:tc>
          <w:tcPr>
            <w:tcW w:w="743" w:type="pct"/>
            <w:tcBorders>
              <w:tl2br w:val="nil"/>
              <w:tr2bl w:val="nil"/>
            </w:tcBorders>
            <w:shd w:val="clear" w:color="auto" w:fill="auto"/>
            <w:vAlign w:val="center"/>
          </w:tcPr>
          <w:p w14:paraId="1BBCF8B4">
            <w:pPr>
              <w:widowControl/>
              <w:jc w:val="center"/>
              <w:textAlignment w:val="center"/>
              <w:rPr>
                <w:rFonts w:ascii="宋体" w:hAnsi="宋体" w:cs="宋体"/>
                <w:sz w:val="21"/>
                <w:szCs w:val="21"/>
                <w:highlight w:val="none"/>
              </w:rPr>
            </w:pPr>
          </w:p>
        </w:tc>
      </w:tr>
      <w:tr w14:paraId="655E1F1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310" w:type="pct"/>
            <w:tcBorders>
              <w:tl2br w:val="nil"/>
              <w:tr2bl w:val="nil"/>
            </w:tcBorders>
            <w:shd w:val="clear" w:color="auto" w:fill="auto"/>
            <w:noWrap/>
            <w:vAlign w:val="center"/>
          </w:tcPr>
          <w:p w14:paraId="314DEB06">
            <w:pPr>
              <w:rPr>
                <w:b/>
                <w:bCs/>
                <w:sz w:val="21"/>
                <w:szCs w:val="21"/>
                <w:highlight w:val="none"/>
              </w:rPr>
            </w:pPr>
            <w:r>
              <w:rPr>
                <w:rFonts w:hint="eastAsia"/>
                <w:b/>
                <w:bCs/>
                <w:sz w:val="21"/>
                <w:szCs w:val="21"/>
                <w:highlight w:val="none"/>
              </w:rPr>
              <w:t>四</w:t>
            </w:r>
          </w:p>
        </w:tc>
        <w:tc>
          <w:tcPr>
            <w:tcW w:w="912" w:type="pct"/>
            <w:tcBorders>
              <w:tl2br w:val="nil"/>
              <w:tr2bl w:val="nil"/>
            </w:tcBorders>
            <w:shd w:val="clear" w:color="auto" w:fill="auto"/>
            <w:noWrap/>
            <w:vAlign w:val="center"/>
          </w:tcPr>
          <w:p w14:paraId="153E1EB9">
            <w:pPr>
              <w:widowControl/>
              <w:jc w:val="center"/>
              <w:textAlignment w:val="center"/>
              <w:rPr>
                <w:rFonts w:ascii="宋体" w:hAnsi="宋体" w:cs="宋体"/>
                <w:b/>
                <w:bCs/>
                <w:sz w:val="21"/>
                <w:szCs w:val="21"/>
                <w:highlight w:val="none"/>
              </w:rPr>
            </w:pPr>
            <w:r>
              <w:rPr>
                <w:rFonts w:hint="eastAsia" w:ascii="宋体" w:hAnsi="宋体" w:cs="宋体"/>
                <w:b/>
                <w:bCs/>
                <w:kern w:val="0"/>
                <w:sz w:val="21"/>
                <w:szCs w:val="21"/>
                <w:highlight w:val="none"/>
                <w:lang w:bidi="ar"/>
              </w:rPr>
              <w:t>电仪设备清单</w:t>
            </w:r>
          </w:p>
        </w:tc>
        <w:tc>
          <w:tcPr>
            <w:tcW w:w="1295" w:type="pct"/>
            <w:tcBorders>
              <w:tl2br w:val="nil"/>
              <w:tr2bl w:val="nil"/>
            </w:tcBorders>
            <w:shd w:val="clear" w:color="auto" w:fill="auto"/>
            <w:noWrap/>
            <w:vAlign w:val="center"/>
          </w:tcPr>
          <w:p w14:paraId="0B2D5502">
            <w:pPr>
              <w:rPr>
                <w:b/>
                <w:bCs/>
                <w:sz w:val="21"/>
                <w:szCs w:val="21"/>
                <w:highlight w:val="none"/>
              </w:rPr>
            </w:pPr>
          </w:p>
        </w:tc>
        <w:tc>
          <w:tcPr>
            <w:tcW w:w="286" w:type="pct"/>
            <w:tcBorders>
              <w:tl2br w:val="nil"/>
              <w:tr2bl w:val="nil"/>
            </w:tcBorders>
            <w:shd w:val="clear" w:color="auto" w:fill="auto"/>
            <w:noWrap/>
            <w:vAlign w:val="center"/>
          </w:tcPr>
          <w:p w14:paraId="6522F13C">
            <w:pPr>
              <w:rPr>
                <w:b/>
                <w:bCs/>
                <w:sz w:val="21"/>
                <w:szCs w:val="21"/>
                <w:highlight w:val="none"/>
              </w:rPr>
            </w:pPr>
          </w:p>
        </w:tc>
        <w:tc>
          <w:tcPr>
            <w:tcW w:w="333" w:type="pct"/>
            <w:tcBorders>
              <w:tl2br w:val="nil"/>
              <w:tr2bl w:val="nil"/>
            </w:tcBorders>
            <w:shd w:val="clear" w:color="auto" w:fill="auto"/>
            <w:noWrap/>
            <w:vAlign w:val="center"/>
          </w:tcPr>
          <w:p w14:paraId="088D7DE4">
            <w:pPr>
              <w:rPr>
                <w:b/>
                <w:bCs/>
                <w:sz w:val="21"/>
                <w:szCs w:val="21"/>
                <w:highlight w:val="none"/>
              </w:rPr>
            </w:pPr>
          </w:p>
        </w:tc>
        <w:tc>
          <w:tcPr>
            <w:tcW w:w="1117" w:type="pct"/>
            <w:tcBorders>
              <w:tl2br w:val="nil"/>
              <w:tr2bl w:val="nil"/>
            </w:tcBorders>
            <w:shd w:val="clear" w:color="auto" w:fill="auto"/>
            <w:vAlign w:val="center"/>
          </w:tcPr>
          <w:p w14:paraId="3723474E">
            <w:pPr>
              <w:jc w:val="center"/>
              <w:rPr>
                <w:b/>
                <w:bCs/>
                <w:sz w:val="21"/>
                <w:szCs w:val="21"/>
                <w:highlight w:val="none"/>
              </w:rPr>
            </w:pPr>
          </w:p>
        </w:tc>
        <w:tc>
          <w:tcPr>
            <w:tcW w:w="743" w:type="pct"/>
            <w:tcBorders>
              <w:tl2br w:val="nil"/>
              <w:tr2bl w:val="nil"/>
            </w:tcBorders>
            <w:shd w:val="clear" w:color="auto" w:fill="auto"/>
            <w:noWrap/>
            <w:vAlign w:val="center"/>
          </w:tcPr>
          <w:p w14:paraId="5F734D02">
            <w:pPr>
              <w:jc w:val="center"/>
              <w:rPr>
                <w:b/>
                <w:bCs/>
                <w:sz w:val="21"/>
                <w:szCs w:val="21"/>
                <w:highlight w:val="none"/>
              </w:rPr>
            </w:pPr>
          </w:p>
        </w:tc>
      </w:tr>
      <w:tr w14:paraId="0F1A93D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6" w:hRule="atLeast"/>
        </w:trPr>
        <w:tc>
          <w:tcPr>
            <w:tcW w:w="310" w:type="pct"/>
            <w:tcBorders>
              <w:tl2br w:val="nil"/>
              <w:tr2bl w:val="nil"/>
            </w:tcBorders>
            <w:shd w:val="clear" w:color="auto" w:fill="auto"/>
            <w:vAlign w:val="center"/>
          </w:tcPr>
          <w:p w14:paraId="66DC901F">
            <w:pPr>
              <w:widowControl/>
              <w:jc w:val="center"/>
              <w:textAlignment w:val="center"/>
              <w:rPr>
                <w:sz w:val="21"/>
                <w:szCs w:val="21"/>
                <w:highlight w:val="none"/>
              </w:rPr>
            </w:pPr>
            <w:r>
              <w:rPr>
                <w:rFonts w:hint="eastAsia"/>
                <w:kern w:val="0"/>
                <w:sz w:val="21"/>
                <w:szCs w:val="21"/>
                <w:highlight w:val="none"/>
                <w:lang w:bidi="ar"/>
              </w:rPr>
              <w:t>1</w:t>
            </w:r>
          </w:p>
        </w:tc>
        <w:tc>
          <w:tcPr>
            <w:tcW w:w="912" w:type="pct"/>
            <w:tcBorders>
              <w:tl2br w:val="nil"/>
              <w:tr2bl w:val="nil"/>
            </w:tcBorders>
            <w:shd w:val="clear" w:color="auto" w:fill="auto"/>
            <w:vAlign w:val="center"/>
          </w:tcPr>
          <w:p w14:paraId="3691E761">
            <w:pPr>
              <w:widowControl/>
              <w:jc w:val="center"/>
              <w:textAlignment w:val="center"/>
              <w:rPr>
                <w:rFonts w:ascii="宋体" w:hAnsi="宋体" w:cs="宋体"/>
                <w:kern w:val="0"/>
                <w:sz w:val="21"/>
                <w:szCs w:val="21"/>
                <w:highlight w:val="none"/>
                <w:lang w:bidi="ar"/>
              </w:rPr>
            </w:pPr>
            <w:r>
              <w:rPr>
                <w:rFonts w:hint="eastAsia" w:ascii="宋体" w:hAnsi="宋体" w:cs="宋体"/>
                <w:kern w:val="0"/>
                <w:sz w:val="21"/>
                <w:szCs w:val="21"/>
                <w:highlight w:val="none"/>
                <w:lang w:bidi="ar"/>
              </w:rPr>
              <w:t>不锈钢耐震压力表</w:t>
            </w:r>
          </w:p>
        </w:tc>
        <w:tc>
          <w:tcPr>
            <w:tcW w:w="1295" w:type="pct"/>
            <w:tcBorders>
              <w:tl2br w:val="nil"/>
              <w:tr2bl w:val="nil"/>
            </w:tcBorders>
            <w:shd w:val="clear" w:color="auto" w:fill="auto"/>
            <w:vAlign w:val="center"/>
          </w:tcPr>
          <w:p w14:paraId="16664038">
            <w:pPr>
              <w:widowControl/>
              <w:jc w:val="center"/>
              <w:textAlignment w:val="center"/>
              <w:rPr>
                <w:rFonts w:ascii="宋体" w:hAnsi="宋体" w:cs="宋体"/>
                <w:sz w:val="21"/>
                <w:szCs w:val="21"/>
                <w:highlight w:val="none"/>
              </w:rPr>
            </w:pPr>
            <w:r>
              <w:rPr>
                <w:rFonts w:hint="eastAsia" w:ascii="宋体" w:hAnsi="宋体" w:cs="宋体"/>
                <w:kern w:val="0"/>
                <w:sz w:val="21"/>
                <w:szCs w:val="21"/>
                <w:highlight w:val="none"/>
                <w:lang w:bidi="ar"/>
              </w:rPr>
              <w:t>反渗透装置配套，表盘直径DN100。进水、段间、浓水、产水</w:t>
            </w:r>
          </w:p>
        </w:tc>
        <w:tc>
          <w:tcPr>
            <w:tcW w:w="286" w:type="pct"/>
            <w:tcBorders>
              <w:tl2br w:val="nil"/>
              <w:tr2bl w:val="nil"/>
            </w:tcBorders>
            <w:shd w:val="clear" w:color="auto" w:fill="auto"/>
            <w:vAlign w:val="center"/>
          </w:tcPr>
          <w:p w14:paraId="6BBA5EDC">
            <w:pPr>
              <w:widowControl/>
              <w:jc w:val="center"/>
              <w:textAlignment w:val="center"/>
              <w:rPr>
                <w:rFonts w:ascii="宋体" w:hAnsi="宋体" w:cs="宋体"/>
                <w:sz w:val="21"/>
                <w:szCs w:val="21"/>
                <w:highlight w:val="none"/>
              </w:rPr>
            </w:pPr>
            <w:r>
              <w:rPr>
                <w:rFonts w:hint="eastAsia" w:ascii="宋体" w:hAnsi="宋体" w:cs="宋体"/>
                <w:kern w:val="0"/>
                <w:sz w:val="21"/>
                <w:szCs w:val="21"/>
                <w:highlight w:val="none"/>
                <w:lang w:bidi="ar"/>
              </w:rPr>
              <w:t>批</w:t>
            </w:r>
          </w:p>
        </w:tc>
        <w:tc>
          <w:tcPr>
            <w:tcW w:w="333" w:type="pct"/>
            <w:tcBorders>
              <w:tl2br w:val="nil"/>
              <w:tr2bl w:val="nil"/>
            </w:tcBorders>
            <w:shd w:val="clear" w:color="auto" w:fill="auto"/>
            <w:vAlign w:val="center"/>
          </w:tcPr>
          <w:p w14:paraId="67D618CD">
            <w:pPr>
              <w:widowControl/>
              <w:jc w:val="center"/>
              <w:textAlignment w:val="center"/>
              <w:rPr>
                <w:sz w:val="21"/>
                <w:szCs w:val="21"/>
                <w:highlight w:val="none"/>
              </w:rPr>
            </w:pPr>
            <w:r>
              <w:rPr>
                <w:kern w:val="0"/>
                <w:sz w:val="21"/>
                <w:szCs w:val="21"/>
                <w:highlight w:val="none"/>
                <w:lang w:bidi="ar"/>
              </w:rPr>
              <w:t>1</w:t>
            </w:r>
          </w:p>
        </w:tc>
        <w:tc>
          <w:tcPr>
            <w:tcW w:w="1117" w:type="pct"/>
            <w:tcBorders>
              <w:tl2br w:val="nil"/>
              <w:tr2bl w:val="nil"/>
            </w:tcBorders>
            <w:shd w:val="clear" w:color="auto" w:fill="auto"/>
            <w:noWrap/>
            <w:vAlign w:val="center"/>
          </w:tcPr>
          <w:p w14:paraId="1B826C7B">
            <w:pPr>
              <w:widowControl/>
              <w:jc w:val="center"/>
              <w:textAlignment w:val="center"/>
              <w:rPr>
                <w:rFonts w:ascii="宋体" w:hAnsi="宋体" w:cs="宋体"/>
                <w:sz w:val="21"/>
                <w:szCs w:val="21"/>
                <w:highlight w:val="none"/>
              </w:rPr>
            </w:pPr>
            <w:r>
              <w:rPr>
                <w:rFonts w:hint="eastAsia" w:ascii="宋体" w:hAnsi="宋体" w:cs="宋体"/>
                <w:color w:val="000000"/>
                <w:kern w:val="0"/>
                <w:sz w:val="21"/>
                <w:szCs w:val="21"/>
                <w:highlight w:val="none"/>
                <w:lang w:bidi="ar"/>
              </w:rPr>
              <w:t>上自仪、西安大华、重庆川仪、安徽天康或“相当于”</w:t>
            </w:r>
          </w:p>
        </w:tc>
        <w:tc>
          <w:tcPr>
            <w:tcW w:w="743" w:type="pct"/>
            <w:tcBorders>
              <w:tl2br w:val="nil"/>
              <w:tr2bl w:val="nil"/>
            </w:tcBorders>
            <w:shd w:val="clear" w:color="auto" w:fill="auto"/>
            <w:vAlign w:val="center"/>
          </w:tcPr>
          <w:p w14:paraId="758875C2">
            <w:pPr>
              <w:widowControl/>
              <w:jc w:val="center"/>
              <w:textAlignment w:val="center"/>
              <w:rPr>
                <w:rFonts w:ascii="宋体" w:hAnsi="宋体" w:cs="宋体"/>
                <w:sz w:val="21"/>
                <w:szCs w:val="21"/>
                <w:highlight w:val="none"/>
              </w:rPr>
            </w:pPr>
          </w:p>
        </w:tc>
      </w:tr>
      <w:tr w14:paraId="3FA4046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6" w:hRule="atLeast"/>
        </w:trPr>
        <w:tc>
          <w:tcPr>
            <w:tcW w:w="310" w:type="pct"/>
            <w:tcBorders>
              <w:tl2br w:val="nil"/>
              <w:tr2bl w:val="nil"/>
            </w:tcBorders>
            <w:shd w:val="clear" w:color="auto" w:fill="auto"/>
            <w:vAlign w:val="center"/>
          </w:tcPr>
          <w:p w14:paraId="09A60BB4">
            <w:pPr>
              <w:widowControl/>
              <w:jc w:val="center"/>
              <w:textAlignment w:val="center"/>
              <w:rPr>
                <w:sz w:val="21"/>
                <w:szCs w:val="21"/>
                <w:highlight w:val="none"/>
              </w:rPr>
            </w:pPr>
            <w:r>
              <w:rPr>
                <w:rFonts w:hint="eastAsia"/>
                <w:kern w:val="0"/>
                <w:sz w:val="21"/>
                <w:szCs w:val="21"/>
                <w:highlight w:val="none"/>
                <w:lang w:bidi="ar"/>
              </w:rPr>
              <w:t>2</w:t>
            </w:r>
          </w:p>
        </w:tc>
        <w:tc>
          <w:tcPr>
            <w:tcW w:w="912" w:type="pct"/>
            <w:tcBorders>
              <w:tl2br w:val="nil"/>
              <w:tr2bl w:val="nil"/>
            </w:tcBorders>
            <w:shd w:val="clear" w:color="auto" w:fill="auto"/>
            <w:vAlign w:val="center"/>
          </w:tcPr>
          <w:p w14:paraId="421BAA25">
            <w:pPr>
              <w:widowControl/>
              <w:jc w:val="center"/>
              <w:textAlignment w:val="center"/>
              <w:rPr>
                <w:rFonts w:ascii="宋体" w:hAnsi="宋体" w:cs="宋体"/>
                <w:kern w:val="0"/>
                <w:sz w:val="21"/>
                <w:szCs w:val="21"/>
                <w:highlight w:val="none"/>
                <w:lang w:bidi="ar"/>
              </w:rPr>
            </w:pPr>
            <w:r>
              <w:rPr>
                <w:rFonts w:hint="eastAsia" w:ascii="宋体" w:hAnsi="宋体" w:cs="宋体"/>
                <w:kern w:val="0"/>
                <w:sz w:val="21"/>
                <w:szCs w:val="21"/>
                <w:highlight w:val="none"/>
                <w:lang w:bidi="ar"/>
              </w:rPr>
              <w:t>不锈钢耐震压力表</w:t>
            </w:r>
          </w:p>
        </w:tc>
        <w:tc>
          <w:tcPr>
            <w:tcW w:w="1295" w:type="pct"/>
            <w:tcBorders>
              <w:tl2br w:val="nil"/>
              <w:tr2bl w:val="nil"/>
            </w:tcBorders>
            <w:shd w:val="clear" w:color="auto" w:fill="auto"/>
            <w:vAlign w:val="center"/>
          </w:tcPr>
          <w:p w14:paraId="3A5B184C">
            <w:pPr>
              <w:widowControl/>
              <w:jc w:val="center"/>
              <w:textAlignment w:val="center"/>
              <w:rPr>
                <w:rFonts w:ascii="宋体" w:hAnsi="宋体" w:cs="宋体"/>
                <w:sz w:val="21"/>
                <w:szCs w:val="21"/>
                <w:highlight w:val="none"/>
              </w:rPr>
            </w:pPr>
            <w:r>
              <w:rPr>
                <w:rFonts w:hint="eastAsia" w:ascii="宋体" w:hAnsi="宋体" w:cs="宋体"/>
                <w:kern w:val="0"/>
                <w:sz w:val="21"/>
                <w:szCs w:val="21"/>
                <w:highlight w:val="none"/>
                <w:lang w:bidi="ar"/>
              </w:rPr>
              <w:t>超滤装置配套，表盘直径DN100。</w:t>
            </w:r>
          </w:p>
        </w:tc>
        <w:tc>
          <w:tcPr>
            <w:tcW w:w="286" w:type="pct"/>
            <w:tcBorders>
              <w:tl2br w:val="nil"/>
              <w:tr2bl w:val="nil"/>
            </w:tcBorders>
            <w:shd w:val="clear" w:color="auto" w:fill="auto"/>
            <w:vAlign w:val="center"/>
          </w:tcPr>
          <w:p w14:paraId="53BFE0B1">
            <w:pPr>
              <w:widowControl/>
              <w:jc w:val="center"/>
              <w:textAlignment w:val="center"/>
              <w:rPr>
                <w:rFonts w:ascii="宋体" w:hAnsi="宋体" w:cs="宋体"/>
                <w:sz w:val="21"/>
                <w:szCs w:val="21"/>
                <w:highlight w:val="none"/>
              </w:rPr>
            </w:pPr>
            <w:r>
              <w:rPr>
                <w:rFonts w:hint="eastAsia" w:ascii="宋体" w:hAnsi="宋体" w:cs="宋体"/>
                <w:kern w:val="0"/>
                <w:sz w:val="21"/>
                <w:szCs w:val="21"/>
                <w:highlight w:val="none"/>
                <w:lang w:bidi="ar"/>
              </w:rPr>
              <w:t>批</w:t>
            </w:r>
          </w:p>
        </w:tc>
        <w:tc>
          <w:tcPr>
            <w:tcW w:w="333" w:type="pct"/>
            <w:tcBorders>
              <w:tl2br w:val="nil"/>
              <w:tr2bl w:val="nil"/>
            </w:tcBorders>
            <w:shd w:val="clear" w:color="auto" w:fill="auto"/>
            <w:vAlign w:val="center"/>
          </w:tcPr>
          <w:p w14:paraId="031BD247">
            <w:pPr>
              <w:widowControl/>
              <w:jc w:val="center"/>
              <w:textAlignment w:val="center"/>
              <w:rPr>
                <w:sz w:val="21"/>
                <w:szCs w:val="21"/>
                <w:highlight w:val="none"/>
              </w:rPr>
            </w:pPr>
            <w:r>
              <w:rPr>
                <w:kern w:val="0"/>
                <w:sz w:val="21"/>
                <w:szCs w:val="21"/>
                <w:highlight w:val="none"/>
                <w:lang w:bidi="ar"/>
              </w:rPr>
              <w:t>1</w:t>
            </w:r>
          </w:p>
        </w:tc>
        <w:tc>
          <w:tcPr>
            <w:tcW w:w="1117" w:type="pct"/>
            <w:tcBorders>
              <w:tl2br w:val="nil"/>
              <w:tr2bl w:val="nil"/>
            </w:tcBorders>
            <w:shd w:val="clear" w:color="auto" w:fill="auto"/>
            <w:noWrap/>
            <w:vAlign w:val="center"/>
          </w:tcPr>
          <w:p w14:paraId="5D5E9774">
            <w:pPr>
              <w:widowControl/>
              <w:jc w:val="center"/>
              <w:textAlignment w:val="center"/>
              <w:rPr>
                <w:rFonts w:ascii="宋体" w:hAnsi="宋体" w:cs="宋体"/>
                <w:sz w:val="21"/>
                <w:szCs w:val="21"/>
                <w:highlight w:val="none"/>
              </w:rPr>
            </w:pPr>
            <w:r>
              <w:rPr>
                <w:rFonts w:hint="eastAsia" w:ascii="宋体" w:hAnsi="宋体" w:cs="宋体"/>
                <w:color w:val="000000"/>
                <w:kern w:val="0"/>
                <w:sz w:val="21"/>
                <w:szCs w:val="21"/>
                <w:highlight w:val="none"/>
                <w:lang w:bidi="ar"/>
              </w:rPr>
              <w:t>上自仪、西安大华、重庆川仪、安徽天康或“相当于”</w:t>
            </w:r>
          </w:p>
        </w:tc>
        <w:tc>
          <w:tcPr>
            <w:tcW w:w="743" w:type="pct"/>
            <w:tcBorders>
              <w:tl2br w:val="nil"/>
              <w:tr2bl w:val="nil"/>
            </w:tcBorders>
            <w:shd w:val="clear" w:color="auto" w:fill="auto"/>
            <w:vAlign w:val="center"/>
          </w:tcPr>
          <w:p w14:paraId="10E516AF">
            <w:pPr>
              <w:widowControl/>
              <w:jc w:val="center"/>
              <w:textAlignment w:val="center"/>
              <w:rPr>
                <w:rFonts w:ascii="宋体" w:hAnsi="宋体" w:cs="宋体"/>
                <w:sz w:val="21"/>
                <w:szCs w:val="21"/>
                <w:highlight w:val="none"/>
              </w:rPr>
            </w:pPr>
          </w:p>
        </w:tc>
      </w:tr>
    </w:tbl>
    <w:p w14:paraId="1248B7AF">
      <w:pPr>
        <w:spacing w:line="360" w:lineRule="auto"/>
        <w:jc w:val="left"/>
        <w:rPr>
          <w:highlight w:val="none"/>
        </w:rPr>
      </w:pPr>
      <w:r>
        <w:rPr>
          <w:highlight w:val="none"/>
        </w:rPr>
        <w:t>表1</w:t>
      </w:r>
      <w:r>
        <w:rPr>
          <w:rFonts w:hint="eastAsia"/>
          <w:highlight w:val="none"/>
        </w:rPr>
        <w:t>.2</w:t>
      </w:r>
      <w:r>
        <w:rPr>
          <w:highlight w:val="none"/>
        </w:rPr>
        <w:t xml:space="preserve"> </w:t>
      </w:r>
      <w:r>
        <w:rPr>
          <w:rFonts w:hint="eastAsia"/>
          <w:highlight w:val="none"/>
        </w:rPr>
        <w:t>阀门清单（清单数量作为参考，最终数量与材质由投标方确认）</w:t>
      </w:r>
    </w:p>
    <w:tbl>
      <w:tblPr>
        <w:tblStyle w:val="21"/>
        <w:tblW w:w="4997" w:type="pct"/>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45"/>
        <w:gridCol w:w="1793"/>
        <w:gridCol w:w="1910"/>
        <w:gridCol w:w="2350"/>
        <w:gridCol w:w="508"/>
        <w:gridCol w:w="522"/>
        <w:gridCol w:w="1247"/>
      </w:tblGrid>
      <w:tr w14:paraId="353ACAB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9" w:hRule="atLeast"/>
          <w:tblHeader/>
        </w:trPr>
        <w:tc>
          <w:tcPr>
            <w:tcW w:w="359" w:type="pct"/>
            <w:tcBorders>
              <w:tl2br w:val="nil"/>
              <w:tr2bl w:val="nil"/>
            </w:tcBorders>
            <w:shd w:val="clear" w:color="auto" w:fill="auto"/>
            <w:vAlign w:val="center"/>
          </w:tcPr>
          <w:p w14:paraId="0ABB8221">
            <w:pPr>
              <w:widowControl/>
              <w:jc w:val="center"/>
              <w:textAlignment w:val="center"/>
              <w:rPr>
                <w:b/>
                <w:bCs/>
                <w:color w:val="000000"/>
                <w:highlight w:val="none"/>
              </w:rPr>
            </w:pPr>
            <w:r>
              <w:rPr>
                <w:rFonts w:hint="eastAsia" w:ascii="宋体" w:hAnsi="宋体" w:cs="宋体"/>
                <w:b/>
                <w:bCs/>
                <w:color w:val="000000"/>
                <w:kern w:val="0"/>
                <w:highlight w:val="none"/>
                <w:lang w:bidi="ar"/>
              </w:rPr>
              <w:t>序号</w:t>
            </w:r>
          </w:p>
        </w:tc>
        <w:tc>
          <w:tcPr>
            <w:tcW w:w="998" w:type="pct"/>
            <w:tcBorders>
              <w:tl2br w:val="nil"/>
              <w:tr2bl w:val="nil"/>
            </w:tcBorders>
            <w:shd w:val="clear" w:color="auto" w:fill="auto"/>
            <w:vAlign w:val="center"/>
          </w:tcPr>
          <w:p w14:paraId="567BDF63">
            <w:pPr>
              <w:widowControl/>
              <w:jc w:val="center"/>
              <w:textAlignment w:val="center"/>
              <w:rPr>
                <w:b/>
                <w:bCs/>
                <w:color w:val="000000"/>
                <w:highlight w:val="none"/>
              </w:rPr>
            </w:pPr>
            <w:r>
              <w:rPr>
                <w:rFonts w:hint="eastAsia" w:ascii="宋体" w:hAnsi="宋体" w:cs="宋体"/>
                <w:b/>
                <w:bCs/>
                <w:color w:val="000000"/>
                <w:kern w:val="0"/>
                <w:highlight w:val="none"/>
                <w:lang w:bidi="ar"/>
              </w:rPr>
              <w:t>阀门名称</w:t>
            </w:r>
          </w:p>
        </w:tc>
        <w:tc>
          <w:tcPr>
            <w:tcW w:w="1063" w:type="pct"/>
            <w:tcBorders>
              <w:tl2br w:val="nil"/>
              <w:tr2bl w:val="nil"/>
            </w:tcBorders>
            <w:shd w:val="clear" w:color="auto" w:fill="auto"/>
            <w:vAlign w:val="center"/>
          </w:tcPr>
          <w:p w14:paraId="6935CA08">
            <w:pPr>
              <w:widowControl/>
              <w:jc w:val="center"/>
              <w:textAlignment w:val="center"/>
              <w:rPr>
                <w:rFonts w:ascii="宋体" w:hAnsi="宋体" w:cs="宋体"/>
                <w:b/>
                <w:bCs/>
                <w:color w:val="000000"/>
                <w:highlight w:val="none"/>
              </w:rPr>
            </w:pPr>
            <w:r>
              <w:rPr>
                <w:rFonts w:hint="eastAsia" w:ascii="宋体" w:hAnsi="宋体" w:cs="宋体"/>
                <w:b/>
                <w:bCs/>
                <w:color w:val="000000"/>
                <w:kern w:val="0"/>
                <w:highlight w:val="none"/>
                <w:lang w:bidi="ar"/>
              </w:rPr>
              <w:t>规格</w:t>
            </w:r>
          </w:p>
        </w:tc>
        <w:tc>
          <w:tcPr>
            <w:tcW w:w="1308" w:type="pct"/>
            <w:tcBorders>
              <w:tl2br w:val="nil"/>
              <w:tr2bl w:val="nil"/>
            </w:tcBorders>
            <w:shd w:val="clear" w:color="auto" w:fill="auto"/>
            <w:vAlign w:val="center"/>
          </w:tcPr>
          <w:p w14:paraId="4F94726B">
            <w:pPr>
              <w:widowControl/>
              <w:jc w:val="center"/>
              <w:textAlignment w:val="center"/>
              <w:rPr>
                <w:rFonts w:ascii="宋体" w:hAnsi="宋体" w:cs="宋体"/>
                <w:b/>
                <w:bCs/>
                <w:color w:val="000000"/>
                <w:highlight w:val="none"/>
              </w:rPr>
            </w:pPr>
            <w:r>
              <w:rPr>
                <w:rFonts w:hint="eastAsia" w:ascii="宋体" w:hAnsi="宋体" w:cs="宋体"/>
                <w:b/>
                <w:bCs/>
                <w:color w:val="000000"/>
                <w:kern w:val="0"/>
                <w:highlight w:val="none"/>
                <w:lang w:bidi="ar"/>
              </w:rPr>
              <w:t>材质</w:t>
            </w:r>
          </w:p>
        </w:tc>
        <w:tc>
          <w:tcPr>
            <w:tcW w:w="283" w:type="pct"/>
            <w:tcBorders>
              <w:tl2br w:val="nil"/>
              <w:tr2bl w:val="nil"/>
            </w:tcBorders>
            <w:shd w:val="clear" w:color="auto" w:fill="auto"/>
            <w:vAlign w:val="center"/>
          </w:tcPr>
          <w:p w14:paraId="0CF640BA">
            <w:pPr>
              <w:widowControl/>
              <w:jc w:val="center"/>
              <w:textAlignment w:val="center"/>
              <w:rPr>
                <w:rFonts w:ascii="宋体" w:hAnsi="宋体" w:cs="宋体"/>
                <w:b/>
                <w:bCs/>
                <w:color w:val="000000"/>
                <w:highlight w:val="none"/>
              </w:rPr>
            </w:pPr>
            <w:r>
              <w:rPr>
                <w:rFonts w:hint="eastAsia" w:ascii="宋体" w:hAnsi="宋体" w:cs="宋体"/>
                <w:b/>
                <w:bCs/>
                <w:color w:val="000000"/>
                <w:kern w:val="0"/>
                <w:highlight w:val="none"/>
                <w:lang w:bidi="ar"/>
              </w:rPr>
              <w:t>单位</w:t>
            </w:r>
          </w:p>
        </w:tc>
        <w:tc>
          <w:tcPr>
            <w:tcW w:w="291" w:type="pct"/>
            <w:tcBorders>
              <w:tl2br w:val="nil"/>
              <w:tr2bl w:val="nil"/>
            </w:tcBorders>
            <w:shd w:val="clear" w:color="auto" w:fill="auto"/>
            <w:vAlign w:val="center"/>
          </w:tcPr>
          <w:p w14:paraId="5E1DC87B">
            <w:pPr>
              <w:widowControl/>
              <w:jc w:val="center"/>
              <w:textAlignment w:val="center"/>
              <w:rPr>
                <w:b/>
                <w:bCs/>
                <w:color w:val="000000"/>
                <w:highlight w:val="none"/>
              </w:rPr>
            </w:pPr>
            <w:r>
              <w:rPr>
                <w:rFonts w:hint="eastAsia" w:ascii="宋体" w:hAnsi="宋体" w:cs="宋体"/>
                <w:b/>
                <w:bCs/>
                <w:color w:val="000000"/>
                <w:kern w:val="0"/>
                <w:highlight w:val="none"/>
                <w:lang w:bidi="ar"/>
              </w:rPr>
              <w:t>数量</w:t>
            </w:r>
          </w:p>
        </w:tc>
        <w:tc>
          <w:tcPr>
            <w:tcW w:w="694" w:type="pct"/>
            <w:tcBorders>
              <w:tl2br w:val="nil"/>
              <w:tr2bl w:val="nil"/>
            </w:tcBorders>
            <w:shd w:val="clear" w:color="auto" w:fill="auto"/>
            <w:vAlign w:val="center"/>
          </w:tcPr>
          <w:p w14:paraId="37A0F744">
            <w:pPr>
              <w:widowControl/>
              <w:jc w:val="center"/>
              <w:textAlignment w:val="center"/>
              <w:rPr>
                <w:rFonts w:ascii="宋体" w:hAnsi="宋体" w:cs="宋体"/>
                <w:b/>
                <w:bCs/>
                <w:color w:val="000000"/>
                <w:kern w:val="0"/>
                <w:highlight w:val="none"/>
                <w:lang w:bidi="ar"/>
              </w:rPr>
            </w:pPr>
            <w:r>
              <w:rPr>
                <w:rFonts w:hint="eastAsia" w:ascii="宋体" w:hAnsi="宋体" w:cs="宋体"/>
                <w:b/>
                <w:bCs/>
                <w:color w:val="000000"/>
                <w:kern w:val="0"/>
                <w:highlight w:val="none"/>
                <w:lang w:bidi="ar"/>
              </w:rPr>
              <w:t>备注</w:t>
            </w:r>
          </w:p>
        </w:tc>
      </w:tr>
      <w:tr w14:paraId="157DB13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59" w:type="pct"/>
            <w:tcBorders>
              <w:tl2br w:val="nil"/>
              <w:tr2bl w:val="nil"/>
            </w:tcBorders>
            <w:shd w:val="clear" w:color="auto" w:fill="auto"/>
            <w:vAlign w:val="center"/>
          </w:tcPr>
          <w:p w14:paraId="2B7F8E3F">
            <w:pPr>
              <w:jc w:val="center"/>
              <w:rPr>
                <w:b/>
                <w:bCs/>
                <w:color w:val="000000"/>
                <w:sz w:val="21"/>
                <w:szCs w:val="21"/>
                <w:highlight w:val="none"/>
              </w:rPr>
            </w:pPr>
          </w:p>
        </w:tc>
        <w:tc>
          <w:tcPr>
            <w:tcW w:w="998" w:type="pct"/>
            <w:tcBorders>
              <w:tl2br w:val="nil"/>
              <w:tr2bl w:val="nil"/>
            </w:tcBorders>
            <w:shd w:val="clear" w:color="auto" w:fill="auto"/>
            <w:vAlign w:val="center"/>
          </w:tcPr>
          <w:p w14:paraId="5780D077">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气动阀门</w:t>
            </w:r>
          </w:p>
        </w:tc>
        <w:tc>
          <w:tcPr>
            <w:tcW w:w="1063" w:type="pct"/>
            <w:tcBorders>
              <w:tl2br w:val="nil"/>
              <w:tr2bl w:val="nil"/>
            </w:tcBorders>
            <w:shd w:val="clear" w:color="auto" w:fill="auto"/>
            <w:vAlign w:val="center"/>
          </w:tcPr>
          <w:p w14:paraId="03CA4D4F">
            <w:pPr>
              <w:jc w:val="center"/>
              <w:rPr>
                <w:rFonts w:ascii="宋体" w:hAnsi="宋体" w:cs="宋体"/>
                <w:b/>
                <w:bCs/>
                <w:color w:val="000000"/>
                <w:sz w:val="21"/>
                <w:szCs w:val="21"/>
                <w:highlight w:val="none"/>
              </w:rPr>
            </w:pPr>
          </w:p>
        </w:tc>
        <w:tc>
          <w:tcPr>
            <w:tcW w:w="1308" w:type="pct"/>
            <w:tcBorders>
              <w:tl2br w:val="nil"/>
              <w:tr2bl w:val="nil"/>
            </w:tcBorders>
            <w:shd w:val="clear" w:color="auto" w:fill="auto"/>
            <w:vAlign w:val="center"/>
          </w:tcPr>
          <w:p w14:paraId="03048EA5">
            <w:pPr>
              <w:jc w:val="center"/>
              <w:rPr>
                <w:rFonts w:ascii="宋体" w:hAnsi="宋体" w:cs="宋体"/>
                <w:b/>
                <w:bCs/>
                <w:color w:val="000000"/>
                <w:sz w:val="21"/>
                <w:szCs w:val="21"/>
                <w:highlight w:val="none"/>
              </w:rPr>
            </w:pPr>
          </w:p>
        </w:tc>
        <w:tc>
          <w:tcPr>
            <w:tcW w:w="283" w:type="pct"/>
            <w:tcBorders>
              <w:tl2br w:val="nil"/>
              <w:tr2bl w:val="nil"/>
            </w:tcBorders>
            <w:shd w:val="clear" w:color="auto" w:fill="auto"/>
            <w:vAlign w:val="center"/>
          </w:tcPr>
          <w:p w14:paraId="60E0F33B">
            <w:pPr>
              <w:jc w:val="center"/>
              <w:rPr>
                <w:b/>
                <w:bCs/>
                <w:color w:val="000000"/>
                <w:sz w:val="21"/>
                <w:szCs w:val="21"/>
                <w:highlight w:val="none"/>
              </w:rPr>
            </w:pPr>
          </w:p>
        </w:tc>
        <w:tc>
          <w:tcPr>
            <w:tcW w:w="291" w:type="pct"/>
            <w:tcBorders>
              <w:tl2br w:val="nil"/>
              <w:tr2bl w:val="nil"/>
            </w:tcBorders>
            <w:shd w:val="clear" w:color="auto" w:fill="auto"/>
            <w:vAlign w:val="center"/>
          </w:tcPr>
          <w:p w14:paraId="30E00D7B">
            <w:pPr>
              <w:jc w:val="center"/>
              <w:rPr>
                <w:b/>
                <w:bCs/>
                <w:color w:val="000000"/>
                <w:sz w:val="21"/>
                <w:szCs w:val="21"/>
                <w:highlight w:val="none"/>
              </w:rPr>
            </w:pPr>
          </w:p>
        </w:tc>
        <w:tc>
          <w:tcPr>
            <w:tcW w:w="694" w:type="pct"/>
            <w:tcBorders>
              <w:tl2br w:val="nil"/>
              <w:tr2bl w:val="nil"/>
            </w:tcBorders>
            <w:shd w:val="clear" w:color="auto" w:fill="auto"/>
            <w:vAlign w:val="center"/>
          </w:tcPr>
          <w:p w14:paraId="1E71F982">
            <w:pPr>
              <w:jc w:val="center"/>
              <w:rPr>
                <w:b/>
                <w:bCs/>
                <w:color w:val="000000"/>
                <w:sz w:val="21"/>
                <w:szCs w:val="21"/>
                <w:highlight w:val="none"/>
              </w:rPr>
            </w:pPr>
          </w:p>
        </w:tc>
      </w:tr>
      <w:tr w14:paraId="4B142C3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59" w:type="pct"/>
            <w:tcBorders>
              <w:tl2br w:val="nil"/>
              <w:tr2bl w:val="nil"/>
            </w:tcBorders>
            <w:shd w:val="clear" w:color="auto" w:fill="auto"/>
            <w:vAlign w:val="center"/>
          </w:tcPr>
          <w:p w14:paraId="12036AC9">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1</w:t>
            </w:r>
          </w:p>
        </w:tc>
        <w:tc>
          <w:tcPr>
            <w:tcW w:w="998" w:type="pct"/>
            <w:tcBorders>
              <w:tl2br w:val="nil"/>
              <w:tr2bl w:val="nil"/>
            </w:tcBorders>
            <w:shd w:val="clear" w:color="auto" w:fill="auto"/>
            <w:vAlign w:val="center"/>
          </w:tcPr>
          <w:p w14:paraId="28246D86">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F超滤进水调阀</w:t>
            </w:r>
          </w:p>
        </w:tc>
        <w:tc>
          <w:tcPr>
            <w:tcW w:w="1063" w:type="pct"/>
            <w:tcBorders>
              <w:tl2br w:val="nil"/>
              <w:tr2bl w:val="nil"/>
            </w:tcBorders>
            <w:shd w:val="clear" w:color="auto" w:fill="auto"/>
            <w:vAlign w:val="center"/>
          </w:tcPr>
          <w:p w14:paraId="188A729E">
            <w:pPr>
              <w:widowControl/>
              <w:jc w:val="center"/>
              <w:textAlignment w:val="center"/>
              <w:rPr>
                <w:color w:val="000000"/>
                <w:sz w:val="21"/>
                <w:szCs w:val="21"/>
                <w:highlight w:val="none"/>
              </w:rPr>
            </w:pPr>
            <w:r>
              <w:rPr>
                <w:color w:val="000000"/>
                <w:kern w:val="0"/>
                <w:sz w:val="21"/>
                <w:szCs w:val="21"/>
                <w:highlight w:val="none"/>
                <w:lang w:bidi="ar"/>
              </w:rPr>
              <w:t>DN200</w:t>
            </w:r>
            <w:r>
              <w:rPr>
                <w:rFonts w:hint="eastAsia" w:ascii="宋体" w:hAnsi="宋体" w:cs="宋体"/>
                <w:color w:val="000000"/>
                <w:kern w:val="0"/>
                <w:sz w:val="21"/>
                <w:szCs w:val="21"/>
                <w:highlight w:val="none"/>
                <w:lang w:bidi="ar"/>
              </w:rPr>
              <w:t>，</w:t>
            </w:r>
            <w:r>
              <w:rPr>
                <w:color w:val="000000"/>
                <w:kern w:val="0"/>
                <w:sz w:val="21"/>
                <w:szCs w:val="21"/>
                <w:highlight w:val="none"/>
                <w:lang w:bidi="ar"/>
              </w:rPr>
              <w:t>PN10</w:t>
            </w:r>
          </w:p>
        </w:tc>
        <w:tc>
          <w:tcPr>
            <w:tcW w:w="1308" w:type="pct"/>
            <w:tcBorders>
              <w:tl2br w:val="nil"/>
              <w:tr2bl w:val="nil"/>
            </w:tcBorders>
            <w:shd w:val="clear" w:color="auto" w:fill="auto"/>
            <w:vAlign w:val="center"/>
          </w:tcPr>
          <w:p w14:paraId="125BCF13">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阀体铸铁，阀板衬塑</w:t>
            </w:r>
          </w:p>
        </w:tc>
        <w:tc>
          <w:tcPr>
            <w:tcW w:w="283" w:type="pct"/>
            <w:tcBorders>
              <w:tl2br w:val="nil"/>
              <w:tr2bl w:val="nil"/>
            </w:tcBorders>
            <w:shd w:val="clear" w:color="auto" w:fill="auto"/>
            <w:vAlign w:val="center"/>
          </w:tcPr>
          <w:p w14:paraId="6723BDCD">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台</w:t>
            </w:r>
          </w:p>
        </w:tc>
        <w:tc>
          <w:tcPr>
            <w:tcW w:w="291" w:type="pct"/>
            <w:tcBorders>
              <w:tl2br w:val="nil"/>
              <w:tr2bl w:val="nil"/>
            </w:tcBorders>
            <w:shd w:val="clear" w:color="auto" w:fill="auto"/>
            <w:vAlign w:val="center"/>
          </w:tcPr>
          <w:p w14:paraId="613560A0">
            <w:pPr>
              <w:widowControl/>
              <w:jc w:val="center"/>
              <w:textAlignment w:val="center"/>
              <w:rPr>
                <w:color w:val="000000"/>
                <w:sz w:val="21"/>
                <w:szCs w:val="21"/>
                <w:highlight w:val="none"/>
              </w:rPr>
            </w:pPr>
            <w:r>
              <w:rPr>
                <w:color w:val="000000"/>
                <w:kern w:val="0"/>
                <w:sz w:val="21"/>
                <w:szCs w:val="21"/>
                <w:highlight w:val="none"/>
                <w:lang w:bidi="ar"/>
              </w:rPr>
              <w:t>1</w:t>
            </w:r>
          </w:p>
        </w:tc>
        <w:tc>
          <w:tcPr>
            <w:tcW w:w="694" w:type="pct"/>
            <w:tcBorders>
              <w:tl2br w:val="nil"/>
              <w:tr2bl w:val="nil"/>
            </w:tcBorders>
            <w:shd w:val="clear" w:color="auto" w:fill="auto"/>
            <w:vAlign w:val="center"/>
          </w:tcPr>
          <w:p w14:paraId="57C8BD54">
            <w:pPr>
              <w:widowControl/>
              <w:jc w:val="center"/>
              <w:textAlignment w:val="center"/>
              <w:rPr>
                <w:color w:val="000000"/>
                <w:kern w:val="0"/>
                <w:sz w:val="21"/>
                <w:szCs w:val="21"/>
                <w:highlight w:val="none"/>
                <w:lang w:bidi="ar"/>
              </w:rPr>
            </w:pPr>
            <w:r>
              <w:rPr>
                <w:rFonts w:hint="eastAsia"/>
                <w:color w:val="000000"/>
                <w:kern w:val="0"/>
                <w:sz w:val="21"/>
                <w:szCs w:val="21"/>
                <w:highlight w:val="none"/>
                <w:lang w:bidi="ar"/>
              </w:rPr>
              <w:t>气动调节阀，带过滤器及就地压力表</w:t>
            </w:r>
          </w:p>
        </w:tc>
      </w:tr>
      <w:tr w14:paraId="6C28B3B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59" w:type="pct"/>
            <w:tcBorders>
              <w:tl2br w:val="nil"/>
              <w:tr2bl w:val="nil"/>
            </w:tcBorders>
            <w:shd w:val="clear" w:color="auto" w:fill="auto"/>
            <w:vAlign w:val="center"/>
          </w:tcPr>
          <w:p w14:paraId="5FF1E924">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2</w:t>
            </w:r>
          </w:p>
        </w:tc>
        <w:tc>
          <w:tcPr>
            <w:tcW w:w="998" w:type="pct"/>
            <w:tcBorders>
              <w:tl2br w:val="nil"/>
              <w:tr2bl w:val="nil"/>
            </w:tcBorders>
            <w:shd w:val="clear" w:color="auto" w:fill="auto"/>
            <w:vAlign w:val="center"/>
          </w:tcPr>
          <w:p w14:paraId="5E89E0C5">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F超滤进气阀</w:t>
            </w:r>
          </w:p>
        </w:tc>
        <w:tc>
          <w:tcPr>
            <w:tcW w:w="1063" w:type="pct"/>
            <w:tcBorders>
              <w:tl2br w:val="nil"/>
              <w:tr2bl w:val="nil"/>
            </w:tcBorders>
            <w:shd w:val="clear" w:color="auto" w:fill="auto"/>
            <w:vAlign w:val="center"/>
          </w:tcPr>
          <w:p w14:paraId="6A80C579">
            <w:pPr>
              <w:widowControl/>
              <w:jc w:val="center"/>
              <w:textAlignment w:val="center"/>
              <w:rPr>
                <w:color w:val="000000"/>
                <w:sz w:val="21"/>
                <w:szCs w:val="21"/>
                <w:highlight w:val="none"/>
              </w:rPr>
            </w:pPr>
            <w:r>
              <w:rPr>
                <w:color w:val="000000"/>
                <w:kern w:val="0"/>
                <w:sz w:val="21"/>
                <w:szCs w:val="21"/>
                <w:highlight w:val="none"/>
                <w:lang w:bidi="ar"/>
              </w:rPr>
              <w:t>DN80</w:t>
            </w:r>
            <w:r>
              <w:rPr>
                <w:rFonts w:hint="eastAsia" w:ascii="宋体" w:hAnsi="宋体" w:cs="宋体"/>
                <w:color w:val="000000"/>
                <w:kern w:val="0"/>
                <w:sz w:val="21"/>
                <w:szCs w:val="21"/>
                <w:highlight w:val="none"/>
                <w:lang w:bidi="ar"/>
              </w:rPr>
              <w:t>，</w:t>
            </w:r>
            <w:r>
              <w:rPr>
                <w:color w:val="000000"/>
                <w:kern w:val="0"/>
                <w:sz w:val="21"/>
                <w:szCs w:val="21"/>
                <w:highlight w:val="none"/>
                <w:lang w:bidi="ar"/>
              </w:rPr>
              <w:t>PN10</w:t>
            </w:r>
          </w:p>
        </w:tc>
        <w:tc>
          <w:tcPr>
            <w:tcW w:w="1308" w:type="pct"/>
            <w:tcBorders>
              <w:tl2br w:val="nil"/>
              <w:tr2bl w:val="nil"/>
            </w:tcBorders>
            <w:shd w:val="clear" w:color="auto" w:fill="auto"/>
            <w:vAlign w:val="center"/>
          </w:tcPr>
          <w:p w14:paraId="69249FFA">
            <w:pPr>
              <w:widowControl/>
              <w:jc w:val="center"/>
              <w:textAlignment w:val="center"/>
              <w:rPr>
                <w:rFonts w:ascii="宋体" w:hAnsi="宋体" w:cs="宋体"/>
                <w:color w:val="000000"/>
                <w:sz w:val="21"/>
                <w:szCs w:val="21"/>
                <w:highlight w:val="none"/>
              </w:rPr>
            </w:pPr>
            <w:r>
              <w:rPr>
                <w:rFonts w:hint="eastAsia" w:ascii="宋体" w:hAnsi="宋体" w:cs="宋体"/>
                <w:color w:val="000000"/>
                <w:sz w:val="21"/>
                <w:szCs w:val="21"/>
                <w:highlight w:val="none"/>
              </w:rPr>
              <w:t>SS304</w:t>
            </w:r>
          </w:p>
        </w:tc>
        <w:tc>
          <w:tcPr>
            <w:tcW w:w="283" w:type="pct"/>
            <w:tcBorders>
              <w:tl2br w:val="nil"/>
              <w:tr2bl w:val="nil"/>
            </w:tcBorders>
            <w:shd w:val="clear" w:color="auto" w:fill="auto"/>
            <w:vAlign w:val="center"/>
          </w:tcPr>
          <w:p w14:paraId="3D1A1EAD">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台</w:t>
            </w:r>
          </w:p>
        </w:tc>
        <w:tc>
          <w:tcPr>
            <w:tcW w:w="291" w:type="pct"/>
            <w:tcBorders>
              <w:tl2br w:val="nil"/>
              <w:tr2bl w:val="nil"/>
            </w:tcBorders>
            <w:shd w:val="clear" w:color="auto" w:fill="auto"/>
            <w:vAlign w:val="center"/>
          </w:tcPr>
          <w:p w14:paraId="2E17990F">
            <w:pPr>
              <w:widowControl/>
              <w:jc w:val="center"/>
              <w:textAlignment w:val="center"/>
              <w:rPr>
                <w:color w:val="000000"/>
                <w:sz w:val="21"/>
                <w:szCs w:val="21"/>
                <w:highlight w:val="none"/>
              </w:rPr>
            </w:pPr>
            <w:r>
              <w:rPr>
                <w:color w:val="000000"/>
                <w:kern w:val="0"/>
                <w:sz w:val="21"/>
                <w:szCs w:val="21"/>
                <w:highlight w:val="none"/>
                <w:lang w:bidi="ar"/>
              </w:rPr>
              <w:t>1</w:t>
            </w:r>
          </w:p>
        </w:tc>
        <w:tc>
          <w:tcPr>
            <w:tcW w:w="694" w:type="pct"/>
            <w:tcBorders>
              <w:tl2br w:val="nil"/>
              <w:tr2bl w:val="nil"/>
            </w:tcBorders>
            <w:shd w:val="clear" w:color="auto" w:fill="auto"/>
            <w:vAlign w:val="center"/>
          </w:tcPr>
          <w:p w14:paraId="5A578F7E">
            <w:pPr>
              <w:widowControl/>
              <w:jc w:val="center"/>
              <w:textAlignment w:val="center"/>
              <w:rPr>
                <w:color w:val="000000"/>
                <w:kern w:val="0"/>
                <w:sz w:val="21"/>
                <w:szCs w:val="21"/>
                <w:highlight w:val="none"/>
                <w:lang w:bidi="ar"/>
              </w:rPr>
            </w:pPr>
          </w:p>
        </w:tc>
      </w:tr>
      <w:tr w14:paraId="3C67B20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59" w:type="pct"/>
            <w:tcBorders>
              <w:tl2br w:val="nil"/>
              <w:tr2bl w:val="nil"/>
            </w:tcBorders>
            <w:shd w:val="clear" w:color="auto" w:fill="auto"/>
            <w:vAlign w:val="center"/>
          </w:tcPr>
          <w:p w14:paraId="708305E9">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3</w:t>
            </w:r>
          </w:p>
        </w:tc>
        <w:tc>
          <w:tcPr>
            <w:tcW w:w="998" w:type="pct"/>
            <w:tcBorders>
              <w:tl2br w:val="nil"/>
              <w:tr2bl w:val="nil"/>
            </w:tcBorders>
            <w:shd w:val="clear" w:color="auto" w:fill="auto"/>
            <w:vAlign w:val="center"/>
          </w:tcPr>
          <w:p w14:paraId="6D86AFDB">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F超滤反洗进水阀</w:t>
            </w:r>
          </w:p>
        </w:tc>
        <w:tc>
          <w:tcPr>
            <w:tcW w:w="1063" w:type="pct"/>
            <w:tcBorders>
              <w:tl2br w:val="nil"/>
              <w:tr2bl w:val="nil"/>
            </w:tcBorders>
            <w:shd w:val="clear" w:color="auto" w:fill="auto"/>
            <w:vAlign w:val="center"/>
          </w:tcPr>
          <w:p w14:paraId="63155A45">
            <w:pPr>
              <w:widowControl/>
              <w:jc w:val="center"/>
              <w:textAlignment w:val="center"/>
              <w:rPr>
                <w:color w:val="000000"/>
                <w:sz w:val="21"/>
                <w:szCs w:val="21"/>
                <w:highlight w:val="none"/>
              </w:rPr>
            </w:pPr>
            <w:r>
              <w:rPr>
                <w:color w:val="000000"/>
                <w:kern w:val="0"/>
                <w:sz w:val="21"/>
                <w:szCs w:val="21"/>
                <w:highlight w:val="none"/>
                <w:lang w:bidi="ar"/>
              </w:rPr>
              <w:t>DN250</w:t>
            </w:r>
            <w:r>
              <w:rPr>
                <w:rFonts w:hint="eastAsia" w:ascii="宋体" w:hAnsi="宋体" w:cs="宋体"/>
                <w:color w:val="000000"/>
                <w:kern w:val="0"/>
                <w:sz w:val="21"/>
                <w:szCs w:val="21"/>
                <w:highlight w:val="none"/>
                <w:lang w:bidi="ar"/>
              </w:rPr>
              <w:t>，</w:t>
            </w:r>
            <w:r>
              <w:rPr>
                <w:color w:val="000000"/>
                <w:kern w:val="0"/>
                <w:sz w:val="21"/>
                <w:szCs w:val="21"/>
                <w:highlight w:val="none"/>
                <w:lang w:bidi="ar"/>
              </w:rPr>
              <w:t>PN10</w:t>
            </w:r>
          </w:p>
        </w:tc>
        <w:tc>
          <w:tcPr>
            <w:tcW w:w="1308" w:type="pct"/>
            <w:tcBorders>
              <w:tl2br w:val="nil"/>
              <w:tr2bl w:val="nil"/>
            </w:tcBorders>
            <w:shd w:val="clear" w:color="auto" w:fill="auto"/>
            <w:vAlign w:val="center"/>
          </w:tcPr>
          <w:p w14:paraId="4534F0B1">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阀体铸铁，阀板衬塑</w:t>
            </w:r>
          </w:p>
        </w:tc>
        <w:tc>
          <w:tcPr>
            <w:tcW w:w="283" w:type="pct"/>
            <w:tcBorders>
              <w:tl2br w:val="nil"/>
              <w:tr2bl w:val="nil"/>
            </w:tcBorders>
            <w:shd w:val="clear" w:color="auto" w:fill="auto"/>
            <w:vAlign w:val="center"/>
          </w:tcPr>
          <w:p w14:paraId="1B029829">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台</w:t>
            </w:r>
          </w:p>
        </w:tc>
        <w:tc>
          <w:tcPr>
            <w:tcW w:w="291" w:type="pct"/>
            <w:tcBorders>
              <w:tl2br w:val="nil"/>
              <w:tr2bl w:val="nil"/>
            </w:tcBorders>
            <w:shd w:val="clear" w:color="auto" w:fill="auto"/>
            <w:vAlign w:val="center"/>
          </w:tcPr>
          <w:p w14:paraId="4D9418E9">
            <w:pPr>
              <w:widowControl/>
              <w:jc w:val="center"/>
              <w:textAlignment w:val="center"/>
              <w:rPr>
                <w:color w:val="000000"/>
                <w:sz w:val="21"/>
                <w:szCs w:val="21"/>
                <w:highlight w:val="none"/>
              </w:rPr>
            </w:pPr>
            <w:r>
              <w:rPr>
                <w:color w:val="000000"/>
                <w:kern w:val="0"/>
                <w:sz w:val="21"/>
                <w:szCs w:val="21"/>
                <w:highlight w:val="none"/>
                <w:lang w:bidi="ar"/>
              </w:rPr>
              <w:t>1</w:t>
            </w:r>
          </w:p>
        </w:tc>
        <w:tc>
          <w:tcPr>
            <w:tcW w:w="694" w:type="pct"/>
            <w:tcBorders>
              <w:tl2br w:val="nil"/>
              <w:tr2bl w:val="nil"/>
            </w:tcBorders>
            <w:shd w:val="clear" w:color="auto" w:fill="auto"/>
            <w:vAlign w:val="center"/>
          </w:tcPr>
          <w:p w14:paraId="458C8F71">
            <w:pPr>
              <w:widowControl/>
              <w:jc w:val="center"/>
              <w:textAlignment w:val="center"/>
              <w:rPr>
                <w:color w:val="000000"/>
                <w:kern w:val="0"/>
                <w:sz w:val="21"/>
                <w:szCs w:val="21"/>
                <w:highlight w:val="none"/>
                <w:lang w:bidi="ar"/>
              </w:rPr>
            </w:pPr>
          </w:p>
        </w:tc>
      </w:tr>
      <w:tr w14:paraId="1894146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59" w:type="pct"/>
            <w:tcBorders>
              <w:tl2br w:val="nil"/>
              <w:tr2bl w:val="nil"/>
            </w:tcBorders>
            <w:shd w:val="clear" w:color="auto" w:fill="auto"/>
            <w:vAlign w:val="center"/>
          </w:tcPr>
          <w:p w14:paraId="71247C91">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4</w:t>
            </w:r>
          </w:p>
        </w:tc>
        <w:tc>
          <w:tcPr>
            <w:tcW w:w="998" w:type="pct"/>
            <w:tcBorders>
              <w:tl2br w:val="nil"/>
              <w:tr2bl w:val="nil"/>
            </w:tcBorders>
            <w:shd w:val="clear" w:color="auto" w:fill="auto"/>
            <w:vAlign w:val="center"/>
          </w:tcPr>
          <w:p w14:paraId="1FCBCD53">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F超滤产水阀</w:t>
            </w:r>
          </w:p>
        </w:tc>
        <w:tc>
          <w:tcPr>
            <w:tcW w:w="1063" w:type="pct"/>
            <w:tcBorders>
              <w:tl2br w:val="nil"/>
              <w:tr2bl w:val="nil"/>
            </w:tcBorders>
            <w:shd w:val="clear" w:color="auto" w:fill="auto"/>
            <w:vAlign w:val="center"/>
          </w:tcPr>
          <w:p w14:paraId="6890AC5C">
            <w:pPr>
              <w:widowControl/>
              <w:jc w:val="center"/>
              <w:textAlignment w:val="center"/>
              <w:rPr>
                <w:color w:val="000000"/>
                <w:sz w:val="21"/>
                <w:szCs w:val="21"/>
                <w:highlight w:val="none"/>
              </w:rPr>
            </w:pPr>
            <w:r>
              <w:rPr>
                <w:color w:val="000000"/>
                <w:kern w:val="0"/>
                <w:sz w:val="21"/>
                <w:szCs w:val="21"/>
                <w:highlight w:val="none"/>
                <w:lang w:bidi="ar"/>
              </w:rPr>
              <w:t>DN200</w:t>
            </w:r>
            <w:r>
              <w:rPr>
                <w:rFonts w:hint="eastAsia" w:ascii="宋体" w:hAnsi="宋体" w:cs="宋体"/>
                <w:color w:val="000000"/>
                <w:kern w:val="0"/>
                <w:sz w:val="21"/>
                <w:szCs w:val="21"/>
                <w:highlight w:val="none"/>
                <w:lang w:bidi="ar"/>
              </w:rPr>
              <w:t>，</w:t>
            </w:r>
            <w:r>
              <w:rPr>
                <w:color w:val="000000"/>
                <w:kern w:val="0"/>
                <w:sz w:val="21"/>
                <w:szCs w:val="21"/>
                <w:highlight w:val="none"/>
                <w:lang w:bidi="ar"/>
              </w:rPr>
              <w:t>PN10</w:t>
            </w:r>
          </w:p>
        </w:tc>
        <w:tc>
          <w:tcPr>
            <w:tcW w:w="1308" w:type="pct"/>
            <w:tcBorders>
              <w:tl2br w:val="nil"/>
              <w:tr2bl w:val="nil"/>
            </w:tcBorders>
            <w:shd w:val="clear" w:color="auto" w:fill="auto"/>
            <w:vAlign w:val="center"/>
          </w:tcPr>
          <w:p w14:paraId="11314301">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阀体铸铁，阀板衬塑</w:t>
            </w:r>
          </w:p>
        </w:tc>
        <w:tc>
          <w:tcPr>
            <w:tcW w:w="283" w:type="pct"/>
            <w:tcBorders>
              <w:tl2br w:val="nil"/>
              <w:tr2bl w:val="nil"/>
            </w:tcBorders>
            <w:shd w:val="clear" w:color="auto" w:fill="auto"/>
            <w:vAlign w:val="center"/>
          </w:tcPr>
          <w:p w14:paraId="29E44153">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台</w:t>
            </w:r>
          </w:p>
        </w:tc>
        <w:tc>
          <w:tcPr>
            <w:tcW w:w="291" w:type="pct"/>
            <w:tcBorders>
              <w:tl2br w:val="nil"/>
              <w:tr2bl w:val="nil"/>
            </w:tcBorders>
            <w:shd w:val="clear" w:color="auto" w:fill="auto"/>
            <w:vAlign w:val="center"/>
          </w:tcPr>
          <w:p w14:paraId="34AADD54">
            <w:pPr>
              <w:widowControl/>
              <w:jc w:val="center"/>
              <w:textAlignment w:val="center"/>
              <w:rPr>
                <w:color w:val="000000"/>
                <w:sz w:val="21"/>
                <w:szCs w:val="21"/>
                <w:highlight w:val="none"/>
              </w:rPr>
            </w:pPr>
            <w:r>
              <w:rPr>
                <w:color w:val="000000"/>
                <w:kern w:val="0"/>
                <w:sz w:val="21"/>
                <w:szCs w:val="21"/>
                <w:highlight w:val="none"/>
                <w:lang w:bidi="ar"/>
              </w:rPr>
              <w:t>1</w:t>
            </w:r>
          </w:p>
        </w:tc>
        <w:tc>
          <w:tcPr>
            <w:tcW w:w="694" w:type="pct"/>
            <w:tcBorders>
              <w:tl2br w:val="nil"/>
              <w:tr2bl w:val="nil"/>
            </w:tcBorders>
            <w:shd w:val="clear" w:color="auto" w:fill="auto"/>
            <w:vAlign w:val="center"/>
          </w:tcPr>
          <w:p w14:paraId="19F9A0A2">
            <w:pPr>
              <w:widowControl/>
              <w:jc w:val="center"/>
              <w:textAlignment w:val="center"/>
              <w:rPr>
                <w:color w:val="000000"/>
                <w:kern w:val="0"/>
                <w:sz w:val="21"/>
                <w:szCs w:val="21"/>
                <w:highlight w:val="none"/>
                <w:lang w:bidi="ar"/>
              </w:rPr>
            </w:pPr>
          </w:p>
        </w:tc>
      </w:tr>
      <w:tr w14:paraId="27EF493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59" w:type="pct"/>
            <w:tcBorders>
              <w:tl2br w:val="nil"/>
              <w:tr2bl w:val="nil"/>
            </w:tcBorders>
            <w:shd w:val="clear" w:color="auto" w:fill="auto"/>
            <w:vAlign w:val="center"/>
          </w:tcPr>
          <w:p w14:paraId="03DFC469">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5</w:t>
            </w:r>
          </w:p>
        </w:tc>
        <w:tc>
          <w:tcPr>
            <w:tcW w:w="998" w:type="pct"/>
            <w:tcBorders>
              <w:tl2br w:val="nil"/>
              <w:tr2bl w:val="nil"/>
            </w:tcBorders>
            <w:shd w:val="clear" w:color="auto" w:fill="auto"/>
            <w:vAlign w:val="center"/>
          </w:tcPr>
          <w:p w14:paraId="3A7E8F77">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F超滤上部排水阀</w:t>
            </w:r>
          </w:p>
        </w:tc>
        <w:tc>
          <w:tcPr>
            <w:tcW w:w="1063" w:type="pct"/>
            <w:tcBorders>
              <w:tl2br w:val="nil"/>
              <w:tr2bl w:val="nil"/>
            </w:tcBorders>
            <w:shd w:val="clear" w:color="auto" w:fill="auto"/>
            <w:vAlign w:val="center"/>
          </w:tcPr>
          <w:p w14:paraId="24529F39">
            <w:pPr>
              <w:widowControl/>
              <w:jc w:val="center"/>
              <w:textAlignment w:val="center"/>
              <w:rPr>
                <w:color w:val="000000"/>
                <w:sz w:val="21"/>
                <w:szCs w:val="21"/>
                <w:highlight w:val="none"/>
              </w:rPr>
            </w:pPr>
            <w:r>
              <w:rPr>
                <w:color w:val="000000"/>
                <w:kern w:val="0"/>
                <w:sz w:val="21"/>
                <w:szCs w:val="21"/>
                <w:highlight w:val="none"/>
                <w:lang w:bidi="ar"/>
              </w:rPr>
              <w:t>DN250</w:t>
            </w:r>
            <w:r>
              <w:rPr>
                <w:rFonts w:hint="eastAsia" w:ascii="宋体" w:hAnsi="宋体" w:cs="宋体"/>
                <w:color w:val="000000"/>
                <w:kern w:val="0"/>
                <w:sz w:val="21"/>
                <w:szCs w:val="21"/>
                <w:highlight w:val="none"/>
                <w:lang w:bidi="ar"/>
              </w:rPr>
              <w:t>，</w:t>
            </w:r>
            <w:r>
              <w:rPr>
                <w:color w:val="000000"/>
                <w:kern w:val="0"/>
                <w:sz w:val="21"/>
                <w:szCs w:val="21"/>
                <w:highlight w:val="none"/>
                <w:lang w:bidi="ar"/>
              </w:rPr>
              <w:t>PN10</w:t>
            </w:r>
          </w:p>
        </w:tc>
        <w:tc>
          <w:tcPr>
            <w:tcW w:w="1308" w:type="pct"/>
            <w:tcBorders>
              <w:tl2br w:val="nil"/>
              <w:tr2bl w:val="nil"/>
            </w:tcBorders>
            <w:shd w:val="clear" w:color="auto" w:fill="auto"/>
            <w:vAlign w:val="center"/>
          </w:tcPr>
          <w:p w14:paraId="10B32321">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阀体铸铁，阀板衬塑</w:t>
            </w:r>
          </w:p>
        </w:tc>
        <w:tc>
          <w:tcPr>
            <w:tcW w:w="283" w:type="pct"/>
            <w:tcBorders>
              <w:tl2br w:val="nil"/>
              <w:tr2bl w:val="nil"/>
            </w:tcBorders>
            <w:shd w:val="clear" w:color="auto" w:fill="auto"/>
            <w:vAlign w:val="center"/>
          </w:tcPr>
          <w:p w14:paraId="43575F29">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台</w:t>
            </w:r>
          </w:p>
        </w:tc>
        <w:tc>
          <w:tcPr>
            <w:tcW w:w="291" w:type="pct"/>
            <w:tcBorders>
              <w:tl2br w:val="nil"/>
              <w:tr2bl w:val="nil"/>
            </w:tcBorders>
            <w:shd w:val="clear" w:color="auto" w:fill="auto"/>
            <w:vAlign w:val="center"/>
          </w:tcPr>
          <w:p w14:paraId="09EA8E40">
            <w:pPr>
              <w:widowControl/>
              <w:jc w:val="center"/>
              <w:textAlignment w:val="center"/>
              <w:rPr>
                <w:color w:val="000000"/>
                <w:sz w:val="21"/>
                <w:szCs w:val="21"/>
                <w:highlight w:val="none"/>
              </w:rPr>
            </w:pPr>
            <w:r>
              <w:rPr>
                <w:color w:val="000000"/>
                <w:kern w:val="0"/>
                <w:sz w:val="21"/>
                <w:szCs w:val="21"/>
                <w:highlight w:val="none"/>
                <w:lang w:bidi="ar"/>
              </w:rPr>
              <w:t>1</w:t>
            </w:r>
          </w:p>
        </w:tc>
        <w:tc>
          <w:tcPr>
            <w:tcW w:w="694" w:type="pct"/>
            <w:tcBorders>
              <w:tl2br w:val="nil"/>
              <w:tr2bl w:val="nil"/>
            </w:tcBorders>
            <w:shd w:val="clear" w:color="auto" w:fill="auto"/>
            <w:vAlign w:val="center"/>
          </w:tcPr>
          <w:p w14:paraId="065FE560">
            <w:pPr>
              <w:widowControl/>
              <w:jc w:val="center"/>
              <w:textAlignment w:val="center"/>
              <w:rPr>
                <w:color w:val="000000"/>
                <w:kern w:val="0"/>
                <w:sz w:val="21"/>
                <w:szCs w:val="21"/>
                <w:highlight w:val="none"/>
                <w:lang w:bidi="ar"/>
              </w:rPr>
            </w:pPr>
          </w:p>
        </w:tc>
      </w:tr>
      <w:tr w14:paraId="051CC4B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59" w:type="pct"/>
            <w:tcBorders>
              <w:tl2br w:val="nil"/>
              <w:tr2bl w:val="nil"/>
            </w:tcBorders>
            <w:shd w:val="clear" w:color="auto" w:fill="auto"/>
            <w:vAlign w:val="center"/>
          </w:tcPr>
          <w:p w14:paraId="21D8F623">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6</w:t>
            </w:r>
          </w:p>
        </w:tc>
        <w:tc>
          <w:tcPr>
            <w:tcW w:w="998" w:type="pct"/>
            <w:tcBorders>
              <w:tl2br w:val="nil"/>
              <w:tr2bl w:val="nil"/>
            </w:tcBorders>
            <w:shd w:val="clear" w:color="auto" w:fill="auto"/>
            <w:vAlign w:val="center"/>
          </w:tcPr>
          <w:p w14:paraId="1B675BCF">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F超滤下部排水阀</w:t>
            </w:r>
          </w:p>
        </w:tc>
        <w:tc>
          <w:tcPr>
            <w:tcW w:w="1063" w:type="pct"/>
            <w:tcBorders>
              <w:tl2br w:val="nil"/>
              <w:tr2bl w:val="nil"/>
            </w:tcBorders>
            <w:shd w:val="clear" w:color="auto" w:fill="auto"/>
            <w:vAlign w:val="center"/>
          </w:tcPr>
          <w:p w14:paraId="6739C56D">
            <w:pPr>
              <w:widowControl/>
              <w:jc w:val="center"/>
              <w:textAlignment w:val="center"/>
              <w:rPr>
                <w:color w:val="000000"/>
                <w:sz w:val="21"/>
                <w:szCs w:val="21"/>
                <w:highlight w:val="none"/>
              </w:rPr>
            </w:pPr>
            <w:r>
              <w:rPr>
                <w:color w:val="000000"/>
                <w:kern w:val="0"/>
                <w:sz w:val="21"/>
                <w:szCs w:val="21"/>
                <w:highlight w:val="none"/>
                <w:lang w:bidi="ar"/>
              </w:rPr>
              <w:t>DN250</w:t>
            </w:r>
            <w:r>
              <w:rPr>
                <w:rFonts w:hint="eastAsia" w:ascii="宋体" w:hAnsi="宋体" w:cs="宋体"/>
                <w:color w:val="000000"/>
                <w:kern w:val="0"/>
                <w:sz w:val="21"/>
                <w:szCs w:val="21"/>
                <w:highlight w:val="none"/>
                <w:lang w:bidi="ar"/>
              </w:rPr>
              <w:t>，</w:t>
            </w:r>
            <w:r>
              <w:rPr>
                <w:color w:val="000000"/>
                <w:kern w:val="0"/>
                <w:sz w:val="21"/>
                <w:szCs w:val="21"/>
                <w:highlight w:val="none"/>
                <w:lang w:bidi="ar"/>
              </w:rPr>
              <w:t>PN10</w:t>
            </w:r>
          </w:p>
        </w:tc>
        <w:tc>
          <w:tcPr>
            <w:tcW w:w="1308" w:type="pct"/>
            <w:tcBorders>
              <w:tl2br w:val="nil"/>
              <w:tr2bl w:val="nil"/>
            </w:tcBorders>
            <w:shd w:val="clear" w:color="auto" w:fill="auto"/>
            <w:vAlign w:val="center"/>
          </w:tcPr>
          <w:p w14:paraId="2E57CD67">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阀体铸铁，阀板衬塑</w:t>
            </w:r>
          </w:p>
        </w:tc>
        <w:tc>
          <w:tcPr>
            <w:tcW w:w="283" w:type="pct"/>
            <w:tcBorders>
              <w:tl2br w:val="nil"/>
              <w:tr2bl w:val="nil"/>
            </w:tcBorders>
            <w:shd w:val="clear" w:color="auto" w:fill="auto"/>
            <w:vAlign w:val="center"/>
          </w:tcPr>
          <w:p w14:paraId="796FA3FC">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台</w:t>
            </w:r>
          </w:p>
        </w:tc>
        <w:tc>
          <w:tcPr>
            <w:tcW w:w="291" w:type="pct"/>
            <w:tcBorders>
              <w:tl2br w:val="nil"/>
              <w:tr2bl w:val="nil"/>
            </w:tcBorders>
            <w:shd w:val="clear" w:color="auto" w:fill="auto"/>
            <w:vAlign w:val="center"/>
          </w:tcPr>
          <w:p w14:paraId="4AF2E3E5">
            <w:pPr>
              <w:widowControl/>
              <w:jc w:val="center"/>
              <w:textAlignment w:val="center"/>
              <w:rPr>
                <w:color w:val="000000"/>
                <w:sz w:val="21"/>
                <w:szCs w:val="21"/>
                <w:highlight w:val="none"/>
              </w:rPr>
            </w:pPr>
            <w:r>
              <w:rPr>
                <w:color w:val="000000"/>
                <w:kern w:val="0"/>
                <w:sz w:val="21"/>
                <w:szCs w:val="21"/>
                <w:highlight w:val="none"/>
                <w:lang w:bidi="ar"/>
              </w:rPr>
              <w:t>1</w:t>
            </w:r>
          </w:p>
        </w:tc>
        <w:tc>
          <w:tcPr>
            <w:tcW w:w="694" w:type="pct"/>
            <w:tcBorders>
              <w:tl2br w:val="nil"/>
              <w:tr2bl w:val="nil"/>
            </w:tcBorders>
            <w:shd w:val="clear" w:color="auto" w:fill="auto"/>
            <w:vAlign w:val="center"/>
          </w:tcPr>
          <w:p w14:paraId="631DB104">
            <w:pPr>
              <w:widowControl/>
              <w:jc w:val="center"/>
              <w:textAlignment w:val="center"/>
              <w:rPr>
                <w:color w:val="000000"/>
                <w:kern w:val="0"/>
                <w:sz w:val="21"/>
                <w:szCs w:val="21"/>
                <w:highlight w:val="none"/>
                <w:lang w:bidi="ar"/>
              </w:rPr>
            </w:pPr>
          </w:p>
        </w:tc>
      </w:tr>
      <w:tr w14:paraId="7A7BC90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359" w:type="pct"/>
            <w:tcBorders>
              <w:tl2br w:val="nil"/>
              <w:tr2bl w:val="nil"/>
            </w:tcBorders>
            <w:shd w:val="clear" w:color="auto" w:fill="auto"/>
            <w:vAlign w:val="center"/>
          </w:tcPr>
          <w:p w14:paraId="3BB3674A">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7</w:t>
            </w:r>
          </w:p>
        </w:tc>
        <w:tc>
          <w:tcPr>
            <w:tcW w:w="998" w:type="pct"/>
            <w:tcBorders>
              <w:tl2br w:val="nil"/>
              <w:tr2bl w:val="nil"/>
            </w:tcBorders>
            <w:shd w:val="clear" w:color="auto" w:fill="auto"/>
            <w:vAlign w:val="center"/>
          </w:tcPr>
          <w:p w14:paraId="6C8E4E4F">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E反渗透保安过滤器进水阀</w:t>
            </w:r>
          </w:p>
        </w:tc>
        <w:tc>
          <w:tcPr>
            <w:tcW w:w="1063" w:type="pct"/>
            <w:tcBorders>
              <w:tl2br w:val="nil"/>
              <w:tr2bl w:val="nil"/>
            </w:tcBorders>
            <w:shd w:val="clear" w:color="auto" w:fill="auto"/>
            <w:vAlign w:val="center"/>
          </w:tcPr>
          <w:p w14:paraId="2A5F1108">
            <w:pPr>
              <w:widowControl/>
              <w:jc w:val="center"/>
              <w:textAlignment w:val="center"/>
              <w:rPr>
                <w:color w:val="000000"/>
                <w:sz w:val="21"/>
                <w:szCs w:val="21"/>
                <w:highlight w:val="none"/>
              </w:rPr>
            </w:pPr>
            <w:r>
              <w:rPr>
                <w:color w:val="000000"/>
                <w:kern w:val="0"/>
                <w:sz w:val="21"/>
                <w:szCs w:val="21"/>
                <w:highlight w:val="none"/>
                <w:lang w:bidi="ar"/>
              </w:rPr>
              <w:t>DN150</w:t>
            </w:r>
            <w:r>
              <w:rPr>
                <w:rFonts w:hint="eastAsia" w:ascii="宋体" w:hAnsi="宋体" w:cs="宋体"/>
                <w:color w:val="000000"/>
                <w:kern w:val="0"/>
                <w:sz w:val="21"/>
                <w:szCs w:val="21"/>
                <w:highlight w:val="none"/>
                <w:lang w:bidi="ar"/>
              </w:rPr>
              <w:t>，</w:t>
            </w:r>
            <w:r>
              <w:rPr>
                <w:color w:val="000000"/>
                <w:kern w:val="0"/>
                <w:sz w:val="21"/>
                <w:szCs w:val="21"/>
                <w:highlight w:val="none"/>
                <w:lang w:bidi="ar"/>
              </w:rPr>
              <w:t>PN10</w:t>
            </w:r>
          </w:p>
        </w:tc>
        <w:tc>
          <w:tcPr>
            <w:tcW w:w="1308" w:type="pct"/>
            <w:tcBorders>
              <w:tl2br w:val="nil"/>
              <w:tr2bl w:val="nil"/>
            </w:tcBorders>
            <w:shd w:val="clear" w:color="auto" w:fill="auto"/>
            <w:vAlign w:val="center"/>
          </w:tcPr>
          <w:p w14:paraId="1C1D1BC7">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阀体铸铁，阀板衬塑</w:t>
            </w:r>
          </w:p>
        </w:tc>
        <w:tc>
          <w:tcPr>
            <w:tcW w:w="283" w:type="pct"/>
            <w:tcBorders>
              <w:tl2br w:val="nil"/>
              <w:tr2bl w:val="nil"/>
            </w:tcBorders>
            <w:shd w:val="clear" w:color="auto" w:fill="auto"/>
            <w:vAlign w:val="center"/>
          </w:tcPr>
          <w:p w14:paraId="23BF59CA">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台</w:t>
            </w:r>
          </w:p>
        </w:tc>
        <w:tc>
          <w:tcPr>
            <w:tcW w:w="291" w:type="pct"/>
            <w:tcBorders>
              <w:tl2br w:val="nil"/>
              <w:tr2bl w:val="nil"/>
            </w:tcBorders>
            <w:shd w:val="clear" w:color="auto" w:fill="auto"/>
            <w:vAlign w:val="center"/>
          </w:tcPr>
          <w:p w14:paraId="7EE47292">
            <w:pPr>
              <w:widowControl/>
              <w:jc w:val="center"/>
              <w:textAlignment w:val="center"/>
              <w:rPr>
                <w:color w:val="000000"/>
                <w:sz w:val="21"/>
                <w:szCs w:val="21"/>
                <w:highlight w:val="none"/>
              </w:rPr>
            </w:pPr>
            <w:r>
              <w:rPr>
                <w:color w:val="000000"/>
                <w:kern w:val="0"/>
                <w:sz w:val="21"/>
                <w:szCs w:val="21"/>
                <w:highlight w:val="none"/>
                <w:lang w:bidi="ar"/>
              </w:rPr>
              <w:t>1</w:t>
            </w:r>
          </w:p>
        </w:tc>
        <w:tc>
          <w:tcPr>
            <w:tcW w:w="694" w:type="pct"/>
            <w:tcBorders>
              <w:tl2br w:val="nil"/>
              <w:tr2bl w:val="nil"/>
            </w:tcBorders>
            <w:shd w:val="clear" w:color="auto" w:fill="auto"/>
            <w:vAlign w:val="center"/>
          </w:tcPr>
          <w:p w14:paraId="1D0C433A">
            <w:pPr>
              <w:widowControl/>
              <w:jc w:val="center"/>
              <w:textAlignment w:val="center"/>
              <w:rPr>
                <w:color w:val="000000"/>
                <w:kern w:val="0"/>
                <w:sz w:val="21"/>
                <w:szCs w:val="21"/>
                <w:highlight w:val="none"/>
                <w:lang w:bidi="ar"/>
              </w:rPr>
            </w:pPr>
          </w:p>
        </w:tc>
      </w:tr>
      <w:tr w14:paraId="63A739C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59" w:type="pct"/>
            <w:tcBorders>
              <w:tl2br w:val="nil"/>
              <w:tr2bl w:val="nil"/>
            </w:tcBorders>
            <w:shd w:val="clear" w:color="auto" w:fill="auto"/>
            <w:vAlign w:val="center"/>
          </w:tcPr>
          <w:p w14:paraId="79DC2440">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8</w:t>
            </w:r>
          </w:p>
        </w:tc>
        <w:tc>
          <w:tcPr>
            <w:tcW w:w="998" w:type="pct"/>
            <w:tcBorders>
              <w:tl2br w:val="nil"/>
              <w:tr2bl w:val="nil"/>
            </w:tcBorders>
            <w:shd w:val="clear" w:color="auto" w:fill="auto"/>
            <w:vAlign w:val="center"/>
          </w:tcPr>
          <w:p w14:paraId="0D679E45">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E反渗透冲洗进水阀</w:t>
            </w:r>
          </w:p>
        </w:tc>
        <w:tc>
          <w:tcPr>
            <w:tcW w:w="1063" w:type="pct"/>
            <w:tcBorders>
              <w:tl2br w:val="nil"/>
              <w:tr2bl w:val="nil"/>
            </w:tcBorders>
            <w:shd w:val="clear" w:color="auto" w:fill="auto"/>
            <w:vAlign w:val="center"/>
          </w:tcPr>
          <w:p w14:paraId="5B2F69A6">
            <w:pPr>
              <w:widowControl/>
              <w:jc w:val="center"/>
              <w:textAlignment w:val="center"/>
              <w:rPr>
                <w:color w:val="000000"/>
                <w:sz w:val="21"/>
                <w:szCs w:val="21"/>
                <w:highlight w:val="none"/>
              </w:rPr>
            </w:pPr>
            <w:r>
              <w:rPr>
                <w:color w:val="000000"/>
                <w:kern w:val="0"/>
                <w:sz w:val="21"/>
                <w:szCs w:val="21"/>
                <w:highlight w:val="none"/>
                <w:lang w:bidi="ar"/>
              </w:rPr>
              <w:t>DN150</w:t>
            </w:r>
            <w:r>
              <w:rPr>
                <w:rFonts w:hint="eastAsia" w:ascii="宋体" w:hAnsi="宋体" w:cs="宋体"/>
                <w:color w:val="000000"/>
                <w:kern w:val="0"/>
                <w:sz w:val="21"/>
                <w:szCs w:val="21"/>
                <w:highlight w:val="none"/>
                <w:lang w:bidi="ar"/>
              </w:rPr>
              <w:t>，</w:t>
            </w:r>
            <w:r>
              <w:rPr>
                <w:color w:val="000000"/>
                <w:kern w:val="0"/>
                <w:sz w:val="21"/>
                <w:szCs w:val="21"/>
                <w:highlight w:val="none"/>
                <w:lang w:bidi="ar"/>
              </w:rPr>
              <w:t>PN10</w:t>
            </w:r>
          </w:p>
        </w:tc>
        <w:tc>
          <w:tcPr>
            <w:tcW w:w="1308" w:type="pct"/>
            <w:tcBorders>
              <w:tl2br w:val="nil"/>
              <w:tr2bl w:val="nil"/>
            </w:tcBorders>
            <w:shd w:val="clear" w:color="auto" w:fill="auto"/>
            <w:vAlign w:val="center"/>
          </w:tcPr>
          <w:p w14:paraId="44F4E211">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阀体铸铁，阀板衬塑</w:t>
            </w:r>
          </w:p>
        </w:tc>
        <w:tc>
          <w:tcPr>
            <w:tcW w:w="283" w:type="pct"/>
            <w:tcBorders>
              <w:tl2br w:val="nil"/>
              <w:tr2bl w:val="nil"/>
            </w:tcBorders>
            <w:shd w:val="clear" w:color="auto" w:fill="auto"/>
            <w:vAlign w:val="center"/>
          </w:tcPr>
          <w:p w14:paraId="01917B13">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台</w:t>
            </w:r>
          </w:p>
        </w:tc>
        <w:tc>
          <w:tcPr>
            <w:tcW w:w="291" w:type="pct"/>
            <w:tcBorders>
              <w:tl2br w:val="nil"/>
              <w:tr2bl w:val="nil"/>
            </w:tcBorders>
            <w:shd w:val="clear" w:color="auto" w:fill="auto"/>
            <w:vAlign w:val="center"/>
          </w:tcPr>
          <w:p w14:paraId="452B33A9">
            <w:pPr>
              <w:widowControl/>
              <w:jc w:val="center"/>
              <w:textAlignment w:val="center"/>
              <w:rPr>
                <w:color w:val="000000"/>
                <w:sz w:val="21"/>
                <w:szCs w:val="21"/>
                <w:highlight w:val="none"/>
              </w:rPr>
            </w:pPr>
            <w:r>
              <w:rPr>
                <w:color w:val="000000"/>
                <w:kern w:val="0"/>
                <w:sz w:val="21"/>
                <w:szCs w:val="21"/>
                <w:highlight w:val="none"/>
                <w:lang w:bidi="ar"/>
              </w:rPr>
              <w:t>1</w:t>
            </w:r>
          </w:p>
        </w:tc>
        <w:tc>
          <w:tcPr>
            <w:tcW w:w="694" w:type="pct"/>
            <w:tcBorders>
              <w:tl2br w:val="nil"/>
              <w:tr2bl w:val="nil"/>
            </w:tcBorders>
            <w:shd w:val="clear" w:color="auto" w:fill="auto"/>
            <w:vAlign w:val="center"/>
          </w:tcPr>
          <w:p w14:paraId="2569B73C">
            <w:pPr>
              <w:widowControl/>
              <w:jc w:val="center"/>
              <w:textAlignment w:val="center"/>
              <w:rPr>
                <w:color w:val="000000"/>
                <w:kern w:val="0"/>
                <w:sz w:val="21"/>
                <w:szCs w:val="21"/>
                <w:highlight w:val="none"/>
                <w:lang w:bidi="ar"/>
              </w:rPr>
            </w:pPr>
          </w:p>
        </w:tc>
      </w:tr>
      <w:tr w14:paraId="2A7C904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59" w:type="pct"/>
            <w:tcBorders>
              <w:tl2br w:val="nil"/>
              <w:tr2bl w:val="nil"/>
            </w:tcBorders>
            <w:shd w:val="clear" w:color="auto" w:fill="auto"/>
            <w:vAlign w:val="center"/>
          </w:tcPr>
          <w:p w14:paraId="215FB3D3">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9</w:t>
            </w:r>
          </w:p>
        </w:tc>
        <w:tc>
          <w:tcPr>
            <w:tcW w:w="998" w:type="pct"/>
            <w:tcBorders>
              <w:tl2br w:val="nil"/>
              <w:tr2bl w:val="nil"/>
            </w:tcBorders>
            <w:shd w:val="clear" w:color="auto" w:fill="auto"/>
            <w:vAlign w:val="center"/>
          </w:tcPr>
          <w:p w14:paraId="6F827227">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E反渗透产水排放阀</w:t>
            </w:r>
          </w:p>
        </w:tc>
        <w:tc>
          <w:tcPr>
            <w:tcW w:w="1063" w:type="pct"/>
            <w:tcBorders>
              <w:tl2br w:val="nil"/>
              <w:tr2bl w:val="nil"/>
            </w:tcBorders>
            <w:shd w:val="clear" w:color="auto" w:fill="auto"/>
            <w:vAlign w:val="center"/>
          </w:tcPr>
          <w:p w14:paraId="7A622D76">
            <w:pPr>
              <w:widowControl/>
              <w:jc w:val="center"/>
              <w:textAlignment w:val="center"/>
              <w:rPr>
                <w:color w:val="000000"/>
                <w:sz w:val="21"/>
                <w:szCs w:val="21"/>
                <w:highlight w:val="none"/>
              </w:rPr>
            </w:pPr>
            <w:r>
              <w:rPr>
                <w:color w:val="000000"/>
                <w:kern w:val="0"/>
                <w:sz w:val="21"/>
                <w:szCs w:val="21"/>
                <w:highlight w:val="none"/>
                <w:lang w:bidi="ar"/>
              </w:rPr>
              <w:t>DN125</w:t>
            </w:r>
            <w:r>
              <w:rPr>
                <w:rFonts w:hint="eastAsia" w:ascii="宋体" w:hAnsi="宋体" w:cs="宋体"/>
                <w:color w:val="000000"/>
                <w:kern w:val="0"/>
                <w:sz w:val="21"/>
                <w:szCs w:val="21"/>
                <w:highlight w:val="none"/>
                <w:lang w:bidi="ar"/>
              </w:rPr>
              <w:t>，</w:t>
            </w:r>
            <w:r>
              <w:rPr>
                <w:color w:val="000000"/>
                <w:kern w:val="0"/>
                <w:sz w:val="21"/>
                <w:szCs w:val="21"/>
                <w:highlight w:val="none"/>
                <w:lang w:bidi="ar"/>
              </w:rPr>
              <w:t>PN10</w:t>
            </w:r>
          </w:p>
        </w:tc>
        <w:tc>
          <w:tcPr>
            <w:tcW w:w="1308" w:type="pct"/>
            <w:tcBorders>
              <w:tl2br w:val="nil"/>
              <w:tr2bl w:val="nil"/>
            </w:tcBorders>
            <w:shd w:val="clear" w:color="auto" w:fill="auto"/>
            <w:vAlign w:val="center"/>
          </w:tcPr>
          <w:p w14:paraId="23770C44">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阀体铸铁，阀板衬塑</w:t>
            </w:r>
          </w:p>
        </w:tc>
        <w:tc>
          <w:tcPr>
            <w:tcW w:w="283" w:type="pct"/>
            <w:tcBorders>
              <w:tl2br w:val="nil"/>
              <w:tr2bl w:val="nil"/>
            </w:tcBorders>
            <w:shd w:val="clear" w:color="auto" w:fill="auto"/>
            <w:vAlign w:val="center"/>
          </w:tcPr>
          <w:p w14:paraId="291E650C">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台</w:t>
            </w:r>
          </w:p>
        </w:tc>
        <w:tc>
          <w:tcPr>
            <w:tcW w:w="291" w:type="pct"/>
            <w:tcBorders>
              <w:tl2br w:val="nil"/>
              <w:tr2bl w:val="nil"/>
            </w:tcBorders>
            <w:shd w:val="clear" w:color="auto" w:fill="auto"/>
            <w:vAlign w:val="center"/>
          </w:tcPr>
          <w:p w14:paraId="0E1736C2">
            <w:pPr>
              <w:widowControl/>
              <w:jc w:val="center"/>
              <w:textAlignment w:val="center"/>
              <w:rPr>
                <w:color w:val="000000"/>
                <w:sz w:val="21"/>
                <w:szCs w:val="21"/>
                <w:highlight w:val="none"/>
              </w:rPr>
            </w:pPr>
            <w:r>
              <w:rPr>
                <w:color w:val="000000"/>
                <w:kern w:val="0"/>
                <w:sz w:val="21"/>
                <w:szCs w:val="21"/>
                <w:highlight w:val="none"/>
                <w:lang w:bidi="ar"/>
              </w:rPr>
              <w:t>1</w:t>
            </w:r>
          </w:p>
        </w:tc>
        <w:tc>
          <w:tcPr>
            <w:tcW w:w="694" w:type="pct"/>
            <w:tcBorders>
              <w:tl2br w:val="nil"/>
              <w:tr2bl w:val="nil"/>
            </w:tcBorders>
            <w:shd w:val="clear" w:color="auto" w:fill="auto"/>
            <w:vAlign w:val="center"/>
          </w:tcPr>
          <w:p w14:paraId="2B9C6933">
            <w:pPr>
              <w:widowControl/>
              <w:jc w:val="center"/>
              <w:textAlignment w:val="center"/>
              <w:rPr>
                <w:color w:val="000000"/>
                <w:kern w:val="0"/>
                <w:sz w:val="21"/>
                <w:szCs w:val="21"/>
                <w:highlight w:val="none"/>
                <w:lang w:bidi="ar"/>
              </w:rPr>
            </w:pPr>
          </w:p>
        </w:tc>
      </w:tr>
      <w:tr w14:paraId="3969EC1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59" w:type="pct"/>
            <w:tcBorders>
              <w:tl2br w:val="nil"/>
              <w:tr2bl w:val="nil"/>
            </w:tcBorders>
            <w:shd w:val="clear" w:color="auto" w:fill="auto"/>
            <w:vAlign w:val="center"/>
          </w:tcPr>
          <w:p w14:paraId="07B71FCD">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10</w:t>
            </w:r>
          </w:p>
        </w:tc>
        <w:tc>
          <w:tcPr>
            <w:tcW w:w="998" w:type="pct"/>
            <w:tcBorders>
              <w:tl2br w:val="nil"/>
              <w:tr2bl w:val="nil"/>
            </w:tcBorders>
            <w:shd w:val="clear" w:color="auto" w:fill="auto"/>
            <w:vAlign w:val="center"/>
          </w:tcPr>
          <w:p w14:paraId="174BBD90">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E反渗透浓水排放阀</w:t>
            </w:r>
          </w:p>
        </w:tc>
        <w:tc>
          <w:tcPr>
            <w:tcW w:w="1063" w:type="pct"/>
            <w:tcBorders>
              <w:tl2br w:val="nil"/>
              <w:tr2bl w:val="nil"/>
            </w:tcBorders>
            <w:shd w:val="clear" w:color="auto" w:fill="auto"/>
            <w:vAlign w:val="center"/>
          </w:tcPr>
          <w:p w14:paraId="4FB3F8BB">
            <w:pPr>
              <w:widowControl/>
              <w:jc w:val="center"/>
              <w:textAlignment w:val="center"/>
              <w:rPr>
                <w:color w:val="000000"/>
                <w:sz w:val="21"/>
                <w:szCs w:val="21"/>
                <w:highlight w:val="none"/>
              </w:rPr>
            </w:pPr>
            <w:r>
              <w:rPr>
                <w:color w:val="000000"/>
                <w:kern w:val="0"/>
                <w:sz w:val="21"/>
                <w:szCs w:val="21"/>
                <w:highlight w:val="none"/>
                <w:lang w:bidi="ar"/>
              </w:rPr>
              <w:t>DN125</w:t>
            </w:r>
            <w:r>
              <w:rPr>
                <w:rFonts w:hint="eastAsia" w:ascii="宋体" w:hAnsi="宋体" w:cs="宋体"/>
                <w:color w:val="000000"/>
                <w:kern w:val="0"/>
                <w:sz w:val="21"/>
                <w:szCs w:val="21"/>
                <w:highlight w:val="none"/>
                <w:lang w:bidi="ar"/>
              </w:rPr>
              <w:t>，</w:t>
            </w:r>
            <w:r>
              <w:rPr>
                <w:color w:val="000000"/>
                <w:kern w:val="0"/>
                <w:sz w:val="21"/>
                <w:szCs w:val="21"/>
                <w:highlight w:val="none"/>
                <w:lang w:bidi="ar"/>
              </w:rPr>
              <w:t>PN10</w:t>
            </w:r>
          </w:p>
        </w:tc>
        <w:tc>
          <w:tcPr>
            <w:tcW w:w="1308" w:type="pct"/>
            <w:tcBorders>
              <w:tl2br w:val="nil"/>
              <w:tr2bl w:val="nil"/>
            </w:tcBorders>
            <w:shd w:val="clear" w:color="auto" w:fill="auto"/>
            <w:vAlign w:val="center"/>
          </w:tcPr>
          <w:p w14:paraId="4659F959">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阀体铸铁，阀板衬塑</w:t>
            </w:r>
          </w:p>
        </w:tc>
        <w:tc>
          <w:tcPr>
            <w:tcW w:w="283" w:type="pct"/>
            <w:tcBorders>
              <w:tl2br w:val="nil"/>
              <w:tr2bl w:val="nil"/>
            </w:tcBorders>
            <w:shd w:val="clear" w:color="auto" w:fill="auto"/>
            <w:vAlign w:val="center"/>
          </w:tcPr>
          <w:p w14:paraId="04BF95E4">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台</w:t>
            </w:r>
          </w:p>
        </w:tc>
        <w:tc>
          <w:tcPr>
            <w:tcW w:w="291" w:type="pct"/>
            <w:tcBorders>
              <w:tl2br w:val="nil"/>
              <w:tr2bl w:val="nil"/>
            </w:tcBorders>
            <w:shd w:val="clear" w:color="auto" w:fill="auto"/>
            <w:vAlign w:val="center"/>
          </w:tcPr>
          <w:p w14:paraId="44E5F50A">
            <w:pPr>
              <w:widowControl/>
              <w:jc w:val="center"/>
              <w:textAlignment w:val="center"/>
              <w:rPr>
                <w:color w:val="000000"/>
                <w:sz w:val="21"/>
                <w:szCs w:val="21"/>
                <w:highlight w:val="none"/>
              </w:rPr>
            </w:pPr>
            <w:r>
              <w:rPr>
                <w:color w:val="000000"/>
                <w:kern w:val="0"/>
                <w:sz w:val="21"/>
                <w:szCs w:val="21"/>
                <w:highlight w:val="none"/>
                <w:lang w:bidi="ar"/>
              </w:rPr>
              <w:t>1</w:t>
            </w:r>
          </w:p>
        </w:tc>
        <w:tc>
          <w:tcPr>
            <w:tcW w:w="694" w:type="pct"/>
            <w:tcBorders>
              <w:tl2br w:val="nil"/>
              <w:tr2bl w:val="nil"/>
            </w:tcBorders>
            <w:shd w:val="clear" w:color="auto" w:fill="auto"/>
            <w:vAlign w:val="center"/>
          </w:tcPr>
          <w:p w14:paraId="44F656BA">
            <w:pPr>
              <w:widowControl/>
              <w:jc w:val="center"/>
              <w:textAlignment w:val="center"/>
              <w:rPr>
                <w:color w:val="000000"/>
                <w:kern w:val="0"/>
                <w:sz w:val="21"/>
                <w:szCs w:val="21"/>
                <w:highlight w:val="none"/>
                <w:lang w:bidi="ar"/>
              </w:rPr>
            </w:pPr>
          </w:p>
        </w:tc>
      </w:tr>
      <w:tr w14:paraId="4E2B29C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59" w:type="pct"/>
            <w:tcBorders>
              <w:tl2br w:val="nil"/>
              <w:tr2bl w:val="nil"/>
            </w:tcBorders>
            <w:shd w:val="clear" w:color="auto" w:fill="auto"/>
            <w:vAlign w:val="center"/>
          </w:tcPr>
          <w:p w14:paraId="2F933C59">
            <w:pPr>
              <w:jc w:val="center"/>
              <w:rPr>
                <w:rFonts w:ascii="宋体" w:hAnsi="宋体" w:cs="宋体"/>
                <w:color w:val="000000"/>
                <w:sz w:val="21"/>
                <w:szCs w:val="21"/>
                <w:highlight w:val="none"/>
              </w:rPr>
            </w:pPr>
          </w:p>
        </w:tc>
        <w:tc>
          <w:tcPr>
            <w:tcW w:w="998" w:type="pct"/>
            <w:tcBorders>
              <w:tl2br w:val="nil"/>
              <w:tr2bl w:val="nil"/>
            </w:tcBorders>
            <w:shd w:val="clear" w:color="auto" w:fill="auto"/>
            <w:vAlign w:val="center"/>
          </w:tcPr>
          <w:p w14:paraId="3E7EDDD3">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超滤手动阀</w:t>
            </w:r>
          </w:p>
        </w:tc>
        <w:tc>
          <w:tcPr>
            <w:tcW w:w="1063" w:type="pct"/>
            <w:tcBorders>
              <w:tl2br w:val="nil"/>
              <w:tr2bl w:val="nil"/>
            </w:tcBorders>
            <w:shd w:val="clear" w:color="auto" w:fill="auto"/>
            <w:vAlign w:val="center"/>
          </w:tcPr>
          <w:p w14:paraId="2410CA09">
            <w:pPr>
              <w:jc w:val="center"/>
              <w:rPr>
                <w:rFonts w:ascii="宋体" w:hAnsi="宋体" w:cs="宋体"/>
                <w:color w:val="000000"/>
                <w:sz w:val="21"/>
                <w:szCs w:val="21"/>
                <w:highlight w:val="none"/>
              </w:rPr>
            </w:pPr>
          </w:p>
        </w:tc>
        <w:tc>
          <w:tcPr>
            <w:tcW w:w="1308" w:type="pct"/>
            <w:tcBorders>
              <w:tl2br w:val="nil"/>
              <w:tr2bl w:val="nil"/>
            </w:tcBorders>
            <w:shd w:val="clear" w:color="auto" w:fill="auto"/>
            <w:vAlign w:val="center"/>
          </w:tcPr>
          <w:p w14:paraId="332381B4">
            <w:pPr>
              <w:jc w:val="center"/>
              <w:rPr>
                <w:rFonts w:ascii="宋体" w:hAnsi="宋体" w:cs="宋体"/>
                <w:color w:val="000000"/>
                <w:sz w:val="21"/>
                <w:szCs w:val="21"/>
                <w:highlight w:val="none"/>
              </w:rPr>
            </w:pPr>
          </w:p>
        </w:tc>
        <w:tc>
          <w:tcPr>
            <w:tcW w:w="283" w:type="pct"/>
            <w:tcBorders>
              <w:tl2br w:val="nil"/>
              <w:tr2bl w:val="nil"/>
            </w:tcBorders>
            <w:shd w:val="clear" w:color="auto" w:fill="auto"/>
            <w:vAlign w:val="center"/>
          </w:tcPr>
          <w:p w14:paraId="7433A656">
            <w:pPr>
              <w:jc w:val="center"/>
              <w:rPr>
                <w:rFonts w:ascii="宋体" w:hAnsi="宋体" w:cs="宋体"/>
                <w:color w:val="000000"/>
                <w:sz w:val="21"/>
                <w:szCs w:val="21"/>
                <w:highlight w:val="none"/>
              </w:rPr>
            </w:pPr>
          </w:p>
        </w:tc>
        <w:tc>
          <w:tcPr>
            <w:tcW w:w="291" w:type="pct"/>
            <w:tcBorders>
              <w:tl2br w:val="nil"/>
              <w:tr2bl w:val="nil"/>
            </w:tcBorders>
            <w:shd w:val="clear" w:color="auto" w:fill="auto"/>
            <w:vAlign w:val="center"/>
          </w:tcPr>
          <w:p w14:paraId="7C812A2C">
            <w:pPr>
              <w:jc w:val="center"/>
              <w:rPr>
                <w:rFonts w:ascii="宋体" w:hAnsi="宋体" w:cs="宋体"/>
                <w:color w:val="000000"/>
                <w:sz w:val="21"/>
                <w:szCs w:val="21"/>
                <w:highlight w:val="none"/>
              </w:rPr>
            </w:pPr>
          </w:p>
        </w:tc>
        <w:tc>
          <w:tcPr>
            <w:tcW w:w="694" w:type="pct"/>
            <w:tcBorders>
              <w:tl2br w:val="nil"/>
              <w:tr2bl w:val="nil"/>
            </w:tcBorders>
            <w:shd w:val="clear" w:color="auto" w:fill="auto"/>
            <w:vAlign w:val="center"/>
          </w:tcPr>
          <w:p w14:paraId="023BE0C9">
            <w:pPr>
              <w:jc w:val="center"/>
              <w:rPr>
                <w:rFonts w:ascii="宋体" w:hAnsi="宋体" w:cs="宋体"/>
                <w:color w:val="000000"/>
                <w:sz w:val="21"/>
                <w:szCs w:val="21"/>
                <w:highlight w:val="none"/>
              </w:rPr>
            </w:pPr>
          </w:p>
        </w:tc>
      </w:tr>
      <w:tr w14:paraId="08C1FD2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59" w:type="pct"/>
            <w:tcBorders>
              <w:tl2br w:val="nil"/>
              <w:tr2bl w:val="nil"/>
            </w:tcBorders>
            <w:shd w:val="clear" w:color="auto" w:fill="auto"/>
            <w:vAlign w:val="center"/>
          </w:tcPr>
          <w:p w14:paraId="68EF92CF">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1</w:t>
            </w:r>
          </w:p>
        </w:tc>
        <w:tc>
          <w:tcPr>
            <w:tcW w:w="998" w:type="pct"/>
            <w:tcBorders>
              <w:tl2br w:val="nil"/>
              <w:tr2bl w:val="nil"/>
            </w:tcBorders>
            <w:shd w:val="clear" w:color="auto" w:fill="auto"/>
            <w:vAlign w:val="center"/>
          </w:tcPr>
          <w:p w14:paraId="49E01146">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手动蝶阀</w:t>
            </w:r>
          </w:p>
        </w:tc>
        <w:tc>
          <w:tcPr>
            <w:tcW w:w="1063" w:type="pct"/>
            <w:tcBorders>
              <w:tl2br w:val="nil"/>
              <w:tr2bl w:val="nil"/>
            </w:tcBorders>
            <w:shd w:val="clear" w:color="auto" w:fill="auto"/>
            <w:vAlign w:val="center"/>
          </w:tcPr>
          <w:p w14:paraId="340390DC">
            <w:pPr>
              <w:widowControl/>
              <w:jc w:val="center"/>
              <w:textAlignment w:val="center"/>
              <w:rPr>
                <w:color w:val="000000"/>
                <w:sz w:val="21"/>
                <w:szCs w:val="21"/>
                <w:highlight w:val="none"/>
              </w:rPr>
            </w:pPr>
            <w:r>
              <w:rPr>
                <w:color w:val="000000"/>
                <w:kern w:val="0"/>
                <w:sz w:val="21"/>
                <w:szCs w:val="21"/>
                <w:highlight w:val="none"/>
                <w:lang w:bidi="ar"/>
              </w:rPr>
              <w:t>DN200 PN10</w:t>
            </w:r>
          </w:p>
        </w:tc>
        <w:tc>
          <w:tcPr>
            <w:tcW w:w="1308" w:type="pct"/>
            <w:tcBorders>
              <w:tl2br w:val="nil"/>
              <w:tr2bl w:val="nil"/>
            </w:tcBorders>
            <w:shd w:val="clear" w:color="auto" w:fill="auto"/>
            <w:vAlign w:val="center"/>
          </w:tcPr>
          <w:p w14:paraId="07D90704">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阀体铸铁，阀板衬塑</w:t>
            </w:r>
          </w:p>
        </w:tc>
        <w:tc>
          <w:tcPr>
            <w:tcW w:w="283" w:type="pct"/>
            <w:tcBorders>
              <w:tl2br w:val="nil"/>
              <w:tr2bl w:val="nil"/>
            </w:tcBorders>
            <w:shd w:val="clear" w:color="auto" w:fill="auto"/>
            <w:vAlign w:val="center"/>
          </w:tcPr>
          <w:p w14:paraId="2BEED5AF">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台</w:t>
            </w:r>
          </w:p>
        </w:tc>
        <w:tc>
          <w:tcPr>
            <w:tcW w:w="291" w:type="pct"/>
            <w:tcBorders>
              <w:tl2br w:val="nil"/>
              <w:tr2bl w:val="nil"/>
            </w:tcBorders>
            <w:shd w:val="clear" w:color="auto" w:fill="auto"/>
            <w:vAlign w:val="center"/>
          </w:tcPr>
          <w:p w14:paraId="04885B04">
            <w:pPr>
              <w:widowControl/>
              <w:jc w:val="center"/>
              <w:textAlignment w:val="center"/>
              <w:rPr>
                <w:color w:val="000000"/>
                <w:sz w:val="21"/>
                <w:szCs w:val="21"/>
                <w:highlight w:val="none"/>
              </w:rPr>
            </w:pPr>
            <w:r>
              <w:rPr>
                <w:color w:val="000000"/>
                <w:kern w:val="0"/>
                <w:sz w:val="21"/>
                <w:szCs w:val="21"/>
                <w:highlight w:val="none"/>
                <w:lang w:bidi="ar"/>
              </w:rPr>
              <w:t>3</w:t>
            </w:r>
          </w:p>
        </w:tc>
        <w:tc>
          <w:tcPr>
            <w:tcW w:w="694" w:type="pct"/>
            <w:tcBorders>
              <w:tl2br w:val="nil"/>
              <w:tr2bl w:val="nil"/>
            </w:tcBorders>
            <w:shd w:val="clear" w:color="auto" w:fill="auto"/>
            <w:vAlign w:val="center"/>
          </w:tcPr>
          <w:p w14:paraId="7E186405">
            <w:pPr>
              <w:widowControl/>
              <w:jc w:val="center"/>
              <w:textAlignment w:val="center"/>
              <w:rPr>
                <w:color w:val="000000"/>
                <w:kern w:val="0"/>
                <w:sz w:val="21"/>
                <w:szCs w:val="21"/>
                <w:highlight w:val="none"/>
                <w:lang w:bidi="ar"/>
              </w:rPr>
            </w:pPr>
          </w:p>
        </w:tc>
      </w:tr>
      <w:tr w14:paraId="3F728EF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59" w:type="pct"/>
            <w:tcBorders>
              <w:tl2br w:val="nil"/>
              <w:tr2bl w:val="nil"/>
            </w:tcBorders>
            <w:shd w:val="clear" w:color="auto" w:fill="auto"/>
            <w:vAlign w:val="center"/>
          </w:tcPr>
          <w:p w14:paraId="151A1D16">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2</w:t>
            </w:r>
          </w:p>
        </w:tc>
        <w:tc>
          <w:tcPr>
            <w:tcW w:w="998" w:type="pct"/>
            <w:tcBorders>
              <w:tl2br w:val="nil"/>
              <w:tr2bl w:val="nil"/>
            </w:tcBorders>
            <w:shd w:val="clear" w:color="auto" w:fill="auto"/>
            <w:vAlign w:val="center"/>
          </w:tcPr>
          <w:p w14:paraId="25DA8CE4">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手动蝶阀</w:t>
            </w:r>
          </w:p>
        </w:tc>
        <w:tc>
          <w:tcPr>
            <w:tcW w:w="1063" w:type="pct"/>
            <w:tcBorders>
              <w:tl2br w:val="nil"/>
              <w:tr2bl w:val="nil"/>
            </w:tcBorders>
            <w:shd w:val="clear" w:color="auto" w:fill="auto"/>
            <w:vAlign w:val="center"/>
          </w:tcPr>
          <w:p w14:paraId="4C5BCDA3">
            <w:pPr>
              <w:widowControl/>
              <w:jc w:val="center"/>
              <w:textAlignment w:val="center"/>
              <w:rPr>
                <w:color w:val="000000"/>
                <w:sz w:val="21"/>
                <w:szCs w:val="21"/>
                <w:highlight w:val="none"/>
              </w:rPr>
            </w:pPr>
            <w:r>
              <w:rPr>
                <w:color w:val="000000"/>
                <w:kern w:val="0"/>
                <w:sz w:val="21"/>
                <w:szCs w:val="21"/>
                <w:highlight w:val="none"/>
                <w:lang w:bidi="ar"/>
              </w:rPr>
              <w:t>DN150 PNI0</w:t>
            </w:r>
          </w:p>
        </w:tc>
        <w:tc>
          <w:tcPr>
            <w:tcW w:w="1308" w:type="pct"/>
            <w:tcBorders>
              <w:tl2br w:val="nil"/>
              <w:tr2bl w:val="nil"/>
            </w:tcBorders>
            <w:shd w:val="clear" w:color="auto" w:fill="auto"/>
            <w:vAlign w:val="center"/>
          </w:tcPr>
          <w:p w14:paraId="78ECB2A3">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阀体铸铁，阀板衬塑</w:t>
            </w:r>
          </w:p>
        </w:tc>
        <w:tc>
          <w:tcPr>
            <w:tcW w:w="283" w:type="pct"/>
            <w:tcBorders>
              <w:tl2br w:val="nil"/>
              <w:tr2bl w:val="nil"/>
            </w:tcBorders>
            <w:shd w:val="clear" w:color="auto" w:fill="auto"/>
            <w:vAlign w:val="center"/>
          </w:tcPr>
          <w:p w14:paraId="2B8E21E9">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台</w:t>
            </w:r>
          </w:p>
        </w:tc>
        <w:tc>
          <w:tcPr>
            <w:tcW w:w="291" w:type="pct"/>
            <w:tcBorders>
              <w:tl2br w:val="nil"/>
              <w:tr2bl w:val="nil"/>
            </w:tcBorders>
            <w:shd w:val="clear" w:color="auto" w:fill="auto"/>
            <w:vAlign w:val="center"/>
          </w:tcPr>
          <w:p w14:paraId="06B7A384">
            <w:pPr>
              <w:widowControl/>
              <w:jc w:val="center"/>
              <w:textAlignment w:val="center"/>
              <w:rPr>
                <w:color w:val="000000"/>
                <w:sz w:val="21"/>
                <w:szCs w:val="21"/>
                <w:highlight w:val="none"/>
              </w:rPr>
            </w:pPr>
            <w:r>
              <w:rPr>
                <w:color w:val="000000"/>
                <w:kern w:val="0"/>
                <w:sz w:val="21"/>
                <w:szCs w:val="21"/>
                <w:highlight w:val="none"/>
                <w:lang w:bidi="ar"/>
              </w:rPr>
              <w:t>1</w:t>
            </w:r>
          </w:p>
        </w:tc>
        <w:tc>
          <w:tcPr>
            <w:tcW w:w="694" w:type="pct"/>
            <w:tcBorders>
              <w:tl2br w:val="nil"/>
              <w:tr2bl w:val="nil"/>
            </w:tcBorders>
            <w:shd w:val="clear" w:color="auto" w:fill="auto"/>
            <w:vAlign w:val="center"/>
          </w:tcPr>
          <w:p w14:paraId="4E08B773">
            <w:pPr>
              <w:widowControl/>
              <w:jc w:val="center"/>
              <w:textAlignment w:val="center"/>
              <w:rPr>
                <w:color w:val="000000"/>
                <w:kern w:val="0"/>
                <w:sz w:val="21"/>
                <w:szCs w:val="21"/>
                <w:highlight w:val="none"/>
                <w:lang w:bidi="ar"/>
              </w:rPr>
            </w:pPr>
          </w:p>
        </w:tc>
      </w:tr>
      <w:tr w14:paraId="5012281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59" w:type="pct"/>
            <w:tcBorders>
              <w:tl2br w:val="nil"/>
              <w:tr2bl w:val="nil"/>
            </w:tcBorders>
            <w:shd w:val="clear" w:color="auto" w:fill="auto"/>
            <w:vAlign w:val="center"/>
          </w:tcPr>
          <w:p w14:paraId="28E391EB">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3</w:t>
            </w:r>
          </w:p>
        </w:tc>
        <w:tc>
          <w:tcPr>
            <w:tcW w:w="998" w:type="pct"/>
            <w:tcBorders>
              <w:tl2br w:val="nil"/>
              <w:tr2bl w:val="nil"/>
            </w:tcBorders>
            <w:shd w:val="clear" w:color="auto" w:fill="auto"/>
            <w:vAlign w:val="center"/>
          </w:tcPr>
          <w:p w14:paraId="3D61A556">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截止阀</w:t>
            </w:r>
          </w:p>
        </w:tc>
        <w:tc>
          <w:tcPr>
            <w:tcW w:w="1063" w:type="pct"/>
            <w:tcBorders>
              <w:tl2br w:val="nil"/>
              <w:tr2bl w:val="nil"/>
            </w:tcBorders>
            <w:shd w:val="clear" w:color="auto" w:fill="auto"/>
            <w:vAlign w:val="center"/>
          </w:tcPr>
          <w:p w14:paraId="66109A39">
            <w:pPr>
              <w:widowControl/>
              <w:jc w:val="center"/>
              <w:textAlignment w:val="center"/>
              <w:rPr>
                <w:color w:val="000000"/>
                <w:sz w:val="21"/>
                <w:szCs w:val="21"/>
                <w:highlight w:val="none"/>
              </w:rPr>
            </w:pPr>
            <w:r>
              <w:rPr>
                <w:color w:val="000000"/>
                <w:kern w:val="0"/>
                <w:sz w:val="21"/>
                <w:szCs w:val="21"/>
                <w:highlight w:val="none"/>
                <w:lang w:bidi="ar"/>
              </w:rPr>
              <w:t>DN50 PN10</w:t>
            </w:r>
          </w:p>
        </w:tc>
        <w:tc>
          <w:tcPr>
            <w:tcW w:w="1308" w:type="pct"/>
            <w:tcBorders>
              <w:tl2br w:val="nil"/>
              <w:tr2bl w:val="nil"/>
            </w:tcBorders>
            <w:shd w:val="clear" w:color="auto" w:fill="auto"/>
            <w:vAlign w:val="center"/>
          </w:tcPr>
          <w:p w14:paraId="25F96F93">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阀体铸铁，阀板衬塑</w:t>
            </w:r>
          </w:p>
        </w:tc>
        <w:tc>
          <w:tcPr>
            <w:tcW w:w="283" w:type="pct"/>
            <w:tcBorders>
              <w:tl2br w:val="nil"/>
              <w:tr2bl w:val="nil"/>
            </w:tcBorders>
            <w:shd w:val="clear" w:color="auto" w:fill="auto"/>
            <w:vAlign w:val="center"/>
          </w:tcPr>
          <w:p w14:paraId="6D3A1F55">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台</w:t>
            </w:r>
          </w:p>
        </w:tc>
        <w:tc>
          <w:tcPr>
            <w:tcW w:w="291" w:type="pct"/>
            <w:tcBorders>
              <w:tl2br w:val="nil"/>
              <w:tr2bl w:val="nil"/>
            </w:tcBorders>
            <w:shd w:val="clear" w:color="auto" w:fill="auto"/>
            <w:vAlign w:val="center"/>
          </w:tcPr>
          <w:p w14:paraId="69D10446">
            <w:pPr>
              <w:widowControl/>
              <w:jc w:val="center"/>
              <w:textAlignment w:val="center"/>
              <w:rPr>
                <w:color w:val="000000"/>
                <w:sz w:val="21"/>
                <w:szCs w:val="21"/>
                <w:highlight w:val="none"/>
              </w:rPr>
            </w:pPr>
            <w:r>
              <w:rPr>
                <w:color w:val="000000"/>
                <w:kern w:val="0"/>
                <w:sz w:val="21"/>
                <w:szCs w:val="21"/>
                <w:highlight w:val="none"/>
                <w:lang w:bidi="ar"/>
              </w:rPr>
              <w:t>1</w:t>
            </w:r>
          </w:p>
        </w:tc>
        <w:tc>
          <w:tcPr>
            <w:tcW w:w="694" w:type="pct"/>
            <w:tcBorders>
              <w:tl2br w:val="nil"/>
              <w:tr2bl w:val="nil"/>
            </w:tcBorders>
            <w:shd w:val="clear" w:color="auto" w:fill="auto"/>
            <w:vAlign w:val="center"/>
          </w:tcPr>
          <w:p w14:paraId="129DF023">
            <w:pPr>
              <w:widowControl/>
              <w:jc w:val="center"/>
              <w:textAlignment w:val="center"/>
              <w:rPr>
                <w:color w:val="000000"/>
                <w:kern w:val="0"/>
                <w:sz w:val="21"/>
                <w:szCs w:val="21"/>
                <w:highlight w:val="none"/>
                <w:lang w:bidi="ar"/>
              </w:rPr>
            </w:pPr>
          </w:p>
        </w:tc>
      </w:tr>
      <w:tr w14:paraId="6CFF874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59" w:type="pct"/>
            <w:tcBorders>
              <w:tl2br w:val="nil"/>
              <w:tr2bl w:val="nil"/>
            </w:tcBorders>
            <w:shd w:val="clear" w:color="auto" w:fill="auto"/>
            <w:vAlign w:val="center"/>
          </w:tcPr>
          <w:p w14:paraId="63999941">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4</w:t>
            </w:r>
          </w:p>
        </w:tc>
        <w:tc>
          <w:tcPr>
            <w:tcW w:w="998" w:type="pct"/>
            <w:tcBorders>
              <w:tl2br w:val="nil"/>
              <w:tr2bl w:val="nil"/>
            </w:tcBorders>
            <w:shd w:val="clear" w:color="auto" w:fill="auto"/>
            <w:vAlign w:val="center"/>
          </w:tcPr>
          <w:p w14:paraId="16993FB6">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止回阀</w:t>
            </w:r>
          </w:p>
        </w:tc>
        <w:tc>
          <w:tcPr>
            <w:tcW w:w="1063" w:type="pct"/>
            <w:tcBorders>
              <w:tl2br w:val="nil"/>
              <w:tr2bl w:val="nil"/>
            </w:tcBorders>
            <w:shd w:val="clear" w:color="auto" w:fill="auto"/>
            <w:vAlign w:val="center"/>
          </w:tcPr>
          <w:p w14:paraId="102DEE94">
            <w:pPr>
              <w:widowControl/>
              <w:jc w:val="center"/>
              <w:textAlignment w:val="center"/>
              <w:rPr>
                <w:color w:val="000000"/>
                <w:sz w:val="21"/>
                <w:szCs w:val="21"/>
                <w:highlight w:val="none"/>
              </w:rPr>
            </w:pPr>
            <w:r>
              <w:rPr>
                <w:color w:val="000000"/>
                <w:kern w:val="0"/>
                <w:sz w:val="21"/>
                <w:szCs w:val="21"/>
                <w:highlight w:val="none"/>
                <w:lang w:bidi="ar"/>
              </w:rPr>
              <w:t>DN80 PN10</w:t>
            </w:r>
          </w:p>
        </w:tc>
        <w:tc>
          <w:tcPr>
            <w:tcW w:w="1308" w:type="pct"/>
            <w:tcBorders>
              <w:tl2br w:val="nil"/>
              <w:tr2bl w:val="nil"/>
            </w:tcBorders>
            <w:shd w:val="clear" w:color="auto" w:fill="auto"/>
            <w:vAlign w:val="center"/>
          </w:tcPr>
          <w:p w14:paraId="4D2665DA">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阀体铸铁，阀板衬塑</w:t>
            </w:r>
          </w:p>
        </w:tc>
        <w:tc>
          <w:tcPr>
            <w:tcW w:w="283" w:type="pct"/>
            <w:tcBorders>
              <w:tl2br w:val="nil"/>
              <w:tr2bl w:val="nil"/>
            </w:tcBorders>
            <w:shd w:val="clear" w:color="auto" w:fill="auto"/>
            <w:vAlign w:val="center"/>
          </w:tcPr>
          <w:p w14:paraId="551E3DFA">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台</w:t>
            </w:r>
          </w:p>
        </w:tc>
        <w:tc>
          <w:tcPr>
            <w:tcW w:w="291" w:type="pct"/>
            <w:tcBorders>
              <w:tl2br w:val="nil"/>
              <w:tr2bl w:val="nil"/>
            </w:tcBorders>
            <w:shd w:val="clear" w:color="auto" w:fill="auto"/>
            <w:vAlign w:val="center"/>
          </w:tcPr>
          <w:p w14:paraId="043C7B3D">
            <w:pPr>
              <w:widowControl/>
              <w:jc w:val="center"/>
              <w:textAlignment w:val="center"/>
              <w:rPr>
                <w:color w:val="000000"/>
                <w:sz w:val="21"/>
                <w:szCs w:val="21"/>
                <w:highlight w:val="none"/>
              </w:rPr>
            </w:pPr>
            <w:r>
              <w:rPr>
                <w:color w:val="000000"/>
                <w:kern w:val="0"/>
                <w:sz w:val="21"/>
                <w:szCs w:val="21"/>
                <w:highlight w:val="none"/>
                <w:lang w:bidi="ar"/>
              </w:rPr>
              <w:t>1</w:t>
            </w:r>
          </w:p>
        </w:tc>
        <w:tc>
          <w:tcPr>
            <w:tcW w:w="694" w:type="pct"/>
            <w:tcBorders>
              <w:tl2br w:val="nil"/>
              <w:tr2bl w:val="nil"/>
            </w:tcBorders>
            <w:shd w:val="clear" w:color="auto" w:fill="auto"/>
            <w:vAlign w:val="center"/>
          </w:tcPr>
          <w:p w14:paraId="1F50775A">
            <w:pPr>
              <w:widowControl/>
              <w:jc w:val="center"/>
              <w:textAlignment w:val="center"/>
              <w:rPr>
                <w:color w:val="000000"/>
                <w:kern w:val="0"/>
                <w:sz w:val="21"/>
                <w:szCs w:val="21"/>
                <w:highlight w:val="none"/>
                <w:lang w:bidi="ar"/>
              </w:rPr>
            </w:pPr>
          </w:p>
        </w:tc>
      </w:tr>
      <w:tr w14:paraId="3E92894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59" w:type="pct"/>
            <w:tcBorders>
              <w:tl2br w:val="nil"/>
              <w:tr2bl w:val="nil"/>
            </w:tcBorders>
            <w:shd w:val="clear" w:color="auto" w:fill="auto"/>
            <w:vAlign w:val="center"/>
          </w:tcPr>
          <w:p w14:paraId="21F53829">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5</w:t>
            </w:r>
          </w:p>
        </w:tc>
        <w:tc>
          <w:tcPr>
            <w:tcW w:w="998" w:type="pct"/>
            <w:tcBorders>
              <w:tl2br w:val="nil"/>
              <w:tr2bl w:val="nil"/>
            </w:tcBorders>
            <w:shd w:val="clear" w:color="auto" w:fill="auto"/>
            <w:vAlign w:val="center"/>
          </w:tcPr>
          <w:p w14:paraId="57784B7E">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自动排气阀</w:t>
            </w:r>
          </w:p>
        </w:tc>
        <w:tc>
          <w:tcPr>
            <w:tcW w:w="1063" w:type="pct"/>
            <w:tcBorders>
              <w:tl2br w:val="nil"/>
              <w:tr2bl w:val="nil"/>
            </w:tcBorders>
            <w:shd w:val="clear" w:color="auto" w:fill="auto"/>
            <w:vAlign w:val="center"/>
          </w:tcPr>
          <w:p w14:paraId="3CF50F5E">
            <w:pPr>
              <w:widowControl/>
              <w:jc w:val="center"/>
              <w:textAlignment w:val="center"/>
              <w:rPr>
                <w:color w:val="000000"/>
                <w:sz w:val="21"/>
                <w:szCs w:val="21"/>
                <w:highlight w:val="none"/>
              </w:rPr>
            </w:pPr>
            <w:r>
              <w:rPr>
                <w:color w:val="000000"/>
                <w:kern w:val="0"/>
                <w:sz w:val="21"/>
                <w:szCs w:val="21"/>
                <w:highlight w:val="none"/>
                <w:lang w:bidi="ar"/>
              </w:rPr>
              <w:t>DN50，配隔离阀</w:t>
            </w:r>
          </w:p>
        </w:tc>
        <w:tc>
          <w:tcPr>
            <w:tcW w:w="1308" w:type="pct"/>
            <w:tcBorders>
              <w:tl2br w:val="nil"/>
              <w:tr2bl w:val="nil"/>
            </w:tcBorders>
            <w:shd w:val="clear" w:color="auto" w:fill="auto"/>
            <w:vAlign w:val="center"/>
          </w:tcPr>
          <w:p w14:paraId="205B66E3">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阀体铸铁，阀板衬塑</w:t>
            </w:r>
          </w:p>
        </w:tc>
        <w:tc>
          <w:tcPr>
            <w:tcW w:w="283" w:type="pct"/>
            <w:tcBorders>
              <w:tl2br w:val="nil"/>
              <w:tr2bl w:val="nil"/>
            </w:tcBorders>
            <w:shd w:val="clear" w:color="auto" w:fill="auto"/>
            <w:vAlign w:val="center"/>
          </w:tcPr>
          <w:p w14:paraId="6D86CEDB">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台</w:t>
            </w:r>
          </w:p>
        </w:tc>
        <w:tc>
          <w:tcPr>
            <w:tcW w:w="291" w:type="pct"/>
            <w:tcBorders>
              <w:tl2br w:val="nil"/>
              <w:tr2bl w:val="nil"/>
            </w:tcBorders>
            <w:shd w:val="clear" w:color="auto" w:fill="auto"/>
            <w:vAlign w:val="center"/>
          </w:tcPr>
          <w:p w14:paraId="67BA90D5">
            <w:pPr>
              <w:widowControl/>
              <w:jc w:val="center"/>
              <w:textAlignment w:val="center"/>
              <w:rPr>
                <w:color w:val="000000"/>
                <w:sz w:val="21"/>
                <w:szCs w:val="21"/>
                <w:highlight w:val="none"/>
              </w:rPr>
            </w:pPr>
            <w:r>
              <w:rPr>
                <w:color w:val="000000"/>
                <w:kern w:val="0"/>
                <w:sz w:val="21"/>
                <w:szCs w:val="21"/>
                <w:highlight w:val="none"/>
                <w:lang w:bidi="ar"/>
              </w:rPr>
              <w:t>2</w:t>
            </w:r>
          </w:p>
        </w:tc>
        <w:tc>
          <w:tcPr>
            <w:tcW w:w="694" w:type="pct"/>
            <w:tcBorders>
              <w:tl2br w:val="nil"/>
              <w:tr2bl w:val="nil"/>
            </w:tcBorders>
            <w:shd w:val="clear" w:color="auto" w:fill="auto"/>
            <w:vAlign w:val="center"/>
          </w:tcPr>
          <w:p w14:paraId="7B531D28">
            <w:pPr>
              <w:widowControl/>
              <w:jc w:val="center"/>
              <w:textAlignment w:val="center"/>
              <w:rPr>
                <w:color w:val="000000"/>
                <w:kern w:val="0"/>
                <w:sz w:val="21"/>
                <w:szCs w:val="21"/>
                <w:highlight w:val="none"/>
                <w:lang w:bidi="ar"/>
              </w:rPr>
            </w:pPr>
          </w:p>
        </w:tc>
      </w:tr>
      <w:tr w14:paraId="5EB39B6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59" w:type="pct"/>
            <w:tcBorders>
              <w:tl2br w:val="nil"/>
              <w:tr2bl w:val="nil"/>
            </w:tcBorders>
            <w:shd w:val="clear" w:color="auto" w:fill="auto"/>
            <w:vAlign w:val="center"/>
          </w:tcPr>
          <w:p w14:paraId="16AA6641">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6</w:t>
            </w:r>
          </w:p>
        </w:tc>
        <w:tc>
          <w:tcPr>
            <w:tcW w:w="998" w:type="pct"/>
            <w:tcBorders>
              <w:tl2br w:val="nil"/>
              <w:tr2bl w:val="nil"/>
            </w:tcBorders>
            <w:shd w:val="clear" w:color="auto" w:fill="auto"/>
            <w:vAlign w:val="center"/>
          </w:tcPr>
          <w:p w14:paraId="22219B30">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截止阀</w:t>
            </w:r>
          </w:p>
        </w:tc>
        <w:tc>
          <w:tcPr>
            <w:tcW w:w="1063" w:type="pct"/>
            <w:tcBorders>
              <w:tl2br w:val="nil"/>
              <w:tr2bl w:val="nil"/>
            </w:tcBorders>
            <w:shd w:val="clear" w:color="auto" w:fill="auto"/>
            <w:vAlign w:val="center"/>
          </w:tcPr>
          <w:p w14:paraId="7E4B5687">
            <w:pPr>
              <w:widowControl/>
              <w:jc w:val="center"/>
              <w:textAlignment w:val="center"/>
              <w:rPr>
                <w:color w:val="000000"/>
                <w:sz w:val="21"/>
                <w:szCs w:val="21"/>
                <w:highlight w:val="none"/>
              </w:rPr>
            </w:pPr>
            <w:r>
              <w:rPr>
                <w:color w:val="000000"/>
                <w:kern w:val="0"/>
                <w:sz w:val="21"/>
                <w:szCs w:val="21"/>
                <w:highlight w:val="none"/>
                <w:lang w:bidi="ar"/>
              </w:rPr>
              <w:t>DN80 PN25</w:t>
            </w:r>
          </w:p>
        </w:tc>
        <w:tc>
          <w:tcPr>
            <w:tcW w:w="1308" w:type="pct"/>
            <w:tcBorders>
              <w:tl2br w:val="nil"/>
              <w:tr2bl w:val="nil"/>
            </w:tcBorders>
            <w:shd w:val="clear" w:color="auto" w:fill="auto"/>
            <w:vAlign w:val="center"/>
          </w:tcPr>
          <w:p w14:paraId="2B436DEF">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阀体铸铁，阀板衬塑</w:t>
            </w:r>
          </w:p>
        </w:tc>
        <w:tc>
          <w:tcPr>
            <w:tcW w:w="283" w:type="pct"/>
            <w:tcBorders>
              <w:tl2br w:val="nil"/>
              <w:tr2bl w:val="nil"/>
            </w:tcBorders>
            <w:shd w:val="clear" w:color="auto" w:fill="auto"/>
            <w:vAlign w:val="center"/>
          </w:tcPr>
          <w:p w14:paraId="54DD2B16">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台</w:t>
            </w:r>
          </w:p>
        </w:tc>
        <w:tc>
          <w:tcPr>
            <w:tcW w:w="291" w:type="pct"/>
            <w:tcBorders>
              <w:tl2br w:val="nil"/>
              <w:tr2bl w:val="nil"/>
            </w:tcBorders>
            <w:shd w:val="clear" w:color="auto" w:fill="auto"/>
            <w:vAlign w:val="center"/>
          </w:tcPr>
          <w:p w14:paraId="43CACCD9">
            <w:pPr>
              <w:widowControl/>
              <w:jc w:val="center"/>
              <w:textAlignment w:val="center"/>
              <w:rPr>
                <w:color w:val="000000"/>
                <w:sz w:val="21"/>
                <w:szCs w:val="21"/>
                <w:highlight w:val="none"/>
              </w:rPr>
            </w:pPr>
            <w:r>
              <w:rPr>
                <w:color w:val="000000"/>
                <w:kern w:val="0"/>
                <w:sz w:val="21"/>
                <w:szCs w:val="21"/>
                <w:highlight w:val="none"/>
                <w:lang w:bidi="ar"/>
              </w:rPr>
              <w:t>1</w:t>
            </w:r>
          </w:p>
        </w:tc>
        <w:tc>
          <w:tcPr>
            <w:tcW w:w="694" w:type="pct"/>
            <w:tcBorders>
              <w:tl2br w:val="nil"/>
              <w:tr2bl w:val="nil"/>
            </w:tcBorders>
            <w:shd w:val="clear" w:color="auto" w:fill="auto"/>
            <w:vAlign w:val="center"/>
          </w:tcPr>
          <w:p w14:paraId="56218336">
            <w:pPr>
              <w:widowControl/>
              <w:jc w:val="center"/>
              <w:textAlignment w:val="center"/>
              <w:rPr>
                <w:color w:val="000000"/>
                <w:kern w:val="0"/>
                <w:sz w:val="21"/>
                <w:szCs w:val="21"/>
                <w:highlight w:val="none"/>
                <w:lang w:bidi="ar"/>
              </w:rPr>
            </w:pPr>
          </w:p>
        </w:tc>
      </w:tr>
      <w:tr w14:paraId="15D8D2C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59" w:type="pct"/>
            <w:tcBorders>
              <w:tl2br w:val="nil"/>
              <w:tr2bl w:val="nil"/>
            </w:tcBorders>
            <w:shd w:val="clear" w:color="auto" w:fill="auto"/>
            <w:vAlign w:val="center"/>
          </w:tcPr>
          <w:p w14:paraId="2B5E0175">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7</w:t>
            </w:r>
          </w:p>
        </w:tc>
        <w:tc>
          <w:tcPr>
            <w:tcW w:w="998" w:type="pct"/>
            <w:tcBorders>
              <w:tl2br w:val="nil"/>
              <w:tr2bl w:val="nil"/>
            </w:tcBorders>
            <w:shd w:val="clear" w:color="auto" w:fill="auto"/>
            <w:vAlign w:val="center"/>
          </w:tcPr>
          <w:p w14:paraId="506AB813">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止回阀</w:t>
            </w:r>
          </w:p>
        </w:tc>
        <w:tc>
          <w:tcPr>
            <w:tcW w:w="1063" w:type="pct"/>
            <w:tcBorders>
              <w:tl2br w:val="nil"/>
              <w:tr2bl w:val="nil"/>
            </w:tcBorders>
            <w:shd w:val="clear" w:color="auto" w:fill="auto"/>
            <w:vAlign w:val="center"/>
          </w:tcPr>
          <w:p w14:paraId="29249130">
            <w:pPr>
              <w:widowControl/>
              <w:jc w:val="center"/>
              <w:textAlignment w:val="center"/>
              <w:rPr>
                <w:color w:val="000000"/>
                <w:sz w:val="21"/>
                <w:szCs w:val="21"/>
                <w:highlight w:val="none"/>
              </w:rPr>
            </w:pPr>
            <w:r>
              <w:rPr>
                <w:color w:val="000000"/>
                <w:kern w:val="0"/>
                <w:sz w:val="21"/>
                <w:szCs w:val="21"/>
                <w:highlight w:val="none"/>
                <w:lang w:bidi="ar"/>
              </w:rPr>
              <w:t>DN150 PN25</w:t>
            </w:r>
          </w:p>
        </w:tc>
        <w:tc>
          <w:tcPr>
            <w:tcW w:w="1308" w:type="pct"/>
            <w:tcBorders>
              <w:tl2br w:val="nil"/>
              <w:tr2bl w:val="nil"/>
            </w:tcBorders>
            <w:shd w:val="clear" w:color="auto" w:fill="auto"/>
            <w:vAlign w:val="center"/>
          </w:tcPr>
          <w:p w14:paraId="7AE2A192">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阀体铸铁，阀板衬塑</w:t>
            </w:r>
          </w:p>
        </w:tc>
        <w:tc>
          <w:tcPr>
            <w:tcW w:w="283" w:type="pct"/>
            <w:tcBorders>
              <w:tl2br w:val="nil"/>
              <w:tr2bl w:val="nil"/>
            </w:tcBorders>
            <w:shd w:val="clear" w:color="auto" w:fill="auto"/>
            <w:vAlign w:val="center"/>
          </w:tcPr>
          <w:p w14:paraId="635D54A6">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台</w:t>
            </w:r>
          </w:p>
        </w:tc>
        <w:tc>
          <w:tcPr>
            <w:tcW w:w="291" w:type="pct"/>
            <w:tcBorders>
              <w:tl2br w:val="nil"/>
              <w:tr2bl w:val="nil"/>
            </w:tcBorders>
            <w:shd w:val="clear" w:color="auto" w:fill="auto"/>
            <w:vAlign w:val="center"/>
          </w:tcPr>
          <w:p w14:paraId="0E8552D4">
            <w:pPr>
              <w:widowControl/>
              <w:jc w:val="center"/>
              <w:textAlignment w:val="center"/>
              <w:rPr>
                <w:color w:val="000000"/>
                <w:sz w:val="21"/>
                <w:szCs w:val="21"/>
                <w:highlight w:val="none"/>
              </w:rPr>
            </w:pPr>
            <w:r>
              <w:rPr>
                <w:color w:val="000000"/>
                <w:kern w:val="0"/>
                <w:sz w:val="21"/>
                <w:szCs w:val="21"/>
                <w:highlight w:val="none"/>
                <w:lang w:bidi="ar"/>
              </w:rPr>
              <w:t>1</w:t>
            </w:r>
          </w:p>
        </w:tc>
        <w:tc>
          <w:tcPr>
            <w:tcW w:w="694" w:type="pct"/>
            <w:tcBorders>
              <w:tl2br w:val="nil"/>
              <w:tr2bl w:val="nil"/>
            </w:tcBorders>
            <w:shd w:val="clear" w:color="auto" w:fill="auto"/>
            <w:vAlign w:val="center"/>
          </w:tcPr>
          <w:p w14:paraId="2BC73F6C">
            <w:pPr>
              <w:widowControl/>
              <w:jc w:val="center"/>
              <w:textAlignment w:val="center"/>
              <w:rPr>
                <w:color w:val="000000"/>
                <w:kern w:val="0"/>
                <w:sz w:val="21"/>
                <w:szCs w:val="21"/>
                <w:highlight w:val="none"/>
                <w:lang w:bidi="ar"/>
              </w:rPr>
            </w:pPr>
          </w:p>
        </w:tc>
      </w:tr>
      <w:tr w14:paraId="679ADCB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59" w:type="pct"/>
            <w:tcBorders>
              <w:tl2br w:val="nil"/>
              <w:tr2bl w:val="nil"/>
            </w:tcBorders>
            <w:shd w:val="clear" w:color="auto" w:fill="auto"/>
            <w:vAlign w:val="center"/>
          </w:tcPr>
          <w:p w14:paraId="3A19D249">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8</w:t>
            </w:r>
          </w:p>
        </w:tc>
        <w:tc>
          <w:tcPr>
            <w:tcW w:w="998" w:type="pct"/>
            <w:tcBorders>
              <w:tl2br w:val="nil"/>
              <w:tr2bl w:val="nil"/>
            </w:tcBorders>
            <w:shd w:val="clear" w:color="auto" w:fill="auto"/>
            <w:vAlign w:val="center"/>
          </w:tcPr>
          <w:p w14:paraId="0BA51FC0">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止回阀</w:t>
            </w:r>
          </w:p>
        </w:tc>
        <w:tc>
          <w:tcPr>
            <w:tcW w:w="1063" w:type="pct"/>
            <w:tcBorders>
              <w:tl2br w:val="nil"/>
              <w:tr2bl w:val="nil"/>
            </w:tcBorders>
            <w:shd w:val="clear" w:color="auto" w:fill="auto"/>
            <w:vAlign w:val="center"/>
          </w:tcPr>
          <w:p w14:paraId="58BFCB6F">
            <w:pPr>
              <w:widowControl/>
              <w:jc w:val="center"/>
              <w:textAlignment w:val="center"/>
              <w:rPr>
                <w:color w:val="000000"/>
                <w:sz w:val="21"/>
                <w:szCs w:val="21"/>
                <w:highlight w:val="none"/>
              </w:rPr>
            </w:pPr>
            <w:r>
              <w:rPr>
                <w:color w:val="000000"/>
                <w:kern w:val="0"/>
                <w:sz w:val="21"/>
                <w:szCs w:val="21"/>
                <w:highlight w:val="none"/>
                <w:lang w:bidi="ar"/>
              </w:rPr>
              <w:t>DN125 PN25</w:t>
            </w:r>
          </w:p>
        </w:tc>
        <w:tc>
          <w:tcPr>
            <w:tcW w:w="1308" w:type="pct"/>
            <w:tcBorders>
              <w:tl2br w:val="nil"/>
              <w:tr2bl w:val="nil"/>
            </w:tcBorders>
            <w:shd w:val="clear" w:color="auto" w:fill="auto"/>
            <w:vAlign w:val="center"/>
          </w:tcPr>
          <w:p w14:paraId="50EC547D">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阀体铸铁，阀板衬塑</w:t>
            </w:r>
          </w:p>
        </w:tc>
        <w:tc>
          <w:tcPr>
            <w:tcW w:w="283" w:type="pct"/>
            <w:tcBorders>
              <w:tl2br w:val="nil"/>
              <w:tr2bl w:val="nil"/>
            </w:tcBorders>
            <w:shd w:val="clear" w:color="auto" w:fill="auto"/>
            <w:vAlign w:val="center"/>
          </w:tcPr>
          <w:p w14:paraId="15722038">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台</w:t>
            </w:r>
          </w:p>
        </w:tc>
        <w:tc>
          <w:tcPr>
            <w:tcW w:w="291" w:type="pct"/>
            <w:tcBorders>
              <w:tl2br w:val="nil"/>
              <w:tr2bl w:val="nil"/>
            </w:tcBorders>
            <w:shd w:val="clear" w:color="auto" w:fill="auto"/>
            <w:vAlign w:val="center"/>
          </w:tcPr>
          <w:p w14:paraId="564AD1E5">
            <w:pPr>
              <w:widowControl/>
              <w:jc w:val="center"/>
              <w:textAlignment w:val="center"/>
              <w:rPr>
                <w:color w:val="000000"/>
                <w:sz w:val="21"/>
                <w:szCs w:val="21"/>
                <w:highlight w:val="none"/>
              </w:rPr>
            </w:pPr>
            <w:r>
              <w:rPr>
                <w:color w:val="000000"/>
                <w:kern w:val="0"/>
                <w:sz w:val="21"/>
                <w:szCs w:val="21"/>
                <w:highlight w:val="none"/>
                <w:lang w:bidi="ar"/>
              </w:rPr>
              <w:t>1</w:t>
            </w:r>
          </w:p>
        </w:tc>
        <w:tc>
          <w:tcPr>
            <w:tcW w:w="694" w:type="pct"/>
            <w:tcBorders>
              <w:tl2br w:val="nil"/>
              <w:tr2bl w:val="nil"/>
            </w:tcBorders>
            <w:shd w:val="clear" w:color="auto" w:fill="auto"/>
            <w:vAlign w:val="center"/>
          </w:tcPr>
          <w:p w14:paraId="0F6317F5">
            <w:pPr>
              <w:widowControl/>
              <w:jc w:val="center"/>
              <w:textAlignment w:val="center"/>
              <w:rPr>
                <w:color w:val="000000"/>
                <w:kern w:val="0"/>
                <w:sz w:val="21"/>
                <w:szCs w:val="21"/>
                <w:highlight w:val="none"/>
                <w:lang w:bidi="ar"/>
              </w:rPr>
            </w:pPr>
          </w:p>
        </w:tc>
      </w:tr>
      <w:tr w14:paraId="3A42041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59" w:type="pct"/>
            <w:tcBorders>
              <w:tl2br w:val="nil"/>
              <w:tr2bl w:val="nil"/>
            </w:tcBorders>
            <w:shd w:val="clear" w:color="auto" w:fill="auto"/>
            <w:vAlign w:val="center"/>
          </w:tcPr>
          <w:p w14:paraId="3B11E944">
            <w:pPr>
              <w:widowControl/>
              <w:jc w:val="center"/>
              <w:textAlignment w:val="center"/>
              <w:rPr>
                <w:rFonts w:ascii="宋体" w:hAnsi="宋体" w:cs="宋体"/>
                <w:color w:val="000000"/>
                <w:kern w:val="0"/>
                <w:sz w:val="21"/>
                <w:szCs w:val="21"/>
                <w:highlight w:val="none"/>
                <w:lang w:bidi="ar"/>
              </w:rPr>
            </w:pPr>
            <w:r>
              <w:rPr>
                <w:rFonts w:hint="eastAsia" w:ascii="宋体" w:hAnsi="宋体" w:cs="宋体"/>
                <w:color w:val="000000"/>
                <w:kern w:val="0"/>
                <w:sz w:val="21"/>
                <w:szCs w:val="21"/>
                <w:highlight w:val="none"/>
                <w:lang w:bidi="ar"/>
              </w:rPr>
              <w:t>9</w:t>
            </w:r>
          </w:p>
        </w:tc>
        <w:tc>
          <w:tcPr>
            <w:tcW w:w="998" w:type="pct"/>
            <w:tcBorders>
              <w:tl2br w:val="nil"/>
              <w:tr2bl w:val="nil"/>
            </w:tcBorders>
            <w:shd w:val="clear" w:color="auto" w:fill="auto"/>
            <w:vAlign w:val="center"/>
          </w:tcPr>
          <w:p w14:paraId="392EA38E">
            <w:pPr>
              <w:widowControl/>
              <w:jc w:val="center"/>
              <w:textAlignment w:val="center"/>
              <w:rPr>
                <w:rFonts w:ascii="宋体" w:hAnsi="宋体" w:cs="宋体"/>
                <w:color w:val="000000"/>
                <w:kern w:val="0"/>
                <w:sz w:val="21"/>
                <w:szCs w:val="21"/>
                <w:highlight w:val="none"/>
                <w:lang w:bidi="ar"/>
              </w:rPr>
            </w:pPr>
            <w:r>
              <w:rPr>
                <w:rFonts w:hint="eastAsia" w:ascii="宋体" w:hAnsi="宋体" w:cs="宋体"/>
                <w:color w:val="000000"/>
                <w:kern w:val="0"/>
                <w:sz w:val="21"/>
                <w:szCs w:val="21"/>
                <w:highlight w:val="none"/>
                <w:lang w:bidi="ar"/>
              </w:rPr>
              <w:t>泄压阀</w:t>
            </w:r>
          </w:p>
        </w:tc>
        <w:tc>
          <w:tcPr>
            <w:tcW w:w="1063" w:type="pct"/>
            <w:tcBorders>
              <w:tl2br w:val="nil"/>
              <w:tr2bl w:val="nil"/>
            </w:tcBorders>
            <w:shd w:val="clear" w:color="auto" w:fill="auto"/>
            <w:vAlign w:val="center"/>
          </w:tcPr>
          <w:p w14:paraId="4D454DDC">
            <w:pPr>
              <w:widowControl/>
              <w:jc w:val="center"/>
              <w:textAlignment w:val="center"/>
              <w:rPr>
                <w:color w:val="000000"/>
                <w:kern w:val="0"/>
                <w:sz w:val="21"/>
                <w:szCs w:val="21"/>
                <w:highlight w:val="none"/>
                <w:lang w:bidi="ar"/>
              </w:rPr>
            </w:pPr>
            <w:r>
              <w:rPr>
                <w:color w:val="000000"/>
                <w:kern w:val="0"/>
                <w:sz w:val="21"/>
                <w:szCs w:val="21"/>
                <w:highlight w:val="none"/>
                <w:lang w:bidi="ar"/>
              </w:rPr>
              <w:t>DN80</w:t>
            </w:r>
          </w:p>
        </w:tc>
        <w:tc>
          <w:tcPr>
            <w:tcW w:w="1308" w:type="pct"/>
            <w:tcBorders>
              <w:tl2br w:val="nil"/>
              <w:tr2bl w:val="nil"/>
            </w:tcBorders>
            <w:shd w:val="clear" w:color="auto" w:fill="auto"/>
            <w:vAlign w:val="center"/>
          </w:tcPr>
          <w:p w14:paraId="76C8D180">
            <w:pPr>
              <w:widowControl/>
              <w:jc w:val="center"/>
              <w:textAlignment w:val="center"/>
              <w:rPr>
                <w:rFonts w:ascii="宋体" w:hAnsi="宋体" w:cs="宋体"/>
                <w:color w:val="000000"/>
                <w:kern w:val="0"/>
                <w:sz w:val="21"/>
                <w:szCs w:val="21"/>
                <w:highlight w:val="none"/>
                <w:lang w:bidi="ar"/>
              </w:rPr>
            </w:pPr>
            <w:r>
              <w:rPr>
                <w:rFonts w:hint="eastAsia" w:ascii="宋体" w:hAnsi="宋体" w:cs="宋体"/>
                <w:color w:val="000000"/>
                <w:kern w:val="0"/>
                <w:sz w:val="21"/>
                <w:szCs w:val="21"/>
                <w:highlight w:val="none"/>
                <w:lang w:bidi="ar"/>
              </w:rPr>
              <w:t>304</w:t>
            </w:r>
          </w:p>
        </w:tc>
        <w:tc>
          <w:tcPr>
            <w:tcW w:w="283" w:type="pct"/>
            <w:tcBorders>
              <w:tl2br w:val="nil"/>
              <w:tr2bl w:val="nil"/>
            </w:tcBorders>
            <w:shd w:val="clear" w:color="auto" w:fill="auto"/>
            <w:vAlign w:val="center"/>
          </w:tcPr>
          <w:p w14:paraId="111A20E0">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台</w:t>
            </w:r>
          </w:p>
        </w:tc>
        <w:tc>
          <w:tcPr>
            <w:tcW w:w="291" w:type="pct"/>
            <w:tcBorders>
              <w:tl2br w:val="nil"/>
              <w:tr2bl w:val="nil"/>
            </w:tcBorders>
            <w:shd w:val="clear" w:color="auto" w:fill="auto"/>
            <w:vAlign w:val="center"/>
          </w:tcPr>
          <w:p w14:paraId="326BF124">
            <w:pPr>
              <w:widowControl/>
              <w:jc w:val="center"/>
              <w:textAlignment w:val="center"/>
              <w:rPr>
                <w:color w:val="000000"/>
                <w:sz w:val="21"/>
                <w:szCs w:val="21"/>
                <w:highlight w:val="none"/>
              </w:rPr>
            </w:pPr>
            <w:r>
              <w:rPr>
                <w:color w:val="000000"/>
                <w:kern w:val="0"/>
                <w:sz w:val="21"/>
                <w:szCs w:val="21"/>
                <w:highlight w:val="none"/>
                <w:lang w:bidi="ar"/>
              </w:rPr>
              <w:t>1</w:t>
            </w:r>
          </w:p>
        </w:tc>
        <w:tc>
          <w:tcPr>
            <w:tcW w:w="694" w:type="pct"/>
            <w:tcBorders>
              <w:tl2br w:val="nil"/>
              <w:tr2bl w:val="nil"/>
            </w:tcBorders>
            <w:shd w:val="clear" w:color="auto" w:fill="auto"/>
            <w:vAlign w:val="center"/>
          </w:tcPr>
          <w:p w14:paraId="720EBBA8">
            <w:pPr>
              <w:widowControl/>
              <w:jc w:val="center"/>
              <w:textAlignment w:val="center"/>
              <w:rPr>
                <w:color w:val="000000"/>
                <w:kern w:val="0"/>
                <w:sz w:val="21"/>
                <w:szCs w:val="21"/>
                <w:highlight w:val="none"/>
                <w:lang w:bidi="ar"/>
              </w:rPr>
            </w:pPr>
            <w:r>
              <w:rPr>
                <w:rFonts w:hint="eastAsia"/>
                <w:color w:val="000000"/>
                <w:kern w:val="0"/>
                <w:sz w:val="21"/>
                <w:szCs w:val="21"/>
                <w:highlight w:val="none"/>
                <w:lang w:bidi="ar"/>
              </w:rPr>
              <w:t>保护阈值0.2MPa</w:t>
            </w:r>
          </w:p>
        </w:tc>
      </w:tr>
      <w:tr w14:paraId="1E70EF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59" w:type="pct"/>
            <w:tcBorders>
              <w:tl2br w:val="nil"/>
              <w:tr2bl w:val="nil"/>
            </w:tcBorders>
            <w:shd w:val="clear" w:color="auto" w:fill="auto"/>
            <w:vAlign w:val="center"/>
          </w:tcPr>
          <w:p w14:paraId="11A46531">
            <w:pPr>
              <w:jc w:val="center"/>
              <w:rPr>
                <w:rFonts w:ascii="宋体" w:hAnsi="宋体" w:cs="宋体"/>
                <w:color w:val="000000"/>
                <w:sz w:val="21"/>
                <w:szCs w:val="21"/>
                <w:highlight w:val="none"/>
              </w:rPr>
            </w:pPr>
          </w:p>
        </w:tc>
        <w:tc>
          <w:tcPr>
            <w:tcW w:w="998" w:type="pct"/>
            <w:tcBorders>
              <w:tl2br w:val="nil"/>
              <w:tr2bl w:val="nil"/>
            </w:tcBorders>
            <w:shd w:val="clear" w:color="auto" w:fill="auto"/>
            <w:vAlign w:val="center"/>
          </w:tcPr>
          <w:p w14:paraId="6ACAB30F">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反渗透手动阀</w:t>
            </w:r>
          </w:p>
        </w:tc>
        <w:tc>
          <w:tcPr>
            <w:tcW w:w="1063" w:type="pct"/>
            <w:tcBorders>
              <w:tl2br w:val="nil"/>
              <w:tr2bl w:val="nil"/>
            </w:tcBorders>
            <w:shd w:val="clear" w:color="auto" w:fill="auto"/>
            <w:vAlign w:val="center"/>
          </w:tcPr>
          <w:p w14:paraId="7D44315E">
            <w:pPr>
              <w:jc w:val="center"/>
              <w:rPr>
                <w:color w:val="000000"/>
                <w:sz w:val="21"/>
                <w:szCs w:val="21"/>
                <w:highlight w:val="none"/>
              </w:rPr>
            </w:pPr>
          </w:p>
        </w:tc>
        <w:tc>
          <w:tcPr>
            <w:tcW w:w="1308" w:type="pct"/>
            <w:tcBorders>
              <w:tl2br w:val="nil"/>
              <w:tr2bl w:val="nil"/>
            </w:tcBorders>
            <w:shd w:val="clear" w:color="auto" w:fill="auto"/>
            <w:vAlign w:val="center"/>
          </w:tcPr>
          <w:p w14:paraId="3C26EB25">
            <w:pPr>
              <w:jc w:val="center"/>
              <w:rPr>
                <w:rFonts w:ascii="宋体" w:hAnsi="宋体" w:cs="宋体"/>
                <w:color w:val="000000"/>
                <w:sz w:val="21"/>
                <w:szCs w:val="21"/>
                <w:highlight w:val="none"/>
              </w:rPr>
            </w:pPr>
          </w:p>
        </w:tc>
        <w:tc>
          <w:tcPr>
            <w:tcW w:w="283" w:type="pct"/>
            <w:tcBorders>
              <w:tl2br w:val="nil"/>
              <w:tr2bl w:val="nil"/>
            </w:tcBorders>
            <w:shd w:val="clear" w:color="auto" w:fill="auto"/>
            <w:vAlign w:val="center"/>
          </w:tcPr>
          <w:p w14:paraId="3C17B7FE">
            <w:pPr>
              <w:jc w:val="center"/>
              <w:rPr>
                <w:color w:val="000000"/>
                <w:sz w:val="21"/>
                <w:szCs w:val="21"/>
                <w:highlight w:val="none"/>
              </w:rPr>
            </w:pPr>
          </w:p>
        </w:tc>
        <w:tc>
          <w:tcPr>
            <w:tcW w:w="291" w:type="pct"/>
            <w:tcBorders>
              <w:tl2br w:val="nil"/>
              <w:tr2bl w:val="nil"/>
            </w:tcBorders>
            <w:shd w:val="clear" w:color="auto" w:fill="auto"/>
            <w:vAlign w:val="center"/>
          </w:tcPr>
          <w:p w14:paraId="74FA6509">
            <w:pPr>
              <w:jc w:val="center"/>
              <w:rPr>
                <w:color w:val="000000"/>
                <w:sz w:val="21"/>
                <w:szCs w:val="21"/>
                <w:highlight w:val="none"/>
              </w:rPr>
            </w:pPr>
          </w:p>
        </w:tc>
        <w:tc>
          <w:tcPr>
            <w:tcW w:w="694" w:type="pct"/>
            <w:tcBorders>
              <w:tl2br w:val="nil"/>
              <w:tr2bl w:val="nil"/>
            </w:tcBorders>
            <w:shd w:val="clear" w:color="auto" w:fill="auto"/>
            <w:vAlign w:val="center"/>
          </w:tcPr>
          <w:p w14:paraId="4502FB56">
            <w:pPr>
              <w:jc w:val="center"/>
              <w:rPr>
                <w:color w:val="000000"/>
                <w:sz w:val="21"/>
                <w:szCs w:val="21"/>
                <w:highlight w:val="none"/>
              </w:rPr>
            </w:pPr>
          </w:p>
        </w:tc>
      </w:tr>
      <w:tr w14:paraId="03191A6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59" w:type="pct"/>
            <w:tcBorders>
              <w:tl2br w:val="nil"/>
              <w:tr2bl w:val="nil"/>
            </w:tcBorders>
            <w:shd w:val="clear" w:color="auto" w:fill="auto"/>
            <w:vAlign w:val="center"/>
          </w:tcPr>
          <w:p w14:paraId="6DAD6CD5">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1</w:t>
            </w:r>
          </w:p>
        </w:tc>
        <w:tc>
          <w:tcPr>
            <w:tcW w:w="998" w:type="pct"/>
            <w:tcBorders>
              <w:tl2br w:val="nil"/>
              <w:tr2bl w:val="nil"/>
            </w:tcBorders>
            <w:shd w:val="clear" w:color="auto" w:fill="auto"/>
            <w:vAlign w:val="center"/>
          </w:tcPr>
          <w:p w14:paraId="313518E6">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手动蝶阀</w:t>
            </w:r>
          </w:p>
        </w:tc>
        <w:tc>
          <w:tcPr>
            <w:tcW w:w="1063" w:type="pct"/>
            <w:tcBorders>
              <w:tl2br w:val="nil"/>
              <w:tr2bl w:val="nil"/>
            </w:tcBorders>
            <w:shd w:val="clear" w:color="auto" w:fill="auto"/>
            <w:vAlign w:val="center"/>
          </w:tcPr>
          <w:p w14:paraId="5D08EA39">
            <w:pPr>
              <w:widowControl/>
              <w:jc w:val="center"/>
              <w:textAlignment w:val="center"/>
              <w:rPr>
                <w:color w:val="000000"/>
                <w:sz w:val="21"/>
                <w:szCs w:val="21"/>
                <w:highlight w:val="none"/>
              </w:rPr>
            </w:pPr>
            <w:r>
              <w:rPr>
                <w:color w:val="000000"/>
                <w:kern w:val="0"/>
                <w:sz w:val="21"/>
                <w:szCs w:val="21"/>
                <w:highlight w:val="none"/>
                <w:lang w:bidi="ar"/>
              </w:rPr>
              <w:t>DN150 PN25</w:t>
            </w:r>
          </w:p>
        </w:tc>
        <w:tc>
          <w:tcPr>
            <w:tcW w:w="1308" w:type="pct"/>
            <w:tcBorders>
              <w:tl2br w:val="nil"/>
              <w:tr2bl w:val="nil"/>
            </w:tcBorders>
            <w:shd w:val="clear" w:color="auto" w:fill="auto"/>
            <w:vAlign w:val="center"/>
          </w:tcPr>
          <w:p w14:paraId="3A0E6F2A">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阀体铸铁，阀板衬塑</w:t>
            </w:r>
          </w:p>
        </w:tc>
        <w:tc>
          <w:tcPr>
            <w:tcW w:w="283" w:type="pct"/>
            <w:tcBorders>
              <w:tl2br w:val="nil"/>
              <w:tr2bl w:val="nil"/>
            </w:tcBorders>
            <w:shd w:val="clear" w:color="auto" w:fill="auto"/>
            <w:vAlign w:val="center"/>
          </w:tcPr>
          <w:p w14:paraId="56CB6BA8">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台</w:t>
            </w:r>
          </w:p>
        </w:tc>
        <w:tc>
          <w:tcPr>
            <w:tcW w:w="291" w:type="pct"/>
            <w:tcBorders>
              <w:tl2br w:val="nil"/>
              <w:tr2bl w:val="nil"/>
            </w:tcBorders>
            <w:shd w:val="clear" w:color="auto" w:fill="auto"/>
            <w:vAlign w:val="center"/>
          </w:tcPr>
          <w:p w14:paraId="54EDFE39">
            <w:pPr>
              <w:widowControl/>
              <w:jc w:val="center"/>
              <w:textAlignment w:val="center"/>
              <w:rPr>
                <w:color w:val="000000"/>
                <w:sz w:val="21"/>
                <w:szCs w:val="21"/>
                <w:highlight w:val="none"/>
              </w:rPr>
            </w:pPr>
            <w:r>
              <w:rPr>
                <w:color w:val="000000"/>
                <w:kern w:val="0"/>
                <w:sz w:val="21"/>
                <w:szCs w:val="21"/>
                <w:highlight w:val="none"/>
                <w:lang w:bidi="ar"/>
              </w:rPr>
              <w:t>2</w:t>
            </w:r>
          </w:p>
        </w:tc>
        <w:tc>
          <w:tcPr>
            <w:tcW w:w="694" w:type="pct"/>
            <w:tcBorders>
              <w:tl2br w:val="nil"/>
              <w:tr2bl w:val="nil"/>
            </w:tcBorders>
            <w:shd w:val="clear" w:color="auto" w:fill="auto"/>
            <w:vAlign w:val="center"/>
          </w:tcPr>
          <w:p w14:paraId="493EA3A7">
            <w:pPr>
              <w:widowControl/>
              <w:jc w:val="center"/>
              <w:textAlignment w:val="center"/>
              <w:rPr>
                <w:color w:val="000000"/>
                <w:kern w:val="0"/>
                <w:sz w:val="21"/>
                <w:szCs w:val="21"/>
                <w:highlight w:val="none"/>
                <w:lang w:bidi="ar"/>
              </w:rPr>
            </w:pPr>
          </w:p>
        </w:tc>
      </w:tr>
      <w:tr w14:paraId="4EA25EE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59" w:type="pct"/>
            <w:tcBorders>
              <w:tl2br w:val="nil"/>
              <w:tr2bl w:val="nil"/>
            </w:tcBorders>
            <w:shd w:val="clear" w:color="auto" w:fill="auto"/>
            <w:vAlign w:val="center"/>
          </w:tcPr>
          <w:p w14:paraId="7517C2DA">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2</w:t>
            </w:r>
          </w:p>
        </w:tc>
        <w:tc>
          <w:tcPr>
            <w:tcW w:w="998" w:type="pct"/>
            <w:tcBorders>
              <w:tl2br w:val="nil"/>
              <w:tr2bl w:val="nil"/>
            </w:tcBorders>
            <w:shd w:val="clear" w:color="auto" w:fill="auto"/>
            <w:vAlign w:val="center"/>
          </w:tcPr>
          <w:p w14:paraId="2B9B1DAF">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手动蝶阀</w:t>
            </w:r>
          </w:p>
        </w:tc>
        <w:tc>
          <w:tcPr>
            <w:tcW w:w="1063" w:type="pct"/>
            <w:tcBorders>
              <w:tl2br w:val="nil"/>
              <w:tr2bl w:val="nil"/>
            </w:tcBorders>
            <w:shd w:val="clear" w:color="auto" w:fill="auto"/>
            <w:vAlign w:val="center"/>
          </w:tcPr>
          <w:p w14:paraId="78CE901F">
            <w:pPr>
              <w:widowControl/>
              <w:jc w:val="center"/>
              <w:textAlignment w:val="center"/>
              <w:rPr>
                <w:color w:val="000000"/>
                <w:sz w:val="21"/>
                <w:szCs w:val="21"/>
                <w:highlight w:val="none"/>
              </w:rPr>
            </w:pPr>
            <w:r>
              <w:rPr>
                <w:color w:val="000000"/>
                <w:kern w:val="0"/>
                <w:sz w:val="21"/>
                <w:szCs w:val="21"/>
                <w:highlight w:val="none"/>
                <w:lang w:bidi="ar"/>
              </w:rPr>
              <w:t>DN80 PN10</w:t>
            </w:r>
          </w:p>
        </w:tc>
        <w:tc>
          <w:tcPr>
            <w:tcW w:w="1308" w:type="pct"/>
            <w:tcBorders>
              <w:tl2br w:val="nil"/>
              <w:tr2bl w:val="nil"/>
            </w:tcBorders>
            <w:shd w:val="clear" w:color="auto" w:fill="auto"/>
            <w:vAlign w:val="center"/>
          </w:tcPr>
          <w:p w14:paraId="277BF564">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阀体铸铁，阀板衬塑</w:t>
            </w:r>
          </w:p>
        </w:tc>
        <w:tc>
          <w:tcPr>
            <w:tcW w:w="283" w:type="pct"/>
            <w:tcBorders>
              <w:tl2br w:val="nil"/>
              <w:tr2bl w:val="nil"/>
            </w:tcBorders>
            <w:shd w:val="clear" w:color="auto" w:fill="auto"/>
            <w:vAlign w:val="center"/>
          </w:tcPr>
          <w:p w14:paraId="5981C82E">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台</w:t>
            </w:r>
          </w:p>
        </w:tc>
        <w:tc>
          <w:tcPr>
            <w:tcW w:w="291" w:type="pct"/>
            <w:tcBorders>
              <w:tl2br w:val="nil"/>
              <w:tr2bl w:val="nil"/>
            </w:tcBorders>
            <w:shd w:val="clear" w:color="auto" w:fill="auto"/>
            <w:vAlign w:val="center"/>
          </w:tcPr>
          <w:p w14:paraId="62E97828">
            <w:pPr>
              <w:widowControl/>
              <w:jc w:val="center"/>
              <w:textAlignment w:val="center"/>
              <w:rPr>
                <w:color w:val="000000"/>
                <w:sz w:val="21"/>
                <w:szCs w:val="21"/>
                <w:highlight w:val="none"/>
              </w:rPr>
            </w:pPr>
            <w:r>
              <w:rPr>
                <w:color w:val="000000"/>
                <w:kern w:val="0"/>
                <w:sz w:val="21"/>
                <w:szCs w:val="21"/>
                <w:highlight w:val="none"/>
                <w:lang w:bidi="ar"/>
              </w:rPr>
              <w:t>1</w:t>
            </w:r>
          </w:p>
        </w:tc>
        <w:tc>
          <w:tcPr>
            <w:tcW w:w="694" w:type="pct"/>
            <w:tcBorders>
              <w:tl2br w:val="nil"/>
              <w:tr2bl w:val="nil"/>
            </w:tcBorders>
            <w:shd w:val="clear" w:color="auto" w:fill="auto"/>
            <w:vAlign w:val="center"/>
          </w:tcPr>
          <w:p w14:paraId="31B38281">
            <w:pPr>
              <w:widowControl/>
              <w:jc w:val="center"/>
              <w:textAlignment w:val="center"/>
              <w:rPr>
                <w:color w:val="000000"/>
                <w:kern w:val="0"/>
                <w:sz w:val="21"/>
                <w:szCs w:val="21"/>
                <w:highlight w:val="none"/>
                <w:lang w:bidi="ar"/>
              </w:rPr>
            </w:pPr>
          </w:p>
        </w:tc>
      </w:tr>
      <w:tr w14:paraId="2590E61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59" w:type="pct"/>
            <w:tcBorders>
              <w:tl2br w:val="nil"/>
              <w:tr2bl w:val="nil"/>
            </w:tcBorders>
            <w:shd w:val="clear" w:color="auto" w:fill="auto"/>
            <w:vAlign w:val="center"/>
          </w:tcPr>
          <w:p w14:paraId="461F0401">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3</w:t>
            </w:r>
          </w:p>
        </w:tc>
        <w:tc>
          <w:tcPr>
            <w:tcW w:w="998" w:type="pct"/>
            <w:tcBorders>
              <w:tl2br w:val="nil"/>
              <w:tr2bl w:val="nil"/>
            </w:tcBorders>
            <w:shd w:val="clear" w:color="auto" w:fill="auto"/>
            <w:vAlign w:val="center"/>
          </w:tcPr>
          <w:p w14:paraId="2EE97687">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手动蝶阀</w:t>
            </w:r>
          </w:p>
        </w:tc>
        <w:tc>
          <w:tcPr>
            <w:tcW w:w="1063" w:type="pct"/>
            <w:tcBorders>
              <w:tl2br w:val="nil"/>
              <w:tr2bl w:val="nil"/>
            </w:tcBorders>
            <w:shd w:val="clear" w:color="auto" w:fill="auto"/>
            <w:vAlign w:val="center"/>
          </w:tcPr>
          <w:p w14:paraId="4D74DC8E">
            <w:pPr>
              <w:widowControl/>
              <w:jc w:val="center"/>
              <w:textAlignment w:val="center"/>
              <w:rPr>
                <w:color w:val="000000"/>
                <w:sz w:val="21"/>
                <w:szCs w:val="21"/>
                <w:highlight w:val="none"/>
              </w:rPr>
            </w:pPr>
            <w:r>
              <w:rPr>
                <w:color w:val="000000"/>
                <w:kern w:val="0"/>
                <w:sz w:val="21"/>
                <w:szCs w:val="21"/>
                <w:highlight w:val="none"/>
                <w:lang w:bidi="ar"/>
              </w:rPr>
              <w:t>DN150 PN10</w:t>
            </w:r>
          </w:p>
        </w:tc>
        <w:tc>
          <w:tcPr>
            <w:tcW w:w="1308" w:type="pct"/>
            <w:tcBorders>
              <w:tl2br w:val="nil"/>
              <w:tr2bl w:val="nil"/>
            </w:tcBorders>
            <w:shd w:val="clear" w:color="auto" w:fill="auto"/>
            <w:vAlign w:val="center"/>
          </w:tcPr>
          <w:p w14:paraId="173E0051">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阀体铸铁，阀板衬塑</w:t>
            </w:r>
          </w:p>
        </w:tc>
        <w:tc>
          <w:tcPr>
            <w:tcW w:w="283" w:type="pct"/>
            <w:tcBorders>
              <w:tl2br w:val="nil"/>
              <w:tr2bl w:val="nil"/>
            </w:tcBorders>
            <w:shd w:val="clear" w:color="auto" w:fill="auto"/>
            <w:vAlign w:val="center"/>
          </w:tcPr>
          <w:p w14:paraId="409ED6E7">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台</w:t>
            </w:r>
          </w:p>
        </w:tc>
        <w:tc>
          <w:tcPr>
            <w:tcW w:w="291" w:type="pct"/>
            <w:tcBorders>
              <w:tl2br w:val="nil"/>
              <w:tr2bl w:val="nil"/>
            </w:tcBorders>
            <w:shd w:val="clear" w:color="auto" w:fill="auto"/>
            <w:vAlign w:val="center"/>
          </w:tcPr>
          <w:p w14:paraId="28A72D97">
            <w:pPr>
              <w:widowControl/>
              <w:jc w:val="center"/>
              <w:textAlignment w:val="center"/>
              <w:rPr>
                <w:color w:val="000000"/>
                <w:sz w:val="21"/>
                <w:szCs w:val="21"/>
                <w:highlight w:val="none"/>
              </w:rPr>
            </w:pPr>
            <w:r>
              <w:rPr>
                <w:color w:val="000000"/>
                <w:kern w:val="0"/>
                <w:sz w:val="21"/>
                <w:szCs w:val="21"/>
                <w:highlight w:val="none"/>
                <w:lang w:bidi="ar"/>
              </w:rPr>
              <w:t>1</w:t>
            </w:r>
          </w:p>
        </w:tc>
        <w:tc>
          <w:tcPr>
            <w:tcW w:w="694" w:type="pct"/>
            <w:tcBorders>
              <w:tl2br w:val="nil"/>
              <w:tr2bl w:val="nil"/>
            </w:tcBorders>
            <w:shd w:val="clear" w:color="auto" w:fill="auto"/>
            <w:vAlign w:val="center"/>
          </w:tcPr>
          <w:p w14:paraId="308CD33F">
            <w:pPr>
              <w:widowControl/>
              <w:jc w:val="center"/>
              <w:textAlignment w:val="center"/>
              <w:rPr>
                <w:color w:val="000000"/>
                <w:kern w:val="0"/>
                <w:sz w:val="21"/>
                <w:szCs w:val="21"/>
                <w:highlight w:val="none"/>
                <w:lang w:bidi="ar"/>
              </w:rPr>
            </w:pPr>
          </w:p>
        </w:tc>
      </w:tr>
      <w:tr w14:paraId="299297B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59" w:type="pct"/>
            <w:tcBorders>
              <w:tl2br w:val="nil"/>
              <w:tr2bl w:val="nil"/>
            </w:tcBorders>
            <w:shd w:val="clear" w:color="auto" w:fill="auto"/>
            <w:vAlign w:val="center"/>
          </w:tcPr>
          <w:p w14:paraId="42D8B24A">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4</w:t>
            </w:r>
          </w:p>
        </w:tc>
        <w:tc>
          <w:tcPr>
            <w:tcW w:w="998" w:type="pct"/>
            <w:tcBorders>
              <w:tl2br w:val="nil"/>
              <w:tr2bl w:val="nil"/>
            </w:tcBorders>
            <w:shd w:val="clear" w:color="auto" w:fill="auto"/>
            <w:vAlign w:val="center"/>
          </w:tcPr>
          <w:p w14:paraId="0E3C8CDD">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手动蝶阀</w:t>
            </w:r>
          </w:p>
        </w:tc>
        <w:tc>
          <w:tcPr>
            <w:tcW w:w="1063" w:type="pct"/>
            <w:tcBorders>
              <w:tl2br w:val="nil"/>
              <w:tr2bl w:val="nil"/>
            </w:tcBorders>
            <w:shd w:val="clear" w:color="auto" w:fill="auto"/>
            <w:vAlign w:val="center"/>
          </w:tcPr>
          <w:p w14:paraId="43F4B4CE">
            <w:pPr>
              <w:widowControl/>
              <w:jc w:val="center"/>
              <w:textAlignment w:val="center"/>
              <w:rPr>
                <w:color w:val="000000"/>
                <w:sz w:val="21"/>
                <w:szCs w:val="21"/>
                <w:highlight w:val="none"/>
              </w:rPr>
            </w:pPr>
            <w:r>
              <w:rPr>
                <w:color w:val="000000"/>
                <w:kern w:val="0"/>
                <w:sz w:val="21"/>
                <w:szCs w:val="21"/>
                <w:highlight w:val="none"/>
                <w:lang w:bidi="ar"/>
              </w:rPr>
              <w:t>DN100 PN25</w:t>
            </w:r>
          </w:p>
        </w:tc>
        <w:tc>
          <w:tcPr>
            <w:tcW w:w="1308" w:type="pct"/>
            <w:tcBorders>
              <w:tl2br w:val="nil"/>
              <w:tr2bl w:val="nil"/>
            </w:tcBorders>
            <w:shd w:val="clear" w:color="auto" w:fill="auto"/>
            <w:vAlign w:val="center"/>
          </w:tcPr>
          <w:p w14:paraId="1DC9175C">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阀体铸铁，阀板衬塑</w:t>
            </w:r>
          </w:p>
        </w:tc>
        <w:tc>
          <w:tcPr>
            <w:tcW w:w="283" w:type="pct"/>
            <w:tcBorders>
              <w:tl2br w:val="nil"/>
              <w:tr2bl w:val="nil"/>
            </w:tcBorders>
            <w:shd w:val="clear" w:color="auto" w:fill="auto"/>
            <w:vAlign w:val="center"/>
          </w:tcPr>
          <w:p w14:paraId="4691D3B4">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台</w:t>
            </w:r>
          </w:p>
        </w:tc>
        <w:tc>
          <w:tcPr>
            <w:tcW w:w="291" w:type="pct"/>
            <w:tcBorders>
              <w:tl2br w:val="nil"/>
              <w:tr2bl w:val="nil"/>
            </w:tcBorders>
            <w:shd w:val="clear" w:color="auto" w:fill="auto"/>
            <w:vAlign w:val="center"/>
          </w:tcPr>
          <w:p w14:paraId="63736B78">
            <w:pPr>
              <w:widowControl/>
              <w:jc w:val="center"/>
              <w:textAlignment w:val="center"/>
              <w:rPr>
                <w:color w:val="000000"/>
                <w:sz w:val="21"/>
                <w:szCs w:val="21"/>
                <w:highlight w:val="none"/>
              </w:rPr>
            </w:pPr>
            <w:r>
              <w:rPr>
                <w:color w:val="000000"/>
                <w:kern w:val="0"/>
                <w:sz w:val="21"/>
                <w:szCs w:val="21"/>
                <w:highlight w:val="none"/>
                <w:lang w:bidi="ar"/>
              </w:rPr>
              <w:t>1</w:t>
            </w:r>
          </w:p>
        </w:tc>
        <w:tc>
          <w:tcPr>
            <w:tcW w:w="694" w:type="pct"/>
            <w:tcBorders>
              <w:tl2br w:val="nil"/>
              <w:tr2bl w:val="nil"/>
            </w:tcBorders>
            <w:shd w:val="clear" w:color="auto" w:fill="auto"/>
            <w:vAlign w:val="center"/>
          </w:tcPr>
          <w:p w14:paraId="5DEEB495">
            <w:pPr>
              <w:widowControl/>
              <w:jc w:val="center"/>
              <w:textAlignment w:val="center"/>
              <w:rPr>
                <w:color w:val="000000"/>
                <w:kern w:val="0"/>
                <w:sz w:val="21"/>
                <w:szCs w:val="21"/>
                <w:highlight w:val="none"/>
                <w:lang w:bidi="ar"/>
              </w:rPr>
            </w:pPr>
          </w:p>
        </w:tc>
      </w:tr>
      <w:tr w14:paraId="6DC9EDE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59" w:type="pct"/>
            <w:tcBorders>
              <w:tl2br w:val="nil"/>
              <w:tr2bl w:val="nil"/>
            </w:tcBorders>
            <w:shd w:val="clear" w:color="auto" w:fill="auto"/>
            <w:vAlign w:val="center"/>
          </w:tcPr>
          <w:p w14:paraId="77D3FECE">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5</w:t>
            </w:r>
          </w:p>
        </w:tc>
        <w:tc>
          <w:tcPr>
            <w:tcW w:w="998" w:type="pct"/>
            <w:tcBorders>
              <w:tl2br w:val="nil"/>
              <w:tr2bl w:val="nil"/>
            </w:tcBorders>
            <w:shd w:val="clear" w:color="auto" w:fill="auto"/>
            <w:vAlign w:val="center"/>
          </w:tcPr>
          <w:p w14:paraId="1AE31A2D">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手动蝶阀</w:t>
            </w:r>
          </w:p>
        </w:tc>
        <w:tc>
          <w:tcPr>
            <w:tcW w:w="1063" w:type="pct"/>
            <w:tcBorders>
              <w:tl2br w:val="nil"/>
              <w:tr2bl w:val="nil"/>
            </w:tcBorders>
            <w:shd w:val="clear" w:color="auto" w:fill="auto"/>
            <w:vAlign w:val="center"/>
          </w:tcPr>
          <w:p w14:paraId="156FF536">
            <w:pPr>
              <w:widowControl/>
              <w:jc w:val="center"/>
              <w:textAlignment w:val="center"/>
              <w:rPr>
                <w:color w:val="000000"/>
                <w:sz w:val="21"/>
                <w:szCs w:val="21"/>
                <w:highlight w:val="none"/>
              </w:rPr>
            </w:pPr>
            <w:r>
              <w:rPr>
                <w:color w:val="000000"/>
                <w:kern w:val="0"/>
                <w:sz w:val="21"/>
                <w:szCs w:val="21"/>
                <w:highlight w:val="none"/>
                <w:lang w:bidi="ar"/>
              </w:rPr>
              <w:t>DN100 PN10</w:t>
            </w:r>
          </w:p>
        </w:tc>
        <w:tc>
          <w:tcPr>
            <w:tcW w:w="1308" w:type="pct"/>
            <w:tcBorders>
              <w:tl2br w:val="nil"/>
              <w:tr2bl w:val="nil"/>
            </w:tcBorders>
            <w:shd w:val="clear" w:color="auto" w:fill="auto"/>
            <w:vAlign w:val="center"/>
          </w:tcPr>
          <w:p w14:paraId="031EC953">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阀体铸铁，阀板衬塑</w:t>
            </w:r>
          </w:p>
        </w:tc>
        <w:tc>
          <w:tcPr>
            <w:tcW w:w="283" w:type="pct"/>
            <w:tcBorders>
              <w:tl2br w:val="nil"/>
              <w:tr2bl w:val="nil"/>
            </w:tcBorders>
            <w:shd w:val="clear" w:color="auto" w:fill="auto"/>
            <w:vAlign w:val="center"/>
          </w:tcPr>
          <w:p w14:paraId="4F1E2B2D">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台</w:t>
            </w:r>
          </w:p>
        </w:tc>
        <w:tc>
          <w:tcPr>
            <w:tcW w:w="291" w:type="pct"/>
            <w:tcBorders>
              <w:tl2br w:val="nil"/>
              <w:tr2bl w:val="nil"/>
            </w:tcBorders>
            <w:shd w:val="clear" w:color="auto" w:fill="auto"/>
            <w:vAlign w:val="center"/>
          </w:tcPr>
          <w:p w14:paraId="536B35C4">
            <w:pPr>
              <w:widowControl/>
              <w:jc w:val="center"/>
              <w:textAlignment w:val="center"/>
              <w:rPr>
                <w:color w:val="000000"/>
                <w:sz w:val="21"/>
                <w:szCs w:val="21"/>
                <w:highlight w:val="none"/>
              </w:rPr>
            </w:pPr>
            <w:r>
              <w:rPr>
                <w:color w:val="000000"/>
                <w:kern w:val="0"/>
                <w:sz w:val="21"/>
                <w:szCs w:val="21"/>
                <w:highlight w:val="none"/>
                <w:lang w:bidi="ar"/>
              </w:rPr>
              <w:t>1</w:t>
            </w:r>
          </w:p>
        </w:tc>
        <w:tc>
          <w:tcPr>
            <w:tcW w:w="694" w:type="pct"/>
            <w:tcBorders>
              <w:tl2br w:val="nil"/>
              <w:tr2bl w:val="nil"/>
            </w:tcBorders>
            <w:shd w:val="clear" w:color="auto" w:fill="auto"/>
            <w:vAlign w:val="center"/>
          </w:tcPr>
          <w:p w14:paraId="52FA7792">
            <w:pPr>
              <w:widowControl/>
              <w:jc w:val="center"/>
              <w:textAlignment w:val="center"/>
              <w:rPr>
                <w:color w:val="000000"/>
                <w:kern w:val="0"/>
                <w:sz w:val="21"/>
                <w:szCs w:val="21"/>
                <w:highlight w:val="none"/>
                <w:lang w:bidi="ar"/>
              </w:rPr>
            </w:pPr>
          </w:p>
        </w:tc>
      </w:tr>
      <w:tr w14:paraId="4DAC5B4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59" w:type="pct"/>
            <w:tcBorders>
              <w:tl2br w:val="nil"/>
              <w:tr2bl w:val="nil"/>
            </w:tcBorders>
            <w:shd w:val="clear" w:color="auto" w:fill="auto"/>
            <w:vAlign w:val="center"/>
          </w:tcPr>
          <w:p w14:paraId="76B9D81E">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6</w:t>
            </w:r>
          </w:p>
        </w:tc>
        <w:tc>
          <w:tcPr>
            <w:tcW w:w="998" w:type="pct"/>
            <w:tcBorders>
              <w:tl2br w:val="nil"/>
              <w:tr2bl w:val="nil"/>
            </w:tcBorders>
            <w:shd w:val="clear" w:color="auto" w:fill="auto"/>
            <w:vAlign w:val="center"/>
          </w:tcPr>
          <w:p w14:paraId="52A4DF1F">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截止阀</w:t>
            </w:r>
          </w:p>
        </w:tc>
        <w:tc>
          <w:tcPr>
            <w:tcW w:w="1063" w:type="pct"/>
            <w:tcBorders>
              <w:tl2br w:val="nil"/>
              <w:tr2bl w:val="nil"/>
            </w:tcBorders>
            <w:shd w:val="clear" w:color="auto" w:fill="auto"/>
            <w:vAlign w:val="center"/>
          </w:tcPr>
          <w:p w14:paraId="1A109B94">
            <w:pPr>
              <w:widowControl/>
              <w:jc w:val="center"/>
              <w:textAlignment w:val="center"/>
              <w:rPr>
                <w:color w:val="000000"/>
                <w:sz w:val="21"/>
                <w:szCs w:val="21"/>
                <w:highlight w:val="none"/>
              </w:rPr>
            </w:pPr>
            <w:r>
              <w:rPr>
                <w:color w:val="000000"/>
                <w:kern w:val="0"/>
                <w:sz w:val="21"/>
                <w:szCs w:val="21"/>
                <w:highlight w:val="none"/>
                <w:lang w:bidi="ar"/>
              </w:rPr>
              <w:t>DN80 PN25</w:t>
            </w:r>
          </w:p>
        </w:tc>
        <w:tc>
          <w:tcPr>
            <w:tcW w:w="1308" w:type="pct"/>
            <w:tcBorders>
              <w:tl2br w:val="nil"/>
              <w:tr2bl w:val="nil"/>
            </w:tcBorders>
            <w:shd w:val="clear" w:color="auto" w:fill="auto"/>
            <w:vAlign w:val="center"/>
          </w:tcPr>
          <w:p w14:paraId="0A2D4526">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阀体铸铁，阀板衬塑</w:t>
            </w:r>
          </w:p>
        </w:tc>
        <w:tc>
          <w:tcPr>
            <w:tcW w:w="283" w:type="pct"/>
            <w:tcBorders>
              <w:tl2br w:val="nil"/>
              <w:tr2bl w:val="nil"/>
            </w:tcBorders>
            <w:shd w:val="clear" w:color="auto" w:fill="auto"/>
            <w:vAlign w:val="center"/>
          </w:tcPr>
          <w:p w14:paraId="05C2881E">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台</w:t>
            </w:r>
          </w:p>
        </w:tc>
        <w:tc>
          <w:tcPr>
            <w:tcW w:w="291" w:type="pct"/>
            <w:tcBorders>
              <w:tl2br w:val="nil"/>
              <w:tr2bl w:val="nil"/>
            </w:tcBorders>
            <w:shd w:val="clear" w:color="auto" w:fill="auto"/>
            <w:vAlign w:val="center"/>
          </w:tcPr>
          <w:p w14:paraId="12EC9B0D">
            <w:pPr>
              <w:widowControl/>
              <w:jc w:val="center"/>
              <w:textAlignment w:val="center"/>
              <w:rPr>
                <w:color w:val="000000"/>
                <w:sz w:val="21"/>
                <w:szCs w:val="21"/>
                <w:highlight w:val="none"/>
              </w:rPr>
            </w:pPr>
            <w:r>
              <w:rPr>
                <w:color w:val="000000"/>
                <w:kern w:val="0"/>
                <w:sz w:val="21"/>
                <w:szCs w:val="21"/>
                <w:highlight w:val="none"/>
                <w:lang w:bidi="ar"/>
              </w:rPr>
              <w:t>1</w:t>
            </w:r>
          </w:p>
        </w:tc>
        <w:tc>
          <w:tcPr>
            <w:tcW w:w="694" w:type="pct"/>
            <w:tcBorders>
              <w:tl2br w:val="nil"/>
              <w:tr2bl w:val="nil"/>
            </w:tcBorders>
            <w:shd w:val="clear" w:color="auto" w:fill="auto"/>
            <w:vAlign w:val="center"/>
          </w:tcPr>
          <w:p w14:paraId="1A050563">
            <w:pPr>
              <w:widowControl/>
              <w:jc w:val="center"/>
              <w:textAlignment w:val="center"/>
              <w:rPr>
                <w:color w:val="000000"/>
                <w:kern w:val="0"/>
                <w:sz w:val="21"/>
                <w:szCs w:val="21"/>
                <w:highlight w:val="none"/>
                <w:lang w:bidi="ar"/>
              </w:rPr>
            </w:pPr>
          </w:p>
        </w:tc>
      </w:tr>
      <w:tr w14:paraId="69F304D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59" w:type="pct"/>
            <w:tcBorders>
              <w:tl2br w:val="nil"/>
              <w:tr2bl w:val="nil"/>
            </w:tcBorders>
            <w:shd w:val="clear" w:color="auto" w:fill="auto"/>
            <w:vAlign w:val="center"/>
          </w:tcPr>
          <w:p w14:paraId="6836114C">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7</w:t>
            </w:r>
          </w:p>
        </w:tc>
        <w:tc>
          <w:tcPr>
            <w:tcW w:w="998" w:type="pct"/>
            <w:tcBorders>
              <w:tl2br w:val="nil"/>
              <w:tr2bl w:val="nil"/>
            </w:tcBorders>
            <w:shd w:val="clear" w:color="auto" w:fill="auto"/>
            <w:vAlign w:val="center"/>
          </w:tcPr>
          <w:p w14:paraId="7D428964">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止回阀</w:t>
            </w:r>
          </w:p>
        </w:tc>
        <w:tc>
          <w:tcPr>
            <w:tcW w:w="1063" w:type="pct"/>
            <w:tcBorders>
              <w:tl2br w:val="nil"/>
              <w:tr2bl w:val="nil"/>
            </w:tcBorders>
            <w:shd w:val="clear" w:color="auto" w:fill="auto"/>
            <w:vAlign w:val="center"/>
          </w:tcPr>
          <w:p w14:paraId="7C9DBA09">
            <w:pPr>
              <w:widowControl/>
              <w:jc w:val="center"/>
              <w:textAlignment w:val="center"/>
              <w:rPr>
                <w:color w:val="000000"/>
                <w:sz w:val="21"/>
                <w:szCs w:val="21"/>
                <w:highlight w:val="none"/>
              </w:rPr>
            </w:pPr>
            <w:r>
              <w:rPr>
                <w:color w:val="000000"/>
                <w:kern w:val="0"/>
                <w:sz w:val="21"/>
                <w:szCs w:val="21"/>
                <w:highlight w:val="none"/>
                <w:lang w:bidi="ar"/>
              </w:rPr>
              <w:t>DN150 PN25</w:t>
            </w:r>
          </w:p>
        </w:tc>
        <w:tc>
          <w:tcPr>
            <w:tcW w:w="1308" w:type="pct"/>
            <w:tcBorders>
              <w:tl2br w:val="nil"/>
              <w:tr2bl w:val="nil"/>
            </w:tcBorders>
            <w:shd w:val="clear" w:color="auto" w:fill="auto"/>
            <w:vAlign w:val="center"/>
          </w:tcPr>
          <w:p w14:paraId="49F6DD16">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阀体铸铁，阀板衬塑</w:t>
            </w:r>
          </w:p>
        </w:tc>
        <w:tc>
          <w:tcPr>
            <w:tcW w:w="283" w:type="pct"/>
            <w:tcBorders>
              <w:tl2br w:val="nil"/>
              <w:tr2bl w:val="nil"/>
            </w:tcBorders>
            <w:shd w:val="clear" w:color="auto" w:fill="auto"/>
            <w:vAlign w:val="center"/>
          </w:tcPr>
          <w:p w14:paraId="1E8C6B89">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台</w:t>
            </w:r>
          </w:p>
        </w:tc>
        <w:tc>
          <w:tcPr>
            <w:tcW w:w="291" w:type="pct"/>
            <w:tcBorders>
              <w:tl2br w:val="nil"/>
              <w:tr2bl w:val="nil"/>
            </w:tcBorders>
            <w:shd w:val="clear" w:color="auto" w:fill="auto"/>
            <w:vAlign w:val="center"/>
          </w:tcPr>
          <w:p w14:paraId="0C0638BF">
            <w:pPr>
              <w:widowControl/>
              <w:jc w:val="center"/>
              <w:textAlignment w:val="center"/>
              <w:rPr>
                <w:color w:val="000000"/>
                <w:sz w:val="21"/>
                <w:szCs w:val="21"/>
                <w:highlight w:val="none"/>
              </w:rPr>
            </w:pPr>
            <w:r>
              <w:rPr>
                <w:color w:val="000000"/>
                <w:kern w:val="0"/>
                <w:sz w:val="21"/>
                <w:szCs w:val="21"/>
                <w:highlight w:val="none"/>
                <w:lang w:bidi="ar"/>
              </w:rPr>
              <w:t>1</w:t>
            </w:r>
          </w:p>
        </w:tc>
        <w:tc>
          <w:tcPr>
            <w:tcW w:w="694" w:type="pct"/>
            <w:tcBorders>
              <w:tl2br w:val="nil"/>
              <w:tr2bl w:val="nil"/>
            </w:tcBorders>
            <w:shd w:val="clear" w:color="auto" w:fill="auto"/>
            <w:vAlign w:val="center"/>
          </w:tcPr>
          <w:p w14:paraId="65BB9FEC">
            <w:pPr>
              <w:widowControl/>
              <w:jc w:val="center"/>
              <w:textAlignment w:val="center"/>
              <w:rPr>
                <w:color w:val="000000"/>
                <w:kern w:val="0"/>
                <w:sz w:val="21"/>
                <w:szCs w:val="21"/>
                <w:highlight w:val="none"/>
                <w:lang w:bidi="ar"/>
              </w:rPr>
            </w:pPr>
          </w:p>
        </w:tc>
      </w:tr>
      <w:tr w14:paraId="07185D2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59" w:type="pct"/>
            <w:tcBorders>
              <w:tl2br w:val="nil"/>
              <w:tr2bl w:val="nil"/>
            </w:tcBorders>
            <w:shd w:val="clear" w:color="auto" w:fill="auto"/>
            <w:vAlign w:val="center"/>
          </w:tcPr>
          <w:p w14:paraId="2B0D795C">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8</w:t>
            </w:r>
          </w:p>
        </w:tc>
        <w:tc>
          <w:tcPr>
            <w:tcW w:w="998" w:type="pct"/>
            <w:tcBorders>
              <w:tl2br w:val="nil"/>
              <w:tr2bl w:val="nil"/>
            </w:tcBorders>
            <w:shd w:val="clear" w:color="auto" w:fill="auto"/>
            <w:vAlign w:val="center"/>
          </w:tcPr>
          <w:p w14:paraId="3EF57C50">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止回阀</w:t>
            </w:r>
          </w:p>
        </w:tc>
        <w:tc>
          <w:tcPr>
            <w:tcW w:w="1063" w:type="pct"/>
            <w:tcBorders>
              <w:tl2br w:val="nil"/>
              <w:tr2bl w:val="nil"/>
            </w:tcBorders>
            <w:shd w:val="clear" w:color="auto" w:fill="auto"/>
            <w:vAlign w:val="center"/>
          </w:tcPr>
          <w:p w14:paraId="6AAEE43F">
            <w:pPr>
              <w:widowControl/>
              <w:jc w:val="center"/>
              <w:textAlignment w:val="center"/>
              <w:rPr>
                <w:color w:val="000000"/>
                <w:sz w:val="21"/>
                <w:szCs w:val="21"/>
                <w:highlight w:val="none"/>
              </w:rPr>
            </w:pPr>
            <w:r>
              <w:rPr>
                <w:color w:val="000000"/>
                <w:kern w:val="0"/>
                <w:sz w:val="21"/>
                <w:szCs w:val="21"/>
                <w:highlight w:val="none"/>
                <w:lang w:bidi="ar"/>
              </w:rPr>
              <w:t>DN125 PN25</w:t>
            </w:r>
          </w:p>
        </w:tc>
        <w:tc>
          <w:tcPr>
            <w:tcW w:w="1308" w:type="pct"/>
            <w:tcBorders>
              <w:tl2br w:val="nil"/>
              <w:tr2bl w:val="nil"/>
            </w:tcBorders>
            <w:shd w:val="clear" w:color="auto" w:fill="auto"/>
            <w:vAlign w:val="center"/>
          </w:tcPr>
          <w:p w14:paraId="52774743">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阀体铸铁，阀板衬塑</w:t>
            </w:r>
          </w:p>
        </w:tc>
        <w:tc>
          <w:tcPr>
            <w:tcW w:w="283" w:type="pct"/>
            <w:tcBorders>
              <w:tl2br w:val="nil"/>
              <w:tr2bl w:val="nil"/>
            </w:tcBorders>
            <w:shd w:val="clear" w:color="auto" w:fill="auto"/>
            <w:vAlign w:val="center"/>
          </w:tcPr>
          <w:p w14:paraId="44F5B147">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台</w:t>
            </w:r>
          </w:p>
        </w:tc>
        <w:tc>
          <w:tcPr>
            <w:tcW w:w="291" w:type="pct"/>
            <w:tcBorders>
              <w:tl2br w:val="nil"/>
              <w:tr2bl w:val="nil"/>
            </w:tcBorders>
            <w:shd w:val="clear" w:color="auto" w:fill="auto"/>
            <w:vAlign w:val="center"/>
          </w:tcPr>
          <w:p w14:paraId="209EC5C4">
            <w:pPr>
              <w:widowControl/>
              <w:jc w:val="center"/>
              <w:textAlignment w:val="center"/>
              <w:rPr>
                <w:color w:val="000000"/>
                <w:sz w:val="21"/>
                <w:szCs w:val="21"/>
                <w:highlight w:val="none"/>
              </w:rPr>
            </w:pPr>
            <w:r>
              <w:rPr>
                <w:color w:val="000000"/>
                <w:kern w:val="0"/>
                <w:sz w:val="21"/>
                <w:szCs w:val="21"/>
                <w:highlight w:val="none"/>
                <w:lang w:bidi="ar"/>
              </w:rPr>
              <w:t>1</w:t>
            </w:r>
          </w:p>
        </w:tc>
        <w:tc>
          <w:tcPr>
            <w:tcW w:w="694" w:type="pct"/>
            <w:tcBorders>
              <w:tl2br w:val="nil"/>
              <w:tr2bl w:val="nil"/>
            </w:tcBorders>
            <w:shd w:val="clear" w:color="auto" w:fill="auto"/>
            <w:vAlign w:val="center"/>
          </w:tcPr>
          <w:p w14:paraId="0615A2EF">
            <w:pPr>
              <w:widowControl/>
              <w:jc w:val="center"/>
              <w:textAlignment w:val="center"/>
              <w:rPr>
                <w:color w:val="000000"/>
                <w:kern w:val="0"/>
                <w:sz w:val="21"/>
                <w:szCs w:val="21"/>
                <w:highlight w:val="none"/>
                <w:lang w:bidi="ar"/>
              </w:rPr>
            </w:pPr>
          </w:p>
        </w:tc>
      </w:tr>
    </w:tbl>
    <w:p w14:paraId="4CBB6395">
      <w:pPr>
        <w:spacing w:line="360" w:lineRule="auto"/>
        <w:jc w:val="left"/>
        <w:rPr>
          <w:highlight w:val="none"/>
        </w:rPr>
      </w:pPr>
      <w:r>
        <w:rPr>
          <w:highlight w:val="none"/>
        </w:rPr>
        <w:t>表2 随机备品备件及易损件清单（按设备总数量所需的量列出）</w:t>
      </w:r>
    </w:p>
    <w:tbl>
      <w:tblPr>
        <w:tblStyle w:val="21"/>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82"/>
        <w:gridCol w:w="1490"/>
        <w:gridCol w:w="2184"/>
        <w:gridCol w:w="760"/>
        <w:gridCol w:w="772"/>
        <w:gridCol w:w="805"/>
        <w:gridCol w:w="1311"/>
        <w:gridCol w:w="877"/>
      </w:tblGrid>
      <w:tr w14:paraId="2A7BAF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35" w:type="pct"/>
            <w:tcBorders>
              <w:top w:val="single" w:color="auto" w:sz="12" w:space="0"/>
              <w:left w:val="single" w:color="auto" w:sz="12" w:space="0"/>
              <w:bottom w:val="single" w:color="auto" w:sz="4" w:space="0"/>
              <w:right w:val="single" w:color="auto" w:sz="4" w:space="0"/>
            </w:tcBorders>
            <w:vAlign w:val="center"/>
          </w:tcPr>
          <w:p w14:paraId="4BE83BF8">
            <w:pPr>
              <w:spacing w:line="360" w:lineRule="auto"/>
              <w:jc w:val="center"/>
              <w:rPr>
                <w:highlight w:val="none"/>
              </w:rPr>
            </w:pPr>
            <w:r>
              <w:rPr>
                <w:highlight w:val="none"/>
              </w:rPr>
              <w:t>序号</w:t>
            </w:r>
          </w:p>
        </w:tc>
        <w:tc>
          <w:tcPr>
            <w:tcW w:w="828" w:type="pct"/>
            <w:tcBorders>
              <w:top w:val="single" w:color="auto" w:sz="12" w:space="0"/>
              <w:left w:val="single" w:color="auto" w:sz="4" w:space="0"/>
              <w:bottom w:val="single" w:color="auto" w:sz="4" w:space="0"/>
              <w:right w:val="single" w:color="auto" w:sz="4" w:space="0"/>
            </w:tcBorders>
            <w:vAlign w:val="center"/>
          </w:tcPr>
          <w:p w14:paraId="27518810">
            <w:pPr>
              <w:spacing w:line="360" w:lineRule="auto"/>
              <w:jc w:val="center"/>
              <w:rPr>
                <w:highlight w:val="none"/>
              </w:rPr>
            </w:pPr>
            <w:r>
              <w:rPr>
                <w:highlight w:val="none"/>
              </w:rPr>
              <w:t>名称</w:t>
            </w:r>
          </w:p>
        </w:tc>
        <w:tc>
          <w:tcPr>
            <w:tcW w:w="1215" w:type="pct"/>
            <w:tcBorders>
              <w:top w:val="single" w:color="auto" w:sz="12" w:space="0"/>
              <w:left w:val="single" w:color="auto" w:sz="4" w:space="0"/>
              <w:bottom w:val="single" w:color="auto" w:sz="4" w:space="0"/>
              <w:right w:val="single" w:color="auto" w:sz="4" w:space="0"/>
            </w:tcBorders>
            <w:vAlign w:val="center"/>
          </w:tcPr>
          <w:p w14:paraId="7DDDA806">
            <w:pPr>
              <w:spacing w:line="360" w:lineRule="auto"/>
              <w:jc w:val="center"/>
              <w:rPr>
                <w:highlight w:val="none"/>
              </w:rPr>
            </w:pPr>
            <w:r>
              <w:rPr>
                <w:highlight w:val="none"/>
              </w:rPr>
              <w:t>规格型号</w:t>
            </w:r>
          </w:p>
        </w:tc>
        <w:tc>
          <w:tcPr>
            <w:tcW w:w="423" w:type="pct"/>
            <w:tcBorders>
              <w:top w:val="single" w:color="auto" w:sz="12" w:space="0"/>
              <w:left w:val="single" w:color="auto" w:sz="4" w:space="0"/>
              <w:bottom w:val="single" w:color="auto" w:sz="4" w:space="0"/>
              <w:right w:val="single" w:color="auto" w:sz="4" w:space="0"/>
            </w:tcBorders>
            <w:vAlign w:val="center"/>
          </w:tcPr>
          <w:p w14:paraId="3B83E2B2">
            <w:pPr>
              <w:spacing w:line="360" w:lineRule="auto"/>
              <w:jc w:val="center"/>
              <w:rPr>
                <w:highlight w:val="none"/>
              </w:rPr>
            </w:pPr>
            <w:r>
              <w:rPr>
                <w:highlight w:val="none"/>
              </w:rPr>
              <w:t>单位</w:t>
            </w:r>
          </w:p>
        </w:tc>
        <w:tc>
          <w:tcPr>
            <w:tcW w:w="430" w:type="pct"/>
            <w:tcBorders>
              <w:top w:val="single" w:color="auto" w:sz="12" w:space="0"/>
              <w:left w:val="single" w:color="auto" w:sz="4" w:space="0"/>
              <w:bottom w:val="single" w:color="auto" w:sz="4" w:space="0"/>
              <w:right w:val="single" w:color="auto" w:sz="4" w:space="0"/>
            </w:tcBorders>
            <w:vAlign w:val="center"/>
          </w:tcPr>
          <w:p w14:paraId="4D9C8B86">
            <w:pPr>
              <w:spacing w:line="360" w:lineRule="auto"/>
              <w:jc w:val="center"/>
              <w:rPr>
                <w:highlight w:val="none"/>
              </w:rPr>
            </w:pPr>
            <w:r>
              <w:rPr>
                <w:highlight w:val="none"/>
              </w:rPr>
              <w:t>数量</w:t>
            </w:r>
          </w:p>
        </w:tc>
        <w:tc>
          <w:tcPr>
            <w:tcW w:w="448" w:type="pct"/>
            <w:tcBorders>
              <w:top w:val="single" w:color="auto" w:sz="12" w:space="0"/>
              <w:left w:val="single" w:color="auto" w:sz="4" w:space="0"/>
              <w:bottom w:val="single" w:color="auto" w:sz="4" w:space="0"/>
              <w:right w:val="single" w:color="auto" w:sz="4" w:space="0"/>
            </w:tcBorders>
            <w:vAlign w:val="center"/>
          </w:tcPr>
          <w:p w14:paraId="09A16AC0">
            <w:pPr>
              <w:spacing w:line="360" w:lineRule="auto"/>
              <w:jc w:val="center"/>
              <w:rPr>
                <w:highlight w:val="none"/>
              </w:rPr>
            </w:pPr>
            <w:r>
              <w:rPr>
                <w:highlight w:val="none"/>
              </w:rPr>
              <w:t>产地</w:t>
            </w:r>
          </w:p>
        </w:tc>
        <w:tc>
          <w:tcPr>
            <w:tcW w:w="729" w:type="pct"/>
            <w:tcBorders>
              <w:top w:val="single" w:color="auto" w:sz="12" w:space="0"/>
              <w:left w:val="single" w:color="auto" w:sz="4" w:space="0"/>
              <w:bottom w:val="single" w:color="auto" w:sz="4" w:space="0"/>
              <w:right w:val="single" w:color="auto" w:sz="4" w:space="0"/>
            </w:tcBorders>
            <w:vAlign w:val="center"/>
          </w:tcPr>
          <w:p w14:paraId="1088FDC7">
            <w:pPr>
              <w:spacing w:line="360" w:lineRule="auto"/>
              <w:jc w:val="center"/>
              <w:rPr>
                <w:highlight w:val="none"/>
              </w:rPr>
            </w:pPr>
            <w:r>
              <w:rPr>
                <w:highlight w:val="none"/>
              </w:rPr>
              <w:t>生产厂家</w:t>
            </w:r>
          </w:p>
        </w:tc>
        <w:tc>
          <w:tcPr>
            <w:tcW w:w="488" w:type="pct"/>
            <w:tcBorders>
              <w:top w:val="single" w:color="auto" w:sz="12" w:space="0"/>
              <w:left w:val="single" w:color="auto" w:sz="4" w:space="0"/>
              <w:bottom w:val="single" w:color="auto" w:sz="4" w:space="0"/>
              <w:right w:val="single" w:color="auto" w:sz="12" w:space="0"/>
            </w:tcBorders>
            <w:vAlign w:val="center"/>
          </w:tcPr>
          <w:p w14:paraId="727C6D58">
            <w:pPr>
              <w:spacing w:line="360" w:lineRule="auto"/>
              <w:jc w:val="center"/>
              <w:rPr>
                <w:highlight w:val="none"/>
              </w:rPr>
            </w:pPr>
            <w:r>
              <w:rPr>
                <w:highlight w:val="none"/>
              </w:rPr>
              <w:t>备注</w:t>
            </w:r>
          </w:p>
        </w:tc>
      </w:tr>
      <w:tr w14:paraId="365703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8" w:hRule="atLeast"/>
          <w:jc w:val="center"/>
        </w:trPr>
        <w:tc>
          <w:tcPr>
            <w:tcW w:w="435" w:type="pct"/>
            <w:tcBorders>
              <w:top w:val="single" w:color="auto" w:sz="4" w:space="0"/>
              <w:left w:val="single" w:color="auto" w:sz="12" w:space="0"/>
              <w:bottom w:val="single" w:color="auto" w:sz="4" w:space="0"/>
              <w:right w:val="single" w:color="auto" w:sz="4" w:space="0"/>
            </w:tcBorders>
            <w:vAlign w:val="center"/>
          </w:tcPr>
          <w:p w14:paraId="66101AB3">
            <w:pPr>
              <w:spacing w:line="360" w:lineRule="auto"/>
              <w:jc w:val="left"/>
              <w:rPr>
                <w:highlight w:val="none"/>
              </w:rPr>
            </w:pPr>
            <w:r>
              <w:rPr>
                <w:highlight w:val="none"/>
              </w:rPr>
              <w:t>1</w:t>
            </w:r>
          </w:p>
        </w:tc>
        <w:tc>
          <w:tcPr>
            <w:tcW w:w="828" w:type="pct"/>
            <w:tcBorders>
              <w:top w:val="single" w:color="auto" w:sz="4" w:space="0"/>
              <w:left w:val="single" w:color="auto" w:sz="4" w:space="0"/>
              <w:bottom w:val="single" w:color="auto" w:sz="4" w:space="0"/>
              <w:right w:val="single" w:color="auto" w:sz="4" w:space="0"/>
            </w:tcBorders>
            <w:shd w:val="clear" w:color="auto" w:fill="auto"/>
          </w:tcPr>
          <w:p w14:paraId="12DD3978">
            <w:pPr>
              <w:rPr>
                <w:sz w:val="22"/>
                <w:highlight w:val="none"/>
              </w:rPr>
            </w:pPr>
            <w:r>
              <w:rPr>
                <w:rFonts w:hint="eastAsia"/>
                <w:sz w:val="22"/>
                <w:highlight w:val="none"/>
              </w:rPr>
              <w:t>超滤装置密封圈</w:t>
            </w:r>
          </w:p>
        </w:tc>
        <w:tc>
          <w:tcPr>
            <w:tcW w:w="1215" w:type="pct"/>
            <w:tcBorders>
              <w:top w:val="single" w:color="auto" w:sz="4" w:space="0"/>
              <w:left w:val="single" w:color="auto" w:sz="4" w:space="0"/>
              <w:bottom w:val="single" w:color="auto" w:sz="4" w:space="0"/>
              <w:right w:val="single" w:color="auto" w:sz="4" w:space="0"/>
            </w:tcBorders>
            <w:shd w:val="clear" w:color="auto" w:fill="auto"/>
          </w:tcPr>
          <w:p w14:paraId="4BF26E69">
            <w:pPr>
              <w:rPr>
                <w:sz w:val="22"/>
                <w:highlight w:val="none"/>
              </w:rPr>
            </w:pPr>
            <w:r>
              <w:rPr>
                <w:rFonts w:hint="eastAsia"/>
                <w:sz w:val="22"/>
                <w:highlight w:val="none"/>
              </w:rPr>
              <w:t>膜厂家配套</w:t>
            </w:r>
          </w:p>
        </w:tc>
        <w:tc>
          <w:tcPr>
            <w:tcW w:w="423" w:type="pct"/>
            <w:tcBorders>
              <w:top w:val="single" w:color="auto" w:sz="4" w:space="0"/>
              <w:left w:val="single" w:color="auto" w:sz="4" w:space="0"/>
              <w:bottom w:val="single" w:color="auto" w:sz="4" w:space="0"/>
              <w:right w:val="single" w:color="auto" w:sz="4" w:space="0"/>
            </w:tcBorders>
            <w:shd w:val="clear" w:color="auto" w:fill="auto"/>
          </w:tcPr>
          <w:p w14:paraId="2E82865E">
            <w:pPr>
              <w:jc w:val="center"/>
              <w:rPr>
                <w:sz w:val="22"/>
                <w:highlight w:val="none"/>
              </w:rPr>
            </w:pPr>
            <w:r>
              <w:rPr>
                <w:rFonts w:hint="eastAsia"/>
                <w:sz w:val="22"/>
                <w:highlight w:val="none"/>
              </w:rPr>
              <w:t>个</w:t>
            </w:r>
          </w:p>
        </w:tc>
        <w:tc>
          <w:tcPr>
            <w:tcW w:w="430" w:type="pct"/>
            <w:tcBorders>
              <w:top w:val="single" w:color="auto" w:sz="4" w:space="0"/>
              <w:left w:val="single" w:color="auto" w:sz="4" w:space="0"/>
              <w:bottom w:val="single" w:color="auto" w:sz="4" w:space="0"/>
              <w:right w:val="single" w:color="auto" w:sz="4" w:space="0"/>
            </w:tcBorders>
            <w:shd w:val="clear" w:color="auto" w:fill="auto"/>
          </w:tcPr>
          <w:p w14:paraId="60697DEB">
            <w:pPr>
              <w:jc w:val="center"/>
              <w:rPr>
                <w:sz w:val="22"/>
                <w:highlight w:val="none"/>
              </w:rPr>
            </w:pPr>
            <w:r>
              <w:rPr>
                <w:sz w:val="22"/>
                <w:highlight w:val="none"/>
              </w:rPr>
              <w:t>20</w:t>
            </w:r>
          </w:p>
        </w:tc>
        <w:tc>
          <w:tcPr>
            <w:tcW w:w="448" w:type="pct"/>
            <w:tcBorders>
              <w:top w:val="single" w:color="auto" w:sz="4" w:space="0"/>
              <w:left w:val="single" w:color="auto" w:sz="4" w:space="0"/>
              <w:bottom w:val="single" w:color="auto" w:sz="4" w:space="0"/>
              <w:right w:val="single" w:color="auto" w:sz="4" w:space="0"/>
            </w:tcBorders>
            <w:shd w:val="clear" w:color="auto" w:fill="auto"/>
          </w:tcPr>
          <w:p w14:paraId="4A107BEF">
            <w:pPr>
              <w:jc w:val="center"/>
              <w:rPr>
                <w:sz w:val="22"/>
                <w:highlight w:val="none"/>
              </w:rPr>
            </w:pPr>
          </w:p>
        </w:tc>
        <w:tc>
          <w:tcPr>
            <w:tcW w:w="729" w:type="pct"/>
            <w:tcBorders>
              <w:top w:val="single" w:color="auto" w:sz="4" w:space="0"/>
              <w:left w:val="single" w:color="auto" w:sz="4" w:space="0"/>
              <w:bottom w:val="single" w:color="auto" w:sz="4" w:space="0"/>
              <w:right w:val="single" w:color="auto" w:sz="4" w:space="0"/>
            </w:tcBorders>
            <w:shd w:val="clear" w:color="auto" w:fill="auto"/>
          </w:tcPr>
          <w:p w14:paraId="756F5850">
            <w:pPr>
              <w:rPr>
                <w:sz w:val="22"/>
                <w:highlight w:val="none"/>
              </w:rPr>
            </w:pPr>
          </w:p>
        </w:tc>
        <w:tc>
          <w:tcPr>
            <w:tcW w:w="488" w:type="pct"/>
            <w:tcBorders>
              <w:top w:val="single" w:color="auto" w:sz="4" w:space="0"/>
              <w:left w:val="single" w:color="auto" w:sz="4" w:space="0"/>
              <w:bottom w:val="single" w:color="auto" w:sz="4" w:space="0"/>
              <w:right w:val="single" w:color="auto" w:sz="12" w:space="0"/>
            </w:tcBorders>
            <w:vAlign w:val="center"/>
          </w:tcPr>
          <w:p w14:paraId="4B9BE2C2">
            <w:pPr>
              <w:spacing w:line="360" w:lineRule="auto"/>
              <w:jc w:val="left"/>
              <w:rPr>
                <w:highlight w:val="none"/>
              </w:rPr>
            </w:pPr>
          </w:p>
        </w:tc>
      </w:tr>
      <w:tr w14:paraId="11B08B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8" w:hRule="atLeast"/>
          <w:jc w:val="center"/>
        </w:trPr>
        <w:tc>
          <w:tcPr>
            <w:tcW w:w="435" w:type="pct"/>
            <w:tcBorders>
              <w:top w:val="single" w:color="auto" w:sz="4" w:space="0"/>
              <w:left w:val="single" w:color="auto" w:sz="12" w:space="0"/>
              <w:bottom w:val="single" w:color="auto" w:sz="4" w:space="0"/>
              <w:right w:val="single" w:color="auto" w:sz="4" w:space="0"/>
            </w:tcBorders>
            <w:vAlign w:val="center"/>
          </w:tcPr>
          <w:p w14:paraId="43272845">
            <w:pPr>
              <w:spacing w:line="360" w:lineRule="auto"/>
              <w:jc w:val="left"/>
              <w:rPr>
                <w:highlight w:val="none"/>
              </w:rPr>
            </w:pPr>
            <w:r>
              <w:rPr>
                <w:highlight w:val="none"/>
              </w:rPr>
              <w:t>2</w:t>
            </w:r>
          </w:p>
        </w:tc>
        <w:tc>
          <w:tcPr>
            <w:tcW w:w="828" w:type="pct"/>
            <w:tcBorders>
              <w:top w:val="single" w:color="auto" w:sz="4" w:space="0"/>
              <w:left w:val="single" w:color="auto" w:sz="4" w:space="0"/>
              <w:bottom w:val="single" w:color="auto" w:sz="4" w:space="0"/>
              <w:right w:val="single" w:color="auto" w:sz="4" w:space="0"/>
            </w:tcBorders>
            <w:shd w:val="clear" w:color="auto" w:fill="auto"/>
          </w:tcPr>
          <w:p w14:paraId="5040C3D8">
            <w:pPr>
              <w:rPr>
                <w:sz w:val="22"/>
                <w:highlight w:val="none"/>
              </w:rPr>
            </w:pPr>
            <w:r>
              <w:rPr>
                <w:rFonts w:hint="eastAsia"/>
                <w:sz w:val="22"/>
                <w:highlight w:val="none"/>
              </w:rPr>
              <w:t>反渗透膜密封圈</w:t>
            </w:r>
          </w:p>
        </w:tc>
        <w:tc>
          <w:tcPr>
            <w:tcW w:w="1215" w:type="pct"/>
            <w:tcBorders>
              <w:top w:val="single" w:color="auto" w:sz="4" w:space="0"/>
              <w:left w:val="single" w:color="auto" w:sz="4" w:space="0"/>
              <w:bottom w:val="single" w:color="auto" w:sz="4" w:space="0"/>
              <w:right w:val="single" w:color="auto" w:sz="4" w:space="0"/>
            </w:tcBorders>
            <w:shd w:val="clear" w:color="auto" w:fill="auto"/>
          </w:tcPr>
          <w:p w14:paraId="5FA61B12">
            <w:pPr>
              <w:rPr>
                <w:sz w:val="22"/>
                <w:highlight w:val="none"/>
              </w:rPr>
            </w:pPr>
            <w:r>
              <w:rPr>
                <w:rFonts w:hint="eastAsia"/>
                <w:sz w:val="22"/>
                <w:highlight w:val="none"/>
              </w:rPr>
              <w:t>膜壳厂家配套</w:t>
            </w:r>
          </w:p>
        </w:tc>
        <w:tc>
          <w:tcPr>
            <w:tcW w:w="423" w:type="pct"/>
            <w:tcBorders>
              <w:top w:val="single" w:color="auto" w:sz="4" w:space="0"/>
              <w:left w:val="single" w:color="auto" w:sz="4" w:space="0"/>
              <w:bottom w:val="single" w:color="auto" w:sz="4" w:space="0"/>
              <w:right w:val="single" w:color="auto" w:sz="4" w:space="0"/>
            </w:tcBorders>
            <w:shd w:val="clear" w:color="auto" w:fill="auto"/>
          </w:tcPr>
          <w:p w14:paraId="02696712">
            <w:pPr>
              <w:jc w:val="center"/>
              <w:rPr>
                <w:sz w:val="22"/>
                <w:highlight w:val="none"/>
              </w:rPr>
            </w:pPr>
            <w:r>
              <w:rPr>
                <w:rFonts w:hint="eastAsia"/>
                <w:sz w:val="22"/>
                <w:highlight w:val="none"/>
              </w:rPr>
              <w:t>个</w:t>
            </w:r>
          </w:p>
        </w:tc>
        <w:tc>
          <w:tcPr>
            <w:tcW w:w="430" w:type="pct"/>
            <w:tcBorders>
              <w:top w:val="single" w:color="auto" w:sz="4" w:space="0"/>
              <w:left w:val="single" w:color="auto" w:sz="4" w:space="0"/>
              <w:bottom w:val="single" w:color="auto" w:sz="4" w:space="0"/>
              <w:right w:val="single" w:color="auto" w:sz="4" w:space="0"/>
            </w:tcBorders>
            <w:shd w:val="clear" w:color="auto" w:fill="auto"/>
          </w:tcPr>
          <w:p w14:paraId="20A3D5BD">
            <w:pPr>
              <w:jc w:val="center"/>
              <w:rPr>
                <w:sz w:val="22"/>
                <w:highlight w:val="none"/>
              </w:rPr>
            </w:pPr>
            <w:r>
              <w:rPr>
                <w:sz w:val="22"/>
                <w:highlight w:val="none"/>
              </w:rPr>
              <w:t>20</w:t>
            </w:r>
          </w:p>
        </w:tc>
        <w:tc>
          <w:tcPr>
            <w:tcW w:w="448" w:type="pct"/>
            <w:tcBorders>
              <w:top w:val="single" w:color="auto" w:sz="4" w:space="0"/>
              <w:left w:val="single" w:color="auto" w:sz="4" w:space="0"/>
              <w:bottom w:val="single" w:color="auto" w:sz="4" w:space="0"/>
              <w:right w:val="single" w:color="auto" w:sz="4" w:space="0"/>
            </w:tcBorders>
            <w:shd w:val="clear" w:color="auto" w:fill="auto"/>
          </w:tcPr>
          <w:p w14:paraId="484B6FFB">
            <w:pPr>
              <w:jc w:val="center"/>
              <w:rPr>
                <w:sz w:val="22"/>
                <w:highlight w:val="none"/>
              </w:rPr>
            </w:pPr>
          </w:p>
        </w:tc>
        <w:tc>
          <w:tcPr>
            <w:tcW w:w="729" w:type="pct"/>
            <w:tcBorders>
              <w:top w:val="single" w:color="auto" w:sz="4" w:space="0"/>
              <w:left w:val="single" w:color="auto" w:sz="4" w:space="0"/>
              <w:bottom w:val="single" w:color="auto" w:sz="4" w:space="0"/>
              <w:right w:val="single" w:color="auto" w:sz="4" w:space="0"/>
            </w:tcBorders>
            <w:shd w:val="clear" w:color="auto" w:fill="auto"/>
          </w:tcPr>
          <w:p w14:paraId="1113C322">
            <w:pPr>
              <w:rPr>
                <w:sz w:val="22"/>
                <w:highlight w:val="none"/>
              </w:rPr>
            </w:pPr>
          </w:p>
        </w:tc>
        <w:tc>
          <w:tcPr>
            <w:tcW w:w="488" w:type="pct"/>
            <w:tcBorders>
              <w:top w:val="single" w:color="auto" w:sz="4" w:space="0"/>
              <w:left w:val="single" w:color="auto" w:sz="4" w:space="0"/>
              <w:bottom w:val="single" w:color="auto" w:sz="4" w:space="0"/>
              <w:right w:val="single" w:color="auto" w:sz="12" w:space="0"/>
            </w:tcBorders>
            <w:vAlign w:val="center"/>
          </w:tcPr>
          <w:p w14:paraId="3E31A5C0">
            <w:pPr>
              <w:spacing w:line="360" w:lineRule="auto"/>
              <w:jc w:val="left"/>
              <w:rPr>
                <w:highlight w:val="none"/>
              </w:rPr>
            </w:pPr>
          </w:p>
        </w:tc>
      </w:tr>
      <w:tr w14:paraId="46ABC5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8" w:hRule="atLeast"/>
          <w:jc w:val="center"/>
        </w:trPr>
        <w:tc>
          <w:tcPr>
            <w:tcW w:w="435" w:type="pct"/>
            <w:tcBorders>
              <w:top w:val="single" w:color="auto" w:sz="4" w:space="0"/>
              <w:left w:val="single" w:color="auto" w:sz="12" w:space="0"/>
              <w:bottom w:val="single" w:color="auto" w:sz="4" w:space="0"/>
              <w:right w:val="single" w:color="auto" w:sz="4" w:space="0"/>
            </w:tcBorders>
            <w:vAlign w:val="center"/>
          </w:tcPr>
          <w:p w14:paraId="3CEA0B10">
            <w:pPr>
              <w:spacing w:line="360" w:lineRule="auto"/>
              <w:jc w:val="left"/>
              <w:rPr>
                <w:highlight w:val="none"/>
              </w:rPr>
            </w:pPr>
            <w:r>
              <w:rPr>
                <w:rFonts w:hint="eastAsia"/>
                <w:highlight w:val="none"/>
              </w:rPr>
              <w:t>3</w:t>
            </w:r>
          </w:p>
        </w:tc>
        <w:tc>
          <w:tcPr>
            <w:tcW w:w="828" w:type="pct"/>
            <w:tcBorders>
              <w:top w:val="single" w:color="auto" w:sz="4" w:space="0"/>
              <w:left w:val="single" w:color="auto" w:sz="4" w:space="0"/>
              <w:bottom w:val="single" w:color="auto" w:sz="4" w:space="0"/>
              <w:right w:val="single" w:color="auto" w:sz="4" w:space="0"/>
            </w:tcBorders>
            <w:shd w:val="clear" w:color="auto" w:fill="auto"/>
          </w:tcPr>
          <w:p w14:paraId="79B741A5">
            <w:pPr>
              <w:rPr>
                <w:sz w:val="22"/>
                <w:highlight w:val="none"/>
              </w:rPr>
            </w:pPr>
            <w:r>
              <w:rPr>
                <w:rFonts w:hint="eastAsia"/>
                <w:sz w:val="22"/>
                <w:highlight w:val="none"/>
              </w:rPr>
              <w:t>防爆膜片</w:t>
            </w:r>
          </w:p>
        </w:tc>
        <w:tc>
          <w:tcPr>
            <w:tcW w:w="1215" w:type="pct"/>
            <w:tcBorders>
              <w:top w:val="single" w:color="auto" w:sz="4" w:space="0"/>
              <w:left w:val="single" w:color="auto" w:sz="4" w:space="0"/>
              <w:bottom w:val="single" w:color="auto" w:sz="4" w:space="0"/>
              <w:right w:val="single" w:color="auto" w:sz="4" w:space="0"/>
            </w:tcBorders>
            <w:shd w:val="clear" w:color="auto" w:fill="auto"/>
          </w:tcPr>
          <w:p w14:paraId="065E592C">
            <w:pPr>
              <w:rPr>
                <w:sz w:val="22"/>
                <w:highlight w:val="none"/>
              </w:rPr>
            </w:pPr>
            <w:r>
              <w:rPr>
                <w:rFonts w:hint="eastAsia"/>
                <w:sz w:val="22"/>
                <w:highlight w:val="none"/>
              </w:rPr>
              <w:t>滑架厂家成套</w:t>
            </w:r>
          </w:p>
        </w:tc>
        <w:tc>
          <w:tcPr>
            <w:tcW w:w="423" w:type="pct"/>
            <w:tcBorders>
              <w:top w:val="single" w:color="auto" w:sz="4" w:space="0"/>
              <w:left w:val="single" w:color="auto" w:sz="4" w:space="0"/>
              <w:bottom w:val="single" w:color="auto" w:sz="4" w:space="0"/>
              <w:right w:val="single" w:color="auto" w:sz="4" w:space="0"/>
            </w:tcBorders>
            <w:shd w:val="clear" w:color="auto" w:fill="auto"/>
          </w:tcPr>
          <w:p w14:paraId="6C8F94C5">
            <w:pPr>
              <w:jc w:val="center"/>
              <w:rPr>
                <w:sz w:val="22"/>
                <w:highlight w:val="none"/>
              </w:rPr>
            </w:pPr>
            <w:r>
              <w:rPr>
                <w:rFonts w:hint="eastAsia"/>
                <w:sz w:val="22"/>
                <w:highlight w:val="none"/>
              </w:rPr>
              <w:t>片</w:t>
            </w:r>
          </w:p>
        </w:tc>
        <w:tc>
          <w:tcPr>
            <w:tcW w:w="430" w:type="pct"/>
            <w:tcBorders>
              <w:top w:val="single" w:color="auto" w:sz="4" w:space="0"/>
              <w:left w:val="single" w:color="auto" w:sz="4" w:space="0"/>
              <w:bottom w:val="single" w:color="auto" w:sz="4" w:space="0"/>
              <w:right w:val="single" w:color="auto" w:sz="4" w:space="0"/>
            </w:tcBorders>
            <w:shd w:val="clear" w:color="auto" w:fill="auto"/>
          </w:tcPr>
          <w:p w14:paraId="5B4B34B6">
            <w:pPr>
              <w:jc w:val="center"/>
              <w:rPr>
                <w:sz w:val="22"/>
                <w:highlight w:val="none"/>
              </w:rPr>
            </w:pPr>
            <w:r>
              <w:rPr>
                <w:rFonts w:hint="eastAsia"/>
                <w:sz w:val="22"/>
                <w:highlight w:val="none"/>
              </w:rPr>
              <w:t>5</w:t>
            </w:r>
          </w:p>
        </w:tc>
        <w:tc>
          <w:tcPr>
            <w:tcW w:w="448" w:type="pct"/>
            <w:tcBorders>
              <w:top w:val="single" w:color="auto" w:sz="4" w:space="0"/>
              <w:left w:val="single" w:color="auto" w:sz="4" w:space="0"/>
              <w:bottom w:val="single" w:color="auto" w:sz="4" w:space="0"/>
              <w:right w:val="single" w:color="auto" w:sz="4" w:space="0"/>
            </w:tcBorders>
            <w:shd w:val="clear" w:color="auto" w:fill="auto"/>
          </w:tcPr>
          <w:p w14:paraId="6F3220BA">
            <w:pPr>
              <w:jc w:val="center"/>
              <w:rPr>
                <w:sz w:val="22"/>
                <w:highlight w:val="none"/>
              </w:rPr>
            </w:pPr>
          </w:p>
        </w:tc>
        <w:tc>
          <w:tcPr>
            <w:tcW w:w="729" w:type="pct"/>
            <w:tcBorders>
              <w:top w:val="single" w:color="auto" w:sz="4" w:space="0"/>
              <w:left w:val="single" w:color="auto" w:sz="4" w:space="0"/>
              <w:bottom w:val="single" w:color="auto" w:sz="4" w:space="0"/>
              <w:right w:val="single" w:color="auto" w:sz="4" w:space="0"/>
            </w:tcBorders>
            <w:shd w:val="clear" w:color="auto" w:fill="auto"/>
          </w:tcPr>
          <w:p w14:paraId="711E6E03">
            <w:pPr>
              <w:rPr>
                <w:sz w:val="22"/>
                <w:highlight w:val="none"/>
              </w:rPr>
            </w:pPr>
          </w:p>
        </w:tc>
        <w:tc>
          <w:tcPr>
            <w:tcW w:w="488" w:type="pct"/>
            <w:tcBorders>
              <w:top w:val="single" w:color="auto" w:sz="4" w:space="0"/>
              <w:left w:val="single" w:color="auto" w:sz="4" w:space="0"/>
              <w:bottom w:val="single" w:color="auto" w:sz="4" w:space="0"/>
              <w:right w:val="single" w:color="auto" w:sz="12" w:space="0"/>
            </w:tcBorders>
            <w:vAlign w:val="center"/>
          </w:tcPr>
          <w:p w14:paraId="376F5F67">
            <w:pPr>
              <w:spacing w:line="360" w:lineRule="auto"/>
              <w:jc w:val="left"/>
              <w:rPr>
                <w:highlight w:val="none"/>
              </w:rPr>
            </w:pPr>
          </w:p>
        </w:tc>
      </w:tr>
      <w:tr w14:paraId="693193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8" w:hRule="atLeast"/>
          <w:jc w:val="center"/>
        </w:trPr>
        <w:tc>
          <w:tcPr>
            <w:tcW w:w="435" w:type="pct"/>
            <w:tcBorders>
              <w:top w:val="single" w:color="auto" w:sz="4" w:space="0"/>
              <w:left w:val="single" w:color="auto" w:sz="12" w:space="0"/>
              <w:bottom w:val="single" w:color="auto" w:sz="4" w:space="0"/>
              <w:right w:val="single" w:color="auto" w:sz="4" w:space="0"/>
            </w:tcBorders>
            <w:vAlign w:val="center"/>
          </w:tcPr>
          <w:p w14:paraId="46B3DE10">
            <w:pPr>
              <w:spacing w:line="360" w:lineRule="auto"/>
              <w:jc w:val="left"/>
              <w:rPr>
                <w:highlight w:val="none"/>
              </w:rPr>
            </w:pPr>
            <w:r>
              <w:rPr>
                <w:rFonts w:hint="eastAsia"/>
                <w:highlight w:val="none"/>
              </w:rPr>
              <w:t>4</w:t>
            </w:r>
          </w:p>
        </w:tc>
        <w:tc>
          <w:tcPr>
            <w:tcW w:w="828" w:type="pct"/>
            <w:tcBorders>
              <w:top w:val="single" w:color="auto" w:sz="4" w:space="0"/>
              <w:left w:val="single" w:color="auto" w:sz="4" w:space="0"/>
              <w:bottom w:val="single" w:color="auto" w:sz="4" w:space="0"/>
              <w:right w:val="single" w:color="auto" w:sz="4" w:space="0"/>
            </w:tcBorders>
            <w:shd w:val="clear" w:color="auto" w:fill="auto"/>
          </w:tcPr>
          <w:p w14:paraId="7D5AF130">
            <w:pPr>
              <w:rPr>
                <w:sz w:val="22"/>
                <w:highlight w:val="none"/>
              </w:rPr>
            </w:pPr>
            <w:r>
              <w:rPr>
                <w:rFonts w:hint="eastAsia"/>
                <w:sz w:val="22"/>
                <w:highlight w:val="none"/>
              </w:rPr>
              <w:t>高压泵连轴器柱销</w:t>
            </w:r>
          </w:p>
        </w:tc>
        <w:tc>
          <w:tcPr>
            <w:tcW w:w="1215" w:type="pct"/>
            <w:tcBorders>
              <w:top w:val="single" w:color="auto" w:sz="4" w:space="0"/>
              <w:left w:val="single" w:color="auto" w:sz="4" w:space="0"/>
              <w:bottom w:val="single" w:color="auto" w:sz="4" w:space="0"/>
              <w:right w:val="single" w:color="auto" w:sz="4" w:space="0"/>
            </w:tcBorders>
            <w:shd w:val="clear" w:color="auto" w:fill="auto"/>
          </w:tcPr>
          <w:p w14:paraId="24E3B56D">
            <w:pPr>
              <w:rPr>
                <w:sz w:val="22"/>
                <w:highlight w:val="none"/>
              </w:rPr>
            </w:pPr>
            <w:r>
              <w:rPr>
                <w:rFonts w:hint="eastAsia"/>
                <w:sz w:val="22"/>
                <w:highlight w:val="none"/>
              </w:rPr>
              <w:t>高压泵厂家配套</w:t>
            </w:r>
          </w:p>
        </w:tc>
        <w:tc>
          <w:tcPr>
            <w:tcW w:w="423" w:type="pct"/>
            <w:tcBorders>
              <w:top w:val="single" w:color="auto" w:sz="4" w:space="0"/>
              <w:left w:val="single" w:color="auto" w:sz="4" w:space="0"/>
              <w:bottom w:val="single" w:color="auto" w:sz="4" w:space="0"/>
              <w:right w:val="single" w:color="auto" w:sz="4" w:space="0"/>
            </w:tcBorders>
            <w:shd w:val="clear" w:color="auto" w:fill="auto"/>
          </w:tcPr>
          <w:p w14:paraId="4EB3DB28">
            <w:pPr>
              <w:jc w:val="center"/>
              <w:rPr>
                <w:sz w:val="22"/>
                <w:highlight w:val="none"/>
              </w:rPr>
            </w:pPr>
            <w:r>
              <w:rPr>
                <w:rFonts w:hint="eastAsia"/>
                <w:sz w:val="22"/>
                <w:highlight w:val="none"/>
              </w:rPr>
              <w:t>套</w:t>
            </w:r>
          </w:p>
        </w:tc>
        <w:tc>
          <w:tcPr>
            <w:tcW w:w="430" w:type="pct"/>
            <w:tcBorders>
              <w:top w:val="single" w:color="auto" w:sz="4" w:space="0"/>
              <w:left w:val="single" w:color="auto" w:sz="4" w:space="0"/>
              <w:bottom w:val="single" w:color="auto" w:sz="4" w:space="0"/>
              <w:right w:val="single" w:color="auto" w:sz="4" w:space="0"/>
            </w:tcBorders>
            <w:shd w:val="clear" w:color="auto" w:fill="auto"/>
          </w:tcPr>
          <w:p w14:paraId="64EB6F16">
            <w:pPr>
              <w:jc w:val="center"/>
              <w:rPr>
                <w:sz w:val="22"/>
                <w:highlight w:val="none"/>
              </w:rPr>
            </w:pPr>
            <w:r>
              <w:rPr>
                <w:rFonts w:hint="eastAsia"/>
                <w:sz w:val="22"/>
                <w:highlight w:val="none"/>
              </w:rPr>
              <w:t>1</w:t>
            </w:r>
          </w:p>
        </w:tc>
        <w:tc>
          <w:tcPr>
            <w:tcW w:w="448" w:type="pct"/>
            <w:tcBorders>
              <w:top w:val="single" w:color="auto" w:sz="4" w:space="0"/>
              <w:left w:val="single" w:color="auto" w:sz="4" w:space="0"/>
              <w:bottom w:val="single" w:color="auto" w:sz="4" w:space="0"/>
              <w:right w:val="single" w:color="auto" w:sz="4" w:space="0"/>
            </w:tcBorders>
            <w:shd w:val="clear" w:color="auto" w:fill="auto"/>
          </w:tcPr>
          <w:p w14:paraId="37118BDD">
            <w:pPr>
              <w:jc w:val="center"/>
              <w:rPr>
                <w:sz w:val="22"/>
                <w:highlight w:val="none"/>
              </w:rPr>
            </w:pPr>
          </w:p>
        </w:tc>
        <w:tc>
          <w:tcPr>
            <w:tcW w:w="729" w:type="pct"/>
            <w:tcBorders>
              <w:top w:val="single" w:color="auto" w:sz="4" w:space="0"/>
              <w:left w:val="single" w:color="auto" w:sz="4" w:space="0"/>
              <w:bottom w:val="single" w:color="auto" w:sz="4" w:space="0"/>
              <w:right w:val="single" w:color="auto" w:sz="4" w:space="0"/>
            </w:tcBorders>
            <w:shd w:val="clear" w:color="auto" w:fill="auto"/>
          </w:tcPr>
          <w:p w14:paraId="372F7434">
            <w:pPr>
              <w:rPr>
                <w:sz w:val="22"/>
                <w:highlight w:val="none"/>
              </w:rPr>
            </w:pPr>
          </w:p>
        </w:tc>
        <w:tc>
          <w:tcPr>
            <w:tcW w:w="488" w:type="pct"/>
            <w:tcBorders>
              <w:top w:val="single" w:color="auto" w:sz="4" w:space="0"/>
              <w:left w:val="single" w:color="auto" w:sz="4" w:space="0"/>
              <w:bottom w:val="single" w:color="auto" w:sz="4" w:space="0"/>
              <w:right w:val="single" w:color="auto" w:sz="12" w:space="0"/>
            </w:tcBorders>
            <w:vAlign w:val="center"/>
          </w:tcPr>
          <w:p w14:paraId="3289BD57">
            <w:pPr>
              <w:spacing w:line="360" w:lineRule="auto"/>
              <w:jc w:val="left"/>
              <w:rPr>
                <w:highlight w:val="none"/>
              </w:rPr>
            </w:pPr>
          </w:p>
        </w:tc>
      </w:tr>
      <w:tr w14:paraId="763B47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8" w:hRule="atLeast"/>
          <w:jc w:val="center"/>
        </w:trPr>
        <w:tc>
          <w:tcPr>
            <w:tcW w:w="435" w:type="pct"/>
            <w:tcBorders>
              <w:top w:val="single" w:color="auto" w:sz="4" w:space="0"/>
              <w:left w:val="single" w:color="auto" w:sz="12" w:space="0"/>
              <w:bottom w:val="single" w:color="auto" w:sz="4" w:space="0"/>
              <w:right w:val="single" w:color="auto" w:sz="4" w:space="0"/>
            </w:tcBorders>
            <w:vAlign w:val="center"/>
          </w:tcPr>
          <w:p w14:paraId="2DEB5752">
            <w:pPr>
              <w:spacing w:line="360" w:lineRule="auto"/>
              <w:jc w:val="left"/>
              <w:rPr>
                <w:highlight w:val="none"/>
              </w:rPr>
            </w:pPr>
            <w:r>
              <w:rPr>
                <w:rFonts w:hint="eastAsia"/>
                <w:highlight w:val="none"/>
              </w:rPr>
              <w:t>5</w:t>
            </w:r>
          </w:p>
        </w:tc>
        <w:tc>
          <w:tcPr>
            <w:tcW w:w="828" w:type="pct"/>
            <w:tcBorders>
              <w:top w:val="single" w:color="auto" w:sz="4" w:space="0"/>
              <w:left w:val="single" w:color="auto" w:sz="4" w:space="0"/>
              <w:bottom w:val="single" w:color="auto" w:sz="4" w:space="0"/>
              <w:right w:val="single" w:color="auto" w:sz="4" w:space="0"/>
            </w:tcBorders>
            <w:vAlign w:val="center"/>
          </w:tcPr>
          <w:p w14:paraId="3881A06F">
            <w:pPr>
              <w:spacing w:line="360" w:lineRule="auto"/>
              <w:jc w:val="left"/>
              <w:rPr>
                <w:highlight w:val="none"/>
              </w:rPr>
            </w:pPr>
            <w:r>
              <w:rPr>
                <w:highlight w:val="none"/>
              </w:rPr>
              <w:t>滤芯</w:t>
            </w:r>
          </w:p>
        </w:tc>
        <w:tc>
          <w:tcPr>
            <w:tcW w:w="1215" w:type="pct"/>
            <w:tcBorders>
              <w:top w:val="single" w:color="auto" w:sz="4" w:space="0"/>
              <w:left w:val="single" w:color="auto" w:sz="4" w:space="0"/>
              <w:bottom w:val="single" w:color="auto" w:sz="4" w:space="0"/>
              <w:right w:val="single" w:color="auto" w:sz="4" w:space="0"/>
            </w:tcBorders>
            <w:vAlign w:val="center"/>
          </w:tcPr>
          <w:p w14:paraId="5FF48C47">
            <w:pPr>
              <w:spacing w:line="360" w:lineRule="auto"/>
              <w:jc w:val="left"/>
              <w:rPr>
                <w:highlight w:val="none"/>
              </w:rPr>
            </w:pPr>
          </w:p>
        </w:tc>
        <w:tc>
          <w:tcPr>
            <w:tcW w:w="423" w:type="pct"/>
            <w:tcBorders>
              <w:top w:val="single" w:color="auto" w:sz="4" w:space="0"/>
              <w:left w:val="single" w:color="auto" w:sz="4" w:space="0"/>
              <w:bottom w:val="single" w:color="auto" w:sz="4" w:space="0"/>
              <w:right w:val="single" w:color="auto" w:sz="4" w:space="0"/>
            </w:tcBorders>
            <w:vAlign w:val="center"/>
          </w:tcPr>
          <w:p w14:paraId="43B66459">
            <w:pPr>
              <w:spacing w:line="360" w:lineRule="auto"/>
              <w:jc w:val="left"/>
              <w:rPr>
                <w:highlight w:val="none"/>
              </w:rPr>
            </w:pPr>
          </w:p>
        </w:tc>
        <w:tc>
          <w:tcPr>
            <w:tcW w:w="430" w:type="pct"/>
            <w:tcBorders>
              <w:top w:val="single" w:color="auto" w:sz="4" w:space="0"/>
              <w:left w:val="single" w:color="auto" w:sz="4" w:space="0"/>
              <w:bottom w:val="single" w:color="auto" w:sz="4" w:space="0"/>
              <w:right w:val="single" w:color="auto" w:sz="4" w:space="0"/>
            </w:tcBorders>
            <w:vAlign w:val="center"/>
          </w:tcPr>
          <w:p w14:paraId="47347B08">
            <w:pPr>
              <w:spacing w:line="360" w:lineRule="auto"/>
              <w:jc w:val="left"/>
              <w:rPr>
                <w:highlight w:val="none"/>
              </w:rPr>
            </w:pPr>
          </w:p>
        </w:tc>
        <w:tc>
          <w:tcPr>
            <w:tcW w:w="448" w:type="pct"/>
            <w:tcBorders>
              <w:top w:val="single" w:color="auto" w:sz="4" w:space="0"/>
              <w:left w:val="single" w:color="auto" w:sz="4" w:space="0"/>
              <w:bottom w:val="single" w:color="auto" w:sz="4" w:space="0"/>
              <w:right w:val="single" w:color="auto" w:sz="4" w:space="0"/>
            </w:tcBorders>
            <w:vAlign w:val="center"/>
          </w:tcPr>
          <w:p w14:paraId="4360AD6F">
            <w:pPr>
              <w:spacing w:line="360" w:lineRule="auto"/>
              <w:jc w:val="left"/>
              <w:rPr>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6EEA58C2">
            <w:pPr>
              <w:spacing w:line="360" w:lineRule="auto"/>
              <w:jc w:val="left"/>
              <w:rPr>
                <w:highlight w:val="none"/>
              </w:rPr>
            </w:pPr>
          </w:p>
        </w:tc>
        <w:tc>
          <w:tcPr>
            <w:tcW w:w="488" w:type="pct"/>
            <w:tcBorders>
              <w:top w:val="single" w:color="auto" w:sz="4" w:space="0"/>
              <w:left w:val="single" w:color="auto" w:sz="4" w:space="0"/>
              <w:bottom w:val="single" w:color="auto" w:sz="4" w:space="0"/>
              <w:right w:val="single" w:color="auto" w:sz="12" w:space="0"/>
            </w:tcBorders>
            <w:vAlign w:val="center"/>
          </w:tcPr>
          <w:p w14:paraId="2F5BF7B9">
            <w:pPr>
              <w:spacing w:line="360" w:lineRule="auto"/>
              <w:jc w:val="left"/>
              <w:rPr>
                <w:highlight w:val="none"/>
              </w:rPr>
            </w:pPr>
          </w:p>
        </w:tc>
      </w:tr>
    </w:tbl>
    <w:p w14:paraId="5B3C7EE5">
      <w:pPr>
        <w:spacing w:line="360" w:lineRule="auto"/>
        <w:jc w:val="left"/>
        <w:rPr>
          <w:highlight w:val="none"/>
        </w:rPr>
      </w:pPr>
      <w:r>
        <w:rPr>
          <w:highlight w:val="none"/>
        </w:rPr>
        <w:t xml:space="preserve">表3 </w:t>
      </w:r>
      <w:r>
        <w:rPr>
          <w:rFonts w:hint="eastAsia"/>
          <w:highlight w:val="none"/>
        </w:rPr>
        <w:t>6</w:t>
      </w:r>
      <w:r>
        <w:rPr>
          <w:highlight w:val="none"/>
        </w:rPr>
        <w:t>年生产运行所需备品备件及易损件清单（按设备总数量所需的量列出）</w:t>
      </w:r>
    </w:p>
    <w:tbl>
      <w:tblPr>
        <w:tblStyle w:val="21"/>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00"/>
        <w:gridCol w:w="1454"/>
        <w:gridCol w:w="2198"/>
        <w:gridCol w:w="744"/>
        <w:gridCol w:w="807"/>
        <w:gridCol w:w="803"/>
        <w:gridCol w:w="1314"/>
        <w:gridCol w:w="861"/>
      </w:tblGrid>
      <w:tr w14:paraId="650C48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jc w:val="center"/>
        </w:trPr>
        <w:tc>
          <w:tcPr>
            <w:tcW w:w="445" w:type="pct"/>
            <w:tcBorders>
              <w:top w:val="single" w:color="auto" w:sz="12" w:space="0"/>
              <w:left w:val="single" w:color="auto" w:sz="12" w:space="0"/>
              <w:bottom w:val="single" w:color="auto" w:sz="4" w:space="0"/>
              <w:right w:val="single" w:color="auto" w:sz="4" w:space="0"/>
            </w:tcBorders>
            <w:vAlign w:val="center"/>
          </w:tcPr>
          <w:p w14:paraId="3ADCF1A1">
            <w:pPr>
              <w:spacing w:line="360" w:lineRule="auto"/>
              <w:jc w:val="center"/>
              <w:rPr>
                <w:highlight w:val="none"/>
              </w:rPr>
            </w:pPr>
            <w:r>
              <w:rPr>
                <w:highlight w:val="none"/>
              </w:rPr>
              <w:t>序号</w:t>
            </w:r>
          </w:p>
        </w:tc>
        <w:tc>
          <w:tcPr>
            <w:tcW w:w="809" w:type="pct"/>
            <w:tcBorders>
              <w:top w:val="single" w:color="auto" w:sz="12" w:space="0"/>
              <w:left w:val="single" w:color="auto" w:sz="4" w:space="0"/>
              <w:bottom w:val="single" w:color="auto" w:sz="4" w:space="0"/>
              <w:right w:val="single" w:color="auto" w:sz="4" w:space="0"/>
            </w:tcBorders>
            <w:vAlign w:val="center"/>
          </w:tcPr>
          <w:p w14:paraId="492E908B">
            <w:pPr>
              <w:spacing w:line="360" w:lineRule="auto"/>
              <w:jc w:val="center"/>
              <w:rPr>
                <w:highlight w:val="none"/>
              </w:rPr>
            </w:pPr>
            <w:r>
              <w:rPr>
                <w:highlight w:val="none"/>
              </w:rPr>
              <w:t>名称</w:t>
            </w:r>
          </w:p>
        </w:tc>
        <w:tc>
          <w:tcPr>
            <w:tcW w:w="1223" w:type="pct"/>
            <w:tcBorders>
              <w:top w:val="single" w:color="auto" w:sz="12" w:space="0"/>
              <w:left w:val="single" w:color="auto" w:sz="4" w:space="0"/>
              <w:bottom w:val="single" w:color="auto" w:sz="4" w:space="0"/>
              <w:right w:val="single" w:color="auto" w:sz="4" w:space="0"/>
            </w:tcBorders>
            <w:vAlign w:val="center"/>
          </w:tcPr>
          <w:p w14:paraId="1A6C0348">
            <w:pPr>
              <w:spacing w:line="360" w:lineRule="auto"/>
              <w:jc w:val="center"/>
              <w:rPr>
                <w:highlight w:val="none"/>
              </w:rPr>
            </w:pPr>
            <w:r>
              <w:rPr>
                <w:highlight w:val="none"/>
              </w:rPr>
              <w:t>规格型号</w:t>
            </w:r>
          </w:p>
        </w:tc>
        <w:tc>
          <w:tcPr>
            <w:tcW w:w="414" w:type="pct"/>
            <w:tcBorders>
              <w:top w:val="single" w:color="auto" w:sz="12" w:space="0"/>
              <w:left w:val="single" w:color="auto" w:sz="4" w:space="0"/>
              <w:bottom w:val="single" w:color="auto" w:sz="4" w:space="0"/>
              <w:right w:val="single" w:color="auto" w:sz="4" w:space="0"/>
            </w:tcBorders>
            <w:vAlign w:val="center"/>
          </w:tcPr>
          <w:p w14:paraId="3CC6B261">
            <w:pPr>
              <w:spacing w:line="360" w:lineRule="auto"/>
              <w:jc w:val="center"/>
              <w:rPr>
                <w:highlight w:val="none"/>
              </w:rPr>
            </w:pPr>
            <w:r>
              <w:rPr>
                <w:highlight w:val="none"/>
              </w:rPr>
              <w:t>单位</w:t>
            </w:r>
          </w:p>
        </w:tc>
        <w:tc>
          <w:tcPr>
            <w:tcW w:w="449" w:type="pct"/>
            <w:tcBorders>
              <w:top w:val="single" w:color="auto" w:sz="12" w:space="0"/>
              <w:left w:val="single" w:color="auto" w:sz="4" w:space="0"/>
              <w:bottom w:val="single" w:color="auto" w:sz="4" w:space="0"/>
              <w:right w:val="single" w:color="auto" w:sz="4" w:space="0"/>
            </w:tcBorders>
            <w:vAlign w:val="center"/>
          </w:tcPr>
          <w:p w14:paraId="2DB6092F">
            <w:pPr>
              <w:spacing w:line="360" w:lineRule="auto"/>
              <w:jc w:val="center"/>
              <w:rPr>
                <w:highlight w:val="none"/>
              </w:rPr>
            </w:pPr>
            <w:r>
              <w:rPr>
                <w:highlight w:val="none"/>
              </w:rPr>
              <w:t>数量</w:t>
            </w:r>
          </w:p>
        </w:tc>
        <w:tc>
          <w:tcPr>
            <w:tcW w:w="447" w:type="pct"/>
            <w:tcBorders>
              <w:top w:val="single" w:color="auto" w:sz="12" w:space="0"/>
              <w:left w:val="single" w:color="auto" w:sz="4" w:space="0"/>
              <w:bottom w:val="single" w:color="auto" w:sz="4" w:space="0"/>
              <w:right w:val="single" w:color="auto" w:sz="4" w:space="0"/>
            </w:tcBorders>
            <w:vAlign w:val="center"/>
          </w:tcPr>
          <w:p w14:paraId="3B8B10AA">
            <w:pPr>
              <w:spacing w:line="360" w:lineRule="auto"/>
              <w:jc w:val="center"/>
              <w:rPr>
                <w:highlight w:val="none"/>
              </w:rPr>
            </w:pPr>
            <w:r>
              <w:rPr>
                <w:highlight w:val="none"/>
              </w:rPr>
              <w:t>产地</w:t>
            </w:r>
          </w:p>
        </w:tc>
        <w:tc>
          <w:tcPr>
            <w:tcW w:w="731" w:type="pct"/>
            <w:tcBorders>
              <w:top w:val="single" w:color="auto" w:sz="12" w:space="0"/>
              <w:left w:val="single" w:color="auto" w:sz="4" w:space="0"/>
              <w:bottom w:val="single" w:color="auto" w:sz="4" w:space="0"/>
              <w:right w:val="single" w:color="auto" w:sz="4" w:space="0"/>
            </w:tcBorders>
            <w:vAlign w:val="center"/>
          </w:tcPr>
          <w:p w14:paraId="610B1343">
            <w:pPr>
              <w:spacing w:line="360" w:lineRule="auto"/>
              <w:jc w:val="center"/>
              <w:rPr>
                <w:highlight w:val="none"/>
              </w:rPr>
            </w:pPr>
            <w:r>
              <w:rPr>
                <w:highlight w:val="none"/>
              </w:rPr>
              <w:t>生产厂家</w:t>
            </w:r>
          </w:p>
        </w:tc>
        <w:tc>
          <w:tcPr>
            <w:tcW w:w="479" w:type="pct"/>
            <w:tcBorders>
              <w:top w:val="single" w:color="auto" w:sz="12" w:space="0"/>
              <w:left w:val="single" w:color="auto" w:sz="4" w:space="0"/>
              <w:bottom w:val="single" w:color="auto" w:sz="4" w:space="0"/>
              <w:right w:val="single" w:color="auto" w:sz="12" w:space="0"/>
            </w:tcBorders>
            <w:vAlign w:val="center"/>
          </w:tcPr>
          <w:p w14:paraId="00EED273">
            <w:pPr>
              <w:spacing w:line="360" w:lineRule="auto"/>
              <w:jc w:val="center"/>
              <w:rPr>
                <w:highlight w:val="none"/>
              </w:rPr>
            </w:pPr>
            <w:r>
              <w:rPr>
                <w:highlight w:val="none"/>
              </w:rPr>
              <w:t>备注</w:t>
            </w:r>
          </w:p>
        </w:tc>
      </w:tr>
      <w:tr w14:paraId="25973D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8" w:hRule="atLeast"/>
          <w:jc w:val="center"/>
        </w:trPr>
        <w:tc>
          <w:tcPr>
            <w:tcW w:w="445" w:type="pct"/>
            <w:tcBorders>
              <w:top w:val="single" w:color="auto" w:sz="4" w:space="0"/>
              <w:left w:val="single" w:color="auto" w:sz="12" w:space="0"/>
              <w:bottom w:val="single" w:color="auto" w:sz="4" w:space="0"/>
              <w:right w:val="single" w:color="auto" w:sz="4" w:space="0"/>
            </w:tcBorders>
            <w:vAlign w:val="center"/>
          </w:tcPr>
          <w:p w14:paraId="23532963">
            <w:pPr>
              <w:spacing w:line="360" w:lineRule="auto"/>
              <w:jc w:val="left"/>
              <w:rPr>
                <w:highlight w:val="none"/>
              </w:rPr>
            </w:pPr>
            <w:r>
              <w:rPr>
                <w:highlight w:val="none"/>
              </w:rPr>
              <w:t>1</w:t>
            </w:r>
          </w:p>
        </w:tc>
        <w:tc>
          <w:tcPr>
            <w:tcW w:w="809" w:type="pct"/>
            <w:tcBorders>
              <w:top w:val="single" w:color="auto" w:sz="4" w:space="0"/>
              <w:left w:val="single" w:color="auto" w:sz="4" w:space="0"/>
              <w:bottom w:val="single" w:color="auto" w:sz="4" w:space="0"/>
              <w:right w:val="single" w:color="auto" w:sz="4" w:space="0"/>
            </w:tcBorders>
            <w:vAlign w:val="center"/>
          </w:tcPr>
          <w:p w14:paraId="486792A1">
            <w:pPr>
              <w:spacing w:line="360" w:lineRule="auto"/>
              <w:jc w:val="left"/>
              <w:rPr>
                <w:highlight w:val="none"/>
              </w:rPr>
            </w:pPr>
          </w:p>
        </w:tc>
        <w:tc>
          <w:tcPr>
            <w:tcW w:w="1223" w:type="pct"/>
            <w:tcBorders>
              <w:top w:val="single" w:color="auto" w:sz="4" w:space="0"/>
              <w:left w:val="single" w:color="auto" w:sz="4" w:space="0"/>
              <w:bottom w:val="single" w:color="auto" w:sz="4" w:space="0"/>
              <w:right w:val="single" w:color="auto" w:sz="4" w:space="0"/>
            </w:tcBorders>
            <w:vAlign w:val="center"/>
          </w:tcPr>
          <w:p w14:paraId="48711842">
            <w:pPr>
              <w:spacing w:line="360" w:lineRule="auto"/>
              <w:jc w:val="left"/>
              <w:rPr>
                <w:highlight w:val="none"/>
              </w:rPr>
            </w:pPr>
          </w:p>
        </w:tc>
        <w:tc>
          <w:tcPr>
            <w:tcW w:w="414" w:type="pct"/>
            <w:tcBorders>
              <w:top w:val="single" w:color="auto" w:sz="4" w:space="0"/>
              <w:left w:val="single" w:color="auto" w:sz="4" w:space="0"/>
              <w:bottom w:val="single" w:color="auto" w:sz="4" w:space="0"/>
              <w:right w:val="single" w:color="auto" w:sz="4" w:space="0"/>
            </w:tcBorders>
            <w:vAlign w:val="center"/>
          </w:tcPr>
          <w:p w14:paraId="35BC79CA">
            <w:pPr>
              <w:spacing w:line="360" w:lineRule="auto"/>
              <w:jc w:val="left"/>
              <w:rPr>
                <w:highlight w:val="none"/>
              </w:rPr>
            </w:pPr>
          </w:p>
        </w:tc>
        <w:tc>
          <w:tcPr>
            <w:tcW w:w="449" w:type="pct"/>
            <w:tcBorders>
              <w:top w:val="single" w:color="auto" w:sz="4" w:space="0"/>
              <w:left w:val="single" w:color="auto" w:sz="4" w:space="0"/>
              <w:bottom w:val="single" w:color="auto" w:sz="4" w:space="0"/>
              <w:right w:val="single" w:color="auto" w:sz="4" w:space="0"/>
            </w:tcBorders>
            <w:vAlign w:val="center"/>
          </w:tcPr>
          <w:p w14:paraId="1A98FDBF">
            <w:pPr>
              <w:spacing w:line="360" w:lineRule="auto"/>
              <w:jc w:val="left"/>
              <w:rPr>
                <w:highlight w:val="none"/>
              </w:rPr>
            </w:pPr>
          </w:p>
        </w:tc>
        <w:tc>
          <w:tcPr>
            <w:tcW w:w="447" w:type="pct"/>
            <w:tcBorders>
              <w:top w:val="single" w:color="auto" w:sz="4" w:space="0"/>
              <w:left w:val="single" w:color="auto" w:sz="4" w:space="0"/>
              <w:bottom w:val="single" w:color="auto" w:sz="4" w:space="0"/>
              <w:right w:val="single" w:color="auto" w:sz="4" w:space="0"/>
            </w:tcBorders>
            <w:vAlign w:val="center"/>
          </w:tcPr>
          <w:p w14:paraId="7A4B472C">
            <w:pPr>
              <w:spacing w:line="360" w:lineRule="auto"/>
              <w:jc w:val="left"/>
              <w:rPr>
                <w:highlight w:val="none"/>
              </w:rPr>
            </w:pPr>
          </w:p>
        </w:tc>
        <w:tc>
          <w:tcPr>
            <w:tcW w:w="731" w:type="pct"/>
            <w:tcBorders>
              <w:top w:val="single" w:color="auto" w:sz="4" w:space="0"/>
              <w:left w:val="single" w:color="auto" w:sz="4" w:space="0"/>
              <w:bottom w:val="single" w:color="auto" w:sz="4" w:space="0"/>
              <w:right w:val="single" w:color="auto" w:sz="4" w:space="0"/>
            </w:tcBorders>
            <w:vAlign w:val="center"/>
          </w:tcPr>
          <w:p w14:paraId="34F66B6E">
            <w:pPr>
              <w:spacing w:line="360" w:lineRule="auto"/>
              <w:jc w:val="left"/>
              <w:rPr>
                <w:highlight w:val="none"/>
              </w:rPr>
            </w:pPr>
          </w:p>
        </w:tc>
        <w:tc>
          <w:tcPr>
            <w:tcW w:w="479" w:type="pct"/>
            <w:tcBorders>
              <w:top w:val="single" w:color="auto" w:sz="4" w:space="0"/>
              <w:left w:val="single" w:color="auto" w:sz="4" w:space="0"/>
              <w:bottom w:val="single" w:color="auto" w:sz="4" w:space="0"/>
              <w:right w:val="single" w:color="auto" w:sz="12" w:space="0"/>
            </w:tcBorders>
            <w:vAlign w:val="center"/>
          </w:tcPr>
          <w:p w14:paraId="6C842BF5">
            <w:pPr>
              <w:spacing w:line="360" w:lineRule="auto"/>
              <w:jc w:val="left"/>
              <w:rPr>
                <w:highlight w:val="none"/>
              </w:rPr>
            </w:pPr>
          </w:p>
        </w:tc>
      </w:tr>
      <w:tr w14:paraId="3354D3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8" w:hRule="atLeast"/>
          <w:jc w:val="center"/>
        </w:trPr>
        <w:tc>
          <w:tcPr>
            <w:tcW w:w="445" w:type="pct"/>
            <w:tcBorders>
              <w:top w:val="single" w:color="auto" w:sz="4" w:space="0"/>
              <w:left w:val="single" w:color="auto" w:sz="12" w:space="0"/>
              <w:bottom w:val="single" w:color="auto" w:sz="12" w:space="0"/>
              <w:right w:val="single" w:color="auto" w:sz="4" w:space="0"/>
            </w:tcBorders>
            <w:vAlign w:val="center"/>
          </w:tcPr>
          <w:p w14:paraId="361B8BBC">
            <w:pPr>
              <w:spacing w:line="360" w:lineRule="auto"/>
              <w:jc w:val="left"/>
              <w:rPr>
                <w:highlight w:val="none"/>
              </w:rPr>
            </w:pPr>
            <w:r>
              <w:rPr>
                <w:highlight w:val="none"/>
              </w:rPr>
              <w:t>2</w:t>
            </w:r>
          </w:p>
        </w:tc>
        <w:tc>
          <w:tcPr>
            <w:tcW w:w="809" w:type="pct"/>
            <w:tcBorders>
              <w:top w:val="single" w:color="auto" w:sz="4" w:space="0"/>
              <w:left w:val="single" w:color="auto" w:sz="4" w:space="0"/>
              <w:bottom w:val="single" w:color="auto" w:sz="12" w:space="0"/>
              <w:right w:val="single" w:color="auto" w:sz="4" w:space="0"/>
            </w:tcBorders>
            <w:vAlign w:val="center"/>
          </w:tcPr>
          <w:p w14:paraId="59CC73AD">
            <w:pPr>
              <w:spacing w:line="360" w:lineRule="auto"/>
              <w:jc w:val="left"/>
              <w:rPr>
                <w:highlight w:val="none"/>
              </w:rPr>
            </w:pPr>
          </w:p>
        </w:tc>
        <w:tc>
          <w:tcPr>
            <w:tcW w:w="1223" w:type="pct"/>
            <w:tcBorders>
              <w:top w:val="single" w:color="auto" w:sz="4" w:space="0"/>
              <w:left w:val="single" w:color="auto" w:sz="4" w:space="0"/>
              <w:bottom w:val="single" w:color="auto" w:sz="12" w:space="0"/>
              <w:right w:val="single" w:color="auto" w:sz="4" w:space="0"/>
            </w:tcBorders>
            <w:vAlign w:val="center"/>
          </w:tcPr>
          <w:p w14:paraId="137E9F86">
            <w:pPr>
              <w:spacing w:line="360" w:lineRule="auto"/>
              <w:jc w:val="left"/>
              <w:rPr>
                <w:highlight w:val="none"/>
              </w:rPr>
            </w:pPr>
          </w:p>
        </w:tc>
        <w:tc>
          <w:tcPr>
            <w:tcW w:w="414" w:type="pct"/>
            <w:tcBorders>
              <w:top w:val="single" w:color="auto" w:sz="4" w:space="0"/>
              <w:left w:val="single" w:color="auto" w:sz="4" w:space="0"/>
              <w:bottom w:val="single" w:color="auto" w:sz="12" w:space="0"/>
              <w:right w:val="single" w:color="auto" w:sz="4" w:space="0"/>
            </w:tcBorders>
            <w:vAlign w:val="center"/>
          </w:tcPr>
          <w:p w14:paraId="7BBA8BD4">
            <w:pPr>
              <w:spacing w:line="360" w:lineRule="auto"/>
              <w:jc w:val="left"/>
              <w:rPr>
                <w:highlight w:val="none"/>
              </w:rPr>
            </w:pPr>
          </w:p>
        </w:tc>
        <w:tc>
          <w:tcPr>
            <w:tcW w:w="449" w:type="pct"/>
            <w:tcBorders>
              <w:top w:val="single" w:color="auto" w:sz="4" w:space="0"/>
              <w:left w:val="single" w:color="auto" w:sz="4" w:space="0"/>
              <w:bottom w:val="single" w:color="auto" w:sz="12" w:space="0"/>
              <w:right w:val="single" w:color="auto" w:sz="4" w:space="0"/>
            </w:tcBorders>
            <w:vAlign w:val="center"/>
          </w:tcPr>
          <w:p w14:paraId="3E932E0A">
            <w:pPr>
              <w:spacing w:line="360" w:lineRule="auto"/>
              <w:jc w:val="left"/>
              <w:rPr>
                <w:highlight w:val="none"/>
              </w:rPr>
            </w:pPr>
          </w:p>
        </w:tc>
        <w:tc>
          <w:tcPr>
            <w:tcW w:w="447" w:type="pct"/>
            <w:tcBorders>
              <w:top w:val="single" w:color="auto" w:sz="4" w:space="0"/>
              <w:left w:val="single" w:color="auto" w:sz="4" w:space="0"/>
              <w:bottom w:val="single" w:color="auto" w:sz="12" w:space="0"/>
              <w:right w:val="single" w:color="auto" w:sz="4" w:space="0"/>
            </w:tcBorders>
            <w:vAlign w:val="center"/>
          </w:tcPr>
          <w:p w14:paraId="2F5A105F">
            <w:pPr>
              <w:spacing w:line="360" w:lineRule="auto"/>
              <w:jc w:val="left"/>
              <w:rPr>
                <w:highlight w:val="none"/>
              </w:rPr>
            </w:pPr>
          </w:p>
        </w:tc>
        <w:tc>
          <w:tcPr>
            <w:tcW w:w="731" w:type="pct"/>
            <w:tcBorders>
              <w:top w:val="single" w:color="auto" w:sz="4" w:space="0"/>
              <w:left w:val="single" w:color="auto" w:sz="4" w:space="0"/>
              <w:bottom w:val="single" w:color="auto" w:sz="12" w:space="0"/>
              <w:right w:val="single" w:color="auto" w:sz="4" w:space="0"/>
            </w:tcBorders>
            <w:vAlign w:val="center"/>
          </w:tcPr>
          <w:p w14:paraId="2D32E514">
            <w:pPr>
              <w:spacing w:line="360" w:lineRule="auto"/>
              <w:jc w:val="left"/>
              <w:rPr>
                <w:highlight w:val="none"/>
              </w:rPr>
            </w:pPr>
          </w:p>
        </w:tc>
        <w:tc>
          <w:tcPr>
            <w:tcW w:w="479" w:type="pct"/>
            <w:tcBorders>
              <w:top w:val="single" w:color="auto" w:sz="4" w:space="0"/>
              <w:left w:val="single" w:color="auto" w:sz="4" w:space="0"/>
              <w:bottom w:val="single" w:color="auto" w:sz="12" w:space="0"/>
              <w:right w:val="single" w:color="auto" w:sz="12" w:space="0"/>
            </w:tcBorders>
            <w:vAlign w:val="center"/>
          </w:tcPr>
          <w:p w14:paraId="148AFE92">
            <w:pPr>
              <w:spacing w:line="360" w:lineRule="auto"/>
              <w:jc w:val="left"/>
              <w:rPr>
                <w:highlight w:val="none"/>
              </w:rPr>
            </w:pPr>
          </w:p>
        </w:tc>
      </w:tr>
    </w:tbl>
    <w:p w14:paraId="3306DCEB">
      <w:pPr>
        <w:spacing w:line="360" w:lineRule="auto"/>
        <w:jc w:val="left"/>
        <w:rPr>
          <w:highlight w:val="none"/>
        </w:rPr>
      </w:pPr>
    </w:p>
    <w:p w14:paraId="2F3C66E5">
      <w:pPr>
        <w:pStyle w:val="2"/>
        <w:rPr>
          <w:highlight w:val="none"/>
        </w:rPr>
      </w:pPr>
    </w:p>
    <w:p w14:paraId="4678E849">
      <w:pPr>
        <w:pStyle w:val="2"/>
        <w:rPr>
          <w:highlight w:val="none"/>
        </w:rPr>
      </w:pPr>
    </w:p>
    <w:p w14:paraId="3B1C9E63">
      <w:pPr>
        <w:pStyle w:val="2"/>
        <w:rPr>
          <w:highlight w:val="none"/>
        </w:rPr>
      </w:pPr>
    </w:p>
    <w:p w14:paraId="2955E47C">
      <w:pPr>
        <w:spacing w:line="360" w:lineRule="auto"/>
        <w:jc w:val="left"/>
        <w:rPr>
          <w:highlight w:val="none"/>
        </w:rPr>
      </w:pPr>
      <w:r>
        <w:rPr>
          <w:highlight w:val="none"/>
        </w:rPr>
        <w:t>表4 专用工具清单（按设备总数量所需的量列出）</w:t>
      </w:r>
    </w:p>
    <w:tbl>
      <w:tblPr>
        <w:tblStyle w:val="21"/>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98"/>
        <w:gridCol w:w="2191"/>
        <w:gridCol w:w="1465"/>
        <w:gridCol w:w="787"/>
        <w:gridCol w:w="742"/>
        <w:gridCol w:w="854"/>
        <w:gridCol w:w="1296"/>
        <w:gridCol w:w="848"/>
      </w:tblGrid>
      <w:tr w14:paraId="01F532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44" w:type="pct"/>
            <w:tcBorders>
              <w:top w:val="single" w:color="auto" w:sz="12" w:space="0"/>
              <w:left w:val="single" w:color="auto" w:sz="12" w:space="0"/>
              <w:bottom w:val="single" w:color="auto" w:sz="4" w:space="0"/>
              <w:right w:val="single" w:color="auto" w:sz="4" w:space="0"/>
            </w:tcBorders>
            <w:vAlign w:val="center"/>
          </w:tcPr>
          <w:p w14:paraId="5F2B3CF7">
            <w:pPr>
              <w:spacing w:line="360" w:lineRule="auto"/>
              <w:jc w:val="center"/>
              <w:rPr>
                <w:highlight w:val="none"/>
              </w:rPr>
            </w:pPr>
            <w:r>
              <w:rPr>
                <w:highlight w:val="none"/>
              </w:rPr>
              <w:t>序号</w:t>
            </w:r>
          </w:p>
        </w:tc>
        <w:tc>
          <w:tcPr>
            <w:tcW w:w="1219" w:type="pct"/>
            <w:tcBorders>
              <w:top w:val="single" w:color="auto" w:sz="12" w:space="0"/>
              <w:left w:val="single" w:color="auto" w:sz="4" w:space="0"/>
              <w:bottom w:val="single" w:color="auto" w:sz="4" w:space="0"/>
              <w:right w:val="single" w:color="auto" w:sz="4" w:space="0"/>
            </w:tcBorders>
            <w:vAlign w:val="center"/>
          </w:tcPr>
          <w:p w14:paraId="18CEBA5B">
            <w:pPr>
              <w:spacing w:line="360" w:lineRule="auto"/>
              <w:jc w:val="center"/>
              <w:rPr>
                <w:highlight w:val="none"/>
              </w:rPr>
            </w:pPr>
            <w:r>
              <w:rPr>
                <w:highlight w:val="none"/>
              </w:rPr>
              <w:t>名称</w:t>
            </w:r>
          </w:p>
        </w:tc>
        <w:tc>
          <w:tcPr>
            <w:tcW w:w="815" w:type="pct"/>
            <w:tcBorders>
              <w:top w:val="single" w:color="auto" w:sz="12" w:space="0"/>
              <w:left w:val="single" w:color="auto" w:sz="4" w:space="0"/>
              <w:bottom w:val="single" w:color="auto" w:sz="4" w:space="0"/>
              <w:right w:val="single" w:color="auto" w:sz="4" w:space="0"/>
            </w:tcBorders>
            <w:vAlign w:val="center"/>
          </w:tcPr>
          <w:p w14:paraId="4DCFFABE">
            <w:pPr>
              <w:spacing w:line="360" w:lineRule="auto"/>
              <w:jc w:val="center"/>
              <w:rPr>
                <w:highlight w:val="none"/>
              </w:rPr>
            </w:pPr>
            <w:r>
              <w:rPr>
                <w:highlight w:val="none"/>
              </w:rPr>
              <w:t>规格型号</w:t>
            </w:r>
          </w:p>
        </w:tc>
        <w:tc>
          <w:tcPr>
            <w:tcW w:w="438" w:type="pct"/>
            <w:tcBorders>
              <w:top w:val="single" w:color="auto" w:sz="12" w:space="0"/>
              <w:left w:val="single" w:color="auto" w:sz="4" w:space="0"/>
              <w:bottom w:val="single" w:color="auto" w:sz="4" w:space="0"/>
              <w:right w:val="single" w:color="auto" w:sz="4" w:space="0"/>
            </w:tcBorders>
            <w:vAlign w:val="center"/>
          </w:tcPr>
          <w:p w14:paraId="3ED32204">
            <w:pPr>
              <w:spacing w:line="360" w:lineRule="auto"/>
              <w:jc w:val="center"/>
              <w:rPr>
                <w:highlight w:val="none"/>
              </w:rPr>
            </w:pPr>
            <w:r>
              <w:rPr>
                <w:highlight w:val="none"/>
              </w:rPr>
              <w:t>单位</w:t>
            </w:r>
          </w:p>
        </w:tc>
        <w:tc>
          <w:tcPr>
            <w:tcW w:w="413" w:type="pct"/>
            <w:tcBorders>
              <w:top w:val="single" w:color="auto" w:sz="12" w:space="0"/>
              <w:left w:val="single" w:color="auto" w:sz="4" w:space="0"/>
              <w:bottom w:val="single" w:color="auto" w:sz="4" w:space="0"/>
              <w:right w:val="single" w:color="auto" w:sz="4" w:space="0"/>
            </w:tcBorders>
            <w:vAlign w:val="center"/>
          </w:tcPr>
          <w:p w14:paraId="44CCC8DF">
            <w:pPr>
              <w:spacing w:line="360" w:lineRule="auto"/>
              <w:jc w:val="center"/>
              <w:rPr>
                <w:highlight w:val="none"/>
              </w:rPr>
            </w:pPr>
            <w:r>
              <w:rPr>
                <w:highlight w:val="none"/>
              </w:rPr>
              <w:t>数量</w:t>
            </w:r>
          </w:p>
        </w:tc>
        <w:tc>
          <w:tcPr>
            <w:tcW w:w="475" w:type="pct"/>
            <w:tcBorders>
              <w:top w:val="single" w:color="auto" w:sz="12" w:space="0"/>
              <w:left w:val="single" w:color="auto" w:sz="4" w:space="0"/>
              <w:bottom w:val="single" w:color="auto" w:sz="4" w:space="0"/>
              <w:right w:val="single" w:color="auto" w:sz="4" w:space="0"/>
            </w:tcBorders>
            <w:vAlign w:val="center"/>
          </w:tcPr>
          <w:p w14:paraId="7F42EF8B">
            <w:pPr>
              <w:spacing w:line="360" w:lineRule="auto"/>
              <w:jc w:val="center"/>
              <w:rPr>
                <w:highlight w:val="none"/>
              </w:rPr>
            </w:pPr>
            <w:r>
              <w:rPr>
                <w:highlight w:val="none"/>
              </w:rPr>
              <w:t>产地</w:t>
            </w:r>
          </w:p>
        </w:tc>
        <w:tc>
          <w:tcPr>
            <w:tcW w:w="721" w:type="pct"/>
            <w:tcBorders>
              <w:top w:val="single" w:color="auto" w:sz="12" w:space="0"/>
              <w:left w:val="single" w:color="auto" w:sz="4" w:space="0"/>
              <w:bottom w:val="single" w:color="auto" w:sz="4" w:space="0"/>
              <w:right w:val="single" w:color="auto" w:sz="4" w:space="0"/>
            </w:tcBorders>
            <w:vAlign w:val="center"/>
          </w:tcPr>
          <w:p w14:paraId="45ECB436">
            <w:pPr>
              <w:spacing w:line="360" w:lineRule="auto"/>
              <w:jc w:val="center"/>
              <w:rPr>
                <w:highlight w:val="none"/>
              </w:rPr>
            </w:pPr>
            <w:r>
              <w:rPr>
                <w:highlight w:val="none"/>
              </w:rPr>
              <w:t>生产厂家</w:t>
            </w:r>
          </w:p>
        </w:tc>
        <w:tc>
          <w:tcPr>
            <w:tcW w:w="472" w:type="pct"/>
            <w:tcBorders>
              <w:top w:val="single" w:color="auto" w:sz="12" w:space="0"/>
              <w:left w:val="single" w:color="auto" w:sz="4" w:space="0"/>
              <w:bottom w:val="single" w:color="auto" w:sz="4" w:space="0"/>
              <w:right w:val="single" w:color="auto" w:sz="12" w:space="0"/>
            </w:tcBorders>
            <w:vAlign w:val="center"/>
          </w:tcPr>
          <w:p w14:paraId="24CA5A41">
            <w:pPr>
              <w:spacing w:line="360" w:lineRule="auto"/>
              <w:jc w:val="center"/>
              <w:rPr>
                <w:highlight w:val="none"/>
              </w:rPr>
            </w:pPr>
            <w:r>
              <w:rPr>
                <w:highlight w:val="none"/>
              </w:rPr>
              <w:t>备注</w:t>
            </w:r>
          </w:p>
        </w:tc>
      </w:tr>
      <w:tr w14:paraId="49F4D6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8" w:hRule="atLeast"/>
          <w:tblHeader/>
          <w:jc w:val="center"/>
        </w:trPr>
        <w:tc>
          <w:tcPr>
            <w:tcW w:w="444" w:type="pct"/>
            <w:tcBorders>
              <w:top w:val="single" w:color="auto" w:sz="4" w:space="0"/>
              <w:left w:val="single" w:color="auto" w:sz="12" w:space="0"/>
              <w:bottom w:val="single" w:color="auto" w:sz="4" w:space="0"/>
              <w:right w:val="single" w:color="auto" w:sz="4" w:space="0"/>
            </w:tcBorders>
            <w:vAlign w:val="center"/>
          </w:tcPr>
          <w:p w14:paraId="36AE7FBE">
            <w:pPr>
              <w:spacing w:line="360" w:lineRule="auto"/>
              <w:jc w:val="left"/>
              <w:rPr>
                <w:highlight w:val="none"/>
              </w:rPr>
            </w:pPr>
            <w:r>
              <w:rPr>
                <w:highlight w:val="none"/>
              </w:rPr>
              <w:t>1</w:t>
            </w:r>
          </w:p>
        </w:tc>
        <w:tc>
          <w:tcPr>
            <w:tcW w:w="1219" w:type="pct"/>
            <w:tcBorders>
              <w:top w:val="single" w:color="auto" w:sz="4" w:space="0"/>
              <w:left w:val="single" w:color="auto" w:sz="4" w:space="0"/>
              <w:bottom w:val="single" w:color="auto" w:sz="4" w:space="0"/>
              <w:right w:val="single" w:color="auto" w:sz="4" w:space="0"/>
            </w:tcBorders>
            <w:shd w:val="clear" w:color="auto" w:fill="auto"/>
          </w:tcPr>
          <w:p w14:paraId="5F675BDD">
            <w:pPr>
              <w:rPr>
                <w:sz w:val="22"/>
                <w:szCs w:val="22"/>
                <w:highlight w:val="none"/>
              </w:rPr>
            </w:pPr>
            <w:r>
              <w:rPr>
                <w:rFonts w:hint="eastAsia"/>
                <w:sz w:val="22"/>
                <w:szCs w:val="22"/>
                <w:highlight w:val="none"/>
              </w:rPr>
              <w:t>反渗透膜拆卸专用工具</w:t>
            </w:r>
          </w:p>
        </w:tc>
        <w:tc>
          <w:tcPr>
            <w:tcW w:w="815" w:type="pct"/>
            <w:tcBorders>
              <w:top w:val="single" w:color="auto" w:sz="4" w:space="0"/>
              <w:left w:val="single" w:color="auto" w:sz="4" w:space="0"/>
              <w:bottom w:val="single" w:color="auto" w:sz="4" w:space="0"/>
              <w:right w:val="single" w:color="auto" w:sz="4" w:space="0"/>
            </w:tcBorders>
            <w:vAlign w:val="center"/>
          </w:tcPr>
          <w:p w14:paraId="1B3C14D7">
            <w:pPr>
              <w:spacing w:line="360" w:lineRule="auto"/>
              <w:jc w:val="left"/>
              <w:rPr>
                <w:highlight w:val="none"/>
              </w:rPr>
            </w:pPr>
          </w:p>
        </w:tc>
        <w:tc>
          <w:tcPr>
            <w:tcW w:w="438" w:type="pct"/>
            <w:tcBorders>
              <w:top w:val="single" w:color="auto" w:sz="4" w:space="0"/>
              <w:left w:val="single" w:color="auto" w:sz="4" w:space="0"/>
              <w:bottom w:val="single" w:color="auto" w:sz="4" w:space="0"/>
              <w:right w:val="single" w:color="auto" w:sz="4" w:space="0"/>
            </w:tcBorders>
            <w:shd w:val="clear" w:color="auto" w:fill="auto"/>
          </w:tcPr>
          <w:p w14:paraId="6AF830A1">
            <w:pPr>
              <w:rPr>
                <w:sz w:val="22"/>
                <w:szCs w:val="22"/>
                <w:highlight w:val="none"/>
              </w:rPr>
            </w:pPr>
            <w:r>
              <w:rPr>
                <w:rFonts w:hint="eastAsia"/>
                <w:sz w:val="22"/>
                <w:szCs w:val="22"/>
                <w:highlight w:val="none"/>
              </w:rPr>
              <w:t>套</w:t>
            </w:r>
          </w:p>
        </w:tc>
        <w:tc>
          <w:tcPr>
            <w:tcW w:w="413" w:type="pct"/>
            <w:tcBorders>
              <w:top w:val="single" w:color="auto" w:sz="4" w:space="0"/>
              <w:left w:val="single" w:color="auto" w:sz="4" w:space="0"/>
              <w:bottom w:val="single" w:color="auto" w:sz="4" w:space="0"/>
              <w:right w:val="single" w:color="auto" w:sz="4" w:space="0"/>
            </w:tcBorders>
            <w:shd w:val="clear" w:color="auto" w:fill="auto"/>
          </w:tcPr>
          <w:p w14:paraId="4E6E76FD">
            <w:pPr>
              <w:rPr>
                <w:sz w:val="22"/>
                <w:szCs w:val="22"/>
                <w:highlight w:val="none"/>
              </w:rPr>
            </w:pPr>
            <w:r>
              <w:rPr>
                <w:sz w:val="22"/>
                <w:szCs w:val="22"/>
                <w:highlight w:val="none"/>
              </w:rPr>
              <w:t>1</w:t>
            </w:r>
          </w:p>
        </w:tc>
        <w:tc>
          <w:tcPr>
            <w:tcW w:w="475" w:type="pct"/>
            <w:tcBorders>
              <w:top w:val="single" w:color="auto" w:sz="4" w:space="0"/>
              <w:left w:val="single" w:color="auto" w:sz="4" w:space="0"/>
              <w:bottom w:val="single" w:color="auto" w:sz="4" w:space="0"/>
              <w:right w:val="single" w:color="auto" w:sz="4" w:space="0"/>
            </w:tcBorders>
            <w:vAlign w:val="center"/>
          </w:tcPr>
          <w:p w14:paraId="7ED7B454">
            <w:pPr>
              <w:spacing w:line="360" w:lineRule="auto"/>
              <w:jc w:val="left"/>
              <w:rPr>
                <w:highlight w:val="none"/>
              </w:rPr>
            </w:pPr>
          </w:p>
        </w:tc>
        <w:tc>
          <w:tcPr>
            <w:tcW w:w="721" w:type="pct"/>
            <w:tcBorders>
              <w:top w:val="single" w:color="auto" w:sz="4" w:space="0"/>
              <w:left w:val="single" w:color="auto" w:sz="4" w:space="0"/>
              <w:bottom w:val="single" w:color="auto" w:sz="4" w:space="0"/>
              <w:right w:val="single" w:color="auto" w:sz="4" w:space="0"/>
            </w:tcBorders>
            <w:vAlign w:val="center"/>
          </w:tcPr>
          <w:p w14:paraId="342DF45A">
            <w:pPr>
              <w:spacing w:line="360" w:lineRule="auto"/>
              <w:jc w:val="left"/>
              <w:rPr>
                <w:highlight w:val="none"/>
              </w:rPr>
            </w:pPr>
          </w:p>
        </w:tc>
        <w:tc>
          <w:tcPr>
            <w:tcW w:w="472" w:type="pct"/>
            <w:tcBorders>
              <w:top w:val="single" w:color="auto" w:sz="4" w:space="0"/>
              <w:left w:val="single" w:color="auto" w:sz="4" w:space="0"/>
              <w:bottom w:val="single" w:color="auto" w:sz="4" w:space="0"/>
              <w:right w:val="single" w:color="auto" w:sz="12" w:space="0"/>
            </w:tcBorders>
            <w:vAlign w:val="center"/>
          </w:tcPr>
          <w:p w14:paraId="6203E1A8">
            <w:pPr>
              <w:spacing w:line="360" w:lineRule="auto"/>
              <w:jc w:val="left"/>
              <w:rPr>
                <w:highlight w:val="none"/>
              </w:rPr>
            </w:pPr>
          </w:p>
        </w:tc>
      </w:tr>
      <w:tr w14:paraId="793BEC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8" w:hRule="atLeast"/>
          <w:tblHeader/>
          <w:jc w:val="center"/>
        </w:trPr>
        <w:tc>
          <w:tcPr>
            <w:tcW w:w="444" w:type="pct"/>
            <w:tcBorders>
              <w:top w:val="single" w:color="auto" w:sz="4" w:space="0"/>
              <w:left w:val="single" w:color="auto" w:sz="12" w:space="0"/>
              <w:bottom w:val="single" w:color="auto" w:sz="4" w:space="0"/>
              <w:right w:val="single" w:color="auto" w:sz="4" w:space="0"/>
            </w:tcBorders>
            <w:vAlign w:val="center"/>
          </w:tcPr>
          <w:p w14:paraId="50D113BD">
            <w:pPr>
              <w:spacing w:line="360" w:lineRule="auto"/>
              <w:jc w:val="left"/>
              <w:rPr>
                <w:highlight w:val="none"/>
              </w:rPr>
            </w:pPr>
            <w:r>
              <w:rPr>
                <w:highlight w:val="none"/>
              </w:rPr>
              <w:t>2</w:t>
            </w:r>
          </w:p>
        </w:tc>
        <w:tc>
          <w:tcPr>
            <w:tcW w:w="1219" w:type="pct"/>
            <w:tcBorders>
              <w:top w:val="single" w:color="auto" w:sz="4" w:space="0"/>
              <w:left w:val="single" w:color="auto" w:sz="4" w:space="0"/>
              <w:bottom w:val="single" w:color="auto" w:sz="4" w:space="0"/>
              <w:right w:val="single" w:color="auto" w:sz="4" w:space="0"/>
            </w:tcBorders>
            <w:shd w:val="clear" w:color="auto" w:fill="auto"/>
          </w:tcPr>
          <w:p w14:paraId="7FEF24F4">
            <w:pPr>
              <w:rPr>
                <w:sz w:val="22"/>
                <w:szCs w:val="22"/>
                <w:highlight w:val="none"/>
              </w:rPr>
            </w:pPr>
            <w:r>
              <w:rPr>
                <w:rFonts w:hint="eastAsia"/>
                <w:sz w:val="22"/>
                <w:szCs w:val="22"/>
                <w:highlight w:val="none"/>
              </w:rPr>
              <w:t>超滤膜组件拆卸专用工具</w:t>
            </w:r>
          </w:p>
        </w:tc>
        <w:tc>
          <w:tcPr>
            <w:tcW w:w="815" w:type="pct"/>
            <w:tcBorders>
              <w:top w:val="single" w:color="auto" w:sz="4" w:space="0"/>
              <w:left w:val="single" w:color="auto" w:sz="4" w:space="0"/>
              <w:bottom w:val="single" w:color="auto" w:sz="4" w:space="0"/>
              <w:right w:val="single" w:color="auto" w:sz="4" w:space="0"/>
            </w:tcBorders>
            <w:vAlign w:val="center"/>
          </w:tcPr>
          <w:p w14:paraId="1469A90B">
            <w:pPr>
              <w:spacing w:line="360" w:lineRule="auto"/>
              <w:jc w:val="left"/>
              <w:rPr>
                <w:highlight w:val="none"/>
              </w:rPr>
            </w:pPr>
          </w:p>
        </w:tc>
        <w:tc>
          <w:tcPr>
            <w:tcW w:w="438" w:type="pct"/>
            <w:tcBorders>
              <w:top w:val="single" w:color="auto" w:sz="4" w:space="0"/>
              <w:left w:val="single" w:color="auto" w:sz="4" w:space="0"/>
              <w:bottom w:val="single" w:color="auto" w:sz="4" w:space="0"/>
              <w:right w:val="single" w:color="auto" w:sz="4" w:space="0"/>
            </w:tcBorders>
            <w:shd w:val="clear" w:color="auto" w:fill="auto"/>
          </w:tcPr>
          <w:p w14:paraId="3486BCF9">
            <w:pPr>
              <w:rPr>
                <w:sz w:val="22"/>
                <w:szCs w:val="22"/>
                <w:highlight w:val="none"/>
              </w:rPr>
            </w:pPr>
            <w:r>
              <w:rPr>
                <w:rFonts w:hint="eastAsia"/>
                <w:sz w:val="22"/>
                <w:szCs w:val="22"/>
                <w:highlight w:val="none"/>
              </w:rPr>
              <w:t>套</w:t>
            </w:r>
          </w:p>
        </w:tc>
        <w:tc>
          <w:tcPr>
            <w:tcW w:w="413" w:type="pct"/>
            <w:tcBorders>
              <w:top w:val="single" w:color="auto" w:sz="4" w:space="0"/>
              <w:left w:val="single" w:color="auto" w:sz="4" w:space="0"/>
              <w:bottom w:val="single" w:color="auto" w:sz="4" w:space="0"/>
              <w:right w:val="single" w:color="auto" w:sz="4" w:space="0"/>
            </w:tcBorders>
            <w:shd w:val="clear" w:color="auto" w:fill="auto"/>
          </w:tcPr>
          <w:p w14:paraId="300C7C37">
            <w:pPr>
              <w:rPr>
                <w:sz w:val="22"/>
                <w:szCs w:val="22"/>
                <w:highlight w:val="none"/>
              </w:rPr>
            </w:pPr>
            <w:r>
              <w:rPr>
                <w:sz w:val="22"/>
                <w:szCs w:val="22"/>
                <w:highlight w:val="none"/>
              </w:rPr>
              <w:t>1</w:t>
            </w:r>
          </w:p>
        </w:tc>
        <w:tc>
          <w:tcPr>
            <w:tcW w:w="475" w:type="pct"/>
            <w:tcBorders>
              <w:top w:val="single" w:color="auto" w:sz="4" w:space="0"/>
              <w:left w:val="single" w:color="auto" w:sz="4" w:space="0"/>
              <w:bottom w:val="single" w:color="auto" w:sz="4" w:space="0"/>
              <w:right w:val="single" w:color="auto" w:sz="4" w:space="0"/>
            </w:tcBorders>
            <w:vAlign w:val="center"/>
          </w:tcPr>
          <w:p w14:paraId="6A062910">
            <w:pPr>
              <w:spacing w:line="360" w:lineRule="auto"/>
              <w:jc w:val="left"/>
              <w:rPr>
                <w:highlight w:val="none"/>
              </w:rPr>
            </w:pPr>
          </w:p>
        </w:tc>
        <w:tc>
          <w:tcPr>
            <w:tcW w:w="721" w:type="pct"/>
            <w:tcBorders>
              <w:top w:val="single" w:color="auto" w:sz="4" w:space="0"/>
              <w:left w:val="single" w:color="auto" w:sz="4" w:space="0"/>
              <w:bottom w:val="single" w:color="auto" w:sz="4" w:space="0"/>
              <w:right w:val="single" w:color="auto" w:sz="4" w:space="0"/>
            </w:tcBorders>
            <w:vAlign w:val="center"/>
          </w:tcPr>
          <w:p w14:paraId="096237E9">
            <w:pPr>
              <w:spacing w:line="360" w:lineRule="auto"/>
              <w:jc w:val="left"/>
              <w:rPr>
                <w:highlight w:val="none"/>
              </w:rPr>
            </w:pPr>
          </w:p>
        </w:tc>
        <w:tc>
          <w:tcPr>
            <w:tcW w:w="472" w:type="pct"/>
            <w:tcBorders>
              <w:top w:val="single" w:color="auto" w:sz="4" w:space="0"/>
              <w:left w:val="single" w:color="auto" w:sz="4" w:space="0"/>
              <w:bottom w:val="single" w:color="auto" w:sz="4" w:space="0"/>
              <w:right w:val="single" w:color="auto" w:sz="12" w:space="0"/>
            </w:tcBorders>
            <w:vAlign w:val="center"/>
          </w:tcPr>
          <w:p w14:paraId="1807AB1B">
            <w:pPr>
              <w:spacing w:line="360" w:lineRule="auto"/>
              <w:jc w:val="left"/>
              <w:rPr>
                <w:highlight w:val="none"/>
              </w:rPr>
            </w:pPr>
          </w:p>
        </w:tc>
      </w:tr>
      <w:tr w14:paraId="134D44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8" w:hRule="atLeast"/>
          <w:tblHeader/>
          <w:jc w:val="center"/>
        </w:trPr>
        <w:tc>
          <w:tcPr>
            <w:tcW w:w="444" w:type="pct"/>
            <w:tcBorders>
              <w:top w:val="single" w:color="auto" w:sz="4" w:space="0"/>
              <w:left w:val="single" w:color="auto" w:sz="12" w:space="0"/>
              <w:bottom w:val="single" w:color="auto" w:sz="12" w:space="0"/>
              <w:right w:val="single" w:color="auto" w:sz="4" w:space="0"/>
            </w:tcBorders>
            <w:vAlign w:val="center"/>
          </w:tcPr>
          <w:p w14:paraId="0AFBEEFA">
            <w:pPr>
              <w:spacing w:line="360" w:lineRule="auto"/>
              <w:jc w:val="left"/>
              <w:rPr>
                <w:highlight w:val="none"/>
              </w:rPr>
            </w:pPr>
          </w:p>
        </w:tc>
        <w:tc>
          <w:tcPr>
            <w:tcW w:w="1219" w:type="pct"/>
            <w:tcBorders>
              <w:top w:val="single" w:color="auto" w:sz="4" w:space="0"/>
              <w:left w:val="single" w:color="auto" w:sz="4" w:space="0"/>
              <w:bottom w:val="single" w:color="auto" w:sz="12" w:space="0"/>
              <w:right w:val="single" w:color="auto" w:sz="4" w:space="0"/>
            </w:tcBorders>
            <w:shd w:val="clear" w:color="auto" w:fill="auto"/>
          </w:tcPr>
          <w:p w14:paraId="7E0BA1F1">
            <w:pPr>
              <w:rPr>
                <w:sz w:val="22"/>
                <w:szCs w:val="22"/>
                <w:highlight w:val="none"/>
              </w:rPr>
            </w:pPr>
          </w:p>
        </w:tc>
        <w:tc>
          <w:tcPr>
            <w:tcW w:w="815" w:type="pct"/>
            <w:tcBorders>
              <w:top w:val="single" w:color="auto" w:sz="4" w:space="0"/>
              <w:left w:val="single" w:color="auto" w:sz="4" w:space="0"/>
              <w:bottom w:val="single" w:color="auto" w:sz="12" w:space="0"/>
              <w:right w:val="single" w:color="auto" w:sz="4" w:space="0"/>
            </w:tcBorders>
            <w:vAlign w:val="center"/>
          </w:tcPr>
          <w:p w14:paraId="1F509270">
            <w:pPr>
              <w:spacing w:line="360" w:lineRule="auto"/>
              <w:jc w:val="left"/>
              <w:rPr>
                <w:highlight w:val="none"/>
              </w:rPr>
            </w:pPr>
          </w:p>
        </w:tc>
        <w:tc>
          <w:tcPr>
            <w:tcW w:w="438" w:type="pct"/>
            <w:tcBorders>
              <w:top w:val="single" w:color="auto" w:sz="4" w:space="0"/>
              <w:left w:val="single" w:color="auto" w:sz="4" w:space="0"/>
              <w:bottom w:val="single" w:color="auto" w:sz="12" w:space="0"/>
              <w:right w:val="single" w:color="auto" w:sz="4" w:space="0"/>
            </w:tcBorders>
            <w:vAlign w:val="center"/>
          </w:tcPr>
          <w:p w14:paraId="710E9E23">
            <w:pPr>
              <w:spacing w:line="360" w:lineRule="auto"/>
              <w:jc w:val="left"/>
              <w:rPr>
                <w:highlight w:val="none"/>
              </w:rPr>
            </w:pPr>
          </w:p>
        </w:tc>
        <w:tc>
          <w:tcPr>
            <w:tcW w:w="413" w:type="pct"/>
            <w:tcBorders>
              <w:top w:val="single" w:color="auto" w:sz="4" w:space="0"/>
              <w:left w:val="single" w:color="auto" w:sz="4" w:space="0"/>
              <w:bottom w:val="single" w:color="auto" w:sz="12" w:space="0"/>
              <w:right w:val="single" w:color="auto" w:sz="4" w:space="0"/>
            </w:tcBorders>
            <w:vAlign w:val="center"/>
          </w:tcPr>
          <w:p w14:paraId="58D5A18B">
            <w:pPr>
              <w:spacing w:line="360" w:lineRule="auto"/>
              <w:jc w:val="left"/>
              <w:rPr>
                <w:highlight w:val="none"/>
              </w:rPr>
            </w:pPr>
          </w:p>
        </w:tc>
        <w:tc>
          <w:tcPr>
            <w:tcW w:w="475" w:type="pct"/>
            <w:tcBorders>
              <w:top w:val="single" w:color="auto" w:sz="4" w:space="0"/>
              <w:left w:val="single" w:color="auto" w:sz="4" w:space="0"/>
              <w:bottom w:val="single" w:color="auto" w:sz="12" w:space="0"/>
              <w:right w:val="single" w:color="auto" w:sz="4" w:space="0"/>
            </w:tcBorders>
            <w:vAlign w:val="center"/>
          </w:tcPr>
          <w:p w14:paraId="16A34304">
            <w:pPr>
              <w:spacing w:line="360" w:lineRule="auto"/>
              <w:jc w:val="left"/>
              <w:rPr>
                <w:highlight w:val="none"/>
              </w:rPr>
            </w:pPr>
          </w:p>
        </w:tc>
        <w:tc>
          <w:tcPr>
            <w:tcW w:w="721" w:type="pct"/>
            <w:tcBorders>
              <w:top w:val="single" w:color="auto" w:sz="4" w:space="0"/>
              <w:left w:val="single" w:color="auto" w:sz="4" w:space="0"/>
              <w:bottom w:val="single" w:color="auto" w:sz="12" w:space="0"/>
              <w:right w:val="single" w:color="auto" w:sz="4" w:space="0"/>
            </w:tcBorders>
            <w:vAlign w:val="center"/>
          </w:tcPr>
          <w:p w14:paraId="104EAB0D">
            <w:pPr>
              <w:spacing w:line="360" w:lineRule="auto"/>
              <w:jc w:val="left"/>
              <w:rPr>
                <w:highlight w:val="none"/>
              </w:rPr>
            </w:pPr>
          </w:p>
        </w:tc>
        <w:tc>
          <w:tcPr>
            <w:tcW w:w="472" w:type="pct"/>
            <w:tcBorders>
              <w:top w:val="single" w:color="auto" w:sz="4" w:space="0"/>
              <w:left w:val="single" w:color="auto" w:sz="4" w:space="0"/>
              <w:bottom w:val="single" w:color="auto" w:sz="12" w:space="0"/>
              <w:right w:val="single" w:color="auto" w:sz="12" w:space="0"/>
            </w:tcBorders>
            <w:vAlign w:val="center"/>
          </w:tcPr>
          <w:p w14:paraId="3504C6D9">
            <w:pPr>
              <w:spacing w:line="360" w:lineRule="auto"/>
              <w:jc w:val="left"/>
              <w:rPr>
                <w:highlight w:val="none"/>
              </w:rPr>
            </w:pPr>
          </w:p>
        </w:tc>
      </w:tr>
    </w:tbl>
    <w:p w14:paraId="16442284">
      <w:pPr>
        <w:spacing w:line="360" w:lineRule="auto"/>
        <w:jc w:val="left"/>
        <w:rPr>
          <w:highlight w:val="none"/>
        </w:rPr>
      </w:pPr>
      <w:r>
        <w:rPr>
          <w:highlight w:val="none"/>
        </w:rPr>
        <w:t>表5  进口件清单（按设备总数量所需的量列出）</w:t>
      </w:r>
    </w:p>
    <w:tbl>
      <w:tblPr>
        <w:tblStyle w:val="21"/>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00"/>
        <w:gridCol w:w="1454"/>
        <w:gridCol w:w="2184"/>
        <w:gridCol w:w="759"/>
        <w:gridCol w:w="791"/>
        <w:gridCol w:w="853"/>
        <w:gridCol w:w="1327"/>
        <w:gridCol w:w="813"/>
      </w:tblGrid>
      <w:tr w14:paraId="21FB69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45" w:type="pct"/>
            <w:tcBorders>
              <w:top w:val="single" w:color="auto" w:sz="12" w:space="0"/>
              <w:left w:val="single" w:color="auto" w:sz="12" w:space="0"/>
              <w:bottom w:val="single" w:color="auto" w:sz="4" w:space="0"/>
              <w:right w:val="single" w:color="auto" w:sz="4" w:space="0"/>
            </w:tcBorders>
            <w:vAlign w:val="center"/>
          </w:tcPr>
          <w:p w14:paraId="4EECD20E">
            <w:pPr>
              <w:spacing w:line="360" w:lineRule="auto"/>
              <w:jc w:val="center"/>
              <w:rPr>
                <w:highlight w:val="none"/>
              </w:rPr>
            </w:pPr>
            <w:r>
              <w:rPr>
                <w:highlight w:val="none"/>
              </w:rPr>
              <w:t>序号</w:t>
            </w:r>
          </w:p>
        </w:tc>
        <w:tc>
          <w:tcPr>
            <w:tcW w:w="809" w:type="pct"/>
            <w:tcBorders>
              <w:top w:val="single" w:color="auto" w:sz="12" w:space="0"/>
              <w:left w:val="single" w:color="auto" w:sz="4" w:space="0"/>
              <w:bottom w:val="single" w:color="auto" w:sz="4" w:space="0"/>
              <w:right w:val="single" w:color="auto" w:sz="4" w:space="0"/>
            </w:tcBorders>
            <w:vAlign w:val="center"/>
          </w:tcPr>
          <w:p w14:paraId="6E435473">
            <w:pPr>
              <w:spacing w:line="360" w:lineRule="auto"/>
              <w:jc w:val="center"/>
              <w:rPr>
                <w:highlight w:val="none"/>
              </w:rPr>
            </w:pPr>
            <w:r>
              <w:rPr>
                <w:highlight w:val="none"/>
              </w:rPr>
              <w:t>名称</w:t>
            </w:r>
          </w:p>
        </w:tc>
        <w:tc>
          <w:tcPr>
            <w:tcW w:w="1214" w:type="pct"/>
            <w:tcBorders>
              <w:top w:val="single" w:color="auto" w:sz="12" w:space="0"/>
              <w:left w:val="single" w:color="auto" w:sz="4" w:space="0"/>
              <w:bottom w:val="single" w:color="auto" w:sz="4" w:space="0"/>
              <w:right w:val="single" w:color="auto" w:sz="4" w:space="0"/>
            </w:tcBorders>
            <w:vAlign w:val="center"/>
          </w:tcPr>
          <w:p w14:paraId="280BB92A">
            <w:pPr>
              <w:spacing w:line="360" w:lineRule="auto"/>
              <w:jc w:val="center"/>
              <w:rPr>
                <w:highlight w:val="none"/>
              </w:rPr>
            </w:pPr>
            <w:r>
              <w:rPr>
                <w:highlight w:val="none"/>
              </w:rPr>
              <w:t>规格型号</w:t>
            </w:r>
          </w:p>
        </w:tc>
        <w:tc>
          <w:tcPr>
            <w:tcW w:w="422" w:type="pct"/>
            <w:tcBorders>
              <w:top w:val="single" w:color="auto" w:sz="12" w:space="0"/>
              <w:left w:val="single" w:color="auto" w:sz="4" w:space="0"/>
              <w:bottom w:val="single" w:color="auto" w:sz="4" w:space="0"/>
              <w:right w:val="single" w:color="auto" w:sz="4" w:space="0"/>
            </w:tcBorders>
            <w:vAlign w:val="center"/>
          </w:tcPr>
          <w:p w14:paraId="64CB3D9F">
            <w:pPr>
              <w:spacing w:line="360" w:lineRule="auto"/>
              <w:jc w:val="center"/>
              <w:rPr>
                <w:highlight w:val="none"/>
              </w:rPr>
            </w:pPr>
            <w:r>
              <w:rPr>
                <w:highlight w:val="none"/>
              </w:rPr>
              <w:t>单位</w:t>
            </w:r>
          </w:p>
        </w:tc>
        <w:tc>
          <w:tcPr>
            <w:tcW w:w="440" w:type="pct"/>
            <w:tcBorders>
              <w:top w:val="single" w:color="auto" w:sz="12" w:space="0"/>
              <w:left w:val="single" w:color="auto" w:sz="4" w:space="0"/>
              <w:bottom w:val="single" w:color="auto" w:sz="4" w:space="0"/>
              <w:right w:val="single" w:color="auto" w:sz="4" w:space="0"/>
            </w:tcBorders>
            <w:vAlign w:val="center"/>
          </w:tcPr>
          <w:p w14:paraId="6407F3E5">
            <w:pPr>
              <w:spacing w:line="360" w:lineRule="auto"/>
              <w:jc w:val="center"/>
              <w:rPr>
                <w:highlight w:val="none"/>
              </w:rPr>
            </w:pPr>
            <w:r>
              <w:rPr>
                <w:highlight w:val="none"/>
              </w:rPr>
              <w:t>数量</w:t>
            </w:r>
          </w:p>
        </w:tc>
        <w:tc>
          <w:tcPr>
            <w:tcW w:w="475" w:type="pct"/>
            <w:tcBorders>
              <w:top w:val="single" w:color="auto" w:sz="12" w:space="0"/>
              <w:left w:val="single" w:color="auto" w:sz="4" w:space="0"/>
              <w:bottom w:val="single" w:color="auto" w:sz="4" w:space="0"/>
              <w:right w:val="single" w:color="auto" w:sz="4" w:space="0"/>
            </w:tcBorders>
            <w:vAlign w:val="center"/>
          </w:tcPr>
          <w:p w14:paraId="2024910E">
            <w:pPr>
              <w:spacing w:line="360" w:lineRule="auto"/>
              <w:jc w:val="center"/>
              <w:rPr>
                <w:highlight w:val="none"/>
              </w:rPr>
            </w:pPr>
            <w:r>
              <w:rPr>
                <w:highlight w:val="none"/>
              </w:rPr>
              <w:t>产地</w:t>
            </w:r>
          </w:p>
        </w:tc>
        <w:tc>
          <w:tcPr>
            <w:tcW w:w="739" w:type="pct"/>
            <w:tcBorders>
              <w:top w:val="single" w:color="auto" w:sz="12" w:space="0"/>
              <w:left w:val="single" w:color="auto" w:sz="4" w:space="0"/>
              <w:bottom w:val="single" w:color="auto" w:sz="4" w:space="0"/>
              <w:right w:val="single" w:color="auto" w:sz="4" w:space="0"/>
            </w:tcBorders>
            <w:vAlign w:val="center"/>
          </w:tcPr>
          <w:p w14:paraId="35DD790A">
            <w:pPr>
              <w:spacing w:line="360" w:lineRule="auto"/>
              <w:jc w:val="center"/>
              <w:rPr>
                <w:highlight w:val="none"/>
              </w:rPr>
            </w:pPr>
            <w:r>
              <w:rPr>
                <w:highlight w:val="none"/>
              </w:rPr>
              <w:t>生产厂家</w:t>
            </w:r>
          </w:p>
        </w:tc>
        <w:tc>
          <w:tcPr>
            <w:tcW w:w="453" w:type="pct"/>
            <w:tcBorders>
              <w:top w:val="single" w:color="auto" w:sz="12" w:space="0"/>
              <w:left w:val="single" w:color="auto" w:sz="4" w:space="0"/>
              <w:bottom w:val="single" w:color="auto" w:sz="4" w:space="0"/>
              <w:right w:val="single" w:color="auto" w:sz="12" w:space="0"/>
            </w:tcBorders>
            <w:vAlign w:val="center"/>
          </w:tcPr>
          <w:p w14:paraId="0C793BE5">
            <w:pPr>
              <w:spacing w:line="360" w:lineRule="auto"/>
              <w:jc w:val="center"/>
              <w:rPr>
                <w:highlight w:val="none"/>
              </w:rPr>
            </w:pPr>
            <w:r>
              <w:rPr>
                <w:highlight w:val="none"/>
              </w:rPr>
              <w:t>备注</w:t>
            </w:r>
          </w:p>
        </w:tc>
      </w:tr>
      <w:tr w14:paraId="7B5EB7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8" w:hRule="atLeast"/>
          <w:jc w:val="center"/>
        </w:trPr>
        <w:tc>
          <w:tcPr>
            <w:tcW w:w="445" w:type="pct"/>
            <w:tcBorders>
              <w:top w:val="single" w:color="auto" w:sz="4" w:space="0"/>
              <w:left w:val="single" w:color="auto" w:sz="12" w:space="0"/>
              <w:bottom w:val="single" w:color="auto" w:sz="4" w:space="0"/>
              <w:right w:val="single" w:color="auto" w:sz="4" w:space="0"/>
            </w:tcBorders>
            <w:vAlign w:val="center"/>
          </w:tcPr>
          <w:p w14:paraId="4512E9FE">
            <w:pPr>
              <w:spacing w:line="360" w:lineRule="auto"/>
              <w:jc w:val="left"/>
              <w:rPr>
                <w:highlight w:val="none"/>
              </w:rPr>
            </w:pPr>
            <w:r>
              <w:rPr>
                <w:highlight w:val="none"/>
              </w:rPr>
              <w:t>1</w:t>
            </w:r>
          </w:p>
        </w:tc>
        <w:tc>
          <w:tcPr>
            <w:tcW w:w="809" w:type="pct"/>
            <w:tcBorders>
              <w:top w:val="single" w:color="auto" w:sz="4" w:space="0"/>
              <w:left w:val="single" w:color="auto" w:sz="4" w:space="0"/>
              <w:bottom w:val="single" w:color="auto" w:sz="4" w:space="0"/>
              <w:right w:val="single" w:color="auto" w:sz="4" w:space="0"/>
            </w:tcBorders>
            <w:vAlign w:val="center"/>
          </w:tcPr>
          <w:p w14:paraId="01A799AE">
            <w:pPr>
              <w:spacing w:line="360" w:lineRule="auto"/>
              <w:jc w:val="left"/>
              <w:rPr>
                <w:highlight w:val="none"/>
              </w:rPr>
            </w:pPr>
          </w:p>
        </w:tc>
        <w:tc>
          <w:tcPr>
            <w:tcW w:w="1214" w:type="pct"/>
            <w:tcBorders>
              <w:top w:val="single" w:color="auto" w:sz="4" w:space="0"/>
              <w:left w:val="single" w:color="auto" w:sz="4" w:space="0"/>
              <w:bottom w:val="single" w:color="auto" w:sz="4" w:space="0"/>
              <w:right w:val="single" w:color="auto" w:sz="4" w:space="0"/>
            </w:tcBorders>
            <w:vAlign w:val="center"/>
          </w:tcPr>
          <w:p w14:paraId="15BF6AFA">
            <w:pPr>
              <w:spacing w:line="360" w:lineRule="auto"/>
              <w:jc w:val="left"/>
              <w:rPr>
                <w:highlight w:val="none"/>
              </w:rPr>
            </w:pPr>
          </w:p>
        </w:tc>
        <w:tc>
          <w:tcPr>
            <w:tcW w:w="422" w:type="pct"/>
            <w:tcBorders>
              <w:top w:val="single" w:color="auto" w:sz="4" w:space="0"/>
              <w:left w:val="single" w:color="auto" w:sz="4" w:space="0"/>
              <w:bottom w:val="single" w:color="auto" w:sz="4" w:space="0"/>
              <w:right w:val="single" w:color="auto" w:sz="4" w:space="0"/>
            </w:tcBorders>
            <w:vAlign w:val="center"/>
          </w:tcPr>
          <w:p w14:paraId="6B77A63A">
            <w:pPr>
              <w:spacing w:line="360" w:lineRule="auto"/>
              <w:jc w:val="left"/>
              <w:rPr>
                <w:highlight w:val="none"/>
              </w:rPr>
            </w:pPr>
          </w:p>
        </w:tc>
        <w:tc>
          <w:tcPr>
            <w:tcW w:w="440" w:type="pct"/>
            <w:tcBorders>
              <w:top w:val="single" w:color="auto" w:sz="4" w:space="0"/>
              <w:left w:val="single" w:color="auto" w:sz="4" w:space="0"/>
              <w:bottom w:val="single" w:color="auto" w:sz="4" w:space="0"/>
              <w:right w:val="single" w:color="auto" w:sz="4" w:space="0"/>
            </w:tcBorders>
            <w:vAlign w:val="center"/>
          </w:tcPr>
          <w:p w14:paraId="6830E742">
            <w:pPr>
              <w:spacing w:line="360" w:lineRule="auto"/>
              <w:jc w:val="left"/>
              <w:rPr>
                <w:highlight w:val="none"/>
              </w:rPr>
            </w:pPr>
          </w:p>
        </w:tc>
        <w:tc>
          <w:tcPr>
            <w:tcW w:w="475" w:type="pct"/>
            <w:tcBorders>
              <w:top w:val="single" w:color="auto" w:sz="4" w:space="0"/>
              <w:left w:val="single" w:color="auto" w:sz="4" w:space="0"/>
              <w:bottom w:val="single" w:color="auto" w:sz="4" w:space="0"/>
              <w:right w:val="single" w:color="auto" w:sz="4" w:space="0"/>
            </w:tcBorders>
            <w:vAlign w:val="center"/>
          </w:tcPr>
          <w:p w14:paraId="3724ABAA">
            <w:pPr>
              <w:spacing w:line="360" w:lineRule="auto"/>
              <w:jc w:val="left"/>
              <w:rPr>
                <w:highlight w:val="none"/>
              </w:rPr>
            </w:pPr>
          </w:p>
        </w:tc>
        <w:tc>
          <w:tcPr>
            <w:tcW w:w="739" w:type="pct"/>
            <w:tcBorders>
              <w:top w:val="single" w:color="auto" w:sz="4" w:space="0"/>
              <w:left w:val="single" w:color="auto" w:sz="4" w:space="0"/>
              <w:bottom w:val="single" w:color="auto" w:sz="4" w:space="0"/>
              <w:right w:val="single" w:color="auto" w:sz="4" w:space="0"/>
            </w:tcBorders>
            <w:vAlign w:val="center"/>
          </w:tcPr>
          <w:p w14:paraId="14DA66B0">
            <w:pPr>
              <w:spacing w:line="360" w:lineRule="auto"/>
              <w:jc w:val="left"/>
              <w:rPr>
                <w:highlight w:val="none"/>
              </w:rPr>
            </w:pPr>
          </w:p>
        </w:tc>
        <w:tc>
          <w:tcPr>
            <w:tcW w:w="453" w:type="pct"/>
            <w:tcBorders>
              <w:top w:val="single" w:color="auto" w:sz="4" w:space="0"/>
              <w:left w:val="single" w:color="auto" w:sz="4" w:space="0"/>
              <w:bottom w:val="single" w:color="auto" w:sz="4" w:space="0"/>
              <w:right w:val="single" w:color="auto" w:sz="12" w:space="0"/>
            </w:tcBorders>
            <w:vAlign w:val="center"/>
          </w:tcPr>
          <w:p w14:paraId="19A21DD2">
            <w:pPr>
              <w:spacing w:line="360" w:lineRule="auto"/>
              <w:jc w:val="left"/>
              <w:rPr>
                <w:highlight w:val="none"/>
              </w:rPr>
            </w:pPr>
          </w:p>
        </w:tc>
      </w:tr>
      <w:tr w14:paraId="4F4E5A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cantSplit/>
          <w:trHeight w:val="428" w:hRule="atLeast"/>
          <w:jc w:val="center"/>
        </w:trPr>
        <w:tc>
          <w:tcPr>
            <w:tcW w:w="445" w:type="pct"/>
            <w:tcBorders>
              <w:top w:val="single" w:color="auto" w:sz="4" w:space="0"/>
              <w:left w:val="single" w:color="auto" w:sz="12" w:space="0"/>
              <w:bottom w:val="single" w:color="auto" w:sz="12" w:space="0"/>
              <w:right w:val="single" w:color="auto" w:sz="4" w:space="0"/>
            </w:tcBorders>
            <w:vAlign w:val="center"/>
          </w:tcPr>
          <w:p w14:paraId="7BAE3058">
            <w:pPr>
              <w:spacing w:line="360" w:lineRule="auto"/>
              <w:jc w:val="left"/>
              <w:rPr>
                <w:highlight w:val="none"/>
              </w:rPr>
            </w:pPr>
            <w:r>
              <w:rPr>
                <w:highlight w:val="none"/>
              </w:rPr>
              <w:t>2</w:t>
            </w:r>
          </w:p>
        </w:tc>
        <w:tc>
          <w:tcPr>
            <w:tcW w:w="809" w:type="pct"/>
            <w:tcBorders>
              <w:top w:val="single" w:color="auto" w:sz="4" w:space="0"/>
              <w:left w:val="single" w:color="auto" w:sz="4" w:space="0"/>
              <w:bottom w:val="single" w:color="auto" w:sz="12" w:space="0"/>
              <w:right w:val="single" w:color="auto" w:sz="4" w:space="0"/>
            </w:tcBorders>
            <w:vAlign w:val="center"/>
          </w:tcPr>
          <w:p w14:paraId="6481A903">
            <w:pPr>
              <w:spacing w:line="360" w:lineRule="auto"/>
              <w:jc w:val="left"/>
              <w:rPr>
                <w:highlight w:val="none"/>
              </w:rPr>
            </w:pPr>
          </w:p>
        </w:tc>
        <w:tc>
          <w:tcPr>
            <w:tcW w:w="1214" w:type="pct"/>
            <w:tcBorders>
              <w:top w:val="single" w:color="auto" w:sz="4" w:space="0"/>
              <w:left w:val="single" w:color="auto" w:sz="4" w:space="0"/>
              <w:bottom w:val="single" w:color="auto" w:sz="12" w:space="0"/>
              <w:right w:val="single" w:color="auto" w:sz="4" w:space="0"/>
            </w:tcBorders>
            <w:vAlign w:val="center"/>
          </w:tcPr>
          <w:p w14:paraId="5D3DBA78">
            <w:pPr>
              <w:spacing w:line="360" w:lineRule="auto"/>
              <w:jc w:val="left"/>
              <w:rPr>
                <w:highlight w:val="none"/>
              </w:rPr>
            </w:pPr>
          </w:p>
        </w:tc>
        <w:tc>
          <w:tcPr>
            <w:tcW w:w="422" w:type="pct"/>
            <w:tcBorders>
              <w:top w:val="single" w:color="auto" w:sz="4" w:space="0"/>
              <w:left w:val="single" w:color="auto" w:sz="4" w:space="0"/>
              <w:bottom w:val="single" w:color="auto" w:sz="12" w:space="0"/>
              <w:right w:val="single" w:color="auto" w:sz="4" w:space="0"/>
            </w:tcBorders>
            <w:vAlign w:val="center"/>
          </w:tcPr>
          <w:p w14:paraId="24277A64">
            <w:pPr>
              <w:spacing w:line="360" w:lineRule="auto"/>
              <w:jc w:val="left"/>
              <w:rPr>
                <w:highlight w:val="none"/>
              </w:rPr>
            </w:pPr>
          </w:p>
        </w:tc>
        <w:tc>
          <w:tcPr>
            <w:tcW w:w="440" w:type="pct"/>
            <w:tcBorders>
              <w:top w:val="single" w:color="auto" w:sz="4" w:space="0"/>
              <w:left w:val="single" w:color="auto" w:sz="4" w:space="0"/>
              <w:bottom w:val="single" w:color="auto" w:sz="12" w:space="0"/>
              <w:right w:val="single" w:color="auto" w:sz="4" w:space="0"/>
            </w:tcBorders>
            <w:vAlign w:val="center"/>
          </w:tcPr>
          <w:p w14:paraId="198F1E47">
            <w:pPr>
              <w:spacing w:line="360" w:lineRule="auto"/>
              <w:jc w:val="left"/>
              <w:rPr>
                <w:highlight w:val="none"/>
              </w:rPr>
            </w:pPr>
          </w:p>
        </w:tc>
        <w:tc>
          <w:tcPr>
            <w:tcW w:w="475" w:type="pct"/>
            <w:tcBorders>
              <w:top w:val="single" w:color="auto" w:sz="4" w:space="0"/>
              <w:left w:val="single" w:color="auto" w:sz="4" w:space="0"/>
              <w:bottom w:val="single" w:color="auto" w:sz="12" w:space="0"/>
              <w:right w:val="single" w:color="auto" w:sz="4" w:space="0"/>
            </w:tcBorders>
            <w:vAlign w:val="center"/>
          </w:tcPr>
          <w:p w14:paraId="22895C5E">
            <w:pPr>
              <w:spacing w:line="360" w:lineRule="auto"/>
              <w:jc w:val="left"/>
              <w:rPr>
                <w:highlight w:val="none"/>
              </w:rPr>
            </w:pPr>
          </w:p>
        </w:tc>
        <w:tc>
          <w:tcPr>
            <w:tcW w:w="739" w:type="pct"/>
            <w:tcBorders>
              <w:top w:val="single" w:color="auto" w:sz="4" w:space="0"/>
              <w:left w:val="single" w:color="auto" w:sz="4" w:space="0"/>
              <w:bottom w:val="single" w:color="auto" w:sz="12" w:space="0"/>
              <w:right w:val="single" w:color="auto" w:sz="4" w:space="0"/>
            </w:tcBorders>
            <w:vAlign w:val="center"/>
          </w:tcPr>
          <w:p w14:paraId="0AA93C12">
            <w:pPr>
              <w:spacing w:line="360" w:lineRule="auto"/>
              <w:jc w:val="left"/>
              <w:rPr>
                <w:highlight w:val="none"/>
              </w:rPr>
            </w:pPr>
          </w:p>
        </w:tc>
        <w:tc>
          <w:tcPr>
            <w:tcW w:w="453" w:type="pct"/>
            <w:tcBorders>
              <w:top w:val="single" w:color="auto" w:sz="4" w:space="0"/>
              <w:left w:val="single" w:color="auto" w:sz="4" w:space="0"/>
              <w:bottom w:val="single" w:color="auto" w:sz="12" w:space="0"/>
              <w:right w:val="single" w:color="auto" w:sz="12" w:space="0"/>
            </w:tcBorders>
            <w:vAlign w:val="center"/>
          </w:tcPr>
          <w:p w14:paraId="197241AD">
            <w:pPr>
              <w:spacing w:line="360" w:lineRule="auto"/>
              <w:jc w:val="left"/>
              <w:rPr>
                <w:highlight w:val="none"/>
              </w:rPr>
            </w:pPr>
          </w:p>
        </w:tc>
      </w:tr>
    </w:tbl>
    <w:p w14:paraId="0BE3392B">
      <w:pPr>
        <w:spacing w:line="360" w:lineRule="auto"/>
        <w:jc w:val="left"/>
        <w:rPr>
          <w:highlight w:val="none"/>
        </w:rPr>
      </w:pPr>
      <w:r>
        <w:rPr>
          <w:highlight w:val="none"/>
        </w:rPr>
        <w:t>表6   阀门清单（包含但不限于，具体数量以系统图为准）</w:t>
      </w:r>
    </w:p>
    <w:tbl>
      <w:tblPr>
        <w:tblStyle w:val="21"/>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15"/>
        <w:gridCol w:w="1456"/>
        <w:gridCol w:w="2165"/>
        <w:gridCol w:w="791"/>
        <w:gridCol w:w="760"/>
        <w:gridCol w:w="868"/>
        <w:gridCol w:w="1310"/>
        <w:gridCol w:w="816"/>
      </w:tblGrid>
      <w:tr w14:paraId="333DBD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54" w:type="pct"/>
            <w:tcBorders>
              <w:top w:val="single" w:color="auto" w:sz="12" w:space="0"/>
              <w:left w:val="single" w:color="auto" w:sz="12" w:space="0"/>
              <w:bottom w:val="single" w:color="auto" w:sz="4" w:space="0"/>
              <w:right w:val="single" w:color="auto" w:sz="4" w:space="0"/>
            </w:tcBorders>
            <w:vAlign w:val="center"/>
          </w:tcPr>
          <w:p w14:paraId="2714D00F">
            <w:pPr>
              <w:spacing w:line="360" w:lineRule="auto"/>
              <w:jc w:val="center"/>
              <w:rPr>
                <w:highlight w:val="none"/>
              </w:rPr>
            </w:pPr>
            <w:r>
              <w:rPr>
                <w:highlight w:val="none"/>
              </w:rPr>
              <w:t>序号</w:t>
            </w:r>
          </w:p>
        </w:tc>
        <w:tc>
          <w:tcPr>
            <w:tcW w:w="810" w:type="pct"/>
            <w:tcBorders>
              <w:top w:val="single" w:color="auto" w:sz="12" w:space="0"/>
              <w:left w:val="single" w:color="auto" w:sz="4" w:space="0"/>
              <w:bottom w:val="single" w:color="auto" w:sz="4" w:space="0"/>
              <w:right w:val="single" w:color="auto" w:sz="4" w:space="0"/>
            </w:tcBorders>
            <w:vAlign w:val="center"/>
          </w:tcPr>
          <w:p w14:paraId="647E9415">
            <w:pPr>
              <w:spacing w:line="360" w:lineRule="auto"/>
              <w:jc w:val="center"/>
              <w:rPr>
                <w:highlight w:val="none"/>
              </w:rPr>
            </w:pPr>
            <w:r>
              <w:rPr>
                <w:highlight w:val="none"/>
              </w:rPr>
              <w:t>名称</w:t>
            </w:r>
          </w:p>
        </w:tc>
        <w:tc>
          <w:tcPr>
            <w:tcW w:w="1205" w:type="pct"/>
            <w:tcBorders>
              <w:top w:val="single" w:color="auto" w:sz="12" w:space="0"/>
              <w:left w:val="single" w:color="auto" w:sz="4" w:space="0"/>
              <w:bottom w:val="single" w:color="auto" w:sz="4" w:space="0"/>
              <w:right w:val="single" w:color="auto" w:sz="4" w:space="0"/>
            </w:tcBorders>
            <w:vAlign w:val="center"/>
          </w:tcPr>
          <w:p w14:paraId="6703D227">
            <w:pPr>
              <w:spacing w:line="360" w:lineRule="auto"/>
              <w:jc w:val="center"/>
              <w:rPr>
                <w:highlight w:val="none"/>
              </w:rPr>
            </w:pPr>
            <w:r>
              <w:rPr>
                <w:highlight w:val="none"/>
              </w:rPr>
              <w:t>规格型号</w:t>
            </w:r>
          </w:p>
        </w:tc>
        <w:tc>
          <w:tcPr>
            <w:tcW w:w="440" w:type="pct"/>
            <w:tcBorders>
              <w:top w:val="single" w:color="auto" w:sz="12" w:space="0"/>
              <w:left w:val="single" w:color="auto" w:sz="4" w:space="0"/>
              <w:bottom w:val="single" w:color="auto" w:sz="4" w:space="0"/>
              <w:right w:val="single" w:color="auto" w:sz="4" w:space="0"/>
            </w:tcBorders>
            <w:vAlign w:val="center"/>
          </w:tcPr>
          <w:p w14:paraId="18A20AEC">
            <w:pPr>
              <w:spacing w:line="360" w:lineRule="auto"/>
              <w:jc w:val="center"/>
              <w:rPr>
                <w:highlight w:val="none"/>
              </w:rPr>
            </w:pPr>
            <w:r>
              <w:rPr>
                <w:highlight w:val="none"/>
              </w:rPr>
              <w:t>单位</w:t>
            </w:r>
          </w:p>
        </w:tc>
        <w:tc>
          <w:tcPr>
            <w:tcW w:w="423" w:type="pct"/>
            <w:tcBorders>
              <w:top w:val="single" w:color="auto" w:sz="12" w:space="0"/>
              <w:left w:val="single" w:color="auto" w:sz="4" w:space="0"/>
              <w:bottom w:val="single" w:color="auto" w:sz="4" w:space="0"/>
              <w:right w:val="single" w:color="auto" w:sz="4" w:space="0"/>
            </w:tcBorders>
            <w:vAlign w:val="center"/>
          </w:tcPr>
          <w:p w14:paraId="1B89B0AA">
            <w:pPr>
              <w:spacing w:line="360" w:lineRule="auto"/>
              <w:jc w:val="center"/>
              <w:rPr>
                <w:highlight w:val="none"/>
              </w:rPr>
            </w:pPr>
            <w:r>
              <w:rPr>
                <w:highlight w:val="none"/>
              </w:rPr>
              <w:t>数量</w:t>
            </w:r>
          </w:p>
        </w:tc>
        <w:tc>
          <w:tcPr>
            <w:tcW w:w="483" w:type="pct"/>
            <w:tcBorders>
              <w:top w:val="single" w:color="auto" w:sz="12" w:space="0"/>
              <w:left w:val="single" w:color="auto" w:sz="4" w:space="0"/>
              <w:bottom w:val="single" w:color="auto" w:sz="4" w:space="0"/>
              <w:right w:val="single" w:color="auto" w:sz="4" w:space="0"/>
            </w:tcBorders>
            <w:vAlign w:val="center"/>
          </w:tcPr>
          <w:p w14:paraId="0C4B34B1">
            <w:pPr>
              <w:spacing w:line="360" w:lineRule="auto"/>
              <w:jc w:val="center"/>
              <w:rPr>
                <w:highlight w:val="none"/>
              </w:rPr>
            </w:pPr>
            <w:r>
              <w:rPr>
                <w:highlight w:val="none"/>
              </w:rPr>
              <w:t>产地</w:t>
            </w:r>
          </w:p>
        </w:tc>
        <w:tc>
          <w:tcPr>
            <w:tcW w:w="729" w:type="pct"/>
            <w:tcBorders>
              <w:top w:val="single" w:color="auto" w:sz="12" w:space="0"/>
              <w:left w:val="single" w:color="auto" w:sz="4" w:space="0"/>
              <w:bottom w:val="single" w:color="auto" w:sz="4" w:space="0"/>
              <w:right w:val="single" w:color="auto" w:sz="4" w:space="0"/>
            </w:tcBorders>
            <w:vAlign w:val="center"/>
          </w:tcPr>
          <w:p w14:paraId="3C310FFE">
            <w:pPr>
              <w:spacing w:line="360" w:lineRule="auto"/>
              <w:jc w:val="center"/>
              <w:rPr>
                <w:highlight w:val="none"/>
              </w:rPr>
            </w:pPr>
            <w:r>
              <w:rPr>
                <w:highlight w:val="none"/>
              </w:rPr>
              <w:t>生产厂家</w:t>
            </w:r>
          </w:p>
        </w:tc>
        <w:tc>
          <w:tcPr>
            <w:tcW w:w="454" w:type="pct"/>
            <w:tcBorders>
              <w:top w:val="single" w:color="auto" w:sz="12" w:space="0"/>
              <w:left w:val="single" w:color="auto" w:sz="4" w:space="0"/>
              <w:bottom w:val="single" w:color="auto" w:sz="4" w:space="0"/>
              <w:right w:val="single" w:color="auto" w:sz="12" w:space="0"/>
            </w:tcBorders>
            <w:vAlign w:val="center"/>
          </w:tcPr>
          <w:p w14:paraId="413F44C3">
            <w:pPr>
              <w:spacing w:line="360" w:lineRule="auto"/>
              <w:jc w:val="center"/>
              <w:rPr>
                <w:highlight w:val="none"/>
              </w:rPr>
            </w:pPr>
            <w:r>
              <w:rPr>
                <w:highlight w:val="none"/>
              </w:rPr>
              <w:t>备注</w:t>
            </w:r>
          </w:p>
        </w:tc>
      </w:tr>
      <w:tr w14:paraId="050B03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8" w:hRule="atLeast"/>
          <w:jc w:val="center"/>
        </w:trPr>
        <w:tc>
          <w:tcPr>
            <w:tcW w:w="454" w:type="pct"/>
            <w:tcBorders>
              <w:top w:val="single" w:color="auto" w:sz="4" w:space="0"/>
              <w:left w:val="single" w:color="auto" w:sz="12" w:space="0"/>
              <w:bottom w:val="single" w:color="auto" w:sz="4" w:space="0"/>
              <w:right w:val="single" w:color="auto" w:sz="4" w:space="0"/>
            </w:tcBorders>
            <w:vAlign w:val="center"/>
          </w:tcPr>
          <w:p w14:paraId="6291A32D">
            <w:pPr>
              <w:spacing w:line="360" w:lineRule="auto"/>
              <w:jc w:val="left"/>
              <w:rPr>
                <w:highlight w:val="none"/>
              </w:rPr>
            </w:pPr>
            <w:r>
              <w:rPr>
                <w:highlight w:val="none"/>
              </w:rPr>
              <w:t>1</w:t>
            </w:r>
          </w:p>
        </w:tc>
        <w:tc>
          <w:tcPr>
            <w:tcW w:w="810" w:type="pct"/>
            <w:tcBorders>
              <w:top w:val="single" w:color="auto" w:sz="4" w:space="0"/>
              <w:left w:val="single" w:color="auto" w:sz="4" w:space="0"/>
              <w:bottom w:val="single" w:color="auto" w:sz="4" w:space="0"/>
              <w:right w:val="single" w:color="auto" w:sz="4" w:space="0"/>
            </w:tcBorders>
            <w:vAlign w:val="center"/>
          </w:tcPr>
          <w:p w14:paraId="082DE345">
            <w:pPr>
              <w:spacing w:line="360" w:lineRule="auto"/>
              <w:jc w:val="left"/>
              <w:rPr>
                <w:highlight w:val="none"/>
              </w:rPr>
            </w:pPr>
          </w:p>
        </w:tc>
        <w:tc>
          <w:tcPr>
            <w:tcW w:w="1205" w:type="pct"/>
            <w:tcBorders>
              <w:top w:val="single" w:color="auto" w:sz="4" w:space="0"/>
              <w:left w:val="single" w:color="auto" w:sz="4" w:space="0"/>
              <w:bottom w:val="single" w:color="auto" w:sz="4" w:space="0"/>
              <w:right w:val="single" w:color="auto" w:sz="4" w:space="0"/>
            </w:tcBorders>
            <w:vAlign w:val="center"/>
          </w:tcPr>
          <w:p w14:paraId="63749373">
            <w:pPr>
              <w:spacing w:line="360" w:lineRule="auto"/>
              <w:jc w:val="left"/>
              <w:rPr>
                <w:highlight w:val="none"/>
              </w:rPr>
            </w:pPr>
          </w:p>
        </w:tc>
        <w:tc>
          <w:tcPr>
            <w:tcW w:w="440" w:type="pct"/>
            <w:tcBorders>
              <w:top w:val="single" w:color="auto" w:sz="4" w:space="0"/>
              <w:left w:val="single" w:color="auto" w:sz="4" w:space="0"/>
              <w:bottom w:val="single" w:color="auto" w:sz="4" w:space="0"/>
              <w:right w:val="single" w:color="auto" w:sz="4" w:space="0"/>
            </w:tcBorders>
            <w:vAlign w:val="center"/>
          </w:tcPr>
          <w:p w14:paraId="0A498443">
            <w:pPr>
              <w:spacing w:line="360" w:lineRule="auto"/>
              <w:jc w:val="left"/>
              <w:rPr>
                <w:highlight w:val="none"/>
              </w:rPr>
            </w:pPr>
          </w:p>
        </w:tc>
        <w:tc>
          <w:tcPr>
            <w:tcW w:w="423" w:type="pct"/>
            <w:tcBorders>
              <w:top w:val="single" w:color="auto" w:sz="4" w:space="0"/>
              <w:left w:val="single" w:color="auto" w:sz="4" w:space="0"/>
              <w:bottom w:val="single" w:color="auto" w:sz="4" w:space="0"/>
              <w:right w:val="single" w:color="auto" w:sz="4" w:space="0"/>
            </w:tcBorders>
            <w:vAlign w:val="center"/>
          </w:tcPr>
          <w:p w14:paraId="4163BDE1">
            <w:pPr>
              <w:spacing w:line="360" w:lineRule="auto"/>
              <w:jc w:val="left"/>
              <w:rPr>
                <w:highlight w:val="none"/>
              </w:rPr>
            </w:pPr>
          </w:p>
        </w:tc>
        <w:tc>
          <w:tcPr>
            <w:tcW w:w="483" w:type="pct"/>
            <w:tcBorders>
              <w:top w:val="single" w:color="auto" w:sz="4" w:space="0"/>
              <w:left w:val="single" w:color="auto" w:sz="4" w:space="0"/>
              <w:bottom w:val="single" w:color="auto" w:sz="4" w:space="0"/>
              <w:right w:val="single" w:color="auto" w:sz="4" w:space="0"/>
            </w:tcBorders>
            <w:vAlign w:val="center"/>
          </w:tcPr>
          <w:p w14:paraId="2A783BC7">
            <w:pPr>
              <w:spacing w:line="360" w:lineRule="auto"/>
              <w:jc w:val="left"/>
              <w:rPr>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619A0F5E">
            <w:pPr>
              <w:spacing w:line="360" w:lineRule="auto"/>
              <w:jc w:val="left"/>
              <w:rPr>
                <w:highlight w:val="none"/>
              </w:rPr>
            </w:pPr>
          </w:p>
        </w:tc>
        <w:tc>
          <w:tcPr>
            <w:tcW w:w="454" w:type="pct"/>
            <w:tcBorders>
              <w:top w:val="single" w:color="auto" w:sz="4" w:space="0"/>
              <w:left w:val="single" w:color="auto" w:sz="4" w:space="0"/>
              <w:bottom w:val="single" w:color="auto" w:sz="4" w:space="0"/>
              <w:right w:val="single" w:color="auto" w:sz="12" w:space="0"/>
            </w:tcBorders>
            <w:vAlign w:val="center"/>
          </w:tcPr>
          <w:p w14:paraId="6E4C6D53">
            <w:pPr>
              <w:spacing w:line="360" w:lineRule="auto"/>
              <w:jc w:val="left"/>
              <w:rPr>
                <w:highlight w:val="none"/>
              </w:rPr>
            </w:pPr>
          </w:p>
        </w:tc>
      </w:tr>
      <w:tr w14:paraId="5ED6E6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8" w:hRule="atLeast"/>
          <w:jc w:val="center"/>
        </w:trPr>
        <w:tc>
          <w:tcPr>
            <w:tcW w:w="454" w:type="pct"/>
            <w:tcBorders>
              <w:top w:val="single" w:color="auto" w:sz="4" w:space="0"/>
              <w:left w:val="single" w:color="auto" w:sz="12" w:space="0"/>
              <w:bottom w:val="single" w:color="auto" w:sz="12" w:space="0"/>
              <w:right w:val="single" w:color="auto" w:sz="4" w:space="0"/>
            </w:tcBorders>
            <w:vAlign w:val="center"/>
          </w:tcPr>
          <w:p w14:paraId="129B236F">
            <w:pPr>
              <w:spacing w:line="360" w:lineRule="auto"/>
              <w:jc w:val="left"/>
              <w:rPr>
                <w:highlight w:val="none"/>
              </w:rPr>
            </w:pPr>
            <w:r>
              <w:rPr>
                <w:highlight w:val="none"/>
              </w:rPr>
              <w:t>2</w:t>
            </w:r>
          </w:p>
        </w:tc>
        <w:tc>
          <w:tcPr>
            <w:tcW w:w="810" w:type="pct"/>
            <w:tcBorders>
              <w:top w:val="single" w:color="auto" w:sz="4" w:space="0"/>
              <w:left w:val="single" w:color="auto" w:sz="4" w:space="0"/>
              <w:bottom w:val="single" w:color="auto" w:sz="12" w:space="0"/>
              <w:right w:val="single" w:color="auto" w:sz="4" w:space="0"/>
            </w:tcBorders>
            <w:vAlign w:val="center"/>
          </w:tcPr>
          <w:p w14:paraId="64AB0E85">
            <w:pPr>
              <w:spacing w:line="360" w:lineRule="auto"/>
              <w:jc w:val="left"/>
              <w:rPr>
                <w:highlight w:val="none"/>
              </w:rPr>
            </w:pPr>
          </w:p>
        </w:tc>
        <w:tc>
          <w:tcPr>
            <w:tcW w:w="1205" w:type="pct"/>
            <w:tcBorders>
              <w:top w:val="single" w:color="auto" w:sz="4" w:space="0"/>
              <w:left w:val="single" w:color="auto" w:sz="4" w:space="0"/>
              <w:bottom w:val="single" w:color="auto" w:sz="12" w:space="0"/>
              <w:right w:val="single" w:color="auto" w:sz="4" w:space="0"/>
            </w:tcBorders>
            <w:vAlign w:val="center"/>
          </w:tcPr>
          <w:p w14:paraId="1159032C">
            <w:pPr>
              <w:spacing w:line="360" w:lineRule="auto"/>
              <w:jc w:val="left"/>
              <w:rPr>
                <w:highlight w:val="none"/>
              </w:rPr>
            </w:pPr>
          </w:p>
        </w:tc>
        <w:tc>
          <w:tcPr>
            <w:tcW w:w="440" w:type="pct"/>
            <w:tcBorders>
              <w:top w:val="single" w:color="auto" w:sz="4" w:space="0"/>
              <w:left w:val="single" w:color="auto" w:sz="4" w:space="0"/>
              <w:bottom w:val="single" w:color="auto" w:sz="12" w:space="0"/>
              <w:right w:val="single" w:color="auto" w:sz="4" w:space="0"/>
            </w:tcBorders>
            <w:vAlign w:val="center"/>
          </w:tcPr>
          <w:p w14:paraId="1EDB7652">
            <w:pPr>
              <w:spacing w:line="360" w:lineRule="auto"/>
              <w:jc w:val="left"/>
              <w:rPr>
                <w:highlight w:val="none"/>
              </w:rPr>
            </w:pPr>
          </w:p>
        </w:tc>
        <w:tc>
          <w:tcPr>
            <w:tcW w:w="423" w:type="pct"/>
            <w:tcBorders>
              <w:top w:val="single" w:color="auto" w:sz="4" w:space="0"/>
              <w:left w:val="single" w:color="auto" w:sz="4" w:space="0"/>
              <w:bottom w:val="single" w:color="auto" w:sz="12" w:space="0"/>
              <w:right w:val="single" w:color="auto" w:sz="4" w:space="0"/>
            </w:tcBorders>
            <w:vAlign w:val="center"/>
          </w:tcPr>
          <w:p w14:paraId="6456D844">
            <w:pPr>
              <w:spacing w:line="360" w:lineRule="auto"/>
              <w:jc w:val="left"/>
              <w:rPr>
                <w:highlight w:val="none"/>
              </w:rPr>
            </w:pPr>
          </w:p>
        </w:tc>
        <w:tc>
          <w:tcPr>
            <w:tcW w:w="483" w:type="pct"/>
            <w:tcBorders>
              <w:top w:val="single" w:color="auto" w:sz="4" w:space="0"/>
              <w:left w:val="single" w:color="auto" w:sz="4" w:space="0"/>
              <w:bottom w:val="single" w:color="auto" w:sz="12" w:space="0"/>
              <w:right w:val="single" w:color="auto" w:sz="4" w:space="0"/>
            </w:tcBorders>
            <w:vAlign w:val="center"/>
          </w:tcPr>
          <w:p w14:paraId="72B3968C">
            <w:pPr>
              <w:spacing w:line="360" w:lineRule="auto"/>
              <w:jc w:val="left"/>
              <w:rPr>
                <w:highlight w:val="none"/>
              </w:rPr>
            </w:pPr>
          </w:p>
        </w:tc>
        <w:tc>
          <w:tcPr>
            <w:tcW w:w="729" w:type="pct"/>
            <w:tcBorders>
              <w:top w:val="single" w:color="auto" w:sz="4" w:space="0"/>
              <w:left w:val="single" w:color="auto" w:sz="4" w:space="0"/>
              <w:bottom w:val="single" w:color="auto" w:sz="12" w:space="0"/>
              <w:right w:val="single" w:color="auto" w:sz="4" w:space="0"/>
            </w:tcBorders>
            <w:vAlign w:val="center"/>
          </w:tcPr>
          <w:p w14:paraId="6EA35DA3">
            <w:pPr>
              <w:spacing w:line="360" w:lineRule="auto"/>
              <w:jc w:val="left"/>
              <w:rPr>
                <w:highlight w:val="none"/>
              </w:rPr>
            </w:pPr>
          </w:p>
        </w:tc>
        <w:tc>
          <w:tcPr>
            <w:tcW w:w="454" w:type="pct"/>
            <w:tcBorders>
              <w:top w:val="single" w:color="auto" w:sz="4" w:space="0"/>
              <w:left w:val="single" w:color="auto" w:sz="4" w:space="0"/>
              <w:bottom w:val="single" w:color="auto" w:sz="12" w:space="0"/>
              <w:right w:val="single" w:color="auto" w:sz="12" w:space="0"/>
            </w:tcBorders>
            <w:vAlign w:val="center"/>
          </w:tcPr>
          <w:p w14:paraId="0C4C1BE5">
            <w:pPr>
              <w:spacing w:line="360" w:lineRule="auto"/>
              <w:jc w:val="left"/>
              <w:rPr>
                <w:highlight w:val="none"/>
              </w:rPr>
            </w:pPr>
          </w:p>
        </w:tc>
      </w:tr>
    </w:tbl>
    <w:p w14:paraId="7551B875">
      <w:pPr>
        <w:spacing w:line="360" w:lineRule="auto"/>
        <w:jc w:val="left"/>
        <w:rPr>
          <w:highlight w:val="none"/>
        </w:rPr>
      </w:pPr>
      <w:r>
        <w:rPr>
          <w:highlight w:val="none"/>
        </w:rPr>
        <w:t>表7   热控设备及仪表清单（按招标系统图列出）</w:t>
      </w:r>
    </w:p>
    <w:tbl>
      <w:tblPr>
        <w:tblStyle w:val="21"/>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98"/>
        <w:gridCol w:w="1454"/>
        <w:gridCol w:w="2184"/>
        <w:gridCol w:w="759"/>
        <w:gridCol w:w="791"/>
        <w:gridCol w:w="884"/>
        <w:gridCol w:w="1296"/>
        <w:gridCol w:w="815"/>
      </w:tblGrid>
      <w:tr w14:paraId="19B14F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44" w:type="pct"/>
            <w:tcBorders>
              <w:top w:val="single" w:color="auto" w:sz="12" w:space="0"/>
              <w:left w:val="single" w:color="auto" w:sz="12" w:space="0"/>
              <w:bottom w:val="single" w:color="auto" w:sz="4" w:space="0"/>
              <w:right w:val="single" w:color="auto" w:sz="4" w:space="0"/>
            </w:tcBorders>
            <w:vAlign w:val="center"/>
          </w:tcPr>
          <w:p w14:paraId="5B1E65CD">
            <w:pPr>
              <w:spacing w:line="360" w:lineRule="auto"/>
              <w:jc w:val="center"/>
              <w:rPr>
                <w:highlight w:val="none"/>
              </w:rPr>
            </w:pPr>
            <w:r>
              <w:rPr>
                <w:highlight w:val="none"/>
              </w:rPr>
              <w:t>序号</w:t>
            </w:r>
          </w:p>
        </w:tc>
        <w:tc>
          <w:tcPr>
            <w:tcW w:w="809" w:type="pct"/>
            <w:tcBorders>
              <w:top w:val="single" w:color="auto" w:sz="12" w:space="0"/>
              <w:left w:val="single" w:color="auto" w:sz="4" w:space="0"/>
              <w:bottom w:val="single" w:color="auto" w:sz="4" w:space="0"/>
              <w:right w:val="single" w:color="auto" w:sz="4" w:space="0"/>
            </w:tcBorders>
            <w:vAlign w:val="center"/>
          </w:tcPr>
          <w:p w14:paraId="383448B5">
            <w:pPr>
              <w:spacing w:line="360" w:lineRule="auto"/>
              <w:jc w:val="center"/>
              <w:rPr>
                <w:highlight w:val="none"/>
              </w:rPr>
            </w:pPr>
            <w:r>
              <w:rPr>
                <w:highlight w:val="none"/>
              </w:rPr>
              <w:t>名称</w:t>
            </w:r>
          </w:p>
        </w:tc>
        <w:tc>
          <w:tcPr>
            <w:tcW w:w="1215" w:type="pct"/>
            <w:tcBorders>
              <w:top w:val="single" w:color="auto" w:sz="12" w:space="0"/>
              <w:left w:val="single" w:color="auto" w:sz="4" w:space="0"/>
              <w:bottom w:val="single" w:color="auto" w:sz="4" w:space="0"/>
              <w:right w:val="single" w:color="auto" w:sz="4" w:space="0"/>
            </w:tcBorders>
            <w:vAlign w:val="center"/>
          </w:tcPr>
          <w:p w14:paraId="48D61C6C">
            <w:pPr>
              <w:spacing w:line="360" w:lineRule="auto"/>
              <w:jc w:val="center"/>
              <w:rPr>
                <w:highlight w:val="none"/>
              </w:rPr>
            </w:pPr>
            <w:r>
              <w:rPr>
                <w:highlight w:val="none"/>
              </w:rPr>
              <w:t>规格型号</w:t>
            </w:r>
          </w:p>
        </w:tc>
        <w:tc>
          <w:tcPr>
            <w:tcW w:w="422" w:type="pct"/>
            <w:tcBorders>
              <w:top w:val="single" w:color="auto" w:sz="12" w:space="0"/>
              <w:left w:val="single" w:color="auto" w:sz="4" w:space="0"/>
              <w:bottom w:val="single" w:color="auto" w:sz="4" w:space="0"/>
              <w:right w:val="single" w:color="auto" w:sz="4" w:space="0"/>
            </w:tcBorders>
            <w:vAlign w:val="center"/>
          </w:tcPr>
          <w:p w14:paraId="590D3ED0">
            <w:pPr>
              <w:spacing w:line="360" w:lineRule="auto"/>
              <w:jc w:val="center"/>
              <w:rPr>
                <w:highlight w:val="none"/>
              </w:rPr>
            </w:pPr>
            <w:r>
              <w:rPr>
                <w:highlight w:val="none"/>
              </w:rPr>
              <w:t>单位</w:t>
            </w:r>
          </w:p>
        </w:tc>
        <w:tc>
          <w:tcPr>
            <w:tcW w:w="440" w:type="pct"/>
            <w:tcBorders>
              <w:top w:val="single" w:color="auto" w:sz="12" w:space="0"/>
              <w:left w:val="single" w:color="auto" w:sz="4" w:space="0"/>
              <w:bottom w:val="single" w:color="auto" w:sz="4" w:space="0"/>
              <w:right w:val="single" w:color="auto" w:sz="4" w:space="0"/>
            </w:tcBorders>
            <w:vAlign w:val="center"/>
          </w:tcPr>
          <w:p w14:paraId="6C2F9AC2">
            <w:pPr>
              <w:spacing w:line="360" w:lineRule="auto"/>
              <w:jc w:val="center"/>
              <w:rPr>
                <w:highlight w:val="none"/>
              </w:rPr>
            </w:pPr>
            <w:r>
              <w:rPr>
                <w:highlight w:val="none"/>
              </w:rPr>
              <w:t>数量</w:t>
            </w:r>
          </w:p>
        </w:tc>
        <w:tc>
          <w:tcPr>
            <w:tcW w:w="492" w:type="pct"/>
            <w:tcBorders>
              <w:top w:val="single" w:color="auto" w:sz="12" w:space="0"/>
              <w:left w:val="single" w:color="auto" w:sz="4" w:space="0"/>
              <w:bottom w:val="single" w:color="auto" w:sz="4" w:space="0"/>
              <w:right w:val="single" w:color="auto" w:sz="4" w:space="0"/>
            </w:tcBorders>
            <w:vAlign w:val="center"/>
          </w:tcPr>
          <w:p w14:paraId="79510593">
            <w:pPr>
              <w:spacing w:line="360" w:lineRule="auto"/>
              <w:jc w:val="center"/>
              <w:rPr>
                <w:highlight w:val="none"/>
              </w:rPr>
            </w:pPr>
            <w:r>
              <w:rPr>
                <w:highlight w:val="none"/>
              </w:rPr>
              <w:t>产地</w:t>
            </w:r>
          </w:p>
        </w:tc>
        <w:tc>
          <w:tcPr>
            <w:tcW w:w="721" w:type="pct"/>
            <w:tcBorders>
              <w:top w:val="single" w:color="auto" w:sz="12" w:space="0"/>
              <w:left w:val="single" w:color="auto" w:sz="4" w:space="0"/>
              <w:bottom w:val="single" w:color="auto" w:sz="4" w:space="0"/>
              <w:right w:val="single" w:color="auto" w:sz="4" w:space="0"/>
            </w:tcBorders>
            <w:vAlign w:val="center"/>
          </w:tcPr>
          <w:p w14:paraId="344FD768">
            <w:pPr>
              <w:spacing w:line="360" w:lineRule="auto"/>
              <w:jc w:val="center"/>
              <w:rPr>
                <w:highlight w:val="none"/>
              </w:rPr>
            </w:pPr>
            <w:r>
              <w:rPr>
                <w:highlight w:val="none"/>
              </w:rPr>
              <w:t>生产厂家</w:t>
            </w:r>
          </w:p>
        </w:tc>
        <w:tc>
          <w:tcPr>
            <w:tcW w:w="453" w:type="pct"/>
            <w:tcBorders>
              <w:top w:val="single" w:color="auto" w:sz="12" w:space="0"/>
              <w:left w:val="single" w:color="auto" w:sz="4" w:space="0"/>
              <w:bottom w:val="single" w:color="auto" w:sz="4" w:space="0"/>
              <w:right w:val="single" w:color="auto" w:sz="12" w:space="0"/>
            </w:tcBorders>
            <w:vAlign w:val="center"/>
          </w:tcPr>
          <w:p w14:paraId="7607861F">
            <w:pPr>
              <w:spacing w:line="360" w:lineRule="auto"/>
              <w:jc w:val="center"/>
              <w:rPr>
                <w:highlight w:val="none"/>
              </w:rPr>
            </w:pPr>
            <w:r>
              <w:rPr>
                <w:highlight w:val="none"/>
              </w:rPr>
              <w:t>备注</w:t>
            </w:r>
          </w:p>
        </w:tc>
      </w:tr>
      <w:tr w14:paraId="2ECF45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8" w:hRule="atLeast"/>
          <w:jc w:val="center"/>
        </w:trPr>
        <w:tc>
          <w:tcPr>
            <w:tcW w:w="444" w:type="pct"/>
            <w:tcBorders>
              <w:top w:val="single" w:color="auto" w:sz="4" w:space="0"/>
              <w:left w:val="single" w:color="auto" w:sz="12" w:space="0"/>
              <w:bottom w:val="single" w:color="auto" w:sz="4" w:space="0"/>
              <w:right w:val="single" w:color="auto" w:sz="4" w:space="0"/>
            </w:tcBorders>
            <w:vAlign w:val="center"/>
          </w:tcPr>
          <w:p w14:paraId="4237F56D">
            <w:pPr>
              <w:spacing w:line="360" w:lineRule="auto"/>
              <w:jc w:val="left"/>
              <w:rPr>
                <w:highlight w:val="none"/>
              </w:rPr>
            </w:pPr>
            <w:r>
              <w:rPr>
                <w:highlight w:val="none"/>
              </w:rPr>
              <w:t>1</w:t>
            </w:r>
          </w:p>
        </w:tc>
        <w:tc>
          <w:tcPr>
            <w:tcW w:w="809" w:type="pct"/>
            <w:tcBorders>
              <w:top w:val="single" w:color="auto" w:sz="4" w:space="0"/>
              <w:left w:val="single" w:color="auto" w:sz="4" w:space="0"/>
              <w:bottom w:val="single" w:color="auto" w:sz="4" w:space="0"/>
              <w:right w:val="single" w:color="auto" w:sz="4" w:space="0"/>
            </w:tcBorders>
            <w:vAlign w:val="center"/>
          </w:tcPr>
          <w:p w14:paraId="77CF1C47">
            <w:pPr>
              <w:spacing w:line="360" w:lineRule="auto"/>
              <w:jc w:val="left"/>
              <w:rPr>
                <w:highlight w:val="none"/>
              </w:rPr>
            </w:pPr>
          </w:p>
        </w:tc>
        <w:tc>
          <w:tcPr>
            <w:tcW w:w="1215" w:type="pct"/>
            <w:tcBorders>
              <w:top w:val="single" w:color="auto" w:sz="4" w:space="0"/>
              <w:left w:val="single" w:color="auto" w:sz="4" w:space="0"/>
              <w:bottom w:val="single" w:color="auto" w:sz="4" w:space="0"/>
              <w:right w:val="single" w:color="auto" w:sz="4" w:space="0"/>
            </w:tcBorders>
            <w:vAlign w:val="center"/>
          </w:tcPr>
          <w:p w14:paraId="5F7CCD25">
            <w:pPr>
              <w:spacing w:line="360" w:lineRule="auto"/>
              <w:jc w:val="left"/>
              <w:rPr>
                <w:highlight w:val="none"/>
              </w:rPr>
            </w:pPr>
          </w:p>
        </w:tc>
        <w:tc>
          <w:tcPr>
            <w:tcW w:w="422" w:type="pct"/>
            <w:tcBorders>
              <w:top w:val="single" w:color="auto" w:sz="4" w:space="0"/>
              <w:left w:val="single" w:color="auto" w:sz="4" w:space="0"/>
              <w:bottom w:val="single" w:color="auto" w:sz="4" w:space="0"/>
              <w:right w:val="single" w:color="auto" w:sz="4" w:space="0"/>
            </w:tcBorders>
            <w:vAlign w:val="center"/>
          </w:tcPr>
          <w:p w14:paraId="51D7004C">
            <w:pPr>
              <w:spacing w:line="360" w:lineRule="auto"/>
              <w:jc w:val="left"/>
              <w:rPr>
                <w:highlight w:val="none"/>
              </w:rPr>
            </w:pPr>
          </w:p>
        </w:tc>
        <w:tc>
          <w:tcPr>
            <w:tcW w:w="440" w:type="pct"/>
            <w:tcBorders>
              <w:top w:val="single" w:color="auto" w:sz="4" w:space="0"/>
              <w:left w:val="single" w:color="auto" w:sz="4" w:space="0"/>
              <w:bottom w:val="single" w:color="auto" w:sz="4" w:space="0"/>
              <w:right w:val="single" w:color="auto" w:sz="4" w:space="0"/>
            </w:tcBorders>
            <w:vAlign w:val="center"/>
          </w:tcPr>
          <w:p w14:paraId="4033471D">
            <w:pPr>
              <w:spacing w:line="360" w:lineRule="auto"/>
              <w:jc w:val="left"/>
              <w:rPr>
                <w:highlight w:val="none"/>
              </w:rPr>
            </w:pPr>
          </w:p>
        </w:tc>
        <w:tc>
          <w:tcPr>
            <w:tcW w:w="492" w:type="pct"/>
            <w:tcBorders>
              <w:top w:val="single" w:color="auto" w:sz="4" w:space="0"/>
              <w:left w:val="single" w:color="auto" w:sz="4" w:space="0"/>
              <w:bottom w:val="single" w:color="auto" w:sz="4" w:space="0"/>
              <w:right w:val="single" w:color="auto" w:sz="4" w:space="0"/>
            </w:tcBorders>
            <w:vAlign w:val="center"/>
          </w:tcPr>
          <w:p w14:paraId="0A3C05C5">
            <w:pPr>
              <w:spacing w:line="360" w:lineRule="auto"/>
              <w:jc w:val="left"/>
              <w:rPr>
                <w:highlight w:val="none"/>
              </w:rPr>
            </w:pPr>
          </w:p>
        </w:tc>
        <w:tc>
          <w:tcPr>
            <w:tcW w:w="721" w:type="pct"/>
            <w:tcBorders>
              <w:top w:val="single" w:color="auto" w:sz="4" w:space="0"/>
              <w:left w:val="single" w:color="auto" w:sz="4" w:space="0"/>
              <w:bottom w:val="single" w:color="auto" w:sz="4" w:space="0"/>
              <w:right w:val="single" w:color="auto" w:sz="4" w:space="0"/>
            </w:tcBorders>
            <w:vAlign w:val="center"/>
          </w:tcPr>
          <w:p w14:paraId="3BB60F10">
            <w:pPr>
              <w:spacing w:line="360" w:lineRule="auto"/>
              <w:jc w:val="left"/>
              <w:rPr>
                <w:highlight w:val="none"/>
              </w:rPr>
            </w:pPr>
          </w:p>
        </w:tc>
        <w:tc>
          <w:tcPr>
            <w:tcW w:w="453" w:type="pct"/>
            <w:tcBorders>
              <w:top w:val="single" w:color="auto" w:sz="4" w:space="0"/>
              <w:left w:val="single" w:color="auto" w:sz="4" w:space="0"/>
              <w:bottom w:val="single" w:color="auto" w:sz="4" w:space="0"/>
              <w:right w:val="single" w:color="auto" w:sz="12" w:space="0"/>
            </w:tcBorders>
            <w:vAlign w:val="center"/>
          </w:tcPr>
          <w:p w14:paraId="526CB101">
            <w:pPr>
              <w:spacing w:line="360" w:lineRule="auto"/>
              <w:jc w:val="left"/>
              <w:rPr>
                <w:highlight w:val="none"/>
              </w:rPr>
            </w:pPr>
          </w:p>
        </w:tc>
      </w:tr>
      <w:tr w14:paraId="6E8B70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8" w:hRule="atLeast"/>
          <w:jc w:val="center"/>
        </w:trPr>
        <w:tc>
          <w:tcPr>
            <w:tcW w:w="444" w:type="pct"/>
            <w:tcBorders>
              <w:top w:val="single" w:color="auto" w:sz="4" w:space="0"/>
              <w:left w:val="single" w:color="auto" w:sz="12" w:space="0"/>
              <w:bottom w:val="single" w:color="auto" w:sz="12" w:space="0"/>
              <w:right w:val="single" w:color="auto" w:sz="4" w:space="0"/>
            </w:tcBorders>
            <w:vAlign w:val="center"/>
          </w:tcPr>
          <w:p w14:paraId="609E0366">
            <w:pPr>
              <w:spacing w:line="360" w:lineRule="auto"/>
              <w:jc w:val="left"/>
              <w:rPr>
                <w:highlight w:val="none"/>
              </w:rPr>
            </w:pPr>
            <w:r>
              <w:rPr>
                <w:highlight w:val="none"/>
              </w:rPr>
              <w:t>2</w:t>
            </w:r>
          </w:p>
        </w:tc>
        <w:tc>
          <w:tcPr>
            <w:tcW w:w="809" w:type="pct"/>
            <w:tcBorders>
              <w:top w:val="single" w:color="auto" w:sz="4" w:space="0"/>
              <w:left w:val="single" w:color="auto" w:sz="4" w:space="0"/>
              <w:bottom w:val="single" w:color="auto" w:sz="12" w:space="0"/>
              <w:right w:val="single" w:color="auto" w:sz="4" w:space="0"/>
            </w:tcBorders>
            <w:vAlign w:val="center"/>
          </w:tcPr>
          <w:p w14:paraId="28F54C67">
            <w:pPr>
              <w:spacing w:line="360" w:lineRule="auto"/>
              <w:jc w:val="left"/>
              <w:rPr>
                <w:highlight w:val="none"/>
              </w:rPr>
            </w:pPr>
          </w:p>
        </w:tc>
        <w:tc>
          <w:tcPr>
            <w:tcW w:w="1215" w:type="pct"/>
            <w:tcBorders>
              <w:top w:val="single" w:color="auto" w:sz="4" w:space="0"/>
              <w:left w:val="single" w:color="auto" w:sz="4" w:space="0"/>
              <w:bottom w:val="single" w:color="auto" w:sz="12" w:space="0"/>
              <w:right w:val="single" w:color="auto" w:sz="4" w:space="0"/>
            </w:tcBorders>
            <w:vAlign w:val="center"/>
          </w:tcPr>
          <w:p w14:paraId="6580D7EB">
            <w:pPr>
              <w:spacing w:line="360" w:lineRule="auto"/>
              <w:jc w:val="left"/>
              <w:rPr>
                <w:highlight w:val="none"/>
              </w:rPr>
            </w:pPr>
          </w:p>
        </w:tc>
        <w:tc>
          <w:tcPr>
            <w:tcW w:w="422" w:type="pct"/>
            <w:tcBorders>
              <w:top w:val="single" w:color="auto" w:sz="4" w:space="0"/>
              <w:left w:val="single" w:color="auto" w:sz="4" w:space="0"/>
              <w:bottom w:val="single" w:color="auto" w:sz="12" w:space="0"/>
              <w:right w:val="single" w:color="auto" w:sz="4" w:space="0"/>
            </w:tcBorders>
            <w:vAlign w:val="center"/>
          </w:tcPr>
          <w:p w14:paraId="1AE83DAC">
            <w:pPr>
              <w:spacing w:line="360" w:lineRule="auto"/>
              <w:jc w:val="left"/>
              <w:rPr>
                <w:highlight w:val="none"/>
              </w:rPr>
            </w:pPr>
          </w:p>
        </w:tc>
        <w:tc>
          <w:tcPr>
            <w:tcW w:w="440" w:type="pct"/>
            <w:tcBorders>
              <w:top w:val="single" w:color="auto" w:sz="4" w:space="0"/>
              <w:left w:val="single" w:color="auto" w:sz="4" w:space="0"/>
              <w:bottom w:val="single" w:color="auto" w:sz="12" w:space="0"/>
              <w:right w:val="single" w:color="auto" w:sz="4" w:space="0"/>
            </w:tcBorders>
            <w:vAlign w:val="center"/>
          </w:tcPr>
          <w:p w14:paraId="5A92A728">
            <w:pPr>
              <w:spacing w:line="360" w:lineRule="auto"/>
              <w:jc w:val="left"/>
              <w:rPr>
                <w:highlight w:val="none"/>
              </w:rPr>
            </w:pPr>
          </w:p>
        </w:tc>
        <w:tc>
          <w:tcPr>
            <w:tcW w:w="492" w:type="pct"/>
            <w:tcBorders>
              <w:top w:val="single" w:color="auto" w:sz="4" w:space="0"/>
              <w:left w:val="single" w:color="auto" w:sz="4" w:space="0"/>
              <w:bottom w:val="single" w:color="auto" w:sz="12" w:space="0"/>
              <w:right w:val="single" w:color="auto" w:sz="4" w:space="0"/>
            </w:tcBorders>
            <w:vAlign w:val="center"/>
          </w:tcPr>
          <w:p w14:paraId="472381CC">
            <w:pPr>
              <w:spacing w:line="360" w:lineRule="auto"/>
              <w:jc w:val="left"/>
              <w:rPr>
                <w:highlight w:val="none"/>
              </w:rPr>
            </w:pPr>
          </w:p>
        </w:tc>
        <w:tc>
          <w:tcPr>
            <w:tcW w:w="721" w:type="pct"/>
            <w:tcBorders>
              <w:top w:val="single" w:color="auto" w:sz="4" w:space="0"/>
              <w:left w:val="single" w:color="auto" w:sz="4" w:space="0"/>
              <w:bottom w:val="single" w:color="auto" w:sz="12" w:space="0"/>
              <w:right w:val="single" w:color="auto" w:sz="4" w:space="0"/>
            </w:tcBorders>
            <w:vAlign w:val="center"/>
          </w:tcPr>
          <w:p w14:paraId="383747E6">
            <w:pPr>
              <w:spacing w:line="360" w:lineRule="auto"/>
              <w:jc w:val="left"/>
              <w:rPr>
                <w:highlight w:val="none"/>
              </w:rPr>
            </w:pPr>
          </w:p>
        </w:tc>
        <w:tc>
          <w:tcPr>
            <w:tcW w:w="453" w:type="pct"/>
            <w:tcBorders>
              <w:top w:val="single" w:color="auto" w:sz="4" w:space="0"/>
              <w:left w:val="single" w:color="auto" w:sz="4" w:space="0"/>
              <w:bottom w:val="single" w:color="auto" w:sz="12" w:space="0"/>
              <w:right w:val="single" w:color="auto" w:sz="12" w:space="0"/>
            </w:tcBorders>
            <w:vAlign w:val="center"/>
          </w:tcPr>
          <w:p w14:paraId="3BCE25C3">
            <w:pPr>
              <w:spacing w:line="360" w:lineRule="auto"/>
              <w:jc w:val="left"/>
              <w:rPr>
                <w:highlight w:val="none"/>
              </w:rPr>
            </w:pPr>
          </w:p>
        </w:tc>
      </w:tr>
    </w:tbl>
    <w:p w14:paraId="765C1D81">
      <w:pPr>
        <w:spacing w:line="360" w:lineRule="auto"/>
        <w:jc w:val="left"/>
        <w:rPr>
          <w:highlight w:val="none"/>
        </w:rPr>
      </w:pPr>
      <w:r>
        <w:rPr>
          <w:highlight w:val="none"/>
        </w:rPr>
        <w:t>表8   电气设备清单（不限于此，投标人细化，补充至表格最后）</w:t>
      </w:r>
    </w:p>
    <w:tbl>
      <w:tblPr>
        <w:tblStyle w:val="21"/>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75"/>
        <w:gridCol w:w="1400"/>
        <w:gridCol w:w="2178"/>
        <w:gridCol w:w="782"/>
        <w:gridCol w:w="737"/>
        <w:gridCol w:w="877"/>
        <w:gridCol w:w="1292"/>
        <w:gridCol w:w="940"/>
      </w:tblGrid>
      <w:tr w14:paraId="4D13F4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31" w:type="pct"/>
            <w:tcBorders>
              <w:tl2br w:val="nil"/>
              <w:tr2bl w:val="nil"/>
            </w:tcBorders>
            <w:vAlign w:val="center"/>
          </w:tcPr>
          <w:p w14:paraId="46E4DB12">
            <w:pPr>
              <w:spacing w:line="360" w:lineRule="auto"/>
              <w:jc w:val="center"/>
              <w:rPr>
                <w:highlight w:val="none"/>
              </w:rPr>
            </w:pPr>
            <w:r>
              <w:rPr>
                <w:highlight w:val="none"/>
              </w:rPr>
              <w:t>序号</w:t>
            </w:r>
          </w:p>
        </w:tc>
        <w:tc>
          <w:tcPr>
            <w:tcW w:w="779" w:type="pct"/>
            <w:tcBorders>
              <w:tl2br w:val="nil"/>
              <w:tr2bl w:val="nil"/>
            </w:tcBorders>
            <w:vAlign w:val="center"/>
          </w:tcPr>
          <w:p w14:paraId="54B50918">
            <w:pPr>
              <w:spacing w:line="360" w:lineRule="auto"/>
              <w:jc w:val="center"/>
              <w:rPr>
                <w:highlight w:val="none"/>
              </w:rPr>
            </w:pPr>
            <w:r>
              <w:rPr>
                <w:highlight w:val="none"/>
              </w:rPr>
              <w:t>名称</w:t>
            </w:r>
          </w:p>
        </w:tc>
        <w:tc>
          <w:tcPr>
            <w:tcW w:w="1212" w:type="pct"/>
            <w:tcBorders>
              <w:tl2br w:val="nil"/>
              <w:tr2bl w:val="nil"/>
            </w:tcBorders>
            <w:vAlign w:val="center"/>
          </w:tcPr>
          <w:p w14:paraId="402AC977">
            <w:pPr>
              <w:spacing w:line="360" w:lineRule="auto"/>
              <w:jc w:val="center"/>
              <w:rPr>
                <w:highlight w:val="none"/>
              </w:rPr>
            </w:pPr>
            <w:r>
              <w:rPr>
                <w:highlight w:val="none"/>
              </w:rPr>
              <w:t>规格型号</w:t>
            </w:r>
          </w:p>
        </w:tc>
        <w:tc>
          <w:tcPr>
            <w:tcW w:w="435" w:type="pct"/>
            <w:tcBorders>
              <w:tl2br w:val="nil"/>
              <w:tr2bl w:val="nil"/>
            </w:tcBorders>
            <w:vAlign w:val="center"/>
          </w:tcPr>
          <w:p w14:paraId="447FBBB6">
            <w:pPr>
              <w:spacing w:line="360" w:lineRule="auto"/>
              <w:jc w:val="center"/>
              <w:rPr>
                <w:highlight w:val="none"/>
              </w:rPr>
            </w:pPr>
            <w:r>
              <w:rPr>
                <w:highlight w:val="none"/>
              </w:rPr>
              <w:t>单位</w:t>
            </w:r>
          </w:p>
        </w:tc>
        <w:tc>
          <w:tcPr>
            <w:tcW w:w="410" w:type="pct"/>
            <w:tcBorders>
              <w:tl2br w:val="nil"/>
              <w:tr2bl w:val="nil"/>
            </w:tcBorders>
            <w:vAlign w:val="center"/>
          </w:tcPr>
          <w:p w14:paraId="73511B04">
            <w:pPr>
              <w:spacing w:line="360" w:lineRule="auto"/>
              <w:jc w:val="center"/>
              <w:rPr>
                <w:highlight w:val="none"/>
              </w:rPr>
            </w:pPr>
            <w:r>
              <w:rPr>
                <w:highlight w:val="none"/>
              </w:rPr>
              <w:t>数量</w:t>
            </w:r>
          </w:p>
        </w:tc>
        <w:tc>
          <w:tcPr>
            <w:tcW w:w="488" w:type="pct"/>
            <w:tcBorders>
              <w:tl2br w:val="nil"/>
              <w:tr2bl w:val="nil"/>
            </w:tcBorders>
            <w:vAlign w:val="center"/>
          </w:tcPr>
          <w:p w14:paraId="098669DC">
            <w:pPr>
              <w:spacing w:line="360" w:lineRule="auto"/>
              <w:jc w:val="center"/>
              <w:rPr>
                <w:highlight w:val="none"/>
              </w:rPr>
            </w:pPr>
            <w:r>
              <w:rPr>
                <w:highlight w:val="none"/>
              </w:rPr>
              <w:t>产地</w:t>
            </w:r>
          </w:p>
        </w:tc>
        <w:tc>
          <w:tcPr>
            <w:tcW w:w="719" w:type="pct"/>
            <w:tcBorders>
              <w:tl2br w:val="nil"/>
              <w:tr2bl w:val="nil"/>
            </w:tcBorders>
            <w:vAlign w:val="center"/>
          </w:tcPr>
          <w:p w14:paraId="0497C4B6">
            <w:pPr>
              <w:spacing w:line="360" w:lineRule="auto"/>
              <w:jc w:val="center"/>
              <w:rPr>
                <w:highlight w:val="none"/>
              </w:rPr>
            </w:pPr>
            <w:r>
              <w:rPr>
                <w:highlight w:val="none"/>
              </w:rPr>
              <w:t>生产厂家</w:t>
            </w:r>
          </w:p>
        </w:tc>
        <w:tc>
          <w:tcPr>
            <w:tcW w:w="523" w:type="pct"/>
            <w:tcBorders>
              <w:tl2br w:val="nil"/>
              <w:tr2bl w:val="nil"/>
            </w:tcBorders>
            <w:vAlign w:val="center"/>
          </w:tcPr>
          <w:p w14:paraId="4D623EE7">
            <w:pPr>
              <w:spacing w:line="360" w:lineRule="auto"/>
              <w:jc w:val="center"/>
              <w:rPr>
                <w:highlight w:val="none"/>
              </w:rPr>
            </w:pPr>
            <w:r>
              <w:rPr>
                <w:highlight w:val="none"/>
              </w:rPr>
              <w:t>备注</w:t>
            </w:r>
          </w:p>
        </w:tc>
      </w:tr>
      <w:tr w14:paraId="64C496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8" w:hRule="atLeast"/>
          <w:jc w:val="center"/>
        </w:trPr>
        <w:tc>
          <w:tcPr>
            <w:tcW w:w="431" w:type="pct"/>
            <w:tcBorders>
              <w:tl2br w:val="nil"/>
              <w:tr2bl w:val="nil"/>
            </w:tcBorders>
            <w:vAlign w:val="center"/>
          </w:tcPr>
          <w:p w14:paraId="11851DF7">
            <w:pPr>
              <w:spacing w:line="360" w:lineRule="auto"/>
              <w:jc w:val="left"/>
              <w:rPr>
                <w:highlight w:val="none"/>
              </w:rPr>
            </w:pPr>
            <w:r>
              <w:rPr>
                <w:highlight w:val="none"/>
              </w:rPr>
              <w:t>1</w:t>
            </w:r>
          </w:p>
        </w:tc>
        <w:tc>
          <w:tcPr>
            <w:tcW w:w="779" w:type="pct"/>
            <w:tcBorders>
              <w:tl2br w:val="nil"/>
              <w:tr2bl w:val="nil"/>
            </w:tcBorders>
            <w:vAlign w:val="center"/>
          </w:tcPr>
          <w:p w14:paraId="3ADB3E69">
            <w:pPr>
              <w:jc w:val="left"/>
              <w:rPr>
                <w:sz w:val="28"/>
                <w:szCs w:val="28"/>
                <w:highlight w:val="none"/>
              </w:rPr>
            </w:pPr>
          </w:p>
        </w:tc>
        <w:tc>
          <w:tcPr>
            <w:tcW w:w="1212" w:type="pct"/>
            <w:tcBorders>
              <w:tl2br w:val="nil"/>
              <w:tr2bl w:val="nil"/>
            </w:tcBorders>
            <w:vAlign w:val="center"/>
          </w:tcPr>
          <w:p w14:paraId="07F60609">
            <w:pPr>
              <w:jc w:val="left"/>
              <w:rPr>
                <w:highlight w:val="none"/>
              </w:rPr>
            </w:pPr>
          </w:p>
        </w:tc>
        <w:tc>
          <w:tcPr>
            <w:tcW w:w="435" w:type="pct"/>
            <w:tcBorders>
              <w:tl2br w:val="nil"/>
              <w:tr2bl w:val="nil"/>
            </w:tcBorders>
            <w:vAlign w:val="center"/>
          </w:tcPr>
          <w:p w14:paraId="04522A1D">
            <w:pPr>
              <w:spacing w:line="276" w:lineRule="auto"/>
              <w:jc w:val="left"/>
              <w:rPr>
                <w:sz w:val="21"/>
                <w:szCs w:val="21"/>
                <w:highlight w:val="none"/>
              </w:rPr>
            </w:pPr>
          </w:p>
        </w:tc>
        <w:tc>
          <w:tcPr>
            <w:tcW w:w="410" w:type="pct"/>
            <w:tcBorders>
              <w:tl2br w:val="nil"/>
              <w:tr2bl w:val="nil"/>
            </w:tcBorders>
            <w:vAlign w:val="center"/>
          </w:tcPr>
          <w:p w14:paraId="5F265FC4">
            <w:pPr>
              <w:spacing w:line="276" w:lineRule="auto"/>
              <w:jc w:val="left"/>
              <w:rPr>
                <w:sz w:val="21"/>
                <w:szCs w:val="21"/>
                <w:highlight w:val="none"/>
              </w:rPr>
            </w:pPr>
          </w:p>
        </w:tc>
        <w:tc>
          <w:tcPr>
            <w:tcW w:w="488" w:type="pct"/>
            <w:tcBorders>
              <w:tl2br w:val="nil"/>
              <w:tr2bl w:val="nil"/>
            </w:tcBorders>
            <w:vAlign w:val="center"/>
          </w:tcPr>
          <w:p w14:paraId="5E34DC1C">
            <w:pPr>
              <w:spacing w:line="276" w:lineRule="auto"/>
              <w:jc w:val="left"/>
              <w:rPr>
                <w:sz w:val="21"/>
                <w:szCs w:val="21"/>
                <w:highlight w:val="none"/>
              </w:rPr>
            </w:pPr>
          </w:p>
        </w:tc>
        <w:tc>
          <w:tcPr>
            <w:tcW w:w="719" w:type="pct"/>
            <w:tcBorders>
              <w:tl2br w:val="nil"/>
              <w:tr2bl w:val="nil"/>
            </w:tcBorders>
            <w:vAlign w:val="center"/>
          </w:tcPr>
          <w:p w14:paraId="2CED0C51">
            <w:pPr>
              <w:spacing w:line="276" w:lineRule="auto"/>
              <w:jc w:val="left"/>
              <w:rPr>
                <w:sz w:val="21"/>
                <w:szCs w:val="21"/>
                <w:highlight w:val="none"/>
              </w:rPr>
            </w:pPr>
          </w:p>
        </w:tc>
        <w:tc>
          <w:tcPr>
            <w:tcW w:w="523" w:type="pct"/>
            <w:tcBorders>
              <w:tl2br w:val="nil"/>
              <w:tr2bl w:val="nil"/>
            </w:tcBorders>
            <w:vAlign w:val="center"/>
          </w:tcPr>
          <w:p w14:paraId="1CFE59B8">
            <w:pPr>
              <w:jc w:val="left"/>
              <w:rPr>
                <w:highlight w:val="none"/>
              </w:rPr>
            </w:pPr>
          </w:p>
        </w:tc>
      </w:tr>
      <w:tr w14:paraId="064F83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8" w:hRule="atLeast"/>
          <w:jc w:val="center"/>
        </w:trPr>
        <w:tc>
          <w:tcPr>
            <w:tcW w:w="431" w:type="pct"/>
            <w:tcBorders>
              <w:tl2br w:val="nil"/>
              <w:tr2bl w:val="nil"/>
            </w:tcBorders>
            <w:vAlign w:val="center"/>
          </w:tcPr>
          <w:p w14:paraId="64D2529B">
            <w:pPr>
              <w:spacing w:line="360" w:lineRule="auto"/>
              <w:jc w:val="left"/>
              <w:rPr>
                <w:highlight w:val="none"/>
              </w:rPr>
            </w:pPr>
            <w:r>
              <w:rPr>
                <w:highlight w:val="none"/>
              </w:rPr>
              <w:t>2</w:t>
            </w:r>
          </w:p>
        </w:tc>
        <w:tc>
          <w:tcPr>
            <w:tcW w:w="779" w:type="pct"/>
            <w:tcBorders>
              <w:tl2br w:val="nil"/>
              <w:tr2bl w:val="nil"/>
            </w:tcBorders>
            <w:vAlign w:val="center"/>
          </w:tcPr>
          <w:p w14:paraId="73B7FB24">
            <w:pPr>
              <w:widowControl/>
              <w:jc w:val="left"/>
              <w:rPr>
                <w:sz w:val="21"/>
                <w:szCs w:val="21"/>
                <w:highlight w:val="none"/>
              </w:rPr>
            </w:pPr>
          </w:p>
        </w:tc>
        <w:tc>
          <w:tcPr>
            <w:tcW w:w="1212" w:type="pct"/>
            <w:tcBorders>
              <w:tl2br w:val="nil"/>
              <w:tr2bl w:val="nil"/>
            </w:tcBorders>
            <w:vAlign w:val="center"/>
          </w:tcPr>
          <w:p w14:paraId="742A976D">
            <w:pPr>
              <w:widowControl/>
              <w:jc w:val="left"/>
              <w:rPr>
                <w:sz w:val="21"/>
                <w:szCs w:val="21"/>
                <w:highlight w:val="none"/>
              </w:rPr>
            </w:pPr>
          </w:p>
        </w:tc>
        <w:tc>
          <w:tcPr>
            <w:tcW w:w="435" w:type="pct"/>
            <w:tcBorders>
              <w:tl2br w:val="nil"/>
              <w:tr2bl w:val="nil"/>
            </w:tcBorders>
            <w:vAlign w:val="center"/>
          </w:tcPr>
          <w:p w14:paraId="21001A79">
            <w:pPr>
              <w:spacing w:line="276" w:lineRule="auto"/>
              <w:jc w:val="left"/>
              <w:rPr>
                <w:sz w:val="21"/>
                <w:szCs w:val="21"/>
                <w:highlight w:val="none"/>
              </w:rPr>
            </w:pPr>
          </w:p>
        </w:tc>
        <w:tc>
          <w:tcPr>
            <w:tcW w:w="410" w:type="pct"/>
            <w:tcBorders>
              <w:tl2br w:val="nil"/>
              <w:tr2bl w:val="nil"/>
            </w:tcBorders>
            <w:vAlign w:val="center"/>
          </w:tcPr>
          <w:p w14:paraId="1C0460C3">
            <w:pPr>
              <w:spacing w:line="276" w:lineRule="auto"/>
              <w:jc w:val="left"/>
              <w:rPr>
                <w:sz w:val="21"/>
                <w:szCs w:val="21"/>
                <w:highlight w:val="none"/>
              </w:rPr>
            </w:pPr>
          </w:p>
        </w:tc>
        <w:tc>
          <w:tcPr>
            <w:tcW w:w="488" w:type="pct"/>
            <w:tcBorders>
              <w:tl2br w:val="nil"/>
              <w:tr2bl w:val="nil"/>
            </w:tcBorders>
            <w:vAlign w:val="center"/>
          </w:tcPr>
          <w:p w14:paraId="6F00D348">
            <w:pPr>
              <w:spacing w:line="276" w:lineRule="auto"/>
              <w:jc w:val="left"/>
              <w:rPr>
                <w:sz w:val="21"/>
                <w:szCs w:val="21"/>
                <w:highlight w:val="none"/>
              </w:rPr>
            </w:pPr>
          </w:p>
        </w:tc>
        <w:tc>
          <w:tcPr>
            <w:tcW w:w="719" w:type="pct"/>
            <w:tcBorders>
              <w:tl2br w:val="nil"/>
              <w:tr2bl w:val="nil"/>
            </w:tcBorders>
            <w:vAlign w:val="center"/>
          </w:tcPr>
          <w:p w14:paraId="0DB66513">
            <w:pPr>
              <w:spacing w:line="276" w:lineRule="auto"/>
              <w:jc w:val="left"/>
              <w:rPr>
                <w:sz w:val="21"/>
                <w:szCs w:val="21"/>
                <w:highlight w:val="none"/>
              </w:rPr>
            </w:pPr>
          </w:p>
        </w:tc>
        <w:tc>
          <w:tcPr>
            <w:tcW w:w="523" w:type="pct"/>
            <w:tcBorders>
              <w:tl2br w:val="nil"/>
              <w:tr2bl w:val="nil"/>
            </w:tcBorders>
            <w:vAlign w:val="center"/>
          </w:tcPr>
          <w:p w14:paraId="29503D61">
            <w:pPr>
              <w:jc w:val="left"/>
              <w:rPr>
                <w:highlight w:val="none"/>
              </w:rPr>
            </w:pPr>
          </w:p>
        </w:tc>
      </w:tr>
    </w:tbl>
    <w:p w14:paraId="33845B09">
      <w:pPr>
        <w:jc w:val="left"/>
        <w:rPr>
          <w:bCs/>
          <w:highlight w:val="none"/>
        </w:rPr>
        <w:sectPr>
          <w:pgSz w:w="11906" w:h="16838"/>
          <w:pgMar w:top="1440" w:right="1440" w:bottom="1440" w:left="1701" w:header="851" w:footer="992" w:gutter="0"/>
          <w:cols w:space="425" w:num="1"/>
          <w:docGrid w:type="lines" w:linePitch="312" w:charSpace="0"/>
        </w:sectPr>
      </w:pPr>
    </w:p>
    <w:p w14:paraId="77A5367E">
      <w:pPr>
        <w:pStyle w:val="4"/>
        <w:spacing w:before="156" w:beforeLines="50" w:after="156" w:afterLines="50" w:line="360" w:lineRule="auto"/>
        <w:jc w:val="left"/>
        <w:rPr>
          <w:sz w:val="32"/>
          <w:szCs w:val="32"/>
          <w:highlight w:val="none"/>
        </w:rPr>
      </w:pPr>
      <w:bookmarkStart w:id="105" w:name="_Toc501817568"/>
      <w:bookmarkStart w:id="106" w:name="_Toc16516"/>
      <w:bookmarkStart w:id="107" w:name="_Toc513016572"/>
      <w:bookmarkStart w:id="108" w:name="_Toc513014508"/>
      <w:bookmarkStart w:id="109" w:name="_Toc513014509"/>
      <w:bookmarkStart w:id="110" w:name="_Toc512332164"/>
      <w:bookmarkStart w:id="111" w:name="_Toc512332304"/>
      <w:bookmarkStart w:id="112" w:name="_Toc343695399"/>
      <w:bookmarkStart w:id="113" w:name="_Toc515953162"/>
      <w:bookmarkStart w:id="114" w:name="_Toc515785172"/>
      <w:r>
        <w:rPr>
          <w:sz w:val="32"/>
          <w:szCs w:val="32"/>
          <w:highlight w:val="none"/>
        </w:rPr>
        <w:t>附件3 技术资料及交付进度</w:t>
      </w:r>
      <w:bookmarkEnd w:id="105"/>
      <w:bookmarkEnd w:id="106"/>
      <w:bookmarkEnd w:id="107"/>
      <w:bookmarkEnd w:id="108"/>
      <w:bookmarkEnd w:id="109"/>
      <w:bookmarkEnd w:id="110"/>
      <w:bookmarkEnd w:id="111"/>
      <w:bookmarkEnd w:id="112"/>
      <w:bookmarkEnd w:id="113"/>
      <w:bookmarkEnd w:id="114"/>
    </w:p>
    <w:p w14:paraId="182871E4">
      <w:pPr>
        <w:pStyle w:val="5"/>
        <w:spacing w:before="0" w:after="0" w:line="360" w:lineRule="auto"/>
        <w:jc w:val="left"/>
        <w:rPr>
          <w:rFonts w:ascii="Times New Roman"/>
          <w:bCs/>
          <w:sz w:val="24"/>
          <w:szCs w:val="24"/>
          <w:highlight w:val="none"/>
        </w:rPr>
      </w:pPr>
      <w:bookmarkStart w:id="115" w:name="_Toc513014510"/>
      <w:bookmarkStart w:id="116" w:name="_Toc515785173"/>
      <w:r>
        <w:rPr>
          <w:rFonts w:ascii="Times New Roman"/>
          <w:bCs/>
          <w:sz w:val="24"/>
          <w:szCs w:val="24"/>
          <w:highlight w:val="none"/>
        </w:rPr>
        <w:t>1 一般要求</w:t>
      </w:r>
      <w:bookmarkEnd w:id="115"/>
      <w:bookmarkEnd w:id="116"/>
    </w:p>
    <w:p w14:paraId="62A603E1">
      <w:pPr>
        <w:autoSpaceDE w:val="0"/>
        <w:autoSpaceDN w:val="0"/>
        <w:spacing w:line="360" w:lineRule="auto"/>
        <w:jc w:val="left"/>
        <w:rPr>
          <w:highlight w:val="none"/>
        </w:rPr>
      </w:pPr>
      <w:r>
        <w:rPr>
          <w:highlight w:val="none"/>
        </w:rPr>
        <w:t>1.1 投标人提供的技术文件应采用中文、国际单位制。进口部件的外文图纸及文件应由投标人免费翻译成中文。解释以中文为准。</w:t>
      </w:r>
    </w:p>
    <w:p w14:paraId="15EFB697">
      <w:pPr>
        <w:autoSpaceDE w:val="0"/>
        <w:autoSpaceDN w:val="0"/>
        <w:spacing w:line="360" w:lineRule="auto"/>
        <w:ind w:left="480" w:hanging="480" w:hangingChars="200"/>
        <w:jc w:val="left"/>
        <w:rPr>
          <w:highlight w:val="none"/>
        </w:rPr>
      </w:pPr>
      <w:r>
        <w:rPr>
          <w:highlight w:val="none"/>
        </w:rPr>
        <w:t>1.2 资料的组织结构清晰、逻辑性强。资料内容正确、准确、一致、清晰完整，满足工程要求。</w:t>
      </w:r>
    </w:p>
    <w:p w14:paraId="283C8F41">
      <w:pPr>
        <w:autoSpaceDE w:val="0"/>
        <w:autoSpaceDN w:val="0"/>
        <w:spacing w:line="360" w:lineRule="auto"/>
        <w:ind w:left="480" w:hanging="480" w:hangingChars="200"/>
        <w:jc w:val="left"/>
        <w:rPr>
          <w:highlight w:val="none"/>
        </w:rPr>
      </w:pPr>
      <w:r>
        <w:rPr>
          <w:highlight w:val="none"/>
        </w:rPr>
        <w:t>1.3 投标人资料的提交及时充分，满足工程进度要求。其中配合工程设计阶段的资料，投标人应在合同技术协议签定后10个工作日内提交；用于安装、调试、运行维护阶段的正式资料，投标人应在合同设备发货前2个月提交。</w:t>
      </w:r>
    </w:p>
    <w:p w14:paraId="365086A2">
      <w:pPr>
        <w:autoSpaceDE w:val="0"/>
        <w:autoSpaceDN w:val="0"/>
        <w:spacing w:line="360" w:lineRule="auto"/>
        <w:ind w:left="480" w:hanging="480" w:hangingChars="200"/>
        <w:jc w:val="left"/>
        <w:rPr>
          <w:highlight w:val="none"/>
        </w:rPr>
      </w:pPr>
      <w:r>
        <w:rPr>
          <w:highlight w:val="none"/>
        </w:rPr>
        <w:t>1.4 对于其它没有列入合同技术资料清单，却是工程所必需的文件和资料，一经发现，投标人也应及时免费提供。</w:t>
      </w:r>
    </w:p>
    <w:p w14:paraId="4A49BC68">
      <w:pPr>
        <w:autoSpaceDE w:val="0"/>
        <w:autoSpaceDN w:val="0"/>
        <w:spacing w:line="360" w:lineRule="auto"/>
        <w:jc w:val="left"/>
        <w:rPr>
          <w:highlight w:val="none"/>
        </w:rPr>
      </w:pPr>
      <w:r>
        <w:rPr>
          <w:highlight w:val="none"/>
        </w:rPr>
        <w:t>1.5 投标人提供的其供货范围内系统设备的技术资料数量为：</w:t>
      </w:r>
    </w:p>
    <w:p w14:paraId="09CDCD88">
      <w:pPr>
        <w:autoSpaceDE w:val="0"/>
        <w:autoSpaceDN w:val="0"/>
        <w:spacing w:line="360" w:lineRule="auto"/>
        <w:ind w:firstLine="480" w:firstLineChars="200"/>
        <w:jc w:val="left"/>
        <w:rPr>
          <w:highlight w:val="none"/>
        </w:rPr>
      </w:pPr>
      <w:r>
        <w:rPr>
          <w:highlight w:val="none"/>
        </w:rPr>
        <w:t>1）配合工程设计阶段的资料：5套；</w:t>
      </w:r>
    </w:p>
    <w:p w14:paraId="37529587">
      <w:pPr>
        <w:autoSpaceDE w:val="0"/>
        <w:autoSpaceDN w:val="0"/>
        <w:spacing w:line="360" w:lineRule="auto"/>
        <w:ind w:firstLine="480" w:firstLineChars="200"/>
        <w:jc w:val="left"/>
        <w:rPr>
          <w:highlight w:val="none"/>
        </w:rPr>
      </w:pPr>
      <w:r>
        <w:rPr>
          <w:highlight w:val="none"/>
        </w:rPr>
        <w:t>2）安装、调试、运行维护阶段的资料：20套；</w:t>
      </w:r>
    </w:p>
    <w:p w14:paraId="763F1B94">
      <w:pPr>
        <w:autoSpaceDE w:val="0"/>
        <w:autoSpaceDN w:val="0"/>
        <w:spacing w:line="360" w:lineRule="auto"/>
        <w:ind w:firstLine="480" w:firstLineChars="200"/>
        <w:jc w:val="left"/>
        <w:rPr>
          <w:highlight w:val="none"/>
        </w:rPr>
      </w:pPr>
      <w:r>
        <w:rPr>
          <w:highlight w:val="none"/>
        </w:rPr>
        <w:t>3）计算机文件格式的技术资料：2套。</w:t>
      </w:r>
    </w:p>
    <w:p w14:paraId="6E11FE2A">
      <w:pPr>
        <w:autoSpaceDE w:val="0"/>
        <w:autoSpaceDN w:val="0"/>
        <w:spacing w:line="360" w:lineRule="auto"/>
        <w:ind w:firstLine="480" w:firstLineChars="200"/>
        <w:jc w:val="left"/>
        <w:rPr>
          <w:highlight w:val="none"/>
        </w:rPr>
      </w:pPr>
      <w:r>
        <w:rPr>
          <w:highlight w:val="none"/>
        </w:rPr>
        <w:t>如计算机文件格式的技术资料与书面文件有差异时，以书面文件为准。投标人提供的图纸，应采用CAD的DWG格式；说明书采用WORD的DOC格式文件；清单可用EXCEL的xls格式的文件。</w:t>
      </w:r>
    </w:p>
    <w:p w14:paraId="435085C5">
      <w:pPr>
        <w:autoSpaceDE w:val="0"/>
        <w:autoSpaceDN w:val="0"/>
        <w:spacing w:line="360" w:lineRule="auto"/>
        <w:ind w:left="480" w:hanging="480" w:hangingChars="200"/>
        <w:jc w:val="left"/>
        <w:rPr>
          <w:highlight w:val="none"/>
        </w:rPr>
      </w:pPr>
      <w:r>
        <w:rPr>
          <w:highlight w:val="none"/>
        </w:rPr>
        <w:t>1.6 对于做出修改的图纸，在后一版图上所有与前一版不同之处应做出明显的标记，并做出详细说明，投标人应在图纸的适合位置表示出供货范围。</w:t>
      </w:r>
    </w:p>
    <w:p w14:paraId="0328C1CB">
      <w:pPr>
        <w:spacing w:line="360" w:lineRule="auto"/>
        <w:jc w:val="left"/>
        <w:rPr>
          <w:highlight w:val="none"/>
        </w:rPr>
      </w:pPr>
      <w:r>
        <w:rPr>
          <w:highlight w:val="none"/>
        </w:rPr>
        <w:t>1.7 所有与本工程有关的技术资料仅用于投标人提供合同设备，未经招标人允许，投标人不得向第三方提供任何与本工程和本合同设备有关的资料或信息。</w:t>
      </w:r>
    </w:p>
    <w:p w14:paraId="4D9F3973">
      <w:pPr>
        <w:pStyle w:val="5"/>
        <w:spacing w:before="0" w:after="0" w:line="360" w:lineRule="auto"/>
        <w:jc w:val="left"/>
        <w:rPr>
          <w:rFonts w:ascii="Times New Roman"/>
          <w:bCs/>
          <w:sz w:val="24"/>
          <w:szCs w:val="24"/>
          <w:highlight w:val="none"/>
        </w:rPr>
      </w:pPr>
      <w:r>
        <w:rPr>
          <w:rFonts w:ascii="Times New Roman"/>
          <w:bCs/>
          <w:sz w:val="24"/>
          <w:szCs w:val="24"/>
          <w:highlight w:val="none"/>
        </w:rPr>
        <w:t>2 资料提交的基本要求</w:t>
      </w:r>
    </w:p>
    <w:p w14:paraId="706BCD2A">
      <w:pPr>
        <w:autoSpaceDE w:val="0"/>
        <w:autoSpaceDN w:val="0"/>
        <w:spacing w:line="360" w:lineRule="auto"/>
        <w:jc w:val="left"/>
        <w:textAlignment w:val="bottom"/>
        <w:outlineLvl w:val="2"/>
        <w:rPr>
          <w:b/>
          <w:highlight w:val="none"/>
        </w:rPr>
      </w:pPr>
      <w:r>
        <w:rPr>
          <w:b/>
          <w:highlight w:val="none"/>
        </w:rPr>
        <w:t>2.1 配合工程设计阶段提交的资料</w:t>
      </w:r>
    </w:p>
    <w:p w14:paraId="72AAB3AC">
      <w:pPr>
        <w:autoSpaceDE w:val="0"/>
        <w:autoSpaceDN w:val="0"/>
        <w:spacing w:line="360" w:lineRule="auto"/>
        <w:jc w:val="left"/>
        <w:rPr>
          <w:highlight w:val="none"/>
        </w:rPr>
      </w:pPr>
      <w:r>
        <w:rPr>
          <w:bCs/>
          <w:highlight w:val="none"/>
        </w:rPr>
        <w:t xml:space="preserve">2.1.1 </w:t>
      </w:r>
      <w:r>
        <w:rPr>
          <w:highlight w:val="none"/>
        </w:rPr>
        <w:t>在投标阶段提供的资料：</w:t>
      </w:r>
    </w:p>
    <w:p w14:paraId="19BBD196">
      <w:pPr>
        <w:spacing w:line="360" w:lineRule="auto"/>
        <w:jc w:val="left"/>
        <w:rPr>
          <w:highlight w:val="none"/>
        </w:rPr>
      </w:pPr>
      <w:r>
        <w:rPr>
          <w:highlight w:val="none"/>
        </w:rPr>
        <w:t>2.1.1.1 设备安装图及外形尺寸图：应有设计基础、施工和安装电动机、管道、阀门所必须的尺寸和数据；</w:t>
      </w:r>
    </w:p>
    <w:p w14:paraId="556423F5">
      <w:pPr>
        <w:spacing w:line="360" w:lineRule="auto"/>
        <w:jc w:val="left"/>
        <w:rPr>
          <w:highlight w:val="none"/>
        </w:rPr>
      </w:pPr>
      <w:r>
        <w:rPr>
          <w:highlight w:val="none"/>
        </w:rPr>
        <w:t>2.1.1.2 荷载图；</w:t>
      </w:r>
    </w:p>
    <w:p w14:paraId="7DC45E3E">
      <w:pPr>
        <w:spacing w:line="360" w:lineRule="auto"/>
        <w:jc w:val="left"/>
        <w:rPr>
          <w:highlight w:val="none"/>
        </w:rPr>
      </w:pPr>
      <w:r>
        <w:rPr>
          <w:highlight w:val="none"/>
        </w:rPr>
        <w:t>2.1.1.3 检修最重件尺寸、重量及起吊高度尺寸和所需的空间距离详图；</w:t>
      </w:r>
    </w:p>
    <w:p w14:paraId="71607478">
      <w:pPr>
        <w:spacing w:line="360" w:lineRule="auto"/>
        <w:jc w:val="left"/>
        <w:rPr>
          <w:highlight w:val="none"/>
        </w:rPr>
      </w:pPr>
      <w:r>
        <w:rPr>
          <w:highlight w:val="none"/>
        </w:rPr>
        <w:t>2.1.1.4 就地控制箱柜资料（包括外形图、正面布置图、箱柜内设备布置图、控制原理及安装接线图等）。</w:t>
      </w:r>
    </w:p>
    <w:p w14:paraId="1C611ADA">
      <w:pPr>
        <w:spacing w:line="360" w:lineRule="auto"/>
        <w:jc w:val="left"/>
        <w:rPr>
          <w:highlight w:val="none"/>
        </w:rPr>
      </w:pPr>
      <w:r>
        <w:rPr>
          <w:highlight w:val="none"/>
        </w:rPr>
        <w:t>2.1.1.5 系统运行说明书；</w:t>
      </w:r>
    </w:p>
    <w:p w14:paraId="544FEF64">
      <w:pPr>
        <w:spacing w:line="360" w:lineRule="auto"/>
        <w:jc w:val="left"/>
        <w:rPr>
          <w:highlight w:val="none"/>
        </w:rPr>
      </w:pPr>
      <w:r>
        <w:rPr>
          <w:highlight w:val="none"/>
        </w:rPr>
        <w:t xml:space="preserve">2.1.1.6 合同设备保管存放要求； </w:t>
      </w:r>
    </w:p>
    <w:p w14:paraId="199FB323">
      <w:pPr>
        <w:spacing w:line="360" w:lineRule="auto"/>
        <w:jc w:val="left"/>
        <w:rPr>
          <w:highlight w:val="none"/>
        </w:rPr>
      </w:pPr>
      <w:r>
        <w:rPr>
          <w:highlight w:val="none"/>
        </w:rPr>
        <w:t>2.1.1.7 现场安装工作量清单及预计安装工期。</w:t>
      </w:r>
    </w:p>
    <w:p w14:paraId="1EA7F718">
      <w:pPr>
        <w:spacing w:line="360" w:lineRule="auto"/>
        <w:jc w:val="left"/>
        <w:rPr>
          <w:highlight w:val="none"/>
        </w:rPr>
      </w:pPr>
      <w:r>
        <w:rPr>
          <w:highlight w:val="none"/>
        </w:rPr>
        <w:t>2.1.2投标人提供配合工程设计的正式资料和图纸文件规定如下：</w:t>
      </w:r>
    </w:p>
    <w:tbl>
      <w:tblPr>
        <w:tblStyle w:val="21"/>
        <w:tblW w:w="4914"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13"/>
        <w:gridCol w:w="7914"/>
      </w:tblGrid>
      <w:tr w14:paraId="7D2D9B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517" w:type="pct"/>
            <w:tcBorders>
              <w:top w:val="single" w:color="auto" w:sz="12" w:space="0"/>
              <w:left w:val="single" w:color="auto" w:sz="12" w:space="0"/>
              <w:bottom w:val="single" w:color="auto" w:sz="4" w:space="0"/>
              <w:right w:val="single" w:color="auto" w:sz="4" w:space="0"/>
            </w:tcBorders>
            <w:vAlign w:val="center"/>
          </w:tcPr>
          <w:p w14:paraId="2CBF2218">
            <w:pPr>
              <w:spacing w:line="360" w:lineRule="auto"/>
              <w:jc w:val="left"/>
              <w:rPr>
                <w:b/>
                <w:bCs/>
                <w:highlight w:val="none"/>
              </w:rPr>
            </w:pPr>
            <w:r>
              <w:rPr>
                <w:b/>
                <w:bCs/>
                <w:highlight w:val="none"/>
              </w:rPr>
              <w:t>序号</w:t>
            </w:r>
          </w:p>
        </w:tc>
        <w:tc>
          <w:tcPr>
            <w:tcW w:w="4482" w:type="pct"/>
            <w:tcBorders>
              <w:top w:val="single" w:color="auto" w:sz="12" w:space="0"/>
              <w:left w:val="single" w:color="auto" w:sz="4" w:space="0"/>
              <w:bottom w:val="single" w:color="auto" w:sz="4" w:space="0"/>
              <w:right w:val="single" w:color="auto" w:sz="12" w:space="0"/>
            </w:tcBorders>
            <w:vAlign w:val="center"/>
          </w:tcPr>
          <w:p w14:paraId="3B8BCC69">
            <w:pPr>
              <w:spacing w:line="360" w:lineRule="auto"/>
              <w:jc w:val="left"/>
              <w:rPr>
                <w:b/>
                <w:bCs/>
                <w:highlight w:val="none"/>
              </w:rPr>
            </w:pPr>
            <w:r>
              <w:rPr>
                <w:b/>
                <w:bCs/>
                <w:highlight w:val="none"/>
              </w:rPr>
              <w:t>资料名称</w:t>
            </w:r>
          </w:p>
        </w:tc>
      </w:tr>
      <w:tr w14:paraId="30E509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7" w:type="pct"/>
            <w:tcBorders>
              <w:top w:val="single" w:color="auto" w:sz="4" w:space="0"/>
              <w:left w:val="single" w:color="auto" w:sz="12" w:space="0"/>
              <w:bottom w:val="single" w:color="auto" w:sz="4" w:space="0"/>
              <w:right w:val="single" w:color="auto" w:sz="4" w:space="0"/>
            </w:tcBorders>
            <w:vAlign w:val="center"/>
          </w:tcPr>
          <w:p w14:paraId="59C1E85E">
            <w:pPr>
              <w:spacing w:line="360" w:lineRule="auto"/>
              <w:jc w:val="left"/>
              <w:rPr>
                <w:highlight w:val="none"/>
              </w:rPr>
            </w:pPr>
            <w:r>
              <w:rPr>
                <w:highlight w:val="none"/>
              </w:rPr>
              <w:t>1</w:t>
            </w:r>
          </w:p>
        </w:tc>
        <w:tc>
          <w:tcPr>
            <w:tcW w:w="4482" w:type="pct"/>
            <w:tcBorders>
              <w:top w:val="single" w:color="auto" w:sz="4" w:space="0"/>
              <w:left w:val="single" w:color="auto" w:sz="4" w:space="0"/>
              <w:bottom w:val="single" w:color="auto" w:sz="4" w:space="0"/>
              <w:right w:val="single" w:color="auto" w:sz="12" w:space="0"/>
            </w:tcBorders>
            <w:vAlign w:val="center"/>
          </w:tcPr>
          <w:p w14:paraId="7EFC520F">
            <w:pPr>
              <w:spacing w:line="360" w:lineRule="auto"/>
              <w:jc w:val="left"/>
              <w:rPr>
                <w:highlight w:val="none"/>
              </w:rPr>
            </w:pPr>
            <w:r>
              <w:rPr>
                <w:highlight w:val="none"/>
              </w:rPr>
              <w:t>设备性能参数表</w:t>
            </w:r>
          </w:p>
        </w:tc>
      </w:tr>
      <w:tr w14:paraId="5C1667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7" w:type="pct"/>
            <w:tcBorders>
              <w:top w:val="single" w:color="auto" w:sz="4" w:space="0"/>
              <w:left w:val="single" w:color="auto" w:sz="12" w:space="0"/>
              <w:bottom w:val="single" w:color="auto" w:sz="4" w:space="0"/>
              <w:right w:val="single" w:color="auto" w:sz="4" w:space="0"/>
            </w:tcBorders>
            <w:vAlign w:val="center"/>
          </w:tcPr>
          <w:p w14:paraId="5DAD3D9E">
            <w:pPr>
              <w:spacing w:line="360" w:lineRule="auto"/>
              <w:jc w:val="left"/>
              <w:rPr>
                <w:highlight w:val="none"/>
              </w:rPr>
            </w:pPr>
            <w:r>
              <w:rPr>
                <w:highlight w:val="none"/>
              </w:rPr>
              <w:t>2</w:t>
            </w:r>
          </w:p>
        </w:tc>
        <w:tc>
          <w:tcPr>
            <w:tcW w:w="4482" w:type="pct"/>
            <w:tcBorders>
              <w:top w:val="single" w:color="auto" w:sz="4" w:space="0"/>
              <w:left w:val="single" w:color="auto" w:sz="4" w:space="0"/>
              <w:bottom w:val="single" w:color="auto" w:sz="4" w:space="0"/>
              <w:right w:val="single" w:color="auto" w:sz="12" w:space="0"/>
            </w:tcBorders>
            <w:vAlign w:val="center"/>
          </w:tcPr>
          <w:p w14:paraId="5A21C1D8">
            <w:pPr>
              <w:spacing w:line="360" w:lineRule="auto"/>
              <w:jc w:val="left"/>
              <w:rPr>
                <w:highlight w:val="none"/>
              </w:rPr>
            </w:pPr>
            <w:r>
              <w:rPr>
                <w:highlight w:val="none"/>
              </w:rPr>
              <w:t>外型尺寸图</w:t>
            </w:r>
          </w:p>
        </w:tc>
      </w:tr>
      <w:tr w14:paraId="37836F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7" w:type="pct"/>
            <w:tcBorders>
              <w:top w:val="single" w:color="auto" w:sz="4" w:space="0"/>
              <w:left w:val="single" w:color="auto" w:sz="12" w:space="0"/>
              <w:bottom w:val="single" w:color="auto" w:sz="4" w:space="0"/>
              <w:right w:val="single" w:color="auto" w:sz="4" w:space="0"/>
            </w:tcBorders>
            <w:vAlign w:val="center"/>
          </w:tcPr>
          <w:p w14:paraId="628B2A13">
            <w:pPr>
              <w:spacing w:line="360" w:lineRule="auto"/>
              <w:jc w:val="left"/>
              <w:rPr>
                <w:highlight w:val="none"/>
              </w:rPr>
            </w:pPr>
            <w:r>
              <w:rPr>
                <w:highlight w:val="none"/>
              </w:rPr>
              <w:t>3</w:t>
            </w:r>
          </w:p>
        </w:tc>
        <w:tc>
          <w:tcPr>
            <w:tcW w:w="4482" w:type="pct"/>
            <w:tcBorders>
              <w:top w:val="single" w:color="auto" w:sz="4" w:space="0"/>
              <w:left w:val="single" w:color="auto" w:sz="4" w:space="0"/>
              <w:bottom w:val="single" w:color="auto" w:sz="4" w:space="0"/>
              <w:right w:val="single" w:color="auto" w:sz="12" w:space="0"/>
            </w:tcBorders>
            <w:vAlign w:val="center"/>
          </w:tcPr>
          <w:p w14:paraId="0FD9F472">
            <w:pPr>
              <w:spacing w:line="360" w:lineRule="auto"/>
              <w:jc w:val="left"/>
              <w:rPr>
                <w:highlight w:val="none"/>
              </w:rPr>
            </w:pPr>
            <w:r>
              <w:rPr>
                <w:highlight w:val="none"/>
              </w:rPr>
              <w:t>供货清单、随机备品备件清单、专用工具清单及推荐备品备件清单</w:t>
            </w:r>
          </w:p>
        </w:tc>
      </w:tr>
      <w:tr w14:paraId="6EFA32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7" w:type="pct"/>
            <w:tcBorders>
              <w:top w:val="single" w:color="auto" w:sz="4" w:space="0"/>
              <w:left w:val="single" w:color="auto" w:sz="12" w:space="0"/>
              <w:bottom w:val="single" w:color="auto" w:sz="4" w:space="0"/>
              <w:right w:val="single" w:color="auto" w:sz="4" w:space="0"/>
            </w:tcBorders>
            <w:vAlign w:val="center"/>
          </w:tcPr>
          <w:p w14:paraId="484E547E">
            <w:pPr>
              <w:spacing w:line="360" w:lineRule="auto"/>
              <w:jc w:val="left"/>
              <w:rPr>
                <w:highlight w:val="none"/>
              </w:rPr>
            </w:pPr>
            <w:r>
              <w:rPr>
                <w:highlight w:val="none"/>
              </w:rPr>
              <w:t>4</w:t>
            </w:r>
          </w:p>
        </w:tc>
        <w:tc>
          <w:tcPr>
            <w:tcW w:w="4482" w:type="pct"/>
            <w:tcBorders>
              <w:top w:val="single" w:color="auto" w:sz="4" w:space="0"/>
              <w:left w:val="single" w:color="auto" w:sz="4" w:space="0"/>
              <w:bottom w:val="single" w:color="auto" w:sz="4" w:space="0"/>
              <w:right w:val="single" w:color="auto" w:sz="12" w:space="0"/>
            </w:tcBorders>
            <w:vAlign w:val="center"/>
          </w:tcPr>
          <w:p w14:paraId="000C3281">
            <w:pPr>
              <w:spacing w:line="360" w:lineRule="auto"/>
              <w:jc w:val="left"/>
              <w:rPr>
                <w:highlight w:val="none"/>
              </w:rPr>
            </w:pPr>
            <w:r>
              <w:rPr>
                <w:highlight w:val="none"/>
              </w:rPr>
              <w:t>润滑油的牌号，油温，油量和换油周期</w:t>
            </w:r>
          </w:p>
        </w:tc>
      </w:tr>
      <w:tr w14:paraId="0C2A17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7" w:type="pct"/>
            <w:tcBorders>
              <w:top w:val="single" w:color="auto" w:sz="4" w:space="0"/>
              <w:left w:val="single" w:color="auto" w:sz="12" w:space="0"/>
              <w:bottom w:val="single" w:color="auto" w:sz="4" w:space="0"/>
              <w:right w:val="single" w:color="auto" w:sz="4" w:space="0"/>
            </w:tcBorders>
            <w:vAlign w:val="center"/>
          </w:tcPr>
          <w:p w14:paraId="0F6A0548">
            <w:pPr>
              <w:spacing w:line="360" w:lineRule="auto"/>
              <w:jc w:val="left"/>
              <w:rPr>
                <w:highlight w:val="none"/>
              </w:rPr>
            </w:pPr>
            <w:r>
              <w:rPr>
                <w:highlight w:val="none"/>
              </w:rPr>
              <w:t>5</w:t>
            </w:r>
          </w:p>
        </w:tc>
        <w:tc>
          <w:tcPr>
            <w:tcW w:w="4482" w:type="pct"/>
            <w:tcBorders>
              <w:top w:val="single" w:color="auto" w:sz="4" w:space="0"/>
              <w:left w:val="single" w:color="auto" w:sz="4" w:space="0"/>
              <w:bottom w:val="single" w:color="auto" w:sz="4" w:space="0"/>
              <w:right w:val="single" w:color="auto" w:sz="12" w:space="0"/>
            </w:tcBorders>
            <w:vAlign w:val="center"/>
          </w:tcPr>
          <w:p w14:paraId="71595BF7">
            <w:pPr>
              <w:spacing w:line="360" w:lineRule="auto"/>
              <w:jc w:val="left"/>
              <w:rPr>
                <w:highlight w:val="none"/>
              </w:rPr>
            </w:pPr>
            <w:r>
              <w:rPr>
                <w:highlight w:val="none"/>
              </w:rPr>
              <w:t>易损件清单</w:t>
            </w:r>
          </w:p>
        </w:tc>
      </w:tr>
      <w:tr w14:paraId="09F66E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7" w:type="pct"/>
            <w:tcBorders>
              <w:top w:val="single" w:color="auto" w:sz="4" w:space="0"/>
              <w:left w:val="single" w:color="auto" w:sz="12" w:space="0"/>
              <w:bottom w:val="single" w:color="auto" w:sz="4" w:space="0"/>
              <w:right w:val="single" w:color="auto" w:sz="4" w:space="0"/>
            </w:tcBorders>
            <w:vAlign w:val="center"/>
          </w:tcPr>
          <w:p w14:paraId="45D4849B">
            <w:pPr>
              <w:spacing w:line="360" w:lineRule="auto"/>
              <w:jc w:val="left"/>
              <w:rPr>
                <w:highlight w:val="none"/>
              </w:rPr>
            </w:pPr>
            <w:r>
              <w:rPr>
                <w:highlight w:val="none"/>
              </w:rPr>
              <w:t>6</w:t>
            </w:r>
          </w:p>
        </w:tc>
        <w:tc>
          <w:tcPr>
            <w:tcW w:w="4482" w:type="pct"/>
            <w:tcBorders>
              <w:top w:val="single" w:color="auto" w:sz="4" w:space="0"/>
              <w:left w:val="single" w:color="auto" w:sz="4" w:space="0"/>
              <w:bottom w:val="single" w:color="auto" w:sz="4" w:space="0"/>
              <w:right w:val="single" w:color="auto" w:sz="12" w:space="0"/>
            </w:tcBorders>
            <w:vAlign w:val="center"/>
          </w:tcPr>
          <w:p w14:paraId="04F018DC">
            <w:pPr>
              <w:spacing w:line="360" w:lineRule="auto"/>
              <w:jc w:val="left"/>
              <w:rPr>
                <w:highlight w:val="none"/>
              </w:rPr>
            </w:pPr>
            <w:r>
              <w:rPr>
                <w:highlight w:val="none"/>
              </w:rPr>
              <w:t>电机清单及性能表</w:t>
            </w:r>
          </w:p>
        </w:tc>
      </w:tr>
      <w:tr w14:paraId="296DDB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7" w:type="pct"/>
            <w:tcBorders>
              <w:top w:val="single" w:color="auto" w:sz="4" w:space="0"/>
              <w:left w:val="single" w:color="auto" w:sz="12" w:space="0"/>
              <w:bottom w:val="single" w:color="auto" w:sz="4" w:space="0"/>
              <w:right w:val="single" w:color="auto" w:sz="4" w:space="0"/>
            </w:tcBorders>
            <w:vAlign w:val="center"/>
          </w:tcPr>
          <w:p w14:paraId="4DFF3E54">
            <w:pPr>
              <w:spacing w:line="360" w:lineRule="auto"/>
              <w:jc w:val="left"/>
              <w:rPr>
                <w:highlight w:val="none"/>
              </w:rPr>
            </w:pPr>
            <w:r>
              <w:rPr>
                <w:highlight w:val="none"/>
              </w:rPr>
              <w:t>7</w:t>
            </w:r>
          </w:p>
        </w:tc>
        <w:tc>
          <w:tcPr>
            <w:tcW w:w="4482" w:type="pct"/>
            <w:tcBorders>
              <w:top w:val="single" w:color="auto" w:sz="4" w:space="0"/>
              <w:left w:val="single" w:color="auto" w:sz="4" w:space="0"/>
              <w:bottom w:val="single" w:color="auto" w:sz="4" w:space="0"/>
              <w:right w:val="single" w:color="auto" w:sz="12" w:space="0"/>
            </w:tcBorders>
            <w:vAlign w:val="center"/>
          </w:tcPr>
          <w:p w14:paraId="5406F18F">
            <w:pPr>
              <w:spacing w:line="360" w:lineRule="auto"/>
              <w:jc w:val="left"/>
              <w:rPr>
                <w:highlight w:val="none"/>
              </w:rPr>
            </w:pPr>
            <w:r>
              <w:rPr>
                <w:highlight w:val="none"/>
              </w:rPr>
              <w:t>电负荷清单</w:t>
            </w:r>
          </w:p>
        </w:tc>
      </w:tr>
      <w:tr w14:paraId="5FCC34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7" w:type="pct"/>
            <w:tcBorders>
              <w:top w:val="single" w:color="auto" w:sz="4" w:space="0"/>
              <w:left w:val="single" w:color="auto" w:sz="12" w:space="0"/>
              <w:bottom w:val="single" w:color="auto" w:sz="4" w:space="0"/>
              <w:right w:val="single" w:color="auto" w:sz="4" w:space="0"/>
            </w:tcBorders>
            <w:vAlign w:val="center"/>
          </w:tcPr>
          <w:p w14:paraId="7677B051">
            <w:pPr>
              <w:spacing w:line="360" w:lineRule="auto"/>
              <w:jc w:val="left"/>
              <w:rPr>
                <w:highlight w:val="none"/>
              </w:rPr>
            </w:pPr>
            <w:r>
              <w:rPr>
                <w:highlight w:val="none"/>
              </w:rPr>
              <w:t>8</w:t>
            </w:r>
          </w:p>
        </w:tc>
        <w:tc>
          <w:tcPr>
            <w:tcW w:w="4482" w:type="pct"/>
            <w:tcBorders>
              <w:top w:val="single" w:color="auto" w:sz="4" w:space="0"/>
              <w:left w:val="single" w:color="auto" w:sz="4" w:space="0"/>
              <w:bottom w:val="single" w:color="auto" w:sz="4" w:space="0"/>
              <w:right w:val="single" w:color="auto" w:sz="12" w:space="0"/>
            </w:tcBorders>
            <w:vAlign w:val="center"/>
          </w:tcPr>
          <w:p w14:paraId="68B41666">
            <w:pPr>
              <w:spacing w:line="360" w:lineRule="auto"/>
              <w:jc w:val="left"/>
              <w:rPr>
                <w:highlight w:val="none"/>
              </w:rPr>
            </w:pPr>
            <w:r>
              <w:rPr>
                <w:highlight w:val="none"/>
              </w:rPr>
              <w:t>维护和操作手册</w:t>
            </w:r>
          </w:p>
        </w:tc>
      </w:tr>
      <w:tr w14:paraId="611D3C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7" w:type="pct"/>
            <w:tcBorders>
              <w:top w:val="single" w:color="auto" w:sz="4" w:space="0"/>
              <w:left w:val="single" w:color="auto" w:sz="12" w:space="0"/>
              <w:bottom w:val="single" w:color="auto" w:sz="4" w:space="0"/>
              <w:right w:val="single" w:color="auto" w:sz="4" w:space="0"/>
            </w:tcBorders>
            <w:vAlign w:val="center"/>
          </w:tcPr>
          <w:p w14:paraId="3802213D">
            <w:pPr>
              <w:spacing w:line="360" w:lineRule="auto"/>
              <w:jc w:val="left"/>
              <w:rPr>
                <w:highlight w:val="none"/>
              </w:rPr>
            </w:pPr>
            <w:r>
              <w:rPr>
                <w:highlight w:val="none"/>
              </w:rPr>
              <w:t>9</w:t>
            </w:r>
          </w:p>
        </w:tc>
        <w:tc>
          <w:tcPr>
            <w:tcW w:w="4482" w:type="pct"/>
            <w:tcBorders>
              <w:top w:val="single" w:color="auto" w:sz="4" w:space="0"/>
              <w:left w:val="single" w:color="auto" w:sz="4" w:space="0"/>
              <w:bottom w:val="single" w:color="auto" w:sz="4" w:space="0"/>
              <w:right w:val="single" w:color="auto" w:sz="12" w:space="0"/>
            </w:tcBorders>
            <w:vAlign w:val="center"/>
          </w:tcPr>
          <w:p w14:paraId="44C1FD3F">
            <w:pPr>
              <w:spacing w:line="360" w:lineRule="auto"/>
              <w:jc w:val="left"/>
              <w:rPr>
                <w:highlight w:val="none"/>
              </w:rPr>
            </w:pPr>
            <w:r>
              <w:rPr>
                <w:highlight w:val="none"/>
              </w:rPr>
              <w:t>检测和试验手册</w:t>
            </w:r>
          </w:p>
        </w:tc>
      </w:tr>
      <w:tr w14:paraId="758876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7" w:type="pct"/>
            <w:tcBorders>
              <w:top w:val="single" w:color="auto" w:sz="4" w:space="0"/>
              <w:left w:val="single" w:color="auto" w:sz="12" w:space="0"/>
              <w:bottom w:val="single" w:color="auto" w:sz="12" w:space="0"/>
              <w:right w:val="single" w:color="auto" w:sz="4" w:space="0"/>
            </w:tcBorders>
            <w:vAlign w:val="center"/>
          </w:tcPr>
          <w:p w14:paraId="39B20898">
            <w:pPr>
              <w:spacing w:line="360" w:lineRule="auto"/>
              <w:jc w:val="left"/>
              <w:rPr>
                <w:highlight w:val="none"/>
              </w:rPr>
            </w:pPr>
            <w:r>
              <w:rPr>
                <w:highlight w:val="none"/>
              </w:rPr>
              <w:t>10</w:t>
            </w:r>
          </w:p>
        </w:tc>
        <w:tc>
          <w:tcPr>
            <w:tcW w:w="4482" w:type="pct"/>
            <w:tcBorders>
              <w:top w:val="single" w:color="auto" w:sz="4" w:space="0"/>
              <w:left w:val="single" w:color="auto" w:sz="4" w:space="0"/>
              <w:bottom w:val="single" w:color="auto" w:sz="12" w:space="0"/>
              <w:right w:val="single" w:color="auto" w:sz="12" w:space="0"/>
            </w:tcBorders>
            <w:vAlign w:val="center"/>
          </w:tcPr>
          <w:p w14:paraId="7E0088AE">
            <w:pPr>
              <w:spacing w:line="360" w:lineRule="auto"/>
              <w:jc w:val="left"/>
              <w:rPr>
                <w:highlight w:val="none"/>
              </w:rPr>
            </w:pPr>
            <w:r>
              <w:rPr>
                <w:highlight w:val="none"/>
              </w:rPr>
              <w:t>安装手册</w:t>
            </w:r>
          </w:p>
        </w:tc>
      </w:tr>
    </w:tbl>
    <w:p w14:paraId="0F412B47">
      <w:pPr>
        <w:spacing w:line="360" w:lineRule="auto"/>
        <w:jc w:val="left"/>
        <w:rPr>
          <w:highlight w:val="none"/>
        </w:rPr>
      </w:pPr>
      <w:r>
        <w:rPr>
          <w:highlight w:val="none"/>
        </w:rPr>
        <w:t>2.1.3 设备监造检查所需要的技术资料</w:t>
      </w:r>
    </w:p>
    <w:p w14:paraId="5225EFD3">
      <w:pPr>
        <w:spacing w:line="360" w:lineRule="auto"/>
        <w:ind w:firstLine="480" w:firstLineChars="200"/>
        <w:jc w:val="left"/>
        <w:rPr>
          <w:highlight w:val="none"/>
        </w:rPr>
      </w:pPr>
      <w:r>
        <w:rPr>
          <w:highlight w:val="none"/>
        </w:rPr>
        <w:t>投标人应提供满足合同设备监造检查／见证所需要的全部技术资料(具体要求见附件5</w:t>
      </w:r>
      <w:r>
        <w:rPr>
          <w:rFonts w:hint="eastAsia"/>
          <w:highlight w:val="none"/>
        </w:rPr>
        <w:t>）</w:t>
      </w:r>
      <w:r>
        <w:rPr>
          <w:highlight w:val="none"/>
        </w:rPr>
        <w:t>。</w:t>
      </w:r>
    </w:p>
    <w:p w14:paraId="146E51DD">
      <w:pPr>
        <w:spacing w:line="360" w:lineRule="auto"/>
        <w:jc w:val="left"/>
        <w:rPr>
          <w:highlight w:val="none"/>
        </w:rPr>
      </w:pPr>
      <w:r>
        <w:rPr>
          <w:highlight w:val="none"/>
        </w:rPr>
        <w:t>2.1.4 随工程进度提供给施工单位和运行单位的图纸</w:t>
      </w:r>
    </w:p>
    <w:p w14:paraId="67474773">
      <w:pPr>
        <w:spacing w:line="360" w:lineRule="auto"/>
        <w:jc w:val="left"/>
        <w:rPr>
          <w:highlight w:val="none"/>
        </w:rPr>
      </w:pPr>
      <w:r>
        <w:rPr>
          <w:highlight w:val="none"/>
        </w:rPr>
        <w:t>施工、调试、试运、系统性能试验和运行维护所需的技术资料，包括但不限于：</w:t>
      </w:r>
    </w:p>
    <w:p w14:paraId="348D0183">
      <w:pPr>
        <w:spacing w:line="360" w:lineRule="auto"/>
        <w:jc w:val="left"/>
        <w:rPr>
          <w:highlight w:val="none"/>
        </w:rPr>
      </w:pPr>
      <w:r>
        <w:rPr>
          <w:highlight w:val="none"/>
        </w:rPr>
        <w:t>2.1.4.1 提供设备安装、调试和试运说明书，以及组装、拆卸时所需用的技术资料。</w:t>
      </w:r>
    </w:p>
    <w:p w14:paraId="207FC64C">
      <w:pPr>
        <w:spacing w:line="360" w:lineRule="auto"/>
        <w:jc w:val="left"/>
        <w:rPr>
          <w:highlight w:val="none"/>
        </w:rPr>
      </w:pPr>
      <w:r>
        <w:rPr>
          <w:highlight w:val="none"/>
        </w:rPr>
        <w:t>2.1.4.2 安装、运行、维护、检修所需详尽图纸和技术资料(包括设备总图、部件总图、分图和必要的零件图、计算资料等</w:t>
      </w:r>
      <w:r>
        <w:rPr>
          <w:rFonts w:hint="eastAsia"/>
          <w:highlight w:val="none"/>
        </w:rPr>
        <w:t>）</w:t>
      </w:r>
      <w:r>
        <w:rPr>
          <w:highlight w:val="none"/>
        </w:rPr>
        <w:t>。</w:t>
      </w:r>
    </w:p>
    <w:p w14:paraId="60E724EE">
      <w:pPr>
        <w:spacing w:line="360" w:lineRule="auto"/>
        <w:jc w:val="left"/>
        <w:rPr>
          <w:highlight w:val="none"/>
        </w:rPr>
      </w:pPr>
      <w:r>
        <w:rPr>
          <w:highlight w:val="none"/>
        </w:rPr>
        <w:t>2.1.4.3 设备安装、运行、维护、检修说明书(包括设备结构特点、安装程序和工艺要求、启动调试要领、运行操作规定和控制数据、定期校验和维护说明等</w:t>
      </w:r>
      <w:r>
        <w:rPr>
          <w:rFonts w:hint="eastAsia"/>
          <w:highlight w:val="none"/>
        </w:rPr>
        <w:t>）</w:t>
      </w:r>
      <w:r>
        <w:rPr>
          <w:highlight w:val="none"/>
        </w:rPr>
        <w:t>。</w:t>
      </w:r>
    </w:p>
    <w:p w14:paraId="1E8097B4">
      <w:pPr>
        <w:spacing w:line="360" w:lineRule="auto"/>
        <w:jc w:val="left"/>
        <w:rPr>
          <w:highlight w:val="none"/>
        </w:rPr>
      </w:pPr>
      <w:r>
        <w:rPr>
          <w:highlight w:val="none"/>
        </w:rPr>
        <w:t>2.1.4.4 投标人须提供备品备件清单和易损零件图。</w:t>
      </w:r>
    </w:p>
    <w:p w14:paraId="464894AE">
      <w:pPr>
        <w:spacing w:line="360" w:lineRule="auto"/>
        <w:jc w:val="left"/>
        <w:rPr>
          <w:highlight w:val="none"/>
        </w:rPr>
      </w:pPr>
      <w:r>
        <w:rPr>
          <w:highlight w:val="none"/>
        </w:rPr>
        <w:t>具体如下：</w:t>
      </w:r>
    </w:p>
    <w:p w14:paraId="697CAB34">
      <w:pPr>
        <w:spacing w:line="360" w:lineRule="auto"/>
        <w:ind w:firstLine="480" w:firstLineChars="200"/>
        <w:jc w:val="left"/>
        <w:rPr>
          <w:highlight w:val="none"/>
        </w:rPr>
      </w:pPr>
      <w:r>
        <w:rPr>
          <w:rFonts w:hint="eastAsia"/>
          <w:highlight w:val="none"/>
        </w:rPr>
        <w:t>（</w:t>
      </w:r>
      <w:r>
        <w:rPr>
          <w:highlight w:val="none"/>
        </w:rPr>
        <w:t>1</w:t>
      </w:r>
      <w:r>
        <w:rPr>
          <w:rFonts w:hint="eastAsia"/>
          <w:highlight w:val="none"/>
        </w:rPr>
        <w:t>）</w:t>
      </w:r>
      <w:r>
        <w:rPr>
          <w:highlight w:val="none"/>
        </w:rPr>
        <w:t>系统设备的详细配置图；</w:t>
      </w:r>
    </w:p>
    <w:p w14:paraId="6EC0DB7B">
      <w:pPr>
        <w:spacing w:line="360" w:lineRule="auto"/>
        <w:ind w:firstLine="480" w:firstLineChars="200"/>
        <w:jc w:val="left"/>
        <w:rPr>
          <w:highlight w:val="none"/>
        </w:rPr>
      </w:pPr>
      <w:r>
        <w:rPr>
          <w:rFonts w:hint="eastAsia"/>
          <w:highlight w:val="none"/>
        </w:rPr>
        <w:t>（</w:t>
      </w:r>
      <w:r>
        <w:rPr>
          <w:highlight w:val="none"/>
        </w:rPr>
        <w:t>2</w:t>
      </w:r>
      <w:r>
        <w:rPr>
          <w:rFonts w:hint="eastAsia"/>
          <w:highlight w:val="none"/>
        </w:rPr>
        <w:t>）</w:t>
      </w:r>
      <w:r>
        <w:rPr>
          <w:highlight w:val="none"/>
        </w:rPr>
        <w:t>电动机总图：要求注明型号、额定电压、额定电流、额定功率、额定转速、电动机冷却方式及附加要求、总重、转子重和制造厂家等；</w:t>
      </w:r>
    </w:p>
    <w:p w14:paraId="77B0E59B">
      <w:pPr>
        <w:spacing w:line="360" w:lineRule="auto"/>
        <w:ind w:firstLine="480" w:firstLineChars="200"/>
        <w:jc w:val="left"/>
        <w:rPr>
          <w:highlight w:val="none"/>
        </w:rPr>
      </w:pPr>
      <w:r>
        <w:rPr>
          <w:rFonts w:hint="eastAsia"/>
          <w:highlight w:val="none"/>
        </w:rPr>
        <w:t>（</w:t>
      </w:r>
      <w:r>
        <w:rPr>
          <w:highlight w:val="none"/>
        </w:rPr>
        <w:t>3</w:t>
      </w:r>
      <w:r>
        <w:rPr>
          <w:rFonts w:hint="eastAsia"/>
          <w:highlight w:val="none"/>
        </w:rPr>
        <w:t>）</w:t>
      </w:r>
      <w:r>
        <w:rPr>
          <w:highlight w:val="none"/>
        </w:rPr>
        <w:t>安装图：应有基础施工和安装本体，附属设备，电动机等所必需的尺寸和数据；</w:t>
      </w:r>
    </w:p>
    <w:p w14:paraId="5865691D">
      <w:pPr>
        <w:spacing w:line="360" w:lineRule="auto"/>
        <w:ind w:firstLine="480"/>
        <w:jc w:val="left"/>
        <w:rPr>
          <w:highlight w:val="none"/>
        </w:rPr>
      </w:pPr>
      <w:r>
        <w:rPr>
          <w:rFonts w:hint="eastAsia"/>
          <w:highlight w:val="none"/>
        </w:rPr>
        <w:t>（</w:t>
      </w:r>
      <w:r>
        <w:rPr>
          <w:highlight w:val="none"/>
        </w:rPr>
        <w:t>4</w:t>
      </w:r>
      <w:r>
        <w:rPr>
          <w:rFonts w:hint="eastAsia"/>
          <w:highlight w:val="none"/>
        </w:rPr>
        <w:t>）</w:t>
      </w:r>
      <w:r>
        <w:rPr>
          <w:highlight w:val="none"/>
        </w:rPr>
        <w:t>润滑油、液压油的牌号、油温、油量和换油周期</w:t>
      </w:r>
    </w:p>
    <w:p w14:paraId="457E567A">
      <w:pPr>
        <w:spacing w:line="360" w:lineRule="auto"/>
        <w:ind w:firstLine="480"/>
        <w:jc w:val="left"/>
        <w:rPr>
          <w:highlight w:val="none"/>
        </w:rPr>
      </w:pPr>
      <w:r>
        <w:rPr>
          <w:rFonts w:hint="eastAsia"/>
          <w:highlight w:val="none"/>
        </w:rPr>
        <w:t>（</w:t>
      </w:r>
      <w:r>
        <w:rPr>
          <w:highlight w:val="none"/>
        </w:rPr>
        <w:t>5</w:t>
      </w:r>
      <w:r>
        <w:rPr>
          <w:rFonts w:hint="eastAsia"/>
          <w:highlight w:val="none"/>
        </w:rPr>
        <w:t>）</w:t>
      </w:r>
      <w:r>
        <w:rPr>
          <w:highlight w:val="none"/>
        </w:rPr>
        <w:t>基础留孔和荷载图</w:t>
      </w:r>
    </w:p>
    <w:p w14:paraId="1AC8511A">
      <w:pPr>
        <w:spacing w:line="360" w:lineRule="auto"/>
        <w:ind w:firstLine="480"/>
        <w:jc w:val="left"/>
        <w:rPr>
          <w:highlight w:val="none"/>
        </w:rPr>
      </w:pPr>
      <w:r>
        <w:rPr>
          <w:rFonts w:hint="eastAsia"/>
          <w:highlight w:val="none"/>
        </w:rPr>
        <w:t>（</w:t>
      </w:r>
      <w:r>
        <w:rPr>
          <w:highlight w:val="none"/>
        </w:rPr>
        <w:t>6</w:t>
      </w:r>
      <w:r>
        <w:rPr>
          <w:rFonts w:hint="eastAsia"/>
          <w:highlight w:val="none"/>
        </w:rPr>
        <w:t>）</w:t>
      </w:r>
      <w:r>
        <w:rPr>
          <w:highlight w:val="none"/>
        </w:rPr>
        <w:t>润滑油系统图及油站布置图(如有润滑油，亦应提供系统图及布置图</w:t>
      </w:r>
      <w:r>
        <w:rPr>
          <w:rFonts w:hint="eastAsia"/>
          <w:highlight w:val="none"/>
        </w:rPr>
        <w:t>）</w:t>
      </w:r>
      <w:r>
        <w:rPr>
          <w:highlight w:val="none"/>
        </w:rPr>
        <w:t>包括规范说明。</w:t>
      </w:r>
    </w:p>
    <w:p w14:paraId="11DC1090">
      <w:pPr>
        <w:spacing w:line="360" w:lineRule="auto"/>
        <w:ind w:firstLine="480"/>
        <w:jc w:val="left"/>
        <w:rPr>
          <w:highlight w:val="none"/>
        </w:rPr>
      </w:pPr>
      <w:r>
        <w:rPr>
          <w:rFonts w:hint="eastAsia"/>
          <w:highlight w:val="none"/>
        </w:rPr>
        <w:t>（</w:t>
      </w:r>
      <w:r>
        <w:rPr>
          <w:highlight w:val="none"/>
        </w:rPr>
        <w:t>7</w:t>
      </w:r>
      <w:r>
        <w:rPr>
          <w:rFonts w:hint="eastAsia"/>
          <w:highlight w:val="none"/>
        </w:rPr>
        <w:t>）</w:t>
      </w:r>
      <w:r>
        <w:rPr>
          <w:highlight w:val="none"/>
        </w:rPr>
        <w:t>检修最重件尺寸及重量；</w:t>
      </w:r>
    </w:p>
    <w:p w14:paraId="42742E0B">
      <w:pPr>
        <w:spacing w:line="360" w:lineRule="auto"/>
        <w:ind w:firstLine="480"/>
        <w:jc w:val="left"/>
        <w:rPr>
          <w:highlight w:val="none"/>
        </w:rPr>
      </w:pPr>
      <w:r>
        <w:rPr>
          <w:rFonts w:hint="eastAsia"/>
          <w:highlight w:val="none"/>
        </w:rPr>
        <w:t>（</w:t>
      </w:r>
      <w:r>
        <w:rPr>
          <w:highlight w:val="none"/>
        </w:rPr>
        <w:t>8</w:t>
      </w:r>
      <w:r>
        <w:rPr>
          <w:rFonts w:hint="eastAsia"/>
          <w:highlight w:val="none"/>
        </w:rPr>
        <w:t>）</w:t>
      </w:r>
      <w:r>
        <w:rPr>
          <w:highlight w:val="none"/>
        </w:rPr>
        <w:t>供货清单(含仪表、控制设备及其附件的供应清单</w:t>
      </w:r>
      <w:r>
        <w:rPr>
          <w:rFonts w:hint="eastAsia"/>
          <w:highlight w:val="none"/>
        </w:rPr>
        <w:t>）</w:t>
      </w:r>
      <w:r>
        <w:rPr>
          <w:highlight w:val="none"/>
        </w:rPr>
        <w:t>；</w:t>
      </w:r>
    </w:p>
    <w:p w14:paraId="7E172BA4">
      <w:pPr>
        <w:spacing w:line="360" w:lineRule="auto"/>
        <w:ind w:firstLine="480"/>
        <w:jc w:val="left"/>
        <w:rPr>
          <w:highlight w:val="none"/>
        </w:rPr>
      </w:pPr>
      <w:r>
        <w:rPr>
          <w:rFonts w:hint="eastAsia"/>
          <w:highlight w:val="none"/>
        </w:rPr>
        <w:t>（</w:t>
      </w:r>
      <w:r>
        <w:rPr>
          <w:highlight w:val="none"/>
        </w:rPr>
        <w:t>9</w:t>
      </w:r>
      <w:r>
        <w:rPr>
          <w:rFonts w:hint="eastAsia"/>
          <w:highlight w:val="none"/>
        </w:rPr>
        <w:t>）</w:t>
      </w:r>
      <w:r>
        <w:rPr>
          <w:highlight w:val="none"/>
        </w:rPr>
        <w:t>专用工具表和备件表；</w:t>
      </w:r>
    </w:p>
    <w:p w14:paraId="59F23600">
      <w:pPr>
        <w:spacing w:line="360" w:lineRule="auto"/>
        <w:ind w:firstLine="480"/>
        <w:jc w:val="left"/>
        <w:rPr>
          <w:highlight w:val="none"/>
        </w:rPr>
      </w:pPr>
      <w:r>
        <w:rPr>
          <w:rFonts w:hint="eastAsia"/>
          <w:highlight w:val="none"/>
        </w:rPr>
        <w:t>（</w:t>
      </w:r>
      <w:r>
        <w:rPr>
          <w:highlight w:val="none"/>
        </w:rPr>
        <w:t>10</w:t>
      </w:r>
      <w:r>
        <w:rPr>
          <w:rFonts w:hint="eastAsia"/>
          <w:highlight w:val="none"/>
        </w:rPr>
        <w:t>）</w:t>
      </w:r>
      <w:r>
        <w:rPr>
          <w:highlight w:val="none"/>
        </w:rPr>
        <w:t>装箱清单，产品合格证书及质保证书；</w:t>
      </w:r>
    </w:p>
    <w:p w14:paraId="3C0E8EEB">
      <w:pPr>
        <w:spacing w:line="360" w:lineRule="auto"/>
        <w:ind w:firstLine="480"/>
        <w:jc w:val="left"/>
        <w:rPr>
          <w:highlight w:val="none"/>
        </w:rPr>
      </w:pPr>
      <w:r>
        <w:rPr>
          <w:rFonts w:hint="eastAsia"/>
          <w:highlight w:val="none"/>
        </w:rPr>
        <w:t>（</w:t>
      </w:r>
      <w:r>
        <w:rPr>
          <w:highlight w:val="none"/>
        </w:rPr>
        <w:t>11</w:t>
      </w:r>
      <w:r>
        <w:rPr>
          <w:rFonts w:hint="eastAsia"/>
          <w:highlight w:val="none"/>
        </w:rPr>
        <w:t>）</w:t>
      </w:r>
      <w:r>
        <w:rPr>
          <w:highlight w:val="none"/>
        </w:rPr>
        <w:t>安装、运行和维护说明书(包括配套供应的特殊测量保护仪表的使用技术说明书</w:t>
      </w:r>
      <w:r>
        <w:rPr>
          <w:rFonts w:hint="eastAsia"/>
          <w:highlight w:val="none"/>
        </w:rPr>
        <w:t>）</w:t>
      </w:r>
      <w:r>
        <w:rPr>
          <w:highlight w:val="none"/>
        </w:rPr>
        <w:t>；</w:t>
      </w:r>
    </w:p>
    <w:p w14:paraId="158D9CF3">
      <w:pPr>
        <w:spacing w:line="360" w:lineRule="auto"/>
        <w:ind w:firstLine="480"/>
        <w:jc w:val="left"/>
        <w:rPr>
          <w:highlight w:val="none"/>
        </w:rPr>
      </w:pPr>
      <w:r>
        <w:rPr>
          <w:rFonts w:hint="eastAsia"/>
          <w:highlight w:val="none"/>
        </w:rPr>
        <w:t>（</w:t>
      </w:r>
      <w:r>
        <w:rPr>
          <w:highlight w:val="none"/>
        </w:rPr>
        <w:t>12</w:t>
      </w:r>
      <w:r>
        <w:rPr>
          <w:rFonts w:hint="eastAsia"/>
          <w:highlight w:val="none"/>
        </w:rPr>
        <w:t>）</w:t>
      </w:r>
      <w:r>
        <w:rPr>
          <w:highlight w:val="none"/>
        </w:rPr>
        <w:t>系统运行说明书。</w:t>
      </w:r>
    </w:p>
    <w:p w14:paraId="74CAC601">
      <w:pPr>
        <w:spacing w:line="360" w:lineRule="auto"/>
        <w:jc w:val="left"/>
        <w:rPr>
          <w:highlight w:val="none"/>
        </w:rPr>
      </w:pPr>
      <w:r>
        <w:rPr>
          <w:highlight w:val="none"/>
        </w:rPr>
        <w:t>2.1.5 投标人提供的其它技术资料，包括但不限于：</w:t>
      </w:r>
    </w:p>
    <w:p w14:paraId="221B0941">
      <w:pPr>
        <w:spacing w:line="360" w:lineRule="auto"/>
        <w:jc w:val="left"/>
        <w:rPr>
          <w:highlight w:val="none"/>
        </w:rPr>
      </w:pPr>
      <w:r>
        <w:rPr>
          <w:highlight w:val="none"/>
        </w:rPr>
        <w:t>2.1.5.1 检验记录、试验报告及质量合格证等出厂报告。</w:t>
      </w:r>
    </w:p>
    <w:p w14:paraId="023EC3E1">
      <w:pPr>
        <w:spacing w:line="360" w:lineRule="auto"/>
        <w:jc w:val="left"/>
        <w:rPr>
          <w:highlight w:val="none"/>
        </w:rPr>
      </w:pPr>
      <w:r>
        <w:rPr>
          <w:highlight w:val="none"/>
        </w:rPr>
        <w:t>2.1.5.2 投标人提供在设计、制造时所遵循的规范、标准和规程清单。</w:t>
      </w:r>
    </w:p>
    <w:p w14:paraId="3CED4A3B">
      <w:pPr>
        <w:spacing w:line="360" w:lineRule="auto"/>
        <w:jc w:val="left"/>
        <w:rPr>
          <w:highlight w:val="none"/>
        </w:rPr>
      </w:pPr>
      <w:r>
        <w:rPr>
          <w:highlight w:val="none"/>
        </w:rPr>
        <w:t>2.1.5.3 设备和备品管理资料文件(包括设备和备品备件发运和装箱的详细资料，设备和备品备件存放与保管的技术要求，运输超重超大件的明细表和外形图</w:t>
      </w:r>
      <w:r>
        <w:rPr>
          <w:rFonts w:hint="eastAsia"/>
          <w:highlight w:val="none"/>
        </w:rPr>
        <w:t>）</w:t>
      </w:r>
      <w:r>
        <w:rPr>
          <w:highlight w:val="none"/>
        </w:rPr>
        <w:t>。</w:t>
      </w:r>
    </w:p>
    <w:p w14:paraId="76459BD0">
      <w:pPr>
        <w:spacing w:line="360" w:lineRule="auto"/>
        <w:jc w:val="left"/>
        <w:rPr>
          <w:highlight w:val="none"/>
        </w:rPr>
      </w:pPr>
      <w:r>
        <w:rPr>
          <w:highlight w:val="none"/>
        </w:rPr>
        <w:t>2.1.5.4 详细的产品质量文件(包括材质、材质检验、焊接、热处理、加工质量、外形尺寸、水压试验和性能检验／试验等</w:t>
      </w:r>
      <w:r>
        <w:rPr>
          <w:rFonts w:hint="eastAsia"/>
          <w:highlight w:val="none"/>
        </w:rPr>
        <w:t>）</w:t>
      </w:r>
      <w:r>
        <w:rPr>
          <w:highlight w:val="none"/>
        </w:rPr>
        <w:t>的证明。</w:t>
      </w:r>
    </w:p>
    <w:p w14:paraId="67777E5C">
      <w:pPr>
        <w:spacing w:line="360" w:lineRule="auto"/>
        <w:jc w:val="left"/>
        <w:rPr>
          <w:highlight w:val="none"/>
        </w:rPr>
      </w:pPr>
      <w:r>
        <w:rPr>
          <w:highlight w:val="none"/>
        </w:rPr>
        <w:t>2.1.6</w:t>
      </w:r>
      <w:r>
        <w:rPr>
          <w:rFonts w:hint="eastAsia"/>
          <w:highlight w:val="none"/>
        </w:rPr>
        <w:t xml:space="preserve"> </w:t>
      </w:r>
      <w:r>
        <w:rPr>
          <w:highlight w:val="none"/>
        </w:rPr>
        <w:t>投标人应在工程竣工后提供上述资料的竣工图（8套书面文件和2套电子版文件）。</w:t>
      </w:r>
    </w:p>
    <w:p w14:paraId="6E377CBD">
      <w:pPr>
        <w:spacing w:line="360" w:lineRule="auto"/>
        <w:jc w:val="left"/>
        <w:rPr>
          <w:highlight w:val="none"/>
        </w:rPr>
      </w:pPr>
      <w:r>
        <w:rPr>
          <w:highlight w:val="none"/>
        </w:rPr>
        <w:t>2.1.7</w:t>
      </w:r>
      <w:r>
        <w:rPr>
          <w:rFonts w:hint="eastAsia"/>
          <w:highlight w:val="none"/>
        </w:rPr>
        <w:t xml:space="preserve"> </w:t>
      </w:r>
      <w:r>
        <w:rPr>
          <w:highlight w:val="none"/>
        </w:rPr>
        <w:t>投标人提供传热元件质量检验标准（随设备提供）。</w:t>
      </w:r>
    </w:p>
    <w:p w14:paraId="61B95F63">
      <w:pPr>
        <w:autoSpaceDE w:val="0"/>
        <w:autoSpaceDN w:val="0"/>
        <w:spacing w:line="360" w:lineRule="auto"/>
        <w:jc w:val="left"/>
        <w:rPr>
          <w:b/>
          <w:highlight w:val="none"/>
        </w:rPr>
      </w:pPr>
      <w:r>
        <w:rPr>
          <w:highlight w:val="none"/>
        </w:rPr>
        <w:t>2.1.8</w:t>
      </w:r>
      <w:r>
        <w:rPr>
          <w:rFonts w:hint="eastAsia"/>
          <w:highlight w:val="none"/>
        </w:rPr>
        <w:t xml:space="preserve"> </w:t>
      </w:r>
      <w:r>
        <w:rPr>
          <w:highlight w:val="none"/>
        </w:rPr>
        <w:t>投标人提供性能测试的具体方法和相关标准（随设备提供）。</w:t>
      </w:r>
    </w:p>
    <w:p w14:paraId="1F8D3534">
      <w:pPr>
        <w:autoSpaceDE w:val="0"/>
        <w:autoSpaceDN w:val="0"/>
        <w:spacing w:line="360" w:lineRule="auto"/>
        <w:jc w:val="left"/>
        <w:textAlignment w:val="bottom"/>
        <w:outlineLvl w:val="2"/>
        <w:rPr>
          <w:b/>
          <w:highlight w:val="none"/>
        </w:rPr>
      </w:pPr>
      <w:r>
        <w:rPr>
          <w:b/>
          <w:highlight w:val="none"/>
        </w:rPr>
        <w:t>2.2 技术资料交付</w:t>
      </w:r>
    </w:p>
    <w:p w14:paraId="073ED660">
      <w:pPr>
        <w:autoSpaceDE w:val="0"/>
        <w:autoSpaceDN w:val="0"/>
        <w:spacing w:line="360" w:lineRule="auto"/>
        <w:ind w:firstLine="480" w:firstLineChars="200"/>
        <w:jc w:val="left"/>
        <w:rPr>
          <w:highlight w:val="none"/>
        </w:rPr>
      </w:pPr>
      <w:bookmarkStart w:id="117" w:name="_Toc348942792"/>
      <w:bookmarkStart w:id="118" w:name="_Toc130272499"/>
      <w:bookmarkStart w:id="119" w:name="_Toc218851950"/>
      <w:bookmarkStart w:id="120" w:name="_Toc123907316"/>
      <w:bookmarkStart w:id="121" w:name="_Toc123907343"/>
      <w:bookmarkStart w:id="122" w:name="_Toc123907568"/>
      <w:bookmarkStart w:id="123" w:name="_Toc123907139"/>
      <w:r>
        <w:rPr>
          <w:highlight w:val="none"/>
        </w:rPr>
        <w:t xml:space="preserve">在合同签后，买卖双方技术资料的交换，电子邮件可以用来传递非正式的信息。投标人有义务与招标人的设计分包单位进行技术配合，配合过程中的文件资料需同时抄送招标人。 </w:t>
      </w:r>
    </w:p>
    <w:bookmarkEnd w:id="117"/>
    <w:bookmarkEnd w:id="118"/>
    <w:bookmarkEnd w:id="119"/>
    <w:bookmarkEnd w:id="120"/>
    <w:bookmarkEnd w:id="121"/>
    <w:bookmarkEnd w:id="122"/>
    <w:bookmarkEnd w:id="123"/>
    <w:p w14:paraId="10B2C31F">
      <w:pPr>
        <w:jc w:val="left"/>
        <w:rPr>
          <w:highlight w:val="none"/>
        </w:rPr>
      </w:pPr>
    </w:p>
    <w:p w14:paraId="34F4301D">
      <w:pPr>
        <w:pStyle w:val="7"/>
        <w:jc w:val="left"/>
        <w:rPr>
          <w:rFonts w:ascii="Times New Roman" w:hAnsi="Times New Roman" w:cs="Times New Roman"/>
          <w:highlight w:val="none"/>
        </w:rPr>
      </w:pPr>
    </w:p>
    <w:p w14:paraId="16E696B0">
      <w:pPr>
        <w:pStyle w:val="7"/>
        <w:jc w:val="left"/>
        <w:rPr>
          <w:rFonts w:ascii="Times New Roman" w:hAnsi="Times New Roman" w:cs="Times New Roman"/>
          <w:highlight w:val="none"/>
        </w:rPr>
        <w:sectPr>
          <w:pgSz w:w="11906" w:h="16838"/>
          <w:pgMar w:top="1440" w:right="1440" w:bottom="1440" w:left="1701" w:header="851" w:footer="992" w:gutter="0"/>
          <w:cols w:space="425" w:num="1"/>
          <w:docGrid w:type="lines" w:linePitch="312" w:charSpace="0"/>
        </w:sectPr>
      </w:pPr>
    </w:p>
    <w:p w14:paraId="272FA2B9">
      <w:pPr>
        <w:pStyle w:val="4"/>
        <w:spacing w:before="156" w:beforeLines="50" w:after="156" w:afterLines="50" w:line="360" w:lineRule="auto"/>
        <w:jc w:val="left"/>
        <w:rPr>
          <w:sz w:val="32"/>
          <w:szCs w:val="32"/>
          <w:highlight w:val="none"/>
        </w:rPr>
      </w:pPr>
      <w:bookmarkStart w:id="124" w:name="_Toc515953163"/>
      <w:bookmarkStart w:id="125" w:name="_Toc343695400"/>
      <w:bookmarkStart w:id="126" w:name="_Toc515785175"/>
      <w:bookmarkStart w:id="127" w:name="_Toc513014512"/>
      <w:bookmarkStart w:id="128" w:name="_Toc5123"/>
      <w:r>
        <w:rPr>
          <w:sz w:val="32"/>
          <w:szCs w:val="32"/>
          <w:highlight w:val="none"/>
        </w:rPr>
        <w:t>附件4 设备交货进度</w:t>
      </w:r>
      <w:bookmarkEnd w:id="124"/>
      <w:bookmarkEnd w:id="125"/>
      <w:bookmarkEnd w:id="126"/>
      <w:bookmarkEnd w:id="127"/>
      <w:bookmarkEnd w:id="128"/>
    </w:p>
    <w:p w14:paraId="6982634E">
      <w:pPr>
        <w:autoSpaceDE w:val="0"/>
        <w:autoSpaceDN w:val="0"/>
        <w:spacing w:line="360" w:lineRule="auto"/>
        <w:ind w:firstLine="480" w:firstLineChars="200"/>
        <w:jc w:val="left"/>
        <w:rPr>
          <w:highlight w:val="none"/>
        </w:rPr>
      </w:pPr>
      <w:r>
        <w:rPr>
          <w:highlight w:val="none"/>
        </w:rPr>
        <w:t>投标人应按照按合同规定的期限交付所有设备，在投标书中提出设计、制造、交货时间进度表、以及建议的安装和调试总的时间进度表。</w:t>
      </w:r>
    </w:p>
    <w:p w14:paraId="4A2887D8">
      <w:pPr>
        <w:autoSpaceDE w:val="0"/>
        <w:autoSpaceDN w:val="0"/>
        <w:spacing w:line="360" w:lineRule="auto"/>
        <w:ind w:firstLine="480" w:firstLineChars="200"/>
        <w:jc w:val="left"/>
        <w:rPr>
          <w:highlight w:val="none"/>
        </w:rPr>
      </w:pPr>
      <w:r>
        <w:rPr>
          <w:highlight w:val="none"/>
        </w:rPr>
        <w:t>交货地点：</w:t>
      </w:r>
      <w:r>
        <w:rPr>
          <w:rFonts w:hint="eastAsia"/>
          <w:szCs w:val="32"/>
          <w:highlight w:val="none"/>
        </w:rPr>
        <w:t>浙能阿克苏热电有限公司制水系统增加一套超滤、一套反渗透装置改造项目现场</w:t>
      </w:r>
      <w:r>
        <w:rPr>
          <w:highlight w:val="none"/>
        </w:rPr>
        <w:t>。</w:t>
      </w:r>
    </w:p>
    <w:p w14:paraId="0FF04183">
      <w:pPr>
        <w:autoSpaceDE w:val="0"/>
        <w:autoSpaceDN w:val="0"/>
        <w:spacing w:line="360" w:lineRule="auto"/>
        <w:jc w:val="left"/>
        <w:rPr>
          <w:highlight w:val="none"/>
        </w:rPr>
      </w:pPr>
      <w:r>
        <w:rPr>
          <w:highlight w:val="none"/>
        </w:rPr>
        <w:t>设备交货批次和时间表</w:t>
      </w:r>
    </w:p>
    <w:tbl>
      <w:tblPr>
        <w:tblStyle w:val="21"/>
        <w:tblW w:w="5035" w:type="pct"/>
        <w:tblInd w:w="-54"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28" w:type="dxa"/>
          <w:bottom w:w="0" w:type="dxa"/>
          <w:right w:w="28" w:type="dxa"/>
        </w:tblCellMar>
      </w:tblPr>
      <w:tblGrid>
        <w:gridCol w:w="941"/>
        <w:gridCol w:w="2854"/>
        <w:gridCol w:w="2170"/>
        <w:gridCol w:w="2918"/>
      </w:tblGrid>
      <w:tr w14:paraId="1554036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600" w:hRule="atLeast"/>
        </w:trPr>
        <w:tc>
          <w:tcPr>
            <w:tcW w:w="530" w:type="pct"/>
            <w:tcBorders>
              <w:top w:val="single" w:color="000000" w:sz="12" w:space="0"/>
              <w:left w:val="single" w:color="000000" w:sz="12" w:space="0"/>
              <w:bottom w:val="single" w:color="000000" w:sz="6" w:space="0"/>
              <w:right w:val="single" w:color="000000" w:sz="6" w:space="0"/>
            </w:tcBorders>
            <w:vAlign w:val="center"/>
          </w:tcPr>
          <w:p w14:paraId="0F0E027A">
            <w:pPr>
              <w:pStyle w:val="38"/>
              <w:adjustRightInd/>
              <w:spacing w:line="360" w:lineRule="auto"/>
              <w:rPr>
                <w:rFonts w:ascii="Times New Roman"/>
                <w:highlight w:val="none"/>
              </w:rPr>
            </w:pPr>
            <w:r>
              <w:rPr>
                <w:rFonts w:ascii="Times New Roman"/>
                <w:highlight w:val="none"/>
              </w:rPr>
              <w:t>序号</w:t>
            </w:r>
          </w:p>
        </w:tc>
        <w:tc>
          <w:tcPr>
            <w:tcW w:w="1606" w:type="pct"/>
            <w:tcBorders>
              <w:top w:val="single" w:color="000000" w:sz="12" w:space="0"/>
              <w:left w:val="single" w:color="000000" w:sz="6" w:space="0"/>
              <w:bottom w:val="single" w:color="000000" w:sz="6" w:space="0"/>
              <w:right w:val="single" w:color="000000" w:sz="6" w:space="0"/>
            </w:tcBorders>
            <w:vAlign w:val="center"/>
          </w:tcPr>
          <w:p w14:paraId="2781CB87">
            <w:pPr>
              <w:spacing w:line="360" w:lineRule="auto"/>
              <w:jc w:val="center"/>
              <w:rPr>
                <w:highlight w:val="none"/>
              </w:rPr>
            </w:pPr>
            <w:r>
              <w:rPr>
                <w:highlight w:val="none"/>
              </w:rPr>
              <w:t>设备/部件名称、型号</w:t>
            </w:r>
          </w:p>
        </w:tc>
        <w:tc>
          <w:tcPr>
            <w:tcW w:w="1221" w:type="pct"/>
            <w:tcBorders>
              <w:top w:val="single" w:color="000000" w:sz="12" w:space="0"/>
              <w:left w:val="single" w:color="000000" w:sz="6" w:space="0"/>
              <w:bottom w:val="single" w:color="000000" w:sz="6" w:space="0"/>
              <w:right w:val="single" w:color="000000" w:sz="6" w:space="0"/>
            </w:tcBorders>
            <w:vAlign w:val="center"/>
          </w:tcPr>
          <w:p w14:paraId="3969BF47">
            <w:pPr>
              <w:spacing w:line="360" w:lineRule="auto"/>
              <w:jc w:val="center"/>
              <w:rPr>
                <w:highlight w:val="none"/>
              </w:rPr>
            </w:pPr>
            <w:r>
              <w:rPr>
                <w:rFonts w:hint="eastAsia"/>
                <w:highlight w:val="none"/>
              </w:rPr>
              <w:t>交货</w:t>
            </w:r>
            <w:r>
              <w:rPr>
                <w:highlight w:val="none"/>
              </w:rPr>
              <w:t>地点</w:t>
            </w:r>
          </w:p>
        </w:tc>
        <w:tc>
          <w:tcPr>
            <w:tcW w:w="1642" w:type="pct"/>
            <w:tcBorders>
              <w:top w:val="single" w:color="000000" w:sz="12" w:space="0"/>
              <w:left w:val="single" w:color="000000" w:sz="6" w:space="0"/>
              <w:bottom w:val="single" w:color="000000" w:sz="6" w:space="0"/>
              <w:right w:val="single" w:color="000000" w:sz="12" w:space="0"/>
            </w:tcBorders>
            <w:vAlign w:val="center"/>
          </w:tcPr>
          <w:p w14:paraId="28DBDA57">
            <w:pPr>
              <w:spacing w:line="360" w:lineRule="auto"/>
              <w:jc w:val="center"/>
              <w:rPr>
                <w:highlight w:val="none"/>
              </w:rPr>
            </w:pPr>
            <w:r>
              <w:rPr>
                <w:highlight w:val="none"/>
              </w:rPr>
              <w:t>交货时间（到现场）</w:t>
            </w:r>
          </w:p>
        </w:tc>
      </w:tr>
      <w:tr w14:paraId="392A8B1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606" w:hRule="atLeast"/>
        </w:trPr>
        <w:tc>
          <w:tcPr>
            <w:tcW w:w="530" w:type="pct"/>
            <w:tcBorders>
              <w:top w:val="single" w:color="000000" w:sz="6" w:space="0"/>
              <w:left w:val="single" w:color="000000" w:sz="12" w:space="0"/>
              <w:bottom w:val="single" w:color="000000" w:sz="6" w:space="0"/>
              <w:right w:val="single" w:color="000000" w:sz="6" w:space="0"/>
            </w:tcBorders>
            <w:vAlign w:val="center"/>
          </w:tcPr>
          <w:p w14:paraId="5312C741">
            <w:pPr>
              <w:spacing w:line="360" w:lineRule="auto"/>
              <w:jc w:val="center"/>
              <w:rPr>
                <w:highlight w:val="none"/>
              </w:rPr>
            </w:pPr>
            <w:r>
              <w:rPr>
                <w:highlight w:val="none"/>
              </w:rPr>
              <w:t>1</w:t>
            </w:r>
          </w:p>
        </w:tc>
        <w:tc>
          <w:tcPr>
            <w:tcW w:w="1606" w:type="pct"/>
            <w:tcBorders>
              <w:top w:val="single" w:color="000000" w:sz="6" w:space="0"/>
              <w:left w:val="single" w:color="000000" w:sz="6" w:space="0"/>
              <w:bottom w:val="single" w:color="000000" w:sz="6" w:space="0"/>
              <w:right w:val="single" w:color="000000" w:sz="6" w:space="0"/>
            </w:tcBorders>
            <w:vAlign w:val="center"/>
          </w:tcPr>
          <w:p w14:paraId="1272DDBC">
            <w:pPr>
              <w:spacing w:line="360" w:lineRule="auto"/>
              <w:jc w:val="center"/>
              <w:rPr>
                <w:highlight w:val="none"/>
              </w:rPr>
            </w:pPr>
            <w:r>
              <w:rPr>
                <w:rFonts w:hint="eastAsia"/>
                <w:highlight w:val="none"/>
              </w:rPr>
              <w:t>所有设备到货</w:t>
            </w:r>
          </w:p>
        </w:tc>
        <w:tc>
          <w:tcPr>
            <w:tcW w:w="1221" w:type="pct"/>
            <w:tcBorders>
              <w:top w:val="single" w:color="000000" w:sz="6" w:space="0"/>
              <w:left w:val="single" w:color="000000" w:sz="6" w:space="0"/>
              <w:bottom w:val="single" w:color="000000" w:sz="6" w:space="0"/>
              <w:right w:val="single" w:color="000000" w:sz="6" w:space="0"/>
            </w:tcBorders>
            <w:vAlign w:val="center"/>
          </w:tcPr>
          <w:p w14:paraId="5BB135F5">
            <w:pPr>
              <w:spacing w:line="360" w:lineRule="auto"/>
              <w:jc w:val="center"/>
              <w:rPr>
                <w:highlight w:val="none"/>
              </w:rPr>
            </w:pPr>
            <w:r>
              <w:rPr>
                <w:rFonts w:hint="eastAsia"/>
                <w:highlight w:val="none"/>
              </w:rPr>
              <w:t>阿克苏热电厂内</w:t>
            </w:r>
          </w:p>
        </w:tc>
        <w:tc>
          <w:tcPr>
            <w:tcW w:w="1642" w:type="pct"/>
            <w:tcBorders>
              <w:top w:val="single" w:color="000000" w:sz="6" w:space="0"/>
              <w:left w:val="single" w:color="000000" w:sz="6" w:space="0"/>
              <w:bottom w:val="single" w:color="000000" w:sz="6" w:space="0"/>
              <w:right w:val="single" w:color="000000" w:sz="12" w:space="0"/>
            </w:tcBorders>
            <w:vAlign w:val="center"/>
          </w:tcPr>
          <w:p w14:paraId="386FEED7">
            <w:pPr>
              <w:spacing w:line="360" w:lineRule="auto"/>
              <w:jc w:val="center"/>
              <w:rPr>
                <w:highlight w:val="none"/>
              </w:rPr>
            </w:pPr>
            <w:r>
              <w:rPr>
                <w:rFonts w:hint="eastAsia"/>
                <w:highlight w:val="none"/>
              </w:rPr>
              <w:t>合同签订后45天到货</w:t>
            </w:r>
          </w:p>
        </w:tc>
      </w:tr>
      <w:tr w14:paraId="3ED4821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711" w:hRule="atLeast"/>
        </w:trPr>
        <w:tc>
          <w:tcPr>
            <w:tcW w:w="530" w:type="pct"/>
            <w:tcBorders>
              <w:top w:val="single" w:color="000000" w:sz="6" w:space="0"/>
              <w:left w:val="single" w:color="000000" w:sz="12" w:space="0"/>
              <w:bottom w:val="single" w:color="000000" w:sz="12" w:space="0"/>
              <w:right w:val="single" w:color="000000" w:sz="6" w:space="0"/>
            </w:tcBorders>
            <w:vAlign w:val="center"/>
          </w:tcPr>
          <w:p w14:paraId="3026DB28">
            <w:pPr>
              <w:spacing w:line="360" w:lineRule="auto"/>
              <w:jc w:val="center"/>
              <w:rPr>
                <w:highlight w:val="none"/>
              </w:rPr>
            </w:pPr>
            <w:r>
              <w:rPr>
                <w:highlight w:val="none"/>
              </w:rPr>
              <w:t>2</w:t>
            </w:r>
          </w:p>
        </w:tc>
        <w:tc>
          <w:tcPr>
            <w:tcW w:w="1606" w:type="pct"/>
            <w:tcBorders>
              <w:top w:val="single" w:color="000000" w:sz="6" w:space="0"/>
              <w:left w:val="single" w:color="000000" w:sz="6" w:space="0"/>
              <w:bottom w:val="single" w:color="000000" w:sz="12" w:space="0"/>
              <w:right w:val="single" w:color="000000" w:sz="6" w:space="0"/>
            </w:tcBorders>
            <w:vAlign w:val="center"/>
          </w:tcPr>
          <w:p w14:paraId="5DB2534A">
            <w:pPr>
              <w:spacing w:line="360" w:lineRule="auto"/>
              <w:jc w:val="center"/>
              <w:rPr>
                <w:highlight w:val="none"/>
              </w:rPr>
            </w:pPr>
          </w:p>
        </w:tc>
        <w:tc>
          <w:tcPr>
            <w:tcW w:w="1221" w:type="pct"/>
            <w:tcBorders>
              <w:top w:val="single" w:color="000000" w:sz="6" w:space="0"/>
              <w:left w:val="single" w:color="000000" w:sz="6" w:space="0"/>
              <w:bottom w:val="single" w:color="000000" w:sz="12" w:space="0"/>
              <w:right w:val="single" w:color="000000" w:sz="6" w:space="0"/>
            </w:tcBorders>
            <w:vAlign w:val="center"/>
          </w:tcPr>
          <w:p w14:paraId="1D321BD8">
            <w:pPr>
              <w:spacing w:line="360" w:lineRule="auto"/>
              <w:jc w:val="center"/>
              <w:rPr>
                <w:highlight w:val="none"/>
              </w:rPr>
            </w:pPr>
          </w:p>
        </w:tc>
        <w:tc>
          <w:tcPr>
            <w:tcW w:w="1642" w:type="pct"/>
            <w:tcBorders>
              <w:top w:val="single" w:color="000000" w:sz="6" w:space="0"/>
              <w:left w:val="single" w:color="000000" w:sz="6" w:space="0"/>
              <w:bottom w:val="single" w:color="000000" w:sz="12" w:space="0"/>
              <w:right w:val="single" w:color="000000" w:sz="12" w:space="0"/>
            </w:tcBorders>
            <w:vAlign w:val="center"/>
          </w:tcPr>
          <w:p w14:paraId="2662FEC5">
            <w:pPr>
              <w:spacing w:line="360" w:lineRule="auto"/>
              <w:jc w:val="center"/>
              <w:rPr>
                <w:highlight w:val="none"/>
              </w:rPr>
            </w:pPr>
          </w:p>
        </w:tc>
      </w:tr>
    </w:tbl>
    <w:p w14:paraId="7990755D">
      <w:pPr>
        <w:autoSpaceDE w:val="0"/>
        <w:autoSpaceDN w:val="0"/>
        <w:spacing w:line="360" w:lineRule="auto"/>
        <w:ind w:firstLine="480" w:firstLineChars="200"/>
        <w:jc w:val="left"/>
        <w:rPr>
          <w:highlight w:val="none"/>
        </w:rPr>
      </w:pPr>
      <w:r>
        <w:rPr>
          <w:highlight w:val="none"/>
        </w:rPr>
        <w:t>说明：</w:t>
      </w:r>
    </w:p>
    <w:p w14:paraId="35F36107">
      <w:pPr>
        <w:numPr>
          <w:ilvl w:val="0"/>
          <w:numId w:val="6"/>
        </w:numPr>
        <w:autoSpaceDE w:val="0"/>
        <w:autoSpaceDN w:val="0"/>
        <w:spacing w:line="360" w:lineRule="auto"/>
        <w:jc w:val="left"/>
        <w:rPr>
          <w:highlight w:val="none"/>
        </w:rPr>
      </w:pPr>
      <w:r>
        <w:rPr>
          <w:highlight w:val="none"/>
        </w:rPr>
        <w:t>备品备件及专用工具随设备同时交货并单独包装。</w:t>
      </w:r>
    </w:p>
    <w:p w14:paraId="54DE2747">
      <w:pPr>
        <w:numPr>
          <w:ilvl w:val="0"/>
          <w:numId w:val="6"/>
        </w:numPr>
        <w:autoSpaceDE w:val="0"/>
        <w:autoSpaceDN w:val="0"/>
        <w:spacing w:line="360" w:lineRule="auto"/>
        <w:jc w:val="left"/>
        <w:rPr>
          <w:highlight w:val="none"/>
        </w:rPr>
      </w:pPr>
      <w:r>
        <w:rPr>
          <w:highlight w:val="none"/>
        </w:rPr>
        <w:t>在合同执行过程中，招标人有权根据工程进度调整最终的设备交货进度，但需提前5天通知投标人。</w:t>
      </w:r>
    </w:p>
    <w:p w14:paraId="6995B18C">
      <w:pPr>
        <w:numPr>
          <w:ilvl w:val="0"/>
          <w:numId w:val="6"/>
        </w:numPr>
        <w:autoSpaceDE w:val="0"/>
        <w:autoSpaceDN w:val="0"/>
        <w:spacing w:line="360" w:lineRule="auto"/>
        <w:jc w:val="left"/>
        <w:rPr>
          <w:highlight w:val="none"/>
        </w:rPr>
      </w:pPr>
      <w:r>
        <w:rPr>
          <w:highlight w:val="none"/>
        </w:rPr>
        <w:t>序号要与供货范围分项清单序号一致。</w:t>
      </w:r>
    </w:p>
    <w:p w14:paraId="2EC93123">
      <w:pPr>
        <w:jc w:val="left"/>
        <w:rPr>
          <w:sz w:val="32"/>
          <w:szCs w:val="32"/>
          <w:highlight w:val="none"/>
        </w:rPr>
        <w:sectPr>
          <w:pgSz w:w="11906" w:h="16838"/>
          <w:pgMar w:top="1440" w:right="1440" w:bottom="1440" w:left="1701" w:header="851" w:footer="992" w:gutter="0"/>
          <w:cols w:space="425" w:num="1"/>
          <w:docGrid w:type="lines" w:linePitch="312" w:charSpace="0"/>
        </w:sectPr>
      </w:pPr>
    </w:p>
    <w:p w14:paraId="776EC70E">
      <w:pPr>
        <w:pStyle w:val="4"/>
        <w:spacing w:before="156" w:beforeLines="50" w:after="156" w:afterLines="50" w:line="360" w:lineRule="auto"/>
        <w:jc w:val="left"/>
        <w:rPr>
          <w:sz w:val="32"/>
          <w:szCs w:val="32"/>
          <w:highlight w:val="none"/>
        </w:rPr>
      </w:pPr>
      <w:bookmarkStart w:id="129" w:name="_Toc515953164"/>
      <w:bookmarkStart w:id="130" w:name="_Toc343695401"/>
      <w:bookmarkStart w:id="131" w:name="_Toc501817570"/>
      <w:bookmarkStart w:id="132" w:name="_Toc513014514"/>
      <w:bookmarkStart w:id="133" w:name="_Toc30751"/>
      <w:bookmarkStart w:id="134" w:name="_Toc515785176"/>
      <w:r>
        <w:rPr>
          <w:sz w:val="32"/>
          <w:szCs w:val="32"/>
          <w:highlight w:val="none"/>
        </w:rPr>
        <w:t>附件5 设备监造、检验和性能验收试验</w:t>
      </w:r>
      <w:bookmarkEnd w:id="129"/>
      <w:bookmarkEnd w:id="130"/>
      <w:bookmarkEnd w:id="131"/>
      <w:bookmarkEnd w:id="132"/>
      <w:bookmarkEnd w:id="133"/>
      <w:bookmarkEnd w:id="134"/>
    </w:p>
    <w:p w14:paraId="6FD75EE4">
      <w:pPr>
        <w:pStyle w:val="5"/>
        <w:spacing w:before="0" w:after="0" w:line="360" w:lineRule="auto"/>
        <w:jc w:val="left"/>
        <w:rPr>
          <w:rFonts w:ascii="Times New Roman"/>
          <w:bCs/>
          <w:sz w:val="24"/>
          <w:szCs w:val="24"/>
          <w:highlight w:val="none"/>
        </w:rPr>
      </w:pPr>
      <w:bookmarkStart w:id="135" w:name="_Toc513014515"/>
      <w:bookmarkStart w:id="136" w:name="_Toc501817571"/>
      <w:bookmarkStart w:id="137" w:name="_Toc515785177"/>
      <w:r>
        <w:rPr>
          <w:rFonts w:ascii="Times New Roman"/>
          <w:bCs/>
          <w:sz w:val="24"/>
          <w:szCs w:val="24"/>
          <w:highlight w:val="none"/>
        </w:rPr>
        <w:t>1</w:t>
      </w:r>
      <w:r>
        <w:rPr>
          <w:rFonts w:hint="eastAsia" w:ascii="Times New Roman"/>
          <w:bCs/>
          <w:sz w:val="24"/>
          <w:szCs w:val="24"/>
          <w:highlight w:val="none"/>
        </w:rPr>
        <w:t xml:space="preserve"> </w:t>
      </w:r>
      <w:r>
        <w:rPr>
          <w:rFonts w:ascii="Times New Roman"/>
          <w:bCs/>
          <w:sz w:val="24"/>
          <w:szCs w:val="24"/>
          <w:highlight w:val="none"/>
        </w:rPr>
        <w:t>概述</w:t>
      </w:r>
      <w:bookmarkEnd w:id="135"/>
      <w:bookmarkEnd w:id="136"/>
      <w:bookmarkEnd w:id="137"/>
    </w:p>
    <w:p w14:paraId="346045F1">
      <w:pPr>
        <w:spacing w:line="360" w:lineRule="auto"/>
        <w:jc w:val="left"/>
        <w:rPr>
          <w:highlight w:val="none"/>
        </w:rPr>
      </w:pPr>
      <w:r>
        <w:rPr>
          <w:highlight w:val="none"/>
        </w:rPr>
        <w:t>1.1 本章节用于合同执行期间对投标人所提供的设备（包括对分包外购设备）进行检验、调整试验和性能验收试验，确保投标人所提供的设备符合本技术规范规定的要求。</w:t>
      </w:r>
    </w:p>
    <w:p w14:paraId="6C6804CA">
      <w:pPr>
        <w:spacing w:line="360" w:lineRule="auto"/>
        <w:jc w:val="left"/>
        <w:rPr>
          <w:highlight w:val="none"/>
        </w:rPr>
      </w:pPr>
      <w:r>
        <w:rPr>
          <w:highlight w:val="none"/>
        </w:rPr>
        <w:t>1.2 投标人应在合同生效后1个月内，向招标人提供与本技术规范有关的检验、调试、性能验收试验标准。</w:t>
      </w:r>
    </w:p>
    <w:p w14:paraId="6D8CBC35">
      <w:pPr>
        <w:pStyle w:val="5"/>
        <w:spacing w:before="0" w:after="0" w:line="360" w:lineRule="auto"/>
        <w:jc w:val="left"/>
        <w:rPr>
          <w:rFonts w:ascii="Times New Roman"/>
          <w:bCs/>
          <w:sz w:val="24"/>
          <w:szCs w:val="24"/>
          <w:highlight w:val="none"/>
        </w:rPr>
      </w:pPr>
      <w:bookmarkStart w:id="138" w:name="_Toc501817572"/>
      <w:bookmarkStart w:id="139" w:name="_Toc513014516"/>
      <w:bookmarkStart w:id="140" w:name="_Toc515785178"/>
      <w:r>
        <w:rPr>
          <w:rFonts w:ascii="Times New Roman"/>
          <w:bCs/>
          <w:sz w:val="24"/>
          <w:szCs w:val="24"/>
          <w:highlight w:val="none"/>
        </w:rPr>
        <w:t>2</w:t>
      </w:r>
      <w:r>
        <w:rPr>
          <w:rFonts w:hint="eastAsia" w:ascii="Times New Roman"/>
          <w:bCs/>
          <w:sz w:val="24"/>
          <w:szCs w:val="24"/>
          <w:highlight w:val="none"/>
        </w:rPr>
        <w:t xml:space="preserve"> </w:t>
      </w:r>
      <w:r>
        <w:rPr>
          <w:rFonts w:ascii="Times New Roman"/>
          <w:bCs/>
          <w:sz w:val="24"/>
          <w:szCs w:val="24"/>
          <w:highlight w:val="none"/>
        </w:rPr>
        <w:t>工厂检查</w:t>
      </w:r>
      <w:bookmarkEnd w:id="138"/>
      <w:bookmarkEnd w:id="139"/>
      <w:bookmarkEnd w:id="140"/>
    </w:p>
    <w:p w14:paraId="4B1D1CCA">
      <w:pPr>
        <w:spacing w:line="360" w:lineRule="auto"/>
        <w:jc w:val="left"/>
        <w:rPr>
          <w:highlight w:val="none"/>
        </w:rPr>
      </w:pPr>
      <w:r>
        <w:rPr>
          <w:highlight w:val="none"/>
        </w:rPr>
        <w:t>2.1</w:t>
      </w:r>
      <w:r>
        <w:rPr>
          <w:rFonts w:hint="eastAsia"/>
          <w:highlight w:val="none"/>
        </w:rPr>
        <w:t xml:space="preserve"> </w:t>
      </w:r>
      <w:r>
        <w:rPr>
          <w:highlight w:val="none"/>
        </w:rPr>
        <w:t>工厂检验是质量控制的一个重要组成部分。投标人须严格进行厂内各生产环节的检验和试验。投标人提供的合同设备签发质量证明、检验记录和测试报告，并且作为交货时质量证明文件的组成部分。</w:t>
      </w:r>
    </w:p>
    <w:p w14:paraId="36E63BA3">
      <w:pPr>
        <w:spacing w:line="360" w:lineRule="auto"/>
        <w:jc w:val="left"/>
        <w:rPr>
          <w:highlight w:val="none"/>
        </w:rPr>
      </w:pPr>
      <w:r>
        <w:rPr>
          <w:highlight w:val="none"/>
        </w:rPr>
        <w:t>2.2 投标人检验的结果要满足本技术规范的要求，如有不符之处或达不到标准要求，投标人应采取措施处理直至满足要求，同时向招标人提交不一致性报告。投标人发生重大质量问题时马上将情况及时通知招标人。</w:t>
      </w:r>
    </w:p>
    <w:p w14:paraId="398AB648">
      <w:pPr>
        <w:spacing w:line="360" w:lineRule="auto"/>
        <w:jc w:val="left"/>
        <w:rPr>
          <w:highlight w:val="none"/>
        </w:rPr>
      </w:pPr>
      <w:r>
        <w:rPr>
          <w:highlight w:val="none"/>
        </w:rPr>
        <w:t>2.3</w:t>
      </w:r>
      <w:r>
        <w:rPr>
          <w:rFonts w:hint="eastAsia"/>
          <w:highlight w:val="none"/>
        </w:rPr>
        <w:t xml:space="preserve"> </w:t>
      </w:r>
      <w:r>
        <w:rPr>
          <w:highlight w:val="none"/>
        </w:rPr>
        <w:t>投标人应在报价文件中提交工厂检验的内容。</w:t>
      </w:r>
    </w:p>
    <w:p w14:paraId="197FA85F">
      <w:pPr>
        <w:spacing w:line="360" w:lineRule="auto"/>
        <w:jc w:val="left"/>
        <w:rPr>
          <w:highlight w:val="none"/>
        </w:rPr>
      </w:pPr>
      <w:r>
        <w:rPr>
          <w:highlight w:val="none"/>
        </w:rPr>
        <w:t>2.4</w:t>
      </w:r>
      <w:r>
        <w:rPr>
          <w:rFonts w:hint="eastAsia"/>
          <w:highlight w:val="none"/>
        </w:rPr>
        <w:t xml:space="preserve"> </w:t>
      </w:r>
      <w:r>
        <w:rPr>
          <w:highlight w:val="none"/>
        </w:rPr>
        <w:t>生产期间的试验与检查</w:t>
      </w:r>
    </w:p>
    <w:p w14:paraId="516B118A">
      <w:pPr>
        <w:spacing w:line="360" w:lineRule="auto"/>
        <w:ind w:firstLine="480" w:firstLineChars="200"/>
        <w:jc w:val="left"/>
        <w:rPr>
          <w:highlight w:val="none"/>
        </w:rPr>
      </w:pPr>
      <w:r>
        <w:rPr>
          <w:highlight w:val="none"/>
        </w:rPr>
        <w:t>检查的范围包括原材料和元器件的进厂，部件的加工、组装、试验、出厂试验。将按相应的标准在制造厂进行材料试验，并检查防腐层是否满足规范要求。</w:t>
      </w:r>
    </w:p>
    <w:p w14:paraId="138CAA7C">
      <w:pPr>
        <w:spacing w:line="360" w:lineRule="auto"/>
        <w:ind w:firstLine="480" w:firstLineChars="200"/>
        <w:jc w:val="left"/>
        <w:rPr>
          <w:highlight w:val="none"/>
        </w:rPr>
      </w:pPr>
      <w:r>
        <w:rPr>
          <w:highlight w:val="none"/>
        </w:rPr>
        <w:t>投标人应依据相关标准进行生产测试和检测，并向招标人提交质量计划。</w:t>
      </w:r>
    </w:p>
    <w:p w14:paraId="1675183D">
      <w:pPr>
        <w:pStyle w:val="5"/>
        <w:spacing w:before="0" w:after="0" w:line="360" w:lineRule="auto"/>
        <w:jc w:val="left"/>
        <w:rPr>
          <w:rFonts w:ascii="Times New Roman"/>
          <w:bCs/>
          <w:sz w:val="24"/>
          <w:szCs w:val="24"/>
          <w:highlight w:val="none"/>
        </w:rPr>
      </w:pPr>
      <w:bookmarkStart w:id="141" w:name="_Toc513014517"/>
      <w:bookmarkStart w:id="142" w:name="_Toc515785179"/>
      <w:bookmarkStart w:id="143" w:name="_Toc501817573"/>
      <w:r>
        <w:rPr>
          <w:rFonts w:ascii="Times New Roman"/>
          <w:bCs/>
          <w:sz w:val="24"/>
          <w:szCs w:val="24"/>
          <w:highlight w:val="none"/>
        </w:rPr>
        <w:t>3 设备监造</w:t>
      </w:r>
      <w:bookmarkEnd w:id="141"/>
      <w:bookmarkEnd w:id="142"/>
      <w:bookmarkEnd w:id="143"/>
      <w:r>
        <w:rPr>
          <w:rFonts w:ascii="Times New Roman"/>
          <w:bCs/>
          <w:sz w:val="24"/>
          <w:szCs w:val="24"/>
          <w:highlight w:val="none"/>
        </w:rPr>
        <w:t xml:space="preserve"> </w:t>
      </w:r>
    </w:p>
    <w:p w14:paraId="252F90B0">
      <w:pPr>
        <w:autoSpaceDE w:val="0"/>
        <w:autoSpaceDN w:val="0"/>
        <w:spacing w:line="360" w:lineRule="auto"/>
        <w:jc w:val="left"/>
        <w:textAlignment w:val="bottom"/>
        <w:outlineLvl w:val="2"/>
        <w:rPr>
          <w:b/>
          <w:highlight w:val="none"/>
        </w:rPr>
      </w:pPr>
      <w:r>
        <w:rPr>
          <w:b/>
          <w:highlight w:val="none"/>
        </w:rPr>
        <w:t>3.1 监造依据</w:t>
      </w:r>
    </w:p>
    <w:p w14:paraId="2CCE7014">
      <w:pPr>
        <w:spacing w:line="360" w:lineRule="auto"/>
        <w:ind w:firstLine="480" w:firstLineChars="200"/>
        <w:jc w:val="left"/>
        <w:rPr>
          <w:highlight w:val="none"/>
        </w:rPr>
      </w:pPr>
      <w:r>
        <w:rPr>
          <w:highlight w:val="none"/>
        </w:rPr>
        <w:t>根据本合同和电力部机械工业部文件电办(1995</w:t>
      </w:r>
      <w:r>
        <w:rPr>
          <w:rFonts w:hint="eastAsia"/>
          <w:highlight w:val="none"/>
        </w:rPr>
        <w:t>）</w:t>
      </w:r>
      <w:r>
        <w:rPr>
          <w:highlight w:val="none"/>
        </w:rPr>
        <w:t>37号《大型电力设备质量监造暂行规定》和《驻大型电力设备制造厂总代表组工作条例》，以及国家有关部门规定。</w:t>
      </w:r>
    </w:p>
    <w:p w14:paraId="06AE7554">
      <w:pPr>
        <w:autoSpaceDE w:val="0"/>
        <w:autoSpaceDN w:val="0"/>
        <w:spacing w:line="360" w:lineRule="auto"/>
        <w:jc w:val="left"/>
        <w:textAlignment w:val="bottom"/>
        <w:outlineLvl w:val="2"/>
        <w:rPr>
          <w:b/>
          <w:highlight w:val="none"/>
        </w:rPr>
      </w:pPr>
      <w:r>
        <w:rPr>
          <w:b/>
          <w:highlight w:val="none"/>
        </w:rPr>
        <w:t>3.2 监造方式</w:t>
      </w:r>
    </w:p>
    <w:p w14:paraId="6DD7C49F">
      <w:pPr>
        <w:spacing w:line="360" w:lineRule="auto"/>
        <w:ind w:firstLine="480" w:firstLineChars="200"/>
        <w:jc w:val="left"/>
        <w:rPr>
          <w:highlight w:val="none"/>
        </w:rPr>
      </w:pPr>
      <w:r>
        <w:rPr>
          <w:highlight w:val="none"/>
        </w:rPr>
        <w:t>文件见证、现场见证和停工待检，即R点、W点、H点。每次监造内容完成后，投标人和监造代表均须在见证表格上履行签字手续。投标人复印3份，交监造代表1份。</w:t>
      </w:r>
    </w:p>
    <w:p w14:paraId="099EEEF1">
      <w:pPr>
        <w:spacing w:line="360" w:lineRule="auto"/>
        <w:ind w:firstLine="480" w:firstLineChars="200"/>
        <w:jc w:val="left"/>
        <w:rPr>
          <w:highlight w:val="none"/>
        </w:rPr>
      </w:pPr>
      <w:r>
        <w:rPr>
          <w:highlight w:val="none"/>
        </w:rPr>
        <w:t>R点：投标人只需提供检查或试验记录或报告的项目，即文件见证。</w:t>
      </w:r>
    </w:p>
    <w:p w14:paraId="31414BAC">
      <w:pPr>
        <w:spacing w:line="360" w:lineRule="auto"/>
        <w:ind w:firstLine="480" w:firstLineChars="200"/>
        <w:jc w:val="left"/>
        <w:rPr>
          <w:highlight w:val="none"/>
        </w:rPr>
      </w:pPr>
      <w:r>
        <w:rPr>
          <w:highlight w:val="none"/>
        </w:rPr>
        <w:t>W点：招标人监造代表参加的检验或试验的项目，即现场见证。</w:t>
      </w:r>
    </w:p>
    <w:p w14:paraId="3100E133">
      <w:pPr>
        <w:spacing w:line="360" w:lineRule="auto"/>
        <w:ind w:firstLine="480" w:firstLineChars="200"/>
        <w:jc w:val="left"/>
        <w:rPr>
          <w:highlight w:val="none"/>
        </w:rPr>
      </w:pPr>
      <w:r>
        <w:rPr>
          <w:highlight w:val="none"/>
        </w:rPr>
        <w:t>H点：投标人在进行至该点时必须停工等待招标人监造代表参加的检验或试验的项目，即停工待检。</w:t>
      </w:r>
    </w:p>
    <w:p w14:paraId="09CC2198">
      <w:pPr>
        <w:spacing w:line="360" w:lineRule="auto"/>
        <w:ind w:firstLine="480" w:firstLineChars="200"/>
        <w:jc w:val="left"/>
        <w:rPr>
          <w:highlight w:val="none"/>
        </w:rPr>
      </w:pPr>
      <w:r>
        <w:rPr>
          <w:highlight w:val="none"/>
        </w:rPr>
        <w:t>招标人接到见证通知后，应及时派代表到投标人检验或试验的现场参加现场见证或停工待检。如果招标人代表不能按时参加，W点可自动转为R点，但H点如果没有招标人书面通知同意转为R点，投标人不得自行转入下道工序，应与招标人商定更改见证时间，如果更改后，招标人仍不能按时参加，则H点自动转为R点。</w:t>
      </w:r>
    </w:p>
    <w:p w14:paraId="7731834E">
      <w:pPr>
        <w:autoSpaceDE w:val="0"/>
        <w:autoSpaceDN w:val="0"/>
        <w:spacing w:line="360" w:lineRule="auto"/>
        <w:jc w:val="left"/>
        <w:textAlignment w:val="bottom"/>
        <w:outlineLvl w:val="2"/>
        <w:rPr>
          <w:b/>
          <w:highlight w:val="none"/>
        </w:rPr>
      </w:pPr>
      <w:r>
        <w:rPr>
          <w:b/>
          <w:highlight w:val="none"/>
        </w:rPr>
        <w:t>3.3 监造内容</w:t>
      </w:r>
    </w:p>
    <w:tbl>
      <w:tblPr>
        <w:tblStyle w:val="21"/>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45"/>
        <w:gridCol w:w="2151"/>
        <w:gridCol w:w="2672"/>
        <w:gridCol w:w="758"/>
        <w:gridCol w:w="821"/>
        <w:gridCol w:w="793"/>
        <w:gridCol w:w="941"/>
      </w:tblGrid>
      <w:tr w14:paraId="149387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exact"/>
          <w:tblHeader/>
        </w:trPr>
        <w:tc>
          <w:tcPr>
            <w:tcW w:w="470" w:type="pct"/>
            <w:vMerge w:val="restart"/>
            <w:tcBorders>
              <w:tl2br w:val="nil"/>
              <w:tr2bl w:val="nil"/>
            </w:tcBorders>
            <w:shd w:val="clear" w:color="auto" w:fill="auto"/>
            <w:vAlign w:val="center"/>
          </w:tcPr>
          <w:p w14:paraId="4187454A">
            <w:pPr>
              <w:pStyle w:val="36"/>
              <w:jc w:val="left"/>
              <w:rPr>
                <w:b/>
                <w:sz w:val="21"/>
                <w:szCs w:val="21"/>
                <w:highlight w:val="none"/>
              </w:rPr>
            </w:pPr>
            <w:r>
              <w:rPr>
                <w:b/>
                <w:sz w:val="21"/>
                <w:szCs w:val="21"/>
                <w:highlight w:val="none"/>
              </w:rPr>
              <w:t>序号</w:t>
            </w:r>
          </w:p>
        </w:tc>
        <w:tc>
          <w:tcPr>
            <w:tcW w:w="1197" w:type="pct"/>
            <w:vMerge w:val="restart"/>
            <w:tcBorders>
              <w:tl2br w:val="nil"/>
              <w:tr2bl w:val="nil"/>
            </w:tcBorders>
            <w:shd w:val="clear" w:color="auto" w:fill="auto"/>
            <w:vAlign w:val="center"/>
          </w:tcPr>
          <w:p w14:paraId="7D7A0EC2">
            <w:pPr>
              <w:pStyle w:val="36"/>
              <w:ind w:left="228" w:leftChars="95"/>
              <w:jc w:val="left"/>
              <w:rPr>
                <w:b/>
                <w:sz w:val="21"/>
                <w:szCs w:val="21"/>
                <w:highlight w:val="none"/>
              </w:rPr>
            </w:pPr>
            <w:r>
              <w:rPr>
                <w:b/>
                <w:sz w:val="21"/>
                <w:szCs w:val="21"/>
                <w:highlight w:val="none"/>
              </w:rPr>
              <w:t>监造部位</w:t>
            </w:r>
          </w:p>
        </w:tc>
        <w:tc>
          <w:tcPr>
            <w:tcW w:w="1487" w:type="pct"/>
            <w:vMerge w:val="restart"/>
            <w:tcBorders>
              <w:tl2br w:val="nil"/>
              <w:tr2bl w:val="nil"/>
            </w:tcBorders>
            <w:shd w:val="clear" w:color="auto" w:fill="auto"/>
            <w:vAlign w:val="center"/>
          </w:tcPr>
          <w:p w14:paraId="4E951160">
            <w:pPr>
              <w:pStyle w:val="36"/>
              <w:ind w:left="480"/>
              <w:jc w:val="left"/>
              <w:rPr>
                <w:b/>
                <w:sz w:val="21"/>
                <w:szCs w:val="21"/>
                <w:highlight w:val="none"/>
              </w:rPr>
            </w:pPr>
            <w:r>
              <w:rPr>
                <w:b/>
                <w:sz w:val="21"/>
                <w:szCs w:val="21"/>
                <w:highlight w:val="none"/>
              </w:rPr>
              <w:t>监造内容</w:t>
            </w:r>
          </w:p>
        </w:tc>
        <w:tc>
          <w:tcPr>
            <w:tcW w:w="1320" w:type="pct"/>
            <w:gridSpan w:val="3"/>
            <w:tcBorders>
              <w:tl2br w:val="nil"/>
              <w:tr2bl w:val="nil"/>
            </w:tcBorders>
            <w:shd w:val="clear" w:color="auto" w:fill="auto"/>
            <w:vAlign w:val="center"/>
          </w:tcPr>
          <w:p w14:paraId="47C8751A">
            <w:pPr>
              <w:pStyle w:val="36"/>
              <w:ind w:left="480"/>
              <w:jc w:val="left"/>
              <w:rPr>
                <w:b/>
                <w:sz w:val="21"/>
                <w:szCs w:val="21"/>
                <w:highlight w:val="none"/>
              </w:rPr>
            </w:pPr>
            <w:r>
              <w:rPr>
                <w:b/>
                <w:sz w:val="21"/>
                <w:szCs w:val="21"/>
                <w:highlight w:val="none"/>
              </w:rPr>
              <w:t>监造方式</w:t>
            </w:r>
          </w:p>
        </w:tc>
        <w:tc>
          <w:tcPr>
            <w:tcW w:w="523" w:type="pct"/>
            <w:vMerge w:val="restart"/>
            <w:tcBorders>
              <w:tl2br w:val="nil"/>
              <w:tr2bl w:val="nil"/>
            </w:tcBorders>
            <w:shd w:val="clear" w:color="auto" w:fill="auto"/>
            <w:vAlign w:val="center"/>
          </w:tcPr>
          <w:p w14:paraId="70414F7E">
            <w:pPr>
              <w:pStyle w:val="36"/>
              <w:jc w:val="left"/>
              <w:rPr>
                <w:b/>
                <w:sz w:val="21"/>
                <w:szCs w:val="21"/>
                <w:highlight w:val="none"/>
              </w:rPr>
            </w:pPr>
            <w:r>
              <w:rPr>
                <w:b/>
                <w:sz w:val="21"/>
                <w:szCs w:val="21"/>
                <w:highlight w:val="none"/>
              </w:rPr>
              <w:t>备注</w:t>
            </w:r>
          </w:p>
        </w:tc>
      </w:tr>
      <w:tr w14:paraId="3163E1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exact"/>
          <w:tblHeader/>
        </w:trPr>
        <w:tc>
          <w:tcPr>
            <w:tcW w:w="470" w:type="pct"/>
            <w:vMerge w:val="continue"/>
            <w:tcBorders>
              <w:tl2br w:val="nil"/>
              <w:tr2bl w:val="nil"/>
            </w:tcBorders>
            <w:shd w:val="clear" w:color="auto" w:fill="auto"/>
            <w:vAlign w:val="center"/>
          </w:tcPr>
          <w:p w14:paraId="7AD2E311">
            <w:pPr>
              <w:pStyle w:val="36"/>
              <w:ind w:left="480"/>
              <w:jc w:val="left"/>
              <w:rPr>
                <w:sz w:val="21"/>
                <w:szCs w:val="21"/>
                <w:highlight w:val="none"/>
              </w:rPr>
            </w:pPr>
          </w:p>
        </w:tc>
        <w:tc>
          <w:tcPr>
            <w:tcW w:w="1197" w:type="pct"/>
            <w:vMerge w:val="continue"/>
            <w:tcBorders>
              <w:tl2br w:val="nil"/>
              <w:tr2bl w:val="nil"/>
            </w:tcBorders>
            <w:shd w:val="clear" w:color="auto" w:fill="auto"/>
            <w:vAlign w:val="center"/>
          </w:tcPr>
          <w:p w14:paraId="075DFE10">
            <w:pPr>
              <w:pStyle w:val="36"/>
              <w:ind w:left="480"/>
              <w:jc w:val="left"/>
              <w:rPr>
                <w:sz w:val="21"/>
                <w:szCs w:val="21"/>
                <w:highlight w:val="none"/>
              </w:rPr>
            </w:pPr>
          </w:p>
        </w:tc>
        <w:tc>
          <w:tcPr>
            <w:tcW w:w="1487" w:type="pct"/>
            <w:vMerge w:val="continue"/>
            <w:tcBorders>
              <w:tl2br w:val="nil"/>
              <w:tr2bl w:val="nil"/>
            </w:tcBorders>
            <w:shd w:val="clear" w:color="auto" w:fill="auto"/>
            <w:vAlign w:val="center"/>
          </w:tcPr>
          <w:p w14:paraId="3BE85B18">
            <w:pPr>
              <w:pStyle w:val="36"/>
              <w:ind w:left="480"/>
              <w:jc w:val="left"/>
              <w:rPr>
                <w:sz w:val="21"/>
                <w:szCs w:val="21"/>
                <w:highlight w:val="none"/>
              </w:rPr>
            </w:pPr>
          </w:p>
        </w:tc>
        <w:tc>
          <w:tcPr>
            <w:tcW w:w="422" w:type="pct"/>
            <w:tcBorders>
              <w:tl2br w:val="nil"/>
              <w:tr2bl w:val="nil"/>
            </w:tcBorders>
            <w:shd w:val="clear" w:color="auto" w:fill="auto"/>
            <w:vAlign w:val="center"/>
          </w:tcPr>
          <w:p w14:paraId="5BFB72CC">
            <w:pPr>
              <w:pStyle w:val="36"/>
              <w:jc w:val="left"/>
              <w:rPr>
                <w:sz w:val="21"/>
                <w:szCs w:val="21"/>
                <w:highlight w:val="none"/>
              </w:rPr>
            </w:pPr>
            <w:r>
              <w:rPr>
                <w:sz w:val="21"/>
                <w:szCs w:val="21"/>
                <w:highlight w:val="none"/>
              </w:rPr>
              <w:t>H</w:t>
            </w:r>
          </w:p>
        </w:tc>
        <w:tc>
          <w:tcPr>
            <w:tcW w:w="457" w:type="pct"/>
            <w:tcBorders>
              <w:tl2br w:val="nil"/>
              <w:tr2bl w:val="nil"/>
            </w:tcBorders>
            <w:shd w:val="clear" w:color="auto" w:fill="auto"/>
            <w:vAlign w:val="center"/>
          </w:tcPr>
          <w:p w14:paraId="586FD619">
            <w:pPr>
              <w:pStyle w:val="36"/>
              <w:jc w:val="left"/>
              <w:rPr>
                <w:sz w:val="21"/>
                <w:szCs w:val="21"/>
                <w:highlight w:val="none"/>
              </w:rPr>
            </w:pPr>
            <w:r>
              <w:rPr>
                <w:sz w:val="21"/>
                <w:szCs w:val="21"/>
                <w:highlight w:val="none"/>
              </w:rPr>
              <w:t>W</w:t>
            </w:r>
          </w:p>
        </w:tc>
        <w:tc>
          <w:tcPr>
            <w:tcW w:w="441" w:type="pct"/>
            <w:tcBorders>
              <w:tl2br w:val="nil"/>
              <w:tr2bl w:val="nil"/>
            </w:tcBorders>
            <w:shd w:val="clear" w:color="auto" w:fill="auto"/>
            <w:vAlign w:val="center"/>
          </w:tcPr>
          <w:p w14:paraId="55755CB1">
            <w:pPr>
              <w:pStyle w:val="36"/>
              <w:jc w:val="left"/>
              <w:rPr>
                <w:sz w:val="21"/>
                <w:szCs w:val="21"/>
                <w:highlight w:val="none"/>
              </w:rPr>
            </w:pPr>
            <w:r>
              <w:rPr>
                <w:sz w:val="21"/>
                <w:szCs w:val="21"/>
                <w:highlight w:val="none"/>
              </w:rPr>
              <w:t>R</w:t>
            </w:r>
          </w:p>
        </w:tc>
        <w:tc>
          <w:tcPr>
            <w:tcW w:w="523" w:type="pct"/>
            <w:vMerge w:val="continue"/>
            <w:tcBorders>
              <w:tl2br w:val="nil"/>
              <w:tr2bl w:val="nil"/>
            </w:tcBorders>
            <w:shd w:val="clear" w:color="auto" w:fill="auto"/>
            <w:vAlign w:val="center"/>
          </w:tcPr>
          <w:p w14:paraId="1271C374">
            <w:pPr>
              <w:pStyle w:val="36"/>
              <w:ind w:left="480"/>
              <w:jc w:val="left"/>
              <w:rPr>
                <w:sz w:val="21"/>
                <w:szCs w:val="21"/>
                <w:highlight w:val="none"/>
              </w:rPr>
            </w:pPr>
          </w:p>
        </w:tc>
      </w:tr>
      <w:tr w14:paraId="6C705B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470" w:type="pct"/>
            <w:tcBorders>
              <w:tl2br w:val="nil"/>
              <w:tr2bl w:val="nil"/>
            </w:tcBorders>
            <w:shd w:val="clear" w:color="auto" w:fill="auto"/>
            <w:vAlign w:val="center"/>
          </w:tcPr>
          <w:p w14:paraId="5FD86DD2">
            <w:pPr>
              <w:pStyle w:val="36"/>
              <w:jc w:val="left"/>
              <w:rPr>
                <w:sz w:val="21"/>
                <w:szCs w:val="21"/>
                <w:highlight w:val="none"/>
              </w:rPr>
            </w:pPr>
            <w:r>
              <w:rPr>
                <w:rFonts w:hint="eastAsia"/>
                <w:sz w:val="21"/>
                <w:szCs w:val="21"/>
                <w:highlight w:val="none"/>
              </w:rPr>
              <w:t>1</w:t>
            </w:r>
          </w:p>
        </w:tc>
        <w:tc>
          <w:tcPr>
            <w:tcW w:w="1197" w:type="pct"/>
            <w:tcBorders>
              <w:tl2br w:val="nil"/>
              <w:tr2bl w:val="nil"/>
            </w:tcBorders>
            <w:shd w:val="clear" w:color="auto" w:fill="auto"/>
            <w:vAlign w:val="center"/>
          </w:tcPr>
          <w:p w14:paraId="0CFA00C9">
            <w:pPr>
              <w:pStyle w:val="36"/>
              <w:jc w:val="left"/>
              <w:rPr>
                <w:sz w:val="21"/>
                <w:szCs w:val="21"/>
                <w:highlight w:val="none"/>
              </w:rPr>
            </w:pPr>
            <w:r>
              <w:rPr>
                <w:sz w:val="21"/>
                <w:szCs w:val="21"/>
                <w:highlight w:val="none"/>
              </w:rPr>
              <w:t>超滤滑架</w:t>
            </w:r>
          </w:p>
        </w:tc>
        <w:tc>
          <w:tcPr>
            <w:tcW w:w="1487" w:type="pct"/>
            <w:tcBorders>
              <w:tl2br w:val="nil"/>
              <w:tr2bl w:val="nil"/>
            </w:tcBorders>
            <w:shd w:val="clear" w:color="auto" w:fill="auto"/>
            <w:vAlign w:val="center"/>
          </w:tcPr>
          <w:p w14:paraId="6DFCDD48">
            <w:pPr>
              <w:pStyle w:val="36"/>
              <w:jc w:val="left"/>
              <w:rPr>
                <w:bCs/>
                <w:sz w:val="21"/>
                <w:szCs w:val="21"/>
                <w:highlight w:val="none"/>
              </w:rPr>
            </w:pPr>
            <w:r>
              <w:rPr>
                <w:spacing w:val="-1"/>
                <w:sz w:val="21"/>
                <w:szCs w:val="21"/>
                <w:highlight w:val="none"/>
              </w:rPr>
              <w:t>材质、外观、</w:t>
            </w:r>
            <w:r>
              <w:rPr>
                <w:sz w:val="21"/>
                <w:szCs w:val="21"/>
                <w:highlight w:val="none"/>
              </w:rPr>
              <w:t>尺寸</w:t>
            </w:r>
          </w:p>
        </w:tc>
        <w:tc>
          <w:tcPr>
            <w:tcW w:w="422" w:type="pct"/>
            <w:tcBorders>
              <w:tl2br w:val="nil"/>
              <w:tr2bl w:val="nil"/>
            </w:tcBorders>
            <w:shd w:val="clear" w:color="auto" w:fill="auto"/>
            <w:vAlign w:val="center"/>
          </w:tcPr>
          <w:p w14:paraId="18C21130">
            <w:pPr>
              <w:pStyle w:val="36"/>
              <w:rPr>
                <w:bCs/>
                <w:sz w:val="21"/>
                <w:szCs w:val="21"/>
                <w:highlight w:val="none"/>
              </w:rPr>
            </w:pPr>
          </w:p>
        </w:tc>
        <w:tc>
          <w:tcPr>
            <w:tcW w:w="457" w:type="pct"/>
            <w:tcBorders>
              <w:tl2br w:val="nil"/>
              <w:tr2bl w:val="nil"/>
            </w:tcBorders>
            <w:shd w:val="clear" w:color="auto" w:fill="auto"/>
            <w:vAlign w:val="center"/>
          </w:tcPr>
          <w:p w14:paraId="681A25FE">
            <w:pPr>
              <w:jc w:val="center"/>
              <w:rPr>
                <w:bCs/>
                <w:sz w:val="21"/>
                <w:szCs w:val="21"/>
                <w:highlight w:val="none"/>
              </w:rPr>
            </w:pPr>
            <w:r>
              <w:rPr>
                <w:rFonts w:eastAsia="Times New Roman"/>
                <w:sz w:val="21"/>
                <w:szCs w:val="21"/>
                <w:highlight w:val="none"/>
              </w:rPr>
              <w:t>√</w:t>
            </w:r>
          </w:p>
        </w:tc>
        <w:tc>
          <w:tcPr>
            <w:tcW w:w="441" w:type="pct"/>
            <w:tcBorders>
              <w:tl2br w:val="nil"/>
              <w:tr2bl w:val="nil"/>
            </w:tcBorders>
            <w:shd w:val="clear" w:color="auto" w:fill="auto"/>
            <w:vAlign w:val="center"/>
          </w:tcPr>
          <w:p w14:paraId="4E306D05">
            <w:pPr>
              <w:jc w:val="center"/>
              <w:rPr>
                <w:bCs/>
                <w:sz w:val="21"/>
                <w:szCs w:val="21"/>
                <w:highlight w:val="none"/>
              </w:rPr>
            </w:pPr>
            <w:r>
              <w:rPr>
                <w:rFonts w:eastAsia="Times New Roman"/>
                <w:sz w:val="21"/>
                <w:szCs w:val="21"/>
                <w:highlight w:val="none"/>
              </w:rPr>
              <w:t>√</w:t>
            </w:r>
          </w:p>
        </w:tc>
        <w:tc>
          <w:tcPr>
            <w:tcW w:w="523" w:type="pct"/>
            <w:tcBorders>
              <w:tl2br w:val="nil"/>
              <w:tr2bl w:val="nil"/>
            </w:tcBorders>
            <w:shd w:val="clear" w:color="auto" w:fill="auto"/>
            <w:vAlign w:val="center"/>
          </w:tcPr>
          <w:p w14:paraId="32D33A4D">
            <w:pPr>
              <w:pStyle w:val="36"/>
              <w:ind w:left="480"/>
              <w:jc w:val="left"/>
              <w:rPr>
                <w:sz w:val="21"/>
                <w:szCs w:val="21"/>
                <w:highlight w:val="none"/>
              </w:rPr>
            </w:pPr>
          </w:p>
        </w:tc>
      </w:tr>
      <w:tr w14:paraId="3D34E9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470" w:type="pct"/>
            <w:tcBorders>
              <w:tl2br w:val="nil"/>
              <w:tr2bl w:val="nil"/>
            </w:tcBorders>
            <w:shd w:val="clear" w:color="auto" w:fill="auto"/>
            <w:vAlign w:val="center"/>
          </w:tcPr>
          <w:p w14:paraId="2D738BA1">
            <w:pPr>
              <w:pStyle w:val="36"/>
              <w:jc w:val="left"/>
              <w:rPr>
                <w:sz w:val="21"/>
                <w:szCs w:val="21"/>
                <w:highlight w:val="none"/>
              </w:rPr>
            </w:pPr>
            <w:r>
              <w:rPr>
                <w:rFonts w:hint="eastAsia"/>
                <w:sz w:val="21"/>
                <w:szCs w:val="21"/>
                <w:highlight w:val="none"/>
              </w:rPr>
              <w:t>2</w:t>
            </w:r>
          </w:p>
        </w:tc>
        <w:tc>
          <w:tcPr>
            <w:tcW w:w="1197" w:type="pct"/>
            <w:tcBorders>
              <w:tl2br w:val="nil"/>
              <w:tr2bl w:val="nil"/>
            </w:tcBorders>
            <w:shd w:val="clear" w:color="auto" w:fill="auto"/>
            <w:vAlign w:val="center"/>
          </w:tcPr>
          <w:p w14:paraId="44C06DA3">
            <w:pPr>
              <w:pStyle w:val="36"/>
              <w:jc w:val="left"/>
              <w:rPr>
                <w:sz w:val="21"/>
                <w:szCs w:val="21"/>
                <w:highlight w:val="none"/>
              </w:rPr>
            </w:pPr>
            <w:r>
              <w:rPr>
                <w:sz w:val="21"/>
                <w:szCs w:val="21"/>
                <w:highlight w:val="none"/>
              </w:rPr>
              <w:t>反渗透滑架</w:t>
            </w:r>
          </w:p>
        </w:tc>
        <w:tc>
          <w:tcPr>
            <w:tcW w:w="1487" w:type="pct"/>
            <w:tcBorders>
              <w:tl2br w:val="nil"/>
              <w:tr2bl w:val="nil"/>
            </w:tcBorders>
            <w:shd w:val="clear" w:color="auto" w:fill="auto"/>
            <w:vAlign w:val="center"/>
          </w:tcPr>
          <w:p w14:paraId="253AF15D">
            <w:pPr>
              <w:pStyle w:val="36"/>
              <w:jc w:val="left"/>
              <w:rPr>
                <w:bCs/>
                <w:sz w:val="21"/>
                <w:szCs w:val="21"/>
                <w:highlight w:val="none"/>
              </w:rPr>
            </w:pPr>
            <w:r>
              <w:rPr>
                <w:spacing w:val="-1"/>
                <w:sz w:val="21"/>
                <w:szCs w:val="21"/>
                <w:highlight w:val="none"/>
              </w:rPr>
              <w:t>材质、外观、</w:t>
            </w:r>
            <w:r>
              <w:rPr>
                <w:sz w:val="21"/>
                <w:szCs w:val="21"/>
                <w:highlight w:val="none"/>
              </w:rPr>
              <w:t>尺寸</w:t>
            </w:r>
          </w:p>
        </w:tc>
        <w:tc>
          <w:tcPr>
            <w:tcW w:w="422" w:type="pct"/>
            <w:tcBorders>
              <w:tl2br w:val="nil"/>
              <w:tr2bl w:val="nil"/>
            </w:tcBorders>
            <w:shd w:val="clear" w:color="auto" w:fill="auto"/>
            <w:vAlign w:val="center"/>
          </w:tcPr>
          <w:p w14:paraId="614A4CE2">
            <w:pPr>
              <w:pStyle w:val="36"/>
              <w:rPr>
                <w:bCs/>
                <w:sz w:val="21"/>
                <w:szCs w:val="21"/>
                <w:highlight w:val="none"/>
              </w:rPr>
            </w:pPr>
          </w:p>
        </w:tc>
        <w:tc>
          <w:tcPr>
            <w:tcW w:w="457" w:type="pct"/>
            <w:tcBorders>
              <w:tl2br w:val="nil"/>
              <w:tr2bl w:val="nil"/>
            </w:tcBorders>
            <w:shd w:val="clear" w:color="auto" w:fill="auto"/>
            <w:vAlign w:val="center"/>
          </w:tcPr>
          <w:p w14:paraId="7A745A9B">
            <w:pPr>
              <w:jc w:val="center"/>
              <w:rPr>
                <w:bCs/>
                <w:sz w:val="21"/>
                <w:szCs w:val="21"/>
                <w:highlight w:val="none"/>
              </w:rPr>
            </w:pPr>
            <w:r>
              <w:rPr>
                <w:rFonts w:eastAsia="Times New Roman"/>
                <w:sz w:val="21"/>
                <w:szCs w:val="21"/>
                <w:highlight w:val="none"/>
              </w:rPr>
              <w:t>√</w:t>
            </w:r>
          </w:p>
        </w:tc>
        <w:tc>
          <w:tcPr>
            <w:tcW w:w="441" w:type="pct"/>
            <w:tcBorders>
              <w:tl2br w:val="nil"/>
              <w:tr2bl w:val="nil"/>
            </w:tcBorders>
            <w:shd w:val="clear" w:color="auto" w:fill="auto"/>
            <w:vAlign w:val="center"/>
          </w:tcPr>
          <w:p w14:paraId="5CC4EAB6">
            <w:pPr>
              <w:jc w:val="center"/>
              <w:rPr>
                <w:bCs/>
                <w:sz w:val="21"/>
                <w:szCs w:val="21"/>
                <w:highlight w:val="none"/>
              </w:rPr>
            </w:pPr>
            <w:r>
              <w:rPr>
                <w:rFonts w:eastAsia="Times New Roman"/>
                <w:sz w:val="21"/>
                <w:szCs w:val="21"/>
                <w:highlight w:val="none"/>
              </w:rPr>
              <w:t>√</w:t>
            </w:r>
          </w:p>
        </w:tc>
        <w:tc>
          <w:tcPr>
            <w:tcW w:w="523" w:type="pct"/>
            <w:tcBorders>
              <w:tl2br w:val="nil"/>
              <w:tr2bl w:val="nil"/>
            </w:tcBorders>
            <w:shd w:val="clear" w:color="auto" w:fill="auto"/>
            <w:vAlign w:val="center"/>
          </w:tcPr>
          <w:p w14:paraId="096D3272">
            <w:pPr>
              <w:pStyle w:val="36"/>
              <w:ind w:left="480"/>
              <w:jc w:val="left"/>
              <w:rPr>
                <w:sz w:val="21"/>
                <w:szCs w:val="21"/>
                <w:highlight w:val="none"/>
              </w:rPr>
            </w:pPr>
          </w:p>
        </w:tc>
      </w:tr>
      <w:tr w14:paraId="5FBC19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470" w:type="pct"/>
            <w:tcBorders>
              <w:tl2br w:val="nil"/>
              <w:tr2bl w:val="nil"/>
            </w:tcBorders>
            <w:shd w:val="clear" w:color="auto" w:fill="auto"/>
            <w:vAlign w:val="center"/>
          </w:tcPr>
          <w:p w14:paraId="31E4172F">
            <w:pPr>
              <w:pStyle w:val="36"/>
              <w:jc w:val="left"/>
              <w:rPr>
                <w:sz w:val="21"/>
                <w:szCs w:val="21"/>
                <w:highlight w:val="none"/>
              </w:rPr>
            </w:pPr>
            <w:r>
              <w:rPr>
                <w:rFonts w:hint="eastAsia"/>
                <w:sz w:val="21"/>
                <w:szCs w:val="21"/>
                <w:highlight w:val="none"/>
              </w:rPr>
              <w:t>3</w:t>
            </w:r>
          </w:p>
        </w:tc>
        <w:tc>
          <w:tcPr>
            <w:tcW w:w="1197" w:type="pct"/>
            <w:tcBorders>
              <w:tl2br w:val="nil"/>
              <w:tr2bl w:val="nil"/>
            </w:tcBorders>
            <w:shd w:val="clear" w:color="auto" w:fill="auto"/>
            <w:vAlign w:val="center"/>
          </w:tcPr>
          <w:p w14:paraId="165A39FF">
            <w:pPr>
              <w:jc w:val="left"/>
              <w:rPr>
                <w:sz w:val="21"/>
                <w:szCs w:val="21"/>
                <w:highlight w:val="none"/>
              </w:rPr>
            </w:pPr>
            <w:r>
              <w:rPr>
                <w:spacing w:val="-2"/>
                <w:sz w:val="21"/>
                <w:szCs w:val="21"/>
                <w:highlight w:val="none"/>
              </w:rPr>
              <w:t>保</w:t>
            </w:r>
            <w:r>
              <w:rPr>
                <w:spacing w:val="-1"/>
                <w:sz w:val="21"/>
                <w:szCs w:val="21"/>
                <w:highlight w:val="none"/>
              </w:rPr>
              <w:t>安过滤器</w:t>
            </w:r>
          </w:p>
        </w:tc>
        <w:tc>
          <w:tcPr>
            <w:tcW w:w="1487" w:type="pct"/>
            <w:tcBorders>
              <w:tl2br w:val="nil"/>
              <w:tr2bl w:val="nil"/>
            </w:tcBorders>
            <w:shd w:val="clear" w:color="auto" w:fill="auto"/>
            <w:vAlign w:val="center"/>
          </w:tcPr>
          <w:p w14:paraId="1E6FAFE6">
            <w:pPr>
              <w:jc w:val="left"/>
              <w:rPr>
                <w:sz w:val="21"/>
                <w:szCs w:val="21"/>
                <w:highlight w:val="none"/>
              </w:rPr>
            </w:pPr>
            <w:r>
              <w:rPr>
                <w:spacing w:val="-1"/>
                <w:sz w:val="21"/>
                <w:szCs w:val="21"/>
                <w:highlight w:val="none"/>
              </w:rPr>
              <w:t>材质、压力</w:t>
            </w:r>
            <w:r>
              <w:rPr>
                <w:sz w:val="21"/>
                <w:szCs w:val="21"/>
                <w:highlight w:val="none"/>
              </w:rPr>
              <w:t>试验</w:t>
            </w:r>
          </w:p>
        </w:tc>
        <w:tc>
          <w:tcPr>
            <w:tcW w:w="422" w:type="pct"/>
            <w:tcBorders>
              <w:tl2br w:val="nil"/>
              <w:tr2bl w:val="nil"/>
            </w:tcBorders>
            <w:shd w:val="clear" w:color="auto" w:fill="auto"/>
            <w:vAlign w:val="center"/>
          </w:tcPr>
          <w:p w14:paraId="3DBBD03D">
            <w:pPr>
              <w:pStyle w:val="36"/>
              <w:rPr>
                <w:bCs/>
                <w:sz w:val="21"/>
                <w:szCs w:val="21"/>
                <w:highlight w:val="none"/>
              </w:rPr>
            </w:pPr>
          </w:p>
        </w:tc>
        <w:tc>
          <w:tcPr>
            <w:tcW w:w="457" w:type="pct"/>
            <w:tcBorders>
              <w:tl2br w:val="nil"/>
              <w:tr2bl w:val="nil"/>
            </w:tcBorders>
            <w:shd w:val="clear" w:color="auto" w:fill="auto"/>
            <w:vAlign w:val="center"/>
          </w:tcPr>
          <w:p w14:paraId="69308B26">
            <w:pPr>
              <w:jc w:val="center"/>
              <w:rPr>
                <w:bCs/>
                <w:sz w:val="21"/>
                <w:szCs w:val="21"/>
                <w:highlight w:val="none"/>
              </w:rPr>
            </w:pPr>
            <w:r>
              <w:rPr>
                <w:rFonts w:eastAsia="Times New Roman"/>
                <w:sz w:val="21"/>
                <w:szCs w:val="21"/>
                <w:highlight w:val="none"/>
              </w:rPr>
              <w:t>√</w:t>
            </w:r>
          </w:p>
        </w:tc>
        <w:tc>
          <w:tcPr>
            <w:tcW w:w="441" w:type="pct"/>
            <w:tcBorders>
              <w:tl2br w:val="nil"/>
              <w:tr2bl w:val="nil"/>
            </w:tcBorders>
            <w:shd w:val="clear" w:color="auto" w:fill="auto"/>
            <w:vAlign w:val="center"/>
          </w:tcPr>
          <w:p w14:paraId="06572C97">
            <w:pPr>
              <w:jc w:val="center"/>
              <w:rPr>
                <w:bCs/>
                <w:sz w:val="21"/>
                <w:szCs w:val="21"/>
                <w:highlight w:val="none"/>
              </w:rPr>
            </w:pPr>
            <w:r>
              <w:rPr>
                <w:rFonts w:eastAsia="Times New Roman"/>
                <w:sz w:val="21"/>
                <w:szCs w:val="21"/>
                <w:highlight w:val="none"/>
              </w:rPr>
              <w:t>√</w:t>
            </w:r>
          </w:p>
        </w:tc>
        <w:tc>
          <w:tcPr>
            <w:tcW w:w="523" w:type="pct"/>
            <w:tcBorders>
              <w:tl2br w:val="nil"/>
              <w:tr2bl w:val="nil"/>
            </w:tcBorders>
            <w:shd w:val="clear" w:color="auto" w:fill="auto"/>
            <w:vAlign w:val="center"/>
          </w:tcPr>
          <w:p w14:paraId="59565307">
            <w:pPr>
              <w:pStyle w:val="36"/>
              <w:ind w:left="480"/>
              <w:jc w:val="left"/>
              <w:rPr>
                <w:sz w:val="21"/>
                <w:szCs w:val="21"/>
                <w:highlight w:val="none"/>
              </w:rPr>
            </w:pPr>
          </w:p>
        </w:tc>
      </w:tr>
    </w:tbl>
    <w:p w14:paraId="4E3A44AD">
      <w:pPr>
        <w:spacing w:line="360" w:lineRule="auto"/>
        <w:jc w:val="left"/>
        <w:rPr>
          <w:highlight w:val="none"/>
        </w:rPr>
      </w:pPr>
      <w:r>
        <w:rPr>
          <w:highlight w:val="none"/>
        </w:rPr>
        <w:t>注：</w:t>
      </w:r>
    </w:p>
    <w:p w14:paraId="2C697C90">
      <w:pPr>
        <w:spacing w:line="360" w:lineRule="auto"/>
        <w:ind w:firstLine="480" w:firstLineChars="200"/>
        <w:jc w:val="left"/>
        <w:rPr>
          <w:highlight w:val="none"/>
        </w:rPr>
      </w:pPr>
      <w:r>
        <w:rPr>
          <w:highlight w:val="none"/>
        </w:rPr>
        <w:t>1</w:t>
      </w:r>
      <w:r>
        <w:rPr>
          <w:rFonts w:hint="eastAsia"/>
          <w:highlight w:val="none"/>
        </w:rPr>
        <w:t>）</w:t>
      </w:r>
      <w:r>
        <w:rPr>
          <w:highlight w:val="none"/>
        </w:rPr>
        <w:t>容器的严密性试验用空气检测。</w:t>
      </w:r>
    </w:p>
    <w:p w14:paraId="65DC6060">
      <w:pPr>
        <w:spacing w:line="360" w:lineRule="auto"/>
        <w:ind w:firstLine="480" w:firstLineChars="200"/>
        <w:jc w:val="left"/>
        <w:rPr>
          <w:highlight w:val="none"/>
        </w:rPr>
      </w:pPr>
      <w:r>
        <w:rPr>
          <w:highlight w:val="none"/>
        </w:rPr>
        <w:t>2</w:t>
      </w:r>
      <w:r>
        <w:rPr>
          <w:rFonts w:hint="eastAsia"/>
          <w:highlight w:val="none"/>
        </w:rPr>
        <w:t>）</w:t>
      </w:r>
      <w:r>
        <w:rPr>
          <w:highlight w:val="none"/>
        </w:rPr>
        <w:t>外观检测应检查表面缺陷和铭牌。</w:t>
      </w:r>
    </w:p>
    <w:p w14:paraId="526A2854">
      <w:pPr>
        <w:spacing w:line="360" w:lineRule="auto"/>
        <w:ind w:firstLine="480" w:firstLineChars="200"/>
        <w:jc w:val="left"/>
        <w:rPr>
          <w:highlight w:val="none"/>
        </w:rPr>
      </w:pPr>
      <w:r>
        <w:rPr>
          <w:highlight w:val="none"/>
        </w:rPr>
        <w:t>3</w:t>
      </w:r>
      <w:r>
        <w:rPr>
          <w:rFonts w:hint="eastAsia"/>
          <w:highlight w:val="none"/>
        </w:rPr>
        <w:t>）</w:t>
      </w:r>
      <w:r>
        <w:rPr>
          <w:highlight w:val="none"/>
        </w:rPr>
        <w:t>整个设备的长、宽、高和连接基础的地脚螺栓孔应按照业主确认的图纸进行检验。</w:t>
      </w:r>
    </w:p>
    <w:p w14:paraId="4D99F61B">
      <w:pPr>
        <w:spacing w:line="360" w:lineRule="auto"/>
        <w:ind w:firstLine="480" w:firstLineChars="200"/>
        <w:jc w:val="left"/>
        <w:rPr>
          <w:highlight w:val="none"/>
        </w:rPr>
      </w:pPr>
      <w:r>
        <w:rPr>
          <w:highlight w:val="none"/>
        </w:rPr>
        <w:t>4</w:t>
      </w:r>
      <w:r>
        <w:rPr>
          <w:rFonts w:hint="eastAsia"/>
          <w:highlight w:val="none"/>
        </w:rPr>
        <w:t>）</w:t>
      </w:r>
      <w:r>
        <w:rPr>
          <w:highlight w:val="none"/>
        </w:rPr>
        <w:t>现场不进行的运行测试应于设备组装好后在工厂进行。</w:t>
      </w:r>
    </w:p>
    <w:p w14:paraId="2683509D">
      <w:pPr>
        <w:spacing w:line="360" w:lineRule="auto"/>
        <w:ind w:firstLine="480" w:firstLineChars="200"/>
        <w:jc w:val="left"/>
        <w:rPr>
          <w:highlight w:val="none"/>
        </w:rPr>
      </w:pPr>
      <w:r>
        <w:rPr>
          <w:highlight w:val="none"/>
        </w:rPr>
        <w:t>5</w:t>
      </w:r>
      <w:r>
        <w:rPr>
          <w:rFonts w:hint="eastAsia"/>
          <w:highlight w:val="none"/>
        </w:rPr>
        <w:t>）</w:t>
      </w:r>
      <w:r>
        <w:rPr>
          <w:highlight w:val="none"/>
        </w:rPr>
        <w:t>耐压试验用水进行检测。</w:t>
      </w:r>
    </w:p>
    <w:p w14:paraId="16B8529B">
      <w:pPr>
        <w:pStyle w:val="5"/>
        <w:spacing w:before="0" w:after="0" w:line="360" w:lineRule="auto"/>
        <w:jc w:val="left"/>
        <w:rPr>
          <w:rFonts w:ascii="Times New Roman"/>
          <w:bCs/>
          <w:sz w:val="24"/>
          <w:szCs w:val="24"/>
          <w:highlight w:val="none"/>
        </w:rPr>
      </w:pPr>
      <w:bookmarkStart w:id="144" w:name="_Toc513014518"/>
      <w:bookmarkStart w:id="145" w:name="_Toc501817574"/>
      <w:bookmarkStart w:id="146" w:name="_Toc515785180"/>
      <w:r>
        <w:rPr>
          <w:rFonts w:ascii="Times New Roman"/>
          <w:bCs/>
          <w:sz w:val="24"/>
          <w:szCs w:val="24"/>
          <w:highlight w:val="none"/>
        </w:rPr>
        <w:t>4 性能验收试验</w:t>
      </w:r>
      <w:bookmarkEnd w:id="144"/>
      <w:bookmarkEnd w:id="145"/>
      <w:bookmarkEnd w:id="146"/>
    </w:p>
    <w:p w14:paraId="3845C74C">
      <w:pPr>
        <w:spacing w:line="360" w:lineRule="auto"/>
        <w:jc w:val="left"/>
        <w:rPr>
          <w:highlight w:val="none"/>
        </w:rPr>
      </w:pPr>
      <w:r>
        <w:rPr>
          <w:highlight w:val="none"/>
        </w:rPr>
        <w:t>4.1</w:t>
      </w:r>
      <w:r>
        <w:rPr>
          <w:rFonts w:hint="eastAsia"/>
          <w:highlight w:val="none"/>
        </w:rPr>
        <w:t xml:space="preserve"> </w:t>
      </w:r>
      <w:r>
        <w:rPr>
          <w:highlight w:val="none"/>
        </w:rPr>
        <w:t>性能验收试验的目的是为了检验合同内设备所有的性能是否符合本技术规范的要求。</w:t>
      </w:r>
    </w:p>
    <w:p w14:paraId="67FB70EB">
      <w:pPr>
        <w:spacing w:line="360" w:lineRule="auto"/>
        <w:jc w:val="left"/>
        <w:rPr>
          <w:highlight w:val="none"/>
        </w:rPr>
      </w:pPr>
      <w:r>
        <w:rPr>
          <w:highlight w:val="none"/>
        </w:rPr>
        <w:t>4.2</w:t>
      </w:r>
      <w:r>
        <w:rPr>
          <w:rFonts w:hint="eastAsia"/>
          <w:highlight w:val="none"/>
        </w:rPr>
        <w:t xml:space="preserve"> </w:t>
      </w:r>
      <w:r>
        <w:rPr>
          <w:highlight w:val="none"/>
        </w:rPr>
        <w:t>性能验收试验的地点为招标人工地现场。</w:t>
      </w:r>
    </w:p>
    <w:p w14:paraId="3427DE0F">
      <w:pPr>
        <w:spacing w:line="360" w:lineRule="auto"/>
        <w:jc w:val="left"/>
        <w:rPr>
          <w:highlight w:val="none"/>
        </w:rPr>
      </w:pPr>
      <w:r>
        <w:rPr>
          <w:highlight w:val="none"/>
        </w:rPr>
        <w:t>4.3</w:t>
      </w:r>
      <w:r>
        <w:rPr>
          <w:rFonts w:hint="eastAsia"/>
          <w:highlight w:val="none"/>
        </w:rPr>
        <w:t xml:space="preserve"> </w:t>
      </w:r>
      <w:r>
        <w:rPr>
          <w:highlight w:val="none"/>
        </w:rPr>
        <w:t>性能验收试验由招标人主持，投标人参加。</w:t>
      </w:r>
    </w:p>
    <w:p w14:paraId="787EB47F">
      <w:pPr>
        <w:spacing w:line="360" w:lineRule="auto"/>
        <w:jc w:val="left"/>
        <w:rPr>
          <w:highlight w:val="none"/>
        </w:rPr>
      </w:pPr>
      <w:r>
        <w:rPr>
          <w:highlight w:val="none"/>
        </w:rPr>
        <w:t>4.4</w:t>
      </w:r>
      <w:r>
        <w:rPr>
          <w:rFonts w:hint="eastAsia"/>
          <w:highlight w:val="none"/>
        </w:rPr>
        <w:t xml:space="preserve"> </w:t>
      </w:r>
      <w:r>
        <w:rPr>
          <w:highlight w:val="none"/>
        </w:rPr>
        <w:t>性能验收试验结果的确认</w:t>
      </w:r>
    </w:p>
    <w:p w14:paraId="2FDF5E2E">
      <w:pPr>
        <w:spacing w:line="360" w:lineRule="auto"/>
        <w:ind w:firstLine="480" w:firstLineChars="200"/>
        <w:jc w:val="left"/>
        <w:rPr>
          <w:highlight w:val="none"/>
        </w:rPr>
      </w:pPr>
      <w:r>
        <w:rPr>
          <w:highlight w:val="none"/>
        </w:rPr>
        <w:t>性能验收试验报告由测试单位编写，报告结论买卖双方均应承认。如双方对试验的结果有不一致意见，双方应协商解决。</w:t>
      </w:r>
    </w:p>
    <w:p w14:paraId="272CCFDF">
      <w:pPr>
        <w:spacing w:line="360" w:lineRule="auto"/>
        <w:ind w:firstLine="480" w:firstLineChars="200"/>
        <w:jc w:val="left"/>
        <w:rPr>
          <w:highlight w:val="none"/>
        </w:rPr>
      </w:pPr>
      <w:r>
        <w:rPr>
          <w:highlight w:val="none"/>
        </w:rPr>
        <w:t>进行性能验收试验时，投标人接到招标人试验通知而不派人参加试验，则被视为对验收试验结果的同意。</w:t>
      </w:r>
    </w:p>
    <w:p w14:paraId="7D2F6A96">
      <w:pPr>
        <w:pStyle w:val="28"/>
        <w:rPr>
          <w:rFonts w:ascii="Times New Roman" w:hAnsi="Times New Roman"/>
          <w:highlight w:val="none"/>
        </w:rPr>
        <w:sectPr>
          <w:pgSz w:w="11906" w:h="16838"/>
          <w:pgMar w:top="1440" w:right="1440" w:bottom="1440" w:left="1701" w:header="851" w:footer="992" w:gutter="0"/>
          <w:cols w:space="425" w:num="1"/>
          <w:docGrid w:type="lines" w:linePitch="312" w:charSpace="0"/>
        </w:sectPr>
      </w:pPr>
    </w:p>
    <w:p w14:paraId="1F18EEC3">
      <w:pPr>
        <w:pStyle w:val="4"/>
        <w:spacing w:before="156" w:beforeLines="50" w:after="156" w:afterLines="50" w:line="360" w:lineRule="auto"/>
        <w:jc w:val="left"/>
        <w:rPr>
          <w:sz w:val="32"/>
          <w:szCs w:val="32"/>
          <w:highlight w:val="none"/>
        </w:rPr>
      </w:pPr>
      <w:bookmarkStart w:id="147" w:name="_Toc488922627"/>
      <w:bookmarkStart w:id="148" w:name="_Toc515697899"/>
      <w:bookmarkStart w:id="149" w:name="_Toc343695402"/>
      <w:bookmarkStart w:id="150" w:name="_Toc515335072"/>
      <w:bookmarkStart w:id="151" w:name="_Toc515332013"/>
      <w:bookmarkStart w:id="152" w:name="_Toc515705620"/>
      <w:bookmarkStart w:id="153" w:name="_Toc515953165"/>
      <w:bookmarkStart w:id="154" w:name="_Toc515622054"/>
      <w:bookmarkStart w:id="155" w:name="_Toc515727599"/>
      <w:bookmarkStart w:id="156" w:name="_Toc515785184"/>
      <w:bookmarkStart w:id="157" w:name="_Toc515708315"/>
      <w:bookmarkStart w:id="158" w:name="_Toc753"/>
      <w:r>
        <w:rPr>
          <w:sz w:val="32"/>
          <w:szCs w:val="32"/>
          <w:highlight w:val="none"/>
        </w:rPr>
        <w:t>附件</w:t>
      </w:r>
      <w:bookmarkEnd w:id="147"/>
      <w:bookmarkStart w:id="159" w:name="_Hlt515349331"/>
      <w:bookmarkEnd w:id="159"/>
      <w:r>
        <w:rPr>
          <w:sz w:val="32"/>
          <w:szCs w:val="32"/>
          <w:highlight w:val="none"/>
        </w:rPr>
        <w:t>6 技术服务和联络</w:t>
      </w:r>
      <w:bookmarkEnd w:id="148"/>
      <w:bookmarkEnd w:id="149"/>
      <w:bookmarkEnd w:id="150"/>
      <w:bookmarkEnd w:id="151"/>
      <w:bookmarkEnd w:id="152"/>
      <w:bookmarkEnd w:id="153"/>
      <w:bookmarkEnd w:id="154"/>
      <w:bookmarkEnd w:id="155"/>
      <w:bookmarkEnd w:id="156"/>
      <w:bookmarkEnd w:id="157"/>
      <w:bookmarkEnd w:id="158"/>
      <w:bookmarkStart w:id="160" w:name="_Toc515785185"/>
      <w:bookmarkStart w:id="161" w:name="_Toc515705621"/>
      <w:bookmarkStart w:id="162" w:name="_Toc515697900"/>
      <w:bookmarkStart w:id="163" w:name="_Toc515708316"/>
      <w:bookmarkStart w:id="164" w:name="_Toc515727600"/>
    </w:p>
    <w:p w14:paraId="1A8C6278">
      <w:pPr>
        <w:pStyle w:val="5"/>
        <w:spacing w:before="0" w:after="0" w:line="360" w:lineRule="auto"/>
        <w:jc w:val="left"/>
        <w:rPr>
          <w:rFonts w:ascii="Times New Roman"/>
          <w:bCs/>
          <w:sz w:val="24"/>
          <w:szCs w:val="24"/>
          <w:highlight w:val="none"/>
        </w:rPr>
      </w:pPr>
      <w:r>
        <w:rPr>
          <w:rFonts w:hint="eastAsia" w:ascii="Times New Roman"/>
          <w:bCs/>
          <w:sz w:val="24"/>
          <w:szCs w:val="24"/>
          <w:highlight w:val="none"/>
        </w:rPr>
        <w:t xml:space="preserve">1 </w:t>
      </w:r>
      <w:r>
        <w:rPr>
          <w:rFonts w:ascii="Times New Roman"/>
          <w:bCs/>
          <w:sz w:val="24"/>
          <w:szCs w:val="24"/>
          <w:highlight w:val="none"/>
        </w:rPr>
        <w:t>投标人现场技术服务</w:t>
      </w:r>
      <w:bookmarkEnd w:id="160"/>
      <w:bookmarkEnd w:id="161"/>
      <w:bookmarkEnd w:id="162"/>
      <w:bookmarkEnd w:id="163"/>
      <w:bookmarkEnd w:id="164"/>
    </w:p>
    <w:p w14:paraId="16AA4ED8">
      <w:pPr>
        <w:spacing w:line="360" w:lineRule="auto"/>
        <w:jc w:val="left"/>
        <w:rPr>
          <w:highlight w:val="none"/>
        </w:rPr>
      </w:pPr>
      <w:r>
        <w:rPr>
          <w:highlight w:val="none"/>
        </w:rPr>
        <w:t>1.1</w:t>
      </w:r>
      <w:r>
        <w:rPr>
          <w:rFonts w:hint="eastAsia"/>
          <w:highlight w:val="none"/>
        </w:rPr>
        <w:t xml:space="preserve"> </w:t>
      </w:r>
      <w:r>
        <w:rPr>
          <w:highlight w:val="none"/>
        </w:rPr>
        <w:t>投标人现场服务人员的目的是使所供设备安全、正常投运。投标人要派合格的现场服务人员。在投标阶段应提供包括服务人月数的现场服务计划表(见格式</w:t>
      </w:r>
      <w:r>
        <w:rPr>
          <w:rFonts w:hint="eastAsia"/>
          <w:highlight w:val="none"/>
        </w:rPr>
        <w:t>）</w:t>
      </w:r>
      <w:r>
        <w:rPr>
          <w:highlight w:val="none"/>
        </w:rPr>
        <w:t>。如果此人日数不能满足工程需要，投标人应按招标人要求追加人日数，但招标人无须为此支付任何额外费用。</w:t>
      </w:r>
    </w:p>
    <w:p w14:paraId="1E9F5F41">
      <w:pPr>
        <w:spacing w:line="360" w:lineRule="auto"/>
        <w:jc w:val="center"/>
        <w:rPr>
          <w:highlight w:val="none"/>
        </w:rPr>
      </w:pPr>
      <w:r>
        <w:rPr>
          <w:highlight w:val="none"/>
        </w:rPr>
        <w:t>现场服务计划表（投标人填写）</w:t>
      </w:r>
    </w:p>
    <w:tbl>
      <w:tblPr>
        <w:tblStyle w:val="21"/>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856"/>
        <w:gridCol w:w="2136"/>
        <w:gridCol w:w="1497"/>
        <w:gridCol w:w="1497"/>
        <w:gridCol w:w="1498"/>
        <w:gridCol w:w="1497"/>
      </w:tblGrid>
      <w:tr w14:paraId="412E9C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477" w:type="pct"/>
            <w:vMerge w:val="restart"/>
            <w:tcBorders>
              <w:top w:val="single" w:color="auto" w:sz="12" w:space="0"/>
              <w:left w:val="single" w:color="auto" w:sz="12" w:space="0"/>
              <w:bottom w:val="single" w:color="auto" w:sz="6" w:space="0"/>
              <w:right w:val="single" w:color="auto" w:sz="6" w:space="0"/>
            </w:tcBorders>
            <w:vAlign w:val="center"/>
          </w:tcPr>
          <w:p w14:paraId="63160F96">
            <w:pPr>
              <w:spacing w:line="360" w:lineRule="auto"/>
              <w:jc w:val="center"/>
              <w:rPr>
                <w:b/>
                <w:highlight w:val="none"/>
              </w:rPr>
            </w:pPr>
            <w:r>
              <w:rPr>
                <w:b/>
                <w:highlight w:val="none"/>
              </w:rPr>
              <w:t>序号</w:t>
            </w:r>
          </w:p>
        </w:tc>
        <w:tc>
          <w:tcPr>
            <w:tcW w:w="1189" w:type="pct"/>
            <w:vMerge w:val="restart"/>
            <w:tcBorders>
              <w:top w:val="single" w:color="auto" w:sz="12" w:space="0"/>
              <w:left w:val="single" w:color="auto" w:sz="6" w:space="0"/>
              <w:bottom w:val="single" w:color="auto" w:sz="6" w:space="0"/>
              <w:right w:val="single" w:color="auto" w:sz="6" w:space="0"/>
            </w:tcBorders>
            <w:vAlign w:val="center"/>
          </w:tcPr>
          <w:p w14:paraId="6060D890">
            <w:pPr>
              <w:spacing w:line="360" w:lineRule="auto"/>
              <w:jc w:val="center"/>
              <w:rPr>
                <w:b/>
                <w:highlight w:val="none"/>
              </w:rPr>
            </w:pPr>
            <w:r>
              <w:rPr>
                <w:b/>
                <w:highlight w:val="none"/>
              </w:rPr>
              <w:t>技术服务内容</w:t>
            </w:r>
          </w:p>
        </w:tc>
        <w:tc>
          <w:tcPr>
            <w:tcW w:w="833" w:type="pct"/>
            <w:vMerge w:val="restart"/>
            <w:tcBorders>
              <w:top w:val="single" w:color="auto" w:sz="12" w:space="0"/>
              <w:left w:val="single" w:color="auto" w:sz="6" w:space="0"/>
              <w:bottom w:val="single" w:color="auto" w:sz="6" w:space="0"/>
              <w:right w:val="single" w:color="auto" w:sz="6" w:space="0"/>
            </w:tcBorders>
            <w:vAlign w:val="center"/>
          </w:tcPr>
          <w:p w14:paraId="7E60FBCD">
            <w:pPr>
              <w:spacing w:line="360" w:lineRule="auto"/>
              <w:jc w:val="center"/>
              <w:rPr>
                <w:b/>
                <w:highlight w:val="none"/>
              </w:rPr>
            </w:pPr>
            <w:r>
              <w:rPr>
                <w:b/>
                <w:highlight w:val="none"/>
              </w:rPr>
              <w:t>计划人月数</w:t>
            </w:r>
          </w:p>
        </w:tc>
        <w:tc>
          <w:tcPr>
            <w:tcW w:w="1667" w:type="pct"/>
            <w:gridSpan w:val="2"/>
            <w:tcBorders>
              <w:top w:val="single" w:color="auto" w:sz="12" w:space="0"/>
              <w:left w:val="single" w:color="auto" w:sz="6" w:space="0"/>
              <w:bottom w:val="single" w:color="auto" w:sz="6" w:space="0"/>
              <w:right w:val="single" w:color="auto" w:sz="6" w:space="0"/>
            </w:tcBorders>
            <w:vAlign w:val="center"/>
          </w:tcPr>
          <w:p w14:paraId="69A8F276">
            <w:pPr>
              <w:spacing w:line="360" w:lineRule="auto"/>
              <w:jc w:val="center"/>
              <w:rPr>
                <w:b/>
                <w:highlight w:val="none"/>
              </w:rPr>
            </w:pPr>
            <w:r>
              <w:rPr>
                <w:b/>
                <w:highlight w:val="none"/>
              </w:rPr>
              <w:t>派出人员构成</w:t>
            </w:r>
          </w:p>
        </w:tc>
        <w:tc>
          <w:tcPr>
            <w:tcW w:w="833" w:type="pct"/>
            <w:vMerge w:val="restart"/>
            <w:tcBorders>
              <w:top w:val="single" w:color="auto" w:sz="12" w:space="0"/>
              <w:left w:val="single" w:color="auto" w:sz="6" w:space="0"/>
              <w:bottom w:val="single" w:color="auto" w:sz="6" w:space="0"/>
              <w:right w:val="single" w:color="auto" w:sz="12" w:space="0"/>
            </w:tcBorders>
            <w:vAlign w:val="center"/>
          </w:tcPr>
          <w:p w14:paraId="116A96FA">
            <w:pPr>
              <w:spacing w:line="360" w:lineRule="auto"/>
              <w:jc w:val="center"/>
              <w:rPr>
                <w:b/>
                <w:highlight w:val="none"/>
              </w:rPr>
            </w:pPr>
            <w:r>
              <w:rPr>
                <w:b/>
                <w:highlight w:val="none"/>
              </w:rPr>
              <w:t>备  注</w:t>
            </w:r>
          </w:p>
        </w:tc>
      </w:tr>
      <w:tr w14:paraId="0E57F6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0" w:type="auto"/>
            <w:vMerge w:val="continue"/>
            <w:tcBorders>
              <w:top w:val="single" w:color="auto" w:sz="12" w:space="0"/>
              <w:left w:val="single" w:color="auto" w:sz="12" w:space="0"/>
              <w:bottom w:val="single" w:color="auto" w:sz="6" w:space="0"/>
              <w:right w:val="single" w:color="auto" w:sz="6" w:space="0"/>
            </w:tcBorders>
            <w:vAlign w:val="center"/>
          </w:tcPr>
          <w:p w14:paraId="34437112">
            <w:pPr>
              <w:widowControl/>
              <w:jc w:val="left"/>
              <w:rPr>
                <w:b/>
                <w:highlight w:val="none"/>
              </w:rPr>
            </w:pPr>
          </w:p>
        </w:tc>
        <w:tc>
          <w:tcPr>
            <w:tcW w:w="0" w:type="auto"/>
            <w:vMerge w:val="continue"/>
            <w:tcBorders>
              <w:top w:val="single" w:color="auto" w:sz="12" w:space="0"/>
              <w:left w:val="single" w:color="auto" w:sz="6" w:space="0"/>
              <w:bottom w:val="single" w:color="auto" w:sz="6" w:space="0"/>
              <w:right w:val="single" w:color="auto" w:sz="6" w:space="0"/>
            </w:tcBorders>
            <w:vAlign w:val="center"/>
          </w:tcPr>
          <w:p w14:paraId="1A558347">
            <w:pPr>
              <w:widowControl/>
              <w:jc w:val="left"/>
              <w:rPr>
                <w:b/>
                <w:highlight w:val="none"/>
              </w:rPr>
            </w:pPr>
          </w:p>
        </w:tc>
        <w:tc>
          <w:tcPr>
            <w:tcW w:w="0" w:type="auto"/>
            <w:vMerge w:val="continue"/>
            <w:tcBorders>
              <w:top w:val="single" w:color="auto" w:sz="12" w:space="0"/>
              <w:left w:val="single" w:color="auto" w:sz="6" w:space="0"/>
              <w:bottom w:val="single" w:color="auto" w:sz="6" w:space="0"/>
              <w:right w:val="single" w:color="auto" w:sz="6" w:space="0"/>
            </w:tcBorders>
            <w:vAlign w:val="center"/>
          </w:tcPr>
          <w:p w14:paraId="5D99F60F">
            <w:pPr>
              <w:widowControl/>
              <w:jc w:val="left"/>
              <w:rPr>
                <w:b/>
                <w:highlight w:val="none"/>
              </w:rPr>
            </w:pPr>
          </w:p>
        </w:tc>
        <w:tc>
          <w:tcPr>
            <w:tcW w:w="833" w:type="pct"/>
            <w:tcBorders>
              <w:top w:val="single" w:color="auto" w:sz="6" w:space="0"/>
              <w:left w:val="single" w:color="auto" w:sz="6" w:space="0"/>
              <w:bottom w:val="single" w:color="auto" w:sz="6" w:space="0"/>
              <w:right w:val="single" w:color="auto" w:sz="6" w:space="0"/>
            </w:tcBorders>
            <w:vAlign w:val="center"/>
          </w:tcPr>
          <w:p w14:paraId="76819149">
            <w:pPr>
              <w:spacing w:line="360" w:lineRule="auto"/>
              <w:jc w:val="center"/>
              <w:rPr>
                <w:b/>
                <w:highlight w:val="none"/>
              </w:rPr>
            </w:pPr>
            <w:r>
              <w:rPr>
                <w:b/>
                <w:highlight w:val="none"/>
              </w:rPr>
              <w:t>职称</w:t>
            </w:r>
          </w:p>
        </w:tc>
        <w:tc>
          <w:tcPr>
            <w:tcW w:w="834" w:type="pct"/>
            <w:tcBorders>
              <w:top w:val="single" w:color="auto" w:sz="6" w:space="0"/>
              <w:left w:val="single" w:color="auto" w:sz="6" w:space="0"/>
              <w:bottom w:val="single" w:color="auto" w:sz="6" w:space="0"/>
              <w:right w:val="single" w:color="auto" w:sz="6" w:space="0"/>
            </w:tcBorders>
            <w:vAlign w:val="center"/>
          </w:tcPr>
          <w:p w14:paraId="63AF96AD">
            <w:pPr>
              <w:spacing w:line="360" w:lineRule="auto"/>
              <w:jc w:val="center"/>
              <w:rPr>
                <w:b/>
                <w:highlight w:val="none"/>
              </w:rPr>
            </w:pPr>
            <w:r>
              <w:rPr>
                <w:b/>
                <w:highlight w:val="none"/>
              </w:rPr>
              <w:t>人数</w:t>
            </w:r>
          </w:p>
        </w:tc>
        <w:tc>
          <w:tcPr>
            <w:tcW w:w="0" w:type="auto"/>
            <w:vMerge w:val="continue"/>
            <w:tcBorders>
              <w:top w:val="single" w:color="auto" w:sz="12" w:space="0"/>
              <w:left w:val="single" w:color="auto" w:sz="6" w:space="0"/>
              <w:bottom w:val="single" w:color="auto" w:sz="6" w:space="0"/>
              <w:right w:val="single" w:color="auto" w:sz="12" w:space="0"/>
            </w:tcBorders>
            <w:vAlign w:val="center"/>
          </w:tcPr>
          <w:p w14:paraId="6234601C">
            <w:pPr>
              <w:widowControl/>
              <w:jc w:val="left"/>
              <w:rPr>
                <w:b/>
                <w:highlight w:val="none"/>
              </w:rPr>
            </w:pPr>
          </w:p>
        </w:tc>
      </w:tr>
      <w:tr w14:paraId="50DF01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477" w:type="pct"/>
            <w:tcBorders>
              <w:top w:val="single" w:color="auto" w:sz="6" w:space="0"/>
              <w:left w:val="single" w:color="auto" w:sz="12" w:space="0"/>
              <w:bottom w:val="single" w:color="auto" w:sz="6" w:space="0"/>
              <w:right w:val="single" w:color="auto" w:sz="6" w:space="0"/>
            </w:tcBorders>
            <w:vAlign w:val="center"/>
          </w:tcPr>
          <w:p w14:paraId="5F8FCF0B">
            <w:pPr>
              <w:spacing w:line="360" w:lineRule="auto"/>
              <w:jc w:val="left"/>
              <w:rPr>
                <w:b/>
                <w:highlight w:val="none"/>
              </w:rPr>
            </w:pPr>
          </w:p>
        </w:tc>
        <w:tc>
          <w:tcPr>
            <w:tcW w:w="1189" w:type="pct"/>
            <w:tcBorders>
              <w:top w:val="single" w:color="auto" w:sz="6" w:space="0"/>
              <w:left w:val="single" w:color="auto" w:sz="6" w:space="0"/>
              <w:bottom w:val="single" w:color="auto" w:sz="6" w:space="0"/>
              <w:right w:val="single" w:color="auto" w:sz="6" w:space="0"/>
            </w:tcBorders>
            <w:vAlign w:val="center"/>
          </w:tcPr>
          <w:p w14:paraId="2B06BD40">
            <w:pPr>
              <w:spacing w:line="360" w:lineRule="auto"/>
              <w:jc w:val="left"/>
              <w:rPr>
                <w:b/>
                <w:highlight w:val="none"/>
              </w:rPr>
            </w:pPr>
          </w:p>
        </w:tc>
        <w:tc>
          <w:tcPr>
            <w:tcW w:w="833" w:type="pct"/>
            <w:tcBorders>
              <w:top w:val="single" w:color="auto" w:sz="6" w:space="0"/>
              <w:left w:val="single" w:color="auto" w:sz="6" w:space="0"/>
              <w:bottom w:val="single" w:color="auto" w:sz="6" w:space="0"/>
              <w:right w:val="single" w:color="auto" w:sz="6" w:space="0"/>
            </w:tcBorders>
            <w:vAlign w:val="center"/>
          </w:tcPr>
          <w:p w14:paraId="3C971B70">
            <w:pPr>
              <w:spacing w:line="360" w:lineRule="auto"/>
              <w:jc w:val="left"/>
              <w:rPr>
                <w:b/>
                <w:highlight w:val="none"/>
              </w:rPr>
            </w:pPr>
          </w:p>
        </w:tc>
        <w:tc>
          <w:tcPr>
            <w:tcW w:w="833" w:type="pct"/>
            <w:tcBorders>
              <w:top w:val="single" w:color="auto" w:sz="6" w:space="0"/>
              <w:left w:val="single" w:color="auto" w:sz="6" w:space="0"/>
              <w:bottom w:val="single" w:color="auto" w:sz="6" w:space="0"/>
              <w:right w:val="single" w:color="auto" w:sz="6" w:space="0"/>
            </w:tcBorders>
            <w:vAlign w:val="center"/>
          </w:tcPr>
          <w:p w14:paraId="0C0473B4">
            <w:pPr>
              <w:spacing w:line="360" w:lineRule="auto"/>
              <w:jc w:val="left"/>
              <w:rPr>
                <w:b/>
                <w:highlight w:val="none"/>
              </w:rPr>
            </w:pPr>
          </w:p>
        </w:tc>
        <w:tc>
          <w:tcPr>
            <w:tcW w:w="834" w:type="pct"/>
            <w:tcBorders>
              <w:top w:val="single" w:color="auto" w:sz="6" w:space="0"/>
              <w:left w:val="single" w:color="auto" w:sz="6" w:space="0"/>
              <w:bottom w:val="single" w:color="auto" w:sz="6" w:space="0"/>
              <w:right w:val="single" w:color="auto" w:sz="6" w:space="0"/>
            </w:tcBorders>
            <w:vAlign w:val="center"/>
          </w:tcPr>
          <w:p w14:paraId="21D775F7">
            <w:pPr>
              <w:spacing w:line="360" w:lineRule="auto"/>
              <w:jc w:val="left"/>
              <w:rPr>
                <w:b/>
                <w:highlight w:val="none"/>
              </w:rPr>
            </w:pPr>
          </w:p>
        </w:tc>
        <w:tc>
          <w:tcPr>
            <w:tcW w:w="833" w:type="pct"/>
            <w:tcBorders>
              <w:top w:val="single" w:color="auto" w:sz="6" w:space="0"/>
              <w:left w:val="single" w:color="auto" w:sz="6" w:space="0"/>
              <w:bottom w:val="single" w:color="auto" w:sz="6" w:space="0"/>
              <w:right w:val="single" w:color="auto" w:sz="12" w:space="0"/>
            </w:tcBorders>
            <w:vAlign w:val="center"/>
          </w:tcPr>
          <w:p w14:paraId="61D559B3">
            <w:pPr>
              <w:spacing w:line="360" w:lineRule="auto"/>
              <w:jc w:val="left"/>
              <w:rPr>
                <w:b/>
                <w:highlight w:val="none"/>
              </w:rPr>
            </w:pPr>
          </w:p>
        </w:tc>
      </w:tr>
      <w:tr w14:paraId="4A787F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477" w:type="pct"/>
            <w:tcBorders>
              <w:top w:val="single" w:color="auto" w:sz="6" w:space="0"/>
              <w:left w:val="single" w:color="auto" w:sz="12" w:space="0"/>
              <w:bottom w:val="single" w:color="auto" w:sz="12" w:space="0"/>
              <w:right w:val="single" w:color="auto" w:sz="6" w:space="0"/>
            </w:tcBorders>
            <w:vAlign w:val="center"/>
          </w:tcPr>
          <w:p w14:paraId="163AB49E">
            <w:pPr>
              <w:spacing w:line="360" w:lineRule="auto"/>
              <w:jc w:val="left"/>
              <w:rPr>
                <w:b/>
                <w:highlight w:val="none"/>
              </w:rPr>
            </w:pPr>
          </w:p>
        </w:tc>
        <w:tc>
          <w:tcPr>
            <w:tcW w:w="1189" w:type="pct"/>
            <w:tcBorders>
              <w:top w:val="single" w:color="auto" w:sz="6" w:space="0"/>
              <w:left w:val="single" w:color="auto" w:sz="6" w:space="0"/>
              <w:bottom w:val="single" w:color="auto" w:sz="12" w:space="0"/>
              <w:right w:val="single" w:color="auto" w:sz="6" w:space="0"/>
            </w:tcBorders>
            <w:vAlign w:val="center"/>
          </w:tcPr>
          <w:p w14:paraId="652FC745">
            <w:pPr>
              <w:spacing w:line="360" w:lineRule="auto"/>
              <w:jc w:val="left"/>
              <w:rPr>
                <w:b/>
                <w:highlight w:val="none"/>
              </w:rPr>
            </w:pPr>
          </w:p>
        </w:tc>
        <w:tc>
          <w:tcPr>
            <w:tcW w:w="833" w:type="pct"/>
            <w:tcBorders>
              <w:top w:val="single" w:color="auto" w:sz="6" w:space="0"/>
              <w:left w:val="single" w:color="auto" w:sz="6" w:space="0"/>
              <w:bottom w:val="single" w:color="auto" w:sz="12" w:space="0"/>
              <w:right w:val="single" w:color="auto" w:sz="6" w:space="0"/>
            </w:tcBorders>
            <w:vAlign w:val="center"/>
          </w:tcPr>
          <w:p w14:paraId="74FC92E8">
            <w:pPr>
              <w:spacing w:line="360" w:lineRule="auto"/>
              <w:jc w:val="left"/>
              <w:rPr>
                <w:b/>
                <w:highlight w:val="none"/>
              </w:rPr>
            </w:pPr>
          </w:p>
        </w:tc>
        <w:tc>
          <w:tcPr>
            <w:tcW w:w="833" w:type="pct"/>
            <w:tcBorders>
              <w:top w:val="single" w:color="auto" w:sz="6" w:space="0"/>
              <w:left w:val="single" w:color="auto" w:sz="6" w:space="0"/>
              <w:bottom w:val="single" w:color="auto" w:sz="12" w:space="0"/>
              <w:right w:val="single" w:color="auto" w:sz="6" w:space="0"/>
            </w:tcBorders>
            <w:vAlign w:val="center"/>
          </w:tcPr>
          <w:p w14:paraId="189CBD41">
            <w:pPr>
              <w:spacing w:line="360" w:lineRule="auto"/>
              <w:jc w:val="left"/>
              <w:rPr>
                <w:b/>
                <w:highlight w:val="none"/>
              </w:rPr>
            </w:pPr>
          </w:p>
        </w:tc>
        <w:tc>
          <w:tcPr>
            <w:tcW w:w="834" w:type="pct"/>
            <w:tcBorders>
              <w:top w:val="single" w:color="auto" w:sz="6" w:space="0"/>
              <w:left w:val="single" w:color="auto" w:sz="6" w:space="0"/>
              <w:bottom w:val="single" w:color="auto" w:sz="12" w:space="0"/>
              <w:right w:val="single" w:color="auto" w:sz="6" w:space="0"/>
            </w:tcBorders>
            <w:vAlign w:val="center"/>
          </w:tcPr>
          <w:p w14:paraId="50151A8A">
            <w:pPr>
              <w:spacing w:line="360" w:lineRule="auto"/>
              <w:jc w:val="left"/>
              <w:rPr>
                <w:b/>
                <w:highlight w:val="none"/>
              </w:rPr>
            </w:pPr>
          </w:p>
        </w:tc>
        <w:tc>
          <w:tcPr>
            <w:tcW w:w="833" w:type="pct"/>
            <w:tcBorders>
              <w:top w:val="single" w:color="auto" w:sz="6" w:space="0"/>
              <w:left w:val="single" w:color="auto" w:sz="6" w:space="0"/>
              <w:bottom w:val="single" w:color="auto" w:sz="12" w:space="0"/>
              <w:right w:val="single" w:color="auto" w:sz="12" w:space="0"/>
            </w:tcBorders>
            <w:vAlign w:val="center"/>
          </w:tcPr>
          <w:p w14:paraId="54A7F540">
            <w:pPr>
              <w:spacing w:line="360" w:lineRule="auto"/>
              <w:jc w:val="left"/>
              <w:rPr>
                <w:b/>
                <w:highlight w:val="none"/>
              </w:rPr>
            </w:pPr>
          </w:p>
        </w:tc>
      </w:tr>
    </w:tbl>
    <w:p w14:paraId="0BB79745">
      <w:pPr>
        <w:spacing w:line="360" w:lineRule="auto"/>
        <w:jc w:val="left"/>
        <w:rPr>
          <w:highlight w:val="none"/>
        </w:rPr>
      </w:pPr>
      <w:r>
        <w:rPr>
          <w:highlight w:val="none"/>
        </w:rPr>
        <w:t>1.2</w:t>
      </w:r>
      <w:r>
        <w:rPr>
          <w:rFonts w:hint="eastAsia"/>
          <w:highlight w:val="none"/>
        </w:rPr>
        <w:t xml:space="preserve"> </w:t>
      </w:r>
      <w:r>
        <w:rPr>
          <w:highlight w:val="none"/>
        </w:rPr>
        <w:t>投标人现场服务人员应具有下列资质</w:t>
      </w:r>
    </w:p>
    <w:p w14:paraId="1D32E8B1">
      <w:pPr>
        <w:spacing w:line="360" w:lineRule="auto"/>
        <w:jc w:val="left"/>
        <w:rPr>
          <w:highlight w:val="none"/>
        </w:rPr>
      </w:pPr>
      <w:r>
        <w:rPr>
          <w:highlight w:val="none"/>
        </w:rPr>
        <w:t>1.2.1</w:t>
      </w:r>
      <w:r>
        <w:rPr>
          <w:rFonts w:hint="eastAsia"/>
          <w:highlight w:val="none"/>
        </w:rPr>
        <w:t xml:space="preserve"> </w:t>
      </w:r>
      <w:r>
        <w:rPr>
          <w:highlight w:val="none"/>
        </w:rPr>
        <w:t>遵守法纪，遵守现场的各项规章和制度</w:t>
      </w:r>
    </w:p>
    <w:p w14:paraId="451591BC">
      <w:pPr>
        <w:spacing w:line="360" w:lineRule="auto"/>
        <w:jc w:val="left"/>
        <w:rPr>
          <w:highlight w:val="none"/>
        </w:rPr>
      </w:pPr>
      <w:r>
        <w:rPr>
          <w:highlight w:val="none"/>
        </w:rPr>
        <w:t>1.2.2</w:t>
      </w:r>
      <w:r>
        <w:rPr>
          <w:rFonts w:hint="eastAsia"/>
          <w:highlight w:val="none"/>
        </w:rPr>
        <w:t xml:space="preserve"> </w:t>
      </w:r>
      <w:r>
        <w:rPr>
          <w:highlight w:val="none"/>
        </w:rPr>
        <w:t>有较强的责任感和事业心，按时到位</w:t>
      </w:r>
    </w:p>
    <w:p w14:paraId="6784C56B">
      <w:pPr>
        <w:spacing w:line="360" w:lineRule="auto"/>
        <w:jc w:val="left"/>
        <w:rPr>
          <w:highlight w:val="none"/>
        </w:rPr>
      </w:pPr>
      <w:r>
        <w:rPr>
          <w:highlight w:val="none"/>
        </w:rPr>
        <w:t>1.2.3</w:t>
      </w:r>
      <w:r>
        <w:rPr>
          <w:rFonts w:hint="eastAsia"/>
          <w:highlight w:val="none"/>
        </w:rPr>
        <w:t xml:space="preserve"> </w:t>
      </w:r>
      <w:r>
        <w:rPr>
          <w:highlight w:val="none"/>
        </w:rPr>
        <w:t>了解合同设备的设计，熟悉其结构，有相同或相近机组的现场工作经验，能够正确地进行现场指导</w:t>
      </w:r>
    </w:p>
    <w:p w14:paraId="6B9677D4">
      <w:pPr>
        <w:spacing w:line="360" w:lineRule="auto"/>
        <w:jc w:val="left"/>
        <w:rPr>
          <w:highlight w:val="none"/>
        </w:rPr>
      </w:pPr>
      <w:r>
        <w:rPr>
          <w:highlight w:val="none"/>
        </w:rPr>
        <w:t>1.2.4</w:t>
      </w:r>
      <w:r>
        <w:rPr>
          <w:rFonts w:hint="eastAsia"/>
          <w:highlight w:val="none"/>
        </w:rPr>
        <w:t xml:space="preserve"> </w:t>
      </w:r>
      <w:r>
        <w:rPr>
          <w:highlight w:val="none"/>
        </w:rPr>
        <w:t>身体健康，适应现场工作的条件</w:t>
      </w:r>
    </w:p>
    <w:p w14:paraId="067FF7AE">
      <w:pPr>
        <w:spacing w:line="360" w:lineRule="auto"/>
        <w:jc w:val="left"/>
        <w:rPr>
          <w:highlight w:val="none"/>
        </w:rPr>
      </w:pPr>
      <w:r>
        <w:rPr>
          <w:highlight w:val="none"/>
        </w:rPr>
        <w:t>1.2.5</w:t>
      </w:r>
      <w:r>
        <w:rPr>
          <w:rFonts w:hint="eastAsia"/>
          <w:highlight w:val="none"/>
        </w:rPr>
        <w:t xml:space="preserve"> </w:t>
      </w:r>
      <w:r>
        <w:rPr>
          <w:highlight w:val="none"/>
        </w:rPr>
        <w:t>投标人要向招标人提供服务人员情况表。投标人须更换招标人认为不合格的投标人现场服务人员。</w:t>
      </w:r>
    </w:p>
    <w:p w14:paraId="764D84D5">
      <w:pPr>
        <w:spacing w:line="360" w:lineRule="auto"/>
        <w:jc w:val="left"/>
        <w:rPr>
          <w:highlight w:val="none"/>
        </w:rPr>
      </w:pPr>
      <w:r>
        <w:rPr>
          <w:highlight w:val="none"/>
        </w:rPr>
        <w:t>1.3</w:t>
      </w:r>
      <w:r>
        <w:rPr>
          <w:rFonts w:hint="eastAsia"/>
          <w:highlight w:val="none"/>
        </w:rPr>
        <w:t xml:space="preserve"> </w:t>
      </w:r>
      <w:r>
        <w:rPr>
          <w:highlight w:val="none"/>
        </w:rPr>
        <w:t>投标人现场服务人员的职责</w:t>
      </w:r>
    </w:p>
    <w:p w14:paraId="16EDC92E">
      <w:pPr>
        <w:spacing w:line="360" w:lineRule="auto"/>
        <w:jc w:val="left"/>
        <w:rPr>
          <w:highlight w:val="none"/>
        </w:rPr>
      </w:pPr>
      <w:r>
        <w:rPr>
          <w:highlight w:val="none"/>
        </w:rPr>
        <w:t>1.3.1</w:t>
      </w:r>
      <w:r>
        <w:rPr>
          <w:rFonts w:hint="eastAsia"/>
          <w:highlight w:val="none"/>
        </w:rPr>
        <w:t xml:space="preserve"> </w:t>
      </w:r>
      <w:r>
        <w:rPr>
          <w:highlight w:val="none"/>
        </w:rPr>
        <w:t>投标人现场服务人员的任务主要包括开箱检验、指导安装和调试、参加试运和性能验收试验。</w:t>
      </w:r>
    </w:p>
    <w:p w14:paraId="3B4BAF78">
      <w:pPr>
        <w:spacing w:line="360" w:lineRule="auto"/>
        <w:jc w:val="left"/>
        <w:rPr>
          <w:highlight w:val="none"/>
        </w:rPr>
      </w:pPr>
      <w:r>
        <w:rPr>
          <w:highlight w:val="none"/>
        </w:rPr>
        <w:t>1.3.2</w:t>
      </w:r>
      <w:r>
        <w:rPr>
          <w:rFonts w:hint="eastAsia"/>
          <w:highlight w:val="none"/>
        </w:rPr>
        <w:t xml:space="preserve"> </w:t>
      </w:r>
      <w:r>
        <w:rPr>
          <w:highlight w:val="none"/>
        </w:rPr>
        <w:t>投标人现场服务人员应有权全权处理现场出现的一切技术和商务问题。如现场发生质量问题，投标人现场人员要在招标人规定的时间内处理解决。如投标人委托招标人进行处理，投标人现场服务人员要出委托书并承担相应的经济责任。</w:t>
      </w:r>
    </w:p>
    <w:p w14:paraId="61976C8D">
      <w:pPr>
        <w:spacing w:line="360" w:lineRule="auto"/>
        <w:jc w:val="left"/>
        <w:rPr>
          <w:highlight w:val="none"/>
        </w:rPr>
      </w:pPr>
      <w:r>
        <w:rPr>
          <w:highlight w:val="none"/>
        </w:rPr>
        <w:t>1.3.3</w:t>
      </w:r>
      <w:r>
        <w:rPr>
          <w:rFonts w:hint="eastAsia"/>
          <w:highlight w:val="none"/>
        </w:rPr>
        <w:t xml:space="preserve"> </w:t>
      </w:r>
      <w:r>
        <w:rPr>
          <w:highlight w:val="none"/>
        </w:rPr>
        <w:t>投标人对其现场服务人员的一切行为负全部责任。</w:t>
      </w:r>
    </w:p>
    <w:p w14:paraId="092C54E3">
      <w:pPr>
        <w:spacing w:line="360" w:lineRule="auto"/>
        <w:jc w:val="left"/>
        <w:rPr>
          <w:highlight w:val="none"/>
        </w:rPr>
      </w:pPr>
      <w:r>
        <w:rPr>
          <w:highlight w:val="none"/>
        </w:rPr>
        <w:t>1.3.4</w:t>
      </w:r>
      <w:r>
        <w:rPr>
          <w:rFonts w:hint="eastAsia"/>
          <w:highlight w:val="none"/>
        </w:rPr>
        <w:t xml:space="preserve"> </w:t>
      </w:r>
      <w:r>
        <w:rPr>
          <w:highlight w:val="none"/>
        </w:rPr>
        <w:t>投标人现场服务人员的正常来去和更换事先应与招标人协商。</w:t>
      </w:r>
    </w:p>
    <w:p w14:paraId="04C13F04">
      <w:pPr>
        <w:spacing w:line="360" w:lineRule="auto"/>
        <w:jc w:val="left"/>
        <w:rPr>
          <w:highlight w:val="none"/>
        </w:rPr>
      </w:pPr>
      <w:r>
        <w:rPr>
          <w:highlight w:val="none"/>
        </w:rPr>
        <w:t>1.4</w:t>
      </w:r>
      <w:r>
        <w:rPr>
          <w:rFonts w:hint="eastAsia"/>
          <w:highlight w:val="none"/>
        </w:rPr>
        <w:t xml:space="preserve"> </w:t>
      </w:r>
      <w:r>
        <w:rPr>
          <w:highlight w:val="none"/>
        </w:rPr>
        <w:t>招标人的义务</w:t>
      </w:r>
    </w:p>
    <w:p w14:paraId="049B38ED">
      <w:pPr>
        <w:pStyle w:val="17"/>
        <w:tabs>
          <w:tab w:val="left" w:pos="2040"/>
        </w:tabs>
        <w:spacing w:before="0" w:beforeAutospacing="0" w:after="0" w:afterAutospacing="0" w:line="360" w:lineRule="auto"/>
        <w:ind w:firstLine="480" w:firstLineChars="200"/>
        <w:rPr>
          <w:rFonts w:ascii="Times New Roman" w:hAnsi="Times New Roman" w:cs="Times New Roman"/>
          <w:kern w:val="2"/>
          <w:highlight w:val="none"/>
        </w:rPr>
      </w:pPr>
      <w:r>
        <w:rPr>
          <w:rFonts w:ascii="Times New Roman" w:hAnsi="Times New Roman" w:cs="Times New Roman"/>
          <w:kern w:val="2"/>
          <w:highlight w:val="none"/>
        </w:rPr>
        <w:t>招标人要配合投标人现场服务人员的工作，并在生活、交通和通讯上提供方便。</w:t>
      </w:r>
    </w:p>
    <w:p w14:paraId="51E37F9D">
      <w:pPr>
        <w:pStyle w:val="5"/>
        <w:spacing w:before="0" w:after="0" w:line="360" w:lineRule="auto"/>
        <w:jc w:val="left"/>
        <w:rPr>
          <w:rFonts w:ascii="Times New Roman"/>
          <w:bCs/>
          <w:sz w:val="24"/>
          <w:szCs w:val="24"/>
          <w:highlight w:val="none"/>
        </w:rPr>
      </w:pPr>
      <w:bookmarkStart w:id="165" w:name="_Toc515785186"/>
      <w:bookmarkStart w:id="166" w:name="_Toc515697901"/>
      <w:bookmarkStart w:id="167" w:name="_Toc515705622"/>
      <w:bookmarkStart w:id="168" w:name="_Toc515708317"/>
      <w:bookmarkStart w:id="169" w:name="_Toc515727601"/>
      <w:r>
        <w:rPr>
          <w:rFonts w:hint="eastAsia" w:ascii="Times New Roman"/>
          <w:bCs/>
          <w:sz w:val="24"/>
          <w:szCs w:val="24"/>
          <w:highlight w:val="none"/>
        </w:rPr>
        <w:t xml:space="preserve">2 </w:t>
      </w:r>
      <w:r>
        <w:rPr>
          <w:rFonts w:ascii="Times New Roman"/>
          <w:bCs/>
          <w:sz w:val="24"/>
          <w:szCs w:val="24"/>
          <w:highlight w:val="none"/>
        </w:rPr>
        <w:t>培训</w:t>
      </w:r>
      <w:bookmarkEnd w:id="165"/>
      <w:bookmarkEnd w:id="166"/>
      <w:bookmarkEnd w:id="167"/>
      <w:bookmarkEnd w:id="168"/>
      <w:bookmarkEnd w:id="169"/>
    </w:p>
    <w:p w14:paraId="1FA3879F">
      <w:pPr>
        <w:spacing w:line="360" w:lineRule="auto"/>
        <w:jc w:val="left"/>
        <w:rPr>
          <w:highlight w:val="none"/>
        </w:rPr>
      </w:pPr>
      <w:r>
        <w:rPr>
          <w:highlight w:val="none"/>
        </w:rPr>
        <w:t>2.1</w:t>
      </w:r>
      <w:r>
        <w:rPr>
          <w:rFonts w:hint="eastAsia"/>
          <w:highlight w:val="none"/>
        </w:rPr>
        <w:t xml:space="preserve"> </w:t>
      </w:r>
      <w:r>
        <w:rPr>
          <w:highlight w:val="none"/>
        </w:rPr>
        <w:t>为使合同设备能正常安装和运行，投标人有责任提供相应的技术培训。培训内容应与工程进度相一致。</w:t>
      </w:r>
    </w:p>
    <w:p w14:paraId="5F96B394">
      <w:pPr>
        <w:spacing w:line="360" w:lineRule="auto"/>
        <w:jc w:val="left"/>
        <w:rPr>
          <w:highlight w:val="none"/>
        </w:rPr>
      </w:pPr>
      <w:r>
        <w:rPr>
          <w:highlight w:val="none"/>
        </w:rPr>
        <w:t>2.2 培训计划和内容（投标人填写）</w:t>
      </w:r>
    </w:p>
    <w:tbl>
      <w:tblPr>
        <w:tblStyle w:val="21"/>
        <w:tblW w:w="5000"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28" w:type="dxa"/>
          <w:bottom w:w="0" w:type="dxa"/>
          <w:right w:w="28" w:type="dxa"/>
        </w:tblCellMar>
      </w:tblPr>
      <w:tblGrid>
        <w:gridCol w:w="878"/>
        <w:gridCol w:w="1668"/>
        <w:gridCol w:w="2061"/>
        <w:gridCol w:w="1228"/>
        <w:gridCol w:w="1228"/>
        <w:gridCol w:w="879"/>
        <w:gridCol w:w="879"/>
      </w:tblGrid>
      <w:tr w14:paraId="062A963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498" w:type="pct"/>
            <w:vMerge w:val="restart"/>
            <w:tcBorders>
              <w:top w:val="single" w:color="000000" w:sz="12" w:space="0"/>
              <w:left w:val="single" w:color="000000" w:sz="12" w:space="0"/>
              <w:bottom w:val="single" w:color="000000" w:sz="6" w:space="0"/>
              <w:right w:val="single" w:color="000000" w:sz="6" w:space="0"/>
            </w:tcBorders>
            <w:vAlign w:val="center"/>
          </w:tcPr>
          <w:p w14:paraId="33742648">
            <w:pPr>
              <w:spacing w:line="360" w:lineRule="auto"/>
              <w:jc w:val="center"/>
              <w:rPr>
                <w:b/>
                <w:highlight w:val="none"/>
              </w:rPr>
            </w:pPr>
            <w:r>
              <w:rPr>
                <w:b/>
                <w:highlight w:val="none"/>
              </w:rPr>
              <w:t>序号</w:t>
            </w:r>
          </w:p>
        </w:tc>
        <w:tc>
          <w:tcPr>
            <w:tcW w:w="945" w:type="pct"/>
            <w:vMerge w:val="restart"/>
            <w:tcBorders>
              <w:top w:val="single" w:color="000000" w:sz="12" w:space="0"/>
              <w:left w:val="single" w:color="000000" w:sz="6" w:space="0"/>
              <w:bottom w:val="single" w:color="000000" w:sz="6" w:space="0"/>
              <w:right w:val="single" w:color="000000" w:sz="6" w:space="0"/>
            </w:tcBorders>
            <w:vAlign w:val="center"/>
          </w:tcPr>
          <w:p w14:paraId="09ED791E">
            <w:pPr>
              <w:spacing w:line="360" w:lineRule="auto"/>
              <w:jc w:val="center"/>
              <w:rPr>
                <w:b/>
                <w:highlight w:val="none"/>
              </w:rPr>
            </w:pPr>
            <w:r>
              <w:rPr>
                <w:b/>
                <w:highlight w:val="none"/>
              </w:rPr>
              <w:t>培训内容</w:t>
            </w:r>
          </w:p>
        </w:tc>
        <w:tc>
          <w:tcPr>
            <w:tcW w:w="1168" w:type="pct"/>
            <w:vMerge w:val="restart"/>
            <w:tcBorders>
              <w:top w:val="single" w:color="000000" w:sz="12" w:space="0"/>
              <w:left w:val="single" w:color="000000" w:sz="6" w:space="0"/>
              <w:bottom w:val="single" w:color="000000" w:sz="6" w:space="0"/>
              <w:right w:val="single" w:color="000000" w:sz="6" w:space="0"/>
            </w:tcBorders>
            <w:vAlign w:val="center"/>
          </w:tcPr>
          <w:p w14:paraId="764C2905">
            <w:pPr>
              <w:pStyle w:val="38"/>
              <w:adjustRightInd/>
              <w:spacing w:line="360" w:lineRule="auto"/>
              <w:ind w:firstLine="422"/>
              <w:rPr>
                <w:rFonts w:ascii="Times New Roman"/>
                <w:b/>
                <w:kern w:val="2"/>
                <w:highlight w:val="none"/>
              </w:rPr>
            </w:pPr>
            <w:r>
              <w:rPr>
                <w:rFonts w:ascii="Times New Roman"/>
                <w:b/>
                <w:kern w:val="2"/>
                <w:highlight w:val="none"/>
              </w:rPr>
              <w:t>计划人日数</w:t>
            </w:r>
          </w:p>
        </w:tc>
        <w:tc>
          <w:tcPr>
            <w:tcW w:w="1392" w:type="pct"/>
            <w:gridSpan w:val="2"/>
            <w:tcBorders>
              <w:top w:val="single" w:color="000000" w:sz="12" w:space="0"/>
              <w:left w:val="single" w:color="000000" w:sz="6" w:space="0"/>
              <w:bottom w:val="single" w:color="000000" w:sz="6" w:space="0"/>
              <w:right w:val="single" w:color="000000" w:sz="6" w:space="0"/>
            </w:tcBorders>
            <w:vAlign w:val="center"/>
          </w:tcPr>
          <w:p w14:paraId="62CE9CB3">
            <w:pPr>
              <w:spacing w:line="360" w:lineRule="auto"/>
              <w:jc w:val="center"/>
              <w:rPr>
                <w:b/>
                <w:highlight w:val="none"/>
              </w:rPr>
            </w:pPr>
            <w:r>
              <w:rPr>
                <w:b/>
                <w:highlight w:val="none"/>
              </w:rPr>
              <w:t>培训教师构成</w:t>
            </w:r>
          </w:p>
        </w:tc>
        <w:tc>
          <w:tcPr>
            <w:tcW w:w="498" w:type="pct"/>
            <w:vMerge w:val="restart"/>
            <w:tcBorders>
              <w:top w:val="single" w:color="000000" w:sz="12" w:space="0"/>
              <w:left w:val="single" w:color="000000" w:sz="6" w:space="0"/>
              <w:bottom w:val="single" w:color="000000" w:sz="6" w:space="0"/>
              <w:right w:val="single" w:color="000000" w:sz="6" w:space="0"/>
            </w:tcBorders>
            <w:vAlign w:val="center"/>
          </w:tcPr>
          <w:p w14:paraId="2B5E70D8">
            <w:pPr>
              <w:spacing w:line="360" w:lineRule="auto"/>
              <w:jc w:val="center"/>
              <w:rPr>
                <w:b/>
                <w:highlight w:val="none"/>
              </w:rPr>
            </w:pPr>
            <w:r>
              <w:rPr>
                <w:b/>
                <w:highlight w:val="none"/>
              </w:rPr>
              <w:t>地点</w:t>
            </w:r>
          </w:p>
        </w:tc>
        <w:tc>
          <w:tcPr>
            <w:tcW w:w="498" w:type="pct"/>
            <w:vMerge w:val="restart"/>
            <w:tcBorders>
              <w:top w:val="single" w:color="000000" w:sz="12" w:space="0"/>
              <w:left w:val="single" w:color="000000" w:sz="6" w:space="0"/>
              <w:bottom w:val="single" w:color="000000" w:sz="6" w:space="0"/>
              <w:right w:val="single" w:color="000000" w:sz="12" w:space="0"/>
            </w:tcBorders>
            <w:vAlign w:val="center"/>
          </w:tcPr>
          <w:p w14:paraId="611BE4EF">
            <w:pPr>
              <w:spacing w:line="360" w:lineRule="auto"/>
              <w:jc w:val="center"/>
              <w:rPr>
                <w:b/>
                <w:highlight w:val="none"/>
              </w:rPr>
            </w:pPr>
            <w:r>
              <w:rPr>
                <w:b/>
                <w:highlight w:val="none"/>
              </w:rPr>
              <w:t>备注</w:t>
            </w:r>
          </w:p>
        </w:tc>
      </w:tr>
      <w:tr w14:paraId="2AAFB9D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0" w:type="auto"/>
            <w:vMerge w:val="continue"/>
            <w:tcBorders>
              <w:top w:val="single" w:color="000000" w:sz="12" w:space="0"/>
              <w:left w:val="single" w:color="000000" w:sz="12" w:space="0"/>
              <w:bottom w:val="single" w:color="000000" w:sz="6" w:space="0"/>
              <w:right w:val="single" w:color="000000" w:sz="6" w:space="0"/>
            </w:tcBorders>
            <w:vAlign w:val="center"/>
          </w:tcPr>
          <w:p w14:paraId="2AD0A8D3">
            <w:pPr>
              <w:widowControl/>
              <w:jc w:val="left"/>
              <w:rPr>
                <w:b/>
                <w:highlight w:val="none"/>
              </w:rPr>
            </w:pPr>
          </w:p>
        </w:tc>
        <w:tc>
          <w:tcPr>
            <w:tcW w:w="0" w:type="auto"/>
            <w:vMerge w:val="continue"/>
            <w:tcBorders>
              <w:top w:val="single" w:color="000000" w:sz="12" w:space="0"/>
              <w:left w:val="single" w:color="000000" w:sz="6" w:space="0"/>
              <w:bottom w:val="single" w:color="000000" w:sz="6" w:space="0"/>
              <w:right w:val="single" w:color="000000" w:sz="6" w:space="0"/>
            </w:tcBorders>
            <w:vAlign w:val="center"/>
          </w:tcPr>
          <w:p w14:paraId="21E96405">
            <w:pPr>
              <w:widowControl/>
              <w:jc w:val="left"/>
              <w:rPr>
                <w:b/>
                <w:highlight w:val="none"/>
              </w:rPr>
            </w:pPr>
          </w:p>
        </w:tc>
        <w:tc>
          <w:tcPr>
            <w:tcW w:w="0" w:type="auto"/>
            <w:vMerge w:val="continue"/>
            <w:tcBorders>
              <w:top w:val="single" w:color="000000" w:sz="12" w:space="0"/>
              <w:left w:val="single" w:color="000000" w:sz="6" w:space="0"/>
              <w:bottom w:val="single" w:color="000000" w:sz="6" w:space="0"/>
              <w:right w:val="single" w:color="000000" w:sz="6" w:space="0"/>
            </w:tcBorders>
            <w:vAlign w:val="center"/>
          </w:tcPr>
          <w:p w14:paraId="11AEE498">
            <w:pPr>
              <w:widowControl/>
              <w:jc w:val="left"/>
              <w:rPr>
                <w:b/>
                <w:highlight w:val="none"/>
              </w:rPr>
            </w:pPr>
          </w:p>
        </w:tc>
        <w:tc>
          <w:tcPr>
            <w:tcW w:w="696" w:type="pct"/>
            <w:tcBorders>
              <w:top w:val="single" w:color="000000" w:sz="6" w:space="0"/>
              <w:left w:val="single" w:color="000000" w:sz="6" w:space="0"/>
              <w:bottom w:val="single" w:color="000000" w:sz="6" w:space="0"/>
              <w:right w:val="single" w:color="000000" w:sz="6" w:space="0"/>
            </w:tcBorders>
            <w:vAlign w:val="center"/>
          </w:tcPr>
          <w:p w14:paraId="7D844759">
            <w:pPr>
              <w:spacing w:line="360" w:lineRule="auto"/>
              <w:jc w:val="center"/>
              <w:rPr>
                <w:b/>
                <w:highlight w:val="none"/>
              </w:rPr>
            </w:pPr>
            <w:r>
              <w:rPr>
                <w:b/>
                <w:highlight w:val="none"/>
              </w:rPr>
              <w:t>职称</w:t>
            </w:r>
          </w:p>
        </w:tc>
        <w:tc>
          <w:tcPr>
            <w:tcW w:w="696" w:type="pct"/>
            <w:tcBorders>
              <w:top w:val="single" w:color="000000" w:sz="6" w:space="0"/>
              <w:left w:val="single" w:color="000000" w:sz="6" w:space="0"/>
              <w:bottom w:val="single" w:color="000000" w:sz="6" w:space="0"/>
              <w:right w:val="single" w:color="000000" w:sz="6" w:space="0"/>
            </w:tcBorders>
          </w:tcPr>
          <w:p w14:paraId="56B22102">
            <w:pPr>
              <w:spacing w:line="360" w:lineRule="auto"/>
              <w:jc w:val="center"/>
              <w:rPr>
                <w:b/>
                <w:highlight w:val="none"/>
              </w:rPr>
            </w:pPr>
            <w:r>
              <w:rPr>
                <w:b/>
                <w:highlight w:val="none"/>
              </w:rPr>
              <w:t>人数</w:t>
            </w:r>
          </w:p>
        </w:tc>
        <w:tc>
          <w:tcPr>
            <w:tcW w:w="0" w:type="auto"/>
            <w:vMerge w:val="continue"/>
            <w:tcBorders>
              <w:top w:val="single" w:color="000000" w:sz="12" w:space="0"/>
              <w:left w:val="single" w:color="000000" w:sz="6" w:space="0"/>
              <w:bottom w:val="single" w:color="000000" w:sz="6" w:space="0"/>
              <w:right w:val="single" w:color="000000" w:sz="6" w:space="0"/>
            </w:tcBorders>
            <w:vAlign w:val="center"/>
          </w:tcPr>
          <w:p w14:paraId="0AA9375A">
            <w:pPr>
              <w:widowControl/>
              <w:jc w:val="left"/>
              <w:rPr>
                <w:b/>
                <w:highlight w:val="none"/>
              </w:rPr>
            </w:pPr>
          </w:p>
        </w:tc>
        <w:tc>
          <w:tcPr>
            <w:tcW w:w="0" w:type="auto"/>
            <w:vMerge w:val="continue"/>
            <w:tcBorders>
              <w:top w:val="single" w:color="000000" w:sz="12" w:space="0"/>
              <w:left w:val="single" w:color="000000" w:sz="6" w:space="0"/>
              <w:bottom w:val="single" w:color="000000" w:sz="6" w:space="0"/>
              <w:right w:val="single" w:color="000000" w:sz="12" w:space="0"/>
            </w:tcBorders>
            <w:vAlign w:val="center"/>
          </w:tcPr>
          <w:p w14:paraId="18BD2135">
            <w:pPr>
              <w:widowControl/>
              <w:jc w:val="left"/>
              <w:rPr>
                <w:b/>
                <w:highlight w:val="none"/>
              </w:rPr>
            </w:pPr>
          </w:p>
        </w:tc>
      </w:tr>
      <w:tr w14:paraId="7AD14DE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498" w:type="pct"/>
            <w:tcBorders>
              <w:top w:val="single" w:color="000000" w:sz="6" w:space="0"/>
              <w:left w:val="single" w:color="000000" w:sz="12" w:space="0"/>
              <w:bottom w:val="single" w:color="000000" w:sz="6" w:space="0"/>
              <w:right w:val="single" w:color="000000" w:sz="6" w:space="0"/>
            </w:tcBorders>
            <w:vAlign w:val="center"/>
          </w:tcPr>
          <w:p w14:paraId="3279EAF7">
            <w:pPr>
              <w:spacing w:line="360" w:lineRule="auto"/>
              <w:jc w:val="left"/>
              <w:rPr>
                <w:highlight w:val="none"/>
              </w:rPr>
            </w:pPr>
          </w:p>
        </w:tc>
        <w:tc>
          <w:tcPr>
            <w:tcW w:w="945" w:type="pct"/>
            <w:tcBorders>
              <w:top w:val="single" w:color="000000" w:sz="6" w:space="0"/>
              <w:left w:val="single" w:color="000000" w:sz="6" w:space="0"/>
              <w:bottom w:val="single" w:color="000000" w:sz="6" w:space="0"/>
              <w:right w:val="single" w:color="000000" w:sz="6" w:space="0"/>
            </w:tcBorders>
            <w:vAlign w:val="center"/>
          </w:tcPr>
          <w:p w14:paraId="0A37C87F">
            <w:pPr>
              <w:spacing w:line="360" w:lineRule="auto"/>
              <w:jc w:val="left"/>
              <w:rPr>
                <w:bCs/>
                <w:highlight w:val="none"/>
              </w:rPr>
            </w:pPr>
          </w:p>
        </w:tc>
        <w:tc>
          <w:tcPr>
            <w:tcW w:w="1168" w:type="pct"/>
            <w:tcBorders>
              <w:top w:val="single" w:color="000000" w:sz="6" w:space="0"/>
              <w:left w:val="single" w:color="000000" w:sz="6" w:space="0"/>
              <w:bottom w:val="single" w:color="000000" w:sz="6" w:space="0"/>
              <w:right w:val="single" w:color="000000" w:sz="6" w:space="0"/>
            </w:tcBorders>
            <w:vAlign w:val="center"/>
          </w:tcPr>
          <w:p w14:paraId="19135D8C">
            <w:pPr>
              <w:spacing w:line="360" w:lineRule="auto"/>
              <w:jc w:val="left"/>
              <w:rPr>
                <w:bCs/>
                <w:highlight w:val="none"/>
              </w:rPr>
            </w:pPr>
          </w:p>
        </w:tc>
        <w:tc>
          <w:tcPr>
            <w:tcW w:w="696" w:type="pct"/>
            <w:tcBorders>
              <w:top w:val="single" w:color="000000" w:sz="6" w:space="0"/>
              <w:left w:val="single" w:color="000000" w:sz="6" w:space="0"/>
              <w:bottom w:val="single" w:color="000000" w:sz="6" w:space="0"/>
              <w:right w:val="single" w:color="000000" w:sz="6" w:space="0"/>
            </w:tcBorders>
            <w:vAlign w:val="center"/>
          </w:tcPr>
          <w:p w14:paraId="16F87A2F">
            <w:pPr>
              <w:spacing w:line="360" w:lineRule="auto"/>
              <w:jc w:val="left"/>
              <w:rPr>
                <w:bCs/>
                <w:highlight w:val="none"/>
              </w:rPr>
            </w:pPr>
          </w:p>
        </w:tc>
        <w:tc>
          <w:tcPr>
            <w:tcW w:w="696" w:type="pct"/>
            <w:tcBorders>
              <w:top w:val="single" w:color="000000" w:sz="6" w:space="0"/>
              <w:left w:val="single" w:color="000000" w:sz="6" w:space="0"/>
              <w:bottom w:val="single" w:color="000000" w:sz="6" w:space="0"/>
              <w:right w:val="single" w:color="000000" w:sz="6" w:space="0"/>
            </w:tcBorders>
            <w:vAlign w:val="center"/>
          </w:tcPr>
          <w:p w14:paraId="55742B00">
            <w:pPr>
              <w:spacing w:line="360" w:lineRule="auto"/>
              <w:jc w:val="left"/>
              <w:rPr>
                <w:bCs/>
                <w:highlight w:val="none"/>
              </w:rPr>
            </w:pPr>
          </w:p>
        </w:tc>
        <w:tc>
          <w:tcPr>
            <w:tcW w:w="498" w:type="pct"/>
            <w:tcBorders>
              <w:top w:val="single" w:color="000000" w:sz="6" w:space="0"/>
              <w:left w:val="single" w:color="000000" w:sz="6" w:space="0"/>
              <w:bottom w:val="single" w:color="000000" w:sz="6" w:space="0"/>
              <w:right w:val="single" w:color="000000" w:sz="6" w:space="0"/>
            </w:tcBorders>
          </w:tcPr>
          <w:p w14:paraId="64A2753E">
            <w:pPr>
              <w:spacing w:line="360" w:lineRule="auto"/>
              <w:jc w:val="left"/>
              <w:rPr>
                <w:highlight w:val="none"/>
              </w:rPr>
            </w:pPr>
          </w:p>
        </w:tc>
        <w:tc>
          <w:tcPr>
            <w:tcW w:w="498" w:type="pct"/>
            <w:tcBorders>
              <w:top w:val="single" w:color="000000" w:sz="6" w:space="0"/>
              <w:left w:val="single" w:color="000000" w:sz="6" w:space="0"/>
              <w:bottom w:val="single" w:color="000000" w:sz="6" w:space="0"/>
              <w:right w:val="single" w:color="000000" w:sz="12" w:space="0"/>
            </w:tcBorders>
            <w:vAlign w:val="center"/>
          </w:tcPr>
          <w:p w14:paraId="4778A7FC">
            <w:pPr>
              <w:spacing w:line="360" w:lineRule="auto"/>
              <w:jc w:val="left"/>
              <w:rPr>
                <w:bCs/>
                <w:highlight w:val="none"/>
              </w:rPr>
            </w:pPr>
          </w:p>
        </w:tc>
      </w:tr>
      <w:tr w14:paraId="764E8FE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498" w:type="pct"/>
            <w:tcBorders>
              <w:top w:val="single" w:color="000000" w:sz="6" w:space="0"/>
              <w:left w:val="single" w:color="000000" w:sz="12" w:space="0"/>
              <w:bottom w:val="single" w:color="000000" w:sz="12" w:space="0"/>
              <w:right w:val="single" w:color="000000" w:sz="6" w:space="0"/>
            </w:tcBorders>
            <w:vAlign w:val="center"/>
          </w:tcPr>
          <w:p w14:paraId="4AA78611">
            <w:pPr>
              <w:spacing w:line="360" w:lineRule="auto"/>
              <w:jc w:val="left"/>
              <w:rPr>
                <w:highlight w:val="none"/>
              </w:rPr>
            </w:pPr>
          </w:p>
        </w:tc>
        <w:tc>
          <w:tcPr>
            <w:tcW w:w="945" w:type="pct"/>
            <w:tcBorders>
              <w:top w:val="single" w:color="000000" w:sz="6" w:space="0"/>
              <w:left w:val="single" w:color="000000" w:sz="6" w:space="0"/>
              <w:bottom w:val="single" w:color="000000" w:sz="12" w:space="0"/>
              <w:right w:val="single" w:color="000000" w:sz="6" w:space="0"/>
            </w:tcBorders>
            <w:vAlign w:val="center"/>
          </w:tcPr>
          <w:p w14:paraId="17CF1584">
            <w:pPr>
              <w:spacing w:line="360" w:lineRule="auto"/>
              <w:jc w:val="left"/>
              <w:rPr>
                <w:bCs/>
                <w:highlight w:val="none"/>
              </w:rPr>
            </w:pPr>
          </w:p>
        </w:tc>
        <w:tc>
          <w:tcPr>
            <w:tcW w:w="1168" w:type="pct"/>
            <w:tcBorders>
              <w:top w:val="single" w:color="000000" w:sz="6" w:space="0"/>
              <w:left w:val="single" w:color="000000" w:sz="6" w:space="0"/>
              <w:bottom w:val="single" w:color="000000" w:sz="12" w:space="0"/>
              <w:right w:val="single" w:color="000000" w:sz="6" w:space="0"/>
            </w:tcBorders>
            <w:vAlign w:val="center"/>
          </w:tcPr>
          <w:p w14:paraId="7E792C89">
            <w:pPr>
              <w:spacing w:line="360" w:lineRule="auto"/>
              <w:jc w:val="left"/>
              <w:rPr>
                <w:bCs/>
                <w:highlight w:val="none"/>
              </w:rPr>
            </w:pPr>
          </w:p>
        </w:tc>
        <w:tc>
          <w:tcPr>
            <w:tcW w:w="696" w:type="pct"/>
            <w:tcBorders>
              <w:top w:val="single" w:color="000000" w:sz="6" w:space="0"/>
              <w:left w:val="single" w:color="000000" w:sz="6" w:space="0"/>
              <w:bottom w:val="single" w:color="000000" w:sz="12" w:space="0"/>
              <w:right w:val="single" w:color="000000" w:sz="6" w:space="0"/>
            </w:tcBorders>
            <w:vAlign w:val="center"/>
          </w:tcPr>
          <w:p w14:paraId="09AE7DD5">
            <w:pPr>
              <w:spacing w:line="360" w:lineRule="auto"/>
              <w:jc w:val="left"/>
              <w:rPr>
                <w:bCs/>
                <w:highlight w:val="none"/>
              </w:rPr>
            </w:pPr>
          </w:p>
        </w:tc>
        <w:tc>
          <w:tcPr>
            <w:tcW w:w="696" w:type="pct"/>
            <w:tcBorders>
              <w:top w:val="single" w:color="000000" w:sz="6" w:space="0"/>
              <w:left w:val="single" w:color="000000" w:sz="6" w:space="0"/>
              <w:bottom w:val="single" w:color="000000" w:sz="12" w:space="0"/>
              <w:right w:val="single" w:color="000000" w:sz="6" w:space="0"/>
            </w:tcBorders>
            <w:vAlign w:val="center"/>
          </w:tcPr>
          <w:p w14:paraId="061E03D0">
            <w:pPr>
              <w:spacing w:line="360" w:lineRule="auto"/>
              <w:jc w:val="left"/>
              <w:rPr>
                <w:bCs/>
                <w:highlight w:val="none"/>
              </w:rPr>
            </w:pPr>
          </w:p>
        </w:tc>
        <w:tc>
          <w:tcPr>
            <w:tcW w:w="498" w:type="pct"/>
            <w:tcBorders>
              <w:top w:val="single" w:color="000000" w:sz="6" w:space="0"/>
              <w:left w:val="single" w:color="000000" w:sz="6" w:space="0"/>
              <w:bottom w:val="single" w:color="000000" w:sz="12" w:space="0"/>
              <w:right w:val="single" w:color="000000" w:sz="6" w:space="0"/>
            </w:tcBorders>
          </w:tcPr>
          <w:p w14:paraId="4884F537">
            <w:pPr>
              <w:spacing w:line="360" w:lineRule="auto"/>
              <w:jc w:val="left"/>
              <w:rPr>
                <w:highlight w:val="none"/>
              </w:rPr>
            </w:pPr>
          </w:p>
        </w:tc>
        <w:tc>
          <w:tcPr>
            <w:tcW w:w="498" w:type="pct"/>
            <w:tcBorders>
              <w:top w:val="single" w:color="000000" w:sz="6" w:space="0"/>
              <w:left w:val="single" w:color="000000" w:sz="6" w:space="0"/>
              <w:bottom w:val="single" w:color="000000" w:sz="12" w:space="0"/>
              <w:right w:val="single" w:color="000000" w:sz="12" w:space="0"/>
            </w:tcBorders>
            <w:vAlign w:val="center"/>
          </w:tcPr>
          <w:p w14:paraId="2FC010BB">
            <w:pPr>
              <w:spacing w:line="360" w:lineRule="auto"/>
              <w:jc w:val="left"/>
              <w:rPr>
                <w:bCs/>
                <w:highlight w:val="none"/>
              </w:rPr>
            </w:pPr>
          </w:p>
        </w:tc>
      </w:tr>
    </w:tbl>
    <w:p w14:paraId="3EF46791">
      <w:pPr>
        <w:spacing w:line="360" w:lineRule="auto"/>
        <w:jc w:val="left"/>
        <w:rPr>
          <w:highlight w:val="none"/>
        </w:rPr>
      </w:pPr>
      <w:r>
        <w:rPr>
          <w:highlight w:val="none"/>
        </w:rPr>
        <w:t>2.3 培训的时间、参加人数、地点等具体内容由双方商定。</w:t>
      </w:r>
    </w:p>
    <w:p w14:paraId="4135F1E1">
      <w:pPr>
        <w:spacing w:line="360" w:lineRule="auto"/>
        <w:jc w:val="left"/>
        <w:rPr>
          <w:highlight w:val="none"/>
        </w:rPr>
      </w:pPr>
      <w:r>
        <w:rPr>
          <w:highlight w:val="none"/>
        </w:rPr>
        <w:t>2.4 投标人为招标人培训人员提供设备、场地、资料等培训条件，并提供食宿和交通方便。</w:t>
      </w:r>
    </w:p>
    <w:p w14:paraId="4D8D1429">
      <w:pPr>
        <w:jc w:val="left"/>
        <w:rPr>
          <w:bCs/>
          <w:highlight w:val="none"/>
        </w:rPr>
        <w:sectPr>
          <w:pgSz w:w="11906" w:h="16838"/>
          <w:pgMar w:top="1440" w:right="1440" w:bottom="1440" w:left="1701" w:header="851" w:footer="992" w:gutter="0"/>
          <w:cols w:space="425" w:num="1"/>
          <w:docGrid w:type="lines" w:linePitch="312" w:charSpace="0"/>
        </w:sectPr>
      </w:pPr>
    </w:p>
    <w:p w14:paraId="384B576A">
      <w:pPr>
        <w:pStyle w:val="4"/>
        <w:spacing w:before="156" w:beforeLines="50" w:after="156" w:afterLines="50" w:line="360" w:lineRule="auto"/>
        <w:jc w:val="left"/>
        <w:rPr>
          <w:sz w:val="32"/>
          <w:szCs w:val="32"/>
          <w:highlight w:val="none"/>
        </w:rPr>
      </w:pPr>
      <w:bookmarkStart w:id="170" w:name="_Toc343695403"/>
      <w:bookmarkStart w:id="171" w:name="_Toc515953166"/>
      <w:bookmarkStart w:id="172" w:name="_Toc1075"/>
      <w:r>
        <w:rPr>
          <w:sz w:val="32"/>
          <w:szCs w:val="32"/>
          <w:highlight w:val="none"/>
        </w:rPr>
        <w:t>附件7 分包与外购</w:t>
      </w:r>
      <w:bookmarkEnd w:id="170"/>
      <w:bookmarkEnd w:id="171"/>
      <w:r>
        <w:rPr>
          <w:rFonts w:hint="eastAsia"/>
          <w:sz w:val="32"/>
          <w:szCs w:val="32"/>
          <w:highlight w:val="none"/>
        </w:rPr>
        <w:t>（本项目不允许分包，部分设备允许外购）</w:t>
      </w:r>
      <w:bookmarkEnd w:id="172"/>
    </w:p>
    <w:p w14:paraId="3D655446">
      <w:pPr>
        <w:spacing w:line="360" w:lineRule="auto"/>
        <w:ind w:firstLine="480" w:firstLineChars="200"/>
        <w:jc w:val="left"/>
        <w:rPr>
          <w:highlight w:val="none"/>
        </w:rPr>
      </w:pPr>
      <w:r>
        <w:rPr>
          <w:highlight w:val="none"/>
        </w:rPr>
        <w:t>投标人应详细填写下表中各分包商名单和有关情况，对于招标人已经确认选择范围的分包部分，投标人必须在此范围内进行选择。</w:t>
      </w:r>
    </w:p>
    <w:p w14:paraId="735EE84E">
      <w:pPr>
        <w:spacing w:line="360" w:lineRule="auto"/>
        <w:ind w:firstLine="2908" w:firstLineChars="1212"/>
        <w:jc w:val="left"/>
        <w:rPr>
          <w:highlight w:val="none"/>
        </w:rPr>
      </w:pPr>
      <w:r>
        <w:rPr>
          <w:highlight w:val="none"/>
        </w:rPr>
        <w:t xml:space="preserve">设 备 </w:t>
      </w:r>
      <w:r>
        <w:rPr>
          <w:rFonts w:hint="eastAsia"/>
          <w:highlight w:val="none"/>
        </w:rPr>
        <w:t>品 牌</w:t>
      </w:r>
      <w:r>
        <w:rPr>
          <w:highlight w:val="none"/>
        </w:rPr>
        <w:t xml:space="preserve"> 情 况 表</w:t>
      </w:r>
    </w:p>
    <w:tbl>
      <w:tblPr>
        <w:tblStyle w:val="21"/>
        <w:tblW w:w="4998" w:type="pct"/>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28" w:type="dxa"/>
          <w:bottom w:w="0" w:type="dxa"/>
          <w:right w:w="28" w:type="dxa"/>
        </w:tblCellMar>
      </w:tblPr>
      <w:tblGrid>
        <w:gridCol w:w="716"/>
        <w:gridCol w:w="1620"/>
        <w:gridCol w:w="692"/>
        <w:gridCol w:w="1620"/>
        <w:gridCol w:w="2434"/>
        <w:gridCol w:w="1735"/>
      </w:tblGrid>
      <w:tr w14:paraId="2AD613A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blHeader/>
        </w:trPr>
        <w:tc>
          <w:tcPr>
            <w:tcW w:w="406" w:type="pct"/>
            <w:tcBorders>
              <w:tl2br w:val="nil"/>
              <w:tr2bl w:val="nil"/>
            </w:tcBorders>
            <w:vAlign w:val="center"/>
          </w:tcPr>
          <w:p w14:paraId="1B02E13D">
            <w:pPr>
              <w:pStyle w:val="15"/>
              <w:spacing w:line="360" w:lineRule="auto"/>
              <w:jc w:val="center"/>
              <w:rPr>
                <w:highlight w:val="none"/>
              </w:rPr>
            </w:pPr>
            <w:r>
              <w:rPr>
                <w:highlight w:val="none"/>
              </w:rPr>
              <w:t>序号</w:t>
            </w:r>
          </w:p>
        </w:tc>
        <w:tc>
          <w:tcPr>
            <w:tcW w:w="918" w:type="pct"/>
            <w:tcBorders>
              <w:tl2br w:val="nil"/>
              <w:tr2bl w:val="nil"/>
            </w:tcBorders>
            <w:vAlign w:val="center"/>
          </w:tcPr>
          <w:p w14:paraId="5887A006">
            <w:pPr>
              <w:spacing w:line="360" w:lineRule="auto"/>
              <w:ind w:firstLine="280"/>
              <w:jc w:val="center"/>
              <w:rPr>
                <w:highlight w:val="none"/>
              </w:rPr>
            </w:pPr>
            <w:r>
              <w:rPr>
                <w:highlight w:val="none"/>
              </w:rPr>
              <w:t>设备名称</w:t>
            </w:r>
          </w:p>
        </w:tc>
        <w:tc>
          <w:tcPr>
            <w:tcW w:w="392" w:type="pct"/>
            <w:tcBorders>
              <w:tl2br w:val="nil"/>
              <w:tr2bl w:val="nil"/>
            </w:tcBorders>
            <w:vAlign w:val="center"/>
          </w:tcPr>
          <w:p w14:paraId="6612EF3A">
            <w:pPr>
              <w:spacing w:line="360" w:lineRule="auto"/>
              <w:jc w:val="center"/>
              <w:rPr>
                <w:highlight w:val="none"/>
              </w:rPr>
            </w:pPr>
            <w:r>
              <w:rPr>
                <w:highlight w:val="none"/>
              </w:rPr>
              <w:t>数量</w:t>
            </w:r>
          </w:p>
        </w:tc>
        <w:tc>
          <w:tcPr>
            <w:tcW w:w="918" w:type="pct"/>
            <w:tcBorders>
              <w:tl2br w:val="nil"/>
              <w:tr2bl w:val="nil"/>
            </w:tcBorders>
            <w:vAlign w:val="center"/>
          </w:tcPr>
          <w:p w14:paraId="7F70773B">
            <w:pPr>
              <w:spacing w:line="360" w:lineRule="auto"/>
              <w:ind w:firstLine="140"/>
              <w:jc w:val="center"/>
              <w:rPr>
                <w:highlight w:val="none"/>
              </w:rPr>
            </w:pPr>
            <w:r>
              <w:rPr>
                <w:rFonts w:hint="eastAsia"/>
                <w:highlight w:val="none"/>
              </w:rPr>
              <w:t>品牌</w:t>
            </w:r>
          </w:p>
        </w:tc>
        <w:tc>
          <w:tcPr>
            <w:tcW w:w="1379" w:type="pct"/>
            <w:tcBorders>
              <w:tl2br w:val="nil"/>
              <w:tr2bl w:val="nil"/>
            </w:tcBorders>
            <w:vAlign w:val="center"/>
          </w:tcPr>
          <w:p w14:paraId="189B199B">
            <w:pPr>
              <w:pStyle w:val="15"/>
              <w:spacing w:line="360" w:lineRule="auto"/>
              <w:ind w:firstLine="142"/>
              <w:jc w:val="center"/>
              <w:rPr>
                <w:highlight w:val="none"/>
              </w:rPr>
            </w:pPr>
            <w:r>
              <w:rPr>
                <w:highlight w:val="none"/>
              </w:rPr>
              <w:t>资质情况（包括与</w:t>
            </w:r>
          </w:p>
          <w:p w14:paraId="11321CDD">
            <w:pPr>
              <w:pStyle w:val="15"/>
              <w:spacing w:line="360" w:lineRule="auto"/>
              <w:ind w:firstLine="142"/>
              <w:jc w:val="center"/>
              <w:rPr>
                <w:highlight w:val="none"/>
              </w:rPr>
            </w:pPr>
            <w:r>
              <w:rPr>
                <w:highlight w:val="none"/>
              </w:rPr>
              <w:t>本设备配合业绩）</w:t>
            </w:r>
          </w:p>
        </w:tc>
        <w:tc>
          <w:tcPr>
            <w:tcW w:w="983" w:type="pct"/>
            <w:tcBorders>
              <w:tl2br w:val="nil"/>
              <w:tr2bl w:val="nil"/>
            </w:tcBorders>
            <w:vAlign w:val="center"/>
          </w:tcPr>
          <w:p w14:paraId="4A89FDB0">
            <w:pPr>
              <w:spacing w:line="360" w:lineRule="auto"/>
              <w:ind w:firstLine="480" w:firstLineChars="200"/>
              <w:jc w:val="center"/>
              <w:rPr>
                <w:highlight w:val="none"/>
              </w:rPr>
            </w:pPr>
            <w:r>
              <w:rPr>
                <w:highlight w:val="none"/>
              </w:rPr>
              <w:t>备   注</w:t>
            </w:r>
          </w:p>
        </w:tc>
      </w:tr>
      <w:tr w14:paraId="00FED5A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c>
          <w:tcPr>
            <w:tcW w:w="406" w:type="pct"/>
            <w:vMerge w:val="restart"/>
            <w:tcBorders>
              <w:tl2br w:val="nil"/>
              <w:tr2bl w:val="nil"/>
            </w:tcBorders>
          </w:tcPr>
          <w:p w14:paraId="71BC5816">
            <w:pPr>
              <w:spacing w:line="360" w:lineRule="auto"/>
              <w:ind w:firstLine="240" w:firstLineChars="100"/>
              <w:jc w:val="left"/>
              <w:rPr>
                <w:highlight w:val="none"/>
              </w:rPr>
            </w:pPr>
            <w:r>
              <w:rPr>
                <w:highlight w:val="none"/>
              </w:rPr>
              <w:t>1</w:t>
            </w:r>
          </w:p>
        </w:tc>
        <w:tc>
          <w:tcPr>
            <w:tcW w:w="918" w:type="pct"/>
            <w:vMerge w:val="restart"/>
            <w:tcBorders>
              <w:tl2br w:val="nil"/>
              <w:tr2bl w:val="nil"/>
            </w:tcBorders>
          </w:tcPr>
          <w:p w14:paraId="618C3834">
            <w:pPr>
              <w:spacing w:line="360" w:lineRule="auto"/>
              <w:ind w:firstLine="567"/>
              <w:jc w:val="left"/>
              <w:rPr>
                <w:highlight w:val="none"/>
              </w:rPr>
            </w:pPr>
          </w:p>
        </w:tc>
        <w:tc>
          <w:tcPr>
            <w:tcW w:w="392" w:type="pct"/>
            <w:vMerge w:val="restart"/>
            <w:tcBorders>
              <w:tl2br w:val="nil"/>
              <w:tr2bl w:val="nil"/>
            </w:tcBorders>
          </w:tcPr>
          <w:p w14:paraId="5B55189A">
            <w:pPr>
              <w:spacing w:line="360" w:lineRule="auto"/>
              <w:jc w:val="left"/>
              <w:rPr>
                <w:highlight w:val="none"/>
              </w:rPr>
            </w:pPr>
          </w:p>
        </w:tc>
        <w:tc>
          <w:tcPr>
            <w:tcW w:w="918" w:type="pct"/>
            <w:tcBorders>
              <w:tl2br w:val="nil"/>
              <w:tr2bl w:val="nil"/>
            </w:tcBorders>
          </w:tcPr>
          <w:p w14:paraId="6A9DB37E">
            <w:pPr>
              <w:spacing w:line="360" w:lineRule="auto"/>
              <w:ind w:firstLine="567"/>
              <w:jc w:val="left"/>
              <w:rPr>
                <w:highlight w:val="none"/>
              </w:rPr>
            </w:pPr>
          </w:p>
        </w:tc>
        <w:tc>
          <w:tcPr>
            <w:tcW w:w="1379" w:type="pct"/>
            <w:tcBorders>
              <w:tl2br w:val="nil"/>
              <w:tr2bl w:val="nil"/>
            </w:tcBorders>
          </w:tcPr>
          <w:p w14:paraId="3EFBEA06">
            <w:pPr>
              <w:pStyle w:val="15"/>
              <w:spacing w:line="360" w:lineRule="auto"/>
              <w:jc w:val="left"/>
              <w:rPr>
                <w:highlight w:val="none"/>
              </w:rPr>
            </w:pPr>
            <w:r>
              <w:rPr>
                <w:highlight w:val="none"/>
              </w:rPr>
              <w:t xml:space="preserve">   </w:t>
            </w:r>
          </w:p>
        </w:tc>
        <w:tc>
          <w:tcPr>
            <w:tcW w:w="983" w:type="pct"/>
            <w:tcBorders>
              <w:tl2br w:val="nil"/>
              <w:tr2bl w:val="nil"/>
            </w:tcBorders>
          </w:tcPr>
          <w:p w14:paraId="614DCEAE">
            <w:pPr>
              <w:spacing w:line="360" w:lineRule="auto"/>
              <w:ind w:firstLine="567"/>
              <w:jc w:val="left"/>
              <w:rPr>
                <w:highlight w:val="none"/>
              </w:rPr>
            </w:pPr>
          </w:p>
        </w:tc>
      </w:tr>
      <w:tr w14:paraId="55DA4CB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c>
          <w:tcPr>
            <w:tcW w:w="406" w:type="pct"/>
            <w:vMerge w:val="continue"/>
            <w:tcBorders>
              <w:tl2br w:val="nil"/>
              <w:tr2bl w:val="nil"/>
            </w:tcBorders>
          </w:tcPr>
          <w:p w14:paraId="4B567B52">
            <w:pPr>
              <w:spacing w:line="360" w:lineRule="auto"/>
              <w:jc w:val="left"/>
              <w:rPr>
                <w:highlight w:val="none"/>
              </w:rPr>
            </w:pPr>
          </w:p>
        </w:tc>
        <w:tc>
          <w:tcPr>
            <w:tcW w:w="918" w:type="pct"/>
            <w:vMerge w:val="continue"/>
            <w:tcBorders>
              <w:tl2br w:val="nil"/>
              <w:tr2bl w:val="nil"/>
            </w:tcBorders>
          </w:tcPr>
          <w:p w14:paraId="4FC5DFF7">
            <w:pPr>
              <w:spacing w:line="360" w:lineRule="auto"/>
              <w:ind w:firstLine="567"/>
              <w:jc w:val="left"/>
              <w:rPr>
                <w:highlight w:val="none"/>
              </w:rPr>
            </w:pPr>
          </w:p>
        </w:tc>
        <w:tc>
          <w:tcPr>
            <w:tcW w:w="392" w:type="pct"/>
            <w:vMerge w:val="continue"/>
            <w:tcBorders>
              <w:tl2br w:val="nil"/>
              <w:tr2bl w:val="nil"/>
            </w:tcBorders>
          </w:tcPr>
          <w:p w14:paraId="752DF09A">
            <w:pPr>
              <w:spacing w:line="360" w:lineRule="auto"/>
              <w:jc w:val="left"/>
              <w:rPr>
                <w:highlight w:val="none"/>
              </w:rPr>
            </w:pPr>
          </w:p>
        </w:tc>
        <w:tc>
          <w:tcPr>
            <w:tcW w:w="918" w:type="pct"/>
            <w:tcBorders>
              <w:tl2br w:val="nil"/>
              <w:tr2bl w:val="nil"/>
            </w:tcBorders>
          </w:tcPr>
          <w:p w14:paraId="7E743708">
            <w:pPr>
              <w:spacing w:line="360" w:lineRule="auto"/>
              <w:ind w:firstLine="567"/>
              <w:jc w:val="left"/>
              <w:rPr>
                <w:highlight w:val="none"/>
              </w:rPr>
            </w:pPr>
          </w:p>
        </w:tc>
        <w:tc>
          <w:tcPr>
            <w:tcW w:w="1379" w:type="pct"/>
            <w:tcBorders>
              <w:tl2br w:val="nil"/>
              <w:tr2bl w:val="nil"/>
            </w:tcBorders>
          </w:tcPr>
          <w:p w14:paraId="4B702E1C">
            <w:pPr>
              <w:spacing w:line="360" w:lineRule="auto"/>
              <w:ind w:firstLine="567"/>
              <w:jc w:val="left"/>
              <w:rPr>
                <w:highlight w:val="none"/>
              </w:rPr>
            </w:pPr>
          </w:p>
        </w:tc>
        <w:tc>
          <w:tcPr>
            <w:tcW w:w="983" w:type="pct"/>
            <w:tcBorders>
              <w:tl2br w:val="nil"/>
              <w:tr2bl w:val="nil"/>
            </w:tcBorders>
          </w:tcPr>
          <w:p w14:paraId="29A5B9EC">
            <w:pPr>
              <w:spacing w:line="360" w:lineRule="auto"/>
              <w:ind w:firstLine="567"/>
              <w:jc w:val="left"/>
              <w:rPr>
                <w:highlight w:val="none"/>
              </w:rPr>
            </w:pPr>
          </w:p>
        </w:tc>
      </w:tr>
      <w:tr w14:paraId="03D65E2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c>
          <w:tcPr>
            <w:tcW w:w="406" w:type="pct"/>
            <w:vMerge w:val="continue"/>
            <w:tcBorders>
              <w:tl2br w:val="nil"/>
              <w:tr2bl w:val="nil"/>
            </w:tcBorders>
          </w:tcPr>
          <w:p w14:paraId="32BE6C0A">
            <w:pPr>
              <w:spacing w:line="360" w:lineRule="auto"/>
              <w:jc w:val="left"/>
              <w:rPr>
                <w:highlight w:val="none"/>
              </w:rPr>
            </w:pPr>
          </w:p>
        </w:tc>
        <w:tc>
          <w:tcPr>
            <w:tcW w:w="918" w:type="pct"/>
            <w:vMerge w:val="continue"/>
            <w:tcBorders>
              <w:tl2br w:val="nil"/>
              <w:tr2bl w:val="nil"/>
            </w:tcBorders>
          </w:tcPr>
          <w:p w14:paraId="4E4387C2">
            <w:pPr>
              <w:spacing w:line="360" w:lineRule="auto"/>
              <w:ind w:firstLine="567"/>
              <w:jc w:val="left"/>
              <w:rPr>
                <w:highlight w:val="none"/>
              </w:rPr>
            </w:pPr>
          </w:p>
        </w:tc>
        <w:tc>
          <w:tcPr>
            <w:tcW w:w="392" w:type="pct"/>
            <w:vMerge w:val="continue"/>
            <w:tcBorders>
              <w:tl2br w:val="nil"/>
              <w:tr2bl w:val="nil"/>
            </w:tcBorders>
          </w:tcPr>
          <w:p w14:paraId="0FBC0C4C">
            <w:pPr>
              <w:spacing w:line="360" w:lineRule="auto"/>
              <w:jc w:val="left"/>
              <w:rPr>
                <w:highlight w:val="none"/>
              </w:rPr>
            </w:pPr>
          </w:p>
        </w:tc>
        <w:tc>
          <w:tcPr>
            <w:tcW w:w="918" w:type="pct"/>
            <w:tcBorders>
              <w:tl2br w:val="nil"/>
              <w:tr2bl w:val="nil"/>
            </w:tcBorders>
          </w:tcPr>
          <w:p w14:paraId="3C308BE3">
            <w:pPr>
              <w:spacing w:line="360" w:lineRule="auto"/>
              <w:ind w:firstLine="567"/>
              <w:jc w:val="left"/>
              <w:rPr>
                <w:highlight w:val="none"/>
              </w:rPr>
            </w:pPr>
          </w:p>
        </w:tc>
        <w:tc>
          <w:tcPr>
            <w:tcW w:w="1379" w:type="pct"/>
            <w:tcBorders>
              <w:tl2br w:val="nil"/>
              <w:tr2bl w:val="nil"/>
            </w:tcBorders>
          </w:tcPr>
          <w:p w14:paraId="2D7359DC">
            <w:pPr>
              <w:spacing w:line="360" w:lineRule="auto"/>
              <w:ind w:firstLine="567"/>
              <w:jc w:val="left"/>
              <w:rPr>
                <w:highlight w:val="none"/>
              </w:rPr>
            </w:pPr>
          </w:p>
        </w:tc>
        <w:tc>
          <w:tcPr>
            <w:tcW w:w="983" w:type="pct"/>
            <w:tcBorders>
              <w:tl2br w:val="nil"/>
              <w:tr2bl w:val="nil"/>
            </w:tcBorders>
          </w:tcPr>
          <w:p w14:paraId="3D4B10F5">
            <w:pPr>
              <w:spacing w:line="360" w:lineRule="auto"/>
              <w:ind w:firstLine="567"/>
              <w:jc w:val="left"/>
              <w:rPr>
                <w:highlight w:val="none"/>
              </w:rPr>
            </w:pPr>
          </w:p>
        </w:tc>
      </w:tr>
      <w:tr w14:paraId="483475E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c>
          <w:tcPr>
            <w:tcW w:w="406" w:type="pct"/>
            <w:vMerge w:val="restart"/>
            <w:tcBorders>
              <w:tl2br w:val="nil"/>
              <w:tr2bl w:val="nil"/>
            </w:tcBorders>
          </w:tcPr>
          <w:p w14:paraId="51E694CC">
            <w:pPr>
              <w:spacing w:line="360" w:lineRule="auto"/>
              <w:ind w:firstLine="240" w:firstLineChars="100"/>
              <w:jc w:val="left"/>
              <w:rPr>
                <w:highlight w:val="none"/>
              </w:rPr>
            </w:pPr>
            <w:r>
              <w:rPr>
                <w:highlight w:val="none"/>
              </w:rPr>
              <w:t>2</w:t>
            </w:r>
          </w:p>
        </w:tc>
        <w:tc>
          <w:tcPr>
            <w:tcW w:w="918" w:type="pct"/>
            <w:vMerge w:val="restart"/>
            <w:tcBorders>
              <w:tl2br w:val="nil"/>
              <w:tr2bl w:val="nil"/>
            </w:tcBorders>
          </w:tcPr>
          <w:p w14:paraId="15E72A68">
            <w:pPr>
              <w:spacing w:line="360" w:lineRule="auto"/>
              <w:ind w:firstLine="567"/>
              <w:jc w:val="left"/>
              <w:rPr>
                <w:highlight w:val="none"/>
              </w:rPr>
            </w:pPr>
          </w:p>
        </w:tc>
        <w:tc>
          <w:tcPr>
            <w:tcW w:w="392" w:type="pct"/>
            <w:vMerge w:val="restart"/>
            <w:tcBorders>
              <w:tl2br w:val="nil"/>
              <w:tr2bl w:val="nil"/>
            </w:tcBorders>
          </w:tcPr>
          <w:p w14:paraId="60529885">
            <w:pPr>
              <w:spacing w:line="360" w:lineRule="auto"/>
              <w:jc w:val="left"/>
              <w:rPr>
                <w:highlight w:val="none"/>
              </w:rPr>
            </w:pPr>
          </w:p>
        </w:tc>
        <w:tc>
          <w:tcPr>
            <w:tcW w:w="918" w:type="pct"/>
            <w:tcBorders>
              <w:tl2br w:val="nil"/>
              <w:tr2bl w:val="nil"/>
            </w:tcBorders>
          </w:tcPr>
          <w:p w14:paraId="5BB1FDC2">
            <w:pPr>
              <w:spacing w:line="360" w:lineRule="auto"/>
              <w:ind w:firstLine="567"/>
              <w:jc w:val="left"/>
              <w:rPr>
                <w:highlight w:val="none"/>
              </w:rPr>
            </w:pPr>
          </w:p>
        </w:tc>
        <w:tc>
          <w:tcPr>
            <w:tcW w:w="1379" w:type="pct"/>
            <w:tcBorders>
              <w:tl2br w:val="nil"/>
              <w:tr2bl w:val="nil"/>
            </w:tcBorders>
          </w:tcPr>
          <w:p w14:paraId="5660D457">
            <w:pPr>
              <w:spacing w:line="360" w:lineRule="auto"/>
              <w:ind w:firstLine="567"/>
              <w:jc w:val="left"/>
              <w:rPr>
                <w:highlight w:val="none"/>
              </w:rPr>
            </w:pPr>
          </w:p>
        </w:tc>
        <w:tc>
          <w:tcPr>
            <w:tcW w:w="983" w:type="pct"/>
            <w:tcBorders>
              <w:tl2br w:val="nil"/>
              <w:tr2bl w:val="nil"/>
            </w:tcBorders>
          </w:tcPr>
          <w:p w14:paraId="5BBEF7C7">
            <w:pPr>
              <w:spacing w:line="360" w:lineRule="auto"/>
              <w:ind w:firstLine="567"/>
              <w:jc w:val="left"/>
              <w:rPr>
                <w:highlight w:val="none"/>
              </w:rPr>
            </w:pPr>
          </w:p>
        </w:tc>
      </w:tr>
      <w:tr w14:paraId="3820330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c>
          <w:tcPr>
            <w:tcW w:w="406" w:type="pct"/>
            <w:vMerge w:val="continue"/>
            <w:tcBorders>
              <w:tl2br w:val="nil"/>
              <w:tr2bl w:val="nil"/>
            </w:tcBorders>
          </w:tcPr>
          <w:p w14:paraId="1F9B9B8C">
            <w:pPr>
              <w:spacing w:line="360" w:lineRule="auto"/>
              <w:jc w:val="left"/>
              <w:rPr>
                <w:highlight w:val="none"/>
              </w:rPr>
            </w:pPr>
          </w:p>
        </w:tc>
        <w:tc>
          <w:tcPr>
            <w:tcW w:w="918" w:type="pct"/>
            <w:vMerge w:val="continue"/>
            <w:tcBorders>
              <w:tl2br w:val="nil"/>
              <w:tr2bl w:val="nil"/>
            </w:tcBorders>
          </w:tcPr>
          <w:p w14:paraId="2FAB1D08">
            <w:pPr>
              <w:spacing w:line="360" w:lineRule="auto"/>
              <w:ind w:firstLine="567"/>
              <w:jc w:val="left"/>
              <w:rPr>
                <w:highlight w:val="none"/>
              </w:rPr>
            </w:pPr>
          </w:p>
        </w:tc>
        <w:tc>
          <w:tcPr>
            <w:tcW w:w="392" w:type="pct"/>
            <w:vMerge w:val="continue"/>
            <w:tcBorders>
              <w:tl2br w:val="nil"/>
              <w:tr2bl w:val="nil"/>
            </w:tcBorders>
          </w:tcPr>
          <w:p w14:paraId="52858735">
            <w:pPr>
              <w:spacing w:line="360" w:lineRule="auto"/>
              <w:jc w:val="left"/>
              <w:rPr>
                <w:highlight w:val="none"/>
              </w:rPr>
            </w:pPr>
          </w:p>
        </w:tc>
        <w:tc>
          <w:tcPr>
            <w:tcW w:w="918" w:type="pct"/>
            <w:tcBorders>
              <w:tl2br w:val="nil"/>
              <w:tr2bl w:val="nil"/>
            </w:tcBorders>
          </w:tcPr>
          <w:p w14:paraId="67A0EB25">
            <w:pPr>
              <w:spacing w:line="360" w:lineRule="auto"/>
              <w:ind w:firstLine="567"/>
              <w:jc w:val="left"/>
              <w:rPr>
                <w:highlight w:val="none"/>
              </w:rPr>
            </w:pPr>
          </w:p>
        </w:tc>
        <w:tc>
          <w:tcPr>
            <w:tcW w:w="1379" w:type="pct"/>
            <w:tcBorders>
              <w:tl2br w:val="nil"/>
              <w:tr2bl w:val="nil"/>
            </w:tcBorders>
          </w:tcPr>
          <w:p w14:paraId="2369E40D">
            <w:pPr>
              <w:spacing w:line="360" w:lineRule="auto"/>
              <w:ind w:firstLine="567"/>
              <w:jc w:val="left"/>
              <w:rPr>
                <w:highlight w:val="none"/>
              </w:rPr>
            </w:pPr>
          </w:p>
        </w:tc>
        <w:tc>
          <w:tcPr>
            <w:tcW w:w="983" w:type="pct"/>
            <w:tcBorders>
              <w:tl2br w:val="nil"/>
              <w:tr2bl w:val="nil"/>
            </w:tcBorders>
          </w:tcPr>
          <w:p w14:paraId="305E98FF">
            <w:pPr>
              <w:spacing w:line="360" w:lineRule="auto"/>
              <w:ind w:firstLine="567"/>
              <w:jc w:val="left"/>
              <w:rPr>
                <w:highlight w:val="none"/>
              </w:rPr>
            </w:pPr>
          </w:p>
        </w:tc>
      </w:tr>
      <w:tr w14:paraId="4B4F9FB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c>
          <w:tcPr>
            <w:tcW w:w="406" w:type="pct"/>
            <w:vMerge w:val="continue"/>
            <w:tcBorders>
              <w:tl2br w:val="nil"/>
              <w:tr2bl w:val="nil"/>
            </w:tcBorders>
          </w:tcPr>
          <w:p w14:paraId="465326FB">
            <w:pPr>
              <w:spacing w:line="360" w:lineRule="auto"/>
              <w:jc w:val="left"/>
              <w:rPr>
                <w:highlight w:val="none"/>
              </w:rPr>
            </w:pPr>
          </w:p>
        </w:tc>
        <w:tc>
          <w:tcPr>
            <w:tcW w:w="918" w:type="pct"/>
            <w:vMerge w:val="continue"/>
            <w:tcBorders>
              <w:tl2br w:val="nil"/>
              <w:tr2bl w:val="nil"/>
            </w:tcBorders>
          </w:tcPr>
          <w:p w14:paraId="7F0B39EE">
            <w:pPr>
              <w:spacing w:line="360" w:lineRule="auto"/>
              <w:ind w:firstLine="567"/>
              <w:jc w:val="left"/>
              <w:rPr>
                <w:highlight w:val="none"/>
              </w:rPr>
            </w:pPr>
          </w:p>
        </w:tc>
        <w:tc>
          <w:tcPr>
            <w:tcW w:w="392" w:type="pct"/>
            <w:vMerge w:val="continue"/>
            <w:tcBorders>
              <w:tl2br w:val="nil"/>
              <w:tr2bl w:val="nil"/>
            </w:tcBorders>
          </w:tcPr>
          <w:p w14:paraId="6CBA5BFD">
            <w:pPr>
              <w:spacing w:line="360" w:lineRule="auto"/>
              <w:jc w:val="left"/>
              <w:rPr>
                <w:highlight w:val="none"/>
              </w:rPr>
            </w:pPr>
          </w:p>
        </w:tc>
        <w:tc>
          <w:tcPr>
            <w:tcW w:w="918" w:type="pct"/>
            <w:tcBorders>
              <w:tl2br w:val="nil"/>
              <w:tr2bl w:val="nil"/>
            </w:tcBorders>
          </w:tcPr>
          <w:p w14:paraId="4467F4EB">
            <w:pPr>
              <w:spacing w:line="360" w:lineRule="auto"/>
              <w:ind w:firstLine="567"/>
              <w:jc w:val="left"/>
              <w:rPr>
                <w:highlight w:val="none"/>
              </w:rPr>
            </w:pPr>
          </w:p>
        </w:tc>
        <w:tc>
          <w:tcPr>
            <w:tcW w:w="1379" w:type="pct"/>
            <w:tcBorders>
              <w:tl2br w:val="nil"/>
              <w:tr2bl w:val="nil"/>
            </w:tcBorders>
          </w:tcPr>
          <w:p w14:paraId="632BA686">
            <w:pPr>
              <w:spacing w:line="360" w:lineRule="auto"/>
              <w:ind w:firstLine="567"/>
              <w:jc w:val="left"/>
              <w:rPr>
                <w:highlight w:val="none"/>
              </w:rPr>
            </w:pPr>
          </w:p>
        </w:tc>
        <w:tc>
          <w:tcPr>
            <w:tcW w:w="983" w:type="pct"/>
            <w:tcBorders>
              <w:tl2br w:val="nil"/>
              <w:tr2bl w:val="nil"/>
            </w:tcBorders>
          </w:tcPr>
          <w:p w14:paraId="1CA043A4">
            <w:pPr>
              <w:spacing w:line="360" w:lineRule="auto"/>
              <w:ind w:firstLine="567"/>
              <w:jc w:val="left"/>
              <w:rPr>
                <w:highlight w:val="none"/>
              </w:rPr>
            </w:pPr>
          </w:p>
        </w:tc>
      </w:tr>
      <w:tr w14:paraId="582FF34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cantSplit/>
        </w:trPr>
        <w:tc>
          <w:tcPr>
            <w:tcW w:w="406" w:type="pct"/>
            <w:vMerge w:val="restart"/>
            <w:tcBorders>
              <w:tl2br w:val="nil"/>
              <w:tr2bl w:val="nil"/>
            </w:tcBorders>
          </w:tcPr>
          <w:p w14:paraId="48AE8DEA">
            <w:pPr>
              <w:spacing w:line="360" w:lineRule="auto"/>
              <w:ind w:firstLine="240" w:firstLineChars="100"/>
              <w:jc w:val="left"/>
              <w:rPr>
                <w:highlight w:val="none"/>
              </w:rPr>
            </w:pPr>
            <w:r>
              <w:rPr>
                <w:highlight w:val="none"/>
              </w:rPr>
              <w:t>3</w:t>
            </w:r>
          </w:p>
        </w:tc>
        <w:tc>
          <w:tcPr>
            <w:tcW w:w="918" w:type="pct"/>
            <w:vMerge w:val="restart"/>
            <w:tcBorders>
              <w:tl2br w:val="nil"/>
              <w:tr2bl w:val="nil"/>
            </w:tcBorders>
          </w:tcPr>
          <w:p w14:paraId="6B871575">
            <w:pPr>
              <w:spacing w:line="360" w:lineRule="auto"/>
              <w:ind w:firstLine="567"/>
              <w:jc w:val="left"/>
              <w:rPr>
                <w:highlight w:val="none"/>
              </w:rPr>
            </w:pPr>
          </w:p>
        </w:tc>
        <w:tc>
          <w:tcPr>
            <w:tcW w:w="392" w:type="pct"/>
            <w:vMerge w:val="restart"/>
            <w:tcBorders>
              <w:tl2br w:val="nil"/>
              <w:tr2bl w:val="nil"/>
            </w:tcBorders>
          </w:tcPr>
          <w:p w14:paraId="384F2656">
            <w:pPr>
              <w:spacing w:line="360" w:lineRule="auto"/>
              <w:jc w:val="left"/>
              <w:rPr>
                <w:highlight w:val="none"/>
              </w:rPr>
            </w:pPr>
          </w:p>
        </w:tc>
        <w:tc>
          <w:tcPr>
            <w:tcW w:w="918" w:type="pct"/>
            <w:tcBorders>
              <w:tl2br w:val="nil"/>
              <w:tr2bl w:val="nil"/>
            </w:tcBorders>
          </w:tcPr>
          <w:p w14:paraId="4F7E7C65">
            <w:pPr>
              <w:spacing w:line="360" w:lineRule="auto"/>
              <w:ind w:firstLine="567"/>
              <w:jc w:val="left"/>
              <w:rPr>
                <w:highlight w:val="none"/>
              </w:rPr>
            </w:pPr>
          </w:p>
        </w:tc>
        <w:tc>
          <w:tcPr>
            <w:tcW w:w="1379" w:type="pct"/>
            <w:tcBorders>
              <w:tl2br w:val="nil"/>
              <w:tr2bl w:val="nil"/>
            </w:tcBorders>
          </w:tcPr>
          <w:p w14:paraId="42770FA6">
            <w:pPr>
              <w:spacing w:line="360" w:lineRule="auto"/>
              <w:ind w:firstLine="567"/>
              <w:jc w:val="left"/>
              <w:rPr>
                <w:highlight w:val="none"/>
              </w:rPr>
            </w:pPr>
          </w:p>
        </w:tc>
        <w:tc>
          <w:tcPr>
            <w:tcW w:w="983" w:type="pct"/>
            <w:tcBorders>
              <w:tl2br w:val="nil"/>
              <w:tr2bl w:val="nil"/>
            </w:tcBorders>
          </w:tcPr>
          <w:p w14:paraId="6CA02ECA">
            <w:pPr>
              <w:spacing w:line="360" w:lineRule="auto"/>
              <w:ind w:firstLine="567"/>
              <w:jc w:val="left"/>
              <w:rPr>
                <w:highlight w:val="none"/>
              </w:rPr>
            </w:pPr>
          </w:p>
        </w:tc>
      </w:tr>
      <w:tr w14:paraId="2D29989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cantSplit/>
        </w:trPr>
        <w:tc>
          <w:tcPr>
            <w:tcW w:w="406" w:type="pct"/>
            <w:vMerge w:val="continue"/>
            <w:tcBorders>
              <w:tl2br w:val="nil"/>
              <w:tr2bl w:val="nil"/>
            </w:tcBorders>
            <w:vAlign w:val="center"/>
          </w:tcPr>
          <w:p w14:paraId="42946985">
            <w:pPr>
              <w:widowControl/>
              <w:spacing w:line="360" w:lineRule="auto"/>
              <w:jc w:val="left"/>
              <w:rPr>
                <w:highlight w:val="none"/>
              </w:rPr>
            </w:pPr>
          </w:p>
        </w:tc>
        <w:tc>
          <w:tcPr>
            <w:tcW w:w="918" w:type="pct"/>
            <w:vMerge w:val="continue"/>
            <w:tcBorders>
              <w:tl2br w:val="nil"/>
              <w:tr2bl w:val="nil"/>
            </w:tcBorders>
            <w:vAlign w:val="center"/>
          </w:tcPr>
          <w:p w14:paraId="52A0E9C8">
            <w:pPr>
              <w:widowControl/>
              <w:spacing w:line="360" w:lineRule="auto"/>
              <w:jc w:val="left"/>
              <w:rPr>
                <w:highlight w:val="none"/>
              </w:rPr>
            </w:pPr>
          </w:p>
        </w:tc>
        <w:tc>
          <w:tcPr>
            <w:tcW w:w="392" w:type="pct"/>
            <w:vMerge w:val="continue"/>
            <w:tcBorders>
              <w:tl2br w:val="nil"/>
              <w:tr2bl w:val="nil"/>
            </w:tcBorders>
            <w:vAlign w:val="center"/>
          </w:tcPr>
          <w:p w14:paraId="02358F07">
            <w:pPr>
              <w:widowControl/>
              <w:spacing w:line="360" w:lineRule="auto"/>
              <w:jc w:val="left"/>
              <w:rPr>
                <w:highlight w:val="none"/>
              </w:rPr>
            </w:pPr>
          </w:p>
        </w:tc>
        <w:tc>
          <w:tcPr>
            <w:tcW w:w="918" w:type="pct"/>
            <w:tcBorders>
              <w:tl2br w:val="nil"/>
              <w:tr2bl w:val="nil"/>
            </w:tcBorders>
          </w:tcPr>
          <w:p w14:paraId="5BBCAC33">
            <w:pPr>
              <w:spacing w:line="360" w:lineRule="auto"/>
              <w:ind w:firstLine="567"/>
              <w:jc w:val="left"/>
              <w:rPr>
                <w:highlight w:val="none"/>
              </w:rPr>
            </w:pPr>
          </w:p>
        </w:tc>
        <w:tc>
          <w:tcPr>
            <w:tcW w:w="1379" w:type="pct"/>
            <w:tcBorders>
              <w:tl2br w:val="nil"/>
              <w:tr2bl w:val="nil"/>
            </w:tcBorders>
          </w:tcPr>
          <w:p w14:paraId="70270442">
            <w:pPr>
              <w:spacing w:line="360" w:lineRule="auto"/>
              <w:ind w:firstLine="567"/>
              <w:jc w:val="left"/>
              <w:rPr>
                <w:highlight w:val="none"/>
              </w:rPr>
            </w:pPr>
          </w:p>
        </w:tc>
        <w:tc>
          <w:tcPr>
            <w:tcW w:w="983" w:type="pct"/>
            <w:tcBorders>
              <w:tl2br w:val="nil"/>
              <w:tr2bl w:val="nil"/>
            </w:tcBorders>
          </w:tcPr>
          <w:p w14:paraId="23DB3FC1">
            <w:pPr>
              <w:spacing w:line="360" w:lineRule="auto"/>
              <w:ind w:firstLine="567"/>
              <w:jc w:val="left"/>
              <w:rPr>
                <w:highlight w:val="none"/>
              </w:rPr>
            </w:pPr>
          </w:p>
        </w:tc>
      </w:tr>
      <w:tr w14:paraId="12BDB49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cantSplit/>
        </w:trPr>
        <w:tc>
          <w:tcPr>
            <w:tcW w:w="406" w:type="pct"/>
            <w:vMerge w:val="continue"/>
            <w:tcBorders>
              <w:tl2br w:val="nil"/>
              <w:tr2bl w:val="nil"/>
            </w:tcBorders>
            <w:vAlign w:val="center"/>
          </w:tcPr>
          <w:p w14:paraId="2FD0C682">
            <w:pPr>
              <w:widowControl/>
              <w:spacing w:line="360" w:lineRule="auto"/>
              <w:jc w:val="left"/>
              <w:rPr>
                <w:highlight w:val="none"/>
              </w:rPr>
            </w:pPr>
          </w:p>
        </w:tc>
        <w:tc>
          <w:tcPr>
            <w:tcW w:w="918" w:type="pct"/>
            <w:vMerge w:val="continue"/>
            <w:tcBorders>
              <w:tl2br w:val="nil"/>
              <w:tr2bl w:val="nil"/>
            </w:tcBorders>
            <w:vAlign w:val="center"/>
          </w:tcPr>
          <w:p w14:paraId="775C2C49">
            <w:pPr>
              <w:widowControl/>
              <w:spacing w:line="360" w:lineRule="auto"/>
              <w:jc w:val="left"/>
              <w:rPr>
                <w:highlight w:val="none"/>
              </w:rPr>
            </w:pPr>
          </w:p>
        </w:tc>
        <w:tc>
          <w:tcPr>
            <w:tcW w:w="392" w:type="pct"/>
            <w:vMerge w:val="continue"/>
            <w:tcBorders>
              <w:tl2br w:val="nil"/>
              <w:tr2bl w:val="nil"/>
            </w:tcBorders>
            <w:vAlign w:val="center"/>
          </w:tcPr>
          <w:p w14:paraId="261BDC2A">
            <w:pPr>
              <w:widowControl/>
              <w:spacing w:line="360" w:lineRule="auto"/>
              <w:jc w:val="left"/>
              <w:rPr>
                <w:highlight w:val="none"/>
              </w:rPr>
            </w:pPr>
          </w:p>
        </w:tc>
        <w:tc>
          <w:tcPr>
            <w:tcW w:w="918" w:type="pct"/>
            <w:tcBorders>
              <w:tl2br w:val="nil"/>
              <w:tr2bl w:val="nil"/>
            </w:tcBorders>
          </w:tcPr>
          <w:p w14:paraId="15DA039D">
            <w:pPr>
              <w:spacing w:line="360" w:lineRule="auto"/>
              <w:ind w:firstLine="567"/>
              <w:jc w:val="left"/>
              <w:rPr>
                <w:highlight w:val="none"/>
              </w:rPr>
            </w:pPr>
          </w:p>
        </w:tc>
        <w:tc>
          <w:tcPr>
            <w:tcW w:w="1379" w:type="pct"/>
            <w:tcBorders>
              <w:tl2br w:val="nil"/>
              <w:tr2bl w:val="nil"/>
            </w:tcBorders>
          </w:tcPr>
          <w:p w14:paraId="67C95508">
            <w:pPr>
              <w:spacing w:line="360" w:lineRule="auto"/>
              <w:ind w:firstLine="567"/>
              <w:jc w:val="left"/>
              <w:rPr>
                <w:highlight w:val="none"/>
              </w:rPr>
            </w:pPr>
          </w:p>
        </w:tc>
        <w:tc>
          <w:tcPr>
            <w:tcW w:w="983" w:type="pct"/>
            <w:tcBorders>
              <w:tl2br w:val="nil"/>
              <w:tr2bl w:val="nil"/>
            </w:tcBorders>
          </w:tcPr>
          <w:p w14:paraId="31CFFA2F">
            <w:pPr>
              <w:spacing w:line="360" w:lineRule="auto"/>
              <w:ind w:firstLine="567"/>
              <w:jc w:val="left"/>
              <w:rPr>
                <w:highlight w:val="none"/>
              </w:rPr>
            </w:pPr>
          </w:p>
        </w:tc>
      </w:tr>
      <w:tr w14:paraId="470C73F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cantSplit/>
        </w:trPr>
        <w:tc>
          <w:tcPr>
            <w:tcW w:w="406" w:type="pct"/>
            <w:vMerge w:val="restart"/>
            <w:tcBorders>
              <w:tl2br w:val="nil"/>
              <w:tr2bl w:val="nil"/>
            </w:tcBorders>
          </w:tcPr>
          <w:p w14:paraId="12C5E4B1">
            <w:pPr>
              <w:spacing w:line="360" w:lineRule="auto"/>
              <w:jc w:val="left"/>
              <w:rPr>
                <w:highlight w:val="none"/>
              </w:rPr>
            </w:pPr>
            <w:r>
              <w:rPr>
                <w:highlight w:val="none"/>
              </w:rPr>
              <w:t xml:space="preserve">  4</w:t>
            </w:r>
          </w:p>
        </w:tc>
        <w:tc>
          <w:tcPr>
            <w:tcW w:w="918" w:type="pct"/>
            <w:vMerge w:val="restart"/>
            <w:tcBorders>
              <w:tl2br w:val="nil"/>
              <w:tr2bl w:val="nil"/>
            </w:tcBorders>
          </w:tcPr>
          <w:p w14:paraId="4CE319FD">
            <w:pPr>
              <w:spacing w:line="360" w:lineRule="auto"/>
              <w:ind w:firstLine="567"/>
              <w:jc w:val="left"/>
              <w:rPr>
                <w:highlight w:val="none"/>
              </w:rPr>
            </w:pPr>
          </w:p>
        </w:tc>
        <w:tc>
          <w:tcPr>
            <w:tcW w:w="392" w:type="pct"/>
            <w:vMerge w:val="restart"/>
            <w:tcBorders>
              <w:tl2br w:val="nil"/>
              <w:tr2bl w:val="nil"/>
            </w:tcBorders>
          </w:tcPr>
          <w:p w14:paraId="3F68E7E3">
            <w:pPr>
              <w:spacing w:line="360" w:lineRule="auto"/>
              <w:jc w:val="left"/>
              <w:rPr>
                <w:highlight w:val="none"/>
              </w:rPr>
            </w:pPr>
          </w:p>
        </w:tc>
        <w:tc>
          <w:tcPr>
            <w:tcW w:w="918" w:type="pct"/>
            <w:tcBorders>
              <w:tl2br w:val="nil"/>
              <w:tr2bl w:val="nil"/>
            </w:tcBorders>
          </w:tcPr>
          <w:p w14:paraId="3694B54D">
            <w:pPr>
              <w:spacing w:line="360" w:lineRule="auto"/>
              <w:ind w:firstLine="567"/>
              <w:jc w:val="left"/>
              <w:rPr>
                <w:highlight w:val="none"/>
              </w:rPr>
            </w:pPr>
          </w:p>
        </w:tc>
        <w:tc>
          <w:tcPr>
            <w:tcW w:w="1379" w:type="pct"/>
            <w:tcBorders>
              <w:tl2br w:val="nil"/>
              <w:tr2bl w:val="nil"/>
            </w:tcBorders>
          </w:tcPr>
          <w:p w14:paraId="01FC098B">
            <w:pPr>
              <w:spacing w:line="360" w:lineRule="auto"/>
              <w:ind w:firstLine="567"/>
              <w:jc w:val="left"/>
              <w:rPr>
                <w:highlight w:val="none"/>
              </w:rPr>
            </w:pPr>
          </w:p>
        </w:tc>
        <w:tc>
          <w:tcPr>
            <w:tcW w:w="983" w:type="pct"/>
            <w:tcBorders>
              <w:tl2br w:val="nil"/>
              <w:tr2bl w:val="nil"/>
            </w:tcBorders>
          </w:tcPr>
          <w:p w14:paraId="3D06C04F">
            <w:pPr>
              <w:spacing w:line="360" w:lineRule="auto"/>
              <w:ind w:firstLine="567"/>
              <w:jc w:val="left"/>
              <w:rPr>
                <w:highlight w:val="none"/>
              </w:rPr>
            </w:pPr>
          </w:p>
        </w:tc>
      </w:tr>
      <w:tr w14:paraId="7C1CBCB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cantSplit/>
        </w:trPr>
        <w:tc>
          <w:tcPr>
            <w:tcW w:w="406" w:type="pct"/>
            <w:vMerge w:val="continue"/>
            <w:tcBorders>
              <w:tl2br w:val="nil"/>
              <w:tr2bl w:val="nil"/>
            </w:tcBorders>
            <w:vAlign w:val="center"/>
          </w:tcPr>
          <w:p w14:paraId="43CA80DC">
            <w:pPr>
              <w:widowControl/>
              <w:spacing w:line="360" w:lineRule="auto"/>
              <w:jc w:val="left"/>
              <w:rPr>
                <w:highlight w:val="none"/>
              </w:rPr>
            </w:pPr>
          </w:p>
        </w:tc>
        <w:tc>
          <w:tcPr>
            <w:tcW w:w="918" w:type="pct"/>
            <w:vMerge w:val="continue"/>
            <w:tcBorders>
              <w:tl2br w:val="nil"/>
              <w:tr2bl w:val="nil"/>
            </w:tcBorders>
            <w:vAlign w:val="center"/>
          </w:tcPr>
          <w:p w14:paraId="4ABE4A7E">
            <w:pPr>
              <w:widowControl/>
              <w:spacing w:line="360" w:lineRule="auto"/>
              <w:jc w:val="left"/>
              <w:rPr>
                <w:highlight w:val="none"/>
              </w:rPr>
            </w:pPr>
          </w:p>
        </w:tc>
        <w:tc>
          <w:tcPr>
            <w:tcW w:w="392" w:type="pct"/>
            <w:vMerge w:val="continue"/>
            <w:tcBorders>
              <w:tl2br w:val="nil"/>
              <w:tr2bl w:val="nil"/>
            </w:tcBorders>
            <w:vAlign w:val="center"/>
          </w:tcPr>
          <w:p w14:paraId="013CA40F">
            <w:pPr>
              <w:widowControl/>
              <w:spacing w:line="360" w:lineRule="auto"/>
              <w:jc w:val="left"/>
              <w:rPr>
                <w:highlight w:val="none"/>
              </w:rPr>
            </w:pPr>
          </w:p>
        </w:tc>
        <w:tc>
          <w:tcPr>
            <w:tcW w:w="918" w:type="pct"/>
            <w:tcBorders>
              <w:tl2br w:val="nil"/>
              <w:tr2bl w:val="nil"/>
            </w:tcBorders>
          </w:tcPr>
          <w:p w14:paraId="0E6E9697">
            <w:pPr>
              <w:spacing w:line="360" w:lineRule="auto"/>
              <w:ind w:firstLine="567"/>
              <w:jc w:val="left"/>
              <w:rPr>
                <w:highlight w:val="none"/>
              </w:rPr>
            </w:pPr>
          </w:p>
        </w:tc>
        <w:tc>
          <w:tcPr>
            <w:tcW w:w="1379" w:type="pct"/>
            <w:tcBorders>
              <w:tl2br w:val="nil"/>
              <w:tr2bl w:val="nil"/>
            </w:tcBorders>
          </w:tcPr>
          <w:p w14:paraId="4393C8BE">
            <w:pPr>
              <w:spacing w:line="360" w:lineRule="auto"/>
              <w:ind w:firstLine="567"/>
              <w:jc w:val="left"/>
              <w:rPr>
                <w:highlight w:val="none"/>
              </w:rPr>
            </w:pPr>
          </w:p>
        </w:tc>
        <w:tc>
          <w:tcPr>
            <w:tcW w:w="983" w:type="pct"/>
            <w:tcBorders>
              <w:tl2br w:val="nil"/>
              <w:tr2bl w:val="nil"/>
            </w:tcBorders>
          </w:tcPr>
          <w:p w14:paraId="1788F49C">
            <w:pPr>
              <w:spacing w:line="360" w:lineRule="auto"/>
              <w:ind w:firstLine="567"/>
              <w:jc w:val="left"/>
              <w:rPr>
                <w:highlight w:val="none"/>
              </w:rPr>
            </w:pPr>
          </w:p>
        </w:tc>
      </w:tr>
      <w:tr w14:paraId="3FE2511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cantSplit/>
        </w:trPr>
        <w:tc>
          <w:tcPr>
            <w:tcW w:w="406" w:type="pct"/>
            <w:vMerge w:val="continue"/>
            <w:tcBorders>
              <w:tl2br w:val="nil"/>
              <w:tr2bl w:val="nil"/>
            </w:tcBorders>
            <w:vAlign w:val="center"/>
          </w:tcPr>
          <w:p w14:paraId="7580B396">
            <w:pPr>
              <w:widowControl/>
              <w:spacing w:line="360" w:lineRule="auto"/>
              <w:jc w:val="left"/>
              <w:rPr>
                <w:highlight w:val="none"/>
              </w:rPr>
            </w:pPr>
          </w:p>
        </w:tc>
        <w:tc>
          <w:tcPr>
            <w:tcW w:w="918" w:type="pct"/>
            <w:vMerge w:val="continue"/>
            <w:tcBorders>
              <w:tl2br w:val="nil"/>
              <w:tr2bl w:val="nil"/>
            </w:tcBorders>
            <w:vAlign w:val="center"/>
          </w:tcPr>
          <w:p w14:paraId="65766C1D">
            <w:pPr>
              <w:widowControl/>
              <w:spacing w:line="360" w:lineRule="auto"/>
              <w:jc w:val="left"/>
              <w:rPr>
                <w:highlight w:val="none"/>
              </w:rPr>
            </w:pPr>
          </w:p>
        </w:tc>
        <w:tc>
          <w:tcPr>
            <w:tcW w:w="392" w:type="pct"/>
            <w:vMerge w:val="continue"/>
            <w:tcBorders>
              <w:tl2br w:val="nil"/>
              <w:tr2bl w:val="nil"/>
            </w:tcBorders>
            <w:vAlign w:val="center"/>
          </w:tcPr>
          <w:p w14:paraId="0B1E80A9">
            <w:pPr>
              <w:widowControl/>
              <w:spacing w:line="360" w:lineRule="auto"/>
              <w:jc w:val="left"/>
              <w:rPr>
                <w:highlight w:val="none"/>
              </w:rPr>
            </w:pPr>
          </w:p>
        </w:tc>
        <w:tc>
          <w:tcPr>
            <w:tcW w:w="918" w:type="pct"/>
            <w:tcBorders>
              <w:tl2br w:val="nil"/>
              <w:tr2bl w:val="nil"/>
            </w:tcBorders>
          </w:tcPr>
          <w:p w14:paraId="2C3A8AFE">
            <w:pPr>
              <w:spacing w:line="360" w:lineRule="auto"/>
              <w:ind w:firstLine="567"/>
              <w:jc w:val="left"/>
              <w:rPr>
                <w:highlight w:val="none"/>
              </w:rPr>
            </w:pPr>
          </w:p>
        </w:tc>
        <w:tc>
          <w:tcPr>
            <w:tcW w:w="1379" w:type="pct"/>
            <w:tcBorders>
              <w:tl2br w:val="nil"/>
              <w:tr2bl w:val="nil"/>
            </w:tcBorders>
          </w:tcPr>
          <w:p w14:paraId="5CF30392">
            <w:pPr>
              <w:spacing w:line="360" w:lineRule="auto"/>
              <w:ind w:firstLine="567"/>
              <w:jc w:val="left"/>
              <w:rPr>
                <w:highlight w:val="none"/>
              </w:rPr>
            </w:pPr>
          </w:p>
        </w:tc>
        <w:tc>
          <w:tcPr>
            <w:tcW w:w="983" w:type="pct"/>
            <w:tcBorders>
              <w:tl2br w:val="nil"/>
              <w:tr2bl w:val="nil"/>
            </w:tcBorders>
          </w:tcPr>
          <w:p w14:paraId="71DCD4F3">
            <w:pPr>
              <w:spacing w:line="360" w:lineRule="auto"/>
              <w:ind w:firstLine="567"/>
              <w:jc w:val="left"/>
              <w:rPr>
                <w:highlight w:val="none"/>
              </w:rPr>
            </w:pPr>
          </w:p>
        </w:tc>
      </w:tr>
    </w:tbl>
    <w:p w14:paraId="684E6920">
      <w:pPr>
        <w:jc w:val="left"/>
        <w:rPr>
          <w:sz w:val="32"/>
          <w:szCs w:val="32"/>
          <w:highlight w:val="none"/>
        </w:rPr>
        <w:sectPr>
          <w:pgSz w:w="11906" w:h="16838"/>
          <w:pgMar w:top="1440" w:right="1440" w:bottom="1440" w:left="1701" w:header="851" w:footer="992" w:gutter="0"/>
          <w:cols w:space="425" w:num="1"/>
          <w:docGrid w:type="lines" w:linePitch="312" w:charSpace="0"/>
        </w:sectPr>
      </w:pPr>
    </w:p>
    <w:p w14:paraId="2323D52E">
      <w:pPr>
        <w:pStyle w:val="4"/>
        <w:spacing w:before="156" w:beforeLines="50" w:after="156" w:afterLines="50" w:line="360" w:lineRule="auto"/>
        <w:jc w:val="left"/>
        <w:rPr>
          <w:sz w:val="32"/>
          <w:szCs w:val="32"/>
          <w:highlight w:val="none"/>
        </w:rPr>
      </w:pPr>
      <w:bookmarkStart w:id="173" w:name="_Toc515953167"/>
      <w:bookmarkStart w:id="174" w:name="_Toc1462"/>
      <w:bookmarkStart w:id="175" w:name="_Toc343695404"/>
      <w:bookmarkStart w:id="176" w:name="_Toc201065489"/>
      <w:r>
        <w:rPr>
          <w:sz w:val="32"/>
          <w:szCs w:val="32"/>
          <w:highlight w:val="none"/>
        </w:rPr>
        <w:t>附件8 运行维护手册</w:t>
      </w:r>
      <w:bookmarkEnd w:id="173"/>
      <w:bookmarkEnd w:id="174"/>
      <w:bookmarkEnd w:id="175"/>
      <w:bookmarkEnd w:id="176"/>
    </w:p>
    <w:p w14:paraId="30B61669">
      <w:pPr>
        <w:snapToGrid w:val="0"/>
        <w:spacing w:line="360" w:lineRule="auto"/>
        <w:jc w:val="left"/>
        <w:rPr>
          <w:highlight w:val="none"/>
        </w:rPr>
      </w:pPr>
      <w:r>
        <w:rPr>
          <w:highlight w:val="none"/>
        </w:rPr>
        <w:t>运行维护手册格式要求</w:t>
      </w:r>
    </w:p>
    <w:p w14:paraId="548685AC">
      <w:pPr>
        <w:snapToGrid w:val="0"/>
        <w:spacing w:line="360" w:lineRule="auto"/>
        <w:jc w:val="left"/>
        <w:rPr>
          <w:sz w:val="28"/>
          <w:highlight w:val="none"/>
        </w:rPr>
      </w:pPr>
    </w:p>
    <w:p w14:paraId="47C2F4EB">
      <w:pPr>
        <w:spacing w:line="360" w:lineRule="auto"/>
        <w:jc w:val="center"/>
        <w:rPr>
          <w:rFonts w:ascii="宋体" w:hAnsi="宋体"/>
          <w:b/>
          <w:sz w:val="44"/>
          <w:highlight w:val="none"/>
        </w:rPr>
      </w:pPr>
      <w:r>
        <w:rPr>
          <w:rFonts w:hint="eastAsia" w:ascii="宋体" w:hAnsi="宋体"/>
          <w:b/>
          <w:sz w:val="44"/>
          <w:highlight w:val="none"/>
        </w:rPr>
        <w:t>***工程</w:t>
      </w:r>
    </w:p>
    <w:p w14:paraId="1D3AC89E">
      <w:pPr>
        <w:pStyle w:val="54"/>
        <w:spacing w:line="360" w:lineRule="auto"/>
        <w:jc w:val="left"/>
        <w:rPr>
          <w:rFonts w:hAnsi="宋体"/>
          <w:kern w:val="2"/>
          <w:highlight w:val="none"/>
        </w:rPr>
      </w:pPr>
    </w:p>
    <w:p w14:paraId="732F28CA">
      <w:pPr>
        <w:spacing w:line="360" w:lineRule="auto"/>
        <w:jc w:val="center"/>
        <w:rPr>
          <w:rFonts w:ascii="宋体" w:hAnsi="宋体"/>
          <w:b/>
          <w:sz w:val="32"/>
          <w:highlight w:val="none"/>
        </w:rPr>
      </w:pPr>
      <w:r>
        <w:rPr>
          <w:rFonts w:hint="eastAsia" w:ascii="宋体" w:hAnsi="宋体"/>
          <w:b/>
          <w:sz w:val="36"/>
          <w:highlight w:val="none"/>
        </w:rPr>
        <w:t>非标设备</w:t>
      </w:r>
    </w:p>
    <w:p w14:paraId="733CD3F4">
      <w:pPr>
        <w:spacing w:line="360" w:lineRule="auto"/>
        <w:jc w:val="center"/>
        <w:rPr>
          <w:rFonts w:ascii="宋体" w:hAnsi="宋体"/>
          <w:b/>
          <w:sz w:val="32"/>
          <w:highlight w:val="none"/>
        </w:rPr>
      </w:pPr>
    </w:p>
    <w:p w14:paraId="7F9C1A2B">
      <w:pPr>
        <w:spacing w:line="360" w:lineRule="auto"/>
        <w:jc w:val="center"/>
        <w:rPr>
          <w:rFonts w:ascii="宋体" w:hAnsi="宋体"/>
          <w:b/>
          <w:sz w:val="32"/>
          <w:highlight w:val="none"/>
        </w:rPr>
      </w:pPr>
      <w:r>
        <w:rPr>
          <w:rFonts w:hint="eastAsia" w:ascii="宋体" w:hAnsi="宋体"/>
          <w:b/>
          <w:sz w:val="32"/>
          <w:highlight w:val="none"/>
        </w:rPr>
        <w:t>运</w:t>
      </w:r>
      <w:r>
        <w:rPr>
          <w:rFonts w:ascii="宋体" w:hAnsi="宋体"/>
          <w:b/>
          <w:sz w:val="32"/>
          <w:highlight w:val="none"/>
        </w:rPr>
        <w:t xml:space="preserve">  </w:t>
      </w:r>
      <w:r>
        <w:rPr>
          <w:rFonts w:hint="eastAsia" w:ascii="宋体" w:hAnsi="宋体"/>
          <w:b/>
          <w:sz w:val="32"/>
          <w:highlight w:val="none"/>
        </w:rPr>
        <w:t>行</w:t>
      </w:r>
      <w:r>
        <w:rPr>
          <w:rFonts w:ascii="宋体" w:hAnsi="宋体"/>
          <w:b/>
          <w:sz w:val="32"/>
          <w:highlight w:val="none"/>
        </w:rPr>
        <w:t xml:space="preserve">  </w:t>
      </w:r>
      <w:r>
        <w:rPr>
          <w:rFonts w:hint="eastAsia" w:ascii="宋体" w:hAnsi="宋体"/>
          <w:b/>
          <w:sz w:val="32"/>
          <w:highlight w:val="none"/>
        </w:rPr>
        <w:t>维</w:t>
      </w:r>
      <w:r>
        <w:rPr>
          <w:rFonts w:ascii="宋体" w:hAnsi="宋体"/>
          <w:b/>
          <w:sz w:val="32"/>
          <w:highlight w:val="none"/>
        </w:rPr>
        <w:t xml:space="preserve">  </w:t>
      </w:r>
      <w:r>
        <w:rPr>
          <w:rFonts w:hint="eastAsia" w:ascii="宋体" w:hAnsi="宋体"/>
          <w:b/>
          <w:sz w:val="32"/>
          <w:highlight w:val="none"/>
        </w:rPr>
        <w:t>护</w:t>
      </w:r>
    </w:p>
    <w:p w14:paraId="22A4DE6E">
      <w:pPr>
        <w:spacing w:line="360" w:lineRule="auto"/>
        <w:jc w:val="center"/>
        <w:rPr>
          <w:rFonts w:ascii="宋体" w:hAnsi="宋体"/>
          <w:b/>
          <w:sz w:val="32"/>
          <w:highlight w:val="none"/>
        </w:rPr>
      </w:pPr>
    </w:p>
    <w:p w14:paraId="29F5F0B6">
      <w:pPr>
        <w:spacing w:line="360" w:lineRule="auto"/>
        <w:jc w:val="center"/>
        <w:rPr>
          <w:rFonts w:ascii="宋体" w:hAnsi="宋体"/>
          <w:b/>
          <w:sz w:val="32"/>
          <w:highlight w:val="none"/>
        </w:rPr>
      </w:pPr>
      <w:r>
        <w:rPr>
          <w:rFonts w:hint="eastAsia" w:ascii="宋体" w:hAnsi="宋体"/>
          <w:b/>
          <w:sz w:val="32"/>
          <w:highlight w:val="none"/>
        </w:rPr>
        <w:t>手</w:t>
      </w:r>
    </w:p>
    <w:p w14:paraId="5B204C49">
      <w:pPr>
        <w:spacing w:line="360" w:lineRule="auto"/>
        <w:jc w:val="center"/>
        <w:rPr>
          <w:rFonts w:ascii="宋体" w:hAnsi="宋体"/>
          <w:b/>
          <w:sz w:val="32"/>
          <w:highlight w:val="none"/>
        </w:rPr>
      </w:pPr>
    </w:p>
    <w:p w14:paraId="011B6204">
      <w:pPr>
        <w:spacing w:line="360" w:lineRule="auto"/>
        <w:jc w:val="center"/>
        <w:rPr>
          <w:rFonts w:ascii="宋体" w:hAnsi="宋体"/>
          <w:b/>
          <w:sz w:val="32"/>
          <w:highlight w:val="none"/>
        </w:rPr>
      </w:pPr>
      <w:r>
        <w:rPr>
          <w:rFonts w:hint="eastAsia" w:ascii="宋体" w:hAnsi="宋体"/>
          <w:b/>
          <w:sz w:val="32"/>
          <w:highlight w:val="none"/>
        </w:rPr>
        <w:t>册</w:t>
      </w:r>
    </w:p>
    <w:p w14:paraId="128BF099">
      <w:pPr>
        <w:snapToGrid w:val="0"/>
        <w:spacing w:line="360" w:lineRule="auto"/>
        <w:jc w:val="left"/>
        <w:rPr>
          <w:highlight w:val="none"/>
        </w:rPr>
      </w:pPr>
      <w:r>
        <w:rPr>
          <w:highlight w:val="none"/>
        </w:rPr>
        <w:t>要求：一式八套</w:t>
      </w:r>
    </w:p>
    <w:p w14:paraId="1D99D974">
      <w:pPr>
        <w:snapToGrid w:val="0"/>
        <w:spacing w:line="360" w:lineRule="auto"/>
        <w:jc w:val="left"/>
        <w:rPr>
          <w:highlight w:val="none"/>
        </w:rPr>
      </w:pPr>
      <w:r>
        <w:rPr>
          <w:highlight w:val="none"/>
        </w:rPr>
        <w:t>纸张：A4</w:t>
      </w:r>
    </w:p>
    <w:p w14:paraId="3237FB24">
      <w:pPr>
        <w:snapToGrid w:val="0"/>
        <w:spacing w:line="360" w:lineRule="auto"/>
        <w:jc w:val="left"/>
        <w:rPr>
          <w:highlight w:val="none"/>
        </w:rPr>
      </w:pPr>
      <w:r>
        <w:rPr>
          <w:highlight w:val="none"/>
        </w:rPr>
        <w:t>字体：宋体，小四号</w:t>
      </w:r>
    </w:p>
    <w:p w14:paraId="28AA548E">
      <w:pPr>
        <w:snapToGrid w:val="0"/>
        <w:spacing w:line="360" w:lineRule="auto"/>
        <w:jc w:val="left"/>
        <w:rPr>
          <w:highlight w:val="none"/>
        </w:rPr>
      </w:pPr>
      <w:r>
        <w:rPr>
          <w:highlight w:val="none"/>
        </w:rPr>
        <w:t>行间距：1.5倍</w:t>
      </w:r>
    </w:p>
    <w:p w14:paraId="297A9DD2">
      <w:pPr>
        <w:snapToGrid w:val="0"/>
        <w:spacing w:line="360" w:lineRule="auto"/>
        <w:jc w:val="left"/>
        <w:rPr>
          <w:highlight w:val="none"/>
        </w:rPr>
      </w:pPr>
      <w:r>
        <w:rPr>
          <w:highlight w:val="none"/>
        </w:rPr>
        <w:t>页边距（mm）：左-30  右-25  上-30  下-40</w:t>
      </w:r>
    </w:p>
    <w:p w14:paraId="60055565">
      <w:pPr>
        <w:snapToGrid w:val="0"/>
        <w:spacing w:line="360" w:lineRule="auto"/>
        <w:jc w:val="left"/>
        <w:rPr>
          <w:highlight w:val="none"/>
        </w:rPr>
      </w:pPr>
      <w:r>
        <w:rPr>
          <w:highlight w:val="none"/>
        </w:rPr>
        <w:t>页眉：</w:t>
      </w:r>
      <w:r>
        <w:rPr>
          <w:rFonts w:hint="eastAsia"/>
          <w:highlight w:val="none"/>
        </w:rPr>
        <w:t>非标设备</w:t>
      </w:r>
      <w:r>
        <w:rPr>
          <w:highlight w:val="none"/>
        </w:rPr>
        <w:t>运行维护手册</w:t>
      </w:r>
    </w:p>
    <w:p w14:paraId="47A9EC8E">
      <w:pPr>
        <w:snapToGrid w:val="0"/>
        <w:spacing w:line="360" w:lineRule="auto"/>
        <w:jc w:val="left"/>
        <w:rPr>
          <w:highlight w:val="none"/>
        </w:rPr>
      </w:pPr>
      <w:r>
        <w:rPr>
          <w:highlight w:val="none"/>
        </w:rPr>
        <w:t>注：在正式提交前，先由招标人审定。</w:t>
      </w:r>
    </w:p>
    <w:p w14:paraId="5CE4D21C">
      <w:pPr>
        <w:pStyle w:val="11"/>
        <w:snapToGrid w:val="0"/>
        <w:spacing w:line="360" w:lineRule="auto"/>
        <w:ind w:firstLine="480"/>
        <w:jc w:val="left"/>
        <w:rPr>
          <w:highlight w:val="none"/>
        </w:rPr>
      </w:pPr>
      <w:r>
        <w:rPr>
          <w:sz w:val="28"/>
          <w:highlight w:val="none"/>
        </w:rPr>
        <w:br w:type="page"/>
      </w:r>
      <w:r>
        <w:rPr>
          <w:highlight w:val="none"/>
        </w:rPr>
        <w:t>设备运行和维护手册的目的是能够把全部必要的数据和说明装订成册。这样，运行人员可以较好地查阅和理解最初调试及试运行工作、有效操作以及在正常、事故和异常（非设计情况）下怎样正确操作设备和停机。在提交之前，双方应商定操作和维护手册的形式和内容。</w:t>
      </w:r>
    </w:p>
    <w:p w14:paraId="515D63CC">
      <w:pPr>
        <w:pStyle w:val="11"/>
        <w:snapToGrid w:val="0"/>
        <w:spacing w:line="360" w:lineRule="auto"/>
        <w:ind w:firstLine="480"/>
        <w:jc w:val="left"/>
        <w:rPr>
          <w:highlight w:val="none"/>
        </w:rPr>
      </w:pPr>
      <w:r>
        <w:rPr>
          <w:highlight w:val="none"/>
        </w:rPr>
        <w:t>该手册应详细地叙述和说明设备构造，使新来的操作和维护人员能够研究和理解设备的功能的控制方法。</w:t>
      </w:r>
    </w:p>
    <w:p w14:paraId="06CA6AF8">
      <w:pPr>
        <w:pStyle w:val="11"/>
        <w:snapToGrid w:val="0"/>
        <w:spacing w:line="360" w:lineRule="auto"/>
        <w:ind w:firstLine="480"/>
        <w:jc w:val="left"/>
        <w:rPr>
          <w:highlight w:val="none"/>
        </w:rPr>
      </w:pPr>
      <w:r>
        <w:rPr>
          <w:highlight w:val="none"/>
        </w:rPr>
        <w:t>手册中应能够快速查阅运行参数、设备说明书、操作、维护和安全程度。</w:t>
      </w:r>
    </w:p>
    <w:p w14:paraId="1E76681D">
      <w:pPr>
        <w:pStyle w:val="11"/>
        <w:snapToGrid w:val="0"/>
        <w:spacing w:line="360" w:lineRule="auto"/>
        <w:ind w:firstLine="480"/>
        <w:jc w:val="left"/>
        <w:rPr>
          <w:highlight w:val="none"/>
        </w:rPr>
      </w:pPr>
      <w:r>
        <w:rPr>
          <w:highlight w:val="none"/>
        </w:rPr>
        <w:t>运行和维护手册应包括，但不限于下述内容：</w:t>
      </w:r>
    </w:p>
    <w:p w14:paraId="3F84E6F8">
      <w:pPr>
        <w:pStyle w:val="11"/>
        <w:snapToGrid w:val="0"/>
        <w:spacing w:line="360" w:lineRule="auto"/>
        <w:ind w:firstLine="480"/>
        <w:jc w:val="left"/>
        <w:rPr>
          <w:highlight w:val="none"/>
        </w:rPr>
      </w:pPr>
      <w:r>
        <w:rPr>
          <w:highlight w:val="none"/>
        </w:rPr>
        <w:t>1．设备概述，包括设备、系统说明、设备结构、功能说明、技术规范等。</w:t>
      </w:r>
    </w:p>
    <w:p w14:paraId="689D880A">
      <w:pPr>
        <w:pStyle w:val="11"/>
        <w:snapToGrid w:val="0"/>
        <w:spacing w:line="360" w:lineRule="auto"/>
        <w:ind w:firstLine="480"/>
        <w:jc w:val="left"/>
        <w:rPr>
          <w:highlight w:val="none"/>
        </w:rPr>
      </w:pPr>
      <w:r>
        <w:rPr>
          <w:highlight w:val="none"/>
        </w:rPr>
        <w:t>2．设备启动、运行和停运的操作程序及注意事项。</w:t>
      </w:r>
    </w:p>
    <w:p w14:paraId="7E78E090">
      <w:pPr>
        <w:pStyle w:val="11"/>
        <w:snapToGrid w:val="0"/>
        <w:spacing w:line="360" w:lineRule="auto"/>
        <w:ind w:firstLine="480"/>
        <w:jc w:val="left"/>
        <w:rPr>
          <w:highlight w:val="none"/>
        </w:rPr>
      </w:pPr>
      <w:r>
        <w:rPr>
          <w:highlight w:val="none"/>
        </w:rPr>
        <w:t>3．设备联锁和保护功能说明。</w:t>
      </w:r>
    </w:p>
    <w:p w14:paraId="7E4BFAF5">
      <w:pPr>
        <w:pStyle w:val="11"/>
        <w:snapToGrid w:val="0"/>
        <w:spacing w:line="360" w:lineRule="auto"/>
        <w:ind w:firstLine="480"/>
        <w:jc w:val="left"/>
        <w:rPr>
          <w:highlight w:val="none"/>
        </w:rPr>
      </w:pPr>
      <w:r>
        <w:rPr>
          <w:highlight w:val="none"/>
        </w:rPr>
        <w:t>4．设备安装、拆卸、维护的程序及注意事项。</w:t>
      </w:r>
    </w:p>
    <w:p w14:paraId="43E77294">
      <w:pPr>
        <w:pStyle w:val="11"/>
        <w:snapToGrid w:val="0"/>
        <w:spacing w:line="360" w:lineRule="auto"/>
        <w:ind w:firstLine="480"/>
        <w:jc w:val="left"/>
        <w:rPr>
          <w:highlight w:val="none"/>
        </w:rPr>
      </w:pPr>
      <w:r>
        <w:rPr>
          <w:highlight w:val="none"/>
        </w:rPr>
        <w:t>5．设备零、部件清单，包括名称、图号、规格、材质、制造厂家全称等。</w:t>
      </w:r>
    </w:p>
    <w:p w14:paraId="21236F0F">
      <w:pPr>
        <w:pStyle w:val="11"/>
        <w:snapToGrid w:val="0"/>
        <w:spacing w:line="360" w:lineRule="auto"/>
        <w:ind w:firstLine="480"/>
        <w:jc w:val="left"/>
        <w:rPr>
          <w:highlight w:val="none"/>
        </w:rPr>
      </w:pPr>
      <w:r>
        <w:rPr>
          <w:highlight w:val="none"/>
        </w:rPr>
        <w:t>6．设备易损件、消耗性材料清单，包括名称、规格、制造厂家全称等。</w:t>
      </w:r>
    </w:p>
    <w:p w14:paraId="67685D60">
      <w:pPr>
        <w:pStyle w:val="11"/>
        <w:snapToGrid w:val="0"/>
        <w:spacing w:line="360" w:lineRule="auto"/>
        <w:ind w:firstLine="480"/>
        <w:jc w:val="left"/>
        <w:rPr>
          <w:highlight w:val="none"/>
        </w:rPr>
      </w:pPr>
      <w:r>
        <w:rPr>
          <w:highlight w:val="none"/>
        </w:rPr>
        <w:t>为便于使用和查阅，手册应分成卷，每一卷包括封面的最大厚度为50mm。</w:t>
      </w:r>
    </w:p>
    <w:p w14:paraId="29D31E4B">
      <w:pPr>
        <w:pStyle w:val="11"/>
        <w:snapToGrid w:val="0"/>
        <w:spacing w:line="360" w:lineRule="auto"/>
        <w:ind w:firstLine="480"/>
        <w:jc w:val="left"/>
        <w:rPr>
          <w:highlight w:val="none"/>
        </w:rPr>
      </w:pPr>
      <w:r>
        <w:rPr>
          <w:highlight w:val="none"/>
        </w:rPr>
        <w:t>每一卷的版式应尽可能地一致，每一部分的系统、设备等描述顺序也应一致。</w:t>
      </w:r>
    </w:p>
    <w:p w14:paraId="233DE4BC">
      <w:pPr>
        <w:jc w:val="left"/>
        <w:rPr>
          <w:sz w:val="32"/>
          <w:szCs w:val="32"/>
          <w:highlight w:val="none"/>
        </w:rPr>
        <w:sectPr>
          <w:pgSz w:w="11906" w:h="16838"/>
          <w:pgMar w:top="1440" w:right="1440" w:bottom="1440" w:left="1701" w:header="851" w:footer="992" w:gutter="0"/>
          <w:cols w:space="425" w:num="1"/>
          <w:docGrid w:type="lines" w:linePitch="312" w:charSpace="0"/>
        </w:sectPr>
      </w:pPr>
    </w:p>
    <w:p w14:paraId="187CD0B3">
      <w:pPr>
        <w:pStyle w:val="4"/>
        <w:spacing w:before="156" w:beforeLines="50" w:after="156" w:afterLines="50" w:line="360" w:lineRule="auto"/>
        <w:jc w:val="left"/>
        <w:rPr>
          <w:sz w:val="32"/>
          <w:szCs w:val="32"/>
          <w:highlight w:val="none"/>
        </w:rPr>
      </w:pPr>
      <w:bookmarkStart w:id="177" w:name="_Toc343695405"/>
      <w:bookmarkStart w:id="178" w:name="_Toc29189"/>
      <w:bookmarkStart w:id="179" w:name="_Toc515953168"/>
      <w:r>
        <w:rPr>
          <w:sz w:val="32"/>
          <w:szCs w:val="32"/>
          <w:highlight w:val="none"/>
        </w:rPr>
        <w:t>附件9 大（部）件情况</w:t>
      </w:r>
      <w:bookmarkEnd w:id="177"/>
      <w:bookmarkEnd w:id="178"/>
      <w:bookmarkEnd w:id="179"/>
    </w:p>
    <w:p w14:paraId="075F12AF">
      <w:pPr>
        <w:spacing w:line="360" w:lineRule="auto"/>
        <w:ind w:firstLine="480" w:firstLineChars="200"/>
        <w:jc w:val="left"/>
        <w:rPr>
          <w:highlight w:val="none"/>
        </w:rPr>
      </w:pPr>
      <w:r>
        <w:rPr>
          <w:highlight w:val="none"/>
        </w:rPr>
        <w:t>投标人应把超级超限的情况详细予以说明</w:t>
      </w:r>
    </w:p>
    <w:tbl>
      <w:tblPr>
        <w:tblStyle w:val="21"/>
        <w:tblW w:w="511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589"/>
        <w:gridCol w:w="977"/>
        <w:gridCol w:w="650"/>
        <w:gridCol w:w="678"/>
        <w:gridCol w:w="1080"/>
        <w:gridCol w:w="650"/>
        <w:gridCol w:w="824"/>
        <w:gridCol w:w="856"/>
        <w:gridCol w:w="931"/>
        <w:gridCol w:w="1048"/>
        <w:gridCol w:w="744"/>
      </w:tblGrid>
      <w:tr w14:paraId="4682CA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jc w:val="center"/>
        </w:trPr>
        <w:tc>
          <w:tcPr>
            <w:tcW w:w="326" w:type="pct"/>
            <w:vMerge w:val="restart"/>
            <w:tcBorders>
              <w:tl2br w:val="nil"/>
              <w:tr2bl w:val="nil"/>
            </w:tcBorders>
            <w:vAlign w:val="center"/>
          </w:tcPr>
          <w:p w14:paraId="655C8B21">
            <w:pPr>
              <w:spacing w:line="360" w:lineRule="auto"/>
              <w:jc w:val="left"/>
              <w:rPr>
                <w:highlight w:val="none"/>
              </w:rPr>
            </w:pPr>
            <w:r>
              <w:rPr>
                <w:highlight w:val="none"/>
              </w:rPr>
              <w:t>序</w:t>
            </w:r>
          </w:p>
          <w:p w14:paraId="2A525CBD">
            <w:pPr>
              <w:spacing w:line="360" w:lineRule="auto"/>
              <w:jc w:val="left"/>
              <w:rPr>
                <w:highlight w:val="none"/>
              </w:rPr>
            </w:pPr>
            <w:r>
              <w:rPr>
                <w:highlight w:val="none"/>
              </w:rPr>
              <w:t>号</w:t>
            </w:r>
          </w:p>
        </w:tc>
        <w:tc>
          <w:tcPr>
            <w:tcW w:w="541" w:type="pct"/>
            <w:vMerge w:val="restart"/>
            <w:tcBorders>
              <w:tl2br w:val="nil"/>
              <w:tr2bl w:val="nil"/>
            </w:tcBorders>
            <w:vAlign w:val="center"/>
          </w:tcPr>
          <w:p w14:paraId="34BC79C8">
            <w:pPr>
              <w:spacing w:line="360" w:lineRule="auto"/>
              <w:jc w:val="left"/>
              <w:rPr>
                <w:highlight w:val="none"/>
              </w:rPr>
            </w:pPr>
            <w:r>
              <w:rPr>
                <w:highlight w:val="none"/>
              </w:rPr>
              <w:t>部件名称</w:t>
            </w:r>
          </w:p>
        </w:tc>
        <w:tc>
          <w:tcPr>
            <w:tcW w:w="360" w:type="pct"/>
            <w:vMerge w:val="restart"/>
            <w:tcBorders>
              <w:tl2br w:val="nil"/>
              <w:tr2bl w:val="nil"/>
            </w:tcBorders>
            <w:vAlign w:val="center"/>
          </w:tcPr>
          <w:p w14:paraId="3D98AD32">
            <w:pPr>
              <w:spacing w:line="360" w:lineRule="auto"/>
              <w:jc w:val="left"/>
              <w:rPr>
                <w:highlight w:val="none"/>
              </w:rPr>
            </w:pPr>
            <w:r>
              <w:rPr>
                <w:highlight w:val="none"/>
              </w:rPr>
              <w:t>数量</w:t>
            </w:r>
          </w:p>
        </w:tc>
        <w:tc>
          <w:tcPr>
            <w:tcW w:w="973" w:type="pct"/>
            <w:gridSpan w:val="2"/>
            <w:tcBorders>
              <w:tl2br w:val="nil"/>
              <w:tr2bl w:val="nil"/>
            </w:tcBorders>
            <w:vAlign w:val="center"/>
          </w:tcPr>
          <w:p w14:paraId="25393234">
            <w:pPr>
              <w:spacing w:line="360" w:lineRule="auto"/>
              <w:jc w:val="left"/>
              <w:rPr>
                <w:highlight w:val="none"/>
              </w:rPr>
            </w:pPr>
            <w:r>
              <w:rPr>
                <w:highlight w:val="none"/>
              </w:rPr>
              <w:t>长×宽×高</w:t>
            </w:r>
          </w:p>
        </w:tc>
        <w:tc>
          <w:tcPr>
            <w:tcW w:w="816" w:type="pct"/>
            <w:gridSpan w:val="2"/>
            <w:tcBorders>
              <w:tl2br w:val="nil"/>
              <w:tr2bl w:val="nil"/>
            </w:tcBorders>
            <w:vAlign w:val="center"/>
          </w:tcPr>
          <w:p w14:paraId="1E47C2F8">
            <w:pPr>
              <w:spacing w:line="360" w:lineRule="auto"/>
              <w:jc w:val="left"/>
              <w:rPr>
                <w:highlight w:val="none"/>
              </w:rPr>
            </w:pPr>
            <w:r>
              <w:rPr>
                <w:highlight w:val="none"/>
              </w:rPr>
              <w:t>重  量</w:t>
            </w:r>
          </w:p>
        </w:tc>
        <w:tc>
          <w:tcPr>
            <w:tcW w:w="474" w:type="pct"/>
            <w:vMerge w:val="restart"/>
            <w:tcBorders>
              <w:tl2br w:val="nil"/>
              <w:tr2bl w:val="nil"/>
            </w:tcBorders>
            <w:vAlign w:val="center"/>
          </w:tcPr>
          <w:p w14:paraId="420F61E9">
            <w:pPr>
              <w:spacing w:line="360" w:lineRule="auto"/>
              <w:jc w:val="left"/>
              <w:rPr>
                <w:highlight w:val="none"/>
              </w:rPr>
            </w:pPr>
            <w:r>
              <w:rPr>
                <w:highlight w:val="none"/>
              </w:rPr>
              <w:t>厂家</w:t>
            </w:r>
          </w:p>
          <w:p w14:paraId="632BFBDD">
            <w:pPr>
              <w:spacing w:line="360" w:lineRule="auto"/>
              <w:jc w:val="left"/>
              <w:rPr>
                <w:highlight w:val="none"/>
              </w:rPr>
            </w:pPr>
            <w:r>
              <w:rPr>
                <w:highlight w:val="none"/>
              </w:rPr>
              <w:t>名称</w:t>
            </w:r>
          </w:p>
        </w:tc>
        <w:tc>
          <w:tcPr>
            <w:tcW w:w="515" w:type="pct"/>
            <w:vMerge w:val="restart"/>
            <w:tcBorders>
              <w:tl2br w:val="nil"/>
              <w:tr2bl w:val="nil"/>
            </w:tcBorders>
            <w:vAlign w:val="center"/>
          </w:tcPr>
          <w:p w14:paraId="296A2D6B">
            <w:pPr>
              <w:spacing w:line="360" w:lineRule="auto"/>
              <w:jc w:val="left"/>
              <w:rPr>
                <w:highlight w:val="none"/>
              </w:rPr>
            </w:pPr>
            <w:r>
              <w:rPr>
                <w:highlight w:val="none"/>
              </w:rPr>
              <w:t>货物发运地点</w:t>
            </w:r>
          </w:p>
        </w:tc>
        <w:tc>
          <w:tcPr>
            <w:tcW w:w="580" w:type="pct"/>
            <w:vMerge w:val="restart"/>
            <w:tcBorders>
              <w:tl2br w:val="nil"/>
              <w:tr2bl w:val="nil"/>
            </w:tcBorders>
            <w:vAlign w:val="center"/>
          </w:tcPr>
          <w:p w14:paraId="695D3D6E">
            <w:pPr>
              <w:spacing w:line="360" w:lineRule="auto"/>
              <w:jc w:val="left"/>
              <w:rPr>
                <w:highlight w:val="none"/>
              </w:rPr>
            </w:pPr>
            <w:r>
              <w:rPr>
                <w:highlight w:val="none"/>
              </w:rPr>
              <w:t>运输</w:t>
            </w:r>
          </w:p>
          <w:p w14:paraId="390AA3D1">
            <w:pPr>
              <w:spacing w:line="360" w:lineRule="auto"/>
              <w:jc w:val="left"/>
              <w:rPr>
                <w:highlight w:val="none"/>
              </w:rPr>
            </w:pPr>
            <w:r>
              <w:rPr>
                <w:highlight w:val="none"/>
              </w:rPr>
              <w:t>方式</w:t>
            </w:r>
          </w:p>
        </w:tc>
        <w:tc>
          <w:tcPr>
            <w:tcW w:w="411" w:type="pct"/>
            <w:vMerge w:val="restart"/>
            <w:tcBorders>
              <w:tl2br w:val="nil"/>
              <w:tr2bl w:val="nil"/>
            </w:tcBorders>
            <w:vAlign w:val="center"/>
          </w:tcPr>
          <w:p w14:paraId="683B5041">
            <w:pPr>
              <w:spacing w:line="360" w:lineRule="auto"/>
              <w:jc w:val="left"/>
              <w:rPr>
                <w:highlight w:val="none"/>
              </w:rPr>
            </w:pPr>
            <w:r>
              <w:rPr>
                <w:highlight w:val="none"/>
              </w:rPr>
              <w:t>备注</w:t>
            </w:r>
          </w:p>
        </w:tc>
      </w:tr>
      <w:tr w14:paraId="0A4E2C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jc w:val="center"/>
        </w:trPr>
        <w:tc>
          <w:tcPr>
            <w:tcW w:w="326" w:type="pct"/>
            <w:vMerge w:val="continue"/>
            <w:tcBorders>
              <w:tl2br w:val="nil"/>
              <w:tr2bl w:val="nil"/>
            </w:tcBorders>
            <w:vAlign w:val="center"/>
          </w:tcPr>
          <w:p w14:paraId="22ABA1C6">
            <w:pPr>
              <w:spacing w:line="360" w:lineRule="auto"/>
              <w:jc w:val="left"/>
              <w:rPr>
                <w:highlight w:val="none"/>
              </w:rPr>
            </w:pPr>
          </w:p>
        </w:tc>
        <w:tc>
          <w:tcPr>
            <w:tcW w:w="541" w:type="pct"/>
            <w:vMerge w:val="continue"/>
            <w:tcBorders>
              <w:tl2br w:val="nil"/>
              <w:tr2bl w:val="nil"/>
            </w:tcBorders>
            <w:vAlign w:val="center"/>
          </w:tcPr>
          <w:p w14:paraId="2D69E759">
            <w:pPr>
              <w:spacing w:line="360" w:lineRule="auto"/>
              <w:jc w:val="left"/>
              <w:rPr>
                <w:highlight w:val="none"/>
              </w:rPr>
            </w:pPr>
          </w:p>
        </w:tc>
        <w:tc>
          <w:tcPr>
            <w:tcW w:w="360" w:type="pct"/>
            <w:vMerge w:val="continue"/>
            <w:tcBorders>
              <w:tl2br w:val="nil"/>
              <w:tr2bl w:val="nil"/>
            </w:tcBorders>
            <w:vAlign w:val="center"/>
          </w:tcPr>
          <w:p w14:paraId="52DD0092">
            <w:pPr>
              <w:spacing w:line="360" w:lineRule="auto"/>
              <w:jc w:val="left"/>
              <w:rPr>
                <w:highlight w:val="none"/>
              </w:rPr>
            </w:pPr>
          </w:p>
        </w:tc>
        <w:tc>
          <w:tcPr>
            <w:tcW w:w="375" w:type="pct"/>
            <w:tcBorders>
              <w:tl2br w:val="nil"/>
              <w:tr2bl w:val="nil"/>
            </w:tcBorders>
            <w:vAlign w:val="center"/>
          </w:tcPr>
          <w:p w14:paraId="036BC692">
            <w:pPr>
              <w:spacing w:line="360" w:lineRule="auto"/>
              <w:jc w:val="left"/>
              <w:rPr>
                <w:highlight w:val="none"/>
              </w:rPr>
            </w:pPr>
            <w:r>
              <w:rPr>
                <w:highlight w:val="none"/>
              </w:rPr>
              <w:t>包装</w:t>
            </w:r>
          </w:p>
        </w:tc>
        <w:tc>
          <w:tcPr>
            <w:tcW w:w="598" w:type="pct"/>
            <w:tcBorders>
              <w:tl2br w:val="nil"/>
              <w:tr2bl w:val="nil"/>
            </w:tcBorders>
            <w:vAlign w:val="center"/>
          </w:tcPr>
          <w:p w14:paraId="58AD873C">
            <w:pPr>
              <w:spacing w:line="360" w:lineRule="auto"/>
              <w:jc w:val="left"/>
              <w:rPr>
                <w:highlight w:val="none"/>
              </w:rPr>
            </w:pPr>
            <w:r>
              <w:rPr>
                <w:highlight w:val="none"/>
              </w:rPr>
              <w:t>未包装</w:t>
            </w:r>
          </w:p>
        </w:tc>
        <w:tc>
          <w:tcPr>
            <w:tcW w:w="360" w:type="pct"/>
            <w:tcBorders>
              <w:tl2br w:val="nil"/>
              <w:tr2bl w:val="nil"/>
            </w:tcBorders>
            <w:vAlign w:val="center"/>
          </w:tcPr>
          <w:p w14:paraId="1429EB7B">
            <w:pPr>
              <w:spacing w:line="360" w:lineRule="auto"/>
              <w:jc w:val="left"/>
              <w:rPr>
                <w:highlight w:val="none"/>
              </w:rPr>
            </w:pPr>
            <w:r>
              <w:rPr>
                <w:highlight w:val="none"/>
              </w:rPr>
              <w:t>包装</w:t>
            </w:r>
          </w:p>
        </w:tc>
        <w:tc>
          <w:tcPr>
            <w:tcW w:w="456" w:type="pct"/>
            <w:tcBorders>
              <w:tl2br w:val="nil"/>
              <w:tr2bl w:val="nil"/>
            </w:tcBorders>
            <w:vAlign w:val="center"/>
          </w:tcPr>
          <w:p w14:paraId="273B89A1">
            <w:pPr>
              <w:spacing w:line="360" w:lineRule="auto"/>
              <w:jc w:val="left"/>
              <w:rPr>
                <w:highlight w:val="none"/>
              </w:rPr>
            </w:pPr>
            <w:r>
              <w:rPr>
                <w:highlight w:val="none"/>
              </w:rPr>
              <w:t>未包装</w:t>
            </w:r>
          </w:p>
        </w:tc>
        <w:tc>
          <w:tcPr>
            <w:tcW w:w="474" w:type="pct"/>
            <w:vMerge w:val="continue"/>
            <w:tcBorders>
              <w:tl2br w:val="nil"/>
              <w:tr2bl w:val="nil"/>
            </w:tcBorders>
            <w:vAlign w:val="center"/>
          </w:tcPr>
          <w:p w14:paraId="321BA4F4">
            <w:pPr>
              <w:spacing w:line="360" w:lineRule="auto"/>
              <w:jc w:val="left"/>
              <w:rPr>
                <w:highlight w:val="none"/>
              </w:rPr>
            </w:pPr>
          </w:p>
        </w:tc>
        <w:tc>
          <w:tcPr>
            <w:tcW w:w="515" w:type="pct"/>
            <w:vMerge w:val="continue"/>
            <w:tcBorders>
              <w:tl2br w:val="nil"/>
              <w:tr2bl w:val="nil"/>
            </w:tcBorders>
            <w:vAlign w:val="center"/>
          </w:tcPr>
          <w:p w14:paraId="6993F8B5">
            <w:pPr>
              <w:spacing w:line="360" w:lineRule="auto"/>
              <w:jc w:val="left"/>
              <w:rPr>
                <w:highlight w:val="none"/>
              </w:rPr>
            </w:pPr>
          </w:p>
        </w:tc>
        <w:tc>
          <w:tcPr>
            <w:tcW w:w="580" w:type="pct"/>
            <w:vMerge w:val="continue"/>
            <w:tcBorders>
              <w:tl2br w:val="nil"/>
              <w:tr2bl w:val="nil"/>
            </w:tcBorders>
            <w:vAlign w:val="center"/>
          </w:tcPr>
          <w:p w14:paraId="6CB93050">
            <w:pPr>
              <w:spacing w:line="360" w:lineRule="auto"/>
              <w:jc w:val="left"/>
              <w:rPr>
                <w:highlight w:val="none"/>
              </w:rPr>
            </w:pPr>
          </w:p>
        </w:tc>
        <w:tc>
          <w:tcPr>
            <w:tcW w:w="411" w:type="pct"/>
            <w:vMerge w:val="continue"/>
            <w:tcBorders>
              <w:tl2br w:val="nil"/>
              <w:tr2bl w:val="nil"/>
            </w:tcBorders>
            <w:vAlign w:val="center"/>
          </w:tcPr>
          <w:p w14:paraId="177F50DF">
            <w:pPr>
              <w:spacing w:line="360" w:lineRule="auto"/>
              <w:jc w:val="left"/>
              <w:rPr>
                <w:highlight w:val="none"/>
              </w:rPr>
            </w:pPr>
          </w:p>
        </w:tc>
      </w:tr>
      <w:tr w14:paraId="3E36D5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326" w:type="pct"/>
            <w:tcBorders>
              <w:tl2br w:val="nil"/>
              <w:tr2bl w:val="nil"/>
            </w:tcBorders>
          </w:tcPr>
          <w:p w14:paraId="7409C6B3">
            <w:pPr>
              <w:spacing w:line="360" w:lineRule="auto"/>
              <w:jc w:val="left"/>
              <w:rPr>
                <w:highlight w:val="none"/>
              </w:rPr>
            </w:pPr>
          </w:p>
        </w:tc>
        <w:tc>
          <w:tcPr>
            <w:tcW w:w="541" w:type="pct"/>
            <w:tcBorders>
              <w:tl2br w:val="nil"/>
              <w:tr2bl w:val="nil"/>
            </w:tcBorders>
          </w:tcPr>
          <w:p w14:paraId="3618C115">
            <w:pPr>
              <w:spacing w:line="360" w:lineRule="auto"/>
              <w:jc w:val="left"/>
              <w:rPr>
                <w:highlight w:val="none"/>
              </w:rPr>
            </w:pPr>
          </w:p>
        </w:tc>
        <w:tc>
          <w:tcPr>
            <w:tcW w:w="360" w:type="pct"/>
            <w:tcBorders>
              <w:tl2br w:val="nil"/>
              <w:tr2bl w:val="nil"/>
            </w:tcBorders>
          </w:tcPr>
          <w:p w14:paraId="6EB40670">
            <w:pPr>
              <w:spacing w:line="360" w:lineRule="auto"/>
              <w:ind w:firstLine="567"/>
              <w:jc w:val="left"/>
              <w:rPr>
                <w:highlight w:val="none"/>
              </w:rPr>
            </w:pPr>
          </w:p>
        </w:tc>
        <w:tc>
          <w:tcPr>
            <w:tcW w:w="375" w:type="pct"/>
            <w:tcBorders>
              <w:tl2br w:val="nil"/>
              <w:tr2bl w:val="nil"/>
            </w:tcBorders>
          </w:tcPr>
          <w:p w14:paraId="0B67DF4A">
            <w:pPr>
              <w:spacing w:line="360" w:lineRule="auto"/>
              <w:ind w:firstLine="567"/>
              <w:jc w:val="left"/>
              <w:rPr>
                <w:highlight w:val="none"/>
              </w:rPr>
            </w:pPr>
          </w:p>
        </w:tc>
        <w:tc>
          <w:tcPr>
            <w:tcW w:w="598" w:type="pct"/>
            <w:tcBorders>
              <w:tl2br w:val="nil"/>
              <w:tr2bl w:val="nil"/>
            </w:tcBorders>
          </w:tcPr>
          <w:p w14:paraId="2AEDE33D">
            <w:pPr>
              <w:spacing w:line="360" w:lineRule="auto"/>
              <w:ind w:firstLine="567"/>
              <w:jc w:val="left"/>
              <w:rPr>
                <w:highlight w:val="none"/>
              </w:rPr>
            </w:pPr>
          </w:p>
        </w:tc>
        <w:tc>
          <w:tcPr>
            <w:tcW w:w="360" w:type="pct"/>
            <w:tcBorders>
              <w:tl2br w:val="nil"/>
              <w:tr2bl w:val="nil"/>
            </w:tcBorders>
          </w:tcPr>
          <w:p w14:paraId="03336E56">
            <w:pPr>
              <w:spacing w:line="360" w:lineRule="auto"/>
              <w:ind w:firstLine="567"/>
              <w:jc w:val="left"/>
              <w:rPr>
                <w:highlight w:val="none"/>
              </w:rPr>
            </w:pPr>
          </w:p>
        </w:tc>
        <w:tc>
          <w:tcPr>
            <w:tcW w:w="456" w:type="pct"/>
            <w:tcBorders>
              <w:tl2br w:val="nil"/>
              <w:tr2bl w:val="nil"/>
            </w:tcBorders>
          </w:tcPr>
          <w:p w14:paraId="671C7E2E">
            <w:pPr>
              <w:spacing w:line="360" w:lineRule="auto"/>
              <w:jc w:val="left"/>
              <w:rPr>
                <w:highlight w:val="none"/>
              </w:rPr>
            </w:pPr>
          </w:p>
        </w:tc>
        <w:tc>
          <w:tcPr>
            <w:tcW w:w="474" w:type="pct"/>
            <w:tcBorders>
              <w:tl2br w:val="nil"/>
              <w:tr2bl w:val="nil"/>
            </w:tcBorders>
          </w:tcPr>
          <w:p w14:paraId="4B21999B">
            <w:pPr>
              <w:spacing w:line="360" w:lineRule="auto"/>
              <w:ind w:firstLine="567"/>
              <w:jc w:val="left"/>
              <w:rPr>
                <w:highlight w:val="none"/>
              </w:rPr>
            </w:pPr>
          </w:p>
        </w:tc>
        <w:tc>
          <w:tcPr>
            <w:tcW w:w="515" w:type="pct"/>
            <w:tcBorders>
              <w:tl2br w:val="nil"/>
              <w:tr2bl w:val="nil"/>
            </w:tcBorders>
          </w:tcPr>
          <w:p w14:paraId="630EB98E">
            <w:pPr>
              <w:spacing w:line="360" w:lineRule="auto"/>
              <w:ind w:firstLine="567"/>
              <w:jc w:val="left"/>
              <w:rPr>
                <w:highlight w:val="none"/>
              </w:rPr>
            </w:pPr>
          </w:p>
        </w:tc>
        <w:tc>
          <w:tcPr>
            <w:tcW w:w="580" w:type="pct"/>
            <w:tcBorders>
              <w:tl2br w:val="nil"/>
              <w:tr2bl w:val="nil"/>
            </w:tcBorders>
          </w:tcPr>
          <w:p w14:paraId="46F16C27">
            <w:pPr>
              <w:spacing w:line="360" w:lineRule="auto"/>
              <w:ind w:firstLine="567"/>
              <w:jc w:val="left"/>
              <w:rPr>
                <w:highlight w:val="none"/>
              </w:rPr>
            </w:pPr>
          </w:p>
        </w:tc>
        <w:tc>
          <w:tcPr>
            <w:tcW w:w="411" w:type="pct"/>
            <w:tcBorders>
              <w:tl2br w:val="nil"/>
              <w:tr2bl w:val="nil"/>
            </w:tcBorders>
          </w:tcPr>
          <w:p w14:paraId="36CEFFC4">
            <w:pPr>
              <w:spacing w:line="360" w:lineRule="auto"/>
              <w:ind w:firstLine="567"/>
              <w:jc w:val="left"/>
              <w:rPr>
                <w:highlight w:val="none"/>
              </w:rPr>
            </w:pPr>
          </w:p>
        </w:tc>
      </w:tr>
      <w:tr w14:paraId="10C3E0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326" w:type="pct"/>
            <w:tcBorders>
              <w:tl2br w:val="nil"/>
              <w:tr2bl w:val="nil"/>
            </w:tcBorders>
          </w:tcPr>
          <w:p w14:paraId="58B2EE88">
            <w:pPr>
              <w:spacing w:line="360" w:lineRule="auto"/>
              <w:jc w:val="left"/>
              <w:rPr>
                <w:highlight w:val="none"/>
              </w:rPr>
            </w:pPr>
          </w:p>
        </w:tc>
        <w:tc>
          <w:tcPr>
            <w:tcW w:w="541" w:type="pct"/>
            <w:tcBorders>
              <w:tl2br w:val="nil"/>
              <w:tr2bl w:val="nil"/>
            </w:tcBorders>
          </w:tcPr>
          <w:p w14:paraId="6375B1B1">
            <w:pPr>
              <w:spacing w:line="360" w:lineRule="auto"/>
              <w:jc w:val="left"/>
              <w:rPr>
                <w:highlight w:val="none"/>
              </w:rPr>
            </w:pPr>
          </w:p>
        </w:tc>
        <w:tc>
          <w:tcPr>
            <w:tcW w:w="360" w:type="pct"/>
            <w:tcBorders>
              <w:tl2br w:val="nil"/>
              <w:tr2bl w:val="nil"/>
            </w:tcBorders>
          </w:tcPr>
          <w:p w14:paraId="352ECEC9">
            <w:pPr>
              <w:spacing w:line="360" w:lineRule="auto"/>
              <w:ind w:firstLine="567"/>
              <w:jc w:val="left"/>
              <w:rPr>
                <w:highlight w:val="none"/>
              </w:rPr>
            </w:pPr>
          </w:p>
        </w:tc>
        <w:tc>
          <w:tcPr>
            <w:tcW w:w="375" w:type="pct"/>
            <w:tcBorders>
              <w:tl2br w:val="nil"/>
              <w:tr2bl w:val="nil"/>
            </w:tcBorders>
          </w:tcPr>
          <w:p w14:paraId="5FBFB5AE">
            <w:pPr>
              <w:spacing w:line="360" w:lineRule="auto"/>
              <w:ind w:firstLine="567"/>
              <w:jc w:val="left"/>
              <w:rPr>
                <w:highlight w:val="none"/>
              </w:rPr>
            </w:pPr>
          </w:p>
        </w:tc>
        <w:tc>
          <w:tcPr>
            <w:tcW w:w="598" w:type="pct"/>
            <w:tcBorders>
              <w:tl2br w:val="nil"/>
              <w:tr2bl w:val="nil"/>
            </w:tcBorders>
          </w:tcPr>
          <w:p w14:paraId="58A9CB0C">
            <w:pPr>
              <w:spacing w:line="360" w:lineRule="auto"/>
              <w:ind w:firstLine="567"/>
              <w:jc w:val="left"/>
              <w:rPr>
                <w:highlight w:val="none"/>
              </w:rPr>
            </w:pPr>
          </w:p>
        </w:tc>
        <w:tc>
          <w:tcPr>
            <w:tcW w:w="360" w:type="pct"/>
            <w:tcBorders>
              <w:tl2br w:val="nil"/>
              <w:tr2bl w:val="nil"/>
            </w:tcBorders>
          </w:tcPr>
          <w:p w14:paraId="04DF6859">
            <w:pPr>
              <w:spacing w:line="360" w:lineRule="auto"/>
              <w:ind w:firstLine="567"/>
              <w:jc w:val="left"/>
              <w:rPr>
                <w:highlight w:val="none"/>
              </w:rPr>
            </w:pPr>
          </w:p>
        </w:tc>
        <w:tc>
          <w:tcPr>
            <w:tcW w:w="456" w:type="pct"/>
            <w:tcBorders>
              <w:tl2br w:val="nil"/>
              <w:tr2bl w:val="nil"/>
            </w:tcBorders>
          </w:tcPr>
          <w:p w14:paraId="09B2E1C5">
            <w:pPr>
              <w:spacing w:line="360" w:lineRule="auto"/>
              <w:jc w:val="left"/>
              <w:rPr>
                <w:highlight w:val="none"/>
              </w:rPr>
            </w:pPr>
          </w:p>
        </w:tc>
        <w:tc>
          <w:tcPr>
            <w:tcW w:w="474" w:type="pct"/>
            <w:tcBorders>
              <w:tl2br w:val="nil"/>
              <w:tr2bl w:val="nil"/>
            </w:tcBorders>
          </w:tcPr>
          <w:p w14:paraId="2E8C0853">
            <w:pPr>
              <w:spacing w:line="360" w:lineRule="auto"/>
              <w:ind w:firstLine="567"/>
              <w:jc w:val="left"/>
              <w:rPr>
                <w:highlight w:val="none"/>
              </w:rPr>
            </w:pPr>
          </w:p>
        </w:tc>
        <w:tc>
          <w:tcPr>
            <w:tcW w:w="515" w:type="pct"/>
            <w:tcBorders>
              <w:tl2br w:val="nil"/>
              <w:tr2bl w:val="nil"/>
            </w:tcBorders>
          </w:tcPr>
          <w:p w14:paraId="4D28361D">
            <w:pPr>
              <w:spacing w:line="360" w:lineRule="auto"/>
              <w:ind w:firstLine="567"/>
              <w:jc w:val="left"/>
              <w:rPr>
                <w:highlight w:val="none"/>
              </w:rPr>
            </w:pPr>
          </w:p>
        </w:tc>
        <w:tc>
          <w:tcPr>
            <w:tcW w:w="580" w:type="pct"/>
            <w:tcBorders>
              <w:tl2br w:val="nil"/>
              <w:tr2bl w:val="nil"/>
            </w:tcBorders>
          </w:tcPr>
          <w:p w14:paraId="1AB0C7D6">
            <w:pPr>
              <w:spacing w:line="360" w:lineRule="auto"/>
              <w:ind w:firstLine="567"/>
              <w:jc w:val="left"/>
              <w:rPr>
                <w:highlight w:val="none"/>
              </w:rPr>
            </w:pPr>
          </w:p>
        </w:tc>
        <w:tc>
          <w:tcPr>
            <w:tcW w:w="411" w:type="pct"/>
            <w:tcBorders>
              <w:tl2br w:val="nil"/>
              <w:tr2bl w:val="nil"/>
            </w:tcBorders>
          </w:tcPr>
          <w:p w14:paraId="0AEF134B">
            <w:pPr>
              <w:spacing w:line="360" w:lineRule="auto"/>
              <w:ind w:firstLine="567"/>
              <w:jc w:val="left"/>
              <w:rPr>
                <w:highlight w:val="none"/>
              </w:rPr>
            </w:pPr>
          </w:p>
        </w:tc>
      </w:tr>
      <w:tr w14:paraId="4BFFEA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326" w:type="pct"/>
            <w:tcBorders>
              <w:tl2br w:val="nil"/>
              <w:tr2bl w:val="nil"/>
            </w:tcBorders>
          </w:tcPr>
          <w:p w14:paraId="4590965C">
            <w:pPr>
              <w:spacing w:line="360" w:lineRule="auto"/>
              <w:jc w:val="left"/>
              <w:rPr>
                <w:highlight w:val="none"/>
              </w:rPr>
            </w:pPr>
          </w:p>
        </w:tc>
        <w:tc>
          <w:tcPr>
            <w:tcW w:w="541" w:type="pct"/>
            <w:tcBorders>
              <w:tl2br w:val="nil"/>
              <w:tr2bl w:val="nil"/>
            </w:tcBorders>
          </w:tcPr>
          <w:p w14:paraId="56E52502">
            <w:pPr>
              <w:spacing w:line="360" w:lineRule="auto"/>
              <w:jc w:val="left"/>
              <w:rPr>
                <w:highlight w:val="none"/>
              </w:rPr>
            </w:pPr>
          </w:p>
        </w:tc>
        <w:tc>
          <w:tcPr>
            <w:tcW w:w="360" w:type="pct"/>
            <w:tcBorders>
              <w:tl2br w:val="nil"/>
              <w:tr2bl w:val="nil"/>
            </w:tcBorders>
          </w:tcPr>
          <w:p w14:paraId="2FC9928C">
            <w:pPr>
              <w:spacing w:line="360" w:lineRule="auto"/>
              <w:ind w:firstLine="567"/>
              <w:jc w:val="left"/>
              <w:rPr>
                <w:highlight w:val="none"/>
              </w:rPr>
            </w:pPr>
          </w:p>
        </w:tc>
        <w:tc>
          <w:tcPr>
            <w:tcW w:w="375" w:type="pct"/>
            <w:tcBorders>
              <w:tl2br w:val="nil"/>
              <w:tr2bl w:val="nil"/>
            </w:tcBorders>
          </w:tcPr>
          <w:p w14:paraId="6307D003">
            <w:pPr>
              <w:spacing w:line="360" w:lineRule="auto"/>
              <w:ind w:firstLine="567"/>
              <w:jc w:val="left"/>
              <w:rPr>
                <w:highlight w:val="none"/>
              </w:rPr>
            </w:pPr>
          </w:p>
        </w:tc>
        <w:tc>
          <w:tcPr>
            <w:tcW w:w="598" w:type="pct"/>
            <w:tcBorders>
              <w:tl2br w:val="nil"/>
              <w:tr2bl w:val="nil"/>
            </w:tcBorders>
          </w:tcPr>
          <w:p w14:paraId="3DC3E40C">
            <w:pPr>
              <w:spacing w:line="360" w:lineRule="auto"/>
              <w:ind w:firstLine="567"/>
              <w:jc w:val="left"/>
              <w:rPr>
                <w:highlight w:val="none"/>
              </w:rPr>
            </w:pPr>
          </w:p>
        </w:tc>
        <w:tc>
          <w:tcPr>
            <w:tcW w:w="360" w:type="pct"/>
            <w:tcBorders>
              <w:tl2br w:val="nil"/>
              <w:tr2bl w:val="nil"/>
            </w:tcBorders>
          </w:tcPr>
          <w:p w14:paraId="1F107BD9">
            <w:pPr>
              <w:spacing w:line="360" w:lineRule="auto"/>
              <w:ind w:firstLine="567"/>
              <w:jc w:val="left"/>
              <w:rPr>
                <w:highlight w:val="none"/>
              </w:rPr>
            </w:pPr>
          </w:p>
        </w:tc>
        <w:tc>
          <w:tcPr>
            <w:tcW w:w="456" w:type="pct"/>
            <w:tcBorders>
              <w:tl2br w:val="nil"/>
              <w:tr2bl w:val="nil"/>
            </w:tcBorders>
          </w:tcPr>
          <w:p w14:paraId="566C055A">
            <w:pPr>
              <w:spacing w:line="360" w:lineRule="auto"/>
              <w:jc w:val="left"/>
              <w:rPr>
                <w:highlight w:val="none"/>
              </w:rPr>
            </w:pPr>
          </w:p>
        </w:tc>
        <w:tc>
          <w:tcPr>
            <w:tcW w:w="474" w:type="pct"/>
            <w:tcBorders>
              <w:tl2br w:val="nil"/>
              <w:tr2bl w:val="nil"/>
            </w:tcBorders>
          </w:tcPr>
          <w:p w14:paraId="09163F84">
            <w:pPr>
              <w:spacing w:line="360" w:lineRule="auto"/>
              <w:ind w:firstLine="567"/>
              <w:jc w:val="left"/>
              <w:rPr>
                <w:highlight w:val="none"/>
              </w:rPr>
            </w:pPr>
          </w:p>
        </w:tc>
        <w:tc>
          <w:tcPr>
            <w:tcW w:w="515" w:type="pct"/>
            <w:tcBorders>
              <w:tl2br w:val="nil"/>
              <w:tr2bl w:val="nil"/>
            </w:tcBorders>
          </w:tcPr>
          <w:p w14:paraId="358F5B0F">
            <w:pPr>
              <w:spacing w:line="360" w:lineRule="auto"/>
              <w:ind w:firstLine="567"/>
              <w:jc w:val="left"/>
              <w:rPr>
                <w:highlight w:val="none"/>
              </w:rPr>
            </w:pPr>
          </w:p>
        </w:tc>
        <w:tc>
          <w:tcPr>
            <w:tcW w:w="580" w:type="pct"/>
            <w:tcBorders>
              <w:tl2br w:val="nil"/>
              <w:tr2bl w:val="nil"/>
            </w:tcBorders>
          </w:tcPr>
          <w:p w14:paraId="57A51974">
            <w:pPr>
              <w:spacing w:line="360" w:lineRule="auto"/>
              <w:ind w:firstLine="567"/>
              <w:jc w:val="left"/>
              <w:rPr>
                <w:highlight w:val="none"/>
              </w:rPr>
            </w:pPr>
          </w:p>
        </w:tc>
        <w:tc>
          <w:tcPr>
            <w:tcW w:w="411" w:type="pct"/>
            <w:tcBorders>
              <w:tl2br w:val="nil"/>
              <w:tr2bl w:val="nil"/>
            </w:tcBorders>
          </w:tcPr>
          <w:p w14:paraId="73CE4A29">
            <w:pPr>
              <w:spacing w:line="360" w:lineRule="auto"/>
              <w:ind w:firstLine="567"/>
              <w:jc w:val="left"/>
              <w:rPr>
                <w:highlight w:val="none"/>
              </w:rPr>
            </w:pPr>
          </w:p>
        </w:tc>
      </w:tr>
      <w:tr w14:paraId="41020C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326" w:type="pct"/>
            <w:tcBorders>
              <w:tl2br w:val="nil"/>
              <w:tr2bl w:val="nil"/>
            </w:tcBorders>
          </w:tcPr>
          <w:p w14:paraId="33D8CCF9">
            <w:pPr>
              <w:spacing w:line="360" w:lineRule="auto"/>
              <w:jc w:val="left"/>
              <w:rPr>
                <w:highlight w:val="none"/>
              </w:rPr>
            </w:pPr>
          </w:p>
        </w:tc>
        <w:tc>
          <w:tcPr>
            <w:tcW w:w="541" w:type="pct"/>
            <w:tcBorders>
              <w:tl2br w:val="nil"/>
              <w:tr2bl w:val="nil"/>
            </w:tcBorders>
          </w:tcPr>
          <w:p w14:paraId="1F3C45EC">
            <w:pPr>
              <w:spacing w:line="360" w:lineRule="auto"/>
              <w:jc w:val="left"/>
              <w:rPr>
                <w:highlight w:val="none"/>
              </w:rPr>
            </w:pPr>
          </w:p>
        </w:tc>
        <w:tc>
          <w:tcPr>
            <w:tcW w:w="360" w:type="pct"/>
            <w:tcBorders>
              <w:tl2br w:val="nil"/>
              <w:tr2bl w:val="nil"/>
            </w:tcBorders>
          </w:tcPr>
          <w:p w14:paraId="665343ED">
            <w:pPr>
              <w:spacing w:line="360" w:lineRule="auto"/>
              <w:ind w:firstLine="567"/>
              <w:jc w:val="left"/>
              <w:rPr>
                <w:highlight w:val="none"/>
              </w:rPr>
            </w:pPr>
          </w:p>
        </w:tc>
        <w:tc>
          <w:tcPr>
            <w:tcW w:w="375" w:type="pct"/>
            <w:tcBorders>
              <w:tl2br w:val="nil"/>
              <w:tr2bl w:val="nil"/>
            </w:tcBorders>
          </w:tcPr>
          <w:p w14:paraId="2361C918">
            <w:pPr>
              <w:spacing w:line="360" w:lineRule="auto"/>
              <w:ind w:firstLine="567"/>
              <w:jc w:val="left"/>
              <w:rPr>
                <w:highlight w:val="none"/>
              </w:rPr>
            </w:pPr>
          </w:p>
        </w:tc>
        <w:tc>
          <w:tcPr>
            <w:tcW w:w="598" w:type="pct"/>
            <w:tcBorders>
              <w:tl2br w:val="nil"/>
              <w:tr2bl w:val="nil"/>
            </w:tcBorders>
          </w:tcPr>
          <w:p w14:paraId="796C6A11">
            <w:pPr>
              <w:spacing w:line="360" w:lineRule="auto"/>
              <w:ind w:firstLine="567"/>
              <w:jc w:val="left"/>
              <w:rPr>
                <w:highlight w:val="none"/>
              </w:rPr>
            </w:pPr>
          </w:p>
        </w:tc>
        <w:tc>
          <w:tcPr>
            <w:tcW w:w="360" w:type="pct"/>
            <w:tcBorders>
              <w:tl2br w:val="nil"/>
              <w:tr2bl w:val="nil"/>
            </w:tcBorders>
          </w:tcPr>
          <w:p w14:paraId="4F2E11E6">
            <w:pPr>
              <w:spacing w:line="360" w:lineRule="auto"/>
              <w:ind w:firstLine="567"/>
              <w:jc w:val="left"/>
              <w:rPr>
                <w:highlight w:val="none"/>
              </w:rPr>
            </w:pPr>
          </w:p>
        </w:tc>
        <w:tc>
          <w:tcPr>
            <w:tcW w:w="456" w:type="pct"/>
            <w:tcBorders>
              <w:tl2br w:val="nil"/>
              <w:tr2bl w:val="nil"/>
            </w:tcBorders>
          </w:tcPr>
          <w:p w14:paraId="35718AFC">
            <w:pPr>
              <w:spacing w:line="360" w:lineRule="auto"/>
              <w:jc w:val="left"/>
              <w:rPr>
                <w:highlight w:val="none"/>
              </w:rPr>
            </w:pPr>
          </w:p>
        </w:tc>
        <w:tc>
          <w:tcPr>
            <w:tcW w:w="474" w:type="pct"/>
            <w:tcBorders>
              <w:tl2br w:val="nil"/>
              <w:tr2bl w:val="nil"/>
            </w:tcBorders>
          </w:tcPr>
          <w:p w14:paraId="5FEDA4A3">
            <w:pPr>
              <w:spacing w:line="360" w:lineRule="auto"/>
              <w:ind w:firstLine="567"/>
              <w:jc w:val="left"/>
              <w:rPr>
                <w:highlight w:val="none"/>
              </w:rPr>
            </w:pPr>
          </w:p>
        </w:tc>
        <w:tc>
          <w:tcPr>
            <w:tcW w:w="515" w:type="pct"/>
            <w:tcBorders>
              <w:tl2br w:val="nil"/>
              <w:tr2bl w:val="nil"/>
            </w:tcBorders>
          </w:tcPr>
          <w:p w14:paraId="3AD1D8CF">
            <w:pPr>
              <w:spacing w:line="360" w:lineRule="auto"/>
              <w:ind w:firstLine="567"/>
              <w:jc w:val="left"/>
              <w:rPr>
                <w:highlight w:val="none"/>
              </w:rPr>
            </w:pPr>
          </w:p>
        </w:tc>
        <w:tc>
          <w:tcPr>
            <w:tcW w:w="580" w:type="pct"/>
            <w:tcBorders>
              <w:tl2br w:val="nil"/>
              <w:tr2bl w:val="nil"/>
            </w:tcBorders>
          </w:tcPr>
          <w:p w14:paraId="1F773DA4">
            <w:pPr>
              <w:spacing w:line="360" w:lineRule="auto"/>
              <w:ind w:firstLine="567"/>
              <w:jc w:val="left"/>
              <w:rPr>
                <w:highlight w:val="none"/>
              </w:rPr>
            </w:pPr>
          </w:p>
        </w:tc>
        <w:tc>
          <w:tcPr>
            <w:tcW w:w="411" w:type="pct"/>
            <w:tcBorders>
              <w:tl2br w:val="nil"/>
              <w:tr2bl w:val="nil"/>
            </w:tcBorders>
          </w:tcPr>
          <w:p w14:paraId="3C847826">
            <w:pPr>
              <w:spacing w:line="360" w:lineRule="auto"/>
              <w:ind w:firstLine="567"/>
              <w:jc w:val="left"/>
              <w:rPr>
                <w:highlight w:val="none"/>
              </w:rPr>
            </w:pPr>
          </w:p>
        </w:tc>
      </w:tr>
      <w:tr w14:paraId="57C5FB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326" w:type="pct"/>
            <w:tcBorders>
              <w:tl2br w:val="nil"/>
              <w:tr2bl w:val="nil"/>
            </w:tcBorders>
          </w:tcPr>
          <w:p w14:paraId="06B18A10">
            <w:pPr>
              <w:spacing w:line="360" w:lineRule="auto"/>
              <w:jc w:val="left"/>
              <w:rPr>
                <w:highlight w:val="none"/>
              </w:rPr>
            </w:pPr>
          </w:p>
        </w:tc>
        <w:tc>
          <w:tcPr>
            <w:tcW w:w="541" w:type="pct"/>
            <w:tcBorders>
              <w:tl2br w:val="nil"/>
              <w:tr2bl w:val="nil"/>
            </w:tcBorders>
          </w:tcPr>
          <w:p w14:paraId="640A31C5">
            <w:pPr>
              <w:spacing w:line="360" w:lineRule="auto"/>
              <w:jc w:val="left"/>
              <w:rPr>
                <w:highlight w:val="none"/>
              </w:rPr>
            </w:pPr>
          </w:p>
        </w:tc>
        <w:tc>
          <w:tcPr>
            <w:tcW w:w="360" w:type="pct"/>
            <w:tcBorders>
              <w:tl2br w:val="nil"/>
              <w:tr2bl w:val="nil"/>
            </w:tcBorders>
          </w:tcPr>
          <w:p w14:paraId="762447FA">
            <w:pPr>
              <w:spacing w:line="360" w:lineRule="auto"/>
              <w:ind w:firstLine="567"/>
              <w:jc w:val="left"/>
              <w:rPr>
                <w:highlight w:val="none"/>
              </w:rPr>
            </w:pPr>
          </w:p>
        </w:tc>
        <w:tc>
          <w:tcPr>
            <w:tcW w:w="375" w:type="pct"/>
            <w:tcBorders>
              <w:tl2br w:val="nil"/>
              <w:tr2bl w:val="nil"/>
            </w:tcBorders>
          </w:tcPr>
          <w:p w14:paraId="68EA33DC">
            <w:pPr>
              <w:spacing w:line="360" w:lineRule="auto"/>
              <w:ind w:firstLine="567"/>
              <w:jc w:val="left"/>
              <w:rPr>
                <w:highlight w:val="none"/>
              </w:rPr>
            </w:pPr>
          </w:p>
        </w:tc>
        <w:tc>
          <w:tcPr>
            <w:tcW w:w="598" w:type="pct"/>
            <w:tcBorders>
              <w:tl2br w:val="nil"/>
              <w:tr2bl w:val="nil"/>
            </w:tcBorders>
          </w:tcPr>
          <w:p w14:paraId="7BD46A71">
            <w:pPr>
              <w:spacing w:line="360" w:lineRule="auto"/>
              <w:ind w:firstLine="567"/>
              <w:jc w:val="left"/>
              <w:rPr>
                <w:highlight w:val="none"/>
              </w:rPr>
            </w:pPr>
          </w:p>
        </w:tc>
        <w:tc>
          <w:tcPr>
            <w:tcW w:w="360" w:type="pct"/>
            <w:tcBorders>
              <w:tl2br w:val="nil"/>
              <w:tr2bl w:val="nil"/>
            </w:tcBorders>
          </w:tcPr>
          <w:p w14:paraId="1F0463FE">
            <w:pPr>
              <w:spacing w:line="360" w:lineRule="auto"/>
              <w:ind w:firstLine="567"/>
              <w:jc w:val="left"/>
              <w:rPr>
                <w:highlight w:val="none"/>
              </w:rPr>
            </w:pPr>
          </w:p>
        </w:tc>
        <w:tc>
          <w:tcPr>
            <w:tcW w:w="456" w:type="pct"/>
            <w:tcBorders>
              <w:tl2br w:val="nil"/>
              <w:tr2bl w:val="nil"/>
            </w:tcBorders>
          </w:tcPr>
          <w:p w14:paraId="067CD354">
            <w:pPr>
              <w:spacing w:line="360" w:lineRule="auto"/>
              <w:jc w:val="left"/>
              <w:rPr>
                <w:highlight w:val="none"/>
              </w:rPr>
            </w:pPr>
          </w:p>
        </w:tc>
        <w:tc>
          <w:tcPr>
            <w:tcW w:w="474" w:type="pct"/>
            <w:tcBorders>
              <w:tl2br w:val="nil"/>
              <w:tr2bl w:val="nil"/>
            </w:tcBorders>
          </w:tcPr>
          <w:p w14:paraId="7DC3FF00">
            <w:pPr>
              <w:spacing w:line="360" w:lineRule="auto"/>
              <w:ind w:firstLine="567"/>
              <w:jc w:val="left"/>
              <w:rPr>
                <w:highlight w:val="none"/>
              </w:rPr>
            </w:pPr>
          </w:p>
        </w:tc>
        <w:tc>
          <w:tcPr>
            <w:tcW w:w="515" w:type="pct"/>
            <w:tcBorders>
              <w:tl2br w:val="nil"/>
              <w:tr2bl w:val="nil"/>
            </w:tcBorders>
          </w:tcPr>
          <w:p w14:paraId="631A99C2">
            <w:pPr>
              <w:spacing w:line="360" w:lineRule="auto"/>
              <w:ind w:firstLine="567"/>
              <w:jc w:val="left"/>
              <w:rPr>
                <w:highlight w:val="none"/>
              </w:rPr>
            </w:pPr>
          </w:p>
        </w:tc>
        <w:tc>
          <w:tcPr>
            <w:tcW w:w="580" w:type="pct"/>
            <w:tcBorders>
              <w:tl2br w:val="nil"/>
              <w:tr2bl w:val="nil"/>
            </w:tcBorders>
          </w:tcPr>
          <w:p w14:paraId="0E89A3F0">
            <w:pPr>
              <w:spacing w:line="360" w:lineRule="auto"/>
              <w:ind w:firstLine="567"/>
              <w:jc w:val="left"/>
              <w:rPr>
                <w:highlight w:val="none"/>
              </w:rPr>
            </w:pPr>
          </w:p>
        </w:tc>
        <w:tc>
          <w:tcPr>
            <w:tcW w:w="411" w:type="pct"/>
            <w:tcBorders>
              <w:tl2br w:val="nil"/>
              <w:tr2bl w:val="nil"/>
            </w:tcBorders>
          </w:tcPr>
          <w:p w14:paraId="5162D659">
            <w:pPr>
              <w:spacing w:line="360" w:lineRule="auto"/>
              <w:ind w:firstLine="567"/>
              <w:jc w:val="left"/>
              <w:rPr>
                <w:highlight w:val="none"/>
              </w:rPr>
            </w:pPr>
          </w:p>
        </w:tc>
      </w:tr>
      <w:tr w14:paraId="416C7F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326" w:type="pct"/>
            <w:tcBorders>
              <w:tl2br w:val="nil"/>
              <w:tr2bl w:val="nil"/>
            </w:tcBorders>
          </w:tcPr>
          <w:p w14:paraId="615FC7DC">
            <w:pPr>
              <w:spacing w:line="360" w:lineRule="auto"/>
              <w:jc w:val="left"/>
              <w:rPr>
                <w:highlight w:val="none"/>
              </w:rPr>
            </w:pPr>
          </w:p>
        </w:tc>
        <w:tc>
          <w:tcPr>
            <w:tcW w:w="541" w:type="pct"/>
            <w:tcBorders>
              <w:tl2br w:val="nil"/>
              <w:tr2bl w:val="nil"/>
            </w:tcBorders>
          </w:tcPr>
          <w:p w14:paraId="3283254E">
            <w:pPr>
              <w:spacing w:line="360" w:lineRule="auto"/>
              <w:jc w:val="left"/>
              <w:rPr>
                <w:highlight w:val="none"/>
              </w:rPr>
            </w:pPr>
          </w:p>
        </w:tc>
        <w:tc>
          <w:tcPr>
            <w:tcW w:w="360" w:type="pct"/>
            <w:tcBorders>
              <w:tl2br w:val="nil"/>
              <w:tr2bl w:val="nil"/>
            </w:tcBorders>
          </w:tcPr>
          <w:p w14:paraId="6C3AE7C4">
            <w:pPr>
              <w:spacing w:line="360" w:lineRule="auto"/>
              <w:ind w:firstLine="567"/>
              <w:jc w:val="left"/>
              <w:rPr>
                <w:highlight w:val="none"/>
              </w:rPr>
            </w:pPr>
          </w:p>
        </w:tc>
        <w:tc>
          <w:tcPr>
            <w:tcW w:w="375" w:type="pct"/>
            <w:tcBorders>
              <w:tl2br w:val="nil"/>
              <w:tr2bl w:val="nil"/>
            </w:tcBorders>
          </w:tcPr>
          <w:p w14:paraId="2ADA4084">
            <w:pPr>
              <w:spacing w:line="360" w:lineRule="auto"/>
              <w:ind w:firstLine="567"/>
              <w:jc w:val="left"/>
              <w:rPr>
                <w:highlight w:val="none"/>
              </w:rPr>
            </w:pPr>
          </w:p>
        </w:tc>
        <w:tc>
          <w:tcPr>
            <w:tcW w:w="598" w:type="pct"/>
            <w:tcBorders>
              <w:tl2br w:val="nil"/>
              <w:tr2bl w:val="nil"/>
            </w:tcBorders>
          </w:tcPr>
          <w:p w14:paraId="11E9DA9A">
            <w:pPr>
              <w:spacing w:line="360" w:lineRule="auto"/>
              <w:ind w:firstLine="567"/>
              <w:jc w:val="left"/>
              <w:rPr>
                <w:highlight w:val="none"/>
              </w:rPr>
            </w:pPr>
          </w:p>
        </w:tc>
        <w:tc>
          <w:tcPr>
            <w:tcW w:w="360" w:type="pct"/>
            <w:tcBorders>
              <w:tl2br w:val="nil"/>
              <w:tr2bl w:val="nil"/>
            </w:tcBorders>
          </w:tcPr>
          <w:p w14:paraId="537406D5">
            <w:pPr>
              <w:spacing w:line="360" w:lineRule="auto"/>
              <w:ind w:firstLine="567"/>
              <w:jc w:val="left"/>
              <w:rPr>
                <w:highlight w:val="none"/>
              </w:rPr>
            </w:pPr>
          </w:p>
        </w:tc>
        <w:tc>
          <w:tcPr>
            <w:tcW w:w="456" w:type="pct"/>
            <w:tcBorders>
              <w:tl2br w:val="nil"/>
              <w:tr2bl w:val="nil"/>
            </w:tcBorders>
          </w:tcPr>
          <w:p w14:paraId="2536FEC2">
            <w:pPr>
              <w:spacing w:line="360" w:lineRule="auto"/>
              <w:jc w:val="left"/>
              <w:rPr>
                <w:highlight w:val="none"/>
              </w:rPr>
            </w:pPr>
          </w:p>
        </w:tc>
        <w:tc>
          <w:tcPr>
            <w:tcW w:w="474" w:type="pct"/>
            <w:tcBorders>
              <w:tl2br w:val="nil"/>
              <w:tr2bl w:val="nil"/>
            </w:tcBorders>
          </w:tcPr>
          <w:p w14:paraId="49D82919">
            <w:pPr>
              <w:spacing w:line="360" w:lineRule="auto"/>
              <w:ind w:firstLine="567"/>
              <w:jc w:val="left"/>
              <w:rPr>
                <w:highlight w:val="none"/>
              </w:rPr>
            </w:pPr>
          </w:p>
        </w:tc>
        <w:tc>
          <w:tcPr>
            <w:tcW w:w="515" w:type="pct"/>
            <w:tcBorders>
              <w:tl2br w:val="nil"/>
              <w:tr2bl w:val="nil"/>
            </w:tcBorders>
          </w:tcPr>
          <w:p w14:paraId="04AD8F02">
            <w:pPr>
              <w:spacing w:line="360" w:lineRule="auto"/>
              <w:ind w:firstLine="567"/>
              <w:jc w:val="left"/>
              <w:rPr>
                <w:highlight w:val="none"/>
              </w:rPr>
            </w:pPr>
          </w:p>
        </w:tc>
        <w:tc>
          <w:tcPr>
            <w:tcW w:w="580" w:type="pct"/>
            <w:tcBorders>
              <w:tl2br w:val="nil"/>
              <w:tr2bl w:val="nil"/>
            </w:tcBorders>
          </w:tcPr>
          <w:p w14:paraId="1153FAEC">
            <w:pPr>
              <w:spacing w:line="360" w:lineRule="auto"/>
              <w:ind w:firstLine="567"/>
              <w:jc w:val="left"/>
              <w:rPr>
                <w:highlight w:val="none"/>
              </w:rPr>
            </w:pPr>
          </w:p>
        </w:tc>
        <w:tc>
          <w:tcPr>
            <w:tcW w:w="411" w:type="pct"/>
            <w:tcBorders>
              <w:tl2br w:val="nil"/>
              <w:tr2bl w:val="nil"/>
            </w:tcBorders>
          </w:tcPr>
          <w:p w14:paraId="5DCDF63E">
            <w:pPr>
              <w:spacing w:line="360" w:lineRule="auto"/>
              <w:ind w:firstLine="567"/>
              <w:jc w:val="left"/>
              <w:rPr>
                <w:highlight w:val="none"/>
              </w:rPr>
            </w:pPr>
          </w:p>
        </w:tc>
      </w:tr>
      <w:tr w14:paraId="5616E8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326" w:type="pct"/>
            <w:tcBorders>
              <w:tl2br w:val="nil"/>
              <w:tr2bl w:val="nil"/>
            </w:tcBorders>
          </w:tcPr>
          <w:p w14:paraId="7A61E07F">
            <w:pPr>
              <w:spacing w:line="360" w:lineRule="auto"/>
              <w:jc w:val="left"/>
              <w:rPr>
                <w:highlight w:val="none"/>
              </w:rPr>
            </w:pPr>
          </w:p>
        </w:tc>
        <w:tc>
          <w:tcPr>
            <w:tcW w:w="541" w:type="pct"/>
            <w:tcBorders>
              <w:tl2br w:val="nil"/>
              <w:tr2bl w:val="nil"/>
            </w:tcBorders>
          </w:tcPr>
          <w:p w14:paraId="17EE6F29">
            <w:pPr>
              <w:spacing w:line="360" w:lineRule="auto"/>
              <w:jc w:val="left"/>
              <w:rPr>
                <w:highlight w:val="none"/>
              </w:rPr>
            </w:pPr>
          </w:p>
        </w:tc>
        <w:tc>
          <w:tcPr>
            <w:tcW w:w="360" w:type="pct"/>
            <w:tcBorders>
              <w:tl2br w:val="nil"/>
              <w:tr2bl w:val="nil"/>
            </w:tcBorders>
          </w:tcPr>
          <w:p w14:paraId="312B37A9">
            <w:pPr>
              <w:spacing w:line="360" w:lineRule="auto"/>
              <w:ind w:firstLine="567"/>
              <w:jc w:val="left"/>
              <w:rPr>
                <w:highlight w:val="none"/>
              </w:rPr>
            </w:pPr>
          </w:p>
        </w:tc>
        <w:tc>
          <w:tcPr>
            <w:tcW w:w="375" w:type="pct"/>
            <w:tcBorders>
              <w:tl2br w:val="nil"/>
              <w:tr2bl w:val="nil"/>
            </w:tcBorders>
          </w:tcPr>
          <w:p w14:paraId="620317F9">
            <w:pPr>
              <w:spacing w:line="360" w:lineRule="auto"/>
              <w:ind w:firstLine="567"/>
              <w:jc w:val="left"/>
              <w:rPr>
                <w:highlight w:val="none"/>
              </w:rPr>
            </w:pPr>
          </w:p>
        </w:tc>
        <w:tc>
          <w:tcPr>
            <w:tcW w:w="598" w:type="pct"/>
            <w:tcBorders>
              <w:tl2br w:val="nil"/>
              <w:tr2bl w:val="nil"/>
            </w:tcBorders>
          </w:tcPr>
          <w:p w14:paraId="2BBB9389">
            <w:pPr>
              <w:spacing w:line="360" w:lineRule="auto"/>
              <w:ind w:firstLine="567"/>
              <w:jc w:val="left"/>
              <w:rPr>
                <w:highlight w:val="none"/>
              </w:rPr>
            </w:pPr>
          </w:p>
        </w:tc>
        <w:tc>
          <w:tcPr>
            <w:tcW w:w="360" w:type="pct"/>
            <w:tcBorders>
              <w:tl2br w:val="nil"/>
              <w:tr2bl w:val="nil"/>
            </w:tcBorders>
          </w:tcPr>
          <w:p w14:paraId="5617ADB5">
            <w:pPr>
              <w:spacing w:line="360" w:lineRule="auto"/>
              <w:ind w:firstLine="567"/>
              <w:jc w:val="left"/>
              <w:rPr>
                <w:highlight w:val="none"/>
              </w:rPr>
            </w:pPr>
          </w:p>
        </w:tc>
        <w:tc>
          <w:tcPr>
            <w:tcW w:w="456" w:type="pct"/>
            <w:tcBorders>
              <w:tl2br w:val="nil"/>
              <w:tr2bl w:val="nil"/>
            </w:tcBorders>
          </w:tcPr>
          <w:p w14:paraId="656FE8C5">
            <w:pPr>
              <w:spacing w:line="360" w:lineRule="auto"/>
              <w:jc w:val="left"/>
              <w:rPr>
                <w:highlight w:val="none"/>
              </w:rPr>
            </w:pPr>
          </w:p>
        </w:tc>
        <w:tc>
          <w:tcPr>
            <w:tcW w:w="474" w:type="pct"/>
            <w:tcBorders>
              <w:tl2br w:val="nil"/>
              <w:tr2bl w:val="nil"/>
            </w:tcBorders>
          </w:tcPr>
          <w:p w14:paraId="1141BC9D">
            <w:pPr>
              <w:spacing w:line="360" w:lineRule="auto"/>
              <w:ind w:firstLine="567"/>
              <w:jc w:val="left"/>
              <w:rPr>
                <w:highlight w:val="none"/>
              </w:rPr>
            </w:pPr>
          </w:p>
        </w:tc>
        <w:tc>
          <w:tcPr>
            <w:tcW w:w="515" w:type="pct"/>
            <w:tcBorders>
              <w:tl2br w:val="nil"/>
              <w:tr2bl w:val="nil"/>
            </w:tcBorders>
          </w:tcPr>
          <w:p w14:paraId="21ED8DDB">
            <w:pPr>
              <w:spacing w:line="360" w:lineRule="auto"/>
              <w:ind w:firstLine="567"/>
              <w:jc w:val="left"/>
              <w:rPr>
                <w:highlight w:val="none"/>
              </w:rPr>
            </w:pPr>
          </w:p>
        </w:tc>
        <w:tc>
          <w:tcPr>
            <w:tcW w:w="580" w:type="pct"/>
            <w:tcBorders>
              <w:tl2br w:val="nil"/>
              <w:tr2bl w:val="nil"/>
            </w:tcBorders>
          </w:tcPr>
          <w:p w14:paraId="3167D497">
            <w:pPr>
              <w:spacing w:line="360" w:lineRule="auto"/>
              <w:ind w:firstLine="567"/>
              <w:jc w:val="left"/>
              <w:rPr>
                <w:highlight w:val="none"/>
              </w:rPr>
            </w:pPr>
          </w:p>
        </w:tc>
        <w:tc>
          <w:tcPr>
            <w:tcW w:w="411" w:type="pct"/>
            <w:tcBorders>
              <w:tl2br w:val="nil"/>
              <w:tr2bl w:val="nil"/>
            </w:tcBorders>
          </w:tcPr>
          <w:p w14:paraId="77536A03">
            <w:pPr>
              <w:spacing w:line="360" w:lineRule="auto"/>
              <w:ind w:firstLine="567"/>
              <w:jc w:val="left"/>
              <w:rPr>
                <w:highlight w:val="none"/>
              </w:rPr>
            </w:pPr>
          </w:p>
        </w:tc>
      </w:tr>
      <w:tr w14:paraId="143A7D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326" w:type="pct"/>
            <w:tcBorders>
              <w:tl2br w:val="nil"/>
              <w:tr2bl w:val="nil"/>
            </w:tcBorders>
          </w:tcPr>
          <w:p w14:paraId="47D046F5">
            <w:pPr>
              <w:spacing w:line="360" w:lineRule="auto"/>
              <w:jc w:val="left"/>
              <w:rPr>
                <w:highlight w:val="none"/>
              </w:rPr>
            </w:pPr>
          </w:p>
        </w:tc>
        <w:tc>
          <w:tcPr>
            <w:tcW w:w="541" w:type="pct"/>
            <w:tcBorders>
              <w:tl2br w:val="nil"/>
              <w:tr2bl w:val="nil"/>
            </w:tcBorders>
          </w:tcPr>
          <w:p w14:paraId="1C3F0CDB">
            <w:pPr>
              <w:spacing w:line="360" w:lineRule="auto"/>
              <w:jc w:val="left"/>
              <w:rPr>
                <w:highlight w:val="none"/>
              </w:rPr>
            </w:pPr>
          </w:p>
        </w:tc>
        <w:tc>
          <w:tcPr>
            <w:tcW w:w="360" w:type="pct"/>
            <w:tcBorders>
              <w:tl2br w:val="nil"/>
              <w:tr2bl w:val="nil"/>
            </w:tcBorders>
          </w:tcPr>
          <w:p w14:paraId="39DCFDF5">
            <w:pPr>
              <w:spacing w:line="360" w:lineRule="auto"/>
              <w:ind w:firstLine="567"/>
              <w:jc w:val="left"/>
              <w:rPr>
                <w:highlight w:val="none"/>
              </w:rPr>
            </w:pPr>
          </w:p>
        </w:tc>
        <w:tc>
          <w:tcPr>
            <w:tcW w:w="375" w:type="pct"/>
            <w:tcBorders>
              <w:tl2br w:val="nil"/>
              <w:tr2bl w:val="nil"/>
            </w:tcBorders>
          </w:tcPr>
          <w:p w14:paraId="6E077605">
            <w:pPr>
              <w:spacing w:line="360" w:lineRule="auto"/>
              <w:ind w:firstLine="567"/>
              <w:jc w:val="left"/>
              <w:rPr>
                <w:highlight w:val="none"/>
              </w:rPr>
            </w:pPr>
          </w:p>
        </w:tc>
        <w:tc>
          <w:tcPr>
            <w:tcW w:w="598" w:type="pct"/>
            <w:tcBorders>
              <w:tl2br w:val="nil"/>
              <w:tr2bl w:val="nil"/>
            </w:tcBorders>
          </w:tcPr>
          <w:p w14:paraId="2F478BBD">
            <w:pPr>
              <w:spacing w:line="360" w:lineRule="auto"/>
              <w:ind w:firstLine="567"/>
              <w:jc w:val="left"/>
              <w:rPr>
                <w:highlight w:val="none"/>
              </w:rPr>
            </w:pPr>
          </w:p>
        </w:tc>
        <w:tc>
          <w:tcPr>
            <w:tcW w:w="360" w:type="pct"/>
            <w:tcBorders>
              <w:tl2br w:val="nil"/>
              <w:tr2bl w:val="nil"/>
            </w:tcBorders>
          </w:tcPr>
          <w:p w14:paraId="66C8971E">
            <w:pPr>
              <w:spacing w:line="360" w:lineRule="auto"/>
              <w:ind w:firstLine="567"/>
              <w:jc w:val="left"/>
              <w:rPr>
                <w:highlight w:val="none"/>
              </w:rPr>
            </w:pPr>
          </w:p>
        </w:tc>
        <w:tc>
          <w:tcPr>
            <w:tcW w:w="456" w:type="pct"/>
            <w:tcBorders>
              <w:tl2br w:val="nil"/>
              <w:tr2bl w:val="nil"/>
            </w:tcBorders>
          </w:tcPr>
          <w:p w14:paraId="385A4259">
            <w:pPr>
              <w:spacing w:line="360" w:lineRule="auto"/>
              <w:jc w:val="left"/>
              <w:rPr>
                <w:highlight w:val="none"/>
              </w:rPr>
            </w:pPr>
          </w:p>
        </w:tc>
        <w:tc>
          <w:tcPr>
            <w:tcW w:w="474" w:type="pct"/>
            <w:tcBorders>
              <w:tl2br w:val="nil"/>
              <w:tr2bl w:val="nil"/>
            </w:tcBorders>
          </w:tcPr>
          <w:p w14:paraId="79B0321C">
            <w:pPr>
              <w:spacing w:line="360" w:lineRule="auto"/>
              <w:ind w:firstLine="567"/>
              <w:jc w:val="left"/>
              <w:rPr>
                <w:highlight w:val="none"/>
              </w:rPr>
            </w:pPr>
          </w:p>
        </w:tc>
        <w:tc>
          <w:tcPr>
            <w:tcW w:w="515" w:type="pct"/>
            <w:tcBorders>
              <w:tl2br w:val="nil"/>
              <w:tr2bl w:val="nil"/>
            </w:tcBorders>
          </w:tcPr>
          <w:p w14:paraId="777F5DF2">
            <w:pPr>
              <w:spacing w:line="360" w:lineRule="auto"/>
              <w:ind w:firstLine="567"/>
              <w:jc w:val="left"/>
              <w:rPr>
                <w:highlight w:val="none"/>
              </w:rPr>
            </w:pPr>
          </w:p>
        </w:tc>
        <w:tc>
          <w:tcPr>
            <w:tcW w:w="580" w:type="pct"/>
            <w:tcBorders>
              <w:tl2br w:val="nil"/>
              <w:tr2bl w:val="nil"/>
            </w:tcBorders>
          </w:tcPr>
          <w:p w14:paraId="6C43FDD4">
            <w:pPr>
              <w:spacing w:line="360" w:lineRule="auto"/>
              <w:ind w:firstLine="567"/>
              <w:jc w:val="left"/>
              <w:rPr>
                <w:highlight w:val="none"/>
              </w:rPr>
            </w:pPr>
          </w:p>
        </w:tc>
        <w:tc>
          <w:tcPr>
            <w:tcW w:w="411" w:type="pct"/>
            <w:tcBorders>
              <w:tl2br w:val="nil"/>
              <w:tr2bl w:val="nil"/>
            </w:tcBorders>
          </w:tcPr>
          <w:p w14:paraId="076DA408">
            <w:pPr>
              <w:spacing w:line="360" w:lineRule="auto"/>
              <w:ind w:firstLine="567"/>
              <w:jc w:val="left"/>
              <w:rPr>
                <w:highlight w:val="none"/>
              </w:rPr>
            </w:pPr>
          </w:p>
        </w:tc>
      </w:tr>
      <w:tr w14:paraId="427061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326" w:type="pct"/>
            <w:tcBorders>
              <w:tl2br w:val="nil"/>
              <w:tr2bl w:val="nil"/>
            </w:tcBorders>
          </w:tcPr>
          <w:p w14:paraId="22F44D96">
            <w:pPr>
              <w:spacing w:line="360" w:lineRule="auto"/>
              <w:jc w:val="left"/>
              <w:rPr>
                <w:highlight w:val="none"/>
              </w:rPr>
            </w:pPr>
          </w:p>
        </w:tc>
        <w:tc>
          <w:tcPr>
            <w:tcW w:w="541" w:type="pct"/>
            <w:tcBorders>
              <w:tl2br w:val="nil"/>
              <w:tr2bl w:val="nil"/>
            </w:tcBorders>
          </w:tcPr>
          <w:p w14:paraId="11513103">
            <w:pPr>
              <w:spacing w:line="360" w:lineRule="auto"/>
              <w:jc w:val="left"/>
              <w:rPr>
                <w:highlight w:val="none"/>
              </w:rPr>
            </w:pPr>
          </w:p>
        </w:tc>
        <w:tc>
          <w:tcPr>
            <w:tcW w:w="360" w:type="pct"/>
            <w:tcBorders>
              <w:tl2br w:val="nil"/>
              <w:tr2bl w:val="nil"/>
            </w:tcBorders>
          </w:tcPr>
          <w:p w14:paraId="72D1F86F">
            <w:pPr>
              <w:spacing w:line="360" w:lineRule="auto"/>
              <w:ind w:firstLine="567"/>
              <w:jc w:val="left"/>
              <w:rPr>
                <w:highlight w:val="none"/>
              </w:rPr>
            </w:pPr>
          </w:p>
        </w:tc>
        <w:tc>
          <w:tcPr>
            <w:tcW w:w="375" w:type="pct"/>
            <w:tcBorders>
              <w:tl2br w:val="nil"/>
              <w:tr2bl w:val="nil"/>
            </w:tcBorders>
          </w:tcPr>
          <w:p w14:paraId="7C34AAF0">
            <w:pPr>
              <w:spacing w:line="360" w:lineRule="auto"/>
              <w:ind w:firstLine="567"/>
              <w:jc w:val="left"/>
              <w:rPr>
                <w:highlight w:val="none"/>
              </w:rPr>
            </w:pPr>
          </w:p>
        </w:tc>
        <w:tc>
          <w:tcPr>
            <w:tcW w:w="598" w:type="pct"/>
            <w:tcBorders>
              <w:tl2br w:val="nil"/>
              <w:tr2bl w:val="nil"/>
            </w:tcBorders>
          </w:tcPr>
          <w:p w14:paraId="0B8EB9B1">
            <w:pPr>
              <w:spacing w:line="360" w:lineRule="auto"/>
              <w:ind w:firstLine="567"/>
              <w:jc w:val="left"/>
              <w:rPr>
                <w:highlight w:val="none"/>
              </w:rPr>
            </w:pPr>
          </w:p>
        </w:tc>
        <w:tc>
          <w:tcPr>
            <w:tcW w:w="360" w:type="pct"/>
            <w:tcBorders>
              <w:tl2br w:val="nil"/>
              <w:tr2bl w:val="nil"/>
            </w:tcBorders>
          </w:tcPr>
          <w:p w14:paraId="7D76828E">
            <w:pPr>
              <w:spacing w:line="360" w:lineRule="auto"/>
              <w:ind w:firstLine="567"/>
              <w:jc w:val="left"/>
              <w:rPr>
                <w:highlight w:val="none"/>
              </w:rPr>
            </w:pPr>
          </w:p>
        </w:tc>
        <w:tc>
          <w:tcPr>
            <w:tcW w:w="456" w:type="pct"/>
            <w:tcBorders>
              <w:tl2br w:val="nil"/>
              <w:tr2bl w:val="nil"/>
            </w:tcBorders>
          </w:tcPr>
          <w:p w14:paraId="467B77D3">
            <w:pPr>
              <w:spacing w:line="360" w:lineRule="auto"/>
              <w:jc w:val="left"/>
              <w:rPr>
                <w:highlight w:val="none"/>
              </w:rPr>
            </w:pPr>
          </w:p>
        </w:tc>
        <w:tc>
          <w:tcPr>
            <w:tcW w:w="474" w:type="pct"/>
            <w:tcBorders>
              <w:tl2br w:val="nil"/>
              <w:tr2bl w:val="nil"/>
            </w:tcBorders>
          </w:tcPr>
          <w:p w14:paraId="09B0A569">
            <w:pPr>
              <w:spacing w:line="360" w:lineRule="auto"/>
              <w:ind w:firstLine="567"/>
              <w:jc w:val="left"/>
              <w:rPr>
                <w:highlight w:val="none"/>
              </w:rPr>
            </w:pPr>
          </w:p>
        </w:tc>
        <w:tc>
          <w:tcPr>
            <w:tcW w:w="515" w:type="pct"/>
            <w:tcBorders>
              <w:tl2br w:val="nil"/>
              <w:tr2bl w:val="nil"/>
            </w:tcBorders>
          </w:tcPr>
          <w:p w14:paraId="58C652C2">
            <w:pPr>
              <w:spacing w:line="360" w:lineRule="auto"/>
              <w:ind w:firstLine="567"/>
              <w:jc w:val="left"/>
              <w:rPr>
                <w:highlight w:val="none"/>
              </w:rPr>
            </w:pPr>
          </w:p>
        </w:tc>
        <w:tc>
          <w:tcPr>
            <w:tcW w:w="580" w:type="pct"/>
            <w:tcBorders>
              <w:tl2br w:val="nil"/>
              <w:tr2bl w:val="nil"/>
            </w:tcBorders>
          </w:tcPr>
          <w:p w14:paraId="4B61BD5C">
            <w:pPr>
              <w:spacing w:line="360" w:lineRule="auto"/>
              <w:ind w:firstLine="567"/>
              <w:jc w:val="left"/>
              <w:rPr>
                <w:highlight w:val="none"/>
              </w:rPr>
            </w:pPr>
          </w:p>
        </w:tc>
        <w:tc>
          <w:tcPr>
            <w:tcW w:w="411" w:type="pct"/>
            <w:tcBorders>
              <w:tl2br w:val="nil"/>
              <w:tr2bl w:val="nil"/>
            </w:tcBorders>
          </w:tcPr>
          <w:p w14:paraId="7FAA46F0">
            <w:pPr>
              <w:spacing w:line="360" w:lineRule="auto"/>
              <w:ind w:firstLine="567"/>
              <w:jc w:val="left"/>
              <w:rPr>
                <w:highlight w:val="none"/>
              </w:rPr>
            </w:pPr>
          </w:p>
        </w:tc>
      </w:tr>
      <w:tr w14:paraId="33206F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326" w:type="pct"/>
            <w:tcBorders>
              <w:tl2br w:val="nil"/>
              <w:tr2bl w:val="nil"/>
            </w:tcBorders>
          </w:tcPr>
          <w:p w14:paraId="6C4D8651">
            <w:pPr>
              <w:spacing w:line="360" w:lineRule="auto"/>
              <w:jc w:val="left"/>
              <w:rPr>
                <w:highlight w:val="none"/>
              </w:rPr>
            </w:pPr>
          </w:p>
        </w:tc>
        <w:tc>
          <w:tcPr>
            <w:tcW w:w="541" w:type="pct"/>
            <w:tcBorders>
              <w:tl2br w:val="nil"/>
              <w:tr2bl w:val="nil"/>
            </w:tcBorders>
          </w:tcPr>
          <w:p w14:paraId="7526B261">
            <w:pPr>
              <w:spacing w:line="360" w:lineRule="auto"/>
              <w:jc w:val="left"/>
              <w:rPr>
                <w:highlight w:val="none"/>
              </w:rPr>
            </w:pPr>
          </w:p>
        </w:tc>
        <w:tc>
          <w:tcPr>
            <w:tcW w:w="360" w:type="pct"/>
            <w:tcBorders>
              <w:tl2br w:val="nil"/>
              <w:tr2bl w:val="nil"/>
            </w:tcBorders>
          </w:tcPr>
          <w:p w14:paraId="6896353D">
            <w:pPr>
              <w:spacing w:line="360" w:lineRule="auto"/>
              <w:ind w:firstLine="567"/>
              <w:jc w:val="left"/>
              <w:rPr>
                <w:highlight w:val="none"/>
              </w:rPr>
            </w:pPr>
          </w:p>
        </w:tc>
        <w:tc>
          <w:tcPr>
            <w:tcW w:w="375" w:type="pct"/>
            <w:tcBorders>
              <w:tl2br w:val="nil"/>
              <w:tr2bl w:val="nil"/>
            </w:tcBorders>
          </w:tcPr>
          <w:p w14:paraId="658544B1">
            <w:pPr>
              <w:spacing w:line="360" w:lineRule="auto"/>
              <w:ind w:firstLine="567"/>
              <w:jc w:val="left"/>
              <w:rPr>
                <w:highlight w:val="none"/>
              </w:rPr>
            </w:pPr>
          </w:p>
        </w:tc>
        <w:tc>
          <w:tcPr>
            <w:tcW w:w="598" w:type="pct"/>
            <w:tcBorders>
              <w:tl2br w:val="nil"/>
              <w:tr2bl w:val="nil"/>
            </w:tcBorders>
          </w:tcPr>
          <w:p w14:paraId="44A92AD8">
            <w:pPr>
              <w:spacing w:line="360" w:lineRule="auto"/>
              <w:ind w:firstLine="567"/>
              <w:jc w:val="left"/>
              <w:rPr>
                <w:highlight w:val="none"/>
              </w:rPr>
            </w:pPr>
          </w:p>
        </w:tc>
        <w:tc>
          <w:tcPr>
            <w:tcW w:w="360" w:type="pct"/>
            <w:tcBorders>
              <w:tl2br w:val="nil"/>
              <w:tr2bl w:val="nil"/>
            </w:tcBorders>
          </w:tcPr>
          <w:p w14:paraId="28DD7391">
            <w:pPr>
              <w:spacing w:line="360" w:lineRule="auto"/>
              <w:ind w:firstLine="567"/>
              <w:jc w:val="left"/>
              <w:rPr>
                <w:highlight w:val="none"/>
              </w:rPr>
            </w:pPr>
          </w:p>
        </w:tc>
        <w:tc>
          <w:tcPr>
            <w:tcW w:w="456" w:type="pct"/>
            <w:tcBorders>
              <w:tl2br w:val="nil"/>
              <w:tr2bl w:val="nil"/>
            </w:tcBorders>
          </w:tcPr>
          <w:p w14:paraId="52A74602">
            <w:pPr>
              <w:spacing w:line="360" w:lineRule="auto"/>
              <w:jc w:val="left"/>
              <w:rPr>
                <w:highlight w:val="none"/>
              </w:rPr>
            </w:pPr>
          </w:p>
        </w:tc>
        <w:tc>
          <w:tcPr>
            <w:tcW w:w="474" w:type="pct"/>
            <w:tcBorders>
              <w:tl2br w:val="nil"/>
              <w:tr2bl w:val="nil"/>
            </w:tcBorders>
          </w:tcPr>
          <w:p w14:paraId="7635ADBD">
            <w:pPr>
              <w:spacing w:line="360" w:lineRule="auto"/>
              <w:ind w:firstLine="567"/>
              <w:jc w:val="left"/>
              <w:rPr>
                <w:highlight w:val="none"/>
              </w:rPr>
            </w:pPr>
          </w:p>
        </w:tc>
        <w:tc>
          <w:tcPr>
            <w:tcW w:w="515" w:type="pct"/>
            <w:tcBorders>
              <w:tl2br w:val="nil"/>
              <w:tr2bl w:val="nil"/>
            </w:tcBorders>
          </w:tcPr>
          <w:p w14:paraId="045724E6">
            <w:pPr>
              <w:spacing w:line="360" w:lineRule="auto"/>
              <w:ind w:firstLine="567"/>
              <w:jc w:val="left"/>
              <w:rPr>
                <w:highlight w:val="none"/>
              </w:rPr>
            </w:pPr>
          </w:p>
        </w:tc>
        <w:tc>
          <w:tcPr>
            <w:tcW w:w="580" w:type="pct"/>
            <w:tcBorders>
              <w:tl2br w:val="nil"/>
              <w:tr2bl w:val="nil"/>
            </w:tcBorders>
          </w:tcPr>
          <w:p w14:paraId="1E2F3B23">
            <w:pPr>
              <w:spacing w:line="360" w:lineRule="auto"/>
              <w:ind w:firstLine="567"/>
              <w:jc w:val="left"/>
              <w:rPr>
                <w:highlight w:val="none"/>
              </w:rPr>
            </w:pPr>
          </w:p>
        </w:tc>
        <w:tc>
          <w:tcPr>
            <w:tcW w:w="411" w:type="pct"/>
            <w:tcBorders>
              <w:tl2br w:val="nil"/>
              <w:tr2bl w:val="nil"/>
            </w:tcBorders>
          </w:tcPr>
          <w:p w14:paraId="14FC6E4E">
            <w:pPr>
              <w:spacing w:line="360" w:lineRule="auto"/>
              <w:ind w:firstLine="567"/>
              <w:jc w:val="left"/>
              <w:rPr>
                <w:highlight w:val="none"/>
              </w:rPr>
            </w:pPr>
          </w:p>
        </w:tc>
      </w:tr>
      <w:tr w14:paraId="0A6FBC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326" w:type="pct"/>
            <w:tcBorders>
              <w:tl2br w:val="nil"/>
              <w:tr2bl w:val="nil"/>
            </w:tcBorders>
          </w:tcPr>
          <w:p w14:paraId="7E6F6C36">
            <w:pPr>
              <w:spacing w:line="360" w:lineRule="auto"/>
              <w:jc w:val="left"/>
              <w:rPr>
                <w:highlight w:val="none"/>
              </w:rPr>
            </w:pPr>
          </w:p>
        </w:tc>
        <w:tc>
          <w:tcPr>
            <w:tcW w:w="541" w:type="pct"/>
            <w:tcBorders>
              <w:tl2br w:val="nil"/>
              <w:tr2bl w:val="nil"/>
            </w:tcBorders>
          </w:tcPr>
          <w:p w14:paraId="13973D0B">
            <w:pPr>
              <w:spacing w:line="360" w:lineRule="auto"/>
              <w:jc w:val="left"/>
              <w:rPr>
                <w:highlight w:val="none"/>
              </w:rPr>
            </w:pPr>
          </w:p>
        </w:tc>
        <w:tc>
          <w:tcPr>
            <w:tcW w:w="360" w:type="pct"/>
            <w:tcBorders>
              <w:tl2br w:val="nil"/>
              <w:tr2bl w:val="nil"/>
            </w:tcBorders>
          </w:tcPr>
          <w:p w14:paraId="2C0D985A">
            <w:pPr>
              <w:spacing w:line="360" w:lineRule="auto"/>
              <w:ind w:firstLine="567"/>
              <w:jc w:val="left"/>
              <w:rPr>
                <w:highlight w:val="none"/>
              </w:rPr>
            </w:pPr>
          </w:p>
        </w:tc>
        <w:tc>
          <w:tcPr>
            <w:tcW w:w="375" w:type="pct"/>
            <w:tcBorders>
              <w:tl2br w:val="nil"/>
              <w:tr2bl w:val="nil"/>
            </w:tcBorders>
          </w:tcPr>
          <w:p w14:paraId="209A87DE">
            <w:pPr>
              <w:spacing w:line="360" w:lineRule="auto"/>
              <w:ind w:firstLine="567"/>
              <w:jc w:val="left"/>
              <w:rPr>
                <w:highlight w:val="none"/>
              </w:rPr>
            </w:pPr>
          </w:p>
        </w:tc>
        <w:tc>
          <w:tcPr>
            <w:tcW w:w="598" w:type="pct"/>
            <w:tcBorders>
              <w:tl2br w:val="nil"/>
              <w:tr2bl w:val="nil"/>
            </w:tcBorders>
          </w:tcPr>
          <w:p w14:paraId="635B1AF3">
            <w:pPr>
              <w:spacing w:line="360" w:lineRule="auto"/>
              <w:ind w:firstLine="567"/>
              <w:jc w:val="left"/>
              <w:rPr>
                <w:highlight w:val="none"/>
              </w:rPr>
            </w:pPr>
          </w:p>
        </w:tc>
        <w:tc>
          <w:tcPr>
            <w:tcW w:w="360" w:type="pct"/>
            <w:tcBorders>
              <w:tl2br w:val="nil"/>
              <w:tr2bl w:val="nil"/>
            </w:tcBorders>
          </w:tcPr>
          <w:p w14:paraId="3925CB2C">
            <w:pPr>
              <w:spacing w:line="360" w:lineRule="auto"/>
              <w:ind w:firstLine="567"/>
              <w:jc w:val="left"/>
              <w:rPr>
                <w:highlight w:val="none"/>
              </w:rPr>
            </w:pPr>
          </w:p>
        </w:tc>
        <w:tc>
          <w:tcPr>
            <w:tcW w:w="456" w:type="pct"/>
            <w:tcBorders>
              <w:tl2br w:val="nil"/>
              <w:tr2bl w:val="nil"/>
            </w:tcBorders>
          </w:tcPr>
          <w:p w14:paraId="79F02A3A">
            <w:pPr>
              <w:spacing w:line="360" w:lineRule="auto"/>
              <w:jc w:val="left"/>
              <w:rPr>
                <w:highlight w:val="none"/>
              </w:rPr>
            </w:pPr>
          </w:p>
        </w:tc>
        <w:tc>
          <w:tcPr>
            <w:tcW w:w="474" w:type="pct"/>
            <w:tcBorders>
              <w:tl2br w:val="nil"/>
              <w:tr2bl w:val="nil"/>
            </w:tcBorders>
          </w:tcPr>
          <w:p w14:paraId="0D90EBB5">
            <w:pPr>
              <w:spacing w:line="360" w:lineRule="auto"/>
              <w:ind w:firstLine="567"/>
              <w:jc w:val="left"/>
              <w:rPr>
                <w:highlight w:val="none"/>
              </w:rPr>
            </w:pPr>
          </w:p>
        </w:tc>
        <w:tc>
          <w:tcPr>
            <w:tcW w:w="515" w:type="pct"/>
            <w:tcBorders>
              <w:tl2br w:val="nil"/>
              <w:tr2bl w:val="nil"/>
            </w:tcBorders>
          </w:tcPr>
          <w:p w14:paraId="0BAF4351">
            <w:pPr>
              <w:spacing w:line="360" w:lineRule="auto"/>
              <w:ind w:firstLine="567"/>
              <w:jc w:val="left"/>
              <w:rPr>
                <w:highlight w:val="none"/>
              </w:rPr>
            </w:pPr>
          </w:p>
        </w:tc>
        <w:tc>
          <w:tcPr>
            <w:tcW w:w="580" w:type="pct"/>
            <w:tcBorders>
              <w:tl2br w:val="nil"/>
              <w:tr2bl w:val="nil"/>
            </w:tcBorders>
          </w:tcPr>
          <w:p w14:paraId="5DB6359E">
            <w:pPr>
              <w:spacing w:line="360" w:lineRule="auto"/>
              <w:ind w:firstLine="567"/>
              <w:jc w:val="left"/>
              <w:rPr>
                <w:highlight w:val="none"/>
              </w:rPr>
            </w:pPr>
          </w:p>
        </w:tc>
        <w:tc>
          <w:tcPr>
            <w:tcW w:w="411" w:type="pct"/>
            <w:tcBorders>
              <w:tl2br w:val="nil"/>
              <w:tr2bl w:val="nil"/>
            </w:tcBorders>
          </w:tcPr>
          <w:p w14:paraId="3233DB45">
            <w:pPr>
              <w:spacing w:line="360" w:lineRule="auto"/>
              <w:ind w:firstLine="567"/>
              <w:jc w:val="left"/>
              <w:rPr>
                <w:highlight w:val="none"/>
              </w:rPr>
            </w:pPr>
          </w:p>
        </w:tc>
      </w:tr>
      <w:tr w14:paraId="5CDCA8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326" w:type="pct"/>
            <w:tcBorders>
              <w:tl2br w:val="nil"/>
              <w:tr2bl w:val="nil"/>
            </w:tcBorders>
          </w:tcPr>
          <w:p w14:paraId="7BB1DDFE">
            <w:pPr>
              <w:spacing w:line="360" w:lineRule="auto"/>
              <w:jc w:val="left"/>
              <w:rPr>
                <w:highlight w:val="none"/>
              </w:rPr>
            </w:pPr>
          </w:p>
        </w:tc>
        <w:tc>
          <w:tcPr>
            <w:tcW w:w="541" w:type="pct"/>
            <w:tcBorders>
              <w:tl2br w:val="nil"/>
              <w:tr2bl w:val="nil"/>
            </w:tcBorders>
          </w:tcPr>
          <w:p w14:paraId="719E604B">
            <w:pPr>
              <w:spacing w:line="360" w:lineRule="auto"/>
              <w:jc w:val="left"/>
              <w:rPr>
                <w:highlight w:val="none"/>
              </w:rPr>
            </w:pPr>
          </w:p>
        </w:tc>
        <w:tc>
          <w:tcPr>
            <w:tcW w:w="360" w:type="pct"/>
            <w:tcBorders>
              <w:tl2br w:val="nil"/>
              <w:tr2bl w:val="nil"/>
            </w:tcBorders>
          </w:tcPr>
          <w:p w14:paraId="63E1035F">
            <w:pPr>
              <w:spacing w:line="360" w:lineRule="auto"/>
              <w:ind w:firstLine="567"/>
              <w:jc w:val="left"/>
              <w:rPr>
                <w:highlight w:val="none"/>
              </w:rPr>
            </w:pPr>
          </w:p>
        </w:tc>
        <w:tc>
          <w:tcPr>
            <w:tcW w:w="375" w:type="pct"/>
            <w:tcBorders>
              <w:tl2br w:val="nil"/>
              <w:tr2bl w:val="nil"/>
            </w:tcBorders>
          </w:tcPr>
          <w:p w14:paraId="4A4B4387">
            <w:pPr>
              <w:spacing w:line="360" w:lineRule="auto"/>
              <w:ind w:firstLine="567"/>
              <w:jc w:val="left"/>
              <w:rPr>
                <w:highlight w:val="none"/>
              </w:rPr>
            </w:pPr>
          </w:p>
        </w:tc>
        <w:tc>
          <w:tcPr>
            <w:tcW w:w="598" w:type="pct"/>
            <w:tcBorders>
              <w:tl2br w:val="nil"/>
              <w:tr2bl w:val="nil"/>
            </w:tcBorders>
          </w:tcPr>
          <w:p w14:paraId="446A8116">
            <w:pPr>
              <w:spacing w:line="360" w:lineRule="auto"/>
              <w:ind w:firstLine="567"/>
              <w:jc w:val="left"/>
              <w:rPr>
                <w:highlight w:val="none"/>
              </w:rPr>
            </w:pPr>
          </w:p>
        </w:tc>
        <w:tc>
          <w:tcPr>
            <w:tcW w:w="360" w:type="pct"/>
            <w:tcBorders>
              <w:tl2br w:val="nil"/>
              <w:tr2bl w:val="nil"/>
            </w:tcBorders>
          </w:tcPr>
          <w:p w14:paraId="44E70A2D">
            <w:pPr>
              <w:spacing w:line="360" w:lineRule="auto"/>
              <w:ind w:firstLine="567"/>
              <w:jc w:val="left"/>
              <w:rPr>
                <w:highlight w:val="none"/>
              </w:rPr>
            </w:pPr>
          </w:p>
        </w:tc>
        <w:tc>
          <w:tcPr>
            <w:tcW w:w="456" w:type="pct"/>
            <w:tcBorders>
              <w:tl2br w:val="nil"/>
              <w:tr2bl w:val="nil"/>
            </w:tcBorders>
          </w:tcPr>
          <w:p w14:paraId="6E7E2A60">
            <w:pPr>
              <w:spacing w:line="360" w:lineRule="auto"/>
              <w:jc w:val="left"/>
              <w:rPr>
                <w:highlight w:val="none"/>
              </w:rPr>
            </w:pPr>
          </w:p>
        </w:tc>
        <w:tc>
          <w:tcPr>
            <w:tcW w:w="474" w:type="pct"/>
            <w:tcBorders>
              <w:tl2br w:val="nil"/>
              <w:tr2bl w:val="nil"/>
            </w:tcBorders>
          </w:tcPr>
          <w:p w14:paraId="792C9065">
            <w:pPr>
              <w:spacing w:line="360" w:lineRule="auto"/>
              <w:ind w:firstLine="567"/>
              <w:jc w:val="left"/>
              <w:rPr>
                <w:highlight w:val="none"/>
              </w:rPr>
            </w:pPr>
          </w:p>
        </w:tc>
        <w:tc>
          <w:tcPr>
            <w:tcW w:w="515" w:type="pct"/>
            <w:tcBorders>
              <w:tl2br w:val="nil"/>
              <w:tr2bl w:val="nil"/>
            </w:tcBorders>
          </w:tcPr>
          <w:p w14:paraId="3DAC65B5">
            <w:pPr>
              <w:spacing w:line="360" w:lineRule="auto"/>
              <w:ind w:firstLine="567"/>
              <w:jc w:val="left"/>
              <w:rPr>
                <w:highlight w:val="none"/>
              </w:rPr>
            </w:pPr>
          </w:p>
        </w:tc>
        <w:tc>
          <w:tcPr>
            <w:tcW w:w="580" w:type="pct"/>
            <w:tcBorders>
              <w:tl2br w:val="nil"/>
              <w:tr2bl w:val="nil"/>
            </w:tcBorders>
          </w:tcPr>
          <w:p w14:paraId="19C6A3B4">
            <w:pPr>
              <w:spacing w:line="360" w:lineRule="auto"/>
              <w:ind w:firstLine="567"/>
              <w:jc w:val="left"/>
              <w:rPr>
                <w:highlight w:val="none"/>
              </w:rPr>
            </w:pPr>
          </w:p>
        </w:tc>
        <w:tc>
          <w:tcPr>
            <w:tcW w:w="411" w:type="pct"/>
            <w:tcBorders>
              <w:tl2br w:val="nil"/>
              <w:tr2bl w:val="nil"/>
            </w:tcBorders>
          </w:tcPr>
          <w:p w14:paraId="7482E6C9">
            <w:pPr>
              <w:spacing w:line="360" w:lineRule="auto"/>
              <w:ind w:firstLine="567"/>
              <w:jc w:val="left"/>
              <w:rPr>
                <w:highlight w:val="none"/>
              </w:rPr>
            </w:pPr>
          </w:p>
        </w:tc>
      </w:tr>
    </w:tbl>
    <w:p w14:paraId="18307DFE">
      <w:pPr>
        <w:jc w:val="left"/>
        <w:rPr>
          <w:sz w:val="32"/>
          <w:szCs w:val="32"/>
          <w:highlight w:val="none"/>
        </w:rPr>
        <w:sectPr>
          <w:pgSz w:w="11906" w:h="16838"/>
          <w:pgMar w:top="1440" w:right="1440" w:bottom="1440" w:left="1701" w:header="851" w:footer="992" w:gutter="0"/>
          <w:cols w:space="425" w:num="1"/>
          <w:docGrid w:type="lines" w:linePitch="312" w:charSpace="0"/>
        </w:sectPr>
      </w:pPr>
    </w:p>
    <w:p w14:paraId="175E36B8">
      <w:pPr>
        <w:pStyle w:val="4"/>
        <w:spacing w:before="156" w:beforeLines="50" w:after="156" w:afterLines="50" w:line="360" w:lineRule="auto"/>
        <w:jc w:val="left"/>
        <w:rPr>
          <w:sz w:val="32"/>
          <w:szCs w:val="32"/>
          <w:highlight w:val="none"/>
        </w:rPr>
      </w:pPr>
      <w:bookmarkStart w:id="180" w:name="_Toc397175925"/>
      <w:bookmarkStart w:id="181" w:name="_Toc515953169"/>
      <w:bookmarkStart w:id="182" w:name="_Toc397131869"/>
      <w:bookmarkStart w:id="183" w:name="_Toc343695406"/>
      <w:bookmarkStart w:id="184" w:name="_Toc399326523"/>
      <w:bookmarkStart w:id="185" w:name="_Toc517056038"/>
      <w:bookmarkStart w:id="186" w:name="_Toc6275"/>
      <w:bookmarkStart w:id="187" w:name="_Toc397174654"/>
      <w:bookmarkStart w:id="188" w:name="_Toc396528069"/>
      <w:bookmarkStart w:id="189" w:name="_Toc501940892"/>
      <w:bookmarkStart w:id="190" w:name="_Toc396528500"/>
      <w:bookmarkStart w:id="191" w:name="_Toc396527854"/>
      <w:bookmarkStart w:id="192" w:name="_Toc396988670"/>
      <w:bookmarkStart w:id="193" w:name="_Toc396990284"/>
      <w:bookmarkStart w:id="194" w:name="_Toc396529293"/>
      <w:bookmarkStart w:id="195" w:name="_Toc399318779"/>
      <w:r>
        <w:rPr>
          <w:sz w:val="32"/>
          <w:szCs w:val="32"/>
          <w:highlight w:val="none"/>
        </w:rPr>
        <w:t>附件10 技术差异表</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1465E239">
      <w:pPr>
        <w:spacing w:line="360" w:lineRule="auto"/>
        <w:ind w:firstLine="480" w:firstLineChars="200"/>
        <w:jc w:val="left"/>
        <w:rPr>
          <w:highlight w:val="none"/>
        </w:rPr>
      </w:pPr>
      <w:r>
        <w:rPr>
          <w:highlight w:val="none"/>
        </w:rPr>
        <w:t>投标人要将投标文件和招标文件的差异之处汇集成表。技术部分和商务部分单独列。</w:t>
      </w:r>
    </w:p>
    <w:p w14:paraId="23A47316">
      <w:pPr>
        <w:spacing w:line="360" w:lineRule="auto"/>
        <w:jc w:val="center"/>
        <w:rPr>
          <w:highlight w:val="none"/>
        </w:rPr>
      </w:pPr>
      <w:r>
        <w:rPr>
          <w:highlight w:val="none"/>
        </w:rPr>
        <w:t>差异表</w:t>
      </w:r>
    </w:p>
    <w:tbl>
      <w:tblPr>
        <w:tblStyle w:val="21"/>
        <w:tblW w:w="5021" w:type="pct"/>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938"/>
        <w:gridCol w:w="1672"/>
        <w:gridCol w:w="2231"/>
        <w:gridCol w:w="2293"/>
        <w:gridCol w:w="1785"/>
      </w:tblGrid>
      <w:tr w14:paraId="29E93B8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39" w:hRule="atLeast"/>
        </w:trPr>
        <w:tc>
          <w:tcPr>
            <w:tcW w:w="526" w:type="pct"/>
            <w:tcBorders>
              <w:top w:val="single" w:color="auto" w:sz="12" w:space="0"/>
              <w:left w:val="single" w:color="auto" w:sz="12" w:space="0"/>
              <w:bottom w:val="single" w:color="auto" w:sz="8" w:space="0"/>
              <w:right w:val="single" w:color="auto" w:sz="8" w:space="0"/>
            </w:tcBorders>
            <w:vAlign w:val="center"/>
          </w:tcPr>
          <w:p w14:paraId="76DFC651">
            <w:pPr>
              <w:pStyle w:val="36"/>
              <w:jc w:val="left"/>
              <w:rPr>
                <w:szCs w:val="24"/>
                <w:highlight w:val="none"/>
              </w:rPr>
            </w:pPr>
            <w:r>
              <w:rPr>
                <w:szCs w:val="24"/>
                <w:highlight w:val="none"/>
              </w:rPr>
              <w:t>序号</w:t>
            </w:r>
          </w:p>
        </w:tc>
        <w:tc>
          <w:tcPr>
            <w:tcW w:w="2187" w:type="pct"/>
            <w:gridSpan w:val="2"/>
            <w:tcBorders>
              <w:top w:val="single" w:color="auto" w:sz="12" w:space="0"/>
              <w:left w:val="single" w:color="auto" w:sz="8" w:space="0"/>
              <w:bottom w:val="single" w:color="auto" w:sz="8" w:space="0"/>
              <w:right w:val="single" w:color="auto" w:sz="8" w:space="0"/>
            </w:tcBorders>
            <w:vAlign w:val="center"/>
          </w:tcPr>
          <w:p w14:paraId="01C7FB87">
            <w:pPr>
              <w:pStyle w:val="36"/>
              <w:jc w:val="left"/>
              <w:rPr>
                <w:szCs w:val="24"/>
                <w:highlight w:val="none"/>
              </w:rPr>
            </w:pPr>
            <w:r>
              <w:rPr>
                <w:szCs w:val="24"/>
                <w:highlight w:val="none"/>
              </w:rPr>
              <w:t>招标文件</w:t>
            </w:r>
          </w:p>
        </w:tc>
        <w:tc>
          <w:tcPr>
            <w:tcW w:w="2285" w:type="pct"/>
            <w:gridSpan w:val="2"/>
            <w:tcBorders>
              <w:top w:val="single" w:color="auto" w:sz="12" w:space="0"/>
              <w:left w:val="single" w:color="auto" w:sz="8" w:space="0"/>
              <w:bottom w:val="single" w:color="auto" w:sz="8" w:space="0"/>
              <w:right w:val="single" w:color="auto" w:sz="12" w:space="0"/>
            </w:tcBorders>
            <w:vAlign w:val="center"/>
          </w:tcPr>
          <w:p w14:paraId="7009254F">
            <w:pPr>
              <w:pStyle w:val="36"/>
              <w:jc w:val="left"/>
              <w:rPr>
                <w:szCs w:val="24"/>
                <w:highlight w:val="none"/>
              </w:rPr>
            </w:pPr>
            <w:r>
              <w:rPr>
                <w:szCs w:val="24"/>
                <w:highlight w:val="none"/>
              </w:rPr>
              <w:t>投标文件</w:t>
            </w:r>
          </w:p>
        </w:tc>
      </w:tr>
      <w:tr w14:paraId="03B2639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24" w:hRule="atLeast"/>
        </w:trPr>
        <w:tc>
          <w:tcPr>
            <w:tcW w:w="526" w:type="pct"/>
            <w:tcBorders>
              <w:top w:val="single" w:color="auto" w:sz="8" w:space="0"/>
              <w:left w:val="single" w:color="auto" w:sz="12" w:space="0"/>
              <w:bottom w:val="single" w:color="auto" w:sz="8" w:space="0"/>
              <w:right w:val="single" w:color="auto" w:sz="8" w:space="0"/>
            </w:tcBorders>
            <w:vAlign w:val="center"/>
          </w:tcPr>
          <w:p w14:paraId="739E0701">
            <w:pPr>
              <w:pStyle w:val="36"/>
              <w:ind w:left="480"/>
              <w:jc w:val="left"/>
              <w:rPr>
                <w:szCs w:val="24"/>
                <w:highlight w:val="none"/>
              </w:rPr>
            </w:pPr>
          </w:p>
        </w:tc>
        <w:tc>
          <w:tcPr>
            <w:tcW w:w="937" w:type="pct"/>
            <w:tcBorders>
              <w:top w:val="single" w:color="auto" w:sz="8" w:space="0"/>
              <w:left w:val="single" w:color="auto" w:sz="8" w:space="0"/>
              <w:bottom w:val="single" w:color="auto" w:sz="8" w:space="0"/>
              <w:right w:val="single" w:color="auto" w:sz="8" w:space="0"/>
            </w:tcBorders>
            <w:vAlign w:val="center"/>
          </w:tcPr>
          <w:p w14:paraId="107FA475">
            <w:pPr>
              <w:pStyle w:val="36"/>
              <w:jc w:val="left"/>
              <w:rPr>
                <w:szCs w:val="24"/>
                <w:highlight w:val="none"/>
              </w:rPr>
            </w:pPr>
            <w:r>
              <w:rPr>
                <w:szCs w:val="24"/>
                <w:highlight w:val="none"/>
              </w:rPr>
              <w:t>条目</w:t>
            </w:r>
          </w:p>
        </w:tc>
        <w:tc>
          <w:tcPr>
            <w:tcW w:w="1250" w:type="pct"/>
            <w:tcBorders>
              <w:top w:val="single" w:color="auto" w:sz="8" w:space="0"/>
              <w:left w:val="single" w:color="auto" w:sz="8" w:space="0"/>
              <w:bottom w:val="single" w:color="auto" w:sz="8" w:space="0"/>
              <w:right w:val="single" w:color="auto" w:sz="8" w:space="0"/>
            </w:tcBorders>
            <w:vAlign w:val="center"/>
          </w:tcPr>
          <w:p w14:paraId="0BD4CFFC">
            <w:pPr>
              <w:pStyle w:val="36"/>
              <w:jc w:val="left"/>
              <w:rPr>
                <w:szCs w:val="24"/>
                <w:highlight w:val="none"/>
              </w:rPr>
            </w:pPr>
            <w:r>
              <w:rPr>
                <w:szCs w:val="24"/>
                <w:highlight w:val="none"/>
              </w:rPr>
              <w:t>内容</w:t>
            </w:r>
          </w:p>
        </w:tc>
        <w:tc>
          <w:tcPr>
            <w:tcW w:w="1285" w:type="pct"/>
            <w:tcBorders>
              <w:top w:val="single" w:color="auto" w:sz="8" w:space="0"/>
              <w:left w:val="single" w:color="auto" w:sz="8" w:space="0"/>
              <w:bottom w:val="single" w:color="auto" w:sz="8" w:space="0"/>
              <w:right w:val="single" w:color="auto" w:sz="8" w:space="0"/>
            </w:tcBorders>
            <w:vAlign w:val="center"/>
          </w:tcPr>
          <w:p w14:paraId="7E3BA1DA">
            <w:pPr>
              <w:pStyle w:val="36"/>
              <w:jc w:val="left"/>
              <w:rPr>
                <w:szCs w:val="24"/>
                <w:highlight w:val="none"/>
              </w:rPr>
            </w:pPr>
            <w:r>
              <w:rPr>
                <w:szCs w:val="24"/>
                <w:highlight w:val="none"/>
              </w:rPr>
              <w:t>条目</w:t>
            </w:r>
          </w:p>
        </w:tc>
        <w:tc>
          <w:tcPr>
            <w:tcW w:w="1000" w:type="pct"/>
            <w:tcBorders>
              <w:top w:val="single" w:color="auto" w:sz="8" w:space="0"/>
              <w:left w:val="single" w:color="auto" w:sz="8" w:space="0"/>
              <w:bottom w:val="single" w:color="auto" w:sz="8" w:space="0"/>
              <w:right w:val="single" w:color="auto" w:sz="12" w:space="0"/>
            </w:tcBorders>
            <w:vAlign w:val="center"/>
          </w:tcPr>
          <w:p w14:paraId="50BD27F3">
            <w:pPr>
              <w:pStyle w:val="36"/>
              <w:jc w:val="left"/>
              <w:rPr>
                <w:szCs w:val="24"/>
                <w:highlight w:val="none"/>
              </w:rPr>
            </w:pPr>
            <w:r>
              <w:rPr>
                <w:szCs w:val="24"/>
                <w:highlight w:val="none"/>
              </w:rPr>
              <w:t>内容</w:t>
            </w:r>
          </w:p>
        </w:tc>
      </w:tr>
      <w:tr w14:paraId="1DEEFA9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24" w:hRule="atLeast"/>
        </w:trPr>
        <w:tc>
          <w:tcPr>
            <w:tcW w:w="526" w:type="pct"/>
            <w:tcBorders>
              <w:top w:val="single" w:color="auto" w:sz="8" w:space="0"/>
              <w:left w:val="single" w:color="auto" w:sz="12" w:space="0"/>
              <w:bottom w:val="single" w:color="auto" w:sz="8" w:space="0"/>
              <w:right w:val="single" w:color="auto" w:sz="8" w:space="0"/>
            </w:tcBorders>
            <w:vAlign w:val="center"/>
          </w:tcPr>
          <w:p w14:paraId="6DA2F77C">
            <w:pPr>
              <w:pStyle w:val="36"/>
              <w:ind w:left="480"/>
              <w:jc w:val="left"/>
              <w:rPr>
                <w:szCs w:val="24"/>
                <w:highlight w:val="none"/>
              </w:rPr>
            </w:pPr>
          </w:p>
        </w:tc>
        <w:tc>
          <w:tcPr>
            <w:tcW w:w="937" w:type="pct"/>
            <w:tcBorders>
              <w:top w:val="single" w:color="auto" w:sz="8" w:space="0"/>
              <w:left w:val="single" w:color="auto" w:sz="8" w:space="0"/>
              <w:bottom w:val="single" w:color="auto" w:sz="8" w:space="0"/>
              <w:right w:val="single" w:color="auto" w:sz="8" w:space="0"/>
            </w:tcBorders>
            <w:vAlign w:val="center"/>
          </w:tcPr>
          <w:p w14:paraId="1FFD3E45">
            <w:pPr>
              <w:pStyle w:val="36"/>
              <w:jc w:val="left"/>
              <w:rPr>
                <w:szCs w:val="24"/>
                <w:highlight w:val="none"/>
              </w:rPr>
            </w:pPr>
          </w:p>
        </w:tc>
        <w:tc>
          <w:tcPr>
            <w:tcW w:w="1250" w:type="pct"/>
            <w:tcBorders>
              <w:top w:val="single" w:color="auto" w:sz="8" w:space="0"/>
              <w:left w:val="single" w:color="auto" w:sz="8" w:space="0"/>
              <w:bottom w:val="single" w:color="auto" w:sz="8" w:space="0"/>
              <w:right w:val="single" w:color="auto" w:sz="8" w:space="0"/>
            </w:tcBorders>
            <w:vAlign w:val="center"/>
          </w:tcPr>
          <w:p w14:paraId="514A9809">
            <w:pPr>
              <w:pStyle w:val="36"/>
              <w:ind w:left="480"/>
              <w:jc w:val="left"/>
              <w:rPr>
                <w:szCs w:val="24"/>
                <w:highlight w:val="none"/>
              </w:rPr>
            </w:pPr>
          </w:p>
        </w:tc>
        <w:tc>
          <w:tcPr>
            <w:tcW w:w="1285" w:type="pct"/>
            <w:tcBorders>
              <w:top w:val="single" w:color="auto" w:sz="8" w:space="0"/>
              <w:left w:val="single" w:color="auto" w:sz="8" w:space="0"/>
              <w:bottom w:val="single" w:color="auto" w:sz="8" w:space="0"/>
              <w:right w:val="single" w:color="auto" w:sz="8" w:space="0"/>
            </w:tcBorders>
            <w:vAlign w:val="center"/>
          </w:tcPr>
          <w:p w14:paraId="35B7693C">
            <w:pPr>
              <w:pStyle w:val="36"/>
              <w:ind w:left="480"/>
              <w:jc w:val="left"/>
              <w:rPr>
                <w:szCs w:val="24"/>
                <w:highlight w:val="none"/>
              </w:rPr>
            </w:pPr>
          </w:p>
        </w:tc>
        <w:tc>
          <w:tcPr>
            <w:tcW w:w="1000" w:type="pct"/>
            <w:tcBorders>
              <w:top w:val="single" w:color="auto" w:sz="8" w:space="0"/>
              <w:left w:val="single" w:color="auto" w:sz="8" w:space="0"/>
              <w:bottom w:val="single" w:color="auto" w:sz="8" w:space="0"/>
              <w:right w:val="single" w:color="auto" w:sz="12" w:space="0"/>
            </w:tcBorders>
            <w:vAlign w:val="center"/>
          </w:tcPr>
          <w:p w14:paraId="584D0613">
            <w:pPr>
              <w:pStyle w:val="36"/>
              <w:ind w:left="480"/>
              <w:jc w:val="left"/>
              <w:rPr>
                <w:szCs w:val="24"/>
                <w:highlight w:val="none"/>
              </w:rPr>
            </w:pPr>
          </w:p>
        </w:tc>
      </w:tr>
      <w:tr w14:paraId="3F06F07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24" w:hRule="atLeast"/>
        </w:trPr>
        <w:tc>
          <w:tcPr>
            <w:tcW w:w="526" w:type="pct"/>
            <w:tcBorders>
              <w:top w:val="single" w:color="auto" w:sz="8" w:space="0"/>
              <w:left w:val="single" w:color="auto" w:sz="12" w:space="0"/>
              <w:bottom w:val="single" w:color="auto" w:sz="8" w:space="0"/>
              <w:right w:val="single" w:color="auto" w:sz="8" w:space="0"/>
            </w:tcBorders>
            <w:vAlign w:val="center"/>
          </w:tcPr>
          <w:p w14:paraId="74105E13">
            <w:pPr>
              <w:pStyle w:val="36"/>
              <w:ind w:left="480"/>
              <w:jc w:val="left"/>
              <w:rPr>
                <w:szCs w:val="24"/>
                <w:highlight w:val="none"/>
              </w:rPr>
            </w:pPr>
          </w:p>
        </w:tc>
        <w:tc>
          <w:tcPr>
            <w:tcW w:w="937" w:type="pct"/>
            <w:tcBorders>
              <w:top w:val="single" w:color="auto" w:sz="8" w:space="0"/>
              <w:left w:val="single" w:color="auto" w:sz="8" w:space="0"/>
              <w:bottom w:val="single" w:color="auto" w:sz="8" w:space="0"/>
              <w:right w:val="single" w:color="auto" w:sz="8" w:space="0"/>
            </w:tcBorders>
            <w:vAlign w:val="center"/>
          </w:tcPr>
          <w:p w14:paraId="32F5FC55">
            <w:pPr>
              <w:pStyle w:val="36"/>
              <w:ind w:left="480"/>
              <w:jc w:val="left"/>
              <w:rPr>
                <w:szCs w:val="24"/>
                <w:highlight w:val="none"/>
              </w:rPr>
            </w:pPr>
          </w:p>
        </w:tc>
        <w:tc>
          <w:tcPr>
            <w:tcW w:w="1250" w:type="pct"/>
            <w:tcBorders>
              <w:top w:val="single" w:color="auto" w:sz="8" w:space="0"/>
              <w:left w:val="single" w:color="auto" w:sz="8" w:space="0"/>
              <w:bottom w:val="single" w:color="auto" w:sz="8" w:space="0"/>
              <w:right w:val="single" w:color="auto" w:sz="8" w:space="0"/>
            </w:tcBorders>
            <w:vAlign w:val="center"/>
          </w:tcPr>
          <w:p w14:paraId="21DE256B">
            <w:pPr>
              <w:pStyle w:val="36"/>
              <w:ind w:left="480"/>
              <w:jc w:val="left"/>
              <w:rPr>
                <w:szCs w:val="24"/>
                <w:highlight w:val="none"/>
              </w:rPr>
            </w:pPr>
          </w:p>
        </w:tc>
        <w:tc>
          <w:tcPr>
            <w:tcW w:w="1285" w:type="pct"/>
            <w:tcBorders>
              <w:top w:val="single" w:color="auto" w:sz="8" w:space="0"/>
              <w:left w:val="single" w:color="auto" w:sz="8" w:space="0"/>
              <w:bottom w:val="single" w:color="auto" w:sz="8" w:space="0"/>
              <w:right w:val="single" w:color="auto" w:sz="8" w:space="0"/>
            </w:tcBorders>
            <w:vAlign w:val="center"/>
          </w:tcPr>
          <w:p w14:paraId="624E39DC">
            <w:pPr>
              <w:pStyle w:val="36"/>
              <w:ind w:left="480"/>
              <w:jc w:val="left"/>
              <w:rPr>
                <w:szCs w:val="24"/>
                <w:highlight w:val="none"/>
              </w:rPr>
            </w:pPr>
          </w:p>
        </w:tc>
        <w:tc>
          <w:tcPr>
            <w:tcW w:w="1000" w:type="pct"/>
            <w:tcBorders>
              <w:top w:val="single" w:color="auto" w:sz="8" w:space="0"/>
              <w:left w:val="single" w:color="auto" w:sz="8" w:space="0"/>
              <w:bottom w:val="single" w:color="auto" w:sz="8" w:space="0"/>
              <w:right w:val="single" w:color="auto" w:sz="12" w:space="0"/>
            </w:tcBorders>
            <w:vAlign w:val="center"/>
          </w:tcPr>
          <w:p w14:paraId="6E0E8B67">
            <w:pPr>
              <w:pStyle w:val="36"/>
              <w:ind w:left="480"/>
              <w:jc w:val="left"/>
              <w:rPr>
                <w:szCs w:val="24"/>
                <w:highlight w:val="none"/>
              </w:rPr>
            </w:pPr>
          </w:p>
        </w:tc>
      </w:tr>
      <w:tr w14:paraId="270349A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24" w:hRule="atLeast"/>
        </w:trPr>
        <w:tc>
          <w:tcPr>
            <w:tcW w:w="526" w:type="pct"/>
            <w:tcBorders>
              <w:top w:val="single" w:color="auto" w:sz="8" w:space="0"/>
              <w:left w:val="single" w:color="auto" w:sz="12" w:space="0"/>
              <w:bottom w:val="single" w:color="auto" w:sz="8" w:space="0"/>
              <w:right w:val="single" w:color="auto" w:sz="8" w:space="0"/>
            </w:tcBorders>
            <w:vAlign w:val="center"/>
          </w:tcPr>
          <w:p w14:paraId="0844F834">
            <w:pPr>
              <w:pStyle w:val="36"/>
              <w:ind w:left="480"/>
              <w:jc w:val="left"/>
              <w:rPr>
                <w:szCs w:val="24"/>
                <w:highlight w:val="none"/>
              </w:rPr>
            </w:pPr>
          </w:p>
        </w:tc>
        <w:tc>
          <w:tcPr>
            <w:tcW w:w="937" w:type="pct"/>
            <w:tcBorders>
              <w:top w:val="single" w:color="auto" w:sz="8" w:space="0"/>
              <w:left w:val="single" w:color="auto" w:sz="8" w:space="0"/>
              <w:bottom w:val="single" w:color="auto" w:sz="8" w:space="0"/>
              <w:right w:val="single" w:color="auto" w:sz="8" w:space="0"/>
            </w:tcBorders>
            <w:vAlign w:val="center"/>
          </w:tcPr>
          <w:p w14:paraId="58F2A1FB">
            <w:pPr>
              <w:pStyle w:val="36"/>
              <w:ind w:left="480"/>
              <w:jc w:val="left"/>
              <w:rPr>
                <w:szCs w:val="24"/>
                <w:highlight w:val="none"/>
              </w:rPr>
            </w:pPr>
          </w:p>
        </w:tc>
        <w:tc>
          <w:tcPr>
            <w:tcW w:w="1250" w:type="pct"/>
            <w:tcBorders>
              <w:top w:val="single" w:color="auto" w:sz="8" w:space="0"/>
              <w:left w:val="single" w:color="auto" w:sz="8" w:space="0"/>
              <w:bottom w:val="single" w:color="auto" w:sz="8" w:space="0"/>
              <w:right w:val="single" w:color="auto" w:sz="8" w:space="0"/>
            </w:tcBorders>
            <w:vAlign w:val="center"/>
          </w:tcPr>
          <w:p w14:paraId="6F3CF1C6">
            <w:pPr>
              <w:pStyle w:val="36"/>
              <w:ind w:left="480"/>
              <w:jc w:val="left"/>
              <w:rPr>
                <w:szCs w:val="24"/>
                <w:highlight w:val="none"/>
              </w:rPr>
            </w:pPr>
          </w:p>
        </w:tc>
        <w:tc>
          <w:tcPr>
            <w:tcW w:w="1285" w:type="pct"/>
            <w:tcBorders>
              <w:top w:val="single" w:color="auto" w:sz="8" w:space="0"/>
              <w:left w:val="single" w:color="auto" w:sz="8" w:space="0"/>
              <w:bottom w:val="single" w:color="auto" w:sz="8" w:space="0"/>
              <w:right w:val="single" w:color="auto" w:sz="8" w:space="0"/>
            </w:tcBorders>
            <w:vAlign w:val="center"/>
          </w:tcPr>
          <w:p w14:paraId="10141FBC">
            <w:pPr>
              <w:pStyle w:val="36"/>
              <w:ind w:left="480"/>
              <w:jc w:val="left"/>
              <w:rPr>
                <w:szCs w:val="24"/>
                <w:highlight w:val="none"/>
              </w:rPr>
            </w:pPr>
          </w:p>
        </w:tc>
        <w:tc>
          <w:tcPr>
            <w:tcW w:w="1000" w:type="pct"/>
            <w:tcBorders>
              <w:top w:val="single" w:color="auto" w:sz="8" w:space="0"/>
              <w:left w:val="single" w:color="auto" w:sz="8" w:space="0"/>
              <w:bottom w:val="single" w:color="auto" w:sz="8" w:space="0"/>
              <w:right w:val="single" w:color="auto" w:sz="12" w:space="0"/>
            </w:tcBorders>
            <w:vAlign w:val="center"/>
          </w:tcPr>
          <w:p w14:paraId="6F122ADD">
            <w:pPr>
              <w:pStyle w:val="36"/>
              <w:ind w:left="480"/>
              <w:jc w:val="left"/>
              <w:rPr>
                <w:szCs w:val="24"/>
                <w:highlight w:val="none"/>
              </w:rPr>
            </w:pPr>
          </w:p>
        </w:tc>
      </w:tr>
      <w:tr w14:paraId="6704139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71" w:hRule="atLeast"/>
        </w:trPr>
        <w:tc>
          <w:tcPr>
            <w:tcW w:w="526" w:type="pct"/>
            <w:tcBorders>
              <w:top w:val="single" w:color="auto" w:sz="8" w:space="0"/>
              <w:left w:val="single" w:color="auto" w:sz="12" w:space="0"/>
              <w:bottom w:val="single" w:color="auto" w:sz="12" w:space="0"/>
              <w:right w:val="single" w:color="auto" w:sz="8" w:space="0"/>
            </w:tcBorders>
            <w:vAlign w:val="center"/>
          </w:tcPr>
          <w:p w14:paraId="442CB4AD">
            <w:pPr>
              <w:pStyle w:val="36"/>
              <w:ind w:left="480"/>
              <w:jc w:val="left"/>
              <w:rPr>
                <w:szCs w:val="24"/>
                <w:highlight w:val="none"/>
              </w:rPr>
            </w:pPr>
          </w:p>
        </w:tc>
        <w:tc>
          <w:tcPr>
            <w:tcW w:w="937" w:type="pct"/>
            <w:tcBorders>
              <w:top w:val="single" w:color="auto" w:sz="8" w:space="0"/>
              <w:left w:val="single" w:color="auto" w:sz="8" w:space="0"/>
              <w:bottom w:val="single" w:color="auto" w:sz="12" w:space="0"/>
              <w:right w:val="single" w:color="auto" w:sz="8" w:space="0"/>
            </w:tcBorders>
            <w:vAlign w:val="center"/>
          </w:tcPr>
          <w:p w14:paraId="021C2F1D">
            <w:pPr>
              <w:pStyle w:val="36"/>
              <w:ind w:left="480"/>
              <w:jc w:val="left"/>
              <w:rPr>
                <w:szCs w:val="24"/>
                <w:highlight w:val="none"/>
              </w:rPr>
            </w:pPr>
          </w:p>
        </w:tc>
        <w:tc>
          <w:tcPr>
            <w:tcW w:w="1250" w:type="pct"/>
            <w:tcBorders>
              <w:top w:val="single" w:color="auto" w:sz="8" w:space="0"/>
              <w:left w:val="single" w:color="auto" w:sz="8" w:space="0"/>
              <w:bottom w:val="single" w:color="auto" w:sz="12" w:space="0"/>
              <w:right w:val="single" w:color="auto" w:sz="8" w:space="0"/>
            </w:tcBorders>
            <w:vAlign w:val="center"/>
          </w:tcPr>
          <w:p w14:paraId="0E480BFC">
            <w:pPr>
              <w:pStyle w:val="36"/>
              <w:ind w:left="480"/>
              <w:jc w:val="left"/>
              <w:rPr>
                <w:szCs w:val="24"/>
                <w:highlight w:val="none"/>
              </w:rPr>
            </w:pPr>
          </w:p>
        </w:tc>
        <w:tc>
          <w:tcPr>
            <w:tcW w:w="1285" w:type="pct"/>
            <w:tcBorders>
              <w:top w:val="single" w:color="auto" w:sz="8" w:space="0"/>
              <w:left w:val="single" w:color="auto" w:sz="8" w:space="0"/>
              <w:bottom w:val="single" w:color="auto" w:sz="12" w:space="0"/>
              <w:right w:val="single" w:color="auto" w:sz="8" w:space="0"/>
            </w:tcBorders>
            <w:vAlign w:val="center"/>
          </w:tcPr>
          <w:p w14:paraId="7D00689C">
            <w:pPr>
              <w:pStyle w:val="36"/>
              <w:ind w:left="480"/>
              <w:jc w:val="left"/>
              <w:rPr>
                <w:szCs w:val="24"/>
                <w:highlight w:val="none"/>
              </w:rPr>
            </w:pPr>
          </w:p>
        </w:tc>
        <w:tc>
          <w:tcPr>
            <w:tcW w:w="1000" w:type="pct"/>
            <w:tcBorders>
              <w:top w:val="single" w:color="auto" w:sz="8" w:space="0"/>
              <w:left w:val="single" w:color="auto" w:sz="8" w:space="0"/>
              <w:bottom w:val="single" w:color="auto" w:sz="12" w:space="0"/>
              <w:right w:val="single" w:color="auto" w:sz="12" w:space="0"/>
            </w:tcBorders>
            <w:vAlign w:val="center"/>
          </w:tcPr>
          <w:p w14:paraId="13BA2402">
            <w:pPr>
              <w:pStyle w:val="36"/>
              <w:ind w:left="480"/>
              <w:jc w:val="left"/>
              <w:rPr>
                <w:szCs w:val="24"/>
                <w:highlight w:val="none"/>
              </w:rPr>
            </w:pPr>
          </w:p>
        </w:tc>
      </w:tr>
    </w:tbl>
    <w:p w14:paraId="2270E199">
      <w:pPr>
        <w:jc w:val="left"/>
        <w:rPr>
          <w:sz w:val="32"/>
          <w:szCs w:val="32"/>
          <w:highlight w:val="none"/>
        </w:rPr>
        <w:sectPr>
          <w:pgSz w:w="11906" w:h="16838"/>
          <w:pgMar w:top="1440" w:right="1440" w:bottom="1440" w:left="1800" w:header="851" w:footer="992" w:gutter="0"/>
          <w:cols w:space="425" w:num="1"/>
          <w:docGrid w:type="lines" w:linePitch="312" w:charSpace="0"/>
        </w:sectPr>
      </w:pPr>
    </w:p>
    <w:p w14:paraId="5F8B7E93">
      <w:pPr>
        <w:pStyle w:val="4"/>
        <w:spacing w:before="156" w:beforeLines="50" w:after="156" w:afterLines="50" w:line="360" w:lineRule="auto"/>
        <w:jc w:val="left"/>
        <w:rPr>
          <w:sz w:val="32"/>
          <w:szCs w:val="32"/>
          <w:highlight w:val="none"/>
        </w:rPr>
      </w:pPr>
      <w:bookmarkStart w:id="196" w:name="_Toc517056044"/>
      <w:bookmarkStart w:id="197" w:name="_Toc26871"/>
      <w:bookmarkStart w:id="198" w:name="_Toc515953170"/>
      <w:bookmarkStart w:id="199" w:name="_Toc343695407"/>
      <w:r>
        <w:rPr>
          <w:sz w:val="32"/>
          <w:szCs w:val="32"/>
          <w:highlight w:val="none"/>
        </w:rPr>
        <w:t>附件</w:t>
      </w:r>
      <w:bookmarkEnd w:id="196"/>
      <w:r>
        <w:rPr>
          <w:sz w:val="32"/>
          <w:szCs w:val="32"/>
          <w:highlight w:val="none"/>
        </w:rPr>
        <w:t>11 附图</w:t>
      </w:r>
      <w:bookmarkEnd w:id="197"/>
      <w:bookmarkEnd w:id="198"/>
      <w:bookmarkEnd w:id="199"/>
    </w:p>
    <w:p w14:paraId="0583BEFF">
      <w:pPr>
        <w:pStyle w:val="28"/>
        <w:spacing w:line="360" w:lineRule="auto"/>
        <w:ind w:left="0"/>
        <w:rPr>
          <w:rFonts w:ascii="Times New Roman" w:hAnsi="Times New Roman"/>
          <w:highlight w:val="none"/>
        </w:rPr>
      </w:pPr>
      <w:bookmarkStart w:id="200" w:name="_Toc343695408"/>
      <w:bookmarkStart w:id="201" w:name="_Toc515953171"/>
      <w:r>
        <w:rPr>
          <w:rFonts w:ascii="Times New Roman" w:hAnsi="Times New Roman"/>
          <w:highlight w:val="none"/>
        </w:rPr>
        <w:t>附图一、</w:t>
      </w:r>
      <w:r>
        <w:rPr>
          <w:rFonts w:hint="eastAsia" w:ascii="Times New Roman" w:hAnsi="Times New Roman"/>
          <w:highlight w:val="none"/>
        </w:rPr>
        <w:t>平面布置</w:t>
      </w:r>
      <w:r>
        <w:rPr>
          <w:rFonts w:ascii="Times New Roman" w:hAnsi="Times New Roman"/>
          <w:highlight w:val="none"/>
        </w:rPr>
        <w:t>图</w:t>
      </w:r>
    </w:p>
    <w:p w14:paraId="2A42FE33">
      <w:pPr>
        <w:rPr>
          <w:highlight w:val="none"/>
        </w:rPr>
      </w:pPr>
    </w:p>
    <w:p w14:paraId="671EC1E4">
      <w:pPr>
        <w:pStyle w:val="18"/>
        <w:rPr>
          <w:highlight w:val="none"/>
        </w:rPr>
      </w:pPr>
      <w:bookmarkStart w:id="202" w:name="_Toc22853"/>
      <w:r>
        <w:rPr>
          <w:highlight w:val="none"/>
          <w:lang w:val="en-US"/>
        </w:rPr>
        <w:drawing>
          <wp:inline distT="0" distB="0" distL="114300" distR="114300">
            <wp:extent cx="5619115" cy="3982085"/>
            <wp:effectExtent l="0" t="0" r="4445" b="1079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5619115" cy="3982085"/>
                    </a:xfrm>
                    <a:prstGeom prst="rect">
                      <a:avLst/>
                    </a:prstGeom>
                    <a:noFill/>
                    <a:ln>
                      <a:noFill/>
                    </a:ln>
                  </pic:spPr>
                </pic:pic>
              </a:graphicData>
            </a:graphic>
          </wp:inline>
        </w:drawing>
      </w:r>
      <w:bookmarkEnd w:id="202"/>
    </w:p>
    <w:p w14:paraId="22014017">
      <w:pPr>
        <w:rPr>
          <w:highlight w:val="none"/>
        </w:rPr>
        <w:sectPr>
          <w:pgSz w:w="16838" w:h="11906" w:orient="landscape"/>
          <w:pgMar w:top="1701" w:right="1440" w:bottom="1440" w:left="1440" w:header="851" w:footer="992" w:gutter="0"/>
          <w:cols w:space="425" w:num="1"/>
          <w:docGrid w:type="lines" w:linePitch="312" w:charSpace="0"/>
        </w:sectPr>
      </w:pPr>
    </w:p>
    <w:p w14:paraId="25047A4A">
      <w:pPr>
        <w:pStyle w:val="4"/>
        <w:spacing w:before="156" w:beforeLines="50" w:after="156" w:afterLines="50" w:line="360" w:lineRule="auto"/>
        <w:jc w:val="left"/>
        <w:rPr>
          <w:sz w:val="32"/>
          <w:szCs w:val="32"/>
          <w:highlight w:val="none"/>
        </w:rPr>
      </w:pPr>
      <w:bookmarkStart w:id="203" w:name="_Toc6925"/>
      <w:r>
        <w:rPr>
          <w:sz w:val="32"/>
          <w:szCs w:val="32"/>
          <w:highlight w:val="none"/>
        </w:rPr>
        <w:t>附件12 性能考核条款</w:t>
      </w:r>
      <w:bookmarkEnd w:id="200"/>
      <w:bookmarkEnd w:id="201"/>
      <w:bookmarkEnd w:id="203"/>
    </w:p>
    <w:p w14:paraId="37D42ABF">
      <w:pPr>
        <w:snapToGrid w:val="0"/>
        <w:spacing w:line="360" w:lineRule="auto"/>
        <w:ind w:firstLine="480" w:firstLineChars="200"/>
        <w:jc w:val="left"/>
        <w:rPr>
          <w:highlight w:val="none"/>
        </w:rPr>
      </w:pPr>
      <w:r>
        <w:rPr>
          <w:highlight w:val="none"/>
        </w:rPr>
        <w:t>以下性能考核条件中</w:t>
      </w:r>
      <w:r>
        <w:rPr>
          <w:rFonts w:hint="eastAsia"/>
          <w:highlight w:val="none"/>
        </w:rPr>
        <w:t>，</w:t>
      </w:r>
      <w:r>
        <w:rPr>
          <w:highlight w:val="none"/>
        </w:rPr>
        <w:t>时间年限以商务质保期开始为起点，质保期结束为终点。</w:t>
      </w:r>
      <w:r>
        <w:rPr>
          <w:rFonts w:hint="eastAsia"/>
          <w:highlight w:val="none"/>
        </w:rPr>
        <w:t>投标人</w:t>
      </w:r>
      <w:r>
        <w:rPr>
          <w:highlight w:val="none"/>
        </w:rPr>
        <w:t>在</w:t>
      </w:r>
      <w:r>
        <w:rPr>
          <w:rFonts w:hint="eastAsia"/>
          <w:highlight w:val="none"/>
        </w:rPr>
        <w:t>被</w:t>
      </w:r>
      <w:r>
        <w:rPr>
          <w:highlight w:val="none"/>
        </w:rPr>
        <w:t>扣除违约金后仍有责任整改直至达到设计要求。</w:t>
      </w:r>
    </w:p>
    <w:p w14:paraId="6178AE43">
      <w:pPr>
        <w:snapToGrid w:val="0"/>
        <w:spacing w:line="360" w:lineRule="auto"/>
        <w:jc w:val="left"/>
        <w:rPr>
          <w:highlight w:val="none"/>
        </w:rPr>
      </w:pPr>
      <w:r>
        <w:rPr>
          <w:highlight w:val="none"/>
        </w:rPr>
        <w:t>1</w:t>
      </w:r>
      <w:r>
        <w:rPr>
          <w:rFonts w:hint="eastAsia"/>
          <w:highlight w:val="none"/>
        </w:rPr>
        <w:t xml:space="preserve"> 投标人需保证所有设备在质保期内运行正常且不出现质量问题，在此质量保证期内发生的由于质量原因产生的故障，投标人应负责上门修复，所需一切费用由投标人负责。</w:t>
      </w:r>
    </w:p>
    <w:p w14:paraId="6DC2281D">
      <w:pPr>
        <w:snapToGrid w:val="0"/>
        <w:spacing w:line="360" w:lineRule="auto"/>
        <w:jc w:val="left"/>
        <w:rPr>
          <w:highlight w:val="none"/>
        </w:rPr>
      </w:pPr>
      <w:r>
        <w:rPr>
          <w:rFonts w:hint="eastAsia"/>
          <w:highlight w:val="none"/>
        </w:rPr>
        <w:t>2 系统保证满足下述性能要求：</w:t>
      </w:r>
    </w:p>
    <w:tbl>
      <w:tblPr>
        <w:tblStyle w:val="21"/>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3"/>
        <w:gridCol w:w="3218"/>
        <w:gridCol w:w="4685"/>
      </w:tblGrid>
      <w:tr w14:paraId="51F0A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8" w:type="pct"/>
            <w:vAlign w:val="center"/>
          </w:tcPr>
          <w:p w14:paraId="4C89D054">
            <w:pPr>
              <w:jc w:val="center"/>
              <w:rPr>
                <w:b/>
                <w:highlight w:val="none"/>
              </w:rPr>
            </w:pPr>
            <w:r>
              <w:rPr>
                <w:rFonts w:hint="eastAsia"/>
                <w:b/>
                <w:highlight w:val="none"/>
              </w:rPr>
              <w:t>序号</w:t>
            </w:r>
          </w:p>
        </w:tc>
        <w:tc>
          <w:tcPr>
            <w:tcW w:w="1792" w:type="pct"/>
            <w:vAlign w:val="center"/>
          </w:tcPr>
          <w:p w14:paraId="5E0A00A7">
            <w:pPr>
              <w:jc w:val="center"/>
              <w:rPr>
                <w:b/>
                <w:highlight w:val="none"/>
              </w:rPr>
            </w:pPr>
            <w:r>
              <w:rPr>
                <w:rFonts w:hint="eastAsia"/>
                <w:b/>
                <w:highlight w:val="none"/>
              </w:rPr>
              <w:t>项目</w:t>
            </w:r>
          </w:p>
        </w:tc>
        <w:tc>
          <w:tcPr>
            <w:tcW w:w="2609" w:type="pct"/>
            <w:vAlign w:val="center"/>
          </w:tcPr>
          <w:p w14:paraId="40C7F437">
            <w:pPr>
              <w:jc w:val="center"/>
              <w:rPr>
                <w:b/>
                <w:highlight w:val="none"/>
              </w:rPr>
            </w:pPr>
            <w:r>
              <w:rPr>
                <w:rFonts w:hint="eastAsia"/>
                <w:b/>
                <w:highlight w:val="none"/>
              </w:rPr>
              <w:t>性能要求</w:t>
            </w:r>
          </w:p>
        </w:tc>
      </w:tr>
      <w:tr w14:paraId="1AB10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98" w:type="pct"/>
            <w:vAlign w:val="center"/>
          </w:tcPr>
          <w:p w14:paraId="18D89631">
            <w:pPr>
              <w:jc w:val="center"/>
              <w:rPr>
                <w:sz w:val="21"/>
                <w:szCs w:val="21"/>
                <w:highlight w:val="none"/>
              </w:rPr>
            </w:pPr>
            <w:r>
              <w:rPr>
                <w:sz w:val="21"/>
                <w:szCs w:val="21"/>
                <w:highlight w:val="none"/>
              </w:rPr>
              <w:t>1</w:t>
            </w:r>
          </w:p>
        </w:tc>
        <w:tc>
          <w:tcPr>
            <w:tcW w:w="1792" w:type="pct"/>
            <w:vAlign w:val="center"/>
          </w:tcPr>
          <w:p w14:paraId="48069377">
            <w:pPr>
              <w:jc w:val="center"/>
              <w:rPr>
                <w:sz w:val="21"/>
                <w:szCs w:val="21"/>
                <w:highlight w:val="none"/>
              </w:rPr>
            </w:pPr>
            <w:r>
              <w:rPr>
                <w:rFonts w:hint="eastAsia"/>
                <w:sz w:val="21"/>
                <w:szCs w:val="21"/>
                <w:highlight w:val="none"/>
              </w:rPr>
              <w:t>自清洗过滤器出力</w:t>
            </w:r>
          </w:p>
        </w:tc>
        <w:tc>
          <w:tcPr>
            <w:tcW w:w="2609" w:type="pct"/>
            <w:vAlign w:val="center"/>
          </w:tcPr>
          <w:p w14:paraId="3F5428E0">
            <w:pPr>
              <w:jc w:val="center"/>
              <w:rPr>
                <w:sz w:val="21"/>
                <w:szCs w:val="21"/>
                <w:highlight w:val="none"/>
              </w:rPr>
            </w:pPr>
            <w:r>
              <w:rPr>
                <w:rFonts w:hint="eastAsia"/>
                <w:sz w:val="21"/>
                <w:szCs w:val="21"/>
                <w:highlight w:val="none"/>
              </w:rPr>
              <w:t>≥</w:t>
            </w:r>
            <w:r>
              <w:rPr>
                <w:sz w:val="21"/>
                <w:szCs w:val="21"/>
                <w:highlight w:val="none"/>
              </w:rPr>
              <w:t>230</w:t>
            </w:r>
            <w:r>
              <w:rPr>
                <w:rFonts w:hint="eastAsia"/>
                <w:sz w:val="21"/>
                <w:szCs w:val="21"/>
                <w:highlight w:val="none"/>
              </w:rPr>
              <w:t>m³</w:t>
            </w:r>
            <w:r>
              <w:rPr>
                <w:sz w:val="21"/>
                <w:szCs w:val="21"/>
                <w:highlight w:val="none"/>
              </w:rPr>
              <w:t>/h</w:t>
            </w:r>
          </w:p>
        </w:tc>
      </w:tr>
      <w:tr w14:paraId="4CE93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98" w:type="pct"/>
            <w:vAlign w:val="center"/>
          </w:tcPr>
          <w:p w14:paraId="139CFD91">
            <w:pPr>
              <w:jc w:val="center"/>
              <w:rPr>
                <w:sz w:val="21"/>
                <w:szCs w:val="21"/>
                <w:highlight w:val="none"/>
              </w:rPr>
            </w:pPr>
            <w:r>
              <w:rPr>
                <w:sz w:val="21"/>
                <w:szCs w:val="21"/>
                <w:highlight w:val="none"/>
              </w:rPr>
              <w:t>2</w:t>
            </w:r>
          </w:p>
        </w:tc>
        <w:tc>
          <w:tcPr>
            <w:tcW w:w="1792" w:type="pct"/>
            <w:vAlign w:val="center"/>
          </w:tcPr>
          <w:p w14:paraId="08B85CDA">
            <w:pPr>
              <w:jc w:val="center"/>
              <w:rPr>
                <w:sz w:val="21"/>
                <w:szCs w:val="21"/>
                <w:highlight w:val="none"/>
              </w:rPr>
            </w:pPr>
            <w:r>
              <w:rPr>
                <w:rFonts w:hint="eastAsia"/>
                <w:sz w:val="21"/>
                <w:szCs w:val="21"/>
                <w:highlight w:val="none"/>
              </w:rPr>
              <w:t>自清洗过滤器过滤精度</w:t>
            </w:r>
          </w:p>
        </w:tc>
        <w:tc>
          <w:tcPr>
            <w:tcW w:w="2609" w:type="pct"/>
            <w:vAlign w:val="center"/>
          </w:tcPr>
          <w:p w14:paraId="23CEBB03">
            <w:pPr>
              <w:jc w:val="center"/>
              <w:rPr>
                <w:sz w:val="21"/>
                <w:szCs w:val="21"/>
                <w:highlight w:val="none"/>
              </w:rPr>
            </w:pPr>
            <w:r>
              <w:rPr>
                <w:sz w:val="21"/>
                <w:szCs w:val="21"/>
                <w:highlight w:val="none"/>
              </w:rPr>
              <w:t>100μm</w:t>
            </w:r>
          </w:p>
        </w:tc>
      </w:tr>
      <w:tr w14:paraId="320F4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598" w:type="pct"/>
            <w:vAlign w:val="center"/>
          </w:tcPr>
          <w:p w14:paraId="29AA36C6">
            <w:pPr>
              <w:jc w:val="center"/>
              <w:rPr>
                <w:sz w:val="21"/>
                <w:szCs w:val="21"/>
                <w:highlight w:val="none"/>
              </w:rPr>
            </w:pPr>
            <w:r>
              <w:rPr>
                <w:sz w:val="21"/>
                <w:szCs w:val="21"/>
                <w:highlight w:val="none"/>
              </w:rPr>
              <w:t>3</w:t>
            </w:r>
          </w:p>
        </w:tc>
        <w:tc>
          <w:tcPr>
            <w:tcW w:w="1792" w:type="pct"/>
            <w:vAlign w:val="center"/>
          </w:tcPr>
          <w:p w14:paraId="02041696">
            <w:pPr>
              <w:jc w:val="center"/>
              <w:rPr>
                <w:sz w:val="21"/>
                <w:szCs w:val="21"/>
                <w:highlight w:val="none"/>
              </w:rPr>
            </w:pPr>
            <w:r>
              <w:rPr>
                <w:rFonts w:hint="eastAsia"/>
                <w:sz w:val="21"/>
                <w:szCs w:val="21"/>
                <w:highlight w:val="none"/>
              </w:rPr>
              <w:t>超滤装置设备净产水出力（单套）</w:t>
            </w:r>
          </w:p>
        </w:tc>
        <w:tc>
          <w:tcPr>
            <w:tcW w:w="2609" w:type="pct"/>
            <w:vAlign w:val="center"/>
          </w:tcPr>
          <w:p w14:paraId="71E324FF">
            <w:pPr>
              <w:jc w:val="center"/>
              <w:rPr>
                <w:sz w:val="21"/>
                <w:szCs w:val="21"/>
                <w:highlight w:val="none"/>
              </w:rPr>
            </w:pPr>
            <w:r>
              <w:rPr>
                <w:rFonts w:hint="eastAsia"/>
                <w:sz w:val="21"/>
                <w:szCs w:val="21"/>
                <w:highlight w:val="none"/>
              </w:rPr>
              <w:t>≥</w:t>
            </w:r>
            <w:r>
              <w:rPr>
                <w:sz w:val="21"/>
                <w:szCs w:val="21"/>
                <w:highlight w:val="none"/>
              </w:rPr>
              <w:t>160</w:t>
            </w:r>
            <w:r>
              <w:rPr>
                <w:rFonts w:hint="eastAsia"/>
                <w:sz w:val="21"/>
                <w:szCs w:val="21"/>
                <w:highlight w:val="none"/>
              </w:rPr>
              <w:t>m³</w:t>
            </w:r>
            <w:r>
              <w:rPr>
                <w:sz w:val="21"/>
                <w:szCs w:val="21"/>
                <w:highlight w:val="none"/>
              </w:rPr>
              <w:t>/h</w:t>
            </w:r>
            <w:r>
              <w:rPr>
                <w:rFonts w:hint="eastAsia"/>
                <w:sz w:val="21"/>
                <w:szCs w:val="21"/>
                <w:highlight w:val="none"/>
              </w:rPr>
              <w:t>（</w:t>
            </w:r>
            <w:r>
              <w:rPr>
                <w:sz w:val="21"/>
                <w:szCs w:val="21"/>
                <w:highlight w:val="none"/>
              </w:rPr>
              <w:t>15</w:t>
            </w:r>
            <w:r>
              <w:rPr>
                <w:rFonts w:hint="eastAsia"/>
                <w:sz w:val="21"/>
                <w:szCs w:val="21"/>
                <w:highlight w:val="none"/>
              </w:rPr>
              <w:t>℃）</w:t>
            </w:r>
          </w:p>
        </w:tc>
      </w:tr>
      <w:tr w14:paraId="22E3A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598" w:type="pct"/>
            <w:vAlign w:val="center"/>
          </w:tcPr>
          <w:p w14:paraId="0F1BC9C4">
            <w:pPr>
              <w:jc w:val="center"/>
              <w:rPr>
                <w:sz w:val="21"/>
                <w:szCs w:val="21"/>
                <w:highlight w:val="none"/>
              </w:rPr>
            </w:pPr>
            <w:r>
              <w:rPr>
                <w:sz w:val="21"/>
                <w:szCs w:val="21"/>
                <w:highlight w:val="none"/>
              </w:rPr>
              <w:t>4</w:t>
            </w:r>
          </w:p>
        </w:tc>
        <w:tc>
          <w:tcPr>
            <w:tcW w:w="1792" w:type="pct"/>
            <w:vAlign w:val="center"/>
          </w:tcPr>
          <w:p w14:paraId="38182CE2">
            <w:pPr>
              <w:spacing w:line="360" w:lineRule="auto"/>
              <w:jc w:val="center"/>
              <w:rPr>
                <w:sz w:val="21"/>
                <w:szCs w:val="21"/>
                <w:highlight w:val="none"/>
              </w:rPr>
            </w:pPr>
            <w:r>
              <w:rPr>
                <w:rFonts w:hint="eastAsia"/>
                <w:sz w:val="21"/>
                <w:szCs w:val="21"/>
                <w:highlight w:val="none"/>
              </w:rPr>
              <w:t>超滤装置胶体硅去除率</w:t>
            </w:r>
          </w:p>
        </w:tc>
        <w:tc>
          <w:tcPr>
            <w:tcW w:w="2609" w:type="pct"/>
            <w:vAlign w:val="center"/>
          </w:tcPr>
          <w:p w14:paraId="127EBB49">
            <w:pPr>
              <w:spacing w:line="360" w:lineRule="auto"/>
              <w:jc w:val="center"/>
              <w:rPr>
                <w:sz w:val="21"/>
                <w:szCs w:val="21"/>
                <w:highlight w:val="none"/>
              </w:rPr>
            </w:pPr>
            <w:r>
              <w:rPr>
                <w:rFonts w:hint="eastAsia"/>
                <w:sz w:val="21"/>
                <w:szCs w:val="21"/>
                <w:highlight w:val="none"/>
              </w:rPr>
              <w:t>≥95</w:t>
            </w:r>
            <w:r>
              <w:rPr>
                <w:sz w:val="21"/>
                <w:szCs w:val="21"/>
                <w:highlight w:val="none"/>
              </w:rPr>
              <w:t>%</w:t>
            </w:r>
          </w:p>
        </w:tc>
      </w:tr>
      <w:tr w14:paraId="3EC12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jc w:val="center"/>
        </w:trPr>
        <w:tc>
          <w:tcPr>
            <w:tcW w:w="598" w:type="pct"/>
            <w:vAlign w:val="center"/>
          </w:tcPr>
          <w:p w14:paraId="12EC4B62">
            <w:pPr>
              <w:jc w:val="center"/>
              <w:rPr>
                <w:sz w:val="21"/>
                <w:szCs w:val="21"/>
                <w:highlight w:val="none"/>
              </w:rPr>
            </w:pPr>
            <w:r>
              <w:rPr>
                <w:sz w:val="21"/>
                <w:szCs w:val="21"/>
                <w:highlight w:val="none"/>
              </w:rPr>
              <w:t>5</w:t>
            </w:r>
          </w:p>
        </w:tc>
        <w:tc>
          <w:tcPr>
            <w:tcW w:w="1792" w:type="pct"/>
            <w:vAlign w:val="center"/>
          </w:tcPr>
          <w:p w14:paraId="0E14BB2F">
            <w:pPr>
              <w:spacing w:line="360" w:lineRule="auto"/>
              <w:jc w:val="center"/>
              <w:rPr>
                <w:sz w:val="21"/>
                <w:szCs w:val="21"/>
                <w:highlight w:val="none"/>
              </w:rPr>
            </w:pPr>
            <w:r>
              <w:rPr>
                <w:rFonts w:hint="eastAsia"/>
                <w:sz w:val="21"/>
                <w:szCs w:val="21"/>
                <w:highlight w:val="none"/>
              </w:rPr>
              <w:t>超滤装置出水</w:t>
            </w:r>
            <w:r>
              <w:rPr>
                <w:sz w:val="21"/>
                <w:szCs w:val="21"/>
                <w:highlight w:val="none"/>
              </w:rPr>
              <w:t>SDI</w:t>
            </w:r>
          </w:p>
        </w:tc>
        <w:tc>
          <w:tcPr>
            <w:tcW w:w="2609" w:type="pct"/>
            <w:vAlign w:val="center"/>
          </w:tcPr>
          <w:p w14:paraId="4C5D9F9D">
            <w:pPr>
              <w:spacing w:line="360" w:lineRule="auto"/>
              <w:jc w:val="center"/>
              <w:rPr>
                <w:sz w:val="21"/>
                <w:szCs w:val="21"/>
                <w:highlight w:val="none"/>
              </w:rPr>
            </w:pPr>
            <w:r>
              <w:rPr>
                <w:rFonts w:hint="eastAsia"/>
                <w:sz w:val="21"/>
                <w:szCs w:val="21"/>
                <w:highlight w:val="none"/>
              </w:rPr>
              <w:t>SDI≤</w:t>
            </w:r>
            <w:r>
              <w:rPr>
                <w:sz w:val="21"/>
                <w:szCs w:val="21"/>
                <w:highlight w:val="none"/>
              </w:rPr>
              <w:t>3</w:t>
            </w:r>
          </w:p>
        </w:tc>
      </w:tr>
      <w:tr w14:paraId="04128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598" w:type="pct"/>
            <w:vAlign w:val="center"/>
          </w:tcPr>
          <w:p w14:paraId="128CF9EC">
            <w:pPr>
              <w:jc w:val="center"/>
              <w:rPr>
                <w:sz w:val="21"/>
                <w:szCs w:val="21"/>
                <w:highlight w:val="none"/>
              </w:rPr>
            </w:pPr>
            <w:r>
              <w:rPr>
                <w:sz w:val="21"/>
                <w:szCs w:val="21"/>
                <w:highlight w:val="none"/>
              </w:rPr>
              <w:t>6</w:t>
            </w:r>
          </w:p>
        </w:tc>
        <w:tc>
          <w:tcPr>
            <w:tcW w:w="1792" w:type="pct"/>
            <w:vAlign w:val="center"/>
          </w:tcPr>
          <w:p w14:paraId="455C81A4">
            <w:pPr>
              <w:spacing w:line="360" w:lineRule="auto"/>
              <w:jc w:val="center"/>
              <w:rPr>
                <w:sz w:val="21"/>
                <w:szCs w:val="21"/>
                <w:highlight w:val="none"/>
              </w:rPr>
            </w:pPr>
            <w:r>
              <w:rPr>
                <w:rFonts w:hint="eastAsia"/>
                <w:sz w:val="21"/>
                <w:szCs w:val="21"/>
                <w:highlight w:val="none"/>
              </w:rPr>
              <w:t>超滤装置出水浊度</w:t>
            </w:r>
          </w:p>
        </w:tc>
        <w:tc>
          <w:tcPr>
            <w:tcW w:w="2609" w:type="pct"/>
            <w:vAlign w:val="center"/>
          </w:tcPr>
          <w:p w14:paraId="08E63F2E">
            <w:pPr>
              <w:spacing w:line="360" w:lineRule="auto"/>
              <w:jc w:val="center"/>
              <w:rPr>
                <w:sz w:val="21"/>
                <w:szCs w:val="21"/>
                <w:highlight w:val="none"/>
              </w:rPr>
            </w:pPr>
            <w:r>
              <w:rPr>
                <w:rFonts w:hint="eastAsia"/>
                <w:sz w:val="21"/>
                <w:szCs w:val="21"/>
                <w:highlight w:val="none"/>
              </w:rPr>
              <w:t>≤0.10NTU</w:t>
            </w:r>
          </w:p>
        </w:tc>
      </w:tr>
      <w:tr w14:paraId="0D043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98" w:type="pct"/>
            <w:vAlign w:val="center"/>
          </w:tcPr>
          <w:p w14:paraId="5728EE49">
            <w:pPr>
              <w:jc w:val="center"/>
              <w:rPr>
                <w:sz w:val="21"/>
                <w:szCs w:val="21"/>
                <w:highlight w:val="none"/>
              </w:rPr>
            </w:pPr>
            <w:r>
              <w:rPr>
                <w:sz w:val="21"/>
                <w:szCs w:val="21"/>
                <w:highlight w:val="none"/>
              </w:rPr>
              <w:t>7</w:t>
            </w:r>
          </w:p>
        </w:tc>
        <w:tc>
          <w:tcPr>
            <w:tcW w:w="1792" w:type="pct"/>
            <w:vAlign w:val="center"/>
          </w:tcPr>
          <w:p w14:paraId="584A4946">
            <w:pPr>
              <w:spacing w:line="360" w:lineRule="auto"/>
              <w:jc w:val="center"/>
              <w:rPr>
                <w:sz w:val="21"/>
                <w:szCs w:val="21"/>
                <w:highlight w:val="none"/>
              </w:rPr>
            </w:pPr>
            <w:r>
              <w:rPr>
                <w:rFonts w:hint="eastAsia"/>
                <w:sz w:val="21"/>
                <w:szCs w:val="21"/>
                <w:highlight w:val="none"/>
              </w:rPr>
              <w:t>超滤膜使用寿命</w:t>
            </w:r>
          </w:p>
        </w:tc>
        <w:tc>
          <w:tcPr>
            <w:tcW w:w="2609" w:type="pct"/>
            <w:vAlign w:val="center"/>
          </w:tcPr>
          <w:p w14:paraId="34E9EBB4">
            <w:pPr>
              <w:spacing w:line="360" w:lineRule="auto"/>
              <w:jc w:val="center"/>
              <w:rPr>
                <w:sz w:val="21"/>
                <w:szCs w:val="21"/>
                <w:highlight w:val="none"/>
              </w:rPr>
            </w:pPr>
            <w:r>
              <w:rPr>
                <w:rFonts w:hint="eastAsia"/>
                <w:sz w:val="21"/>
                <w:szCs w:val="21"/>
                <w:highlight w:val="none"/>
              </w:rPr>
              <w:t>≥</w:t>
            </w:r>
            <w:r>
              <w:rPr>
                <w:sz w:val="21"/>
                <w:szCs w:val="21"/>
                <w:highlight w:val="none"/>
              </w:rPr>
              <w:t>5</w:t>
            </w:r>
            <w:r>
              <w:rPr>
                <w:rFonts w:hint="eastAsia"/>
                <w:sz w:val="21"/>
                <w:szCs w:val="21"/>
                <w:highlight w:val="none"/>
              </w:rPr>
              <w:t>年</w:t>
            </w:r>
          </w:p>
        </w:tc>
      </w:tr>
      <w:tr w14:paraId="7C40C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8" w:type="pct"/>
            <w:vAlign w:val="center"/>
          </w:tcPr>
          <w:p w14:paraId="7635A586">
            <w:pPr>
              <w:jc w:val="center"/>
              <w:rPr>
                <w:sz w:val="21"/>
                <w:szCs w:val="21"/>
                <w:highlight w:val="none"/>
              </w:rPr>
            </w:pPr>
            <w:r>
              <w:rPr>
                <w:sz w:val="21"/>
                <w:szCs w:val="21"/>
                <w:highlight w:val="none"/>
              </w:rPr>
              <w:t>8</w:t>
            </w:r>
          </w:p>
        </w:tc>
        <w:tc>
          <w:tcPr>
            <w:tcW w:w="1792" w:type="pct"/>
            <w:vAlign w:val="center"/>
          </w:tcPr>
          <w:p w14:paraId="031BFAB9">
            <w:pPr>
              <w:spacing w:line="360" w:lineRule="auto"/>
              <w:jc w:val="center"/>
              <w:rPr>
                <w:sz w:val="21"/>
                <w:szCs w:val="21"/>
                <w:highlight w:val="none"/>
              </w:rPr>
            </w:pPr>
            <w:r>
              <w:rPr>
                <w:rFonts w:hint="eastAsia"/>
                <w:sz w:val="21"/>
                <w:szCs w:val="21"/>
                <w:highlight w:val="none"/>
              </w:rPr>
              <w:t>膜元件断丝率</w:t>
            </w:r>
          </w:p>
        </w:tc>
        <w:tc>
          <w:tcPr>
            <w:tcW w:w="2609" w:type="pct"/>
            <w:vAlign w:val="center"/>
          </w:tcPr>
          <w:p w14:paraId="636E3431">
            <w:pPr>
              <w:spacing w:line="360" w:lineRule="auto"/>
              <w:jc w:val="center"/>
              <w:rPr>
                <w:sz w:val="21"/>
                <w:szCs w:val="21"/>
                <w:highlight w:val="none"/>
              </w:rPr>
            </w:pPr>
            <w:r>
              <w:rPr>
                <w:sz w:val="21"/>
                <w:szCs w:val="21"/>
                <w:highlight w:val="none"/>
              </w:rPr>
              <w:t>单个膜组件年断丝率≤1‰；</w:t>
            </w:r>
          </w:p>
          <w:p w14:paraId="15D5235B">
            <w:pPr>
              <w:spacing w:line="360" w:lineRule="auto"/>
              <w:jc w:val="center"/>
              <w:rPr>
                <w:sz w:val="21"/>
                <w:szCs w:val="21"/>
                <w:highlight w:val="none"/>
              </w:rPr>
            </w:pPr>
            <w:r>
              <w:rPr>
                <w:rFonts w:hint="eastAsia"/>
                <w:sz w:val="21"/>
                <w:szCs w:val="21"/>
                <w:highlight w:val="none"/>
              </w:rPr>
              <w:t>1年</w:t>
            </w:r>
            <w:r>
              <w:rPr>
                <w:sz w:val="21"/>
                <w:szCs w:val="21"/>
                <w:highlight w:val="none"/>
              </w:rPr>
              <w:t>内≤5‰；</w:t>
            </w:r>
          </w:p>
          <w:p w14:paraId="2CBA2596">
            <w:pPr>
              <w:spacing w:line="360" w:lineRule="auto"/>
              <w:jc w:val="center"/>
              <w:rPr>
                <w:sz w:val="21"/>
                <w:szCs w:val="21"/>
                <w:highlight w:val="none"/>
              </w:rPr>
            </w:pPr>
            <w:r>
              <w:rPr>
                <w:sz w:val="21"/>
                <w:szCs w:val="21"/>
                <w:highlight w:val="none"/>
              </w:rPr>
              <w:t>5年累计破损率≤1%</w:t>
            </w:r>
          </w:p>
        </w:tc>
      </w:tr>
      <w:tr w14:paraId="086FD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8" w:type="pct"/>
            <w:vAlign w:val="center"/>
          </w:tcPr>
          <w:p w14:paraId="5C691957">
            <w:pPr>
              <w:jc w:val="center"/>
              <w:rPr>
                <w:sz w:val="21"/>
                <w:szCs w:val="21"/>
                <w:highlight w:val="none"/>
              </w:rPr>
            </w:pPr>
            <w:r>
              <w:rPr>
                <w:sz w:val="21"/>
                <w:szCs w:val="21"/>
                <w:highlight w:val="none"/>
              </w:rPr>
              <w:t>9</w:t>
            </w:r>
          </w:p>
        </w:tc>
        <w:tc>
          <w:tcPr>
            <w:tcW w:w="1792" w:type="pct"/>
            <w:vAlign w:val="center"/>
          </w:tcPr>
          <w:p w14:paraId="46FE1884">
            <w:pPr>
              <w:jc w:val="center"/>
              <w:rPr>
                <w:sz w:val="21"/>
                <w:szCs w:val="21"/>
                <w:highlight w:val="none"/>
              </w:rPr>
            </w:pPr>
            <w:r>
              <w:rPr>
                <w:rFonts w:hint="eastAsia"/>
                <w:sz w:val="21"/>
                <w:szCs w:val="21"/>
                <w:highlight w:val="none"/>
              </w:rPr>
              <w:t>反渗透装置设备出力（单套）</w:t>
            </w:r>
          </w:p>
        </w:tc>
        <w:tc>
          <w:tcPr>
            <w:tcW w:w="2609" w:type="pct"/>
            <w:vAlign w:val="center"/>
          </w:tcPr>
          <w:p w14:paraId="1CFF47BD">
            <w:pPr>
              <w:jc w:val="center"/>
              <w:rPr>
                <w:sz w:val="21"/>
                <w:szCs w:val="21"/>
                <w:highlight w:val="none"/>
              </w:rPr>
            </w:pPr>
            <w:r>
              <w:rPr>
                <w:rFonts w:hint="eastAsia"/>
                <w:sz w:val="21"/>
                <w:szCs w:val="21"/>
                <w:highlight w:val="none"/>
              </w:rPr>
              <w:t>≥</w:t>
            </w:r>
            <w:r>
              <w:rPr>
                <w:sz w:val="21"/>
                <w:szCs w:val="21"/>
                <w:highlight w:val="none"/>
              </w:rPr>
              <w:t>120</w:t>
            </w:r>
            <w:r>
              <w:rPr>
                <w:rFonts w:hint="eastAsia"/>
                <w:sz w:val="21"/>
                <w:szCs w:val="21"/>
                <w:highlight w:val="none"/>
              </w:rPr>
              <w:t>m³</w:t>
            </w:r>
            <w:r>
              <w:rPr>
                <w:sz w:val="21"/>
                <w:szCs w:val="21"/>
                <w:highlight w:val="none"/>
              </w:rPr>
              <w:t>/h</w:t>
            </w:r>
            <w:r>
              <w:rPr>
                <w:rFonts w:hint="eastAsia"/>
                <w:sz w:val="21"/>
                <w:szCs w:val="21"/>
                <w:highlight w:val="none"/>
              </w:rPr>
              <w:t>（</w:t>
            </w:r>
            <w:r>
              <w:rPr>
                <w:sz w:val="21"/>
                <w:szCs w:val="21"/>
                <w:highlight w:val="none"/>
              </w:rPr>
              <w:t>15</w:t>
            </w:r>
            <w:r>
              <w:rPr>
                <w:rFonts w:hint="eastAsia"/>
                <w:sz w:val="21"/>
                <w:szCs w:val="21"/>
                <w:highlight w:val="none"/>
              </w:rPr>
              <w:t>℃）</w:t>
            </w:r>
          </w:p>
        </w:tc>
      </w:tr>
      <w:tr w14:paraId="26682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98" w:type="pct"/>
            <w:vAlign w:val="center"/>
          </w:tcPr>
          <w:p w14:paraId="44C83C9C">
            <w:pPr>
              <w:jc w:val="center"/>
              <w:rPr>
                <w:sz w:val="21"/>
                <w:szCs w:val="21"/>
                <w:highlight w:val="none"/>
              </w:rPr>
            </w:pPr>
            <w:r>
              <w:rPr>
                <w:rFonts w:hint="eastAsia"/>
                <w:sz w:val="21"/>
                <w:szCs w:val="21"/>
                <w:highlight w:val="none"/>
              </w:rPr>
              <w:t>10</w:t>
            </w:r>
          </w:p>
        </w:tc>
        <w:tc>
          <w:tcPr>
            <w:tcW w:w="1792" w:type="pct"/>
            <w:vAlign w:val="center"/>
          </w:tcPr>
          <w:p w14:paraId="50CA13B3">
            <w:pPr>
              <w:jc w:val="center"/>
              <w:rPr>
                <w:sz w:val="21"/>
                <w:szCs w:val="21"/>
                <w:highlight w:val="none"/>
              </w:rPr>
            </w:pPr>
            <w:r>
              <w:rPr>
                <w:rFonts w:hint="eastAsia"/>
                <w:sz w:val="21"/>
                <w:szCs w:val="21"/>
                <w:highlight w:val="none"/>
              </w:rPr>
              <w:t>反渗透装置回收率</w:t>
            </w:r>
          </w:p>
        </w:tc>
        <w:tc>
          <w:tcPr>
            <w:tcW w:w="2609" w:type="pct"/>
            <w:vAlign w:val="center"/>
          </w:tcPr>
          <w:p w14:paraId="73628A7F">
            <w:pPr>
              <w:jc w:val="center"/>
              <w:rPr>
                <w:sz w:val="21"/>
                <w:szCs w:val="21"/>
                <w:highlight w:val="none"/>
              </w:rPr>
            </w:pPr>
            <w:r>
              <w:rPr>
                <w:rFonts w:hint="eastAsia"/>
                <w:sz w:val="21"/>
                <w:szCs w:val="21"/>
                <w:highlight w:val="none"/>
              </w:rPr>
              <w:t>≥</w:t>
            </w:r>
            <w:r>
              <w:rPr>
                <w:sz w:val="21"/>
                <w:szCs w:val="21"/>
                <w:highlight w:val="none"/>
              </w:rPr>
              <w:t>75%</w:t>
            </w:r>
          </w:p>
        </w:tc>
      </w:tr>
      <w:tr w14:paraId="1C778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598" w:type="pct"/>
            <w:tcBorders>
              <w:top w:val="single" w:color="auto" w:sz="4" w:space="0"/>
              <w:left w:val="single" w:color="auto" w:sz="4" w:space="0"/>
              <w:bottom w:val="single" w:color="auto" w:sz="4" w:space="0"/>
              <w:right w:val="single" w:color="auto" w:sz="4" w:space="0"/>
            </w:tcBorders>
            <w:vAlign w:val="center"/>
          </w:tcPr>
          <w:p w14:paraId="05A5D7ED">
            <w:pPr>
              <w:jc w:val="center"/>
              <w:rPr>
                <w:sz w:val="21"/>
                <w:szCs w:val="21"/>
                <w:highlight w:val="none"/>
              </w:rPr>
            </w:pPr>
            <w:r>
              <w:rPr>
                <w:rFonts w:hint="eastAsia"/>
                <w:sz w:val="21"/>
                <w:szCs w:val="21"/>
                <w:highlight w:val="none"/>
              </w:rPr>
              <w:t>11</w:t>
            </w:r>
          </w:p>
        </w:tc>
        <w:tc>
          <w:tcPr>
            <w:tcW w:w="1792" w:type="pct"/>
            <w:tcBorders>
              <w:top w:val="single" w:color="auto" w:sz="4" w:space="0"/>
              <w:left w:val="single" w:color="auto" w:sz="4" w:space="0"/>
              <w:bottom w:val="single" w:color="auto" w:sz="4" w:space="0"/>
              <w:right w:val="single" w:color="auto" w:sz="4" w:space="0"/>
            </w:tcBorders>
          </w:tcPr>
          <w:p w14:paraId="46594576">
            <w:pPr>
              <w:jc w:val="center"/>
              <w:rPr>
                <w:sz w:val="21"/>
                <w:szCs w:val="21"/>
                <w:highlight w:val="none"/>
              </w:rPr>
            </w:pPr>
            <w:r>
              <w:rPr>
                <w:rFonts w:hint="eastAsia"/>
                <w:sz w:val="21"/>
                <w:szCs w:val="21"/>
                <w:highlight w:val="none"/>
              </w:rPr>
              <w:t>噪声（距设备</w:t>
            </w:r>
            <w:r>
              <w:rPr>
                <w:sz w:val="21"/>
                <w:szCs w:val="21"/>
                <w:highlight w:val="none"/>
              </w:rPr>
              <w:t>1m</w:t>
            </w:r>
            <w:r>
              <w:rPr>
                <w:rFonts w:hint="eastAsia"/>
                <w:sz w:val="21"/>
                <w:szCs w:val="21"/>
                <w:highlight w:val="none"/>
              </w:rPr>
              <w:t>处）</w:t>
            </w:r>
          </w:p>
        </w:tc>
        <w:tc>
          <w:tcPr>
            <w:tcW w:w="2609" w:type="pct"/>
            <w:tcBorders>
              <w:top w:val="single" w:color="auto" w:sz="4" w:space="0"/>
              <w:left w:val="single" w:color="auto" w:sz="4" w:space="0"/>
              <w:bottom w:val="single" w:color="auto" w:sz="4" w:space="0"/>
              <w:right w:val="single" w:color="auto" w:sz="4" w:space="0"/>
            </w:tcBorders>
            <w:vAlign w:val="center"/>
          </w:tcPr>
          <w:p w14:paraId="69CA99B4">
            <w:pPr>
              <w:jc w:val="center"/>
              <w:rPr>
                <w:sz w:val="21"/>
                <w:szCs w:val="21"/>
                <w:highlight w:val="none"/>
              </w:rPr>
            </w:pPr>
            <w:r>
              <w:rPr>
                <w:rFonts w:hint="eastAsia"/>
                <w:sz w:val="21"/>
                <w:szCs w:val="21"/>
                <w:highlight w:val="none"/>
              </w:rPr>
              <w:t>＜</w:t>
            </w:r>
            <w:r>
              <w:rPr>
                <w:sz w:val="21"/>
                <w:szCs w:val="21"/>
                <w:highlight w:val="none"/>
              </w:rPr>
              <w:t>85dB</w:t>
            </w:r>
          </w:p>
        </w:tc>
      </w:tr>
    </w:tbl>
    <w:p w14:paraId="306CDCFD">
      <w:pPr>
        <w:pStyle w:val="44"/>
        <w:widowControl/>
        <w:spacing w:line="360" w:lineRule="auto"/>
        <w:rPr>
          <w:szCs w:val="24"/>
          <w:highlight w:val="none"/>
        </w:rPr>
      </w:pPr>
      <w:r>
        <w:rPr>
          <w:rFonts w:hint="eastAsia"/>
          <w:kern w:val="2"/>
          <w:szCs w:val="24"/>
          <w:highlight w:val="none"/>
        </w:rPr>
        <w:t>以上性能考核条件中，时间年限以商务质保期开始为起点，质保期结束为终点，</w:t>
      </w:r>
      <w:r>
        <w:rPr>
          <w:rFonts w:hint="eastAsia"/>
          <w:szCs w:val="24"/>
          <w:highlight w:val="none"/>
        </w:rPr>
        <w:t>卖方</w:t>
      </w:r>
      <w:r>
        <w:rPr>
          <w:szCs w:val="24"/>
          <w:highlight w:val="none"/>
        </w:rPr>
        <w:t>在</w:t>
      </w:r>
      <w:r>
        <w:rPr>
          <w:rFonts w:hint="eastAsia"/>
          <w:szCs w:val="24"/>
          <w:highlight w:val="none"/>
        </w:rPr>
        <w:t>被</w:t>
      </w:r>
      <w:r>
        <w:rPr>
          <w:szCs w:val="24"/>
          <w:highlight w:val="none"/>
        </w:rPr>
        <w:t>扣除违约金后仍有责任整改直至达到设计要求</w:t>
      </w:r>
      <w:r>
        <w:rPr>
          <w:rFonts w:hint="eastAsia"/>
          <w:szCs w:val="24"/>
          <w:highlight w:val="none"/>
        </w:rPr>
        <w:t>，由于卖方原因，在规定的性能验收试验中不能达到本规范的性能要求指标时，扣除全部保证金。</w:t>
      </w:r>
    </w:p>
    <w:p w14:paraId="5B66A422">
      <w:pPr>
        <w:pStyle w:val="44"/>
        <w:widowControl/>
        <w:spacing w:line="360" w:lineRule="auto"/>
        <w:rPr>
          <w:szCs w:val="24"/>
          <w:highlight w:val="none"/>
        </w:rPr>
      </w:pPr>
      <w:r>
        <w:rPr>
          <w:rFonts w:hint="eastAsia"/>
          <w:szCs w:val="24"/>
          <w:highlight w:val="none"/>
        </w:rPr>
        <w:t>3 一年内系统可利用率保证值为99.9%，如出现可用率降低，投标人须负责修复并扣除保证金（每降低1%支付相当于合同金额</w:t>
      </w:r>
      <w:r>
        <w:rPr>
          <w:szCs w:val="24"/>
          <w:highlight w:val="none"/>
        </w:rPr>
        <w:t>0.5</w:t>
      </w:r>
      <w:r>
        <w:rPr>
          <w:rFonts w:hint="eastAsia"/>
          <w:szCs w:val="24"/>
          <w:highlight w:val="none"/>
        </w:rPr>
        <w:t>%的违约金。）</w:t>
      </w:r>
    </w:p>
    <w:p w14:paraId="04D32D93">
      <w:pPr>
        <w:pStyle w:val="44"/>
        <w:widowControl/>
        <w:snapToGrid w:val="0"/>
        <w:rPr>
          <w:highlight w:val="none"/>
        </w:rPr>
        <w:sectPr>
          <w:pgSz w:w="11906" w:h="16838"/>
          <w:pgMar w:top="1440" w:right="1440" w:bottom="1440" w:left="1701" w:header="851" w:footer="992" w:gutter="0"/>
          <w:cols w:space="425" w:num="1"/>
          <w:docGrid w:type="lines" w:linePitch="312" w:charSpace="0"/>
        </w:sectPr>
      </w:pPr>
      <w:r>
        <w:rPr>
          <w:rFonts w:hint="eastAsia"/>
          <w:szCs w:val="24"/>
          <w:highlight w:val="none"/>
        </w:rPr>
        <w:t>4 项目设备、材料验收过程中，如发现设备、材料存在假冒伪劣产品，按产品价格10倍考核</w:t>
      </w:r>
      <w:r>
        <w:rPr>
          <w:rFonts w:hint="eastAsia"/>
          <w:highlight w:val="none"/>
        </w:rPr>
        <w:t>。</w:t>
      </w:r>
    </w:p>
    <w:p w14:paraId="34881AEC">
      <w:pPr>
        <w:pStyle w:val="4"/>
        <w:spacing w:before="156" w:beforeLines="50" w:after="156" w:afterLines="50" w:line="360" w:lineRule="auto"/>
        <w:jc w:val="left"/>
        <w:rPr>
          <w:sz w:val="32"/>
          <w:szCs w:val="32"/>
          <w:highlight w:val="none"/>
        </w:rPr>
      </w:pPr>
      <w:bookmarkStart w:id="204" w:name="_Toc343695409"/>
      <w:bookmarkStart w:id="205" w:name="_Toc515953172"/>
      <w:bookmarkStart w:id="206" w:name="_Toc13967"/>
      <w:r>
        <w:rPr>
          <w:sz w:val="32"/>
          <w:szCs w:val="32"/>
          <w:highlight w:val="none"/>
        </w:rPr>
        <w:t>附件13 投标人需要说明的其他问题（质量承诺及售后服务承诺等）</w:t>
      </w:r>
      <w:bookmarkEnd w:id="204"/>
      <w:bookmarkEnd w:id="205"/>
      <w:bookmarkEnd w:id="206"/>
    </w:p>
    <w:p w14:paraId="647DA440">
      <w:pPr>
        <w:pStyle w:val="40"/>
        <w:keepNext w:val="0"/>
        <w:keepLines w:val="0"/>
        <w:numPr>
          <w:ilvl w:val="1"/>
          <w:numId w:val="0"/>
        </w:numPr>
        <w:ind w:firstLine="480" w:firstLineChars="200"/>
        <w:jc w:val="left"/>
        <w:outlineLvl w:val="9"/>
        <w:rPr>
          <w:rFonts w:ascii="Times New Roman" w:hAnsi="Times New Roman" w:cs="Times New Roman"/>
          <w:sz w:val="32"/>
          <w:szCs w:val="32"/>
          <w:highlight w:val="none"/>
        </w:rPr>
      </w:pPr>
      <w:r>
        <w:rPr>
          <w:rFonts w:ascii="Times New Roman" w:hAnsi="Times New Roman" w:cs="Times New Roman"/>
          <w:b w:val="0"/>
          <w:highlight w:val="none"/>
        </w:rPr>
        <w:t>投标人提供在专业技术、设备设施、人员组织、业绩经验等方面具有设计、制造、质量控制、经营管理的相应的资格和能力的资料。</w:t>
      </w:r>
    </w:p>
    <w:sectPr>
      <w:pgSz w:w="11906" w:h="16838"/>
      <w:pgMar w:top="1440" w:right="1440"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Trebuchet MS">
    <w:panose1 w:val="020B0603020202020204"/>
    <w:charset w:val="00"/>
    <w:family w:val="swiss"/>
    <w:pitch w:val="default"/>
    <w:sig w:usb0="00000687" w:usb1="00000000" w:usb2="00000000" w:usb3="00000000" w:csb0="2000009F"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52AE7">
    <w:pPr>
      <w:pStyle w:val="1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86C054">
                          <w:pPr>
                            <w:pStyle w:val="13"/>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6F86C054">
                    <w:pPr>
                      <w:pStyle w:val="13"/>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5B5C9">
    <w:pPr>
      <w:pStyle w:val="1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2B71E0">
                          <w:pPr>
                            <w:pStyle w:val="13"/>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82B71E0">
                    <w:pPr>
                      <w:pStyle w:val="13"/>
                    </w:pPr>
                    <w:r>
                      <w:fldChar w:fldCharType="begin"/>
                    </w:r>
                    <w:r>
                      <w:instrText xml:space="preserve"> PAGE  \* MERGEFORMAT </w:instrText>
                    </w:r>
                    <w:r>
                      <w:fldChar w:fldCharType="separate"/>
                    </w:r>
                    <w:r>
                      <w:t>57</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B133E">
    <w:pPr>
      <w:pStyle w:val="14"/>
      <w:pBdr>
        <w:bottom w:val="none" w:color="auto" w:sz="0" w:space="1"/>
      </w:pBd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33472">
    <w:pPr>
      <w:pStyle w:val="14"/>
      <w:pBdr>
        <w:bottom w:val="single" w:color="auto" w:sz="4" w:space="1"/>
      </w:pBdr>
    </w:pPr>
    <w:r>
      <w:rPr>
        <w:rFonts w:hint="eastAsia"/>
      </w:rPr>
      <w:t>浙能阿克苏热电有限公司制水系统改造项目</w:t>
    </w:r>
    <w:r>
      <w:rPr>
        <w:rFonts w:hint="eastAsia"/>
        <w:lang w:val="en-US" w:eastAsia="zh-CN"/>
      </w:rPr>
      <w:t xml:space="preserve">                          </w:t>
    </w:r>
    <w:r>
      <w:rPr>
        <w:rFonts w:hint="eastAsia"/>
      </w:rPr>
      <w:t xml:space="preserve">            非标设备技术规范书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B2E2DF"/>
    <w:multiLevelType w:val="singleLevel"/>
    <w:tmpl w:val="E8B2E2DF"/>
    <w:lvl w:ilvl="0" w:tentative="0">
      <w:start w:val="1"/>
      <w:numFmt w:val="decimal"/>
      <w:suff w:val="nothing"/>
      <w:lvlText w:val="%1）"/>
      <w:lvlJc w:val="left"/>
      <w:pPr>
        <w:ind w:left="425" w:hanging="425"/>
      </w:pPr>
      <w:rPr>
        <w:rFonts w:hint="default" w:ascii="Times New Roman" w:hAnsi="Times New Roman" w:cs="Times New Roman"/>
      </w:rPr>
    </w:lvl>
  </w:abstractNum>
  <w:abstractNum w:abstractNumId="1">
    <w:nsid w:val="00000013"/>
    <w:multiLevelType w:val="multilevel"/>
    <w:tmpl w:val="00000013"/>
    <w:lvl w:ilvl="0" w:tentative="0">
      <w:start w:val="1"/>
      <w:numFmt w:val="decimal"/>
      <w:lvlText w:val="%1）"/>
      <w:lvlJc w:val="left"/>
      <w:pPr>
        <w:ind w:left="1068" w:hanging="360"/>
      </w:pPr>
      <w:rPr>
        <w:rFonts w:hint="default"/>
      </w:r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2">
    <w:nsid w:val="06D556DE"/>
    <w:multiLevelType w:val="multilevel"/>
    <w:tmpl w:val="06D556DE"/>
    <w:lvl w:ilvl="0" w:tentative="0">
      <w:start w:val="1"/>
      <w:numFmt w:val="decimal"/>
      <w:lvlText w:val="%1)"/>
      <w:lvlJc w:val="left"/>
      <w:pPr>
        <w:tabs>
          <w:tab w:val="left" w:pos="420"/>
        </w:tabs>
        <w:ind w:left="420" w:hanging="420"/>
      </w:pPr>
    </w:lvl>
    <w:lvl w:ilvl="1" w:tentative="0">
      <w:start w:val="1"/>
      <w:numFmt w:val="decimal"/>
      <w:lvlText w:val="%1.%2"/>
      <w:legacy w:legacy="1" w:legacySpace="144" w:legacyIndent="0"/>
      <w:lvlJc w:val="left"/>
      <w:pPr>
        <w:ind w:left="0" w:firstLine="0"/>
      </w:pPr>
    </w:lvl>
    <w:lvl w:ilvl="2" w:tentative="0">
      <w:start w:val="1"/>
      <w:numFmt w:val="decimal"/>
      <w:lvlText w:val="%1.%2.%3"/>
      <w:legacy w:legacy="1" w:legacySpace="144" w:legacyIndent="0"/>
      <w:lvlJc w:val="left"/>
      <w:pPr>
        <w:ind w:left="0" w:firstLine="0"/>
      </w:pPr>
    </w:lvl>
    <w:lvl w:ilvl="3" w:tentative="0">
      <w:start w:val="1"/>
      <w:numFmt w:val="decimal"/>
      <w:lvlText w:val="%1.%2.%3.%4"/>
      <w:legacy w:legacy="1" w:legacySpace="144" w:legacyIndent="0"/>
      <w:lvlJc w:val="left"/>
      <w:pPr>
        <w:ind w:left="0" w:firstLine="0"/>
      </w:pPr>
    </w:lvl>
    <w:lvl w:ilvl="4" w:tentative="0">
      <w:start w:val="1"/>
      <w:numFmt w:val="decimal"/>
      <w:lvlText w:val="%1.%2.%3.%4.%5"/>
      <w:legacy w:legacy="1" w:legacySpace="144" w:legacyIndent="0"/>
      <w:lvlJc w:val="left"/>
      <w:pPr>
        <w:ind w:left="0" w:firstLine="0"/>
      </w:pPr>
    </w:lvl>
    <w:lvl w:ilvl="5" w:tentative="0">
      <w:start w:val="1"/>
      <w:numFmt w:val="decimal"/>
      <w:lvlText w:val="%1.%2.%3.%4.%5.%6"/>
      <w:legacy w:legacy="1" w:legacySpace="144" w:legacyIndent="0"/>
      <w:lvlJc w:val="left"/>
      <w:pPr>
        <w:ind w:left="0" w:firstLine="0"/>
      </w:pPr>
    </w:lvl>
    <w:lvl w:ilvl="6" w:tentative="0">
      <w:start w:val="1"/>
      <w:numFmt w:val="decimal"/>
      <w:lvlText w:val="%1.%2.%3.%4.%5.%6.%7"/>
      <w:legacy w:legacy="1" w:legacySpace="144" w:legacyIndent="0"/>
      <w:lvlJc w:val="left"/>
      <w:pPr>
        <w:ind w:left="0" w:firstLine="0"/>
      </w:pPr>
    </w:lvl>
    <w:lvl w:ilvl="7" w:tentative="0">
      <w:start w:val="1"/>
      <w:numFmt w:val="decimal"/>
      <w:lvlText w:val="%1.%2.%3.%4.%5.%6.%7.%8"/>
      <w:legacy w:legacy="1" w:legacySpace="144" w:legacyIndent="0"/>
      <w:lvlJc w:val="left"/>
      <w:pPr>
        <w:ind w:left="0" w:firstLine="0"/>
      </w:pPr>
    </w:lvl>
    <w:lvl w:ilvl="8" w:tentative="0">
      <w:start w:val="1"/>
      <w:numFmt w:val="decimal"/>
      <w:lvlText w:val="%1.%2.%3.%4.%5.%6.%7.%8.%9"/>
      <w:legacy w:legacy="1" w:legacySpace="144" w:legacyIndent="0"/>
      <w:lvlJc w:val="left"/>
      <w:pPr>
        <w:ind w:left="0" w:firstLine="0"/>
      </w:pPr>
    </w:lvl>
  </w:abstractNum>
  <w:abstractNum w:abstractNumId="3">
    <w:nsid w:val="0DE664D0"/>
    <w:multiLevelType w:val="multilevel"/>
    <w:tmpl w:val="0DE664D0"/>
    <w:lvl w:ilvl="0" w:tentative="0">
      <w:start w:val="1"/>
      <w:numFmt w:val="decimal"/>
      <w:lvlText w:val="%1."/>
      <w:lvlJc w:val="left"/>
      <w:pPr>
        <w:tabs>
          <w:tab w:val="left" w:pos="1020"/>
        </w:tabs>
        <w:ind w:left="1020" w:hanging="420"/>
      </w:pPr>
    </w:lvl>
    <w:lvl w:ilvl="1" w:tentative="0">
      <w:start w:val="1"/>
      <w:numFmt w:val="lowerLetter"/>
      <w:lvlText w:val="%2)"/>
      <w:lvlJc w:val="left"/>
      <w:pPr>
        <w:tabs>
          <w:tab w:val="left" w:pos="1440"/>
        </w:tabs>
        <w:ind w:left="1440" w:hanging="420"/>
      </w:pPr>
    </w:lvl>
    <w:lvl w:ilvl="2" w:tentative="0">
      <w:start w:val="1"/>
      <w:numFmt w:val="lowerRoman"/>
      <w:lvlText w:val="%3."/>
      <w:lvlJc w:val="right"/>
      <w:pPr>
        <w:tabs>
          <w:tab w:val="left" w:pos="1860"/>
        </w:tabs>
        <w:ind w:left="1860" w:hanging="420"/>
      </w:pPr>
    </w:lvl>
    <w:lvl w:ilvl="3" w:tentative="0">
      <w:start w:val="1"/>
      <w:numFmt w:val="decimal"/>
      <w:lvlText w:val="%4."/>
      <w:lvlJc w:val="left"/>
      <w:pPr>
        <w:tabs>
          <w:tab w:val="left" w:pos="2280"/>
        </w:tabs>
        <w:ind w:left="2280" w:hanging="420"/>
      </w:pPr>
    </w:lvl>
    <w:lvl w:ilvl="4" w:tentative="0">
      <w:start w:val="1"/>
      <w:numFmt w:val="lowerLetter"/>
      <w:lvlText w:val="%5)"/>
      <w:lvlJc w:val="left"/>
      <w:pPr>
        <w:tabs>
          <w:tab w:val="left" w:pos="2700"/>
        </w:tabs>
        <w:ind w:left="2700" w:hanging="420"/>
      </w:pPr>
    </w:lvl>
    <w:lvl w:ilvl="5" w:tentative="0">
      <w:start w:val="1"/>
      <w:numFmt w:val="lowerRoman"/>
      <w:lvlText w:val="%6."/>
      <w:lvlJc w:val="right"/>
      <w:pPr>
        <w:tabs>
          <w:tab w:val="left" w:pos="3120"/>
        </w:tabs>
        <w:ind w:left="3120" w:hanging="420"/>
      </w:pPr>
    </w:lvl>
    <w:lvl w:ilvl="6" w:tentative="0">
      <w:start w:val="1"/>
      <w:numFmt w:val="decimal"/>
      <w:lvlText w:val="%7."/>
      <w:lvlJc w:val="left"/>
      <w:pPr>
        <w:tabs>
          <w:tab w:val="left" w:pos="3540"/>
        </w:tabs>
        <w:ind w:left="3540" w:hanging="420"/>
      </w:pPr>
    </w:lvl>
    <w:lvl w:ilvl="7" w:tentative="0">
      <w:start w:val="1"/>
      <w:numFmt w:val="lowerLetter"/>
      <w:lvlText w:val="%8)"/>
      <w:lvlJc w:val="left"/>
      <w:pPr>
        <w:tabs>
          <w:tab w:val="left" w:pos="3960"/>
        </w:tabs>
        <w:ind w:left="3960" w:hanging="420"/>
      </w:pPr>
    </w:lvl>
    <w:lvl w:ilvl="8" w:tentative="0">
      <w:start w:val="1"/>
      <w:numFmt w:val="lowerRoman"/>
      <w:lvlText w:val="%9."/>
      <w:lvlJc w:val="right"/>
      <w:pPr>
        <w:tabs>
          <w:tab w:val="left" w:pos="4380"/>
        </w:tabs>
        <w:ind w:left="4380" w:hanging="420"/>
      </w:pPr>
    </w:lvl>
  </w:abstractNum>
  <w:abstractNum w:abstractNumId="4">
    <w:nsid w:val="22FA5278"/>
    <w:multiLevelType w:val="singleLevel"/>
    <w:tmpl w:val="22FA5278"/>
    <w:lvl w:ilvl="0" w:tentative="0">
      <w:start w:val="2"/>
      <w:numFmt w:val="decimal"/>
      <w:suff w:val="nothing"/>
      <w:lvlText w:val="（%1）"/>
      <w:lvlJc w:val="left"/>
    </w:lvl>
  </w:abstractNum>
  <w:abstractNum w:abstractNumId="5">
    <w:nsid w:val="44077056"/>
    <w:multiLevelType w:val="multilevel"/>
    <w:tmpl w:val="44077056"/>
    <w:lvl w:ilvl="0" w:tentative="0">
      <w:start w:val="1"/>
      <w:numFmt w:val="decimal"/>
      <w:pStyle w:val="39"/>
      <w:lvlText w:val="%1"/>
      <w:lvlJc w:val="left"/>
      <w:pPr>
        <w:ind w:left="425" w:hanging="425"/>
      </w:pPr>
      <w:rPr>
        <w:rFonts w:hint="eastAsia"/>
      </w:rPr>
    </w:lvl>
    <w:lvl w:ilvl="1" w:tentative="0">
      <w:start w:val="1"/>
      <w:numFmt w:val="decimal"/>
      <w:pStyle w:val="40"/>
      <w:lvlText w:val="%1.%2"/>
      <w:lvlJc w:val="left"/>
      <w:pPr>
        <w:ind w:left="3827" w:hanging="567"/>
      </w:pPr>
      <w:rPr>
        <w:rFonts w:hint="eastAsia"/>
      </w:rPr>
    </w:lvl>
    <w:lvl w:ilvl="2" w:tentative="0">
      <w:start w:val="1"/>
      <w:numFmt w:val="decimal"/>
      <w:pStyle w:val="41"/>
      <w:lvlText w:val="%1.%2.%3"/>
      <w:lvlJc w:val="left"/>
      <w:pPr>
        <w:ind w:left="1418" w:hanging="567"/>
      </w:pPr>
      <w:rPr>
        <w:rFonts w:hint="eastAsia"/>
      </w:rPr>
    </w:lvl>
    <w:lvl w:ilvl="3" w:tentative="0">
      <w:start w:val="1"/>
      <w:numFmt w:val="decimal"/>
      <w:pStyle w:val="8"/>
      <w:lvlText w:val="%1.%2.%3.%4"/>
      <w:lvlJc w:val="left"/>
      <w:pPr>
        <w:ind w:left="1701" w:hanging="708"/>
      </w:pPr>
      <w:rPr>
        <w:rFonts w:hint="eastAsia"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5"/>
  </w:num>
  <w:num w:numId="2">
    <w:abstractNumId w:val="1"/>
  </w:num>
  <w:num w:numId="3">
    <w:abstractNumId w:val="0"/>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39E"/>
    <w:rsid w:val="00024FA2"/>
    <w:rsid w:val="00027A4E"/>
    <w:rsid w:val="00040B27"/>
    <w:rsid w:val="000577A6"/>
    <w:rsid w:val="0006752F"/>
    <w:rsid w:val="00087753"/>
    <w:rsid w:val="000A1D30"/>
    <w:rsid w:val="000D0A96"/>
    <w:rsid w:val="000D6A7B"/>
    <w:rsid w:val="000F7C52"/>
    <w:rsid w:val="00106309"/>
    <w:rsid w:val="00120DA7"/>
    <w:rsid w:val="00125AE5"/>
    <w:rsid w:val="0012757F"/>
    <w:rsid w:val="00135A22"/>
    <w:rsid w:val="0013640A"/>
    <w:rsid w:val="001574DA"/>
    <w:rsid w:val="0017651E"/>
    <w:rsid w:val="001834EA"/>
    <w:rsid w:val="00183636"/>
    <w:rsid w:val="001919D9"/>
    <w:rsid w:val="001935B4"/>
    <w:rsid w:val="001972CC"/>
    <w:rsid w:val="001A3FF5"/>
    <w:rsid w:val="001C0DE9"/>
    <w:rsid w:val="001C6D9D"/>
    <w:rsid w:val="001C7C80"/>
    <w:rsid w:val="001E0A6A"/>
    <w:rsid w:val="001F2EC5"/>
    <w:rsid w:val="00204C60"/>
    <w:rsid w:val="002427AB"/>
    <w:rsid w:val="00247F17"/>
    <w:rsid w:val="00254BA2"/>
    <w:rsid w:val="00262415"/>
    <w:rsid w:val="002643A3"/>
    <w:rsid w:val="00275CBE"/>
    <w:rsid w:val="0028116E"/>
    <w:rsid w:val="00283E2D"/>
    <w:rsid w:val="002A1DA5"/>
    <w:rsid w:val="002A75D1"/>
    <w:rsid w:val="002B703E"/>
    <w:rsid w:val="002C0237"/>
    <w:rsid w:val="002D0055"/>
    <w:rsid w:val="002E50A7"/>
    <w:rsid w:val="002E6928"/>
    <w:rsid w:val="00305A37"/>
    <w:rsid w:val="003103AF"/>
    <w:rsid w:val="00340499"/>
    <w:rsid w:val="00345C08"/>
    <w:rsid w:val="003476AD"/>
    <w:rsid w:val="00347FBB"/>
    <w:rsid w:val="00353BC4"/>
    <w:rsid w:val="0036721D"/>
    <w:rsid w:val="00391C77"/>
    <w:rsid w:val="003C17DF"/>
    <w:rsid w:val="003C360B"/>
    <w:rsid w:val="003C7F89"/>
    <w:rsid w:val="003E14DE"/>
    <w:rsid w:val="003E4C54"/>
    <w:rsid w:val="00406765"/>
    <w:rsid w:val="0043668F"/>
    <w:rsid w:val="00441977"/>
    <w:rsid w:val="0044389A"/>
    <w:rsid w:val="00466EF0"/>
    <w:rsid w:val="00477D65"/>
    <w:rsid w:val="00482B0C"/>
    <w:rsid w:val="00490A3B"/>
    <w:rsid w:val="00497F32"/>
    <w:rsid w:val="004A5B63"/>
    <w:rsid w:val="004B06C7"/>
    <w:rsid w:val="004C153A"/>
    <w:rsid w:val="004C1861"/>
    <w:rsid w:val="004D3123"/>
    <w:rsid w:val="00530A6B"/>
    <w:rsid w:val="00537274"/>
    <w:rsid w:val="005502B2"/>
    <w:rsid w:val="00552C38"/>
    <w:rsid w:val="0057306D"/>
    <w:rsid w:val="0058032B"/>
    <w:rsid w:val="00587CD6"/>
    <w:rsid w:val="00596432"/>
    <w:rsid w:val="005A113E"/>
    <w:rsid w:val="005A4C7E"/>
    <w:rsid w:val="005B6C7E"/>
    <w:rsid w:val="005C130B"/>
    <w:rsid w:val="005D3DBF"/>
    <w:rsid w:val="005D57BE"/>
    <w:rsid w:val="005F151D"/>
    <w:rsid w:val="005F6364"/>
    <w:rsid w:val="00601838"/>
    <w:rsid w:val="00606C5E"/>
    <w:rsid w:val="00613189"/>
    <w:rsid w:val="00616B5A"/>
    <w:rsid w:val="00632153"/>
    <w:rsid w:val="006635EF"/>
    <w:rsid w:val="00681A7A"/>
    <w:rsid w:val="006966F2"/>
    <w:rsid w:val="006A1317"/>
    <w:rsid w:val="006A1E53"/>
    <w:rsid w:val="006B1B3D"/>
    <w:rsid w:val="006C00CF"/>
    <w:rsid w:val="006C2154"/>
    <w:rsid w:val="006D2D54"/>
    <w:rsid w:val="006F567C"/>
    <w:rsid w:val="00701B45"/>
    <w:rsid w:val="00702A41"/>
    <w:rsid w:val="00735ADB"/>
    <w:rsid w:val="00743079"/>
    <w:rsid w:val="00743F2F"/>
    <w:rsid w:val="00757B9E"/>
    <w:rsid w:val="007615EB"/>
    <w:rsid w:val="00763851"/>
    <w:rsid w:val="007757D5"/>
    <w:rsid w:val="007852C9"/>
    <w:rsid w:val="007950B9"/>
    <w:rsid w:val="007B5350"/>
    <w:rsid w:val="007C2A6D"/>
    <w:rsid w:val="007C6136"/>
    <w:rsid w:val="007E3D87"/>
    <w:rsid w:val="0080114E"/>
    <w:rsid w:val="00801724"/>
    <w:rsid w:val="008033DA"/>
    <w:rsid w:val="00821676"/>
    <w:rsid w:val="00837D8F"/>
    <w:rsid w:val="00854AAB"/>
    <w:rsid w:val="00874C4D"/>
    <w:rsid w:val="008769B9"/>
    <w:rsid w:val="008907E9"/>
    <w:rsid w:val="008B79DD"/>
    <w:rsid w:val="008D26C8"/>
    <w:rsid w:val="008D622C"/>
    <w:rsid w:val="008E418F"/>
    <w:rsid w:val="008E7CAF"/>
    <w:rsid w:val="008F1AEC"/>
    <w:rsid w:val="0091482A"/>
    <w:rsid w:val="00920750"/>
    <w:rsid w:val="00922462"/>
    <w:rsid w:val="009242FE"/>
    <w:rsid w:val="00930DD0"/>
    <w:rsid w:val="00933649"/>
    <w:rsid w:val="00943626"/>
    <w:rsid w:val="00947F17"/>
    <w:rsid w:val="009508D4"/>
    <w:rsid w:val="00961FBA"/>
    <w:rsid w:val="0096533C"/>
    <w:rsid w:val="009729B1"/>
    <w:rsid w:val="009868FF"/>
    <w:rsid w:val="00990BA5"/>
    <w:rsid w:val="009B4188"/>
    <w:rsid w:val="009B52B0"/>
    <w:rsid w:val="009E1D76"/>
    <w:rsid w:val="009E4CFB"/>
    <w:rsid w:val="00A0247B"/>
    <w:rsid w:val="00A040D3"/>
    <w:rsid w:val="00A06370"/>
    <w:rsid w:val="00A22343"/>
    <w:rsid w:val="00A34280"/>
    <w:rsid w:val="00A40F4E"/>
    <w:rsid w:val="00A438F2"/>
    <w:rsid w:val="00A4542D"/>
    <w:rsid w:val="00A5036B"/>
    <w:rsid w:val="00A70145"/>
    <w:rsid w:val="00A80873"/>
    <w:rsid w:val="00A87C18"/>
    <w:rsid w:val="00A92141"/>
    <w:rsid w:val="00A93353"/>
    <w:rsid w:val="00AA7868"/>
    <w:rsid w:val="00AC0691"/>
    <w:rsid w:val="00AC587A"/>
    <w:rsid w:val="00B01CF8"/>
    <w:rsid w:val="00B170DC"/>
    <w:rsid w:val="00B26908"/>
    <w:rsid w:val="00B46FB9"/>
    <w:rsid w:val="00B5197D"/>
    <w:rsid w:val="00B70FF2"/>
    <w:rsid w:val="00B777A8"/>
    <w:rsid w:val="00B80625"/>
    <w:rsid w:val="00B910F0"/>
    <w:rsid w:val="00BA17DF"/>
    <w:rsid w:val="00BA2E12"/>
    <w:rsid w:val="00BC1DED"/>
    <w:rsid w:val="00BE02A6"/>
    <w:rsid w:val="00BE3242"/>
    <w:rsid w:val="00BE5E90"/>
    <w:rsid w:val="00BF43A7"/>
    <w:rsid w:val="00C14A4A"/>
    <w:rsid w:val="00C14AC0"/>
    <w:rsid w:val="00C17F34"/>
    <w:rsid w:val="00C2077D"/>
    <w:rsid w:val="00C24F27"/>
    <w:rsid w:val="00C252A6"/>
    <w:rsid w:val="00C30EA0"/>
    <w:rsid w:val="00C365CF"/>
    <w:rsid w:val="00C42E07"/>
    <w:rsid w:val="00C54CE7"/>
    <w:rsid w:val="00C7024C"/>
    <w:rsid w:val="00C81EF6"/>
    <w:rsid w:val="00C96FB8"/>
    <w:rsid w:val="00CB39D5"/>
    <w:rsid w:val="00CB45AE"/>
    <w:rsid w:val="00CB75FD"/>
    <w:rsid w:val="00CC2B54"/>
    <w:rsid w:val="00CD6510"/>
    <w:rsid w:val="00CE48F3"/>
    <w:rsid w:val="00CE5B66"/>
    <w:rsid w:val="00CF51CA"/>
    <w:rsid w:val="00CF59ED"/>
    <w:rsid w:val="00D3043A"/>
    <w:rsid w:val="00D37268"/>
    <w:rsid w:val="00D40661"/>
    <w:rsid w:val="00D467A3"/>
    <w:rsid w:val="00D74F47"/>
    <w:rsid w:val="00D90AC0"/>
    <w:rsid w:val="00D91236"/>
    <w:rsid w:val="00DA206B"/>
    <w:rsid w:val="00DB2695"/>
    <w:rsid w:val="00DC2C1C"/>
    <w:rsid w:val="00DC2F1D"/>
    <w:rsid w:val="00DD7711"/>
    <w:rsid w:val="00DF676F"/>
    <w:rsid w:val="00E16334"/>
    <w:rsid w:val="00E24296"/>
    <w:rsid w:val="00E24AF5"/>
    <w:rsid w:val="00E37069"/>
    <w:rsid w:val="00E434AE"/>
    <w:rsid w:val="00E44418"/>
    <w:rsid w:val="00E55481"/>
    <w:rsid w:val="00E60F6A"/>
    <w:rsid w:val="00E83905"/>
    <w:rsid w:val="00E90355"/>
    <w:rsid w:val="00E95FA8"/>
    <w:rsid w:val="00E97D12"/>
    <w:rsid w:val="00EB3B49"/>
    <w:rsid w:val="00EE0193"/>
    <w:rsid w:val="00F1256E"/>
    <w:rsid w:val="00F21DD3"/>
    <w:rsid w:val="00F22FBA"/>
    <w:rsid w:val="00F2379B"/>
    <w:rsid w:val="00F24E52"/>
    <w:rsid w:val="00F365B9"/>
    <w:rsid w:val="00F373ED"/>
    <w:rsid w:val="00F37EA0"/>
    <w:rsid w:val="00F45490"/>
    <w:rsid w:val="00F455DC"/>
    <w:rsid w:val="00F74F68"/>
    <w:rsid w:val="00F76D22"/>
    <w:rsid w:val="00F817C3"/>
    <w:rsid w:val="00F910EC"/>
    <w:rsid w:val="00FA5B5C"/>
    <w:rsid w:val="00FB4D44"/>
    <w:rsid w:val="00FB6982"/>
    <w:rsid w:val="00FD52B3"/>
    <w:rsid w:val="00FE0A78"/>
    <w:rsid w:val="00FE1326"/>
    <w:rsid w:val="00FF016E"/>
    <w:rsid w:val="00FF439E"/>
    <w:rsid w:val="01362635"/>
    <w:rsid w:val="01B446F6"/>
    <w:rsid w:val="022B7DA1"/>
    <w:rsid w:val="02790D1C"/>
    <w:rsid w:val="03544D68"/>
    <w:rsid w:val="039E6FD4"/>
    <w:rsid w:val="03F80C8C"/>
    <w:rsid w:val="03FB24A4"/>
    <w:rsid w:val="041D09E9"/>
    <w:rsid w:val="05030478"/>
    <w:rsid w:val="055669F7"/>
    <w:rsid w:val="06911D84"/>
    <w:rsid w:val="06C40470"/>
    <w:rsid w:val="07001AE7"/>
    <w:rsid w:val="07443763"/>
    <w:rsid w:val="07B737E3"/>
    <w:rsid w:val="083640B7"/>
    <w:rsid w:val="08624BE7"/>
    <w:rsid w:val="08863BFB"/>
    <w:rsid w:val="089D1B62"/>
    <w:rsid w:val="0ACD6E75"/>
    <w:rsid w:val="0B832EB3"/>
    <w:rsid w:val="0B8A33CA"/>
    <w:rsid w:val="0B8E1657"/>
    <w:rsid w:val="0B9F6417"/>
    <w:rsid w:val="0BA8417F"/>
    <w:rsid w:val="0BCF6200"/>
    <w:rsid w:val="0D141F21"/>
    <w:rsid w:val="0D1F387C"/>
    <w:rsid w:val="0F446729"/>
    <w:rsid w:val="0F736EC8"/>
    <w:rsid w:val="0F7C5E6C"/>
    <w:rsid w:val="0FA93181"/>
    <w:rsid w:val="10F23007"/>
    <w:rsid w:val="11360536"/>
    <w:rsid w:val="11965011"/>
    <w:rsid w:val="13F462BB"/>
    <w:rsid w:val="141D58B2"/>
    <w:rsid w:val="14F01CFE"/>
    <w:rsid w:val="151536A8"/>
    <w:rsid w:val="161F06E1"/>
    <w:rsid w:val="16337E88"/>
    <w:rsid w:val="16873D30"/>
    <w:rsid w:val="16AF5632"/>
    <w:rsid w:val="16DD6CA9"/>
    <w:rsid w:val="16F94C2D"/>
    <w:rsid w:val="1851707B"/>
    <w:rsid w:val="18DD2D76"/>
    <w:rsid w:val="19415F57"/>
    <w:rsid w:val="19FE07AD"/>
    <w:rsid w:val="1A361CF4"/>
    <w:rsid w:val="1AB854CF"/>
    <w:rsid w:val="1B8756CA"/>
    <w:rsid w:val="1C4616E8"/>
    <w:rsid w:val="1D401633"/>
    <w:rsid w:val="1E401394"/>
    <w:rsid w:val="1F644270"/>
    <w:rsid w:val="202A5706"/>
    <w:rsid w:val="20947775"/>
    <w:rsid w:val="213D3931"/>
    <w:rsid w:val="214E5DCF"/>
    <w:rsid w:val="217C4A99"/>
    <w:rsid w:val="21BC1D30"/>
    <w:rsid w:val="234D3926"/>
    <w:rsid w:val="23982E90"/>
    <w:rsid w:val="24102EEC"/>
    <w:rsid w:val="242C2558"/>
    <w:rsid w:val="24E20AF0"/>
    <w:rsid w:val="24F855E8"/>
    <w:rsid w:val="256426C6"/>
    <w:rsid w:val="25C30C47"/>
    <w:rsid w:val="26620F1A"/>
    <w:rsid w:val="267918E7"/>
    <w:rsid w:val="268B7E01"/>
    <w:rsid w:val="27D92FFA"/>
    <w:rsid w:val="280478D6"/>
    <w:rsid w:val="280758EB"/>
    <w:rsid w:val="28766F16"/>
    <w:rsid w:val="28A80261"/>
    <w:rsid w:val="290F234F"/>
    <w:rsid w:val="2A671D6A"/>
    <w:rsid w:val="2B25203D"/>
    <w:rsid w:val="2C2E41EA"/>
    <w:rsid w:val="2C642E42"/>
    <w:rsid w:val="2D891A83"/>
    <w:rsid w:val="2DA77A90"/>
    <w:rsid w:val="2ED43D80"/>
    <w:rsid w:val="2FAA164F"/>
    <w:rsid w:val="30073913"/>
    <w:rsid w:val="301E4513"/>
    <w:rsid w:val="303A4B5D"/>
    <w:rsid w:val="327C441F"/>
    <w:rsid w:val="32E660D8"/>
    <w:rsid w:val="330162B4"/>
    <w:rsid w:val="33797C4C"/>
    <w:rsid w:val="35207254"/>
    <w:rsid w:val="35614329"/>
    <w:rsid w:val="35D26D34"/>
    <w:rsid w:val="35D918F3"/>
    <w:rsid w:val="35E94242"/>
    <w:rsid w:val="36960DFD"/>
    <w:rsid w:val="36F01AD4"/>
    <w:rsid w:val="373B6246"/>
    <w:rsid w:val="37A90873"/>
    <w:rsid w:val="37A96982"/>
    <w:rsid w:val="3874356C"/>
    <w:rsid w:val="387F051B"/>
    <w:rsid w:val="393450E2"/>
    <w:rsid w:val="3A5937EA"/>
    <w:rsid w:val="3A5D76DE"/>
    <w:rsid w:val="3A797438"/>
    <w:rsid w:val="3B015E33"/>
    <w:rsid w:val="3B4756B8"/>
    <w:rsid w:val="3C5B086B"/>
    <w:rsid w:val="3C7050E2"/>
    <w:rsid w:val="3C993AEB"/>
    <w:rsid w:val="3CCE7C64"/>
    <w:rsid w:val="3DB2785C"/>
    <w:rsid w:val="3DB64D77"/>
    <w:rsid w:val="3DB9777C"/>
    <w:rsid w:val="3DEF486A"/>
    <w:rsid w:val="3E5E7DAB"/>
    <w:rsid w:val="3F290356"/>
    <w:rsid w:val="3F4B28BE"/>
    <w:rsid w:val="3FC31185"/>
    <w:rsid w:val="42A72EE0"/>
    <w:rsid w:val="43195B8C"/>
    <w:rsid w:val="43311591"/>
    <w:rsid w:val="434E1E5F"/>
    <w:rsid w:val="43F17B42"/>
    <w:rsid w:val="46710053"/>
    <w:rsid w:val="46A20FAA"/>
    <w:rsid w:val="47233FEA"/>
    <w:rsid w:val="47366863"/>
    <w:rsid w:val="47814D2E"/>
    <w:rsid w:val="47B10B6B"/>
    <w:rsid w:val="48592ECE"/>
    <w:rsid w:val="49347CEE"/>
    <w:rsid w:val="4941316F"/>
    <w:rsid w:val="49BA010D"/>
    <w:rsid w:val="4A093850"/>
    <w:rsid w:val="4A6A3E2B"/>
    <w:rsid w:val="4ACA4B95"/>
    <w:rsid w:val="4BA32DDE"/>
    <w:rsid w:val="4BA33252"/>
    <w:rsid w:val="4BB351CB"/>
    <w:rsid w:val="4C6912E9"/>
    <w:rsid w:val="4C7C2EDC"/>
    <w:rsid w:val="4D050385"/>
    <w:rsid w:val="4D623805"/>
    <w:rsid w:val="4D6B20D3"/>
    <w:rsid w:val="4D9E12C0"/>
    <w:rsid w:val="4DEB0008"/>
    <w:rsid w:val="4E0E7A7D"/>
    <w:rsid w:val="4F5340EE"/>
    <w:rsid w:val="50442C54"/>
    <w:rsid w:val="506B2B29"/>
    <w:rsid w:val="50F70BD7"/>
    <w:rsid w:val="512A76A5"/>
    <w:rsid w:val="512E0E84"/>
    <w:rsid w:val="514B22F9"/>
    <w:rsid w:val="517155AE"/>
    <w:rsid w:val="52862B12"/>
    <w:rsid w:val="52A57715"/>
    <w:rsid w:val="538475A3"/>
    <w:rsid w:val="543640EE"/>
    <w:rsid w:val="559E5653"/>
    <w:rsid w:val="55A16ED2"/>
    <w:rsid w:val="55A723A2"/>
    <w:rsid w:val="56740C0E"/>
    <w:rsid w:val="567D38D3"/>
    <w:rsid w:val="57033C69"/>
    <w:rsid w:val="57C63D61"/>
    <w:rsid w:val="57D4431F"/>
    <w:rsid w:val="59094D96"/>
    <w:rsid w:val="59701E26"/>
    <w:rsid w:val="59820984"/>
    <w:rsid w:val="59831DA7"/>
    <w:rsid w:val="59F36DCB"/>
    <w:rsid w:val="5AB11D1A"/>
    <w:rsid w:val="5AC06EED"/>
    <w:rsid w:val="5BA30A6B"/>
    <w:rsid w:val="5BF11FA1"/>
    <w:rsid w:val="5E7616C5"/>
    <w:rsid w:val="5E9C2F2A"/>
    <w:rsid w:val="5F292C59"/>
    <w:rsid w:val="5F645F89"/>
    <w:rsid w:val="5FAF4FD0"/>
    <w:rsid w:val="5FC731C7"/>
    <w:rsid w:val="5FF27A39"/>
    <w:rsid w:val="5FFE376A"/>
    <w:rsid w:val="601259E5"/>
    <w:rsid w:val="60416C6E"/>
    <w:rsid w:val="61A54668"/>
    <w:rsid w:val="61A87F9A"/>
    <w:rsid w:val="625A7360"/>
    <w:rsid w:val="62627B65"/>
    <w:rsid w:val="63C15141"/>
    <w:rsid w:val="64F53B46"/>
    <w:rsid w:val="6522491C"/>
    <w:rsid w:val="65C6227E"/>
    <w:rsid w:val="67475B9E"/>
    <w:rsid w:val="67707369"/>
    <w:rsid w:val="67AC16DE"/>
    <w:rsid w:val="67E75FF8"/>
    <w:rsid w:val="68236971"/>
    <w:rsid w:val="69546EA3"/>
    <w:rsid w:val="69740837"/>
    <w:rsid w:val="69B90D48"/>
    <w:rsid w:val="69F667A2"/>
    <w:rsid w:val="6B9320D0"/>
    <w:rsid w:val="6BE6227E"/>
    <w:rsid w:val="6C007039"/>
    <w:rsid w:val="6CF02EEE"/>
    <w:rsid w:val="6D6F26C8"/>
    <w:rsid w:val="6DD87E67"/>
    <w:rsid w:val="6E8073D2"/>
    <w:rsid w:val="6F3E6926"/>
    <w:rsid w:val="6F7E5B5F"/>
    <w:rsid w:val="70A852E0"/>
    <w:rsid w:val="70AE175A"/>
    <w:rsid w:val="70DF7B65"/>
    <w:rsid w:val="7118729D"/>
    <w:rsid w:val="713C01B0"/>
    <w:rsid w:val="718E58F8"/>
    <w:rsid w:val="71FE226D"/>
    <w:rsid w:val="722021E3"/>
    <w:rsid w:val="72331F17"/>
    <w:rsid w:val="727A0D49"/>
    <w:rsid w:val="72F07E08"/>
    <w:rsid w:val="73402539"/>
    <w:rsid w:val="73423AD9"/>
    <w:rsid w:val="739A7D73"/>
    <w:rsid w:val="73B81717"/>
    <w:rsid w:val="744077B8"/>
    <w:rsid w:val="745B3778"/>
    <w:rsid w:val="74BD770E"/>
    <w:rsid w:val="75044197"/>
    <w:rsid w:val="755E2D8E"/>
    <w:rsid w:val="75693EA1"/>
    <w:rsid w:val="761107C1"/>
    <w:rsid w:val="76876CD5"/>
    <w:rsid w:val="78471E98"/>
    <w:rsid w:val="788334CC"/>
    <w:rsid w:val="78856AF8"/>
    <w:rsid w:val="78B24475"/>
    <w:rsid w:val="78FF6FF6"/>
    <w:rsid w:val="7A3A09C8"/>
    <w:rsid w:val="7A40745B"/>
    <w:rsid w:val="7A6C0AF5"/>
    <w:rsid w:val="7AC85C6E"/>
    <w:rsid w:val="7BAE0860"/>
    <w:rsid w:val="7DBD5538"/>
    <w:rsid w:val="7E384F1B"/>
    <w:rsid w:val="7EE526AE"/>
    <w:rsid w:val="7F5F1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name="Normal Indent"/>
    <w:lsdException w:uiPriority="99" w:name="footnote text"/>
    <w:lsdException w:qFormat="1" w:unhideWhenUsed="0" w:uiPriority="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4">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32"/>
    <w:qFormat/>
    <w:uiPriority w:val="0"/>
    <w:pPr>
      <w:keepNext/>
      <w:keepLines/>
      <w:adjustRightInd w:val="0"/>
      <w:spacing w:before="260" w:after="260" w:line="416" w:lineRule="atLeast"/>
      <w:textAlignment w:val="baseline"/>
      <w:outlineLvl w:val="1"/>
    </w:pPr>
    <w:rPr>
      <w:rFonts w:ascii="宋体"/>
      <w:b/>
      <w:kern w:val="44"/>
      <w:sz w:val="28"/>
      <w:szCs w:val="20"/>
    </w:rPr>
  </w:style>
  <w:style w:type="paragraph" w:styleId="6">
    <w:name w:val="heading 3"/>
    <w:basedOn w:val="1"/>
    <w:next w:val="7"/>
    <w:qFormat/>
    <w:uiPriority w:val="0"/>
    <w:pPr>
      <w:widowControl/>
      <w:spacing w:before="100" w:beforeAutospacing="1" w:after="100" w:afterAutospacing="1"/>
      <w:jc w:val="left"/>
      <w:outlineLvl w:val="2"/>
    </w:pPr>
    <w:rPr>
      <w:rFonts w:cs="宋体"/>
      <w:b/>
      <w:bCs/>
      <w:kern w:val="0"/>
      <w:sz w:val="27"/>
      <w:szCs w:val="27"/>
    </w:rPr>
  </w:style>
  <w:style w:type="paragraph" w:styleId="8">
    <w:name w:val="heading 4"/>
    <w:basedOn w:val="1"/>
    <w:next w:val="1"/>
    <w:link w:val="27"/>
    <w:qFormat/>
    <w:uiPriority w:val="0"/>
    <w:pPr>
      <w:keepNext/>
      <w:numPr>
        <w:ilvl w:val="3"/>
        <w:numId w:val="1"/>
      </w:numPr>
      <w:adjustRightInd w:val="0"/>
      <w:spacing w:line="360" w:lineRule="auto"/>
      <w:jc w:val="left"/>
      <w:textAlignment w:val="baseline"/>
      <w:outlineLvl w:val="3"/>
    </w:pPr>
    <w:rPr>
      <w:rFonts w:ascii="宋体"/>
      <w:kern w:val="0"/>
      <w:szCs w:val="20"/>
    </w:rPr>
  </w:style>
  <w:style w:type="paragraph" w:styleId="9">
    <w:name w:val="heading 5"/>
    <w:basedOn w:val="1"/>
    <w:next w:val="1"/>
    <w:qFormat/>
    <w:uiPriority w:val="0"/>
    <w:pPr>
      <w:keepNext/>
      <w:keepLines/>
      <w:spacing w:before="280" w:after="290" w:line="376" w:lineRule="auto"/>
      <w:outlineLvl w:val="4"/>
    </w:pPr>
    <w:rPr>
      <w:b/>
      <w:bCs/>
      <w:sz w:val="28"/>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customStyle="1" w:styleId="2">
    <w:name w:val="正文文本首行缩进 21"/>
    <w:basedOn w:val="3"/>
    <w:qFormat/>
    <w:uiPriority w:val="0"/>
    <w:pPr>
      <w:ind w:firstLine="420" w:firstLineChars="200"/>
    </w:pPr>
  </w:style>
  <w:style w:type="paragraph" w:styleId="3">
    <w:name w:val="Body Text Indent"/>
    <w:basedOn w:val="1"/>
    <w:next w:val="1"/>
    <w:link w:val="35"/>
    <w:qFormat/>
    <w:uiPriority w:val="0"/>
    <w:pPr>
      <w:adjustRightInd w:val="0"/>
      <w:spacing w:line="360" w:lineRule="auto"/>
      <w:ind w:left="454"/>
      <w:jc w:val="left"/>
      <w:textAlignment w:val="baseline"/>
    </w:pPr>
    <w:rPr>
      <w:rFonts w:ascii="宋体"/>
      <w:kern w:val="0"/>
      <w:szCs w:val="20"/>
    </w:rPr>
  </w:style>
  <w:style w:type="paragraph" w:styleId="7">
    <w:name w:val="Normal Indent"/>
    <w:basedOn w:val="1"/>
    <w:semiHidden/>
    <w:unhideWhenUsed/>
    <w:qFormat/>
    <w:uiPriority w:val="0"/>
    <w:pPr>
      <w:ind w:firstLine="420"/>
    </w:pPr>
    <w:rPr>
      <w:rFonts w:asciiTheme="minorHAnsi" w:hAnsiTheme="minorHAnsi" w:eastAsiaTheme="minorEastAsia" w:cstheme="minorBidi"/>
      <w:szCs w:val="22"/>
    </w:rPr>
  </w:style>
  <w:style w:type="paragraph" w:styleId="10">
    <w:name w:val="annotation text"/>
    <w:basedOn w:val="1"/>
    <w:link w:val="62"/>
    <w:semiHidden/>
    <w:qFormat/>
    <w:uiPriority w:val="0"/>
  </w:style>
  <w:style w:type="paragraph" w:styleId="11">
    <w:name w:val="Body Text"/>
    <w:basedOn w:val="1"/>
    <w:unhideWhenUsed/>
    <w:qFormat/>
    <w:uiPriority w:val="1"/>
    <w:pPr>
      <w:spacing w:after="120"/>
    </w:pPr>
  </w:style>
  <w:style w:type="paragraph" w:styleId="12">
    <w:name w:val="Balloon Text"/>
    <w:basedOn w:val="1"/>
    <w:link w:val="61"/>
    <w:semiHidden/>
    <w:unhideWhenUsed/>
    <w:qFormat/>
    <w:uiPriority w:val="99"/>
    <w:rPr>
      <w:sz w:val="18"/>
      <w:szCs w:val="18"/>
    </w:rPr>
  </w:style>
  <w:style w:type="paragraph" w:styleId="13">
    <w:name w:val="footer"/>
    <w:basedOn w:val="1"/>
    <w:link w:val="30"/>
    <w:unhideWhenUsed/>
    <w:qFormat/>
    <w:uiPriority w:val="99"/>
    <w:pPr>
      <w:tabs>
        <w:tab w:val="center" w:pos="4153"/>
        <w:tab w:val="right" w:pos="8306"/>
      </w:tabs>
      <w:snapToGrid w:val="0"/>
      <w:jc w:val="left"/>
    </w:pPr>
    <w:rPr>
      <w:sz w:val="18"/>
      <w:szCs w:val="18"/>
    </w:rPr>
  </w:style>
  <w:style w:type="paragraph" w:styleId="14">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unhideWhenUsed/>
    <w:qFormat/>
    <w:uiPriority w:val="39"/>
  </w:style>
  <w:style w:type="paragraph" w:styleId="16">
    <w:name w:val="Body Text Indent 3"/>
    <w:basedOn w:val="1"/>
    <w:qFormat/>
    <w:uiPriority w:val="0"/>
    <w:pPr>
      <w:spacing w:line="360" w:lineRule="auto"/>
      <w:ind w:left="454"/>
    </w:pPr>
    <w:rPr>
      <w:rFonts w:ascii="宋体"/>
    </w:rPr>
  </w:style>
  <w:style w:type="paragraph" w:styleId="17">
    <w:name w:val="Normal (Web)"/>
    <w:basedOn w:val="1"/>
    <w:semiHidden/>
    <w:unhideWhenUsed/>
    <w:qFormat/>
    <w:uiPriority w:val="99"/>
    <w:pPr>
      <w:widowControl/>
      <w:spacing w:before="100" w:beforeAutospacing="1" w:after="100" w:afterAutospacing="1"/>
      <w:jc w:val="left"/>
    </w:pPr>
    <w:rPr>
      <w:rFonts w:ascii="宋体" w:hAnsi="宋体" w:cs="宋体"/>
      <w:kern w:val="0"/>
    </w:rPr>
  </w:style>
  <w:style w:type="paragraph" w:styleId="18">
    <w:name w:val="Title"/>
    <w:basedOn w:val="1"/>
    <w:next w:val="1"/>
    <w:link w:val="34"/>
    <w:qFormat/>
    <w:uiPriority w:val="0"/>
    <w:pPr>
      <w:spacing w:before="240" w:after="60"/>
      <w:jc w:val="center"/>
      <w:outlineLvl w:val="0"/>
    </w:pPr>
    <w:rPr>
      <w:rFonts w:ascii="Arial" w:hAnsi="Arial"/>
      <w:b/>
      <w:sz w:val="32"/>
      <w:szCs w:val="20"/>
      <w:lang w:val="zh-CN"/>
    </w:rPr>
  </w:style>
  <w:style w:type="paragraph" w:styleId="19">
    <w:name w:val="annotation subject"/>
    <w:basedOn w:val="10"/>
    <w:next w:val="10"/>
    <w:link w:val="63"/>
    <w:semiHidden/>
    <w:unhideWhenUsed/>
    <w:uiPriority w:val="99"/>
    <w:pPr>
      <w:jc w:val="left"/>
    </w:pPr>
    <w:rPr>
      <w:b/>
      <w:bCs/>
    </w:rPr>
  </w:style>
  <w:style w:type="paragraph" w:styleId="20">
    <w:name w:val="Body Text First Indent 2"/>
    <w:basedOn w:val="3"/>
    <w:next w:val="1"/>
    <w:unhideWhenUsed/>
    <w:qFormat/>
    <w:uiPriority w:val="0"/>
    <w:pPr>
      <w:ind w:firstLine="420" w:firstLineChars="200"/>
    </w:pPr>
    <w:rPr>
      <w:sz w:val="34"/>
      <w:szCs w:val="22"/>
    </w:rPr>
  </w:style>
  <w:style w:type="table" w:styleId="22">
    <w:name w:val="Table Grid"/>
    <w:basedOn w:val="2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basedOn w:val="23"/>
    <w:qFormat/>
    <w:uiPriority w:val="99"/>
    <w:rPr>
      <w:color w:val="0000FF"/>
      <w:u w:val="single"/>
    </w:rPr>
  </w:style>
  <w:style w:type="character" w:styleId="25">
    <w:name w:val="annotation reference"/>
    <w:basedOn w:val="23"/>
    <w:semiHidden/>
    <w:unhideWhenUsed/>
    <w:uiPriority w:val="99"/>
    <w:rPr>
      <w:sz w:val="21"/>
      <w:szCs w:val="21"/>
    </w:rPr>
  </w:style>
  <w:style w:type="character" w:customStyle="1" w:styleId="26">
    <w:name w:val="标题 1 Char"/>
    <w:basedOn w:val="23"/>
    <w:link w:val="4"/>
    <w:qFormat/>
    <w:uiPriority w:val="9"/>
    <w:rPr>
      <w:rFonts w:ascii="Times New Roman" w:hAnsi="Times New Roman" w:eastAsia="宋体" w:cs="Times New Roman"/>
      <w:b/>
      <w:bCs/>
      <w:kern w:val="44"/>
      <w:sz w:val="44"/>
      <w:szCs w:val="44"/>
    </w:rPr>
  </w:style>
  <w:style w:type="character" w:customStyle="1" w:styleId="27">
    <w:name w:val="标题 4 Char"/>
    <w:basedOn w:val="23"/>
    <w:link w:val="8"/>
    <w:qFormat/>
    <w:uiPriority w:val="0"/>
    <w:rPr>
      <w:rFonts w:ascii="宋体" w:hAnsi="Times New Roman" w:eastAsia="宋体" w:cs="Times New Roman"/>
      <w:sz w:val="24"/>
    </w:rPr>
  </w:style>
  <w:style w:type="paragraph" w:customStyle="1" w:styleId="28">
    <w:name w:val="_Style 75"/>
    <w:basedOn w:val="1"/>
    <w:next w:val="1"/>
    <w:qFormat/>
    <w:uiPriority w:val="99"/>
    <w:pPr>
      <w:adjustRightInd w:val="0"/>
      <w:spacing w:line="360" w:lineRule="atLeast"/>
      <w:ind w:left="1920"/>
      <w:jc w:val="left"/>
    </w:pPr>
    <w:rPr>
      <w:rFonts w:ascii="宋体" w:hAnsi="Arial"/>
    </w:rPr>
  </w:style>
  <w:style w:type="character" w:customStyle="1" w:styleId="29">
    <w:name w:val="页眉 Char"/>
    <w:basedOn w:val="23"/>
    <w:link w:val="14"/>
    <w:qFormat/>
    <w:uiPriority w:val="99"/>
    <w:rPr>
      <w:sz w:val="18"/>
      <w:szCs w:val="18"/>
    </w:rPr>
  </w:style>
  <w:style w:type="character" w:customStyle="1" w:styleId="30">
    <w:name w:val="页脚 Char"/>
    <w:basedOn w:val="23"/>
    <w:link w:val="13"/>
    <w:qFormat/>
    <w:uiPriority w:val="99"/>
    <w:rPr>
      <w:sz w:val="18"/>
      <w:szCs w:val="18"/>
    </w:rPr>
  </w:style>
  <w:style w:type="paragraph" w:customStyle="1" w:styleId="31">
    <w:name w:val="_Style 9"/>
    <w:basedOn w:val="1"/>
    <w:next w:val="1"/>
    <w:qFormat/>
    <w:uiPriority w:val="39"/>
    <w:pPr>
      <w:tabs>
        <w:tab w:val="right" w:leader="dot" w:pos="8296"/>
      </w:tabs>
      <w:spacing w:before="120" w:after="120"/>
    </w:pPr>
    <w:rPr>
      <w:caps/>
      <w:sz w:val="28"/>
      <w:szCs w:val="28"/>
    </w:rPr>
  </w:style>
  <w:style w:type="character" w:customStyle="1" w:styleId="32">
    <w:name w:val="标题 2 Char"/>
    <w:basedOn w:val="23"/>
    <w:link w:val="5"/>
    <w:qFormat/>
    <w:uiPriority w:val="0"/>
    <w:rPr>
      <w:rFonts w:ascii="宋体" w:hAnsi="Times New Roman" w:eastAsia="宋体" w:cs="Times New Roman"/>
      <w:b/>
      <w:kern w:val="44"/>
      <w:sz w:val="28"/>
      <w:szCs w:val="20"/>
    </w:rPr>
  </w:style>
  <w:style w:type="character" w:customStyle="1" w:styleId="33">
    <w:name w:val="标题 字符"/>
    <w:basedOn w:val="23"/>
    <w:qFormat/>
    <w:uiPriority w:val="10"/>
    <w:rPr>
      <w:rFonts w:asciiTheme="majorHAnsi" w:hAnsiTheme="majorHAnsi" w:eastAsiaTheme="majorEastAsia" w:cstheme="majorBidi"/>
      <w:b/>
      <w:bCs/>
      <w:sz w:val="32"/>
      <w:szCs w:val="32"/>
    </w:rPr>
  </w:style>
  <w:style w:type="character" w:customStyle="1" w:styleId="34">
    <w:name w:val="标题 Char"/>
    <w:link w:val="18"/>
    <w:qFormat/>
    <w:uiPriority w:val="0"/>
    <w:rPr>
      <w:rFonts w:ascii="Arial" w:hAnsi="Arial" w:eastAsia="宋体" w:cs="Times New Roman"/>
      <w:b/>
      <w:sz w:val="32"/>
      <w:szCs w:val="20"/>
      <w:lang w:val="zh-CN" w:eastAsia="zh-CN"/>
    </w:rPr>
  </w:style>
  <w:style w:type="character" w:customStyle="1" w:styleId="35">
    <w:name w:val="正文文本缩进 Char"/>
    <w:basedOn w:val="23"/>
    <w:link w:val="3"/>
    <w:qFormat/>
    <w:uiPriority w:val="0"/>
    <w:rPr>
      <w:rFonts w:ascii="宋体" w:hAnsi="Times New Roman" w:eastAsia="宋体" w:cs="Times New Roman"/>
      <w:kern w:val="0"/>
      <w:sz w:val="24"/>
      <w:szCs w:val="20"/>
    </w:rPr>
  </w:style>
  <w:style w:type="paragraph" w:customStyle="1" w:styleId="36">
    <w:name w:val="表内文字"/>
    <w:basedOn w:val="1"/>
    <w:qFormat/>
    <w:uiPriority w:val="99"/>
    <w:pPr>
      <w:tabs>
        <w:tab w:val="left" w:pos="360"/>
        <w:tab w:val="left" w:pos="720"/>
      </w:tabs>
      <w:autoSpaceDE w:val="0"/>
      <w:autoSpaceDN w:val="0"/>
      <w:jc w:val="center"/>
    </w:pPr>
    <w:rPr>
      <w:szCs w:val="18"/>
    </w:rPr>
  </w:style>
  <w:style w:type="paragraph" w:customStyle="1" w:styleId="37">
    <w:name w:val="正文11"/>
    <w:basedOn w:val="1"/>
    <w:qFormat/>
    <w:uiPriority w:val="0"/>
    <w:pPr>
      <w:adjustRightInd w:val="0"/>
      <w:spacing w:line="410" w:lineRule="atLeast"/>
      <w:jc w:val="left"/>
    </w:pPr>
    <w:rPr>
      <w:rFonts w:ascii="宋体" w:hAnsi="宋体" w:eastAsiaTheme="minorEastAsia" w:cstheme="minorBidi"/>
      <w:szCs w:val="22"/>
    </w:rPr>
  </w:style>
  <w:style w:type="paragraph" w:customStyle="1" w:styleId="38">
    <w:name w:val="样式1"/>
    <w:basedOn w:val="1"/>
    <w:qFormat/>
    <w:uiPriority w:val="99"/>
    <w:pPr>
      <w:adjustRightInd w:val="0"/>
      <w:spacing w:line="420" w:lineRule="auto"/>
      <w:jc w:val="center"/>
    </w:pPr>
    <w:rPr>
      <w:rFonts w:ascii="宋体"/>
      <w:kern w:val="0"/>
    </w:rPr>
  </w:style>
  <w:style w:type="paragraph" w:customStyle="1" w:styleId="39">
    <w:name w:val="1级标题"/>
    <w:basedOn w:val="4"/>
    <w:next w:val="1"/>
    <w:qFormat/>
    <w:uiPriority w:val="0"/>
    <w:pPr>
      <w:keepNext w:val="0"/>
      <w:keepLines w:val="0"/>
      <w:widowControl/>
      <w:numPr>
        <w:ilvl w:val="0"/>
        <w:numId w:val="1"/>
      </w:numPr>
      <w:snapToGrid w:val="0"/>
      <w:spacing w:before="120" w:after="120" w:line="240" w:lineRule="auto"/>
      <w:jc w:val="left"/>
    </w:pPr>
    <w:rPr>
      <w:rFonts w:ascii="Arial" w:hAnsi="Arial"/>
      <w:sz w:val="30"/>
      <w:lang w:val="zh-CN"/>
    </w:rPr>
  </w:style>
  <w:style w:type="paragraph" w:customStyle="1" w:styleId="40">
    <w:name w:val="2级标题"/>
    <w:basedOn w:val="5"/>
    <w:next w:val="1"/>
    <w:qFormat/>
    <w:uiPriority w:val="0"/>
    <w:pPr>
      <w:numPr>
        <w:ilvl w:val="1"/>
        <w:numId w:val="1"/>
      </w:numPr>
      <w:snapToGrid w:val="0"/>
      <w:spacing w:before="0" w:after="0" w:line="360" w:lineRule="auto"/>
      <w:ind w:left="567"/>
      <w:textAlignment w:val="auto"/>
    </w:pPr>
    <w:rPr>
      <w:rFonts w:ascii="Arial" w:hAnsi="Arial" w:cs="Arial"/>
      <w:bCs/>
      <w:kern w:val="2"/>
      <w:sz w:val="24"/>
      <w:szCs w:val="24"/>
      <w:lang w:val="zh-CN"/>
    </w:rPr>
  </w:style>
  <w:style w:type="paragraph" w:customStyle="1" w:styleId="41">
    <w:name w:val="3级标题"/>
    <w:basedOn w:val="1"/>
    <w:qFormat/>
    <w:uiPriority w:val="0"/>
    <w:pPr>
      <w:numPr>
        <w:ilvl w:val="2"/>
        <w:numId w:val="1"/>
      </w:numPr>
      <w:adjustRightInd w:val="0"/>
      <w:spacing w:line="360" w:lineRule="atLeast"/>
      <w:jc w:val="left"/>
      <w:textAlignment w:val="baseline"/>
    </w:pPr>
    <w:rPr>
      <w:kern w:val="0"/>
      <w:szCs w:val="20"/>
      <w:lang w:val="zh-CN"/>
    </w:rPr>
  </w:style>
  <w:style w:type="paragraph" w:customStyle="1" w:styleId="42">
    <w:name w:val="样式3"/>
    <w:basedOn w:val="41"/>
    <w:link w:val="43"/>
    <w:qFormat/>
    <w:uiPriority w:val="0"/>
    <w:pPr>
      <w:spacing w:line="360" w:lineRule="auto"/>
    </w:pPr>
  </w:style>
  <w:style w:type="character" w:customStyle="1" w:styleId="43">
    <w:name w:val="样式3 Char"/>
    <w:basedOn w:val="23"/>
    <w:link w:val="42"/>
    <w:qFormat/>
    <w:uiPriority w:val="0"/>
    <w:rPr>
      <w:rFonts w:ascii="Times New Roman" w:hAnsi="Times New Roman" w:eastAsia="宋体" w:cs="Times New Roman"/>
      <w:sz w:val="24"/>
      <w:lang w:val="zh-CN" w:eastAsia="zh-CN"/>
    </w:rPr>
  </w:style>
  <w:style w:type="paragraph" w:customStyle="1" w:styleId="44">
    <w:name w:val="正文_8"/>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customStyle="1" w:styleId="45">
    <w:name w:val="font41"/>
    <w:basedOn w:val="23"/>
    <w:qFormat/>
    <w:uiPriority w:val="0"/>
    <w:rPr>
      <w:rFonts w:hint="eastAsia" w:ascii="宋体" w:hAnsi="宋体" w:eastAsia="宋体" w:cs="宋体"/>
      <w:b/>
      <w:bCs/>
      <w:color w:val="000000"/>
      <w:sz w:val="24"/>
      <w:szCs w:val="24"/>
      <w:u w:val="none"/>
    </w:rPr>
  </w:style>
  <w:style w:type="character" w:customStyle="1" w:styleId="46">
    <w:name w:val="font51"/>
    <w:basedOn w:val="23"/>
    <w:qFormat/>
    <w:uiPriority w:val="0"/>
    <w:rPr>
      <w:rFonts w:hint="eastAsia" w:ascii="宋体" w:hAnsi="宋体" w:eastAsia="宋体" w:cs="宋体"/>
      <w:color w:val="000000"/>
      <w:sz w:val="24"/>
      <w:szCs w:val="24"/>
      <w:u w:val="none"/>
    </w:rPr>
  </w:style>
  <w:style w:type="character" w:customStyle="1" w:styleId="47">
    <w:name w:val="font31"/>
    <w:basedOn w:val="23"/>
    <w:qFormat/>
    <w:uiPriority w:val="0"/>
    <w:rPr>
      <w:rFonts w:hint="default" w:ascii="Times New Roman" w:hAnsi="Times New Roman" w:cs="Times New Roman"/>
      <w:color w:val="000000"/>
      <w:sz w:val="24"/>
      <w:szCs w:val="24"/>
      <w:u w:val="none"/>
    </w:rPr>
  </w:style>
  <w:style w:type="character" w:customStyle="1" w:styleId="48">
    <w:name w:val="font61"/>
    <w:basedOn w:val="23"/>
    <w:qFormat/>
    <w:uiPriority w:val="0"/>
    <w:rPr>
      <w:rFonts w:hint="default" w:ascii="Times New Roman" w:hAnsi="Times New Roman" w:cs="Times New Roman"/>
      <w:color w:val="000000"/>
      <w:sz w:val="24"/>
      <w:szCs w:val="24"/>
      <w:u w:val="single"/>
    </w:rPr>
  </w:style>
  <w:style w:type="character" w:customStyle="1" w:styleId="49">
    <w:name w:val="font71"/>
    <w:basedOn w:val="23"/>
    <w:qFormat/>
    <w:uiPriority w:val="0"/>
    <w:rPr>
      <w:rFonts w:hint="default" w:ascii="Times New Roman" w:hAnsi="Times New Roman" w:cs="Times New Roman"/>
      <w:color w:val="000000"/>
      <w:sz w:val="24"/>
      <w:szCs w:val="24"/>
      <w:u w:val="none"/>
      <w:vertAlign w:val="superscript"/>
    </w:rPr>
  </w:style>
  <w:style w:type="character" w:customStyle="1" w:styleId="50">
    <w:name w:val="font81"/>
    <w:basedOn w:val="23"/>
    <w:qFormat/>
    <w:uiPriority w:val="0"/>
    <w:rPr>
      <w:rFonts w:hint="eastAsia" w:ascii="宋体" w:hAnsi="宋体" w:eastAsia="宋体" w:cs="宋体"/>
      <w:color w:val="000000"/>
      <w:sz w:val="24"/>
      <w:szCs w:val="24"/>
      <w:u w:val="none"/>
    </w:rPr>
  </w:style>
  <w:style w:type="character" w:customStyle="1" w:styleId="51">
    <w:name w:val="font21"/>
    <w:basedOn w:val="23"/>
    <w:qFormat/>
    <w:uiPriority w:val="0"/>
    <w:rPr>
      <w:rFonts w:hint="default" w:ascii="Times New Roman" w:hAnsi="Times New Roman" w:cs="Times New Roman"/>
      <w:color w:val="000000"/>
      <w:sz w:val="24"/>
      <w:szCs w:val="24"/>
      <w:u w:val="none"/>
    </w:rPr>
  </w:style>
  <w:style w:type="paragraph" w:customStyle="1" w:styleId="52">
    <w:name w:val="题名2"/>
    <w:basedOn w:val="1"/>
    <w:qFormat/>
    <w:uiPriority w:val="0"/>
    <w:pPr>
      <w:spacing w:line="360" w:lineRule="auto"/>
      <w:jc w:val="center"/>
    </w:pPr>
    <w:rPr>
      <w:rFonts w:ascii="Trebuchet MS" w:hAnsi="Trebuchet MS" w:eastAsia="黑体" w:cs="宋体"/>
      <w:b/>
      <w:bCs/>
      <w:sz w:val="36"/>
      <w:szCs w:val="20"/>
    </w:rPr>
  </w:style>
  <w:style w:type="paragraph" w:customStyle="1" w:styleId="53">
    <w:name w:val="_Style 3"/>
    <w:basedOn w:val="1"/>
    <w:qFormat/>
    <w:uiPriority w:val="0"/>
    <w:pPr>
      <w:ind w:firstLine="420" w:firstLineChars="200"/>
    </w:pPr>
    <w:rPr>
      <w:rFonts w:ascii="Calibri" w:hAnsi="Calibri" w:eastAsia="仿宋"/>
      <w:szCs w:val="22"/>
    </w:rPr>
  </w:style>
  <w:style w:type="paragraph" w:customStyle="1" w:styleId="54">
    <w:name w:val="A"/>
    <w:basedOn w:val="1"/>
    <w:qFormat/>
    <w:uiPriority w:val="0"/>
    <w:pPr>
      <w:adjustRightInd w:val="0"/>
      <w:spacing w:line="480" w:lineRule="atLeast"/>
      <w:jc w:val="center"/>
      <w:textAlignment w:val="baseline"/>
    </w:pPr>
    <w:rPr>
      <w:rFonts w:ascii="宋体"/>
      <w:kern w:val="0"/>
      <w:sz w:val="32"/>
      <w:szCs w:val="20"/>
    </w:rPr>
  </w:style>
  <w:style w:type="paragraph" w:styleId="55">
    <w:name w:val="List Paragraph"/>
    <w:basedOn w:val="1"/>
    <w:qFormat/>
    <w:uiPriority w:val="0"/>
    <w:pPr>
      <w:ind w:firstLine="420" w:firstLineChars="200"/>
    </w:pPr>
    <w:rPr>
      <w:sz w:val="21"/>
    </w:rPr>
  </w:style>
  <w:style w:type="character" w:customStyle="1" w:styleId="56">
    <w:name w:val="font91"/>
    <w:basedOn w:val="23"/>
    <w:qFormat/>
    <w:uiPriority w:val="0"/>
    <w:rPr>
      <w:rFonts w:hint="eastAsia" w:ascii="宋体" w:hAnsi="宋体" w:eastAsia="宋体" w:cs="宋体"/>
      <w:color w:val="000000"/>
      <w:sz w:val="22"/>
      <w:szCs w:val="22"/>
      <w:u w:val="none"/>
    </w:rPr>
  </w:style>
  <w:style w:type="paragraph" w:customStyle="1" w:styleId="57">
    <w:name w:val="Table Text"/>
    <w:basedOn w:val="1"/>
    <w:semiHidden/>
    <w:qFormat/>
    <w:uiPriority w:val="0"/>
    <w:rPr>
      <w:rFonts w:ascii="宋体" w:hAnsi="宋体" w:cs="宋体"/>
      <w:sz w:val="20"/>
      <w:szCs w:val="20"/>
    </w:rPr>
  </w:style>
  <w:style w:type="table" w:customStyle="1" w:styleId="58">
    <w:name w:val="Table Normal"/>
    <w:semiHidden/>
    <w:unhideWhenUsed/>
    <w:qFormat/>
    <w:uiPriority w:val="0"/>
    <w:tblPr>
      <w:tblCellMar>
        <w:top w:w="0" w:type="dxa"/>
        <w:left w:w="0" w:type="dxa"/>
        <w:bottom w:w="0" w:type="dxa"/>
        <w:right w:w="0" w:type="dxa"/>
      </w:tblCellMar>
    </w:tblPr>
  </w:style>
  <w:style w:type="character" w:customStyle="1" w:styleId="59">
    <w:name w:val="font11"/>
    <w:basedOn w:val="23"/>
    <w:qFormat/>
    <w:uiPriority w:val="0"/>
    <w:rPr>
      <w:rFonts w:hint="default" w:ascii="Times New Roman" w:hAnsi="Times New Roman" w:cs="Times New Roman"/>
      <w:b/>
      <w:bCs/>
      <w:color w:val="000000"/>
      <w:sz w:val="24"/>
      <w:szCs w:val="24"/>
      <w:u w:val="none"/>
    </w:rPr>
  </w:style>
  <w:style w:type="character" w:customStyle="1" w:styleId="60">
    <w:name w:val="font01"/>
    <w:basedOn w:val="23"/>
    <w:qFormat/>
    <w:uiPriority w:val="0"/>
    <w:rPr>
      <w:rFonts w:hint="eastAsia" w:ascii="宋体" w:hAnsi="宋体" w:eastAsia="宋体" w:cs="宋体"/>
      <w:color w:val="000000"/>
      <w:sz w:val="24"/>
      <w:szCs w:val="24"/>
      <w:u w:val="none"/>
    </w:rPr>
  </w:style>
  <w:style w:type="character" w:customStyle="1" w:styleId="61">
    <w:name w:val="批注框文本 Char"/>
    <w:basedOn w:val="23"/>
    <w:link w:val="12"/>
    <w:semiHidden/>
    <w:qFormat/>
    <w:uiPriority w:val="99"/>
    <w:rPr>
      <w:kern w:val="2"/>
      <w:sz w:val="18"/>
      <w:szCs w:val="18"/>
    </w:rPr>
  </w:style>
  <w:style w:type="character" w:customStyle="1" w:styleId="62">
    <w:name w:val="批注文字 Char"/>
    <w:basedOn w:val="23"/>
    <w:link w:val="10"/>
    <w:semiHidden/>
    <w:uiPriority w:val="0"/>
    <w:rPr>
      <w:kern w:val="2"/>
      <w:sz w:val="24"/>
      <w:szCs w:val="24"/>
    </w:rPr>
  </w:style>
  <w:style w:type="character" w:customStyle="1" w:styleId="63">
    <w:name w:val="批注主题 Char"/>
    <w:basedOn w:val="62"/>
    <w:link w:val="19"/>
    <w:semiHidden/>
    <w:qFormat/>
    <w:uiPriority w:val="99"/>
    <w:rPr>
      <w:b/>
      <w:bCs/>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55</Pages>
  <Words>4113</Words>
  <Characters>4629</Characters>
  <Lines>299</Lines>
  <Paragraphs>84</Paragraphs>
  <TotalTime>9</TotalTime>
  <ScaleCrop>false</ScaleCrop>
  <LinksUpToDate>false</LinksUpToDate>
  <CharactersWithSpaces>4973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2021-10-15T03:12:00Z</dcterms:created>
  <dc:creator>NTKO</dc:creator>
  <cp:lastModifiedBy>忧郁蓝色雨</cp:lastModifiedBy>
  <dcterms:modified xsi:type="dcterms:W3CDTF">2026-07-10T06:20:32Z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8B938E8311F84A689C48AF2D18D59730_13</vt:lpwstr>
  </property>
  <property fmtid="{D5CDD505-2E9C-101B-9397-08002B2CF9AE}" pid="4" name="KSOTemplateDocerSaveRecord">
    <vt:lpwstr>eyJoZGlkIjoiNThiMDJiNmUwZjZiMDQwMDU2MmJhYzQ1MjcwOTA2YjYiLCJ1c2VySWQiOiI1MDExNDE0MDAifQ==</vt:lpwstr>
  </property>
</Properties>
</file>